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87172">
      <w:pPr>
        <w:pStyle w:val="4"/>
        <w:jc w:val="center"/>
        <w:outlineLvl w:val="1"/>
      </w:pPr>
      <w:r>
        <w:rPr>
          <w:rFonts w:ascii="仿宋_GB2312" w:hAnsi="仿宋_GB2312" w:eastAsia="仿宋_GB2312" w:cs="仿宋_GB2312"/>
          <w:b/>
          <w:sz w:val="36"/>
        </w:rPr>
        <w:t>技术、服务及其他要求</w:t>
      </w:r>
    </w:p>
    <w:p w14:paraId="40EFDDA0">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45BC2BB9">
      <w:pPr>
        <w:pStyle w:val="4"/>
        <w:jc w:val="left"/>
        <w:outlineLvl w:val="2"/>
      </w:pPr>
      <w:r>
        <w:rPr>
          <w:rFonts w:ascii="仿宋_GB2312" w:hAnsi="仿宋_GB2312" w:eastAsia="仿宋_GB2312" w:cs="仿宋_GB2312"/>
          <w:b/>
          <w:sz w:val="28"/>
        </w:rPr>
        <w:t>3.1.采购内容</w:t>
      </w:r>
    </w:p>
    <w:p w14:paraId="797197C4">
      <w:pPr>
        <w:pStyle w:val="4"/>
        <w:jc w:val="left"/>
      </w:pPr>
      <w:r>
        <w:rPr>
          <w:rFonts w:ascii="仿宋_GB2312" w:hAnsi="仿宋_GB2312" w:eastAsia="仿宋_GB2312" w:cs="仿宋_GB2312"/>
        </w:rPr>
        <w:t>采购包1：</w:t>
      </w:r>
    </w:p>
    <w:p w14:paraId="02692B2E">
      <w:pPr>
        <w:pStyle w:val="4"/>
        <w:jc w:val="left"/>
      </w:pPr>
      <w:r>
        <w:rPr>
          <w:rFonts w:ascii="仿宋_GB2312" w:hAnsi="仿宋_GB2312" w:eastAsia="仿宋_GB2312" w:cs="仿宋_GB2312"/>
        </w:rPr>
        <w:t>采购包预算金额（元）: 100,000.00</w:t>
      </w:r>
    </w:p>
    <w:p w14:paraId="53B3D5F2">
      <w:pPr>
        <w:pStyle w:val="4"/>
        <w:jc w:val="left"/>
      </w:pPr>
      <w:r>
        <w:rPr>
          <w:rFonts w:ascii="仿宋_GB2312" w:hAnsi="仿宋_GB2312" w:eastAsia="仿宋_GB2312" w:cs="仿宋_GB2312"/>
        </w:rPr>
        <w:t>采购包最高限价（元）: 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1116"/>
        <w:gridCol w:w="761"/>
        <w:gridCol w:w="820"/>
        <w:gridCol w:w="1116"/>
        <w:gridCol w:w="761"/>
        <w:gridCol w:w="761"/>
        <w:gridCol w:w="761"/>
        <w:gridCol w:w="762"/>
        <w:gridCol w:w="607"/>
        <w:gridCol w:w="607"/>
      </w:tblGrid>
      <w:tr w14:paraId="3471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C1BE4C">
            <w:pPr>
              <w:pStyle w:val="4"/>
              <w:jc w:val="center"/>
            </w:pPr>
            <w:r>
              <w:rPr>
                <w:rFonts w:ascii="仿宋_GB2312" w:hAnsi="仿宋_GB2312" w:eastAsia="仿宋_GB2312" w:cs="仿宋_GB2312"/>
              </w:rPr>
              <w:t>序号</w:t>
            </w:r>
          </w:p>
        </w:tc>
        <w:tc>
          <w:tcPr>
            <w:tcW w:w="821" w:type="dxa"/>
          </w:tcPr>
          <w:p w14:paraId="7A7DD046">
            <w:pPr>
              <w:pStyle w:val="4"/>
              <w:jc w:val="center"/>
            </w:pPr>
            <w:r>
              <w:rPr>
                <w:rFonts w:ascii="仿宋_GB2312" w:hAnsi="仿宋_GB2312" w:eastAsia="仿宋_GB2312" w:cs="仿宋_GB2312"/>
              </w:rPr>
              <w:t>采购品目名称</w:t>
            </w:r>
          </w:p>
        </w:tc>
        <w:tc>
          <w:tcPr>
            <w:tcW w:w="821" w:type="dxa"/>
          </w:tcPr>
          <w:p w14:paraId="13B2E1C9">
            <w:pPr>
              <w:pStyle w:val="4"/>
              <w:jc w:val="center"/>
            </w:pPr>
            <w:r>
              <w:rPr>
                <w:rFonts w:ascii="仿宋_GB2312" w:hAnsi="仿宋_GB2312" w:eastAsia="仿宋_GB2312" w:cs="仿宋_GB2312"/>
              </w:rPr>
              <w:t>标的名称</w:t>
            </w:r>
          </w:p>
        </w:tc>
        <w:tc>
          <w:tcPr>
            <w:tcW w:w="821" w:type="dxa"/>
          </w:tcPr>
          <w:p w14:paraId="4A784447">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C1C7708">
            <w:pPr>
              <w:pStyle w:val="4"/>
              <w:jc w:val="center"/>
            </w:pPr>
            <w:r>
              <w:rPr>
                <w:rFonts w:ascii="仿宋_GB2312" w:hAnsi="仿宋_GB2312" w:eastAsia="仿宋_GB2312" w:cs="仿宋_GB2312"/>
              </w:rPr>
              <w:t>标的金额 （元）</w:t>
            </w:r>
          </w:p>
        </w:tc>
        <w:tc>
          <w:tcPr>
            <w:tcW w:w="821" w:type="dxa"/>
          </w:tcPr>
          <w:p w14:paraId="5FE61B82">
            <w:pPr>
              <w:pStyle w:val="4"/>
              <w:jc w:val="center"/>
            </w:pPr>
            <w:r>
              <w:rPr>
                <w:rFonts w:ascii="仿宋_GB2312" w:hAnsi="仿宋_GB2312" w:eastAsia="仿宋_GB2312" w:cs="仿宋_GB2312"/>
              </w:rPr>
              <w:t>所属行业</w:t>
            </w:r>
          </w:p>
        </w:tc>
        <w:tc>
          <w:tcPr>
            <w:tcW w:w="821" w:type="dxa"/>
          </w:tcPr>
          <w:p w14:paraId="56060A90">
            <w:pPr>
              <w:pStyle w:val="4"/>
              <w:jc w:val="center"/>
            </w:pPr>
            <w:r>
              <w:rPr>
                <w:rFonts w:ascii="仿宋_GB2312" w:hAnsi="仿宋_GB2312" w:eastAsia="仿宋_GB2312" w:cs="仿宋_GB2312"/>
              </w:rPr>
              <w:t>是否涉及核心产品</w:t>
            </w:r>
          </w:p>
        </w:tc>
        <w:tc>
          <w:tcPr>
            <w:tcW w:w="821" w:type="dxa"/>
          </w:tcPr>
          <w:p w14:paraId="5E8D6C08">
            <w:pPr>
              <w:pStyle w:val="4"/>
              <w:jc w:val="center"/>
            </w:pPr>
            <w:r>
              <w:rPr>
                <w:rFonts w:ascii="仿宋_GB2312" w:hAnsi="仿宋_GB2312" w:eastAsia="仿宋_GB2312" w:cs="仿宋_GB2312"/>
              </w:rPr>
              <w:t>是否涉及采购进口产品</w:t>
            </w:r>
          </w:p>
        </w:tc>
        <w:tc>
          <w:tcPr>
            <w:tcW w:w="821" w:type="dxa"/>
          </w:tcPr>
          <w:p w14:paraId="0BC7D094">
            <w:pPr>
              <w:pStyle w:val="4"/>
              <w:jc w:val="center"/>
            </w:pPr>
            <w:r>
              <w:rPr>
                <w:rFonts w:ascii="仿宋_GB2312" w:hAnsi="仿宋_GB2312" w:eastAsia="仿宋_GB2312" w:cs="仿宋_GB2312"/>
              </w:rPr>
              <w:t>是否涉及强制采购节能产品</w:t>
            </w:r>
          </w:p>
        </w:tc>
        <w:tc>
          <w:tcPr>
            <w:tcW w:w="639" w:type="dxa"/>
          </w:tcPr>
          <w:p w14:paraId="121C0D28">
            <w:pPr>
              <w:pStyle w:val="4"/>
              <w:jc w:val="center"/>
            </w:pPr>
            <w:r>
              <w:rPr>
                <w:rFonts w:ascii="仿宋_GB2312" w:hAnsi="仿宋_GB2312" w:eastAsia="仿宋_GB2312" w:cs="仿宋_GB2312"/>
              </w:rPr>
              <w:t>是否涉及优先采购节能产品</w:t>
            </w:r>
          </w:p>
        </w:tc>
        <w:tc>
          <w:tcPr>
            <w:tcW w:w="639" w:type="dxa"/>
          </w:tcPr>
          <w:p w14:paraId="1F015284">
            <w:pPr>
              <w:pStyle w:val="4"/>
              <w:jc w:val="center"/>
            </w:pPr>
            <w:r>
              <w:rPr>
                <w:rFonts w:ascii="仿宋_GB2312" w:hAnsi="仿宋_GB2312" w:eastAsia="仿宋_GB2312" w:cs="仿宋_GB2312"/>
              </w:rPr>
              <w:t>是否涉及优先采购环境标志产品</w:t>
            </w:r>
          </w:p>
        </w:tc>
      </w:tr>
      <w:tr w14:paraId="4A8D6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BE77F6">
            <w:pPr>
              <w:pStyle w:val="4"/>
              <w:jc w:val="left"/>
            </w:pPr>
            <w:r>
              <w:rPr>
                <w:rFonts w:ascii="仿宋_GB2312" w:hAnsi="仿宋_GB2312" w:eastAsia="仿宋_GB2312" w:cs="仿宋_GB2312"/>
              </w:rPr>
              <w:t>1</w:t>
            </w:r>
          </w:p>
        </w:tc>
        <w:tc>
          <w:tcPr>
            <w:tcW w:w="821" w:type="dxa"/>
          </w:tcPr>
          <w:p w14:paraId="0E055319">
            <w:pPr>
              <w:pStyle w:val="4"/>
              <w:jc w:val="left"/>
            </w:pPr>
            <w:r>
              <w:rPr>
                <w:rFonts w:ascii="仿宋_GB2312" w:hAnsi="仿宋_GB2312" w:eastAsia="仿宋_GB2312" w:cs="仿宋_GB2312"/>
              </w:rPr>
              <w:t>C04110000 公共卫生事件防控服务</w:t>
            </w:r>
          </w:p>
        </w:tc>
        <w:tc>
          <w:tcPr>
            <w:tcW w:w="821" w:type="dxa"/>
          </w:tcPr>
          <w:p w14:paraId="5080DE09">
            <w:pPr>
              <w:pStyle w:val="4"/>
              <w:jc w:val="left"/>
            </w:pPr>
            <w:r>
              <w:rPr>
                <w:rFonts w:ascii="仿宋_GB2312" w:hAnsi="仿宋_GB2312" w:eastAsia="仿宋_GB2312" w:cs="仿宋_GB2312"/>
              </w:rPr>
              <w:t>成都世运会龙泉驿赛区病媒生物密度监测</w:t>
            </w:r>
          </w:p>
        </w:tc>
        <w:tc>
          <w:tcPr>
            <w:tcW w:w="821" w:type="dxa"/>
          </w:tcPr>
          <w:p w14:paraId="759116EB">
            <w:pPr>
              <w:pStyle w:val="4"/>
              <w:jc w:val="right"/>
            </w:pPr>
            <w:r>
              <w:rPr>
                <w:rFonts w:ascii="仿宋_GB2312" w:hAnsi="仿宋_GB2312" w:eastAsia="仿宋_GB2312" w:cs="仿宋_GB2312"/>
              </w:rPr>
              <w:t>1.00（项）</w:t>
            </w:r>
          </w:p>
        </w:tc>
        <w:tc>
          <w:tcPr>
            <w:tcW w:w="821" w:type="dxa"/>
          </w:tcPr>
          <w:p w14:paraId="16F2E736">
            <w:pPr>
              <w:pStyle w:val="4"/>
              <w:jc w:val="right"/>
            </w:pPr>
            <w:r>
              <w:rPr>
                <w:rFonts w:ascii="仿宋_GB2312" w:hAnsi="仿宋_GB2312" w:eastAsia="仿宋_GB2312" w:cs="仿宋_GB2312"/>
              </w:rPr>
              <w:t>80,000.00</w:t>
            </w:r>
          </w:p>
        </w:tc>
        <w:tc>
          <w:tcPr>
            <w:tcW w:w="821" w:type="dxa"/>
          </w:tcPr>
          <w:p w14:paraId="7F3B542D">
            <w:pPr>
              <w:pStyle w:val="4"/>
              <w:jc w:val="left"/>
            </w:pPr>
            <w:r>
              <w:rPr>
                <w:rFonts w:ascii="仿宋_GB2312" w:hAnsi="仿宋_GB2312" w:eastAsia="仿宋_GB2312" w:cs="仿宋_GB2312"/>
              </w:rPr>
              <w:t>其他未列明行业</w:t>
            </w:r>
          </w:p>
        </w:tc>
        <w:tc>
          <w:tcPr>
            <w:tcW w:w="821" w:type="dxa"/>
          </w:tcPr>
          <w:p w14:paraId="0920349D">
            <w:pPr>
              <w:pStyle w:val="4"/>
              <w:jc w:val="left"/>
            </w:pPr>
            <w:r>
              <w:rPr>
                <w:rFonts w:ascii="仿宋_GB2312" w:hAnsi="仿宋_GB2312" w:eastAsia="仿宋_GB2312" w:cs="仿宋_GB2312"/>
              </w:rPr>
              <w:t>否</w:t>
            </w:r>
          </w:p>
        </w:tc>
        <w:tc>
          <w:tcPr>
            <w:tcW w:w="821" w:type="dxa"/>
          </w:tcPr>
          <w:p w14:paraId="6B225A62">
            <w:pPr>
              <w:pStyle w:val="4"/>
              <w:jc w:val="left"/>
            </w:pPr>
            <w:r>
              <w:rPr>
                <w:rFonts w:ascii="仿宋_GB2312" w:hAnsi="仿宋_GB2312" w:eastAsia="仿宋_GB2312" w:cs="仿宋_GB2312"/>
              </w:rPr>
              <w:t>否</w:t>
            </w:r>
          </w:p>
        </w:tc>
        <w:tc>
          <w:tcPr>
            <w:tcW w:w="821" w:type="dxa"/>
          </w:tcPr>
          <w:p w14:paraId="127459B1">
            <w:pPr>
              <w:pStyle w:val="4"/>
              <w:jc w:val="left"/>
            </w:pPr>
            <w:r>
              <w:rPr>
                <w:rFonts w:ascii="仿宋_GB2312" w:hAnsi="仿宋_GB2312" w:eastAsia="仿宋_GB2312" w:cs="仿宋_GB2312"/>
              </w:rPr>
              <w:t>否</w:t>
            </w:r>
          </w:p>
        </w:tc>
        <w:tc>
          <w:tcPr>
            <w:tcW w:w="639" w:type="dxa"/>
          </w:tcPr>
          <w:p w14:paraId="27F51170">
            <w:pPr>
              <w:pStyle w:val="4"/>
              <w:jc w:val="left"/>
            </w:pPr>
            <w:r>
              <w:rPr>
                <w:rFonts w:ascii="仿宋_GB2312" w:hAnsi="仿宋_GB2312" w:eastAsia="仿宋_GB2312" w:cs="仿宋_GB2312"/>
              </w:rPr>
              <w:t>否</w:t>
            </w:r>
          </w:p>
        </w:tc>
        <w:tc>
          <w:tcPr>
            <w:tcW w:w="639" w:type="dxa"/>
          </w:tcPr>
          <w:p w14:paraId="28299D79">
            <w:pPr>
              <w:pStyle w:val="4"/>
              <w:jc w:val="left"/>
            </w:pPr>
            <w:r>
              <w:rPr>
                <w:rFonts w:ascii="仿宋_GB2312" w:hAnsi="仿宋_GB2312" w:eastAsia="仿宋_GB2312" w:cs="仿宋_GB2312"/>
              </w:rPr>
              <w:t>否</w:t>
            </w:r>
          </w:p>
        </w:tc>
      </w:tr>
    </w:tbl>
    <w:p w14:paraId="3A161255">
      <w:pPr>
        <w:pStyle w:val="4"/>
        <w:jc w:val="left"/>
      </w:pPr>
      <w:r>
        <w:rPr>
          <w:rFonts w:ascii="仿宋_GB2312" w:hAnsi="仿宋_GB2312" w:eastAsia="仿宋_GB2312" w:cs="仿宋_GB2312"/>
        </w:rPr>
        <w:t>采购包2：</w:t>
      </w:r>
    </w:p>
    <w:p w14:paraId="552688CF">
      <w:pPr>
        <w:pStyle w:val="4"/>
        <w:jc w:val="left"/>
      </w:pPr>
      <w:r>
        <w:rPr>
          <w:rFonts w:ascii="仿宋_GB2312" w:hAnsi="仿宋_GB2312" w:eastAsia="仿宋_GB2312" w:cs="仿宋_GB2312"/>
        </w:rPr>
        <w:t>采购包预算金额（元）: 460,400.00</w:t>
      </w:r>
    </w:p>
    <w:p w14:paraId="68735A69">
      <w:pPr>
        <w:pStyle w:val="4"/>
        <w:jc w:val="left"/>
      </w:pPr>
      <w:r>
        <w:rPr>
          <w:rFonts w:ascii="仿宋_GB2312" w:hAnsi="仿宋_GB2312" w:eastAsia="仿宋_GB2312" w:cs="仿宋_GB2312"/>
        </w:rPr>
        <w:t>采购包最高限价（元）: 460,400.00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9"/>
        <w:gridCol w:w="820"/>
        <w:gridCol w:w="1216"/>
        <w:gridCol w:w="739"/>
        <w:gridCol w:w="739"/>
        <w:gridCol w:w="739"/>
        <w:gridCol w:w="739"/>
        <w:gridCol w:w="594"/>
        <w:gridCol w:w="594"/>
      </w:tblGrid>
      <w:tr w14:paraId="224E3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1E510FA5">
            <w:pPr>
              <w:pStyle w:val="4"/>
              <w:jc w:val="center"/>
            </w:pPr>
            <w:r>
              <w:rPr>
                <w:rFonts w:ascii="仿宋_GB2312" w:hAnsi="仿宋_GB2312" w:eastAsia="仿宋_GB2312" w:cs="仿宋_GB2312"/>
              </w:rPr>
              <w:t>序号</w:t>
            </w:r>
          </w:p>
        </w:tc>
        <w:tc>
          <w:tcPr>
            <w:tcW w:w="821" w:type="dxa"/>
          </w:tcPr>
          <w:p w14:paraId="493F1807">
            <w:pPr>
              <w:pStyle w:val="4"/>
              <w:jc w:val="center"/>
            </w:pPr>
            <w:r>
              <w:rPr>
                <w:rFonts w:ascii="仿宋_GB2312" w:hAnsi="仿宋_GB2312" w:eastAsia="仿宋_GB2312" w:cs="仿宋_GB2312"/>
              </w:rPr>
              <w:t>采购品目名称</w:t>
            </w:r>
          </w:p>
        </w:tc>
        <w:tc>
          <w:tcPr>
            <w:tcW w:w="821" w:type="dxa"/>
          </w:tcPr>
          <w:p w14:paraId="5027D247">
            <w:pPr>
              <w:pStyle w:val="4"/>
              <w:jc w:val="center"/>
            </w:pPr>
            <w:r>
              <w:rPr>
                <w:rFonts w:ascii="仿宋_GB2312" w:hAnsi="仿宋_GB2312" w:eastAsia="仿宋_GB2312" w:cs="仿宋_GB2312"/>
              </w:rPr>
              <w:t>标的名称</w:t>
            </w:r>
          </w:p>
        </w:tc>
        <w:tc>
          <w:tcPr>
            <w:tcW w:w="821" w:type="dxa"/>
          </w:tcPr>
          <w:p w14:paraId="53720E9F">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F672816">
            <w:pPr>
              <w:pStyle w:val="4"/>
              <w:jc w:val="center"/>
            </w:pPr>
            <w:r>
              <w:rPr>
                <w:rFonts w:ascii="仿宋_GB2312" w:hAnsi="仿宋_GB2312" w:eastAsia="仿宋_GB2312" w:cs="仿宋_GB2312"/>
              </w:rPr>
              <w:t>标的金额 （元）</w:t>
            </w:r>
          </w:p>
        </w:tc>
        <w:tc>
          <w:tcPr>
            <w:tcW w:w="821" w:type="dxa"/>
          </w:tcPr>
          <w:p w14:paraId="6D0BA39D">
            <w:pPr>
              <w:pStyle w:val="4"/>
              <w:jc w:val="center"/>
            </w:pPr>
            <w:r>
              <w:rPr>
                <w:rFonts w:ascii="仿宋_GB2312" w:hAnsi="仿宋_GB2312" w:eastAsia="仿宋_GB2312" w:cs="仿宋_GB2312"/>
              </w:rPr>
              <w:t>所属行业</w:t>
            </w:r>
          </w:p>
        </w:tc>
        <w:tc>
          <w:tcPr>
            <w:tcW w:w="821" w:type="dxa"/>
          </w:tcPr>
          <w:p w14:paraId="5B22BD05">
            <w:pPr>
              <w:pStyle w:val="4"/>
              <w:jc w:val="center"/>
            </w:pPr>
            <w:r>
              <w:rPr>
                <w:rFonts w:ascii="仿宋_GB2312" w:hAnsi="仿宋_GB2312" w:eastAsia="仿宋_GB2312" w:cs="仿宋_GB2312"/>
              </w:rPr>
              <w:t>是否涉及核心产品</w:t>
            </w:r>
          </w:p>
        </w:tc>
        <w:tc>
          <w:tcPr>
            <w:tcW w:w="821" w:type="dxa"/>
          </w:tcPr>
          <w:p w14:paraId="37819533">
            <w:pPr>
              <w:pStyle w:val="4"/>
              <w:jc w:val="center"/>
            </w:pPr>
            <w:r>
              <w:rPr>
                <w:rFonts w:ascii="仿宋_GB2312" w:hAnsi="仿宋_GB2312" w:eastAsia="仿宋_GB2312" w:cs="仿宋_GB2312"/>
              </w:rPr>
              <w:t>是否涉及采购进口产品</w:t>
            </w:r>
          </w:p>
        </w:tc>
        <w:tc>
          <w:tcPr>
            <w:tcW w:w="821" w:type="dxa"/>
          </w:tcPr>
          <w:p w14:paraId="1794A74E">
            <w:pPr>
              <w:pStyle w:val="4"/>
              <w:jc w:val="center"/>
            </w:pPr>
            <w:r>
              <w:rPr>
                <w:rFonts w:ascii="仿宋_GB2312" w:hAnsi="仿宋_GB2312" w:eastAsia="仿宋_GB2312" w:cs="仿宋_GB2312"/>
              </w:rPr>
              <w:t>是否涉及强制采购节能产品</w:t>
            </w:r>
          </w:p>
        </w:tc>
        <w:tc>
          <w:tcPr>
            <w:tcW w:w="639" w:type="dxa"/>
          </w:tcPr>
          <w:p w14:paraId="1CFA4A73">
            <w:pPr>
              <w:pStyle w:val="4"/>
              <w:jc w:val="center"/>
            </w:pPr>
            <w:r>
              <w:rPr>
                <w:rFonts w:ascii="仿宋_GB2312" w:hAnsi="仿宋_GB2312" w:eastAsia="仿宋_GB2312" w:cs="仿宋_GB2312"/>
              </w:rPr>
              <w:t>是否涉及优先采购节能产品</w:t>
            </w:r>
          </w:p>
        </w:tc>
        <w:tc>
          <w:tcPr>
            <w:tcW w:w="639" w:type="dxa"/>
          </w:tcPr>
          <w:p w14:paraId="03370F52">
            <w:pPr>
              <w:pStyle w:val="4"/>
              <w:jc w:val="center"/>
            </w:pPr>
            <w:r>
              <w:rPr>
                <w:rFonts w:ascii="仿宋_GB2312" w:hAnsi="仿宋_GB2312" w:eastAsia="仿宋_GB2312" w:cs="仿宋_GB2312"/>
              </w:rPr>
              <w:t>是否涉及优先采购环境标志产品</w:t>
            </w:r>
          </w:p>
        </w:tc>
      </w:tr>
      <w:tr w14:paraId="14E0A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47D886">
            <w:pPr>
              <w:pStyle w:val="4"/>
              <w:jc w:val="left"/>
            </w:pPr>
            <w:r>
              <w:rPr>
                <w:rFonts w:ascii="仿宋_GB2312" w:hAnsi="仿宋_GB2312" w:eastAsia="仿宋_GB2312" w:cs="仿宋_GB2312"/>
              </w:rPr>
              <w:t>1</w:t>
            </w:r>
          </w:p>
        </w:tc>
        <w:tc>
          <w:tcPr>
            <w:tcW w:w="821" w:type="dxa"/>
          </w:tcPr>
          <w:p w14:paraId="6717BAE6">
            <w:pPr>
              <w:pStyle w:val="4"/>
              <w:jc w:val="left"/>
            </w:pPr>
            <w:r>
              <w:rPr>
                <w:rFonts w:ascii="仿宋_GB2312" w:hAnsi="仿宋_GB2312" w:eastAsia="仿宋_GB2312" w:cs="仿宋_GB2312"/>
              </w:rPr>
              <w:t>C04110000 公共卫生事件防控服务</w:t>
            </w:r>
          </w:p>
        </w:tc>
        <w:tc>
          <w:tcPr>
            <w:tcW w:w="821" w:type="dxa"/>
          </w:tcPr>
          <w:p w14:paraId="11128F80">
            <w:pPr>
              <w:pStyle w:val="4"/>
              <w:jc w:val="left"/>
            </w:pPr>
            <w:r>
              <w:rPr>
                <w:rFonts w:ascii="仿宋_GB2312" w:hAnsi="仿宋_GB2312" w:eastAsia="仿宋_GB2312" w:cs="仿宋_GB2312"/>
              </w:rPr>
              <w:t>成都世运会龙泉驿赛区病媒生物防制服务（东安湖体育公园室内项目场馆中心、东安湖体育公园户外项目场馆中心）</w:t>
            </w:r>
          </w:p>
        </w:tc>
        <w:tc>
          <w:tcPr>
            <w:tcW w:w="821" w:type="dxa"/>
          </w:tcPr>
          <w:p w14:paraId="34B068D1">
            <w:pPr>
              <w:pStyle w:val="4"/>
              <w:jc w:val="right"/>
            </w:pPr>
            <w:r>
              <w:rPr>
                <w:rFonts w:ascii="仿宋_GB2312" w:hAnsi="仿宋_GB2312" w:eastAsia="仿宋_GB2312" w:cs="仿宋_GB2312"/>
              </w:rPr>
              <w:t>1.00（项）</w:t>
            </w:r>
          </w:p>
        </w:tc>
        <w:tc>
          <w:tcPr>
            <w:tcW w:w="821" w:type="dxa"/>
          </w:tcPr>
          <w:p w14:paraId="145FF057">
            <w:pPr>
              <w:pStyle w:val="4"/>
              <w:jc w:val="right"/>
            </w:pPr>
            <w:r>
              <w:rPr>
                <w:rFonts w:ascii="仿宋_GB2312" w:hAnsi="仿宋_GB2312" w:eastAsia="仿宋_GB2312" w:cs="仿宋_GB2312"/>
              </w:rPr>
              <w:t>460,400.00</w:t>
            </w:r>
          </w:p>
        </w:tc>
        <w:tc>
          <w:tcPr>
            <w:tcW w:w="821" w:type="dxa"/>
          </w:tcPr>
          <w:p w14:paraId="01CB5D2E">
            <w:pPr>
              <w:pStyle w:val="4"/>
              <w:jc w:val="left"/>
            </w:pPr>
            <w:r>
              <w:rPr>
                <w:rFonts w:ascii="仿宋_GB2312" w:hAnsi="仿宋_GB2312" w:eastAsia="仿宋_GB2312" w:cs="仿宋_GB2312"/>
              </w:rPr>
              <w:t>其他未列明行业</w:t>
            </w:r>
          </w:p>
        </w:tc>
        <w:tc>
          <w:tcPr>
            <w:tcW w:w="821" w:type="dxa"/>
          </w:tcPr>
          <w:p w14:paraId="5FDECD23">
            <w:pPr>
              <w:pStyle w:val="4"/>
              <w:jc w:val="left"/>
            </w:pPr>
            <w:r>
              <w:rPr>
                <w:rFonts w:ascii="仿宋_GB2312" w:hAnsi="仿宋_GB2312" w:eastAsia="仿宋_GB2312" w:cs="仿宋_GB2312"/>
              </w:rPr>
              <w:t>否</w:t>
            </w:r>
          </w:p>
        </w:tc>
        <w:tc>
          <w:tcPr>
            <w:tcW w:w="821" w:type="dxa"/>
          </w:tcPr>
          <w:p w14:paraId="5839AD27">
            <w:pPr>
              <w:pStyle w:val="4"/>
              <w:jc w:val="left"/>
            </w:pPr>
            <w:r>
              <w:rPr>
                <w:rFonts w:ascii="仿宋_GB2312" w:hAnsi="仿宋_GB2312" w:eastAsia="仿宋_GB2312" w:cs="仿宋_GB2312"/>
              </w:rPr>
              <w:t>否</w:t>
            </w:r>
          </w:p>
        </w:tc>
        <w:tc>
          <w:tcPr>
            <w:tcW w:w="821" w:type="dxa"/>
          </w:tcPr>
          <w:p w14:paraId="0D82B234">
            <w:pPr>
              <w:pStyle w:val="4"/>
              <w:jc w:val="left"/>
            </w:pPr>
            <w:r>
              <w:rPr>
                <w:rFonts w:ascii="仿宋_GB2312" w:hAnsi="仿宋_GB2312" w:eastAsia="仿宋_GB2312" w:cs="仿宋_GB2312"/>
              </w:rPr>
              <w:t>否</w:t>
            </w:r>
          </w:p>
        </w:tc>
        <w:tc>
          <w:tcPr>
            <w:tcW w:w="639" w:type="dxa"/>
          </w:tcPr>
          <w:p w14:paraId="57EBE445">
            <w:pPr>
              <w:pStyle w:val="4"/>
              <w:jc w:val="left"/>
            </w:pPr>
            <w:r>
              <w:rPr>
                <w:rFonts w:ascii="仿宋_GB2312" w:hAnsi="仿宋_GB2312" w:eastAsia="仿宋_GB2312" w:cs="仿宋_GB2312"/>
              </w:rPr>
              <w:t>否</w:t>
            </w:r>
          </w:p>
        </w:tc>
        <w:tc>
          <w:tcPr>
            <w:tcW w:w="639" w:type="dxa"/>
          </w:tcPr>
          <w:p w14:paraId="2FBF964C">
            <w:pPr>
              <w:pStyle w:val="4"/>
              <w:jc w:val="left"/>
            </w:pPr>
            <w:r>
              <w:rPr>
                <w:rFonts w:ascii="仿宋_GB2312" w:hAnsi="仿宋_GB2312" w:eastAsia="仿宋_GB2312" w:cs="仿宋_GB2312"/>
              </w:rPr>
              <w:t>否</w:t>
            </w:r>
          </w:p>
        </w:tc>
      </w:tr>
    </w:tbl>
    <w:p w14:paraId="2F264969">
      <w:pPr>
        <w:pStyle w:val="4"/>
        <w:jc w:val="left"/>
      </w:pPr>
      <w:r>
        <w:rPr>
          <w:rFonts w:ascii="仿宋_GB2312" w:hAnsi="仿宋_GB2312" w:eastAsia="仿宋_GB2312" w:cs="仿宋_GB2312"/>
        </w:rPr>
        <w:t>采购包3：</w:t>
      </w:r>
    </w:p>
    <w:p w14:paraId="5B3C46CD">
      <w:pPr>
        <w:pStyle w:val="4"/>
        <w:jc w:val="left"/>
      </w:pPr>
      <w:r>
        <w:rPr>
          <w:rFonts w:ascii="仿宋_GB2312" w:hAnsi="仿宋_GB2312" w:eastAsia="仿宋_GB2312" w:cs="仿宋_GB2312"/>
        </w:rPr>
        <w:t>采购包预算金额（元）: 555,500.00</w:t>
      </w:r>
    </w:p>
    <w:p w14:paraId="4AA3CCD6">
      <w:pPr>
        <w:pStyle w:val="4"/>
        <w:jc w:val="left"/>
      </w:pPr>
      <w:r>
        <w:rPr>
          <w:rFonts w:ascii="仿宋_GB2312" w:hAnsi="仿宋_GB2312" w:eastAsia="仿宋_GB2312" w:cs="仿宋_GB2312"/>
        </w:rPr>
        <w:t>采购包最高限价（元）: 555,500.00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9"/>
        <w:gridCol w:w="820"/>
        <w:gridCol w:w="1216"/>
        <w:gridCol w:w="739"/>
        <w:gridCol w:w="739"/>
        <w:gridCol w:w="739"/>
        <w:gridCol w:w="739"/>
        <w:gridCol w:w="594"/>
        <w:gridCol w:w="594"/>
      </w:tblGrid>
      <w:tr w14:paraId="73E66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E6FB28">
            <w:pPr>
              <w:pStyle w:val="4"/>
              <w:jc w:val="center"/>
            </w:pPr>
            <w:r>
              <w:rPr>
                <w:rFonts w:ascii="仿宋_GB2312" w:hAnsi="仿宋_GB2312" w:eastAsia="仿宋_GB2312" w:cs="仿宋_GB2312"/>
              </w:rPr>
              <w:t>序号</w:t>
            </w:r>
          </w:p>
        </w:tc>
        <w:tc>
          <w:tcPr>
            <w:tcW w:w="821" w:type="dxa"/>
          </w:tcPr>
          <w:p w14:paraId="54C2FD92">
            <w:pPr>
              <w:pStyle w:val="4"/>
              <w:jc w:val="center"/>
            </w:pPr>
            <w:r>
              <w:rPr>
                <w:rFonts w:ascii="仿宋_GB2312" w:hAnsi="仿宋_GB2312" w:eastAsia="仿宋_GB2312" w:cs="仿宋_GB2312"/>
              </w:rPr>
              <w:t>采购品目名称</w:t>
            </w:r>
          </w:p>
        </w:tc>
        <w:tc>
          <w:tcPr>
            <w:tcW w:w="821" w:type="dxa"/>
          </w:tcPr>
          <w:p w14:paraId="66158705">
            <w:pPr>
              <w:pStyle w:val="4"/>
              <w:jc w:val="center"/>
            </w:pPr>
            <w:r>
              <w:rPr>
                <w:rFonts w:ascii="仿宋_GB2312" w:hAnsi="仿宋_GB2312" w:eastAsia="仿宋_GB2312" w:cs="仿宋_GB2312"/>
              </w:rPr>
              <w:t>标的名称</w:t>
            </w:r>
          </w:p>
        </w:tc>
        <w:tc>
          <w:tcPr>
            <w:tcW w:w="821" w:type="dxa"/>
          </w:tcPr>
          <w:p w14:paraId="10EE0586">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6CC6C511">
            <w:pPr>
              <w:pStyle w:val="4"/>
              <w:jc w:val="center"/>
            </w:pPr>
            <w:r>
              <w:rPr>
                <w:rFonts w:ascii="仿宋_GB2312" w:hAnsi="仿宋_GB2312" w:eastAsia="仿宋_GB2312" w:cs="仿宋_GB2312"/>
              </w:rPr>
              <w:t>标的金额 （元）</w:t>
            </w:r>
          </w:p>
        </w:tc>
        <w:tc>
          <w:tcPr>
            <w:tcW w:w="821" w:type="dxa"/>
          </w:tcPr>
          <w:p w14:paraId="5FBBC9DE">
            <w:pPr>
              <w:pStyle w:val="4"/>
              <w:jc w:val="center"/>
            </w:pPr>
            <w:r>
              <w:rPr>
                <w:rFonts w:ascii="仿宋_GB2312" w:hAnsi="仿宋_GB2312" w:eastAsia="仿宋_GB2312" w:cs="仿宋_GB2312"/>
              </w:rPr>
              <w:t>所属行业</w:t>
            </w:r>
          </w:p>
        </w:tc>
        <w:tc>
          <w:tcPr>
            <w:tcW w:w="821" w:type="dxa"/>
          </w:tcPr>
          <w:p w14:paraId="6BBF98B7">
            <w:pPr>
              <w:pStyle w:val="4"/>
              <w:jc w:val="center"/>
            </w:pPr>
            <w:r>
              <w:rPr>
                <w:rFonts w:ascii="仿宋_GB2312" w:hAnsi="仿宋_GB2312" w:eastAsia="仿宋_GB2312" w:cs="仿宋_GB2312"/>
              </w:rPr>
              <w:t>是否涉及核心产品</w:t>
            </w:r>
          </w:p>
        </w:tc>
        <w:tc>
          <w:tcPr>
            <w:tcW w:w="821" w:type="dxa"/>
          </w:tcPr>
          <w:p w14:paraId="75863FD0">
            <w:pPr>
              <w:pStyle w:val="4"/>
              <w:jc w:val="center"/>
            </w:pPr>
            <w:r>
              <w:rPr>
                <w:rFonts w:ascii="仿宋_GB2312" w:hAnsi="仿宋_GB2312" w:eastAsia="仿宋_GB2312" w:cs="仿宋_GB2312"/>
              </w:rPr>
              <w:t>是否涉及采购进口产品</w:t>
            </w:r>
          </w:p>
        </w:tc>
        <w:tc>
          <w:tcPr>
            <w:tcW w:w="821" w:type="dxa"/>
          </w:tcPr>
          <w:p w14:paraId="6E098353">
            <w:pPr>
              <w:pStyle w:val="4"/>
              <w:jc w:val="center"/>
            </w:pPr>
            <w:r>
              <w:rPr>
                <w:rFonts w:ascii="仿宋_GB2312" w:hAnsi="仿宋_GB2312" w:eastAsia="仿宋_GB2312" w:cs="仿宋_GB2312"/>
              </w:rPr>
              <w:t>是否涉及强制采购节能产品</w:t>
            </w:r>
          </w:p>
        </w:tc>
        <w:tc>
          <w:tcPr>
            <w:tcW w:w="639" w:type="dxa"/>
          </w:tcPr>
          <w:p w14:paraId="469E7B2E">
            <w:pPr>
              <w:pStyle w:val="4"/>
              <w:jc w:val="center"/>
            </w:pPr>
            <w:r>
              <w:rPr>
                <w:rFonts w:ascii="仿宋_GB2312" w:hAnsi="仿宋_GB2312" w:eastAsia="仿宋_GB2312" w:cs="仿宋_GB2312"/>
              </w:rPr>
              <w:t>是否涉及优先采购节能产品</w:t>
            </w:r>
          </w:p>
        </w:tc>
        <w:tc>
          <w:tcPr>
            <w:tcW w:w="639" w:type="dxa"/>
          </w:tcPr>
          <w:p w14:paraId="572EBC22">
            <w:pPr>
              <w:pStyle w:val="4"/>
              <w:jc w:val="center"/>
            </w:pPr>
            <w:r>
              <w:rPr>
                <w:rFonts w:ascii="仿宋_GB2312" w:hAnsi="仿宋_GB2312" w:eastAsia="仿宋_GB2312" w:cs="仿宋_GB2312"/>
              </w:rPr>
              <w:t>是否涉及优先采购环境标志产品</w:t>
            </w:r>
          </w:p>
        </w:tc>
      </w:tr>
      <w:tr w14:paraId="0FB9F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95EAC4">
            <w:pPr>
              <w:pStyle w:val="4"/>
              <w:jc w:val="left"/>
            </w:pPr>
            <w:r>
              <w:rPr>
                <w:rFonts w:ascii="仿宋_GB2312" w:hAnsi="仿宋_GB2312" w:eastAsia="仿宋_GB2312" w:cs="仿宋_GB2312"/>
              </w:rPr>
              <w:t>1</w:t>
            </w:r>
          </w:p>
        </w:tc>
        <w:tc>
          <w:tcPr>
            <w:tcW w:w="821" w:type="dxa"/>
          </w:tcPr>
          <w:p w14:paraId="0086FB63">
            <w:pPr>
              <w:pStyle w:val="4"/>
              <w:jc w:val="left"/>
            </w:pPr>
            <w:r>
              <w:rPr>
                <w:rFonts w:ascii="仿宋_GB2312" w:hAnsi="仿宋_GB2312" w:eastAsia="仿宋_GB2312" w:cs="仿宋_GB2312"/>
              </w:rPr>
              <w:t>C04110000 公共卫生事件防控服务</w:t>
            </w:r>
          </w:p>
        </w:tc>
        <w:tc>
          <w:tcPr>
            <w:tcW w:w="821" w:type="dxa"/>
          </w:tcPr>
          <w:p w14:paraId="77C63F56">
            <w:pPr>
              <w:pStyle w:val="4"/>
              <w:jc w:val="left"/>
            </w:pPr>
            <w:r>
              <w:rPr>
                <w:rFonts w:ascii="仿宋_GB2312" w:hAnsi="仿宋_GB2312" w:eastAsia="仿宋_GB2312" w:cs="仿宋_GB2312"/>
              </w:rPr>
              <w:t>成都世运会龙泉驿赛区病媒生物防制服务（青龙湖射箭场馆中心、龙泉中学荷球场馆中心室内外）</w:t>
            </w:r>
          </w:p>
        </w:tc>
        <w:tc>
          <w:tcPr>
            <w:tcW w:w="821" w:type="dxa"/>
          </w:tcPr>
          <w:p w14:paraId="071379FB">
            <w:pPr>
              <w:pStyle w:val="4"/>
              <w:jc w:val="right"/>
            </w:pPr>
            <w:r>
              <w:rPr>
                <w:rFonts w:ascii="仿宋_GB2312" w:hAnsi="仿宋_GB2312" w:eastAsia="仿宋_GB2312" w:cs="仿宋_GB2312"/>
              </w:rPr>
              <w:t>1.00（项）</w:t>
            </w:r>
          </w:p>
        </w:tc>
        <w:tc>
          <w:tcPr>
            <w:tcW w:w="821" w:type="dxa"/>
          </w:tcPr>
          <w:p w14:paraId="563CB3DF">
            <w:pPr>
              <w:pStyle w:val="4"/>
              <w:jc w:val="right"/>
            </w:pPr>
            <w:r>
              <w:rPr>
                <w:rFonts w:ascii="仿宋_GB2312" w:hAnsi="仿宋_GB2312" w:eastAsia="仿宋_GB2312" w:cs="仿宋_GB2312"/>
              </w:rPr>
              <w:t>555,500.00</w:t>
            </w:r>
          </w:p>
        </w:tc>
        <w:tc>
          <w:tcPr>
            <w:tcW w:w="821" w:type="dxa"/>
          </w:tcPr>
          <w:p w14:paraId="53A19B2D">
            <w:pPr>
              <w:pStyle w:val="4"/>
              <w:jc w:val="left"/>
            </w:pPr>
            <w:r>
              <w:rPr>
                <w:rFonts w:ascii="仿宋_GB2312" w:hAnsi="仿宋_GB2312" w:eastAsia="仿宋_GB2312" w:cs="仿宋_GB2312"/>
              </w:rPr>
              <w:t>其他未列明行业</w:t>
            </w:r>
          </w:p>
        </w:tc>
        <w:tc>
          <w:tcPr>
            <w:tcW w:w="821" w:type="dxa"/>
          </w:tcPr>
          <w:p w14:paraId="0AB83DC9">
            <w:pPr>
              <w:pStyle w:val="4"/>
              <w:jc w:val="left"/>
            </w:pPr>
            <w:r>
              <w:rPr>
                <w:rFonts w:ascii="仿宋_GB2312" w:hAnsi="仿宋_GB2312" w:eastAsia="仿宋_GB2312" w:cs="仿宋_GB2312"/>
              </w:rPr>
              <w:t>否</w:t>
            </w:r>
          </w:p>
        </w:tc>
        <w:tc>
          <w:tcPr>
            <w:tcW w:w="821" w:type="dxa"/>
          </w:tcPr>
          <w:p w14:paraId="3B8BD6E3">
            <w:pPr>
              <w:pStyle w:val="4"/>
              <w:jc w:val="left"/>
            </w:pPr>
            <w:r>
              <w:rPr>
                <w:rFonts w:ascii="仿宋_GB2312" w:hAnsi="仿宋_GB2312" w:eastAsia="仿宋_GB2312" w:cs="仿宋_GB2312"/>
              </w:rPr>
              <w:t>否</w:t>
            </w:r>
          </w:p>
        </w:tc>
        <w:tc>
          <w:tcPr>
            <w:tcW w:w="821" w:type="dxa"/>
          </w:tcPr>
          <w:p w14:paraId="1E75312F">
            <w:pPr>
              <w:pStyle w:val="4"/>
              <w:jc w:val="left"/>
            </w:pPr>
            <w:r>
              <w:rPr>
                <w:rFonts w:ascii="仿宋_GB2312" w:hAnsi="仿宋_GB2312" w:eastAsia="仿宋_GB2312" w:cs="仿宋_GB2312"/>
              </w:rPr>
              <w:t>否</w:t>
            </w:r>
          </w:p>
        </w:tc>
        <w:tc>
          <w:tcPr>
            <w:tcW w:w="639" w:type="dxa"/>
          </w:tcPr>
          <w:p w14:paraId="7C76136D">
            <w:pPr>
              <w:pStyle w:val="4"/>
              <w:jc w:val="left"/>
            </w:pPr>
            <w:r>
              <w:rPr>
                <w:rFonts w:ascii="仿宋_GB2312" w:hAnsi="仿宋_GB2312" w:eastAsia="仿宋_GB2312" w:cs="仿宋_GB2312"/>
              </w:rPr>
              <w:t>否</w:t>
            </w:r>
          </w:p>
        </w:tc>
        <w:tc>
          <w:tcPr>
            <w:tcW w:w="639" w:type="dxa"/>
          </w:tcPr>
          <w:p w14:paraId="6377F359">
            <w:pPr>
              <w:pStyle w:val="4"/>
              <w:jc w:val="left"/>
            </w:pPr>
            <w:r>
              <w:rPr>
                <w:rFonts w:ascii="仿宋_GB2312" w:hAnsi="仿宋_GB2312" w:eastAsia="仿宋_GB2312" w:cs="仿宋_GB2312"/>
              </w:rPr>
              <w:t>否</w:t>
            </w:r>
          </w:p>
        </w:tc>
      </w:tr>
    </w:tbl>
    <w:p w14:paraId="439199B1">
      <w:pPr>
        <w:pStyle w:val="4"/>
        <w:jc w:val="left"/>
        <w:outlineLvl w:val="3"/>
      </w:pPr>
      <w:r>
        <w:rPr>
          <w:rFonts w:ascii="仿宋_GB2312" w:hAnsi="仿宋_GB2312" w:eastAsia="仿宋_GB2312" w:cs="仿宋_GB2312"/>
          <w:b/>
          <w:sz w:val="24"/>
        </w:rPr>
        <w:t>报价要求</w:t>
      </w:r>
    </w:p>
    <w:p w14:paraId="7215644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3E133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508D42">
            <w:pPr>
              <w:pStyle w:val="4"/>
              <w:jc w:val="center"/>
            </w:pPr>
            <w:r>
              <w:rPr>
                <w:rFonts w:ascii="仿宋_GB2312" w:hAnsi="仿宋_GB2312" w:eastAsia="仿宋_GB2312" w:cs="仿宋_GB2312"/>
              </w:rPr>
              <w:t>序号</w:t>
            </w:r>
          </w:p>
        </w:tc>
        <w:tc>
          <w:tcPr>
            <w:tcW w:w="1707" w:type="dxa"/>
          </w:tcPr>
          <w:p w14:paraId="7A83A2BD">
            <w:pPr>
              <w:pStyle w:val="4"/>
              <w:jc w:val="center"/>
            </w:pPr>
            <w:r>
              <w:rPr>
                <w:rFonts w:ascii="仿宋_GB2312" w:hAnsi="仿宋_GB2312" w:eastAsia="仿宋_GB2312" w:cs="仿宋_GB2312"/>
              </w:rPr>
              <w:t>报价内容</w:t>
            </w:r>
          </w:p>
        </w:tc>
        <w:tc>
          <w:tcPr>
            <w:tcW w:w="1138" w:type="dxa"/>
          </w:tcPr>
          <w:p w14:paraId="6F099247">
            <w:pPr>
              <w:pStyle w:val="4"/>
              <w:jc w:val="center"/>
            </w:pPr>
            <w:r>
              <w:rPr>
                <w:rFonts w:ascii="仿宋_GB2312" w:hAnsi="仿宋_GB2312" w:eastAsia="仿宋_GB2312" w:cs="仿宋_GB2312"/>
              </w:rPr>
              <w:t>数量（计量单位）</w:t>
            </w:r>
          </w:p>
        </w:tc>
        <w:tc>
          <w:tcPr>
            <w:tcW w:w="1365" w:type="dxa"/>
          </w:tcPr>
          <w:p w14:paraId="6A6DFCB6">
            <w:pPr>
              <w:pStyle w:val="4"/>
              <w:jc w:val="center"/>
            </w:pPr>
            <w:r>
              <w:rPr>
                <w:rFonts w:ascii="仿宋_GB2312" w:hAnsi="仿宋_GB2312" w:eastAsia="仿宋_GB2312" w:cs="仿宋_GB2312"/>
              </w:rPr>
              <w:t>最高限价</w:t>
            </w:r>
          </w:p>
        </w:tc>
        <w:tc>
          <w:tcPr>
            <w:tcW w:w="1138" w:type="dxa"/>
          </w:tcPr>
          <w:p w14:paraId="3351C01A">
            <w:pPr>
              <w:pStyle w:val="4"/>
              <w:jc w:val="center"/>
            </w:pPr>
            <w:r>
              <w:rPr>
                <w:rFonts w:ascii="仿宋_GB2312" w:hAnsi="仿宋_GB2312" w:eastAsia="仿宋_GB2312" w:cs="仿宋_GB2312"/>
              </w:rPr>
              <w:t>价款形式</w:t>
            </w:r>
          </w:p>
        </w:tc>
        <w:tc>
          <w:tcPr>
            <w:tcW w:w="1934" w:type="dxa"/>
          </w:tcPr>
          <w:p w14:paraId="0D17D233">
            <w:pPr>
              <w:pStyle w:val="4"/>
              <w:jc w:val="center"/>
            </w:pPr>
            <w:r>
              <w:rPr>
                <w:rFonts w:ascii="仿宋_GB2312" w:hAnsi="仿宋_GB2312" w:eastAsia="仿宋_GB2312" w:cs="仿宋_GB2312"/>
              </w:rPr>
              <w:t>报价说明</w:t>
            </w:r>
          </w:p>
        </w:tc>
      </w:tr>
      <w:tr w14:paraId="4DB21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8FB0D2">
            <w:pPr>
              <w:pStyle w:val="4"/>
              <w:jc w:val="center"/>
            </w:pPr>
            <w:r>
              <w:rPr>
                <w:rFonts w:ascii="仿宋_GB2312" w:hAnsi="仿宋_GB2312" w:eastAsia="仿宋_GB2312" w:cs="仿宋_GB2312"/>
              </w:rPr>
              <w:t>1</w:t>
            </w:r>
          </w:p>
        </w:tc>
        <w:tc>
          <w:tcPr>
            <w:tcW w:w="1707" w:type="dxa"/>
          </w:tcPr>
          <w:p w14:paraId="2A63BDAB">
            <w:pPr>
              <w:pStyle w:val="4"/>
              <w:jc w:val="center"/>
            </w:pPr>
            <w:r>
              <w:rPr>
                <w:rFonts w:ascii="仿宋_GB2312" w:hAnsi="仿宋_GB2312" w:eastAsia="仿宋_GB2312" w:cs="仿宋_GB2312"/>
              </w:rPr>
              <w:t>成都世运会龙泉驿赛区病媒生物密度监测</w:t>
            </w:r>
          </w:p>
        </w:tc>
        <w:tc>
          <w:tcPr>
            <w:tcW w:w="1138" w:type="dxa"/>
          </w:tcPr>
          <w:p w14:paraId="554D1D2C">
            <w:pPr>
              <w:pStyle w:val="4"/>
              <w:jc w:val="center"/>
            </w:pPr>
            <w:r>
              <w:rPr>
                <w:rFonts w:ascii="仿宋_GB2312" w:hAnsi="仿宋_GB2312" w:eastAsia="仿宋_GB2312" w:cs="仿宋_GB2312"/>
              </w:rPr>
              <w:t>1.00（项）</w:t>
            </w:r>
          </w:p>
        </w:tc>
        <w:tc>
          <w:tcPr>
            <w:tcW w:w="1365" w:type="dxa"/>
          </w:tcPr>
          <w:p w14:paraId="52D575D8">
            <w:pPr>
              <w:pStyle w:val="4"/>
              <w:jc w:val="center"/>
            </w:pPr>
            <w:r>
              <w:rPr>
                <w:rFonts w:ascii="仿宋_GB2312" w:hAnsi="仿宋_GB2312" w:eastAsia="仿宋_GB2312" w:cs="仿宋_GB2312"/>
              </w:rPr>
              <w:t>80,000.00</w:t>
            </w:r>
          </w:p>
        </w:tc>
        <w:tc>
          <w:tcPr>
            <w:tcW w:w="1138" w:type="dxa"/>
          </w:tcPr>
          <w:p w14:paraId="12681AFE">
            <w:pPr>
              <w:pStyle w:val="4"/>
              <w:jc w:val="center"/>
            </w:pPr>
            <w:r>
              <w:rPr>
                <w:rFonts w:ascii="仿宋_GB2312" w:hAnsi="仿宋_GB2312" w:eastAsia="仿宋_GB2312" w:cs="仿宋_GB2312"/>
              </w:rPr>
              <w:t>总价</w:t>
            </w:r>
          </w:p>
        </w:tc>
        <w:tc>
          <w:tcPr>
            <w:tcW w:w="1934" w:type="dxa"/>
          </w:tcPr>
          <w:p w14:paraId="614D96EC">
            <w:pPr>
              <w:pStyle w:val="4"/>
              <w:jc w:val="left"/>
            </w:pPr>
            <w:r>
              <w:rPr>
                <w:rFonts w:ascii="仿宋_GB2312" w:hAnsi="仿宋_GB2312" w:eastAsia="仿宋_GB2312" w:cs="仿宋_GB2312"/>
              </w:rPr>
              <w:t>无</w:t>
            </w:r>
          </w:p>
        </w:tc>
      </w:tr>
    </w:tbl>
    <w:p w14:paraId="4AAF28ED">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712F4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74CED5">
            <w:pPr>
              <w:pStyle w:val="4"/>
              <w:jc w:val="center"/>
            </w:pPr>
            <w:r>
              <w:rPr>
                <w:rFonts w:ascii="仿宋_GB2312" w:hAnsi="仿宋_GB2312" w:eastAsia="仿宋_GB2312" w:cs="仿宋_GB2312"/>
              </w:rPr>
              <w:t>序号</w:t>
            </w:r>
          </w:p>
        </w:tc>
        <w:tc>
          <w:tcPr>
            <w:tcW w:w="1707" w:type="dxa"/>
          </w:tcPr>
          <w:p w14:paraId="09E103FC">
            <w:pPr>
              <w:pStyle w:val="4"/>
              <w:jc w:val="center"/>
            </w:pPr>
            <w:r>
              <w:rPr>
                <w:rFonts w:ascii="仿宋_GB2312" w:hAnsi="仿宋_GB2312" w:eastAsia="仿宋_GB2312" w:cs="仿宋_GB2312"/>
              </w:rPr>
              <w:t>报价内容</w:t>
            </w:r>
          </w:p>
        </w:tc>
        <w:tc>
          <w:tcPr>
            <w:tcW w:w="1138" w:type="dxa"/>
          </w:tcPr>
          <w:p w14:paraId="06034DC4">
            <w:pPr>
              <w:pStyle w:val="4"/>
              <w:jc w:val="center"/>
            </w:pPr>
            <w:r>
              <w:rPr>
                <w:rFonts w:ascii="仿宋_GB2312" w:hAnsi="仿宋_GB2312" w:eastAsia="仿宋_GB2312" w:cs="仿宋_GB2312"/>
              </w:rPr>
              <w:t>数量（计量单位）</w:t>
            </w:r>
          </w:p>
        </w:tc>
        <w:tc>
          <w:tcPr>
            <w:tcW w:w="1365" w:type="dxa"/>
          </w:tcPr>
          <w:p w14:paraId="62B216E8">
            <w:pPr>
              <w:pStyle w:val="4"/>
              <w:jc w:val="center"/>
            </w:pPr>
            <w:r>
              <w:rPr>
                <w:rFonts w:ascii="仿宋_GB2312" w:hAnsi="仿宋_GB2312" w:eastAsia="仿宋_GB2312" w:cs="仿宋_GB2312"/>
              </w:rPr>
              <w:t>最高限价</w:t>
            </w:r>
          </w:p>
        </w:tc>
        <w:tc>
          <w:tcPr>
            <w:tcW w:w="1138" w:type="dxa"/>
          </w:tcPr>
          <w:p w14:paraId="070124CC">
            <w:pPr>
              <w:pStyle w:val="4"/>
              <w:jc w:val="center"/>
            </w:pPr>
            <w:r>
              <w:rPr>
                <w:rFonts w:ascii="仿宋_GB2312" w:hAnsi="仿宋_GB2312" w:eastAsia="仿宋_GB2312" w:cs="仿宋_GB2312"/>
              </w:rPr>
              <w:t>价款形式</w:t>
            </w:r>
          </w:p>
        </w:tc>
        <w:tc>
          <w:tcPr>
            <w:tcW w:w="1934" w:type="dxa"/>
          </w:tcPr>
          <w:p w14:paraId="3C418F34">
            <w:pPr>
              <w:pStyle w:val="4"/>
              <w:jc w:val="center"/>
            </w:pPr>
            <w:r>
              <w:rPr>
                <w:rFonts w:ascii="仿宋_GB2312" w:hAnsi="仿宋_GB2312" w:eastAsia="仿宋_GB2312" w:cs="仿宋_GB2312"/>
              </w:rPr>
              <w:t>报价说明</w:t>
            </w:r>
          </w:p>
        </w:tc>
      </w:tr>
      <w:tr w14:paraId="0715D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12FEA8">
            <w:pPr>
              <w:pStyle w:val="4"/>
              <w:jc w:val="center"/>
            </w:pPr>
            <w:r>
              <w:rPr>
                <w:rFonts w:ascii="仿宋_GB2312" w:hAnsi="仿宋_GB2312" w:eastAsia="仿宋_GB2312" w:cs="仿宋_GB2312"/>
              </w:rPr>
              <w:t>1</w:t>
            </w:r>
          </w:p>
        </w:tc>
        <w:tc>
          <w:tcPr>
            <w:tcW w:w="1707" w:type="dxa"/>
          </w:tcPr>
          <w:p w14:paraId="3B510B36">
            <w:pPr>
              <w:pStyle w:val="4"/>
              <w:jc w:val="center"/>
            </w:pPr>
            <w:r>
              <w:rPr>
                <w:rFonts w:ascii="仿宋_GB2312" w:hAnsi="仿宋_GB2312" w:eastAsia="仿宋_GB2312" w:cs="仿宋_GB2312"/>
              </w:rPr>
              <w:t>成都世运会龙泉驿赛区病媒生物防制服务（东安湖体育公园室内项目场馆中心、东安湖体育公园户外项目场馆中心）</w:t>
            </w:r>
          </w:p>
        </w:tc>
        <w:tc>
          <w:tcPr>
            <w:tcW w:w="1138" w:type="dxa"/>
          </w:tcPr>
          <w:p w14:paraId="3AB1B648">
            <w:pPr>
              <w:pStyle w:val="4"/>
              <w:jc w:val="center"/>
            </w:pPr>
            <w:r>
              <w:rPr>
                <w:rFonts w:ascii="仿宋_GB2312" w:hAnsi="仿宋_GB2312" w:eastAsia="仿宋_GB2312" w:cs="仿宋_GB2312"/>
              </w:rPr>
              <w:t>1.00（项）</w:t>
            </w:r>
          </w:p>
        </w:tc>
        <w:tc>
          <w:tcPr>
            <w:tcW w:w="1365" w:type="dxa"/>
          </w:tcPr>
          <w:p w14:paraId="111ACB93">
            <w:pPr>
              <w:pStyle w:val="4"/>
              <w:jc w:val="center"/>
            </w:pPr>
            <w:r>
              <w:rPr>
                <w:rFonts w:ascii="仿宋_GB2312" w:hAnsi="仿宋_GB2312" w:eastAsia="仿宋_GB2312" w:cs="仿宋_GB2312"/>
              </w:rPr>
              <w:t>460,400.00</w:t>
            </w:r>
          </w:p>
        </w:tc>
        <w:tc>
          <w:tcPr>
            <w:tcW w:w="1138" w:type="dxa"/>
          </w:tcPr>
          <w:p w14:paraId="0FA57674">
            <w:pPr>
              <w:pStyle w:val="4"/>
              <w:jc w:val="center"/>
            </w:pPr>
            <w:r>
              <w:rPr>
                <w:rFonts w:ascii="仿宋_GB2312" w:hAnsi="仿宋_GB2312" w:eastAsia="仿宋_GB2312" w:cs="仿宋_GB2312"/>
              </w:rPr>
              <w:t>总价</w:t>
            </w:r>
          </w:p>
        </w:tc>
        <w:tc>
          <w:tcPr>
            <w:tcW w:w="1934" w:type="dxa"/>
          </w:tcPr>
          <w:p w14:paraId="1F107176">
            <w:pPr>
              <w:pStyle w:val="4"/>
              <w:jc w:val="left"/>
            </w:pPr>
            <w:r>
              <w:rPr>
                <w:rFonts w:ascii="仿宋_GB2312" w:hAnsi="仿宋_GB2312" w:eastAsia="仿宋_GB2312" w:cs="仿宋_GB2312"/>
              </w:rPr>
              <w:t>无</w:t>
            </w:r>
          </w:p>
        </w:tc>
      </w:tr>
    </w:tbl>
    <w:p w14:paraId="6D90494E">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28C1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E5234B">
            <w:pPr>
              <w:pStyle w:val="4"/>
              <w:jc w:val="center"/>
            </w:pPr>
            <w:r>
              <w:rPr>
                <w:rFonts w:ascii="仿宋_GB2312" w:hAnsi="仿宋_GB2312" w:eastAsia="仿宋_GB2312" w:cs="仿宋_GB2312"/>
              </w:rPr>
              <w:t>序号</w:t>
            </w:r>
          </w:p>
        </w:tc>
        <w:tc>
          <w:tcPr>
            <w:tcW w:w="1707" w:type="dxa"/>
          </w:tcPr>
          <w:p w14:paraId="13289EE1">
            <w:pPr>
              <w:pStyle w:val="4"/>
              <w:jc w:val="center"/>
            </w:pPr>
            <w:r>
              <w:rPr>
                <w:rFonts w:ascii="仿宋_GB2312" w:hAnsi="仿宋_GB2312" w:eastAsia="仿宋_GB2312" w:cs="仿宋_GB2312"/>
              </w:rPr>
              <w:t>报价内容</w:t>
            </w:r>
          </w:p>
        </w:tc>
        <w:tc>
          <w:tcPr>
            <w:tcW w:w="1138" w:type="dxa"/>
          </w:tcPr>
          <w:p w14:paraId="4FF9A121">
            <w:pPr>
              <w:pStyle w:val="4"/>
              <w:jc w:val="center"/>
            </w:pPr>
            <w:r>
              <w:rPr>
                <w:rFonts w:ascii="仿宋_GB2312" w:hAnsi="仿宋_GB2312" w:eastAsia="仿宋_GB2312" w:cs="仿宋_GB2312"/>
              </w:rPr>
              <w:t>数量（计量单位）</w:t>
            </w:r>
          </w:p>
        </w:tc>
        <w:tc>
          <w:tcPr>
            <w:tcW w:w="1365" w:type="dxa"/>
          </w:tcPr>
          <w:p w14:paraId="4A52B912">
            <w:pPr>
              <w:pStyle w:val="4"/>
              <w:jc w:val="center"/>
            </w:pPr>
            <w:r>
              <w:rPr>
                <w:rFonts w:ascii="仿宋_GB2312" w:hAnsi="仿宋_GB2312" w:eastAsia="仿宋_GB2312" w:cs="仿宋_GB2312"/>
              </w:rPr>
              <w:t>最高限价</w:t>
            </w:r>
          </w:p>
        </w:tc>
        <w:tc>
          <w:tcPr>
            <w:tcW w:w="1138" w:type="dxa"/>
          </w:tcPr>
          <w:p w14:paraId="735F1A57">
            <w:pPr>
              <w:pStyle w:val="4"/>
              <w:jc w:val="center"/>
            </w:pPr>
            <w:r>
              <w:rPr>
                <w:rFonts w:ascii="仿宋_GB2312" w:hAnsi="仿宋_GB2312" w:eastAsia="仿宋_GB2312" w:cs="仿宋_GB2312"/>
              </w:rPr>
              <w:t>价款形式</w:t>
            </w:r>
          </w:p>
        </w:tc>
        <w:tc>
          <w:tcPr>
            <w:tcW w:w="1934" w:type="dxa"/>
          </w:tcPr>
          <w:p w14:paraId="702907B5">
            <w:pPr>
              <w:pStyle w:val="4"/>
              <w:jc w:val="center"/>
            </w:pPr>
            <w:r>
              <w:rPr>
                <w:rFonts w:ascii="仿宋_GB2312" w:hAnsi="仿宋_GB2312" w:eastAsia="仿宋_GB2312" w:cs="仿宋_GB2312"/>
              </w:rPr>
              <w:t>报价说明</w:t>
            </w:r>
          </w:p>
        </w:tc>
      </w:tr>
      <w:tr w14:paraId="55C2B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1C7554">
            <w:pPr>
              <w:pStyle w:val="4"/>
              <w:jc w:val="center"/>
            </w:pPr>
            <w:r>
              <w:rPr>
                <w:rFonts w:ascii="仿宋_GB2312" w:hAnsi="仿宋_GB2312" w:eastAsia="仿宋_GB2312" w:cs="仿宋_GB2312"/>
              </w:rPr>
              <w:t>1</w:t>
            </w:r>
          </w:p>
        </w:tc>
        <w:tc>
          <w:tcPr>
            <w:tcW w:w="1707" w:type="dxa"/>
          </w:tcPr>
          <w:p w14:paraId="60348975">
            <w:pPr>
              <w:pStyle w:val="4"/>
              <w:jc w:val="center"/>
            </w:pPr>
            <w:r>
              <w:rPr>
                <w:rFonts w:ascii="仿宋_GB2312" w:hAnsi="仿宋_GB2312" w:eastAsia="仿宋_GB2312" w:cs="仿宋_GB2312"/>
              </w:rPr>
              <w:t>成都世运会龙泉驿赛区病媒生物防制服务（青龙湖射箭场馆中心、龙泉中学荷球场馆中心室内外）</w:t>
            </w:r>
          </w:p>
        </w:tc>
        <w:tc>
          <w:tcPr>
            <w:tcW w:w="1138" w:type="dxa"/>
          </w:tcPr>
          <w:p w14:paraId="3E7C0F30">
            <w:pPr>
              <w:pStyle w:val="4"/>
              <w:jc w:val="center"/>
            </w:pPr>
            <w:r>
              <w:rPr>
                <w:rFonts w:ascii="仿宋_GB2312" w:hAnsi="仿宋_GB2312" w:eastAsia="仿宋_GB2312" w:cs="仿宋_GB2312"/>
              </w:rPr>
              <w:t>1.00（项）</w:t>
            </w:r>
          </w:p>
        </w:tc>
        <w:tc>
          <w:tcPr>
            <w:tcW w:w="1365" w:type="dxa"/>
          </w:tcPr>
          <w:p w14:paraId="5FD087FE">
            <w:pPr>
              <w:pStyle w:val="4"/>
              <w:jc w:val="center"/>
            </w:pPr>
            <w:r>
              <w:rPr>
                <w:rFonts w:ascii="仿宋_GB2312" w:hAnsi="仿宋_GB2312" w:eastAsia="仿宋_GB2312" w:cs="仿宋_GB2312"/>
              </w:rPr>
              <w:t>555,500.00</w:t>
            </w:r>
          </w:p>
        </w:tc>
        <w:tc>
          <w:tcPr>
            <w:tcW w:w="1138" w:type="dxa"/>
          </w:tcPr>
          <w:p w14:paraId="7DC4FECA">
            <w:pPr>
              <w:pStyle w:val="4"/>
              <w:jc w:val="center"/>
            </w:pPr>
            <w:r>
              <w:rPr>
                <w:rFonts w:ascii="仿宋_GB2312" w:hAnsi="仿宋_GB2312" w:eastAsia="仿宋_GB2312" w:cs="仿宋_GB2312"/>
              </w:rPr>
              <w:t>总价</w:t>
            </w:r>
          </w:p>
        </w:tc>
        <w:tc>
          <w:tcPr>
            <w:tcW w:w="1934" w:type="dxa"/>
          </w:tcPr>
          <w:p w14:paraId="31C3D392">
            <w:pPr>
              <w:pStyle w:val="4"/>
              <w:jc w:val="left"/>
            </w:pPr>
            <w:r>
              <w:rPr>
                <w:rFonts w:ascii="仿宋_GB2312" w:hAnsi="仿宋_GB2312" w:eastAsia="仿宋_GB2312" w:cs="仿宋_GB2312"/>
              </w:rPr>
              <w:t>无</w:t>
            </w:r>
          </w:p>
        </w:tc>
      </w:tr>
    </w:tbl>
    <w:p w14:paraId="36FCD3DE">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3B2B8F12">
      <w:pPr>
        <w:pStyle w:val="4"/>
        <w:jc w:val="left"/>
        <w:outlineLvl w:val="3"/>
      </w:pPr>
      <w:r>
        <w:rPr>
          <w:rFonts w:ascii="仿宋_GB2312" w:hAnsi="仿宋_GB2312" w:eastAsia="仿宋_GB2312" w:cs="仿宋_GB2312"/>
          <w:b/>
          <w:sz w:val="24"/>
        </w:rPr>
        <w:t>本项目涉及核心产品：</w:t>
      </w:r>
    </w:p>
    <w:p w14:paraId="73C4784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A2FA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BA3765">
            <w:pPr>
              <w:pStyle w:val="4"/>
              <w:jc w:val="center"/>
            </w:pPr>
            <w:r>
              <w:rPr>
                <w:rFonts w:ascii="仿宋_GB2312" w:hAnsi="仿宋_GB2312" w:eastAsia="仿宋_GB2312" w:cs="仿宋_GB2312"/>
              </w:rPr>
              <w:t>序号</w:t>
            </w:r>
          </w:p>
        </w:tc>
        <w:tc>
          <w:tcPr>
            <w:tcW w:w="2492" w:type="dxa"/>
          </w:tcPr>
          <w:p w14:paraId="57C20301">
            <w:pPr>
              <w:pStyle w:val="4"/>
              <w:jc w:val="center"/>
            </w:pPr>
            <w:r>
              <w:rPr>
                <w:rFonts w:ascii="仿宋_GB2312" w:hAnsi="仿宋_GB2312" w:eastAsia="仿宋_GB2312" w:cs="仿宋_GB2312"/>
              </w:rPr>
              <w:t>采购品目名称</w:t>
            </w:r>
          </w:p>
        </w:tc>
        <w:tc>
          <w:tcPr>
            <w:tcW w:w="2492" w:type="dxa"/>
          </w:tcPr>
          <w:p w14:paraId="41B7BC13">
            <w:pPr>
              <w:pStyle w:val="4"/>
              <w:jc w:val="center"/>
            </w:pPr>
            <w:r>
              <w:rPr>
                <w:rFonts w:ascii="仿宋_GB2312" w:hAnsi="仿宋_GB2312" w:eastAsia="仿宋_GB2312" w:cs="仿宋_GB2312"/>
              </w:rPr>
              <w:t>标的名称</w:t>
            </w:r>
          </w:p>
        </w:tc>
        <w:tc>
          <w:tcPr>
            <w:tcW w:w="2492" w:type="dxa"/>
          </w:tcPr>
          <w:p w14:paraId="051E0998">
            <w:pPr>
              <w:pStyle w:val="4"/>
              <w:jc w:val="center"/>
            </w:pPr>
            <w:r>
              <w:rPr>
                <w:rFonts w:ascii="仿宋_GB2312" w:hAnsi="仿宋_GB2312" w:eastAsia="仿宋_GB2312" w:cs="仿宋_GB2312"/>
              </w:rPr>
              <w:t>产品名称</w:t>
            </w:r>
          </w:p>
        </w:tc>
      </w:tr>
      <w:tr w14:paraId="13BA5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DE0A5FF">
            <w:pPr>
              <w:pStyle w:val="4"/>
              <w:jc w:val="center"/>
            </w:pPr>
            <w:r>
              <w:rPr>
                <w:rFonts w:ascii="仿宋_GB2312" w:hAnsi="仿宋_GB2312" w:eastAsia="仿宋_GB2312" w:cs="仿宋_GB2312"/>
              </w:rPr>
              <w:t>不涉及</w:t>
            </w:r>
          </w:p>
        </w:tc>
      </w:tr>
    </w:tbl>
    <w:p w14:paraId="076D584F">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C82C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C9826D">
            <w:pPr>
              <w:pStyle w:val="4"/>
              <w:jc w:val="center"/>
            </w:pPr>
            <w:r>
              <w:rPr>
                <w:rFonts w:ascii="仿宋_GB2312" w:hAnsi="仿宋_GB2312" w:eastAsia="仿宋_GB2312" w:cs="仿宋_GB2312"/>
              </w:rPr>
              <w:t>序号</w:t>
            </w:r>
          </w:p>
        </w:tc>
        <w:tc>
          <w:tcPr>
            <w:tcW w:w="2492" w:type="dxa"/>
          </w:tcPr>
          <w:p w14:paraId="3305DDA5">
            <w:pPr>
              <w:pStyle w:val="4"/>
              <w:jc w:val="center"/>
            </w:pPr>
            <w:r>
              <w:rPr>
                <w:rFonts w:ascii="仿宋_GB2312" w:hAnsi="仿宋_GB2312" w:eastAsia="仿宋_GB2312" w:cs="仿宋_GB2312"/>
              </w:rPr>
              <w:t>采购品目名称</w:t>
            </w:r>
          </w:p>
        </w:tc>
        <w:tc>
          <w:tcPr>
            <w:tcW w:w="2492" w:type="dxa"/>
          </w:tcPr>
          <w:p w14:paraId="39BD6838">
            <w:pPr>
              <w:pStyle w:val="4"/>
              <w:jc w:val="center"/>
            </w:pPr>
            <w:r>
              <w:rPr>
                <w:rFonts w:ascii="仿宋_GB2312" w:hAnsi="仿宋_GB2312" w:eastAsia="仿宋_GB2312" w:cs="仿宋_GB2312"/>
              </w:rPr>
              <w:t>标的名称</w:t>
            </w:r>
          </w:p>
        </w:tc>
        <w:tc>
          <w:tcPr>
            <w:tcW w:w="2492" w:type="dxa"/>
          </w:tcPr>
          <w:p w14:paraId="79A800A2">
            <w:pPr>
              <w:pStyle w:val="4"/>
              <w:jc w:val="center"/>
            </w:pPr>
            <w:r>
              <w:rPr>
                <w:rFonts w:ascii="仿宋_GB2312" w:hAnsi="仿宋_GB2312" w:eastAsia="仿宋_GB2312" w:cs="仿宋_GB2312"/>
              </w:rPr>
              <w:t>产品名称</w:t>
            </w:r>
          </w:p>
        </w:tc>
      </w:tr>
      <w:tr w14:paraId="3EBDA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84BE14E">
            <w:pPr>
              <w:pStyle w:val="4"/>
              <w:jc w:val="center"/>
            </w:pPr>
            <w:r>
              <w:rPr>
                <w:rFonts w:ascii="仿宋_GB2312" w:hAnsi="仿宋_GB2312" w:eastAsia="仿宋_GB2312" w:cs="仿宋_GB2312"/>
              </w:rPr>
              <w:t>不涉及</w:t>
            </w:r>
          </w:p>
        </w:tc>
      </w:tr>
    </w:tbl>
    <w:p w14:paraId="4806FF02">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EBE7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74699B">
            <w:pPr>
              <w:pStyle w:val="4"/>
              <w:jc w:val="center"/>
            </w:pPr>
            <w:r>
              <w:rPr>
                <w:rFonts w:ascii="仿宋_GB2312" w:hAnsi="仿宋_GB2312" w:eastAsia="仿宋_GB2312" w:cs="仿宋_GB2312"/>
              </w:rPr>
              <w:t>序号</w:t>
            </w:r>
          </w:p>
        </w:tc>
        <w:tc>
          <w:tcPr>
            <w:tcW w:w="2492" w:type="dxa"/>
          </w:tcPr>
          <w:p w14:paraId="3B2A8F7B">
            <w:pPr>
              <w:pStyle w:val="4"/>
              <w:jc w:val="center"/>
            </w:pPr>
            <w:r>
              <w:rPr>
                <w:rFonts w:ascii="仿宋_GB2312" w:hAnsi="仿宋_GB2312" w:eastAsia="仿宋_GB2312" w:cs="仿宋_GB2312"/>
              </w:rPr>
              <w:t>采购品目名称</w:t>
            </w:r>
          </w:p>
        </w:tc>
        <w:tc>
          <w:tcPr>
            <w:tcW w:w="2492" w:type="dxa"/>
          </w:tcPr>
          <w:p w14:paraId="4B537E9A">
            <w:pPr>
              <w:pStyle w:val="4"/>
              <w:jc w:val="center"/>
            </w:pPr>
            <w:r>
              <w:rPr>
                <w:rFonts w:ascii="仿宋_GB2312" w:hAnsi="仿宋_GB2312" w:eastAsia="仿宋_GB2312" w:cs="仿宋_GB2312"/>
              </w:rPr>
              <w:t>标的名称</w:t>
            </w:r>
          </w:p>
        </w:tc>
        <w:tc>
          <w:tcPr>
            <w:tcW w:w="2492" w:type="dxa"/>
          </w:tcPr>
          <w:p w14:paraId="4DB86A33">
            <w:pPr>
              <w:pStyle w:val="4"/>
              <w:jc w:val="center"/>
            </w:pPr>
            <w:r>
              <w:rPr>
                <w:rFonts w:ascii="仿宋_GB2312" w:hAnsi="仿宋_GB2312" w:eastAsia="仿宋_GB2312" w:cs="仿宋_GB2312"/>
              </w:rPr>
              <w:t>产品名称</w:t>
            </w:r>
          </w:p>
        </w:tc>
      </w:tr>
      <w:tr w14:paraId="1FA44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59C6F5B">
            <w:pPr>
              <w:pStyle w:val="4"/>
              <w:jc w:val="center"/>
            </w:pPr>
            <w:r>
              <w:rPr>
                <w:rFonts w:ascii="仿宋_GB2312" w:hAnsi="仿宋_GB2312" w:eastAsia="仿宋_GB2312" w:cs="仿宋_GB2312"/>
              </w:rPr>
              <w:t>不涉及</w:t>
            </w:r>
          </w:p>
        </w:tc>
      </w:tr>
    </w:tbl>
    <w:p w14:paraId="12123793">
      <w:pPr>
        <w:pStyle w:val="4"/>
        <w:ind w:firstLine="480"/>
        <w:jc w:val="left"/>
      </w:pPr>
      <w:r>
        <w:rPr>
          <w:rFonts w:ascii="仿宋_GB2312" w:hAnsi="仿宋_GB2312" w:eastAsia="仿宋_GB2312" w:cs="仿宋_GB2312"/>
        </w:rPr>
        <w:t>注：涉及核心产品的，具体评审规定见第五章。</w:t>
      </w:r>
    </w:p>
    <w:p w14:paraId="381177B2">
      <w:pPr>
        <w:pStyle w:val="4"/>
        <w:jc w:val="left"/>
        <w:outlineLvl w:val="3"/>
      </w:pPr>
      <w:r>
        <w:rPr>
          <w:rFonts w:ascii="仿宋_GB2312" w:hAnsi="仿宋_GB2312" w:eastAsia="仿宋_GB2312" w:cs="仿宋_GB2312"/>
          <w:b/>
          <w:sz w:val="24"/>
        </w:rPr>
        <w:t>本项目涉及采购进口产品：</w:t>
      </w:r>
    </w:p>
    <w:p w14:paraId="2611E3A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E84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D7C6B1">
            <w:pPr>
              <w:pStyle w:val="4"/>
              <w:jc w:val="center"/>
            </w:pPr>
            <w:r>
              <w:rPr>
                <w:rFonts w:ascii="仿宋_GB2312" w:hAnsi="仿宋_GB2312" w:eastAsia="仿宋_GB2312" w:cs="仿宋_GB2312"/>
              </w:rPr>
              <w:t>序号</w:t>
            </w:r>
          </w:p>
        </w:tc>
        <w:tc>
          <w:tcPr>
            <w:tcW w:w="2492" w:type="dxa"/>
          </w:tcPr>
          <w:p w14:paraId="27F8C647">
            <w:pPr>
              <w:pStyle w:val="4"/>
              <w:jc w:val="center"/>
            </w:pPr>
            <w:r>
              <w:rPr>
                <w:rFonts w:ascii="仿宋_GB2312" w:hAnsi="仿宋_GB2312" w:eastAsia="仿宋_GB2312" w:cs="仿宋_GB2312"/>
              </w:rPr>
              <w:t>采购品目名称</w:t>
            </w:r>
          </w:p>
        </w:tc>
        <w:tc>
          <w:tcPr>
            <w:tcW w:w="2492" w:type="dxa"/>
          </w:tcPr>
          <w:p w14:paraId="032D493D">
            <w:pPr>
              <w:pStyle w:val="4"/>
              <w:jc w:val="center"/>
            </w:pPr>
            <w:r>
              <w:rPr>
                <w:rFonts w:ascii="仿宋_GB2312" w:hAnsi="仿宋_GB2312" w:eastAsia="仿宋_GB2312" w:cs="仿宋_GB2312"/>
              </w:rPr>
              <w:t>标的名称</w:t>
            </w:r>
          </w:p>
        </w:tc>
        <w:tc>
          <w:tcPr>
            <w:tcW w:w="2492" w:type="dxa"/>
          </w:tcPr>
          <w:p w14:paraId="35BE325B">
            <w:pPr>
              <w:pStyle w:val="4"/>
              <w:jc w:val="center"/>
            </w:pPr>
            <w:r>
              <w:rPr>
                <w:rFonts w:ascii="仿宋_GB2312" w:hAnsi="仿宋_GB2312" w:eastAsia="仿宋_GB2312" w:cs="仿宋_GB2312"/>
              </w:rPr>
              <w:t>产品名称</w:t>
            </w:r>
          </w:p>
        </w:tc>
      </w:tr>
      <w:tr w14:paraId="54199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245F6A4">
            <w:pPr>
              <w:pStyle w:val="4"/>
              <w:jc w:val="center"/>
            </w:pPr>
            <w:r>
              <w:rPr>
                <w:rFonts w:ascii="仿宋_GB2312" w:hAnsi="仿宋_GB2312" w:eastAsia="仿宋_GB2312" w:cs="仿宋_GB2312"/>
              </w:rPr>
              <w:t>不涉及</w:t>
            </w:r>
          </w:p>
        </w:tc>
      </w:tr>
    </w:tbl>
    <w:p w14:paraId="38B214FF">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C02A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F7971C">
            <w:pPr>
              <w:pStyle w:val="4"/>
              <w:jc w:val="center"/>
            </w:pPr>
            <w:r>
              <w:rPr>
                <w:rFonts w:ascii="仿宋_GB2312" w:hAnsi="仿宋_GB2312" w:eastAsia="仿宋_GB2312" w:cs="仿宋_GB2312"/>
              </w:rPr>
              <w:t>序号</w:t>
            </w:r>
          </w:p>
        </w:tc>
        <w:tc>
          <w:tcPr>
            <w:tcW w:w="2492" w:type="dxa"/>
          </w:tcPr>
          <w:p w14:paraId="17D5B0B2">
            <w:pPr>
              <w:pStyle w:val="4"/>
              <w:jc w:val="center"/>
            </w:pPr>
            <w:r>
              <w:rPr>
                <w:rFonts w:ascii="仿宋_GB2312" w:hAnsi="仿宋_GB2312" w:eastAsia="仿宋_GB2312" w:cs="仿宋_GB2312"/>
              </w:rPr>
              <w:t>采购品目名称</w:t>
            </w:r>
          </w:p>
        </w:tc>
        <w:tc>
          <w:tcPr>
            <w:tcW w:w="2492" w:type="dxa"/>
          </w:tcPr>
          <w:p w14:paraId="23BDF915">
            <w:pPr>
              <w:pStyle w:val="4"/>
              <w:jc w:val="center"/>
            </w:pPr>
            <w:r>
              <w:rPr>
                <w:rFonts w:ascii="仿宋_GB2312" w:hAnsi="仿宋_GB2312" w:eastAsia="仿宋_GB2312" w:cs="仿宋_GB2312"/>
              </w:rPr>
              <w:t>标的名称</w:t>
            </w:r>
          </w:p>
        </w:tc>
        <w:tc>
          <w:tcPr>
            <w:tcW w:w="2492" w:type="dxa"/>
          </w:tcPr>
          <w:p w14:paraId="5714C9BF">
            <w:pPr>
              <w:pStyle w:val="4"/>
              <w:jc w:val="center"/>
            </w:pPr>
            <w:r>
              <w:rPr>
                <w:rFonts w:ascii="仿宋_GB2312" w:hAnsi="仿宋_GB2312" w:eastAsia="仿宋_GB2312" w:cs="仿宋_GB2312"/>
              </w:rPr>
              <w:t>产品名称</w:t>
            </w:r>
          </w:p>
        </w:tc>
      </w:tr>
      <w:tr w14:paraId="40207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22AD963">
            <w:pPr>
              <w:pStyle w:val="4"/>
              <w:jc w:val="center"/>
            </w:pPr>
            <w:r>
              <w:rPr>
                <w:rFonts w:ascii="仿宋_GB2312" w:hAnsi="仿宋_GB2312" w:eastAsia="仿宋_GB2312" w:cs="仿宋_GB2312"/>
              </w:rPr>
              <w:t>不涉及</w:t>
            </w:r>
          </w:p>
        </w:tc>
      </w:tr>
    </w:tbl>
    <w:p w14:paraId="2423A927">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DDE9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DFFDC2">
            <w:pPr>
              <w:pStyle w:val="4"/>
              <w:jc w:val="center"/>
            </w:pPr>
            <w:r>
              <w:rPr>
                <w:rFonts w:ascii="仿宋_GB2312" w:hAnsi="仿宋_GB2312" w:eastAsia="仿宋_GB2312" w:cs="仿宋_GB2312"/>
              </w:rPr>
              <w:t>序号</w:t>
            </w:r>
          </w:p>
        </w:tc>
        <w:tc>
          <w:tcPr>
            <w:tcW w:w="2492" w:type="dxa"/>
          </w:tcPr>
          <w:p w14:paraId="123A5634">
            <w:pPr>
              <w:pStyle w:val="4"/>
              <w:jc w:val="center"/>
            </w:pPr>
            <w:r>
              <w:rPr>
                <w:rFonts w:ascii="仿宋_GB2312" w:hAnsi="仿宋_GB2312" w:eastAsia="仿宋_GB2312" w:cs="仿宋_GB2312"/>
              </w:rPr>
              <w:t>采购品目名称</w:t>
            </w:r>
          </w:p>
        </w:tc>
        <w:tc>
          <w:tcPr>
            <w:tcW w:w="2492" w:type="dxa"/>
          </w:tcPr>
          <w:p w14:paraId="6C906400">
            <w:pPr>
              <w:pStyle w:val="4"/>
              <w:jc w:val="center"/>
            </w:pPr>
            <w:r>
              <w:rPr>
                <w:rFonts w:ascii="仿宋_GB2312" w:hAnsi="仿宋_GB2312" w:eastAsia="仿宋_GB2312" w:cs="仿宋_GB2312"/>
              </w:rPr>
              <w:t>标的名称</w:t>
            </w:r>
          </w:p>
        </w:tc>
        <w:tc>
          <w:tcPr>
            <w:tcW w:w="2492" w:type="dxa"/>
          </w:tcPr>
          <w:p w14:paraId="5F4DF8F2">
            <w:pPr>
              <w:pStyle w:val="4"/>
              <w:jc w:val="center"/>
            </w:pPr>
            <w:r>
              <w:rPr>
                <w:rFonts w:ascii="仿宋_GB2312" w:hAnsi="仿宋_GB2312" w:eastAsia="仿宋_GB2312" w:cs="仿宋_GB2312"/>
              </w:rPr>
              <w:t>产品名称</w:t>
            </w:r>
          </w:p>
        </w:tc>
      </w:tr>
      <w:tr w14:paraId="113AA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A7442AB">
            <w:pPr>
              <w:pStyle w:val="4"/>
              <w:jc w:val="center"/>
            </w:pPr>
            <w:r>
              <w:rPr>
                <w:rFonts w:ascii="仿宋_GB2312" w:hAnsi="仿宋_GB2312" w:eastAsia="仿宋_GB2312" w:cs="仿宋_GB2312"/>
              </w:rPr>
              <w:t>不涉及</w:t>
            </w:r>
          </w:p>
        </w:tc>
      </w:tr>
    </w:tbl>
    <w:p w14:paraId="569309C1">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28FC4EB4">
      <w:pPr>
        <w:pStyle w:val="4"/>
        <w:jc w:val="left"/>
        <w:outlineLvl w:val="3"/>
      </w:pPr>
      <w:r>
        <w:rPr>
          <w:rFonts w:ascii="仿宋_GB2312" w:hAnsi="仿宋_GB2312" w:eastAsia="仿宋_GB2312" w:cs="仿宋_GB2312"/>
          <w:b/>
          <w:sz w:val="24"/>
        </w:rPr>
        <w:t>本项目涉及强制采购节能产品：</w:t>
      </w:r>
    </w:p>
    <w:p w14:paraId="508E953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2427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F710066">
            <w:pPr>
              <w:pStyle w:val="4"/>
              <w:jc w:val="center"/>
            </w:pPr>
            <w:r>
              <w:rPr>
                <w:rFonts w:ascii="仿宋_GB2312" w:hAnsi="仿宋_GB2312" w:eastAsia="仿宋_GB2312" w:cs="仿宋_GB2312"/>
              </w:rPr>
              <w:t>序号</w:t>
            </w:r>
          </w:p>
        </w:tc>
        <w:tc>
          <w:tcPr>
            <w:tcW w:w="2492" w:type="dxa"/>
          </w:tcPr>
          <w:p w14:paraId="17A3026E">
            <w:pPr>
              <w:pStyle w:val="4"/>
              <w:jc w:val="center"/>
            </w:pPr>
            <w:r>
              <w:rPr>
                <w:rFonts w:ascii="仿宋_GB2312" w:hAnsi="仿宋_GB2312" w:eastAsia="仿宋_GB2312" w:cs="仿宋_GB2312"/>
              </w:rPr>
              <w:t>采购品目名称</w:t>
            </w:r>
          </w:p>
        </w:tc>
        <w:tc>
          <w:tcPr>
            <w:tcW w:w="2492" w:type="dxa"/>
          </w:tcPr>
          <w:p w14:paraId="25F76224">
            <w:pPr>
              <w:pStyle w:val="4"/>
              <w:jc w:val="center"/>
            </w:pPr>
            <w:r>
              <w:rPr>
                <w:rFonts w:ascii="仿宋_GB2312" w:hAnsi="仿宋_GB2312" w:eastAsia="仿宋_GB2312" w:cs="仿宋_GB2312"/>
              </w:rPr>
              <w:t>标的名称</w:t>
            </w:r>
          </w:p>
        </w:tc>
        <w:tc>
          <w:tcPr>
            <w:tcW w:w="2492" w:type="dxa"/>
          </w:tcPr>
          <w:p w14:paraId="5FEA32A0">
            <w:pPr>
              <w:pStyle w:val="4"/>
              <w:jc w:val="center"/>
            </w:pPr>
            <w:r>
              <w:rPr>
                <w:rFonts w:ascii="仿宋_GB2312" w:hAnsi="仿宋_GB2312" w:eastAsia="仿宋_GB2312" w:cs="仿宋_GB2312"/>
              </w:rPr>
              <w:t>产品名称</w:t>
            </w:r>
          </w:p>
        </w:tc>
      </w:tr>
      <w:tr w14:paraId="222DE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DF1BEA9">
            <w:pPr>
              <w:pStyle w:val="4"/>
              <w:jc w:val="center"/>
            </w:pPr>
            <w:r>
              <w:rPr>
                <w:rFonts w:ascii="仿宋_GB2312" w:hAnsi="仿宋_GB2312" w:eastAsia="仿宋_GB2312" w:cs="仿宋_GB2312"/>
              </w:rPr>
              <w:t>不涉及</w:t>
            </w:r>
          </w:p>
        </w:tc>
      </w:tr>
    </w:tbl>
    <w:p w14:paraId="3919DBF3">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BFD2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4AE4F4F">
            <w:pPr>
              <w:pStyle w:val="4"/>
              <w:jc w:val="center"/>
            </w:pPr>
            <w:r>
              <w:rPr>
                <w:rFonts w:ascii="仿宋_GB2312" w:hAnsi="仿宋_GB2312" w:eastAsia="仿宋_GB2312" w:cs="仿宋_GB2312"/>
              </w:rPr>
              <w:t>序号</w:t>
            </w:r>
          </w:p>
        </w:tc>
        <w:tc>
          <w:tcPr>
            <w:tcW w:w="2492" w:type="dxa"/>
          </w:tcPr>
          <w:p w14:paraId="34585C36">
            <w:pPr>
              <w:pStyle w:val="4"/>
              <w:jc w:val="center"/>
            </w:pPr>
            <w:r>
              <w:rPr>
                <w:rFonts w:ascii="仿宋_GB2312" w:hAnsi="仿宋_GB2312" w:eastAsia="仿宋_GB2312" w:cs="仿宋_GB2312"/>
              </w:rPr>
              <w:t>采购品目名称</w:t>
            </w:r>
          </w:p>
        </w:tc>
        <w:tc>
          <w:tcPr>
            <w:tcW w:w="2492" w:type="dxa"/>
          </w:tcPr>
          <w:p w14:paraId="05961A64">
            <w:pPr>
              <w:pStyle w:val="4"/>
              <w:jc w:val="center"/>
            </w:pPr>
            <w:r>
              <w:rPr>
                <w:rFonts w:ascii="仿宋_GB2312" w:hAnsi="仿宋_GB2312" w:eastAsia="仿宋_GB2312" w:cs="仿宋_GB2312"/>
              </w:rPr>
              <w:t>标的名称</w:t>
            </w:r>
          </w:p>
        </w:tc>
        <w:tc>
          <w:tcPr>
            <w:tcW w:w="2492" w:type="dxa"/>
          </w:tcPr>
          <w:p w14:paraId="5808BF44">
            <w:pPr>
              <w:pStyle w:val="4"/>
              <w:jc w:val="center"/>
            </w:pPr>
            <w:r>
              <w:rPr>
                <w:rFonts w:ascii="仿宋_GB2312" w:hAnsi="仿宋_GB2312" w:eastAsia="仿宋_GB2312" w:cs="仿宋_GB2312"/>
              </w:rPr>
              <w:t>产品名称</w:t>
            </w:r>
          </w:p>
        </w:tc>
      </w:tr>
      <w:tr w14:paraId="24D2C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20D11E5">
            <w:pPr>
              <w:pStyle w:val="4"/>
              <w:jc w:val="center"/>
            </w:pPr>
            <w:r>
              <w:rPr>
                <w:rFonts w:ascii="仿宋_GB2312" w:hAnsi="仿宋_GB2312" w:eastAsia="仿宋_GB2312" w:cs="仿宋_GB2312"/>
              </w:rPr>
              <w:t>不涉及</w:t>
            </w:r>
          </w:p>
        </w:tc>
      </w:tr>
    </w:tbl>
    <w:p w14:paraId="2006AEC6">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3ABF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A32406">
            <w:pPr>
              <w:pStyle w:val="4"/>
              <w:jc w:val="center"/>
            </w:pPr>
            <w:r>
              <w:rPr>
                <w:rFonts w:ascii="仿宋_GB2312" w:hAnsi="仿宋_GB2312" w:eastAsia="仿宋_GB2312" w:cs="仿宋_GB2312"/>
              </w:rPr>
              <w:t>序号</w:t>
            </w:r>
          </w:p>
        </w:tc>
        <w:tc>
          <w:tcPr>
            <w:tcW w:w="2492" w:type="dxa"/>
          </w:tcPr>
          <w:p w14:paraId="76246DCF">
            <w:pPr>
              <w:pStyle w:val="4"/>
              <w:jc w:val="center"/>
            </w:pPr>
            <w:r>
              <w:rPr>
                <w:rFonts w:ascii="仿宋_GB2312" w:hAnsi="仿宋_GB2312" w:eastAsia="仿宋_GB2312" w:cs="仿宋_GB2312"/>
              </w:rPr>
              <w:t>采购品目名称</w:t>
            </w:r>
          </w:p>
        </w:tc>
        <w:tc>
          <w:tcPr>
            <w:tcW w:w="2492" w:type="dxa"/>
          </w:tcPr>
          <w:p w14:paraId="263F2FDE">
            <w:pPr>
              <w:pStyle w:val="4"/>
              <w:jc w:val="center"/>
            </w:pPr>
            <w:r>
              <w:rPr>
                <w:rFonts w:ascii="仿宋_GB2312" w:hAnsi="仿宋_GB2312" w:eastAsia="仿宋_GB2312" w:cs="仿宋_GB2312"/>
              </w:rPr>
              <w:t>标的名称</w:t>
            </w:r>
          </w:p>
        </w:tc>
        <w:tc>
          <w:tcPr>
            <w:tcW w:w="2492" w:type="dxa"/>
          </w:tcPr>
          <w:p w14:paraId="3C2E754C">
            <w:pPr>
              <w:pStyle w:val="4"/>
              <w:jc w:val="center"/>
            </w:pPr>
            <w:r>
              <w:rPr>
                <w:rFonts w:ascii="仿宋_GB2312" w:hAnsi="仿宋_GB2312" w:eastAsia="仿宋_GB2312" w:cs="仿宋_GB2312"/>
              </w:rPr>
              <w:t>产品名称</w:t>
            </w:r>
          </w:p>
        </w:tc>
      </w:tr>
      <w:tr w14:paraId="5ACDD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65DC095">
            <w:pPr>
              <w:pStyle w:val="4"/>
              <w:jc w:val="center"/>
            </w:pPr>
            <w:r>
              <w:rPr>
                <w:rFonts w:ascii="仿宋_GB2312" w:hAnsi="仿宋_GB2312" w:eastAsia="仿宋_GB2312" w:cs="仿宋_GB2312"/>
              </w:rPr>
              <w:t>不涉及</w:t>
            </w:r>
          </w:p>
        </w:tc>
      </w:tr>
    </w:tbl>
    <w:p w14:paraId="5B1CE7B6">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8F6F6C8">
      <w:pPr>
        <w:pStyle w:val="4"/>
        <w:jc w:val="left"/>
      </w:pPr>
      <w:r>
        <w:rPr>
          <w:rFonts w:ascii="仿宋_GB2312" w:hAnsi="仿宋_GB2312" w:eastAsia="仿宋_GB2312" w:cs="仿宋_GB2312"/>
          <w:b/>
        </w:rPr>
        <w:t>本项目涉及优先采购节能产品：</w:t>
      </w:r>
    </w:p>
    <w:p w14:paraId="24DF3F2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07AF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5AA0FD">
            <w:pPr>
              <w:pStyle w:val="4"/>
              <w:jc w:val="center"/>
            </w:pPr>
            <w:r>
              <w:rPr>
                <w:rFonts w:ascii="仿宋_GB2312" w:hAnsi="仿宋_GB2312" w:eastAsia="仿宋_GB2312" w:cs="仿宋_GB2312"/>
              </w:rPr>
              <w:t>序号</w:t>
            </w:r>
          </w:p>
        </w:tc>
        <w:tc>
          <w:tcPr>
            <w:tcW w:w="2492" w:type="dxa"/>
          </w:tcPr>
          <w:p w14:paraId="2EF9AF3C">
            <w:pPr>
              <w:pStyle w:val="4"/>
              <w:jc w:val="center"/>
            </w:pPr>
            <w:r>
              <w:rPr>
                <w:rFonts w:ascii="仿宋_GB2312" w:hAnsi="仿宋_GB2312" w:eastAsia="仿宋_GB2312" w:cs="仿宋_GB2312"/>
              </w:rPr>
              <w:t>采购品目名称</w:t>
            </w:r>
          </w:p>
        </w:tc>
        <w:tc>
          <w:tcPr>
            <w:tcW w:w="2492" w:type="dxa"/>
          </w:tcPr>
          <w:p w14:paraId="466E05CA">
            <w:pPr>
              <w:pStyle w:val="4"/>
              <w:jc w:val="center"/>
            </w:pPr>
            <w:r>
              <w:rPr>
                <w:rFonts w:ascii="仿宋_GB2312" w:hAnsi="仿宋_GB2312" w:eastAsia="仿宋_GB2312" w:cs="仿宋_GB2312"/>
              </w:rPr>
              <w:t>标的名称</w:t>
            </w:r>
          </w:p>
        </w:tc>
        <w:tc>
          <w:tcPr>
            <w:tcW w:w="2492" w:type="dxa"/>
          </w:tcPr>
          <w:p w14:paraId="1E38F719">
            <w:pPr>
              <w:pStyle w:val="4"/>
              <w:jc w:val="center"/>
            </w:pPr>
            <w:r>
              <w:rPr>
                <w:rFonts w:ascii="仿宋_GB2312" w:hAnsi="仿宋_GB2312" w:eastAsia="仿宋_GB2312" w:cs="仿宋_GB2312"/>
              </w:rPr>
              <w:t>产品名称</w:t>
            </w:r>
          </w:p>
        </w:tc>
      </w:tr>
      <w:tr w14:paraId="57118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EFE896C">
            <w:pPr>
              <w:pStyle w:val="4"/>
              <w:jc w:val="center"/>
            </w:pPr>
            <w:r>
              <w:rPr>
                <w:rFonts w:ascii="仿宋_GB2312" w:hAnsi="仿宋_GB2312" w:eastAsia="仿宋_GB2312" w:cs="仿宋_GB2312"/>
              </w:rPr>
              <w:t>不涉及</w:t>
            </w:r>
          </w:p>
        </w:tc>
      </w:tr>
    </w:tbl>
    <w:p w14:paraId="18EF79EB">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7F2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AFFA75B">
            <w:pPr>
              <w:pStyle w:val="4"/>
              <w:jc w:val="center"/>
            </w:pPr>
            <w:r>
              <w:rPr>
                <w:rFonts w:ascii="仿宋_GB2312" w:hAnsi="仿宋_GB2312" w:eastAsia="仿宋_GB2312" w:cs="仿宋_GB2312"/>
              </w:rPr>
              <w:t>序号</w:t>
            </w:r>
          </w:p>
        </w:tc>
        <w:tc>
          <w:tcPr>
            <w:tcW w:w="2492" w:type="dxa"/>
          </w:tcPr>
          <w:p w14:paraId="1A7BA53C">
            <w:pPr>
              <w:pStyle w:val="4"/>
              <w:jc w:val="center"/>
            </w:pPr>
            <w:r>
              <w:rPr>
                <w:rFonts w:ascii="仿宋_GB2312" w:hAnsi="仿宋_GB2312" w:eastAsia="仿宋_GB2312" w:cs="仿宋_GB2312"/>
              </w:rPr>
              <w:t>采购品目名称</w:t>
            </w:r>
          </w:p>
        </w:tc>
        <w:tc>
          <w:tcPr>
            <w:tcW w:w="2492" w:type="dxa"/>
          </w:tcPr>
          <w:p w14:paraId="12A427BD">
            <w:pPr>
              <w:pStyle w:val="4"/>
              <w:jc w:val="center"/>
            </w:pPr>
            <w:r>
              <w:rPr>
                <w:rFonts w:ascii="仿宋_GB2312" w:hAnsi="仿宋_GB2312" w:eastAsia="仿宋_GB2312" w:cs="仿宋_GB2312"/>
              </w:rPr>
              <w:t>标的名称</w:t>
            </w:r>
          </w:p>
        </w:tc>
        <w:tc>
          <w:tcPr>
            <w:tcW w:w="2492" w:type="dxa"/>
          </w:tcPr>
          <w:p w14:paraId="0F5B2679">
            <w:pPr>
              <w:pStyle w:val="4"/>
              <w:jc w:val="center"/>
            </w:pPr>
            <w:r>
              <w:rPr>
                <w:rFonts w:ascii="仿宋_GB2312" w:hAnsi="仿宋_GB2312" w:eastAsia="仿宋_GB2312" w:cs="仿宋_GB2312"/>
              </w:rPr>
              <w:t>产品名称</w:t>
            </w:r>
          </w:p>
        </w:tc>
      </w:tr>
      <w:tr w14:paraId="255F1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79C7DDE">
            <w:pPr>
              <w:pStyle w:val="4"/>
              <w:jc w:val="center"/>
            </w:pPr>
            <w:r>
              <w:rPr>
                <w:rFonts w:ascii="仿宋_GB2312" w:hAnsi="仿宋_GB2312" w:eastAsia="仿宋_GB2312" w:cs="仿宋_GB2312"/>
              </w:rPr>
              <w:t>不涉及</w:t>
            </w:r>
          </w:p>
        </w:tc>
      </w:tr>
    </w:tbl>
    <w:p w14:paraId="68061E62">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E3BC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839EE1">
            <w:pPr>
              <w:pStyle w:val="4"/>
              <w:jc w:val="center"/>
            </w:pPr>
            <w:r>
              <w:rPr>
                <w:rFonts w:ascii="仿宋_GB2312" w:hAnsi="仿宋_GB2312" w:eastAsia="仿宋_GB2312" w:cs="仿宋_GB2312"/>
              </w:rPr>
              <w:t>序号</w:t>
            </w:r>
          </w:p>
        </w:tc>
        <w:tc>
          <w:tcPr>
            <w:tcW w:w="2492" w:type="dxa"/>
          </w:tcPr>
          <w:p w14:paraId="7B3334C2">
            <w:pPr>
              <w:pStyle w:val="4"/>
              <w:jc w:val="center"/>
            </w:pPr>
            <w:r>
              <w:rPr>
                <w:rFonts w:ascii="仿宋_GB2312" w:hAnsi="仿宋_GB2312" w:eastAsia="仿宋_GB2312" w:cs="仿宋_GB2312"/>
              </w:rPr>
              <w:t>采购品目名称</w:t>
            </w:r>
          </w:p>
        </w:tc>
        <w:tc>
          <w:tcPr>
            <w:tcW w:w="2492" w:type="dxa"/>
          </w:tcPr>
          <w:p w14:paraId="25867CAD">
            <w:pPr>
              <w:pStyle w:val="4"/>
              <w:jc w:val="center"/>
            </w:pPr>
            <w:r>
              <w:rPr>
                <w:rFonts w:ascii="仿宋_GB2312" w:hAnsi="仿宋_GB2312" w:eastAsia="仿宋_GB2312" w:cs="仿宋_GB2312"/>
              </w:rPr>
              <w:t>标的名称</w:t>
            </w:r>
          </w:p>
        </w:tc>
        <w:tc>
          <w:tcPr>
            <w:tcW w:w="2492" w:type="dxa"/>
          </w:tcPr>
          <w:p w14:paraId="657E0E2D">
            <w:pPr>
              <w:pStyle w:val="4"/>
              <w:jc w:val="center"/>
            </w:pPr>
            <w:r>
              <w:rPr>
                <w:rFonts w:ascii="仿宋_GB2312" w:hAnsi="仿宋_GB2312" w:eastAsia="仿宋_GB2312" w:cs="仿宋_GB2312"/>
              </w:rPr>
              <w:t>产品名称</w:t>
            </w:r>
          </w:p>
        </w:tc>
      </w:tr>
      <w:tr w14:paraId="2AC8A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CAB85E4">
            <w:pPr>
              <w:pStyle w:val="4"/>
              <w:jc w:val="center"/>
            </w:pPr>
            <w:r>
              <w:rPr>
                <w:rFonts w:ascii="仿宋_GB2312" w:hAnsi="仿宋_GB2312" w:eastAsia="仿宋_GB2312" w:cs="仿宋_GB2312"/>
              </w:rPr>
              <w:t>不涉及</w:t>
            </w:r>
          </w:p>
        </w:tc>
      </w:tr>
    </w:tbl>
    <w:p w14:paraId="69F403A6">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505A1AEF">
      <w:pPr>
        <w:pStyle w:val="4"/>
        <w:jc w:val="left"/>
        <w:outlineLvl w:val="3"/>
      </w:pPr>
      <w:r>
        <w:rPr>
          <w:rFonts w:ascii="仿宋_GB2312" w:hAnsi="仿宋_GB2312" w:eastAsia="仿宋_GB2312" w:cs="仿宋_GB2312"/>
          <w:b/>
          <w:sz w:val="24"/>
        </w:rPr>
        <w:t>本项目涉及优先采购环境标志产品：</w:t>
      </w:r>
    </w:p>
    <w:p w14:paraId="0522979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DE43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07BDED7">
            <w:pPr>
              <w:pStyle w:val="4"/>
              <w:jc w:val="center"/>
            </w:pPr>
            <w:r>
              <w:rPr>
                <w:rFonts w:ascii="仿宋_GB2312" w:hAnsi="仿宋_GB2312" w:eastAsia="仿宋_GB2312" w:cs="仿宋_GB2312"/>
              </w:rPr>
              <w:t>序号</w:t>
            </w:r>
          </w:p>
        </w:tc>
        <w:tc>
          <w:tcPr>
            <w:tcW w:w="2492" w:type="dxa"/>
          </w:tcPr>
          <w:p w14:paraId="1C61FE26">
            <w:pPr>
              <w:pStyle w:val="4"/>
              <w:jc w:val="center"/>
            </w:pPr>
            <w:r>
              <w:rPr>
                <w:rFonts w:ascii="仿宋_GB2312" w:hAnsi="仿宋_GB2312" w:eastAsia="仿宋_GB2312" w:cs="仿宋_GB2312"/>
              </w:rPr>
              <w:t>采购品目名称</w:t>
            </w:r>
          </w:p>
        </w:tc>
        <w:tc>
          <w:tcPr>
            <w:tcW w:w="2492" w:type="dxa"/>
          </w:tcPr>
          <w:p w14:paraId="456A6468">
            <w:pPr>
              <w:pStyle w:val="4"/>
              <w:jc w:val="center"/>
            </w:pPr>
            <w:r>
              <w:rPr>
                <w:rFonts w:ascii="仿宋_GB2312" w:hAnsi="仿宋_GB2312" w:eastAsia="仿宋_GB2312" w:cs="仿宋_GB2312"/>
              </w:rPr>
              <w:t>标的名称</w:t>
            </w:r>
          </w:p>
        </w:tc>
        <w:tc>
          <w:tcPr>
            <w:tcW w:w="2492" w:type="dxa"/>
          </w:tcPr>
          <w:p w14:paraId="3E6BBCC2">
            <w:pPr>
              <w:pStyle w:val="4"/>
              <w:jc w:val="center"/>
            </w:pPr>
            <w:r>
              <w:rPr>
                <w:rFonts w:ascii="仿宋_GB2312" w:hAnsi="仿宋_GB2312" w:eastAsia="仿宋_GB2312" w:cs="仿宋_GB2312"/>
              </w:rPr>
              <w:t>产品名称</w:t>
            </w:r>
          </w:p>
        </w:tc>
      </w:tr>
      <w:tr w14:paraId="00E12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8881DAB">
            <w:pPr>
              <w:pStyle w:val="4"/>
              <w:jc w:val="center"/>
            </w:pPr>
            <w:r>
              <w:rPr>
                <w:rFonts w:ascii="仿宋_GB2312" w:hAnsi="仿宋_GB2312" w:eastAsia="仿宋_GB2312" w:cs="仿宋_GB2312"/>
              </w:rPr>
              <w:t>不涉及</w:t>
            </w:r>
          </w:p>
        </w:tc>
      </w:tr>
    </w:tbl>
    <w:p w14:paraId="285E0472">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C682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3D722F">
            <w:pPr>
              <w:pStyle w:val="4"/>
              <w:jc w:val="center"/>
            </w:pPr>
            <w:r>
              <w:rPr>
                <w:rFonts w:ascii="仿宋_GB2312" w:hAnsi="仿宋_GB2312" w:eastAsia="仿宋_GB2312" w:cs="仿宋_GB2312"/>
              </w:rPr>
              <w:t>序号</w:t>
            </w:r>
          </w:p>
        </w:tc>
        <w:tc>
          <w:tcPr>
            <w:tcW w:w="2492" w:type="dxa"/>
          </w:tcPr>
          <w:p w14:paraId="1FDAF137">
            <w:pPr>
              <w:pStyle w:val="4"/>
              <w:jc w:val="center"/>
            </w:pPr>
            <w:r>
              <w:rPr>
                <w:rFonts w:ascii="仿宋_GB2312" w:hAnsi="仿宋_GB2312" w:eastAsia="仿宋_GB2312" w:cs="仿宋_GB2312"/>
              </w:rPr>
              <w:t>采购品目名称</w:t>
            </w:r>
          </w:p>
        </w:tc>
        <w:tc>
          <w:tcPr>
            <w:tcW w:w="2492" w:type="dxa"/>
          </w:tcPr>
          <w:p w14:paraId="558138B5">
            <w:pPr>
              <w:pStyle w:val="4"/>
              <w:jc w:val="center"/>
            </w:pPr>
            <w:r>
              <w:rPr>
                <w:rFonts w:ascii="仿宋_GB2312" w:hAnsi="仿宋_GB2312" w:eastAsia="仿宋_GB2312" w:cs="仿宋_GB2312"/>
              </w:rPr>
              <w:t>标的名称</w:t>
            </w:r>
          </w:p>
        </w:tc>
        <w:tc>
          <w:tcPr>
            <w:tcW w:w="2492" w:type="dxa"/>
          </w:tcPr>
          <w:p w14:paraId="31189669">
            <w:pPr>
              <w:pStyle w:val="4"/>
              <w:jc w:val="center"/>
            </w:pPr>
            <w:r>
              <w:rPr>
                <w:rFonts w:ascii="仿宋_GB2312" w:hAnsi="仿宋_GB2312" w:eastAsia="仿宋_GB2312" w:cs="仿宋_GB2312"/>
              </w:rPr>
              <w:t>产品名称</w:t>
            </w:r>
          </w:p>
        </w:tc>
      </w:tr>
      <w:tr w14:paraId="5A8C1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9729455">
            <w:pPr>
              <w:pStyle w:val="4"/>
              <w:jc w:val="center"/>
            </w:pPr>
            <w:r>
              <w:rPr>
                <w:rFonts w:ascii="仿宋_GB2312" w:hAnsi="仿宋_GB2312" w:eastAsia="仿宋_GB2312" w:cs="仿宋_GB2312"/>
              </w:rPr>
              <w:t>不涉及</w:t>
            </w:r>
          </w:p>
        </w:tc>
      </w:tr>
    </w:tbl>
    <w:p w14:paraId="69035D47">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D3F2CB">
        <w:tblPrEx>
          <w:tblCellMar>
            <w:top w:w="0" w:type="dxa"/>
            <w:left w:w="108" w:type="dxa"/>
            <w:bottom w:w="0" w:type="dxa"/>
            <w:right w:w="108" w:type="dxa"/>
          </w:tblCellMar>
        </w:tblPrEx>
        <w:tc>
          <w:tcPr>
            <w:tcW w:w="831" w:type="dxa"/>
          </w:tcPr>
          <w:p w14:paraId="5AF925D0">
            <w:pPr>
              <w:pStyle w:val="4"/>
              <w:jc w:val="center"/>
            </w:pPr>
            <w:r>
              <w:rPr>
                <w:rFonts w:ascii="仿宋_GB2312" w:hAnsi="仿宋_GB2312" w:eastAsia="仿宋_GB2312" w:cs="仿宋_GB2312"/>
              </w:rPr>
              <w:t>序号</w:t>
            </w:r>
          </w:p>
        </w:tc>
        <w:tc>
          <w:tcPr>
            <w:tcW w:w="2492" w:type="dxa"/>
          </w:tcPr>
          <w:p w14:paraId="3A67586F">
            <w:pPr>
              <w:pStyle w:val="4"/>
              <w:jc w:val="center"/>
            </w:pPr>
            <w:r>
              <w:rPr>
                <w:rFonts w:ascii="仿宋_GB2312" w:hAnsi="仿宋_GB2312" w:eastAsia="仿宋_GB2312" w:cs="仿宋_GB2312"/>
              </w:rPr>
              <w:t>采购品目名称</w:t>
            </w:r>
          </w:p>
        </w:tc>
        <w:tc>
          <w:tcPr>
            <w:tcW w:w="2492" w:type="dxa"/>
          </w:tcPr>
          <w:p w14:paraId="798AD8D2">
            <w:pPr>
              <w:pStyle w:val="4"/>
              <w:jc w:val="center"/>
            </w:pPr>
            <w:r>
              <w:rPr>
                <w:rFonts w:ascii="仿宋_GB2312" w:hAnsi="仿宋_GB2312" w:eastAsia="仿宋_GB2312" w:cs="仿宋_GB2312"/>
              </w:rPr>
              <w:t>标的名称</w:t>
            </w:r>
          </w:p>
        </w:tc>
        <w:tc>
          <w:tcPr>
            <w:tcW w:w="2492" w:type="dxa"/>
          </w:tcPr>
          <w:p w14:paraId="323150D4">
            <w:pPr>
              <w:pStyle w:val="4"/>
              <w:jc w:val="center"/>
            </w:pPr>
            <w:r>
              <w:rPr>
                <w:rFonts w:ascii="仿宋_GB2312" w:hAnsi="仿宋_GB2312" w:eastAsia="仿宋_GB2312" w:cs="仿宋_GB2312"/>
              </w:rPr>
              <w:t>产品名称</w:t>
            </w:r>
          </w:p>
        </w:tc>
      </w:tr>
      <w:tr w14:paraId="4F1E7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02E75A5">
            <w:pPr>
              <w:pStyle w:val="4"/>
              <w:jc w:val="center"/>
            </w:pPr>
            <w:r>
              <w:rPr>
                <w:rFonts w:ascii="仿宋_GB2312" w:hAnsi="仿宋_GB2312" w:eastAsia="仿宋_GB2312" w:cs="仿宋_GB2312"/>
              </w:rPr>
              <w:t>不涉及</w:t>
            </w:r>
          </w:p>
        </w:tc>
      </w:tr>
    </w:tbl>
    <w:p w14:paraId="2E0E8A0D">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3CD481D">
      <w:pPr>
        <w:pStyle w:val="4"/>
        <w:jc w:val="left"/>
        <w:outlineLvl w:val="2"/>
      </w:pPr>
      <w:r>
        <w:rPr>
          <w:rFonts w:ascii="仿宋_GB2312" w:hAnsi="仿宋_GB2312" w:eastAsia="仿宋_GB2312" w:cs="仿宋_GB2312"/>
          <w:b/>
          <w:sz w:val="28"/>
        </w:rPr>
        <w:t>3.2.技术要求</w:t>
      </w:r>
    </w:p>
    <w:p w14:paraId="74E67E65">
      <w:pPr>
        <w:pStyle w:val="4"/>
        <w:jc w:val="left"/>
      </w:pPr>
      <w:r>
        <w:rPr>
          <w:rFonts w:ascii="仿宋_GB2312" w:hAnsi="仿宋_GB2312" w:eastAsia="仿宋_GB2312" w:cs="仿宋_GB2312"/>
        </w:rPr>
        <w:t>采购包1：</w:t>
      </w:r>
    </w:p>
    <w:p w14:paraId="53D1B772">
      <w:pPr>
        <w:pStyle w:val="4"/>
        <w:jc w:val="left"/>
      </w:pPr>
      <w:r>
        <w:rPr>
          <w:rFonts w:ascii="仿宋_GB2312" w:hAnsi="仿宋_GB2312" w:eastAsia="仿宋_GB2312" w:cs="仿宋_GB2312"/>
        </w:rPr>
        <w:t>标的名称：成都世运会龙泉驿赛区病媒生物密度监测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6E8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049AAC">
            <w:pPr>
              <w:pStyle w:val="4"/>
              <w:jc w:val="center"/>
            </w:pPr>
            <w:r>
              <w:rPr>
                <w:rFonts w:ascii="仿宋_GB2312" w:hAnsi="仿宋_GB2312" w:eastAsia="仿宋_GB2312" w:cs="仿宋_GB2312"/>
              </w:rPr>
              <w:t>序号</w:t>
            </w:r>
          </w:p>
        </w:tc>
        <w:tc>
          <w:tcPr>
            <w:tcW w:w="581" w:type="dxa"/>
          </w:tcPr>
          <w:p w14:paraId="00798F40">
            <w:pPr>
              <w:pStyle w:val="4"/>
              <w:jc w:val="center"/>
            </w:pPr>
            <w:r>
              <w:rPr>
                <w:rFonts w:ascii="仿宋_GB2312" w:hAnsi="仿宋_GB2312" w:eastAsia="仿宋_GB2312" w:cs="仿宋_GB2312"/>
              </w:rPr>
              <w:t>符号标识</w:t>
            </w:r>
          </w:p>
        </w:tc>
        <w:tc>
          <w:tcPr>
            <w:tcW w:w="1495" w:type="dxa"/>
          </w:tcPr>
          <w:p w14:paraId="5A1A9487">
            <w:pPr>
              <w:pStyle w:val="4"/>
              <w:jc w:val="center"/>
            </w:pPr>
            <w:r>
              <w:rPr>
                <w:rFonts w:ascii="仿宋_GB2312" w:hAnsi="仿宋_GB2312" w:eastAsia="仿宋_GB2312" w:cs="仿宋_GB2312"/>
              </w:rPr>
              <w:t>技术要求名称</w:t>
            </w:r>
          </w:p>
        </w:tc>
        <w:tc>
          <w:tcPr>
            <w:tcW w:w="5814" w:type="dxa"/>
          </w:tcPr>
          <w:p w14:paraId="0704FBAA">
            <w:pPr>
              <w:pStyle w:val="4"/>
              <w:jc w:val="center"/>
            </w:pPr>
            <w:r>
              <w:rPr>
                <w:rFonts w:ascii="仿宋_GB2312" w:hAnsi="仿宋_GB2312" w:eastAsia="仿宋_GB2312" w:cs="仿宋_GB2312"/>
              </w:rPr>
              <w:t>技术参数与性能指标</w:t>
            </w:r>
          </w:p>
        </w:tc>
      </w:tr>
      <w:tr w14:paraId="1AD9F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A27A3F">
            <w:pPr>
              <w:pStyle w:val="4"/>
              <w:jc w:val="center"/>
            </w:pPr>
            <w:r>
              <w:rPr>
                <w:rFonts w:ascii="仿宋_GB2312" w:hAnsi="仿宋_GB2312" w:eastAsia="仿宋_GB2312" w:cs="仿宋_GB2312"/>
              </w:rPr>
              <w:t>1</w:t>
            </w:r>
          </w:p>
        </w:tc>
        <w:tc>
          <w:tcPr>
            <w:tcW w:w="581" w:type="dxa"/>
          </w:tcPr>
          <w:p w14:paraId="5BF34290">
            <w:pPr>
              <w:pStyle w:val="4"/>
              <w:jc w:val="center"/>
            </w:pPr>
            <w:r>
              <w:rPr>
                <w:rFonts w:ascii="仿宋_GB2312" w:hAnsi="仿宋_GB2312" w:eastAsia="仿宋_GB2312" w:cs="仿宋_GB2312"/>
              </w:rPr>
              <w:t>★</w:t>
            </w:r>
          </w:p>
        </w:tc>
        <w:tc>
          <w:tcPr>
            <w:tcW w:w="1495" w:type="dxa"/>
          </w:tcPr>
          <w:p w14:paraId="72ADF147">
            <w:pPr>
              <w:pStyle w:val="4"/>
              <w:jc w:val="left"/>
            </w:pPr>
            <w:r>
              <w:rPr>
                <w:rFonts w:ascii="仿宋_GB2312" w:hAnsi="仿宋_GB2312" w:eastAsia="仿宋_GB2312" w:cs="仿宋_GB2312"/>
              </w:rPr>
              <w:t>成都世运会龙泉驿赛区病媒生物密度监测技术要求</w:t>
            </w:r>
          </w:p>
        </w:tc>
        <w:tc>
          <w:tcPr>
            <w:tcW w:w="5814" w:type="dxa"/>
          </w:tcPr>
          <w:p w14:paraId="13BC3E40">
            <w:pPr>
              <w:pStyle w:val="4"/>
              <w:jc w:val="both"/>
            </w:pPr>
            <w:r>
              <w:rPr>
                <w:rFonts w:ascii="仿宋_GB2312" w:hAnsi="仿宋_GB2312" w:eastAsia="仿宋_GB2312" w:cs="仿宋_GB2312"/>
                <w:sz w:val="21"/>
              </w:rPr>
              <w:t>（一）服务清单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31"/>
              <w:gridCol w:w="1022"/>
              <w:gridCol w:w="740"/>
            </w:tblGrid>
            <w:tr w14:paraId="43929C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43E065">
                  <w:pPr>
                    <w:pStyle w:val="4"/>
                    <w:jc w:val="center"/>
                  </w:pPr>
                  <w:r>
                    <w:rPr>
                      <w:rFonts w:ascii="仿宋_GB2312" w:hAnsi="仿宋_GB2312" w:eastAsia="仿宋_GB2312" w:cs="仿宋_GB2312"/>
                      <w:sz w:val="21"/>
                    </w:rPr>
                    <w:t>服务内容</w:t>
                  </w:r>
                </w:p>
              </w:tc>
              <w:tc>
                <w:tcPr>
                  <w:tcW w:w="1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0BE5CE">
                  <w:pPr>
                    <w:pStyle w:val="4"/>
                    <w:jc w:val="center"/>
                  </w:pPr>
                  <w:r>
                    <w:rPr>
                      <w:rFonts w:ascii="仿宋_GB2312" w:hAnsi="仿宋_GB2312" w:eastAsia="仿宋_GB2312" w:cs="仿宋_GB2312"/>
                      <w:sz w:val="21"/>
                    </w:rPr>
                    <w:t>计量单位</w:t>
                  </w:r>
                </w:p>
              </w:tc>
              <w:tc>
                <w:tcPr>
                  <w:tcW w:w="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1A87C1">
                  <w:pPr>
                    <w:pStyle w:val="4"/>
                    <w:jc w:val="center"/>
                  </w:pPr>
                  <w:r>
                    <w:rPr>
                      <w:rFonts w:ascii="仿宋_GB2312" w:hAnsi="仿宋_GB2312" w:eastAsia="仿宋_GB2312" w:cs="仿宋_GB2312"/>
                      <w:sz w:val="21"/>
                    </w:rPr>
                    <w:t>数量</w:t>
                  </w:r>
                </w:p>
              </w:tc>
            </w:tr>
            <w:tr w14:paraId="19F72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40DFC">
                  <w:pPr>
                    <w:pStyle w:val="4"/>
                    <w:jc w:val="center"/>
                  </w:pPr>
                  <w:r>
                    <w:rPr>
                      <w:rFonts w:ascii="仿宋_GB2312" w:hAnsi="仿宋_GB2312" w:eastAsia="仿宋_GB2312" w:cs="仿宋_GB2312"/>
                      <w:sz w:val="21"/>
                    </w:rPr>
                    <w:t>成都世运会龙泉驿赛区病媒生物密度监测</w:t>
                  </w:r>
                </w:p>
              </w:tc>
              <w:tc>
                <w:tcPr>
                  <w:tcW w:w="1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42024">
                  <w:pPr>
                    <w:pStyle w:val="4"/>
                    <w:jc w:val="center"/>
                  </w:pPr>
                  <w:r>
                    <w:rPr>
                      <w:rFonts w:ascii="仿宋_GB2312" w:hAnsi="仿宋_GB2312" w:eastAsia="仿宋_GB2312" w:cs="仿宋_GB2312"/>
                      <w:sz w:val="21"/>
                    </w:rPr>
                    <w:t>次</w:t>
                  </w:r>
                </w:p>
              </w:tc>
              <w:tc>
                <w:tcPr>
                  <w:tcW w:w="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E2D6F">
                  <w:pPr>
                    <w:pStyle w:val="4"/>
                    <w:jc w:val="center"/>
                  </w:pPr>
                  <w:r>
                    <w:rPr>
                      <w:rFonts w:ascii="仿宋_GB2312" w:hAnsi="仿宋_GB2312" w:eastAsia="仿宋_GB2312" w:cs="仿宋_GB2312"/>
                      <w:sz w:val="21"/>
                    </w:rPr>
                    <w:t>80</w:t>
                  </w:r>
                </w:p>
              </w:tc>
            </w:tr>
          </w:tbl>
          <w:p w14:paraId="3DF66284">
            <w:pPr>
              <w:pStyle w:val="4"/>
              <w:jc w:val="both"/>
            </w:pPr>
            <w:r>
              <w:rPr>
                <w:rFonts w:ascii="仿宋_GB2312" w:hAnsi="仿宋_GB2312" w:eastAsia="仿宋_GB2312" w:cs="仿宋_GB2312"/>
                <w:sz w:val="21"/>
              </w:rPr>
              <w:t>（二）服务内容及要求</w:t>
            </w:r>
          </w:p>
          <w:p w14:paraId="1418A1C0">
            <w:pPr>
              <w:pStyle w:val="4"/>
              <w:jc w:val="both"/>
            </w:pPr>
            <w:r>
              <w:rPr>
                <w:rFonts w:ascii="仿宋_GB2312" w:hAnsi="仿宋_GB2312" w:eastAsia="仿宋_GB2312" w:cs="仿宋_GB2312"/>
                <w:sz w:val="21"/>
              </w:rPr>
              <w:t>1、监测指标及频次：</w:t>
            </w:r>
          </w:p>
          <w:p w14:paraId="6F01E6B2">
            <w:pPr>
              <w:pStyle w:val="4"/>
              <w:jc w:val="both"/>
            </w:pPr>
            <w:r>
              <w:rPr>
                <w:rFonts w:ascii="仿宋_GB2312" w:hAnsi="仿宋_GB2312" w:eastAsia="仿宋_GB2312" w:cs="仿宋_GB2312"/>
                <w:sz w:val="21"/>
              </w:rPr>
              <w:t>成都世运会龙泉驿赛区病媒生物密度监测，监测时间6-9月，其中蚊蠓密度监测2次/月，蝇密度监测1次/月，蟑螂密度监测1次/月，鼠密度监测1次/月，蚤类密度监测1次/月，蜱虫监测1次/月。供应商须按时保质保量完成成都世运会龙泉驿赛区病媒生物密度监测工作。</w:t>
            </w:r>
          </w:p>
          <w:p w14:paraId="2437ABD9">
            <w:pPr>
              <w:pStyle w:val="4"/>
              <w:jc w:val="both"/>
            </w:pPr>
            <w:r>
              <w:rPr>
                <w:rFonts w:ascii="仿宋_GB2312" w:hAnsi="仿宋_GB2312" w:eastAsia="仿宋_GB2312" w:cs="仿宋_GB2312"/>
                <w:sz w:val="21"/>
              </w:rPr>
              <w:t>2、监测方法</w:t>
            </w:r>
          </w:p>
          <w:p w14:paraId="6A289783">
            <w:pPr>
              <w:pStyle w:val="4"/>
              <w:jc w:val="both"/>
            </w:pPr>
            <w:r>
              <w:rPr>
                <w:rFonts w:ascii="仿宋_GB2312" w:hAnsi="仿宋_GB2312" w:eastAsia="仿宋_GB2312" w:cs="仿宋_GB2312"/>
                <w:sz w:val="21"/>
              </w:rPr>
              <w:t>2.1蚊蠓密度监测</w:t>
            </w:r>
          </w:p>
          <w:p w14:paraId="53419127">
            <w:pPr>
              <w:pStyle w:val="4"/>
              <w:jc w:val="both"/>
            </w:pPr>
            <w:r>
              <w:rPr>
                <w:rFonts w:ascii="仿宋_GB2312" w:hAnsi="仿宋_GB2312" w:eastAsia="仿宋_GB2312" w:cs="仿宋_GB2312"/>
                <w:sz w:val="21"/>
              </w:rPr>
              <w:t>（1）诱蚊灯监测，密度指标为只/灯.小时，每月进行2次监测，上、下半月各1次。每个监测点布放诱蚊灯数量按每次监测任务要求执行，布放位置兼顾场馆内外和四周。监测时间从日落30分钟后开始，诱集12小时，第二天，将集蚊盒从诱蚊灯中取出，对捕获蚊虫进行种类鉴定、计数，对捕获的飞蛾计数，分别将每盏灯每晚的监测结果填入记录表。</w:t>
            </w:r>
          </w:p>
          <w:p w14:paraId="5BB3B231">
            <w:pPr>
              <w:pStyle w:val="4"/>
              <w:jc w:val="both"/>
            </w:pPr>
            <w:r>
              <w:rPr>
                <w:rFonts w:ascii="仿宋_GB2312" w:hAnsi="仿宋_GB2312" w:eastAsia="仿宋_GB2312" w:cs="仿宋_GB2312"/>
                <w:sz w:val="21"/>
              </w:rPr>
              <w:t>（2）人诱停落法监测，密度指标为只/人·小时，每月进行2次监测，上、下半月各1次。每个监测点在白天成蚊活动高峰时段，监测者暴露一侧小腿，静止不动，记录30分钟内停落在小腿上并用电动吸蚊器捕获成蚊数量。监测结果填入记录表，并记录时间与主要气象数据（气温，风力）。</w:t>
            </w:r>
          </w:p>
          <w:p w14:paraId="3378C573">
            <w:pPr>
              <w:pStyle w:val="4"/>
              <w:jc w:val="both"/>
            </w:pPr>
            <w:r>
              <w:rPr>
                <w:rFonts w:ascii="仿宋_GB2312" w:hAnsi="仿宋_GB2312" w:eastAsia="仿宋_GB2312" w:cs="仿宋_GB2312"/>
                <w:sz w:val="21"/>
              </w:rPr>
              <w:t>2.2蝇密度监测</w:t>
            </w:r>
          </w:p>
          <w:p w14:paraId="0F61050C">
            <w:pPr>
              <w:pStyle w:val="4"/>
              <w:jc w:val="both"/>
            </w:pPr>
            <w:r>
              <w:rPr>
                <w:rFonts w:ascii="仿宋_GB2312" w:hAnsi="仿宋_GB2312" w:eastAsia="仿宋_GB2312" w:cs="仿宋_GB2312"/>
                <w:sz w:val="21"/>
              </w:rPr>
              <w:t>（1）采用诱蝇笼监测，密度指标为只/笼，每月进行1次监测。每个监测点布放诱蝇笼数量按监测任务要求执行，以糖醋为诱饵，每次放置6小时，收笼后，用乙醚或氯仿杀死捕获蝇类，并对捕获蝇类进行种类鉴定、计数，并分别将监测结果填入记录表，并记录当天主要气象数据（气温，湿度，风力，气候）。</w:t>
            </w:r>
          </w:p>
          <w:p w14:paraId="163A8CA6">
            <w:pPr>
              <w:pStyle w:val="4"/>
              <w:jc w:val="both"/>
            </w:pPr>
            <w:r>
              <w:rPr>
                <w:rFonts w:ascii="仿宋_GB2312" w:hAnsi="仿宋_GB2312" w:eastAsia="仿宋_GB2312" w:cs="仿宋_GB2312"/>
                <w:sz w:val="21"/>
              </w:rPr>
              <w:t>成蝇密度计算：</w:t>
            </w:r>
          </w:p>
          <w:p w14:paraId="6C040FF2">
            <w:pPr>
              <w:pStyle w:val="4"/>
              <w:jc w:val="both"/>
            </w:pPr>
            <w:r>
              <w:rPr>
                <w:rFonts w:ascii="仿宋_GB2312" w:hAnsi="仿宋_GB2312" w:eastAsia="仿宋_GB2312" w:cs="仿宋_GB2312"/>
                <w:sz w:val="21"/>
              </w:rPr>
              <w:t>成蝇密度（只/笼）=蝇只数/笼数</w:t>
            </w:r>
          </w:p>
          <w:p w14:paraId="790B0FBF">
            <w:pPr>
              <w:pStyle w:val="4"/>
              <w:jc w:val="both"/>
            </w:pPr>
            <w:r>
              <w:rPr>
                <w:rFonts w:ascii="仿宋_GB2312" w:hAnsi="仿宋_GB2312" w:eastAsia="仿宋_GB2312" w:cs="仿宋_GB2312"/>
                <w:sz w:val="21"/>
              </w:rPr>
              <w:t>（2）目测法：目测观察记录每一标准房间发现的成蝇数，每15㎡换算为一个标准间，不足15㎡的独立房间计为一间，成蝇密度计算：蝇总数（只）/检查房间总数。监测结果填入记录表。</w:t>
            </w:r>
          </w:p>
          <w:p w14:paraId="7BE469DD">
            <w:pPr>
              <w:pStyle w:val="4"/>
              <w:jc w:val="both"/>
            </w:pPr>
            <w:r>
              <w:rPr>
                <w:rFonts w:ascii="仿宋_GB2312" w:hAnsi="仿宋_GB2312" w:eastAsia="仿宋_GB2312" w:cs="仿宋_GB2312"/>
                <w:sz w:val="21"/>
              </w:rPr>
              <w:t>2.3蟑螂密度监测</w:t>
            </w:r>
          </w:p>
          <w:p w14:paraId="2D997B5B">
            <w:pPr>
              <w:pStyle w:val="4"/>
              <w:jc w:val="both"/>
            </w:pPr>
            <w:r>
              <w:rPr>
                <w:rFonts w:ascii="仿宋_GB2312" w:hAnsi="仿宋_GB2312" w:eastAsia="仿宋_GB2312" w:cs="仿宋_GB2312"/>
                <w:sz w:val="21"/>
              </w:rPr>
              <w:t>（1）采用蟑螂屋监测，密度指标为只/屋，每月进行1次监测。每个监测点布放蟑螂屋数量按监测任务要求执行，晚放晨收。每个标准间放置1张，每次监测时，蟑螂屋必须更新。</w:t>
            </w:r>
          </w:p>
          <w:p w14:paraId="76D2576C">
            <w:pPr>
              <w:pStyle w:val="4"/>
              <w:jc w:val="both"/>
            </w:pPr>
            <w:r>
              <w:rPr>
                <w:rFonts w:ascii="仿宋_GB2312" w:hAnsi="仿宋_GB2312" w:eastAsia="仿宋_GB2312" w:cs="仿宋_GB2312"/>
                <w:sz w:val="21"/>
              </w:rPr>
              <w:t>对捕获蟑螂进行种类鉴定、计数，将粘捕到的蟑螂种类和雌、雄成虫或若虫数填入记录表，并记录当晚气温。</w:t>
            </w:r>
          </w:p>
          <w:p w14:paraId="2D618B9D">
            <w:pPr>
              <w:pStyle w:val="4"/>
              <w:jc w:val="both"/>
            </w:pPr>
            <w:r>
              <w:rPr>
                <w:rFonts w:ascii="仿宋_GB2312" w:hAnsi="仿宋_GB2312" w:eastAsia="仿宋_GB2312" w:cs="仿宋_GB2312"/>
                <w:sz w:val="21"/>
              </w:rPr>
              <w:t>蟑螂密度和侵害率计算：</w:t>
            </w:r>
          </w:p>
          <w:p w14:paraId="7672CBBD">
            <w:pPr>
              <w:pStyle w:val="4"/>
              <w:jc w:val="both"/>
            </w:pPr>
            <w:r>
              <w:rPr>
                <w:rFonts w:ascii="仿宋_GB2312" w:hAnsi="仿宋_GB2312" w:eastAsia="仿宋_GB2312" w:cs="仿宋_GB2312"/>
                <w:sz w:val="21"/>
              </w:rPr>
              <w:t>蟑螂密度（只/屋）＝捕获蟑螂总数（只）/回收的蟑螂屋数</w:t>
            </w:r>
          </w:p>
          <w:p w14:paraId="743B3310">
            <w:pPr>
              <w:pStyle w:val="4"/>
              <w:jc w:val="both"/>
            </w:pPr>
            <w:r>
              <w:rPr>
                <w:rFonts w:ascii="仿宋_GB2312" w:hAnsi="仿宋_GB2312" w:eastAsia="仿宋_GB2312" w:cs="仿宋_GB2312"/>
                <w:sz w:val="21"/>
              </w:rPr>
              <w:t>侵害率（%）＝阳性蟑螂屋数/回收的蟑螂屋数×100%</w:t>
            </w:r>
          </w:p>
          <w:p w14:paraId="5F6FE5ED">
            <w:pPr>
              <w:pStyle w:val="4"/>
              <w:jc w:val="both"/>
            </w:pPr>
            <w:r>
              <w:rPr>
                <w:rFonts w:ascii="仿宋_GB2312" w:hAnsi="仿宋_GB2312" w:eastAsia="仿宋_GB2312" w:cs="仿宋_GB2312"/>
                <w:sz w:val="21"/>
              </w:rPr>
              <w:t>上列公式中，捕获蟑螂总数是指蟑螂屋粘捕到成、若虫总数。</w:t>
            </w:r>
          </w:p>
          <w:p w14:paraId="650ADA7D">
            <w:pPr>
              <w:pStyle w:val="4"/>
              <w:jc w:val="both"/>
            </w:pPr>
            <w:r>
              <w:rPr>
                <w:rFonts w:ascii="仿宋_GB2312" w:hAnsi="仿宋_GB2312" w:eastAsia="仿宋_GB2312" w:cs="仿宋_GB2312"/>
                <w:sz w:val="21"/>
              </w:rPr>
              <w:t>（2）目测法：在监测房间内选择蟑螂栖息活动的场所用手电筒照射检查每个场所3分钟内观察到的蟑螂种类、数量、活卵鞘数和蟑迹（空卵鞘壳、死尸、残尸）数。密度单位为：只/间。将观察到的蟑螂种类、数量、卵鞘和蟑迹数填入记录表，并记录当晚气温。</w:t>
            </w:r>
          </w:p>
          <w:p w14:paraId="601540EC">
            <w:pPr>
              <w:pStyle w:val="4"/>
              <w:jc w:val="both"/>
            </w:pPr>
            <w:r>
              <w:rPr>
                <w:rFonts w:ascii="仿宋_GB2312" w:hAnsi="仿宋_GB2312" w:eastAsia="仿宋_GB2312" w:cs="仿宋_GB2312"/>
                <w:sz w:val="21"/>
              </w:rPr>
              <w:t>2.4鼠密度监测</w:t>
            </w:r>
          </w:p>
          <w:p w14:paraId="360666CC">
            <w:pPr>
              <w:pStyle w:val="4"/>
              <w:jc w:val="both"/>
            </w:pPr>
            <w:r>
              <w:rPr>
                <w:rFonts w:ascii="仿宋_GB2312" w:hAnsi="仿宋_GB2312" w:eastAsia="仿宋_GB2312" w:cs="仿宋_GB2312"/>
                <w:sz w:val="21"/>
              </w:rPr>
              <w:t>（1）鼠夹法（夹夜法），密度指标为捕鼠率（%），每月进行1次监测。每个监测点布放捕鼠夹数量按监测任务要求执行，以生花生为诱饵，晚放晨收。室内按每15m²布鼠夹1只，特殊行业各类房间（厨房、库房）都应兼顾。室外直线布夹数，每10m布夹1只。捕获鼠类后，进行鼠种鉴定，用记录表记录鼠种、性别、体重，并记录布夹总数、回收夹数、有效夹数、捕获鼠数等。</w:t>
            </w:r>
          </w:p>
          <w:p w14:paraId="1116F7D2">
            <w:pPr>
              <w:pStyle w:val="4"/>
              <w:jc w:val="both"/>
            </w:pPr>
            <w:r>
              <w:rPr>
                <w:rFonts w:ascii="仿宋_GB2312" w:hAnsi="仿宋_GB2312" w:eastAsia="仿宋_GB2312" w:cs="仿宋_GB2312"/>
                <w:sz w:val="21"/>
              </w:rPr>
              <w:t>鼠密度（捕鼠率）（%）＝捕鼠总数（只）/有效夹数（只）×100%</w:t>
            </w:r>
          </w:p>
          <w:p w14:paraId="17FCBD0C">
            <w:pPr>
              <w:pStyle w:val="4"/>
              <w:jc w:val="both"/>
            </w:pPr>
            <w:r>
              <w:rPr>
                <w:rFonts w:ascii="仿宋_GB2312" w:hAnsi="仿宋_GB2312" w:eastAsia="仿宋_GB2312" w:cs="仿宋_GB2312"/>
                <w:sz w:val="21"/>
              </w:rPr>
              <w:t>有效夹数=布夹总数-无效夹数</w:t>
            </w:r>
          </w:p>
          <w:p w14:paraId="5DB062B7">
            <w:pPr>
              <w:pStyle w:val="4"/>
              <w:jc w:val="both"/>
            </w:pPr>
            <w:r>
              <w:rPr>
                <w:rFonts w:ascii="仿宋_GB2312" w:hAnsi="仿宋_GB2312" w:eastAsia="仿宋_GB2312" w:cs="仿宋_GB2312"/>
                <w:sz w:val="21"/>
              </w:rPr>
              <w:t>上列公式中，捕鼠总数是指鼠夹捕获鼠类的数量总和。无效夹是指丢失或不明原因击发的鼠夹。</w:t>
            </w:r>
          </w:p>
          <w:p w14:paraId="17EC2D2A">
            <w:pPr>
              <w:pStyle w:val="4"/>
              <w:jc w:val="both"/>
            </w:pPr>
            <w:r>
              <w:rPr>
                <w:rFonts w:ascii="仿宋_GB2312" w:hAnsi="仿宋_GB2312" w:eastAsia="仿宋_GB2312" w:cs="仿宋_GB2312"/>
                <w:sz w:val="21"/>
              </w:rPr>
              <w:t>（2）鼠迹法，①室内，检查房间内鼠迹（活鼠、死鼠、鼠爪印、鼠粪、鼠尿、鼠咬痕、鼠道、鼠洞），有一处鼠迹的房间算鼠迹阳性房间。每15㎡折算为一个标准间，不足15㎡的房间算一间。以鼠迹阳性房间率表示鼠密度。鼠密度（鼠迹阳性率）（%）＝阳性房间数（间）/检查房间数（间）×100%</w:t>
            </w:r>
          </w:p>
          <w:p w14:paraId="1516D75A">
            <w:pPr>
              <w:pStyle w:val="4"/>
              <w:jc w:val="both"/>
            </w:pPr>
            <w:r>
              <w:rPr>
                <w:rFonts w:ascii="仿宋_GB2312" w:hAnsi="仿宋_GB2312" w:eastAsia="仿宋_GB2312" w:cs="仿宋_GB2312"/>
                <w:sz w:val="21"/>
              </w:rPr>
              <w:t>②室外，沿建筑物外环境、绿地行走，记录行走距离内发现的鼠迹处数，以路径指数表示鼠密度，单位：处/1000m。</w:t>
            </w:r>
          </w:p>
          <w:p w14:paraId="3FE712F8">
            <w:pPr>
              <w:pStyle w:val="4"/>
              <w:jc w:val="both"/>
            </w:pPr>
            <w:r>
              <w:rPr>
                <w:rFonts w:ascii="仿宋_GB2312" w:hAnsi="仿宋_GB2312" w:eastAsia="仿宋_GB2312" w:cs="仿宋_GB2312"/>
                <w:sz w:val="21"/>
              </w:rPr>
              <w:t>将室内、外观察到的鼠迹数填入记录表，并记录当晚气温。</w:t>
            </w:r>
          </w:p>
          <w:p w14:paraId="3E0524B0">
            <w:pPr>
              <w:pStyle w:val="4"/>
              <w:jc w:val="both"/>
            </w:pPr>
            <w:r>
              <w:rPr>
                <w:rFonts w:ascii="仿宋_GB2312" w:hAnsi="仿宋_GB2312" w:eastAsia="仿宋_GB2312" w:cs="仿宋_GB2312"/>
                <w:sz w:val="21"/>
              </w:rPr>
              <w:t>2.5蚤类密度监测</w:t>
            </w:r>
          </w:p>
          <w:p w14:paraId="7518D400">
            <w:pPr>
              <w:pStyle w:val="4"/>
              <w:jc w:val="both"/>
            </w:pPr>
            <w:r>
              <w:rPr>
                <w:rFonts w:ascii="仿宋_GB2312" w:hAnsi="仿宋_GB2312" w:eastAsia="仿宋_GB2312" w:cs="仿宋_GB2312"/>
                <w:sz w:val="21"/>
              </w:rPr>
              <w:t>在鼠类密度监测过程中，将捕获的鼠类用乙醚麻醉后梳检，全部不漏地收集鼠体寄生蚤类，同时对捕获的鼠类、蚤类进行分类鉴定、计数，将捕获到的蚤类监测结果填入记录表，并同时记录捕获的鼠类种类、性别、体重。</w:t>
            </w:r>
          </w:p>
          <w:p w14:paraId="7291D2EA">
            <w:pPr>
              <w:pStyle w:val="4"/>
              <w:jc w:val="both"/>
            </w:pPr>
            <w:r>
              <w:rPr>
                <w:rFonts w:ascii="仿宋_GB2312" w:hAnsi="仿宋_GB2312" w:eastAsia="仿宋_GB2312" w:cs="仿宋_GB2312"/>
                <w:sz w:val="21"/>
              </w:rPr>
              <w:t>鼠体总蚤指数和鼠体染蚤率计算：</w:t>
            </w:r>
          </w:p>
          <w:p w14:paraId="7A282F97">
            <w:pPr>
              <w:pStyle w:val="4"/>
              <w:jc w:val="both"/>
            </w:pPr>
            <w:r>
              <w:rPr>
                <w:rFonts w:ascii="仿宋_GB2312" w:hAnsi="仿宋_GB2312" w:eastAsia="仿宋_GB2312" w:cs="仿宋_GB2312"/>
                <w:sz w:val="21"/>
              </w:rPr>
              <w:t>鼠体总蚤指数＝获蚤总数/检鼠数</w:t>
            </w:r>
          </w:p>
          <w:p w14:paraId="25487B9D">
            <w:pPr>
              <w:pStyle w:val="4"/>
              <w:jc w:val="both"/>
            </w:pPr>
            <w:r>
              <w:rPr>
                <w:rFonts w:ascii="仿宋_GB2312" w:hAnsi="仿宋_GB2312" w:eastAsia="仿宋_GB2312" w:cs="仿宋_GB2312"/>
                <w:sz w:val="21"/>
              </w:rPr>
              <w:t>鼠体染蚤率（%）＝带蚤鼠数/检鼠数×100%</w:t>
            </w:r>
          </w:p>
          <w:p w14:paraId="6D6FFFF7">
            <w:pPr>
              <w:pStyle w:val="4"/>
              <w:jc w:val="both"/>
            </w:pPr>
            <w:r>
              <w:rPr>
                <w:rFonts w:ascii="仿宋_GB2312" w:hAnsi="仿宋_GB2312" w:eastAsia="仿宋_GB2312" w:cs="仿宋_GB2312"/>
                <w:sz w:val="21"/>
              </w:rPr>
              <w:t>2.6蜱虫监测</w:t>
            </w:r>
          </w:p>
          <w:p w14:paraId="53842F0D">
            <w:pPr>
              <w:pStyle w:val="4"/>
              <w:jc w:val="left"/>
            </w:pPr>
            <w:r>
              <w:rPr>
                <w:rFonts w:ascii="仿宋_GB2312" w:hAnsi="仿宋_GB2312" w:eastAsia="仿宋_GB2312" w:cs="仿宋_GB2312"/>
                <w:sz w:val="21"/>
              </w:rPr>
              <w:t>采用布旗法在选择的样地均匀的拖或挥旗，以每人每500m所捕获蜱数进行密度指数统计（单位只/布旗100米）。一般每一样地拖旗不能少于500m，时间不能少于30min。将附着在布旗上和拖蜱者身上的蜱用镊子捡起装入管内，立即旋紧管盖或塞紧塞子。每一样地的蜱放入同一管内或做一致编号，带回实验室进行相关的分类鉴定、计数和检测。</w:t>
            </w:r>
          </w:p>
        </w:tc>
      </w:tr>
    </w:tbl>
    <w:p w14:paraId="2DF6BD71">
      <w:pPr>
        <w:pStyle w:val="4"/>
        <w:jc w:val="left"/>
      </w:pPr>
      <w:r>
        <w:rPr>
          <w:rFonts w:ascii="仿宋_GB2312" w:hAnsi="仿宋_GB2312" w:eastAsia="仿宋_GB2312" w:cs="仿宋_GB2312"/>
        </w:rPr>
        <w:t>采购包2：</w:t>
      </w:r>
    </w:p>
    <w:p w14:paraId="7E7A854D">
      <w:pPr>
        <w:pStyle w:val="4"/>
        <w:jc w:val="left"/>
      </w:pPr>
      <w:r>
        <w:rPr>
          <w:rFonts w:ascii="仿宋_GB2312" w:hAnsi="仿宋_GB2312" w:eastAsia="仿宋_GB2312" w:cs="仿宋_GB2312"/>
        </w:rPr>
        <w:t>标的名称：成都世运会龙泉驿赛区病媒生物防制服务（东安湖体育公园室内项目场馆中心、东安湖体育公园户外项目场馆中心）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083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5EB7BD7">
            <w:pPr>
              <w:pStyle w:val="4"/>
              <w:jc w:val="center"/>
            </w:pPr>
            <w:r>
              <w:rPr>
                <w:rFonts w:ascii="仿宋_GB2312" w:hAnsi="仿宋_GB2312" w:eastAsia="仿宋_GB2312" w:cs="仿宋_GB2312"/>
              </w:rPr>
              <w:t>序号</w:t>
            </w:r>
          </w:p>
        </w:tc>
        <w:tc>
          <w:tcPr>
            <w:tcW w:w="581" w:type="dxa"/>
          </w:tcPr>
          <w:p w14:paraId="2B2C0691">
            <w:pPr>
              <w:pStyle w:val="4"/>
              <w:jc w:val="center"/>
            </w:pPr>
            <w:r>
              <w:rPr>
                <w:rFonts w:ascii="仿宋_GB2312" w:hAnsi="仿宋_GB2312" w:eastAsia="仿宋_GB2312" w:cs="仿宋_GB2312"/>
              </w:rPr>
              <w:t>符号标识</w:t>
            </w:r>
          </w:p>
        </w:tc>
        <w:tc>
          <w:tcPr>
            <w:tcW w:w="1495" w:type="dxa"/>
          </w:tcPr>
          <w:p w14:paraId="4A5FAB9F">
            <w:pPr>
              <w:pStyle w:val="4"/>
              <w:jc w:val="center"/>
            </w:pPr>
            <w:r>
              <w:rPr>
                <w:rFonts w:ascii="仿宋_GB2312" w:hAnsi="仿宋_GB2312" w:eastAsia="仿宋_GB2312" w:cs="仿宋_GB2312"/>
              </w:rPr>
              <w:t>技术要求名称</w:t>
            </w:r>
          </w:p>
        </w:tc>
        <w:tc>
          <w:tcPr>
            <w:tcW w:w="5814" w:type="dxa"/>
          </w:tcPr>
          <w:p w14:paraId="3FC61587">
            <w:pPr>
              <w:pStyle w:val="4"/>
              <w:jc w:val="center"/>
            </w:pPr>
            <w:r>
              <w:rPr>
                <w:rFonts w:ascii="仿宋_GB2312" w:hAnsi="仿宋_GB2312" w:eastAsia="仿宋_GB2312" w:cs="仿宋_GB2312"/>
              </w:rPr>
              <w:t>技术参数与性能指标</w:t>
            </w:r>
          </w:p>
        </w:tc>
      </w:tr>
      <w:tr w14:paraId="03FED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9D5BCF">
            <w:pPr>
              <w:pStyle w:val="4"/>
              <w:jc w:val="center"/>
            </w:pPr>
            <w:r>
              <w:rPr>
                <w:rFonts w:ascii="仿宋_GB2312" w:hAnsi="仿宋_GB2312" w:eastAsia="仿宋_GB2312" w:cs="仿宋_GB2312"/>
              </w:rPr>
              <w:t>1</w:t>
            </w:r>
          </w:p>
        </w:tc>
        <w:tc>
          <w:tcPr>
            <w:tcW w:w="581" w:type="dxa"/>
          </w:tcPr>
          <w:p w14:paraId="7B6574D1">
            <w:pPr>
              <w:pStyle w:val="4"/>
              <w:jc w:val="center"/>
            </w:pPr>
            <w:r>
              <w:rPr>
                <w:rFonts w:ascii="仿宋_GB2312" w:hAnsi="仿宋_GB2312" w:eastAsia="仿宋_GB2312" w:cs="仿宋_GB2312"/>
              </w:rPr>
              <w:t>★</w:t>
            </w:r>
          </w:p>
        </w:tc>
        <w:tc>
          <w:tcPr>
            <w:tcW w:w="1495" w:type="dxa"/>
          </w:tcPr>
          <w:p w14:paraId="497534C8">
            <w:pPr>
              <w:pStyle w:val="4"/>
              <w:jc w:val="left"/>
            </w:pPr>
            <w:r>
              <w:rPr>
                <w:rFonts w:ascii="仿宋_GB2312" w:hAnsi="仿宋_GB2312" w:eastAsia="仿宋_GB2312" w:cs="仿宋_GB2312"/>
              </w:rPr>
              <w:t>成都世运会龙泉驿赛区病媒生物防制服务（东安湖体育公园室内项目场馆中心、东安湖体育公园户外项目场馆中心）技术要求</w:t>
            </w:r>
          </w:p>
        </w:tc>
        <w:tc>
          <w:tcPr>
            <w:tcW w:w="5814" w:type="dxa"/>
          </w:tcPr>
          <w:p w14:paraId="575973A6">
            <w:pPr>
              <w:pStyle w:val="4"/>
              <w:jc w:val="both"/>
            </w:pPr>
            <w:r>
              <w:rPr>
                <w:rFonts w:ascii="仿宋_GB2312" w:hAnsi="仿宋_GB2312" w:eastAsia="仿宋_GB2312" w:cs="仿宋_GB2312"/>
                <w:sz w:val="21"/>
              </w:rPr>
              <w:t>（一）服务清单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31"/>
              <w:gridCol w:w="1022"/>
              <w:gridCol w:w="740"/>
            </w:tblGrid>
            <w:tr w14:paraId="646B2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7B63CCB">
                  <w:pPr>
                    <w:pStyle w:val="4"/>
                    <w:jc w:val="both"/>
                  </w:pPr>
                  <w:r>
                    <w:rPr>
                      <w:rFonts w:ascii="仿宋_GB2312" w:hAnsi="仿宋_GB2312" w:eastAsia="仿宋_GB2312" w:cs="仿宋_GB2312"/>
                      <w:sz w:val="21"/>
                    </w:rPr>
                    <w:t>服务内容</w:t>
                  </w:r>
                </w:p>
              </w:tc>
              <w:tc>
                <w:tcPr>
                  <w:tcW w:w="1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21220F7">
                  <w:pPr>
                    <w:pStyle w:val="4"/>
                    <w:jc w:val="both"/>
                  </w:pPr>
                  <w:r>
                    <w:rPr>
                      <w:rFonts w:ascii="仿宋_GB2312" w:hAnsi="仿宋_GB2312" w:eastAsia="仿宋_GB2312" w:cs="仿宋_GB2312"/>
                      <w:sz w:val="21"/>
                    </w:rPr>
                    <w:t>计量单位</w:t>
                  </w:r>
                </w:p>
              </w:tc>
              <w:tc>
                <w:tcPr>
                  <w:tcW w:w="74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B4B80DB">
                  <w:pPr>
                    <w:pStyle w:val="4"/>
                    <w:jc w:val="both"/>
                  </w:pPr>
                  <w:r>
                    <w:rPr>
                      <w:rFonts w:ascii="仿宋_GB2312" w:hAnsi="仿宋_GB2312" w:eastAsia="仿宋_GB2312" w:cs="仿宋_GB2312"/>
                      <w:sz w:val="21"/>
                    </w:rPr>
                    <w:t>数量</w:t>
                  </w:r>
                </w:p>
              </w:tc>
            </w:tr>
            <w:tr w14:paraId="772B7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08128F">
                  <w:pPr>
                    <w:pStyle w:val="4"/>
                    <w:jc w:val="both"/>
                  </w:pPr>
                  <w:r>
                    <w:rPr>
                      <w:rFonts w:ascii="仿宋_GB2312" w:hAnsi="仿宋_GB2312" w:eastAsia="仿宋_GB2312" w:cs="仿宋_GB2312"/>
                      <w:sz w:val="21"/>
                    </w:rPr>
                    <w:t>成都世运会龙泉驿赛区病媒生物防制服务（东安湖体育公园室内项目场馆中心、东安湖体育公园户外项目场馆中心）</w:t>
                  </w:r>
                </w:p>
              </w:tc>
              <w:tc>
                <w:tcPr>
                  <w:tcW w:w="1023" w:type="dxa"/>
                  <w:tcBorders>
                    <w:top w:val="nil"/>
                    <w:left w:val="nil"/>
                    <w:bottom w:val="single" w:color="000000" w:sz="4" w:space="0"/>
                    <w:right w:val="single" w:color="000000" w:sz="4" w:space="0"/>
                  </w:tcBorders>
                  <w:tcMar>
                    <w:top w:w="0" w:type="dxa"/>
                    <w:left w:w="105" w:type="dxa"/>
                    <w:bottom w:w="0" w:type="dxa"/>
                    <w:right w:w="105" w:type="dxa"/>
                  </w:tcMar>
                </w:tcPr>
                <w:p w14:paraId="46F561A7">
                  <w:pPr>
                    <w:pStyle w:val="4"/>
                    <w:jc w:val="both"/>
                  </w:pPr>
                  <w:r>
                    <w:rPr>
                      <w:rFonts w:ascii="仿宋_GB2312" w:hAnsi="仿宋_GB2312" w:eastAsia="仿宋_GB2312" w:cs="仿宋_GB2312"/>
                      <w:sz w:val="21"/>
                    </w:rPr>
                    <w:t>万平方米</w:t>
                  </w:r>
                </w:p>
              </w:tc>
              <w:tc>
                <w:tcPr>
                  <w:tcW w:w="740" w:type="dxa"/>
                  <w:tcBorders>
                    <w:top w:val="nil"/>
                    <w:left w:val="nil"/>
                    <w:bottom w:val="single" w:color="000000" w:sz="4" w:space="0"/>
                    <w:right w:val="single" w:color="000000" w:sz="4" w:space="0"/>
                  </w:tcBorders>
                  <w:tcMar>
                    <w:top w:w="0" w:type="dxa"/>
                    <w:left w:w="105" w:type="dxa"/>
                    <w:bottom w:w="0" w:type="dxa"/>
                    <w:right w:w="105" w:type="dxa"/>
                  </w:tcMar>
                </w:tcPr>
                <w:p w14:paraId="70CE29C0">
                  <w:pPr>
                    <w:pStyle w:val="4"/>
                    <w:jc w:val="both"/>
                  </w:pPr>
                  <w:r>
                    <w:rPr>
                      <w:rFonts w:ascii="仿宋_GB2312" w:hAnsi="仿宋_GB2312" w:eastAsia="仿宋_GB2312" w:cs="仿宋_GB2312"/>
                      <w:sz w:val="21"/>
                    </w:rPr>
                    <w:t>54.1</w:t>
                  </w:r>
                </w:p>
              </w:tc>
            </w:tr>
          </w:tbl>
          <w:p w14:paraId="77F4F4A8">
            <w:pPr>
              <w:pStyle w:val="4"/>
              <w:jc w:val="both"/>
            </w:pPr>
            <w:r>
              <w:rPr>
                <w:rFonts w:ascii="仿宋_GB2312" w:hAnsi="仿宋_GB2312" w:eastAsia="仿宋_GB2312" w:cs="仿宋_GB2312"/>
                <w:sz w:val="21"/>
              </w:rPr>
              <w:t>（二）服务内容及要求</w:t>
            </w:r>
          </w:p>
          <w:p w14:paraId="5B77D65A">
            <w:pPr>
              <w:pStyle w:val="4"/>
              <w:jc w:val="both"/>
            </w:pPr>
            <w:r>
              <w:rPr>
                <w:rFonts w:ascii="仿宋_GB2312" w:hAnsi="仿宋_GB2312" w:eastAsia="仿宋_GB2312" w:cs="仿宋_GB2312"/>
                <w:sz w:val="21"/>
              </w:rPr>
              <w:t>1、供应商应完成成都世运会龙泉驿赛区病媒生物防制服务（东安湖体育公园室内项目场馆中心、东安湖体育公园户外项目场馆中心）病媒生物防制工作，防制时间6-8月，室内外病媒生物密度至少达到国家控制水平标准B级水平，防鼠设施合格率至少达到97%，防蝇、防蚊设施合格率至少达到98%，室外有害生物密度（摇蚊、蠓、飞蛾等）得到有效控制；重点保障区周边500米范围内病媒生物密度至少达到国家控制水平标准C级，防鼠、防蝇、防蚊设施合格率至少达到95%。</w:t>
            </w:r>
          </w:p>
          <w:p w14:paraId="0477A46B">
            <w:pPr>
              <w:pStyle w:val="4"/>
              <w:jc w:val="both"/>
            </w:pPr>
            <w:r>
              <w:rPr>
                <w:rFonts w:ascii="仿宋_GB2312" w:hAnsi="仿宋_GB2312" w:eastAsia="仿宋_GB2312" w:cs="仿宋_GB2312"/>
                <w:sz w:val="21"/>
              </w:rPr>
              <w:t>2、技术原则</w:t>
            </w:r>
          </w:p>
          <w:p w14:paraId="2E9159F8">
            <w:pPr>
              <w:pStyle w:val="4"/>
              <w:jc w:val="both"/>
            </w:pPr>
            <w:r>
              <w:rPr>
                <w:rFonts w:ascii="仿宋_GB2312" w:hAnsi="仿宋_GB2312" w:eastAsia="仿宋_GB2312" w:cs="仿宋_GB2312"/>
                <w:sz w:val="21"/>
              </w:rPr>
              <w:t>全面调查。全面调查场馆及场馆周边500米范围内病媒生物危害情况，制定控制措施。</w:t>
            </w:r>
          </w:p>
          <w:p w14:paraId="2F50A0AA">
            <w:pPr>
              <w:pStyle w:val="4"/>
              <w:jc w:val="both"/>
            </w:pPr>
            <w:r>
              <w:rPr>
                <w:rFonts w:ascii="仿宋_GB2312" w:hAnsi="仿宋_GB2312" w:eastAsia="仿宋_GB2312" w:cs="仿宋_GB2312"/>
                <w:sz w:val="21"/>
              </w:rPr>
              <w:t>综合防制。以场馆为中心实行区域性防制，采取环境治理为主、化学防治为辅、物理防治、生物防治并重的综合防制措施。</w:t>
            </w:r>
          </w:p>
          <w:p w14:paraId="10A3FE61">
            <w:pPr>
              <w:pStyle w:val="4"/>
              <w:jc w:val="both"/>
            </w:pPr>
            <w:r>
              <w:rPr>
                <w:rFonts w:ascii="仿宋_GB2312" w:hAnsi="仿宋_GB2312" w:eastAsia="仿宋_GB2312" w:cs="仿宋_GB2312"/>
                <w:sz w:val="21"/>
              </w:rPr>
              <w:t>3、技术措施（本条中引用的相关国家标准，若国家有新标准出台，按国家最新标准执行）</w:t>
            </w:r>
          </w:p>
          <w:p w14:paraId="1141FC09">
            <w:pPr>
              <w:pStyle w:val="4"/>
              <w:jc w:val="both"/>
            </w:pPr>
            <w:r>
              <w:rPr>
                <w:rFonts w:ascii="仿宋_GB2312" w:hAnsi="仿宋_GB2312" w:eastAsia="仿宋_GB2312" w:cs="仿宋_GB2312"/>
                <w:sz w:val="21"/>
              </w:rPr>
              <w:t>3.1蚊类防制</w:t>
            </w:r>
          </w:p>
          <w:p w14:paraId="3C442B8D">
            <w:pPr>
              <w:pStyle w:val="4"/>
              <w:jc w:val="both"/>
            </w:pPr>
            <w:r>
              <w:rPr>
                <w:rFonts w:ascii="仿宋_GB2312" w:hAnsi="仿宋_GB2312" w:eastAsia="仿宋_GB2312" w:cs="仿宋_GB2312"/>
                <w:sz w:val="21"/>
              </w:rPr>
              <w:t>（1）环境防治</w:t>
            </w:r>
          </w:p>
          <w:p w14:paraId="480434DE">
            <w:pPr>
              <w:pStyle w:val="4"/>
              <w:jc w:val="both"/>
            </w:pPr>
            <w:r>
              <w:rPr>
                <w:rFonts w:ascii="仿宋_GB2312" w:hAnsi="仿宋_GB2312" w:eastAsia="仿宋_GB2312" w:cs="仿宋_GB2312"/>
                <w:sz w:val="21"/>
              </w:rPr>
              <w:t>①清除环境中各类积水。</w:t>
            </w:r>
          </w:p>
          <w:p w14:paraId="1B8546EA">
            <w:pPr>
              <w:pStyle w:val="4"/>
              <w:jc w:val="both"/>
            </w:pPr>
            <w:r>
              <w:rPr>
                <w:rFonts w:ascii="仿宋_GB2312" w:hAnsi="仿宋_GB2312" w:eastAsia="仿宋_GB2312" w:cs="仿宋_GB2312"/>
                <w:sz w:val="21"/>
              </w:rPr>
              <w:t>②清理环境中会产生积水的各种垃圾和杂物。</w:t>
            </w:r>
          </w:p>
          <w:p w14:paraId="4E69AA67">
            <w:pPr>
              <w:pStyle w:val="4"/>
              <w:jc w:val="both"/>
            </w:pPr>
            <w:r>
              <w:rPr>
                <w:rFonts w:ascii="仿宋_GB2312" w:hAnsi="仿宋_GB2312" w:eastAsia="仿宋_GB2312" w:cs="仿宋_GB2312"/>
                <w:sz w:val="21"/>
              </w:rPr>
              <w:t>③对废旧轮胎和陶罐进行管理。</w:t>
            </w:r>
          </w:p>
          <w:p w14:paraId="43E51CF5">
            <w:pPr>
              <w:pStyle w:val="4"/>
              <w:jc w:val="both"/>
            </w:pPr>
            <w:r>
              <w:rPr>
                <w:rFonts w:ascii="仿宋_GB2312" w:hAnsi="仿宋_GB2312" w:eastAsia="仿宋_GB2312" w:cs="仿宋_GB2312"/>
                <w:sz w:val="21"/>
              </w:rPr>
              <w:t>④填平积水坑、洼，疏通积水沟渠，下水道。</w:t>
            </w:r>
          </w:p>
          <w:p w14:paraId="510CACD5">
            <w:pPr>
              <w:pStyle w:val="4"/>
              <w:jc w:val="both"/>
            </w:pPr>
            <w:r>
              <w:rPr>
                <w:rFonts w:ascii="仿宋_GB2312" w:hAnsi="仿宋_GB2312" w:eastAsia="仿宋_GB2312" w:cs="仿宋_GB2312"/>
                <w:sz w:val="21"/>
              </w:rPr>
              <w:t>⑤封闭线缆沟槽和明沟。</w:t>
            </w:r>
          </w:p>
          <w:p w14:paraId="02C6AFF0">
            <w:pPr>
              <w:pStyle w:val="4"/>
              <w:jc w:val="both"/>
            </w:pPr>
            <w:r>
              <w:rPr>
                <w:rFonts w:ascii="仿宋_GB2312" w:hAnsi="仿宋_GB2312" w:eastAsia="仿宋_GB2312" w:cs="仿宋_GB2312"/>
                <w:sz w:val="21"/>
              </w:rPr>
              <w:t>⑥在建筑物的反梁结构和平顶屋设置排水系统，每周疏通清淤，雨棚要改造成斜坡，防止积水。</w:t>
            </w:r>
          </w:p>
          <w:p w14:paraId="4B1D161E">
            <w:pPr>
              <w:pStyle w:val="4"/>
              <w:jc w:val="both"/>
            </w:pPr>
            <w:r>
              <w:rPr>
                <w:rFonts w:ascii="仿宋_GB2312" w:hAnsi="仿宋_GB2312" w:eastAsia="仿宋_GB2312" w:cs="仿宋_GB2312"/>
                <w:sz w:val="21"/>
              </w:rPr>
              <w:t>⑦种养水生植物水池或容器每周清理、换水。</w:t>
            </w:r>
          </w:p>
          <w:p w14:paraId="0B93067D">
            <w:pPr>
              <w:pStyle w:val="4"/>
              <w:jc w:val="both"/>
            </w:pPr>
            <w:r>
              <w:rPr>
                <w:rFonts w:ascii="仿宋_GB2312" w:hAnsi="仿宋_GB2312" w:eastAsia="仿宋_GB2312" w:cs="仿宋_GB2312"/>
                <w:sz w:val="21"/>
              </w:rPr>
              <w:t>⑧应在可以放养鱼类的永久性积水容器中放养鱼类。</w:t>
            </w:r>
          </w:p>
          <w:p w14:paraId="3388D033">
            <w:pPr>
              <w:pStyle w:val="4"/>
              <w:jc w:val="both"/>
            </w:pPr>
            <w:r>
              <w:rPr>
                <w:rFonts w:ascii="仿宋_GB2312" w:hAnsi="仿宋_GB2312" w:eastAsia="仿宋_GB2312" w:cs="仿宋_GB2312"/>
                <w:sz w:val="21"/>
              </w:rPr>
              <w:t>（2）物理防治</w:t>
            </w:r>
          </w:p>
          <w:p w14:paraId="05541B12">
            <w:pPr>
              <w:pStyle w:val="4"/>
              <w:jc w:val="both"/>
            </w:pPr>
            <w:r>
              <w:rPr>
                <w:rFonts w:ascii="仿宋_GB2312" w:hAnsi="仿宋_GB2312" w:eastAsia="仿宋_GB2312" w:cs="仿宋_GB2312"/>
                <w:sz w:val="21"/>
              </w:rPr>
              <w:t>①成蚊可使用含有二氧化碳或化学引诱剂的诱蚊装置、光学诱蚊装置诱杀，该类器械使用时应避免其他干扰物影响。</w:t>
            </w:r>
          </w:p>
          <w:p w14:paraId="75AF3632">
            <w:pPr>
              <w:pStyle w:val="4"/>
              <w:jc w:val="both"/>
            </w:pPr>
            <w:r>
              <w:rPr>
                <w:rFonts w:ascii="仿宋_GB2312" w:hAnsi="仿宋_GB2312" w:eastAsia="仿宋_GB2312" w:cs="仿宋_GB2312"/>
                <w:sz w:val="21"/>
              </w:rPr>
              <w:t>②室内少量成蚊可用电蚊拍击杀。</w:t>
            </w:r>
          </w:p>
          <w:p w14:paraId="1836B0E6">
            <w:pPr>
              <w:pStyle w:val="4"/>
              <w:jc w:val="both"/>
            </w:pPr>
            <w:r>
              <w:rPr>
                <w:rFonts w:ascii="仿宋_GB2312" w:hAnsi="仿宋_GB2312" w:eastAsia="仿宋_GB2312" w:cs="仿宋_GB2312"/>
                <w:sz w:val="21"/>
              </w:rPr>
              <w:t>③蚊幼、蛹、卵等可采用开水烫杀或干燥杀灭。</w:t>
            </w:r>
          </w:p>
          <w:p w14:paraId="3F03F8F2">
            <w:pPr>
              <w:pStyle w:val="4"/>
              <w:jc w:val="both"/>
            </w:pPr>
            <w:r>
              <w:rPr>
                <w:rFonts w:ascii="仿宋_GB2312" w:hAnsi="仿宋_GB2312" w:eastAsia="仿宋_GB2312" w:cs="仿宋_GB2312"/>
                <w:sz w:val="21"/>
              </w:rPr>
              <w:t>④安装纱门纱窗，网眼密度纵向≥16孔/5cm、横向≥16孔/5cm。</w:t>
            </w:r>
          </w:p>
          <w:p w14:paraId="2F044180">
            <w:pPr>
              <w:pStyle w:val="4"/>
              <w:jc w:val="both"/>
            </w:pPr>
            <w:r>
              <w:rPr>
                <w:rFonts w:ascii="仿宋_GB2312" w:hAnsi="仿宋_GB2312" w:eastAsia="仿宋_GB2312" w:cs="仿宋_GB2312"/>
                <w:sz w:val="21"/>
              </w:rPr>
              <w:t>⑤下水道口安装防蚊闸、各类管井盖孔洞使用防蚊贴。</w:t>
            </w:r>
          </w:p>
          <w:p w14:paraId="12194D63">
            <w:pPr>
              <w:pStyle w:val="4"/>
              <w:jc w:val="both"/>
            </w:pPr>
            <w:r>
              <w:rPr>
                <w:rFonts w:ascii="仿宋_GB2312" w:hAnsi="仿宋_GB2312" w:eastAsia="仿宋_GB2312" w:cs="仿宋_GB2312"/>
                <w:sz w:val="21"/>
              </w:rPr>
              <w:t>（3）化学防治</w:t>
            </w:r>
          </w:p>
          <w:p w14:paraId="76695A40">
            <w:pPr>
              <w:pStyle w:val="4"/>
              <w:jc w:val="both"/>
            </w:pPr>
            <w:r>
              <w:rPr>
                <w:rFonts w:ascii="仿宋_GB2312" w:hAnsi="仿宋_GB2312" w:eastAsia="仿宋_GB2312" w:cs="仿宋_GB2312"/>
                <w:sz w:val="21"/>
              </w:rPr>
              <w:t>①对于尚未清理的孳生地或无法清除的积水（包括已经积水的轮胎、防火缸、下水道口）可以使用化学杀幼剂进行防制。</w:t>
            </w:r>
          </w:p>
          <w:p w14:paraId="3B246008">
            <w:pPr>
              <w:pStyle w:val="4"/>
              <w:jc w:val="both"/>
            </w:pPr>
            <w:r>
              <w:rPr>
                <w:rFonts w:ascii="仿宋_GB2312" w:hAnsi="仿宋_GB2312" w:eastAsia="仿宋_GB2312" w:cs="仿宋_GB2312"/>
                <w:sz w:val="21"/>
              </w:rPr>
              <w:t>②空间喷雾杀灭成蚊：</w:t>
            </w:r>
          </w:p>
          <w:p w14:paraId="520D1FE2">
            <w:pPr>
              <w:pStyle w:val="4"/>
              <w:jc w:val="both"/>
            </w:pPr>
            <w:r>
              <w:rPr>
                <w:rFonts w:ascii="仿宋_GB2312" w:hAnsi="仿宋_GB2312" w:eastAsia="仿宋_GB2312" w:cs="仿宋_GB2312"/>
                <w:sz w:val="21"/>
              </w:rPr>
              <w:t>空间喷雾杀虫剂形成的雾粒粒子应小于50微米，其中场馆内禁止使用烟雾机以及烟机、热烟雾剂等发烟性药剂。</w:t>
            </w:r>
          </w:p>
          <w:p w14:paraId="2A184235">
            <w:pPr>
              <w:pStyle w:val="4"/>
              <w:jc w:val="both"/>
            </w:pPr>
            <w:r>
              <w:rPr>
                <w:rFonts w:ascii="仿宋_GB2312" w:hAnsi="仿宋_GB2312" w:eastAsia="仿宋_GB2312" w:cs="仿宋_GB2312"/>
                <w:sz w:val="21"/>
              </w:rPr>
              <w:t>进行空间喷雾作业时应根据蚊虫种类、密度、环境特点选择药械和处理时间，一般在蚊虫活动高峰时段进行处理；</w:t>
            </w:r>
          </w:p>
          <w:p w14:paraId="0F7B9872">
            <w:pPr>
              <w:pStyle w:val="4"/>
              <w:jc w:val="both"/>
            </w:pPr>
            <w:r>
              <w:rPr>
                <w:rFonts w:ascii="仿宋_GB2312" w:hAnsi="仿宋_GB2312" w:eastAsia="仿宋_GB2312" w:cs="仿宋_GB2312"/>
                <w:sz w:val="21"/>
              </w:rPr>
              <w:t>在风速＜4m/s（15km/h）方可进行处理，处理时保持从下风向到上风向处理。</w:t>
            </w:r>
          </w:p>
          <w:p w14:paraId="050B37F9">
            <w:pPr>
              <w:pStyle w:val="4"/>
              <w:jc w:val="both"/>
            </w:pPr>
            <w:r>
              <w:rPr>
                <w:rFonts w:ascii="仿宋_GB2312" w:hAnsi="仿宋_GB2312" w:eastAsia="仿宋_GB2312" w:cs="仿宋_GB2312"/>
                <w:sz w:val="21"/>
              </w:rPr>
              <w:t>喷雾流量和喷雾移动速度可参照GB/T 31714-2015进行计算。</w:t>
            </w:r>
          </w:p>
          <w:p w14:paraId="3DC20286">
            <w:pPr>
              <w:pStyle w:val="4"/>
              <w:jc w:val="both"/>
            </w:pPr>
            <w:r>
              <w:rPr>
                <w:rFonts w:ascii="仿宋_GB2312" w:hAnsi="仿宋_GB2312" w:eastAsia="仿宋_GB2312" w:cs="仿宋_GB2312"/>
                <w:sz w:val="21"/>
              </w:rPr>
              <w:t>注意事项，作业前对现场人员进行警告，将食物、贵重设备、物品进行覆盖，移走宠物，熄灭火源；操作者应使用防护装备，按生产商提供的操作指南进行操作。</w:t>
            </w:r>
          </w:p>
          <w:p w14:paraId="1634DC60">
            <w:pPr>
              <w:pStyle w:val="4"/>
              <w:jc w:val="both"/>
            </w:pPr>
            <w:r>
              <w:rPr>
                <w:rFonts w:ascii="仿宋_GB2312" w:hAnsi="仿宋_GB2312" w:eastAsia="仿宋_GB2312" w:cs="仿宋_GB2312"/>
                <w:sz w:val="21"/>
              </w:rPr>
              <w:t>③用室内滞留喷洒防制成蚊，适用于防制在室内栖息的蚊虫，根据蚊虫栖息表面特点（不同吸收表面：墙面、家具面、玻璃面）选择所用杀虫剂和器械，具体喷洒方式参见GB/T 31715-2015。</w:t>
            </w:r>
          </w:p>
          <w:p w14:paraId="3CF06CEB">
            <w:pPr>
              <w:pStyle w:val="4"/>
              <w:jc w:val="both"/>
            </w:pPr>
            <w:r>
              <w:rPr>
                <w:rFonts w:ascii="仿宋_GB2312" w:hAnsi="仿宋_GB2312" w:eastAsia="仿宋_GB2312" w:cs="仿宋_GB2312"/>
                <w:sz w:val="21"/>
              </w:rPr>
              <w:t>（4）生物防治</w:t>
            </w:r>
          </w:p>
          <w:p w14:paraId="0B509526">
            <w:pPr>
              <w:pStyle w:val="4"/>
              <w:jc w:val="both"/>
            </w:pPr>
            <w:r>
              <w:rPr>
                <w:rFonts w:ascii="仿宋_GB2312" w:hAnsi="仿宋_GB2312" w:eastAsia="仿宋_GB2312" w:cs="仿宋_GB2312"/>
                <w:sz w:val="21"/>
              </w:rPr>
              <w:t>可在合适水体中饲养食蚊鱼类和使用细菌杀虫剂。</w:t>
            </w:r>
          </w:p>
          <w:p w14:paraId="3C257DEE">
            <w:pPr>
              <w:pStyle w:val="4"/>
              <w:jc w:val="both"/>
            </w:pPr>
            <w:r>
              <w:rPr>
                <w:rFonts w:ascii="仿宋_GB2312" w:hAnsi="仿宋_GB2312" w:eastAsia="仿宋_GB2312" w:cs="仿宋_GB2312"/>
                <w:sz w:val="21"/>
              </w:rPr>
              <w:t>3.2鼠类防制</w:t>
            </w:r>
          </w:p>
          <w:p w14:paraId="70163C76">
            <w:pPr>
              <w:pStyle w:val="4"/>
              <w:jc w:val="both"/>
            </w:pPr>
            <w:r>
              <w:rPr>
                <w:rFonts w:ascii="仿宋_GB2312" w:hAnsi="仿宋_GB2312" w:eastAsia="仿宋_GB2312" w:cs="仿宋_GB2312"/>
                <w:sz w:val="21"/>
              </w:rPr>
              <w:t>（1）环境防治</w:t>
            </w:r>
          </w:p>
          <w:p w14:paraId="719656B0">
            <w:pPr>
              <w:pStyle w:val="4"/>
              <w:jc w:val="both"/>
            </w:pPr>
            <w:r>
              <w:rPr>
                <w:rFonts w:ascii="仿宋_GB2312" w:hAnsi="仿宋_GB2312" w:eastAsia="仿宋_GB2312" w:cs="仿宋_GB2312"/>
                <w:sz w:val="21"/>
              </w:rPr>
              <w:t>①环境改造，平整地面，封堵建筑物与外界相通的孔洞及地面鼠洞，建筑物周围地面硬化，离墙1m范围内无杂草、树丛。</w:t>
            </w:r>
          </w:p>
          <w:p w14:paraId="77EC1CCF">
            <w:pPr>
              <w:pStyle w:val="4"/>
              <w:jc w:val="both"/>
            </w:pPr>
            <w:r>
              <w:rPr>
                <w:rFonts w:ascii="仿宋_GB2312" w:hAnsi="仿宋_GB2312" w:eastAsia="仿宋_GB2312" w:cs="仿宋_GB2312"/>
                <w:sz w:val="21"/>
              </w:rPr>
              <w:t>②清理室内外杂物，保持环境整洁。</w:t>
            </w:r>
          </w:p>
          <w:p w14:paraId="4B03A6E0">
            <w:pPr>
              <w:pStyle w:val="4"/>
              <w:jc w:val="both"/>
            </w:pPr>
            <w:r>
              <w:rPr>
                <w:rFonts w:ascii="仿宋_GB2312" w:hAnsi="仿宋_GB2312" w:eastAsia="仿宋_GB2312" w:cs="仿宋_GB2312"/>
                <w:sz w:val="21"/>
              </w:rPr>
              <w:t>③提醒场馆方生活垃圾日产日清，贮存容器密闭，不渗、不漏。</w:t>
            </w:r>
          </w:p>
          <w:p w14:paraId="03883A71">
            <w:pPr>
              <w:pStyle w:val="4"/>
              <w:jc w:val="both"/>
            </w:pPr>
            <w:r>
              <w:rPr>
                <w:rFonts w:ascii="仿宋_GB2312" w:hAnsi="仿宋_GB2312" w:eastAsia="仿宋_GB2312" w:cs="仿宋_GB2312"/>
                <w:sz w:val="21"/>
              </w:rPr>
              <w:t>（2）物理防治</w:t>
            </w:r>
          </w:p>
          <w:p w14:paraId="1CEEA63C">
            <w:pPr>
              <w:pStyle w:val="4"/>
              <w:jc w:val="both"/>
            </w:pPr>
            <w:r>
              <w:rPr>
                <w:rFonts w:ascii="仿宋_GB2312" w:hAnsi="仿宋_GB2312" w:eastAsia="仿宋_GB2312" w:cs="仿宋_GB2312"/>
                <w:sz w:val="21"/>
              </w:rPr>
              <w:t>①室内环境以及居民区内可利用捕鼠器械和粘鼠板进行捕杀鼠类，同时放置相关警示标识。</w:t>
            </w:r>
          </w:p>
          <w:p w14:paraId="0CCFF375">
            <w:pPr>
              <w:pStyle w:val="4"/>
              <w:jc w:val="both"/>
            </w:pPr>
            <w:r>
              <w:rPr>
                <w:rFonts w:ascii="仿宋_GB2312" w:hAnsi="仿宋_GB2312" w:eastAsia="仿宋_GB2312" w:cs="仿宋_GB2312"/>
                <w:sz w:val="21"/>
              </w:rPr>
              <w:t>②灭鼠器械的选择、应用的时间、位置应根据作业地点情况进行相应调整。</w:t>
            </w:r>
          </w:p>
          <w:p w14:paraId="4B9DE31D">
            <w:pPr>
              <w:pStyle w:val="4"/>
              <w:jc w:val="both"/>
            </w:pPr>
            <w:r>
              <w:rPr>
                <w:rFonts w:ascii="仿宋_GB2312" w:hAnsi="仿宋_GB2312" w:eastAsia="仿宋_GB2312" w:cs="仿宋_GB2312"/>
                <w:sz w:val="21"/>
              </w:rPr>
              <w:t>③不能封闭的建筑物与外界相通的管道、孔洞用间隔＜0.6cm的金属栏栅或直径＜0.6cm的金属孔网封堵。</w:t>
            </w:r>
          </w:p>
          <w:p w14:paraId="0AF084AA">
            <w:pPr>
              <w:pStyle w:val="4"/>
              <w:jc w:val="both"/>
            </w:pPr>
            <w:r>
              <w:rPr>
                <w:rFonts w:ascii="仿宋_GB2312" w:hAnsi="仿宋_GB2312" w:eastAsia="仿宋_GB2312" w:cs="仿宋_GB2312"/>
                <w:sz w:val="21"/>
              </w:rPr>
              <w:t>④门与门、门框、地面间隙应＜0.6cm，食品库房门口应设置高度＞60cm的挡鼠板；食堂和食物库房通向外部的木质门和框应镶高度＞30cm金属板或设置＞60cm的挡鼠板。</w:t>
            </w:r>
          </w:p>
          <w:p w14:paraId="33702FF8">
            <w:pPr>
              <w:pStyle w:val="4"/>
              <w:jc w:val="both"/>
            </w:pPr>
            <w:r>
              <w:rPr>
                <w:rFonts w:ascii="仿宋_GB2312" w:hAnsi="仿宋_GB2312" w:eastAsia="仿宋_GB2312" w:cs="仿宋_GB2312"/>
                <w:sz w:val="21"/>
              </w:rPr>
              <w:t>⑤地下室、平房、楼房1层的排风扇和通风口应设有间隔或孔径＜0.6cm的金属栏栅或网罩，门窗玻璃无破损。</w:t>
            </w:r>
          </w:p>
          <w:p w14:paraId="08F8496D">
            <w:pPr>
              <w:pStyle w:val="4"/>
              <w:jc w:val="both"/>
            </w:pPr>
            <w:r>
              <w:rPr>
                <w:rFonts w:ascii="仿宋_GB2312" w:hAnsi="仿宋_GB2312" w:eastAsia="仿宋_GB2312" w:cs="仿宋_GB2312"/>
                <w:sz w:val="21"/>
              </w:rPr>
              <w:t>⑥下水道口应有间隔或孔径＜1cm的金属栏栅或网格。</w:t>
            </w:r>
          </w:p>
          <w:p w14:paraId="1D64B78D">
            <w:pPr>
              <w:pStyle w:val="4"/>
              <w:jc w:val="both"/>
            </w:pPr>
            <w:r>
              <w:rPr>
                <w:rFonts w:ascii="仿宋_GB2312" w:hAnsi="仿宋_GB2312" w:eastAsia="仿宋_GB2312" w:cs="仿宋_GB2312"/>
                <w:sz w:val="21"/>
              </w:rPr>
              <w:t>（3）化学防治</w:t>
            </w:r>
          </w:p>
          <w:p w14:paraId="6755BEF8">
            <w:pPr>
              <w:pStyle w:val="4"/>
              <w:jc w:val="both"/>
            </w:pPr>
            <w:r>
              <w:rPr>
                <w:rFonts w:ascii="仿宋_GB2312" w:hAnsi="仿宋_GB2312" w:eastAsia="仿宋_GB2312" w:cs="仿宋_GB2312"/>
                <w:sz w:val="21"/>
              </w:rPr>
              <w:t>采用杀鼠剂进行灭鼠，杀鼠剂的种类和使用剂量参照《第12届世界运动会防制药械产品推介目录》，遵循安全使用准则。</w:t>
            </w:r>
          </w:p>
          <w:p w14:paraId="42889CDF">
            <w:pPr>
              <w:pStyle w:val="4"/>
              <w:jc w:val="both"/>
            </w:pPr>
            <w:r>
              <w:rPr>
                <w:rFonts w:ascii="仿宋_GB2312" w:hAnsi="仿宋_GB2312" w:eastAsia="仿宋_GB2312" w:cs="仿宋_GB2312"/>
                <w:sz w:val="21"/>
              </w:rPr>
              <w:t>3.3蝇类防制</w:t>
            </w:r>
          </w:p>
          <w:p w14:paraId="1357ADA8">
            <w:pPr>
              <w:pStyle w:val="4"/>
              <w:jc w:val="both"/>
            </w:pPr>
            <w:r>
              <w:rPr>
                <w:rFonts w:ascii="仿宋_GB2312" w:hAnsi="仿宋_GB2312" w:eastAsia="仿宋_GB2312" w:cs="仿宋_GB2312"/>
                <w:sz w:val="21"/>
              </w:rPr>
              <w:t>（1）环境防治</w:t>
            </w:r>
          </w:p>
          <w:p w14:paraId="4C31BE4B">
            <w:pPr>
              <w:pStyle w:val="4"/>
              <w:jc w:val="both"/>
            </w:pPr>
            <w:r>
              <w:rPr>
                <w:rFonts w:ascii="仿宋_GB2312" w:hAnsi="仿宋_GB2312" w:eastAsia="仿宋_GB2312" w:cs="仿宋_GB2312"/>
                <w:sz w:val="21"/>
              </w:rPr>
              <w:t>①清理卫生死角，清除孳生物，提醒场馆方进行生活垃圾和餐后食品垃圾管理。</w:t>
            </w:r>
          </w:p>
          <w:p w14:paraId="2F26F2F6">
            <w:pPr>
              <w:pStyle w:val="4"/>
              <w:jc w:val="both"/>
            </w:pPr>
            <w:r>
              <w:rPr>
                <w:rFonts w:ascii="仿宋_GB2312" w:hAnsi="仿宋_GB2312" w:eastAsia="仿宋_GB2312" w:cs="仿宋_GB2312"/>
                <w:sz w:val="21"/>
              </w:rPr>
              <w:t>②垃圾箱（桶）、泔水桶加盖密闭储放、清运。存放垃圾容器的地面应硬化，并保持清洁；垃圾容器清运后应彻底清洁，不留淤积物。</w:t>
            </w:r>
          </w:p>
          <w:p w14:paraId="1EE43ADD">
            <w:pPr>
              <w:pStyle w:val="4"/>
              <w:jc w:val="both"/>
            </w:pPr>
            <w:r>
              <w:rPr>
                <w:rFonts w:ascii="仿宋_GB2312" w:hAnsi="仿宋_GB2312" w:eastAsia="仿宋_GB2312" w:cs="仿宋_GB2312"/>
                <w:sz w:val="21"/>
              </w:rPr>
              <w:t>③垃圾采取袋装化和直运方式，淘汰垃圾池、垃圾通道储放垃圾方式。</w:t>
            </w:r>
          </w:p>
          <w:p w14:paraId="13E5BE05">
            <w:pPr>
              <w:pStyle w:val="4"/>
              <w:jc w:val="both"/>
            </w:pPr>
            <w:r>
              <w:rPr>
                <w:rFonts w:ascii="仿宋_GB2312" w:hAnsi="仿宋_GB2312" w:eastAsia="仿宋_GB2312" w:cs="仿宋_GB2312"/>
                <w:sz w:val="21"/>
              </w:rPr>
              <w:t>④建立厕所卫生清洁制度，完善防蝇设施，厕所周围1m内地面应硬化。</w:t>
            </w:r>
          </w:p>
          <w:p w14:paraId="5C068A2A">
            <w:pPr>
              <w:pStyle w:val="4"/>
              <w:jc w:val="both"/>
            </w:pPr>
            <w:r>
              <w:rPr>
                <w:rFonts w:ascii="仿宋_GB2312" w:hAnsi="仿宋_GB2312" w:eastAsia="仿宋_GB2312" w:cs="仿宋_GB2312"/>
                <w:sz w:val="21"/>
              </w:rPr>
              <w:t>⑤保证排水系统的畅通，以防堵塞后污水外溢、淤泥堆积，为蝇类孳生提供场所。</w:t>
            </w:r>
          </w:p>
          <w:p w14:paraId="6146F234">
            <w:pPr>
              <w:pStyle w:val="4"/>
              <w:jc w:val="both"/>
            </w:pPr>
            <w:r>
              <w:rPr>
                <w:rFonts w:ascii="仿宋_GB2312" w:hAnsi="仿宋_GB2312" w:eastAsia="仿宋_GB2312" w:cs="仿宋_GB2312"/>
                <w:sz w:val="21"/>
              </w:rPr>
              <w:t>（2）物理防治</w:t>
            </w:r>
          </w:p>
          <w:p w14:paraId="16CA3695">
            <w:pPr>
              <w:pStyle w:val="4"/>
              <w:jc w:val="both"/>
            </w:pPr>
            <w:r>
              <w:rPr>
                <w:rFonts w:ascii="仿宋_GB2312" w:hAnsi="仿宋_GB2312" w:eastAsia="仿宋_GB2312" w:cs="仿宋_GB2312"/>
                <w:sz w:val="21"/>
              </w:rPr>
              <w:t>①防蝇设施主要包括纱窗、纱罩、纱门、门帘及风幕机，安装需与门匹配。</w:t>
            </w:r>
          </w:p>
          <w:p w14:paraId="1B738C7F">
            <w:pPr>
              <w:pStyle w:val="4"/>
              <w:jc w:val="both"/>
            </w:pPr>
            <w:r>
              <w:rPr>
                <w:rFonts w:ascii="仿宋_GB2312" w:hAnsi="仿宋_GB2312" w:eastAsia="仿宋_GB2312" w:cs="仿宋_GB2312"/>
                <w:sz w:val="21"/>
              </w:rPr>
              <w:t>②门帘宽度须大于门洞宽度。胶帘式门帘的两胶片之间重叠处须≥4cm，胶片长度距地面宜≤ 0.5cm。宜在入门处增加缓冲间并在两口处都安装门帘。</w:t>
            </w:r>
          </w:p>
          <w:p w14:paraId="1929ADBD">
            <w:pPr>
              <w:pStyle w:val="4"/>
              <w:jc w:val="both"/>
            </w:pPr>
            <w:r>
              <w:rPr>
                <w:rFonts w:ascii="仿宋_GB2312" w:hAnsi="仿宋_GB2312" w:eastAsia="仿宋_GB2312" w:cs="仿宋_GB2312"/>
                <w:sz w:val="21"/>
              </w:rPr>
              <w:t>③风幕机吹出的风幅须大于门洞宽度，风幕机的风速应大于7.62m/s，风口向外倾斜30°。</w:t>
            </w:r>
          </w:p>
          <w:p w14:paraId="225D7DF2">
            <w:pPr>
              <w:pStyle w:val="4"/>
              <w:jc w:val="both"/>
            </w:pPr>
            <w:r>
              <w:rPr>
                <w:rFonts w:ascii="仿宋_GB2312" w:hAnsi="仿宋_GB2312" w:eastAsia="仿宋_GB2312" w:cs="仿宋_GB2312"/>
                <w:sz w:val="21"/>
              </w:rPr>
              <w:t>④防蝇设施应有专人负责，专人维护。</w:t>
            </w:r>
          </w:p>
          <w:p w14:paraId="34F0BBC2">
            <w:pPr>
              <w:pStyle w:val="4"/>
              <w:jc w:val="both"/>
            </w:pPr>
            <w:r>
              <w:rPr>
                <w:rFonts w:ascii="仿宋_GB2312" w:hAnsi="仿宋_GB2312" w:eastAsia="仿宋_GB2312" w:cs="仿宋_GB2312"/>
                <w:sz w:val="21"/>
              </w:rPr>
              <w:t>⑤室内有少量成蝇活动时，使用电蝇拍直接捕打灭蝇。</w:t>
            </w:r>
          </w:p>
          <w:p w14:paraId="201E1983">
            <w:pPr>
              <w:pStyle w:val="4"/>
              <w:jc w:val="both"/>
            </w:pPr>
            <w:r>
              <w:rPr>
                <w:rFonts w:ascii="仿宋_GB2312" w:hAnsi="仿宋_GB2312" w:eastAsia="仿宋_GB2312" w:cs="仿宋_GB2312"/>
                <w:sz w:val="21"/>
              </w:rPr>
              <w:t>⑥采用粘捕式灭蝇灯、电动捕蝇器、捕蝇笼、粘蝇纸，设置于蝇类活动区域诱捕或诱杀成蝇，并注意避免干扰物影响。</w:t>
            </w:r>
          </w:p>
          <w:p w14:paraId="6D576F2E">
            <w:pPr>
              <w:pStyle w:val="4"/>
              <w:jc w:val="both"/>
            </w:pPr>
            <w:r>
              <w:rPr>
                <w:rFonts w:ascii="仿宋_GB2312" w:hAnsi="仿宋_GB2312" w:eastAsia="仿宋_GB2312" w:cs="仿宋_GB2312"/>
                <w:sz w:val="21"/>
              </w:rPr>
              <w:t>（3）化学防治</w:t>
            </w:r>
          </w:p>
          <w:p w14:paraId="52D97970">
            <w:pPr>
              <w:pStyle w:val="4"/>
              <w:jc w:val="both"/>
            </w:pPr>
            <w:r>
              <w:rPr>
                <w:rFonts w:ascii="仿宋_GB2312" w:hAnsi="仿宋_GB2312" w:eastAsia="仿宋_GB2312" w:cs="仿宋_GB2312"/>
                <w:sz w:val="21"/>
              </w:rPr>
              <w:t>①可选择器械、杀虫剂进行消杀。</w:t>
            </w:r>
          </w:p>
          <w:p w14:paraId="304ADCB8">
            <w:pPr>
              <w:pStyle w:val="4"/>
              <w:jc w:val="both"/>
            </w:pPr>
            <w:r>
              <w:rPr>
                <w:rFonts w:ascii="仿宋_GB2312" w:hAnsi="仿宋_GB2312" w:eastAsia="仿宋_GB2312" w:cs="仿宋_GB2312"/>
                <w:sz w:val="21"/>
              </w:rPr>
              <w:t>②主要方法有：空间喷雾法、滞留喷洒法、毒饵法、毒蝇绳法参见GB/T 31718-2015。</w:t>
            </w:r>
          </w:p>
          <w:p w14:paraId="4AD400F0">
            <w:pPr>
              <w:pStyle w:val="4"/>
              <w:jc w:val="both"/>
            </w:pPr>
            <w:r>
              <w:rPr>
                <w:rFonts w:ascii="仿宋_GB2312" w:hAnsi="仿宋_GB2312" w:eastAsia="仿宋_GB2312" w:cs="仿宋_GB2312"/>
                <w:sz w:val="21"/>
              </w:rPr>
              <w:t>3.4蟑螂防制</w:t>
            </w:r>
          </w:p>
          <w:p w14:paraId="17E2AAF3">
            <w:pPr>
              <w:pStyle w:val="4"/>
              <w:jc w:val="both"/>
            </w:pPr>
            <w:r>
              <w:rPr>
                <w:rFonts w:ascii="仿宋_GB2312" w:hAnsi="仿宋_GB2312" w:eastAsia="仿宋_GB2312" w:cs="仿宋_GB2312"/>
                <w:sz w:val="21"/>
              </w:rPr>
              <w:t>（1）环境防治</w:t>
            </w:r>
          </w:p>
          <w:p w14:paraId="29CEC172">
            <w:pPr>
              <w:pStyle w:val="4"/>
              <w:jc w:val="both"/>
            </w:pPr>
            <w:r>
              <w:rPr>
                <w:rFonts w:ascii="仿宋_GB2312" w:hAnsi="仿宋_GB2312" w:eastAsia="仿宋_GB2312" w:cs="仿宋_GB2312"/>
                <w:sz w:val="21"/>
              </w:rPr>
              <w:t>①对建筑物裂缝、管线通道缝隙、地板以及门窗框缝隙进行堵塞，下水道口用细眼不锈钢金属网密封，清除蟑螂的栖息场所。物品进入室内之前应仔细检查，预防蟑螂及其卵鞘携带侵入。</w:t>
            </w:r>
          </w:p>
          <w:p w14:paraId="1BD7AD76">
            <w:pPr>
              <w:pStyle w:val="4"/>
              <w:jc w:val="both"/>
            </w:pPr>
            <w:r>
              <w:rPr>
                <w:rFonts w:ascii="仿宋_GB2312" w:hAnsi="仿宋_GB2312" w:eastAsia="仿宋_GB2312" w:cs="仿宋_GB2312"/>
                <w:sz w:val="21"/>
              </w:rPr>
              <w:t>②清理碗柜、杂物柜、书柜家具，整理堆积的杂物，清除蟑螂粪便、残骸，保持室内环境整洁有序。</w:t>
            </w:r>
          </w:p>
          <w:p w14:paraId="61AFE9D6">
            <w:pPr>
              <w:pStyle w:val="4"/>
              <w:jc w:val="both"/>
            </w:pPr>
            <w:r>
              <w:rPr>
                <w:rFonts w:ascii="仿宋_GB2312" w:hAnsi="仿宋_GB2312" w:eastAsia="仿宋_GB2312" w:cs="仿宋_GB2312"/>
                <w:sz w:val="21"/>
              </w:rPr>
              <w:t>③厨房和食品仓库应保持通风、干燥，灶台和桌面不留食物残渣、污物，地面、桌面保持洁净。</w:t>
            </w:r>
          </w:p>
          <w:p w14:paraId="5D839415">
            <w:pPr>
              <w:pStyle w:val="4"/>
              <w:jc w:val="both"/>
            </w:pPr>
            <w:r>
              <w:rPr>
                <w:rFonts w:ascii="仿宋_GB2312" w:hAnsi="仿宋_GB2312" w:eastAsia="仿宋_GB2312" w:cs="仿宋_GB2312"/>
                <w:sz w:val="21"/>
              </w:rPr>
              <w:t>（2）物理防治</w:t>
            </w:r>
          </w:p>
          <w:p w14:paraId="6B165A4E">
            <w:pPr>
              <w:pStyle w:val="4"/>
              <w:jc w:val="both"/>
            </w:pPr>
            <w:r>
              <w:rPr>
                <w:rFonts w:ascii="仿宋_GB2312" w:hAnsi="仿宋_GB2312" w:eastAsia="仿宋_GB2312" w:cs="仿宋_GB2312"/>
                <w:sz w:val="21"/>
              </w:rPr>
              <w:t>①用粘蟑纸、粘蟑盒粘捕蟑螂。粘蟑纸晚放晨收，诱捕到蟑螂后可烫杀或焚烧处理。</w:t>
            </w:r>
          </w:p>
          <w:p w14:paraId="0D10C109">
            <w:pPr>
              <w:pStyle w:val="4"/>
              <w:jc w:val="both"/>
            </w:pPr>
            <w:r>
              <w:rPr>
                <w:rFonts w:ascii="仿宋_GB2312" w:hAnsi="仿宋_GB2312" w:eastAsia="仿宋_GB2312" w:cs="仿宋_GB2312"/>
                <w:sz w:val="21"/>
              </w:rPr>
              <w:t>②厨房和食堂等蟑螂重点孳生场所，可用开水或蒸汽直接浇灌蟑螂栖息活动场所，烫杀蟑螂。</w:t>
            </w:r>
          </w:p>
          <w:p w14:paraId="50821585">
            <w:pPr>
              <w:pStyle w:val="4"/>
              <w:jc w:val="both"/>
            </w:pPr>
            <w:r>
              <w:rPr>
                <w:rFonts w:ascii="仿宋_GB2312" w:hAnsi="仿宋_GB2312" w:eastAsia="仿宋_GB2312" w:cs="仿宋_GB2312"/>
                <w:sz w:val="21"/>
              </w:rPr>
              <w:t>（3）化学防治</w:t>
            </w:r>
          </w:p>
          <w:p w14:paraId="142BFC94">
            <w:pPr>
              <w:pStyle w:val="4"/>
              <w:jc w:val="both"/>
            </w:pPr>
            <w:r>
              <w:rPr>
                <w:rFonts w:ascii="仿宋_GB2312" w:hAnsi="仿宋_GB2312" w:eastAsia="仿宋_GB2312" w:cs="仿宋_GB2312"/>
                <w:sz w:val="21"/>
              </w:rPr>
              <w:t>①可选择器械、杀虫剂进行处理。</w:t>
            </w:r>
          </w:p>
          <w:p w14:paraId="1BAD2995">
            <w:pPr>
              <w:pStyle w:val="4"/>
              <w:jc w:val="both"/>
            </w:pPr>
            <w:r>
              <w:rPr>
                <w:rFonts w:ascii="仿宋_GB2312" w:hAnsi="仿宋_GB2312" w:eastAsia="仿宋_GB2312" w:cs="仿宋_GB2312"/>
                <w:sz w:val="21"/>
              </w:rPr>
              <w:t>②化学防治应与防治方法综合使用，应根据蟑螂种类、习性、密度、环境特点、既往用药情况选择药、械和方法。</w:t>
            </w:r>
          </w:p>
          <w:p w14:paraId="75885FCB">
            <w:pPr>
              <w:pStyle w:val="4"/>
              <w:jc w:val="both"/>
            </w:pPr>
            <w:r>
              <w:rPr>
                <w:rFonts w:ascii="仿宋_GB2312" w:hAnsi="仿宋_GB2312" w:eastAsia="仿宋_GB2312" w:cs="仿宋_GB2312"/>
                <w:sz w:val="21"/>
              </w:rPr>
              <w:t>③主要方法有：毒粉法、毒笔法、涂抹法、颗粒毒饵法、胶饵法、气雾喷洒法、滞留喷洒法参见GB/T 31719-2015。</w:t>
            </w:r>
          </w:p>
          <w:p w14:paraId="2CAF21EF">
            <w:pPr>
              <w:pStyle w:val="4"/>
              <w:jc w:val="both"/>
            </w:pPr>
            <w:r>
              <w:rPr>
                <w:rFonts w:ascii="仿宋_GB2312" w:hAnsi="仿宋_GB2312" w:eastAsia="仿宋_GB2312" w:cs="仿宋_GB2312"/>
                <w:sz w:val="21"/>
              </w:rPr>
              <w:t>（4）生物防治</w:t>
            </w:r>
          </w:p>
          <w:p w14:paraId="5CD721AA">
            <w:pPr>
              <w:pStyle w:val="4"/>
              <w:jc w:val="both"/>
            </w:pPr>
            <w:r>
              <w:rPr>
                <w:rFonts w:ascii="仿宋_GB2312" w:hAnsi="仿宋_GB2312" w:eastAsia="仿宋_GB2312" w:cs="仿宋_GB2312"/>
                <w:sz w:val="21"/>
              </w:rPr>
              <w:t>①采用由蟑螂信息素、蟑螂病毒、病毒协调激活因子成分复配形成的杀蟑生物制剂进行生物防治。</w:t>
            </w:r>
          </w:p>
          <w:p w14:paraId="128ADDDA">
            <w:pPr>
              <w:pStyle w:val="4"/>
              <w:jc w:val="both"/>
            </w:pPr>
            <w:r>
              <w:rPr>
                <w:rFonts w:ascii="仿宋_GB2312" w:hAnsi="仿宋_GB2312" w:eastAsia="仿宋_GB2312" w:cs="仿宋_GB2312"/>
                <w:sz w:val="21"/>
              </w:rPr>
              <w:t>3.5卫生杀虫剂的安全使用</w:t>
            </w:r>
          </w:p>
          <w:p w14:paraId="46C7C829">
            <w:pPr>
              <w:pStyle w:val="4"/>
              <w:jc w:val="both"/>
            </w:pPr>
            <w:r>
              <w:rPr>
                <w:rFonts w:ascii="仿宋_GB2312" w:hAnsi="仿宋_GB2312" w:eastAsia="仿宋_GB2312" w:cs="仿宋_GB2312"/>
                <w:sz w:val="21"/>
              </w:rPr>
              <w:t>（1）卫生杀虫剂的安全配制</w:t>
            </w:r>
          </w:p>
          <w:p w14:paraId="6E9C01B7">
            <w:pPr>
              <w:pStyle w:val="4"/>
              <w:jc w:val="both"/>
            </w:pPr>
            <w:r>
              <w:rPr>
                <w:rFonts w:ascii="仿宋_GB2312" w:hAnsi="仿宋_GB2312" w:eastAsia="仿宋_GB2312" w:cs="仿宋_GB2312"/>
                <w:sz w:val="21"/>
              </w:rPr>
              <w:t>①卫生杀虫剂施药方法及施药浓度应参照产品使用说明书。特殊情况下，依据防制对象、施药场所因素可进行调整。</w:t>
            </w:r>
          </w:p>
          <w:p w14:paraId="4EEFD312">
            <w:pPr>
              <w:pStyle w:val="4"/>
              <w:jc w:val="both"/>
            </w:pPr>
            <w:r>
              <w:rPr>
                <w:rFonts w:ascii="仿宋_GB2312" w:hAnsi="仿宋_GB2312" w:eastAsia="仿宋_GB2312" w:cs="仿宋_GB2312"/>
                <w:sz w:val="21"/>
              </w:rPr>
              <w:t>②配制卫生杀虫剂应使用专用工具和容器，至少包括量筒、刻度烧杯、刻度吸管、取液器。工具、容器应有明显的“有毒物品”或“危险物品”的标志，未经清洗处理的专用器具不得转作他用或丢弃。</w:t>
            </w:r>
          </w:p>
          <w:p w14:paraId="3F774FBC">
            <w:pPr>
              <w:pStyle w:val="4"/>
              <w:jc w:val="both"/>
            </w:pPr>
            <w:r>
              <w:rPr>
                <w:rFonts w:ascii="仿宋_GB2312" w:hAnsi="仿宋_GB2312" w:eastAsia="仿宋_GB2312" w:cs="仿宋_GB2312"/>
                <w:sz w:val="21"/>
              </w:rPr>
              <w:t>③配制杀虫药剂应在通风的场所，配制人员要穿戴防护用品。</w:t>
            </w:r>
          </w:p>
          <w:p w14:paraId="3D44E48C">
            <w:pPr>
              <w:pStyle w:val="4"/>
              <w:jc w:val="both"/>
            </w:pPr>
            <w:r>
              <w:rPr>
                <w:rFonts w:ascii="仿宋_GB2312" w:hAnsi="仿宋_GB2312" w:eastAsia="仿宋_GB2312" w:cs="仿宋_GB2312"/>
                <w:sz w:val="21"/>
              </w:rPr>
              <w:t>④对于活性高、稀释倍数高的药剂应采用两次稀释法。应使用中性、无固体杂质、硬度不可过高的稀释药剂用水。说明书没有特别指出的，不得随意添加其他物质。</w:t>
            </w:r>
          </w:p>
          <w:p w14:paraId="1C3EDF5C">
            <w:pPr>
              <w:pStyle w:val="4"/>
              <w:jc w:val="both"/>
            </w:pPr>
            <w:r>
              <w:rPr>
                <w:rFonts w:ascii="仿宋_GB2312" w:hAnsi="仿宋_GB2312" w:eastAsia="仿宋_GB2312" w:cs="仿宋_GB2312"/>
                <w:sz w:val="21"/>
              </w:rPr>
              <w:t>（2）卫生杀虫剂的使用</w:t>
            </w:r>
          </w:p>
          <w:p w14:paraId="204E96B8">
            <w:pPr>
              <w:pStyle w:val="4"/>
              <w:jc w:val="both"/>
            </w:pPr>
            <w:r>
              <w:rPr>
                <w:rFonts w:ascii="仿宋_GB2312" w:hAnsi="仿宋_GB2312" w:eastAsia="仿宋_GB2312" w:cs="仿宋_GB2312"/>
                <w:sz w:val="21"/>
              </w:rPr>
              <w:t>①施药器械的选择应根据防治目的和药物剂型而定。</w:t>
            </w:r>
          </w:p>
          <w:p w14:paraId="55C0B920">
            <w:pPr>
              <w:pStyle w:val="4"/>
              <w:jc w:val="both"/>
            </w:pPr>
            <w:r>
              <w:rPr>
                <w:rFonts w:ascii="仿宋_GB2312" w:hAnsi="仿宋_GB2312" w:eastAsia="仿宋_GB2312" w:cs="仿宋_GB2312"/>
                <w:sz w:val="21"/>
              </w:rPr>
              <w:t>②施药人员应穿戴必要的个人防护用品，施药期间不得抽烟、进食、喝水，未经清洗的个人防护用品不得带回居所。</w:t>
            </w:r>
          </w:p>
          <w:p w14:paraId="60EAC3CF">
            <w:pPr>
              <w:pStyle w:val="4"/>
              <w:jc w:val="both"/>
            </w:pPr>
            <w:r>
              <w:rPr>
                <w:rFonts w:ascii="仿宋_GB2312" w:hAnsi="仿宋_GB2312" w:eastAsia="仿宋_GB2312" w:cs="仿宋_GB2312"/>
                <w:sz w:val="21"/>
              </w:rPr>
              <w:t>③施药场所的食品、待加工食品原料、直接与食品接触的容器应有遮盖，避免药液污染。应注意保护鱼类、鸟类等非靶标生物。</w:t>
            </w:r>
          </w:p>
          <w:p w14:paraId="17B5EF07">
            <w:pPr>
              <w:pStyle w:val="4"/>
              <w:jc w:val="both"/>
            </w:pPr>
            <w:r>
              <w:rPr>
                <w:rFonts w:ascii="仿宋_GB2312" w:hAnsi="仿宋_GB2312" w:eastAsia="仿宋_GB2312" w:cs="仿宋_GB2312"/>
                <w:sz w:val="21"/>
              </w:rPr>
              <w:t>④施药如有剩余，药液不能随意倾倒。</w:t>
            </w:r>
          </w:p>
          <w:p w14:paraId="7A525441">
            <w:pPr>
              <w:pStyle w:val="4"/>
              <w:jc w:val="both"/>
            </w:pPr>
            <w:r>
              <w:rPr>
                <w:rFonts w:ascii="仿宋_GB2312" w:hAnsi="仿宋_GB2312" w:eastAsia="仿宋_GB2312" w:cs="仿宋_GB2312"/>
                <w:sz w:val="21"/>
              </w:rPr>
              <w:t>（3）杀鼠剂的使用注意事项</w:t>
            </w:r>
          </w:p>
          <w:p w14:paraId="5003A008">
            <w:pPr>
              <w:pStyle w:val="4"/>
              <w:jc w:val="both"/>
            </w:pPr>
            <w:r>
              <w:rPr>
                <w:rFonts w:ascii="仿宋_GB2312" w:hAnsi="仿宋_GB2312" w:eastAsia="仿宋_GB2312" w:cs="仿宋_GB2312"/>
                <w:sz w:val="21"/>
              </w:rPr>
              <w:t>①使用成品毒饵，投放在毒饵盒内并设有警示标识。</w:t>
            </w:r>
          </w:p>
          <w:p w14:paraId="11669146">
            <w:pPr>
              <w:pStyle w:val="4"/>
              <w:jc w:val="both"/>
            </w:pPr>
            <w:r>
              <w:rPr>
                <w:rFonts w:ascii="仿宋_GB2312" w:hAnsi="仿宋_GB2312" w:eastAsia="仿宋_GB2312" w:cs="仿宋_GB2312"/>
                <w:sz w:val="21"/>
              </w:rPr>
              <w:t>②投放毒饵时以公告形式告知，并采取防止未成年人以及家畜、家禽、宠物接触毒饵的措施，直至毒饵清除。</w:t>
            </w:r>
          </w:p>
          <w:p w14:paraId="1FF2D1C1">
            <w:pPr>
              <w:pStyle w:val="4"/>
              <w:jc w:val="both"/>
            </w:pPr>
            <w:r>
              <w:rPr>
                <w:rFonts w:ascii="仿宋_GB2312" w:hAnsi="仿宋_GB2312" w:eastAsia="仿宋_GB2312" w:cs="仿宋_GB2312"/>
                <w:sz w:val="21"/>
              </w:rPr>
              <w:t>③毒饵警示期不得少于20天，警示期后投放者应立即清除残留毒饵。</w:t>
            </w:r>
          </w:p>
          <w:p w14:paraId="78EB9E9D">
            <w:pPr>
              <w:pStyle w:val="4"/>
              <w:jc w:val="both"/>
            </w:pPr>
            <w:r>
              <w:rPr>
                <w:rFonts w:ascii="仿宋_GB2312" w:hAnsi="仿宋_GB2312" w:eastAsia="仿宋_GB2312" w:cs="仿宋_GB2312"/>
                <w:sz w:val="21"/>
              </w:rPr>
              <w:t>（4）卫生杀虫剂、杀鼠剂的运输与储存</w:t>
            </w:r>
          </w:p>
          <w:p w14:paraId="6A3E836E">
            <w:pPr>
              <w:pStyle w:val="4"/>
              <w:jc w:val="both"/>
            </w:pPr>
            <w:r>
              <w:rPr>
                <w:rFonts w:ascii="仿宋_GB2312" w:hAnsi="仿宋_GB2312" w:eastAsia="仿宋_GB2312" w:cs="仿宋_GB2312"/>
                <w:sz w:val="21"/>
              </w:rPr>
              <w:t>①卫生杀虫剂、杀鼠剂在运输、储存、施用过程中，应由具有专人进行管理。</w:t>
            </w:r>
          </w:p>
          <w:p w14:paraId="6DA7FE00">
            <w:pPr>
              <w:pStyle w:val="4"/>
              <w:jc w:val="both"/>
            </w:pPr>
            <w:r>
              <w:rPr>
                <w:rFonts w:ascii="仿宋_GB2312" w:hAnsi="仿宋_GB2312" w:eastAsia="仿宋_GB2312" w:cs="仿宋_GB2312"/>
                <w:sz w:val="21"/>
              </w:rPr>
              <w:t>②卫生杀虫剂、杀鼠剂应置于专用仓库储存，并有专人进行登记管理。</w:t>
            </w:r>
          </w:p>
          <w:p w14:paraId="01752CF1">
            <w:pPr>
              <w:pStyle w:val="4"/>
              <w:jc w:val="both"/>
            </w:pPr>
            <w:r>
              <w:rPr>
                <w:rFonts w:ascii="仿宋_GB2312" w:hAnsi="仿宋_GB2312" w:eastAsia="仿宋_GB2312" w:cs="仿宋_GB2312"/>
                <w:sz w:val="21"/>
              </w:rPr>
              <w:t>4、供应商需负责杀虫剂、杀鼠剂包装废弃物的100%回收，并交由第三方处置机构进行处置，费用由供应商承担。</w:t>
            </w:r>
          </w:p>
          <w:p w14:paraId="1CD9C518">
            <w:pPr>
              <w:pStyle w:val="4"/>
              <w:jc w:val="both"/>
            </w:pPr>
            <w:r>
              <w:rPr>
                <w:rFonts w:ascii="仿宋_GB2312" w:hAnsi="仿宋_GB2312" w:eastAsia="仿宋_GB2312" w:cs="仿宋_GB2312"/>
                <w:sz w:val="21"/>
              </w:rPr>
              <w:t>5、防治服务所需药品要求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6"/>
              <w:gridCol w:w="1229"/>
              <w:gridCol w:w="1105"/>
              <w:gridCol w:w="1365"/>
              <w:gridCol w:w="908"/>
            </w:tblGrid>
            <w:tr w14:paraId="0D973E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4F4B5DA">
                  <w:pPr>
                    <w:pStyle w:val="4"/>
                    <w:jc w:val="both"/>
                  </w:pPr>
                  <w:r>
                    <w:rPr>
                      <w:rFonts w:ascii="仿宋_GB2312" w:hAnsi="仿宋_GB2312" w:eastAsia="仿宋_GB2312" w:cs="仿宋_GB2312"/>
                      <w:sz w:val="21"/>
                    </w:rPr>
                    <w:t>分类</w:t>
                  </w:r>
                </w:p>
              </w:tc>
              <w:tc>
                <w:tcPr>
                  <w:tcW w:w="124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CD550D6">
                  <w:pPr>
                    <w:pStyle w:val="4"/>
                    <w:jc w:val="both"/>
                  </w:pPr>
                  <w:r>
                    <w:rPr>
                      <w:rFonts w:ascii="仿宋_GB2312" w:hAnsi="仿宋_GB2312" w:eastAsia="仿宋_GB2312" w:cs="仿宋_GB2312"/>
                      <w:sz w:val="21"/>
                    </w:rPr>
                    <w:t>名称</w:t>
                  </w:r>
                </w:p>
              </w:tc>
              <w:tc>
                <w:tcPr>
                  <w:tcW w:w="11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9915F5C">
                  <w:pPr>
                    <w:pStyle w:val="4"/>
                    <w:jc w:val="both"/>
                  </w:pPr>
                  <w:r>
                    <w:rPr>
                      <w:rFonts w:ascii="仿宋_GB2312" w:hAnsi="仿宋_GB2312" w:eastAsia="仿宋_GB2312" w:cs="仿宋_GB2312"/>
                      <w:sz w:val="21"/>
                    </w:rPr>
                    <w:t>要求</w:t>
                  </w:r>
                </w:p>
              </w:tc>
              <w:tc>
                <w:tcPr>
                  <w:tcW w:w="132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8CAFA56">
                  <w:pPr>
                    <w:pStyle w:val="4"/>
                    <w:jc w:val="both"/>
                  </w:pPr>
                  <w:r>
                    <w:rPr>
                      <w:rFonts w:ascii="仿宋_GB2312" w:hAnsi="仿宋_GB2312" w:eastAsia="仿宋_GB2312" w:cs="仿宋_GB2312"/>
                      <w:sz w:val="21"/>
                    </w:rPr>
                    <w:t>单位</w:t>
                  </w:r>
                </w:p>
              </w:tc>
              <w:tc>
                <w:tcPr>
                  <w:tcW w:w="91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6D24A7F">
                  <w:pPr>
                    <w:pStyle w:val="4"/>
                    <w:jc w:val="both"/>
                  </w:pPr>
                  <w:r>
                    <w:rPr>
                      <w:rFonts w:ascii="仿宋_GB2312" w:hAnsi="仿宋_GB2312" w:eastAsia="仿宋_GB2312" w:cs="仿宋_GB2312"/>
                      <w:sz w:val="21"/>
                    </w:rPr>
                    <w:t>数量</w:t>
                  </w:r>
                </w:p>
              </w:tc>
            </w:tr>
            <w:tr w14:paraId="0A3518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F8E817">
                  <w:pPr>
                    <w:pStyle w:val="4"/>
                    <w:jc w:val="both"/>
                  </w:pPr>
                  <w:r>
                    <w:rPr>
                      <w:rFonts w:ascii="仿宋_GB2312" w:hAnsi="仿宋_GB2312" w:eastAsia="仿宋_GB2312" w:cs="仿宋_GB2312"/>
                      <w:sz w:val="21"/>
                    </w:rPr>
                    <w:t>灭鼠类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5782A657">
                  <w:pPr>
                    <w:pStyle w:val="4"/>
                    <w:jc w:val="both"/>
                  </w:pPr>
                  <w:r>
                    <w:rPr>
                      <w:rFonts w:ascii="仿宋_GB2312" w:hAnsi="仿宋_GB2312" w:eastAsia="仿宋_GB2312" w:cs="仿宋_GB2312"/>
                      <w:sz w:val="21"/>
                    </w:rPr>
                    <w:t>溴敌隆</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DC87C12">
                  <w:pPr>
                    <w:pStyle w:val="4"/>
                    <w:jc w:val="both"/>
                  </w:pPr>
                  <w:r>
                    <w:rPr>
                      <w:rFonts w:ascii="仿宋_GB2312" w:hAnsi="仿宋_GB2312" w:eastAsia="仿宋_GB2312" w:cs="仿宋_GB2312"/>
                      <w:sz w:val="21"/>
                    </w:rPr>
                    <w:t>安全规范投饵</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88E58C4">
                  <w:pPr>
                    <w:pStyle w:val="4"/>
                    <w:jc w:val="both"/>
                  </w:pPr>
                  <w:r>
                    <w:rPr>
                      <w:rFonts w:ascii="仿宋_GB2312" w:hAnsi="仿宋_GB2312" w:eastAsia="仿宋_GB2312" w:cs="仿宋_GB2312"/>
                      <w:sz w:val="21"/>
                    </w:rPr>
                    <w:t>0.005%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0D1877C7">
                  <w:pPr>
                    <w:pStyle w:val="4"/>
                    <w:jc w:val="both"/>
                  </w:pPr>
                  <w:r>
                    <w:rPr>
                      <w:rFonts w:ascii="仿宋_GB2312" w:hAnsi="仿宋_GB2312" w:eastAsia="仿宋_GB2312" w:cs="仿宋_GB2312"/>
                      <w:sz w:val="21"/>
                    </w:rPr>
                    <w:t>50kg</w:t>
                  </w:r>
                </w:p>
              </w:tc>
            </w:tr>
            <w:tr w14:paraId="758F92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7CB17261"/>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2C64BC78">
                  <w:pPr>
                    <w:pStyle w:val="4"/>
                    <w:jc w:val="both"/>
                  </w:pPr>
                  <w:r>
                    <w:rPr>
                      <w:rFonts w:ascii="仿宋_GB2312" w:hAnsi="仿宋_GB2312" w:eastAsia="仿宋_GB2312" w:cs="仿宋_GB2312"/>
                      <w:sz w:val="21"/>
                    </w:rPr>
                    <w:t>氟鼠灵</w:t>
                  </w:r>
                </w:p>
              </w:tc>
              <w:tc>
                <w:tcPr>
                  <w:tcW w:w="1120" w:type="dxa"/>
                  <w:vMerge w:val="continue"/>
                  <w:tcBorders>
                    <w:top w:val="nil"/>
                    <w:left w:val="nil"/>
                    <w:bottom w:val="single" w:color="000000" w:sz="4" w:space="0"/>
                    <w:right w:val="single" w:color="000000" w:sz="4" w:space="0"/>
                  </w:tcBorders>
                </w:tcPr>
                <w:p w14:paraId="6E0197B0"/>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BC250D4">
                  <w:pPr>
                    <w:pStyle w:val="4"/>
                    <w:jc w:val="both"/>
                  </w:pPr>
                  <w:r>
                    <w:rPr>
                      <w:rFonts w:ascii="仿宋_GB2312" w:hAnsi="仿宋_GB2312" w:eastAsia="仿宋_GB2312" w:cs="仿宋_GB2312"/>
                      <w:sz w:val="21"/>
                    </w:rPr>
                    <w:t>0.005%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04309222">
                  <w:pPr>
                    <w:pStyle w:val="4"/>
                    <w:jc w:val="both"/>
                  </w:pPr>
                  <w:r>
                    <w:rPr>
                      <w:rFonts w:ascii="仿宋_GB2312" w:hAnsi="仿宋_GB2312" w:eastAsia="仿宋_GB2312" w:cs="仿宋_GB2312"/>
                      <w:sz w:val="21"/>
                    </w:rPr>
                    <w:t>50kg</w:t>
                  </w:r>
                </w:p>
              </w:tc>
            </w:tr>
            <w:tr w14:paraId="570AE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3739ED">
                  <w:pPr>
                    <w:pStyle w:val="4"/>
                    <w:jc w:val="both"/>
                  </w:pPr>
                  <w:r>
                    <w:rPr>
                      <w:rFonts w:ascii="仿宋_GB2312" w:hAnsi="仿宋_GB2312" w:eastAsia="仿宋_GB2312" w:cs="仿宋_GB2312"/>
                      <w:sz w:val="21"/>
                    </w:rPr>
                    <w:t>灭蚊幼类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028FB92">
                  <w:pPr>
                    <w:pStyle w:val="4"/>
                    <w:jc w:val="both"/>
                  </w:pPr>
                  <w:r>
                    <w:rPr>
                      <w:rFonts w:ascii="仿宋_GB2312" w:hAnsi="仿宋_GB2312" w:eastAsia="仿宋_GB2312" w:cs="仿宋_GB2312"/>
                      <w:sz w:val="21"/>
                    </w:rPr>
                    <w:t>倍硫磷</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6F9B6512">
                  <w:pPr>
                    <w:pStyle w:val="4"/>
                    <w:jc w:val="both"/>
                  </w:pPr>
                  <w:r>
                    <w:rPr>
                      <w:rFonts w:ascii="仿宋_GB2312" w:hAnsi="仿宋_GB2312" w:eastAsia="仿宋_GB2312" w:cs="仿宋_GB2312"/>
                      <w:sz w:val="21"/>
                    </w:rPr>
                    <w:t>撒施、喷洒</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586271AB">
                  <w:pPr>
                    <w:pStyle w:val="4"/>
                    <w:jc w:val="both"/>
                  </w:pPr>
                  <w:r>
                    <w:rPr>
                      <w:rFonts w:ascii="仿宋_GB2312" w:hAnsi="仿宋_GB2312" w:eastAsia="仿宋_GB2312" w:cs="仿宋_GB2312"/>
                      <w:sz w:val="21"/>
                    </w:rPr>
                    <w:t>50%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6795FFD">
                  <w:pPr>
                    <w:pStyle w:val="4"/>
                    <w:jc w:val="both"/>
                  </w:pPr>
                  <w:r>
                    <w:rPr>
                      <w:rFonts w:ascii="仿宋_GB2312" w:hAnsi="仿宋_GB2312" w:eastAsia="仿宋_GB2312" w:cs="仿宋_GB2312"/>
                      <w:sz w:val="21"/>
                    </w:rPr>
                    <w:t>10kg</w:t>
                  </w:r>
                </w:p>
              </w:tc>
            </w:tr>
            <w:tr w14:paraId="740545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7DE66D3"/>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7CA0A74B">
                  <w:pPr>
                    <w:pStyle w:val="4"/>
                    <w:jc w:val="both"/>
                  </w:pPr>
                  <w:r>
                    <w:rPr>
                      <w:rFonts w:ascii="仿宋_GB2312" w:hAnsi="仿宋_GB2312" w:eastAsia="仿宋_GB2312" w:cs="仿宋_GB2312"/>
                      <w:sz w:val="21"/>
                    </w:rPr>
                    <w:t>苏云金杆菌</w:t>
                  </w:r>
                </w:p>
              </w:tc>
              <w:tc>
                <w:tcPr>
                  <w:tcW w:w="1120" w:type="dxa"/>
                  <w:vMerge w:val="continue"/>
                  <w:tcBorders>
                    <w:top w:val="nil"/>
                    <w:left w:val="nil"/>
                    <w:bottom w:val="single" w:color="000000" w:sz="4" w:space="0"/>
                    <w:right w:val="single" w:color="000000" w:sz="4" w:space="0"/>
                  </w:tcBorders>
                </w:tcPr>
                <w:p w14:paraId="7B3D7550"/>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7609D31">
                  <w:pPr>
                    <w:pStyle w:val="4"/>
                    <w:jc w:val="both"/>
                  </w:pPr>
                  <w:r>
                    <w:rPr>
                      <w:rFonts w:ascii="仿宋_GB2312" w:hAnsi="仿宋_GB2312" w:eastAsia="仿宋_GB2312" w:cs="仿宋_GB2312"/>
                      <w:sz w:val="21"/>
                    </w:rPr>
                    <w:t>200ITU/毫克</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A9D2AC6">
                  <w:pPr>
                    <w:pStyle w:val="4"/>
                    <w:jc w:val="both"/>
                  </w:pPr>
                  <w:r>
                    <w:rPr>
                      <w:rFonts w:ascii="仿宋_GB2312" w:hAnsi="仿宋_GB2312" w:eastAsia="仿宋_GB2312" w:cs="仿宋_GB2312"/>
                      <w:sz w:val="21"/>
                    </w:rPr>
                    <w:t>5kg</w:t>
                  </w:r>
                </w:p>
              </w:tc>
            </w:tr>
            <w:tr w14:paraId="323CF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409F4E3A"/>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0C030814">
                  <w:pPr>
                    <w:pStyle w:val="4"/>
                    <w:jc w:val="both"/>
                  </w:pPr>
                  <w:r>
                    <w:rPr>
                      <w:rFonts w:ascii="仿宋_GB2312" w:hAnsi="仿宋_GB2312" w:eastAsia="仿宋_GB2312" w:cs="仿宋_GB2312"/>
                      <w:sz w:val="21"/>
                    </w:rPr>
                    <w:t>吡丙醚</w:t>
                  </w:r>
                </w:p>
              </w:tc>
              <w:tc>
                <w:tcPr>
                  <w:tcW w:w="1120" w:type="dxa"/>
                  <w:vMerge w:val="continue"/>
                  <w:tcBorders>
                    <w:top w:val="nil"/>
                    <w:left w:val="nil"/>
                    <w:bottom w:val="single" w:color="000000" w:sz="4" w:space="0"/>
                    <w:right w:val="single" w:color="000000" w:sz="4" w:space="0"/>
                  </w:tcBorders>
                </w:tcPr>
                <w:p w14:paraId="4C3C725F"/>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E7CD426">
                  <w:pPr>
                    <w:pStyle w:val="4"/>
                    <w:jc w:val="both"/>
                  </w:pPr>
                  <w:r>
                    <w:rPr>
                      <w:rFonts w:ascii="仿宋_GB2312" w:hAnsi="仿宋_GB2312" w:eastAsia="仿宋_GB2312" w:cs="仿宋_GB2312"/>
                      <w:sz w:val="21"/>
                    </w:rPr>
                    <w:t>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59661680">
                  <w:pPr>
                    <w:pStyle w:val="4"/>
                    <w:jc w:val="both"/>
                  </w:pPr>
                  <w:r>
                    <w:rPr>
                      <w:rFonts w:ascii="仿宋_GB2312" w:hAnsi="仿宋_GB2312" w:eastAsia="仿宋_GB2312" w:cs="仿宋_GB2312"/>
                      <w:sz w:val="21"/>
                    </w:rPr>
                    <w:t>10kg</w:t>
                  </w:r>
                </w:p>
              </w:tc>
            </w:tr>
            <w:tr w14:paraId="7A04A3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7B21858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0F393ECE">
                  <w:pPr>
                    <w:pStyle w:val="4"/>
                    <w:jc w:val="both"/>
                  </w:pPr>
                  <w:r>
                    <w:rPr>
                      <w:rFonts w:ascii="仿宋_GB2312" w:hAnsi="仿宋_GB2312" w:eastAsia="仿宋_GB2312" w:cs="仿宋_GB2312"/>
                      <w:sz w:val="21"/>
                    </w:rPr>
                    <w:t>S-烯虫酯</w:t>
                  </w:r>
                </w:p>
              </w:tc>
              <w:tc>
                <w:tcPr>
                  <w:tcW w:w="1120" w:type="dxa"/>
                  <w:vMerge w:val="continue"/>
                  <w:tcBorders>
                    <w:top w:val="nil"/>
                    <w:left w:val="nil"/>
                    <w:bottom w:val="single" w:color="000000" w:sz="4" w:space="0"/>
                    <w:right w:val="single" w:color="000000" w:sz="4" w:space="0"/>
                  </w:tcBorders>
                </w:tcPr>
                <w:p w14:paraId="44D8135D"/>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7059402">
                  <w:pPr>
                    <w:pStyle w:val="4"/>
                    <w:jc w:val="both"/>
                  </w:pPr>
                  <w:r>
                    <w:rPr>
                      <w:rFonts w:ascii="仿宋_GB2312" w:hAnsi="仿宋_GB2312" w:eastAsia="仿宋_GB2312" w:cs="仿宋_GB2312"/>
                      <w:sz w:val="21"/>
                    </w:rPr>
                    <w:t>20%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7141A05">
                  <w:pPr>
                    <w:pStyle w:val="4"/>
                    <w:jc w:val="both"/>
                  </w:pPr>
                  <w:r>
                    <w:rPr>
                      <w:rFonts w:ascii="仿宋_GB2312" w:hAnsi="仿宋_GB2312" w:eastAsia="仿宋_GB2312" w:cs="仿宋_GB2312"/>
                      <w:sz w:val="21"/>
                    </w:rPr>
                    <w:t>5kg</w:t>
                  </w:r>
                </w:p>
              </w:tc>
            </w:tr>
            <w:tr w14:paraId="1CE79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98E020">
                  <w:pPr>
                    <w:pStyle w:val="4"/>
                    <w:jc w:val="both"/>
                  </w:pPr>
                  <w:r>
                    <w:rPr>
                      <w:rFonts w:ascii="仿宋_GB2312" w:hAnsi="仿宋_GB2312" w:eastAsia="仿宋_GB2312" w:cs="仿宋_GB2312"/>
                      <w:sz w:val="21"/>
                    </w:rPr>
                    <w:t>灭蚊蝇、蟑螂类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6FA56053">
                  <w:pPr>
                    <w:pStyle w:val="4"/>
                    <w:jc w:val="both"/>
                  </w:pPr>
                  <w:r>
                    <w:rPr>
                      <w:rFonts w:ascii="仿宋_GB2312" w:hAnsi="仿宋_GB2312" w:eastAsia="仿宋_GB2312" w:cs="仿宋_GB2312"/>
                      <w:sz w:val="21"/>
                    </w:rPr>
                    <w:t>高效氟氯氰菊酯</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1E5F553">
                  <w:pPr>
                    <w:pStyle w:val="4"/>
                    <w:jc w:val="both"/>
                  </w:pPr>
                  <w:r>
                    <w:rPr>
                      <w:rFonts w:ascii="仿宋_GB2312" w:hAnsi="仿宋_GB2312" w:eastAsia="仿宋_GB2312" w:cs="仿宋_GB2312"/>
                      <w:sz w:val="21"/>
                    </w:rPr>
                    <w:t>滞留喷洒</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8D08427">
                  <w:pPr>
                    <w:pStyle w:val="4"/>
                    <w:jc w:val="both"/>
                  </w:pPr>
                  <w:r>
                    <w:rPr>
                      <w:rFonts w:ascii="仿宋_GB2312" w:hAnsi="仿宋_GB2312" w:eastAsia="仿宋_GB2312" w:cs="仿宋_GB2312"/>
                      <w:sz w:val="21"/>
                    </w:rPr>
                    <w:t>2.5%--12.5%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412E3379">
                  <w:pPr>
                    <w:pStyle w:val="4"/>
                    <w:jc w:val="both"/>
                  </w:pPr>
                  <w:r>
                    <w:rPr>
                      <w:rFonts w:ascii="仿宋_GB2312" w:hAnsi="仿宋_GB2312" w:eastAsia="仿宋_GB2312" w:cs="仿宋_GB2312"/>
                      <w:sz w:val="21"/>
                    </w:rPr>
                    <w:t>10L</w:t>
                  </w:r>
                </w:p>
              </w:tc>
            </w:tr>
            <w:tr w14:paraId="6B78A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5730AA48"/>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6BD0DB3F">
                  <w:pPr>
                    <w:pStyle w:val="4"/>
                    <w:jc w:val="both"/>
                  </w:pPr>
                  <w:r>
                    <w:rPr>
                      <w:rFonts w:ascii="仿宋_GB2312" w:hAnsi="仿宋_GB2312" w:eastAsia="仿宋_GB2312" w:cs="仿宋_GB2312"/>
                      <w:sz w:val="21"/>
                    </w:rPr>
                    <w:t>氟氯·吡虫啉</w:t>
                  </w:r>
                </w:p>
              </w:tc>
              <w:tc>
                <w:tcPr>
                  <w:tcW w:w="1120" w:type="dxa"/>
                  <w:vMerge w:val="continue"/>
                  <w:tcBorders>
                    <w:top w:val="nil"/>
                    <w:left w:val="nil"/>
                    <w:bottom w:val="single" w:color="000000" w:sz="4" w:space="0"/>
                    <w:right w:val="single" w:color="000000" w:sz="4" w:space="0"/>
                  </w:tcBorders>
                </w:tcPr>
                <w:p w14:paraId="26E1E0EB"/>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4C001144">
                  <w:pPr>
                    <w:pStyle w:val="4"/>
                    <w:jc w:val="both"/>
                  </w:pPr>
                  <w:r>
                    <w:rPr>
                      <w:rFonts w:ascii="仿宋_GB2312" w:hAnsi="仿宋_GB2312" w:eastAsia="仿宋_GB2312" w:cs="仿宋_GB2312"/>
                      <w:sz w:val="21"/>
                    </w:rPr>
                    <w:t>31%</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4B4B8865">
                  <w:pPr>
                    <w:pStyle w:val="4"/>
                    <w:jc w:val="both"/>
                  </w:pPr>
                  <w:r>
                    <w:rPr>
                      <w:rFonts w:ascii="仿宋_GB2312" w:hAnsi="仿宋_GB2312" w:eastAsia="仿宋_GB2312" w:cs="仿宋_GB2312"/>
                      <w:sz w:val="21"/>
                    </w:rPr>
                    <w:t>10L</w:t>
                  </w:r>
                </w:p>
              </w:tc>
            </w:tr>
            <w:tr w14:paraId="6CBD99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5B2FFDB6"/>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34A504B9">
                  <w:pPr>
                    <w:pStyle w:val="4"/>
                    <w:jc w:val="both"/>
                  </w:pPr>
                  <w:r>
                    <w:rPr>
                      <w:rFonts w:ascii="仿宋_GB2312" w:hAnsi="仿宋_GB2312" w:eastAsia="仿宋_GB2312" w:cs="仿宋_GB2312"/>
                      <w:sz w:val="21"/>
                    </w:rPr>
                    <w:t>溴氰菊酯</w:t>
                  </w:r>
                </w:p>
              </w:tc>
              <w:tc>
                <w:tcPr>
                  <w:tcW w:w="1120" w:type="dxa"/>
                  <w:vMerge w:val="continue"/>
                  <w:tcBorders>
                    <w:top w:val="nil"/>
                    <w:left w:val="nil"/>
                    <w:bottom w:val="single" w:color="000000" w:sz="4" w:space="0"/>
                    <w:right w:val="single" w:color="000000" w:sz="4" w:space="0"/>
                  </w:tcBorders>
                </w:tcPr>
                <w:p w14:paraId="3F78D95E"/>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1C6D671">
                  <w:pPr>
                    <w:pStyle w:val="4"/>
                    <w:jc w:val="both"/>
                  </w:pPr>
                  <w:r>
                    <w:rPr>
                      <w:rFonts w:ascii="仿宋_GB2312" w:hAnsi="仿宋_GB2312" w:eastAsia="仿宋_GB2312" w:cs="仿宋_GB2312"/>
                      <w:sz w:val="21"/>
                    </w:rPr>
                    <w:t>2.5%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7A1C6CD">
                  <w:pPr>
                    <w:pStyle w:val="4"/>
                    <w:jc w:val="both"/>
                  </w:pPr>
                  <w:r>
                    <w:rPr>
                      <w:rFonts w:ascii="仿宋_GB2312" w:hAnsi="仿宋_GB2312" w:eastAsia="仿宋_GB2312" w:cs="仿宋_GB2312"/>
                      <w:sz w:val="21"/>
                    </w:rPr>
                    <w:t>10L</w:t>
                  </w:r>
                </w:p>
              </w:tc>
            </w:tr>
            <w:tr w14:paraId="2A61F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224B6909"/>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410FF4F8">
                  <w:pPr>
                    <w:pStyle w:val="4"/>
                    <w:jc w:val="both"/>
                  </w:pPr>
                  <w:r>
                    <w:rPr>
                      <w:rFonts w:ascii="仿宋_GB2312" w:hAnsi="仿宋_GB2312" w:eastAsia="仿宋_GB2312" w:cs="仿宋_GB2312"/>
                      <w:sz w:val="21"/>
                    </w:rPr>
                    <w:t>高效氯氰菊酯</w:t>
                  </w:r>
                </w:p>
              </w:tc>
              <w:tc>
                <w:tcPr>
                  <w:tcW w:w="1120" w:type="dxa"/>
                  <w:vMerge w:val="continue"/>
                  <w:tcBorders>
                    <w:top w:val="nil"/>
                    <w:left w:val="nil"/>
                    <w:bottom w:val="single" w:color="000000" w:sz="4" w:space="0"/>
                    <w:right w:val="single" w:color="000000" w:sz="4" w:space="0"/>
                  </w:tcBorders>
                </w:tcPr>
                <w:p w14:paraId="1988EAFC"/>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59A7B70">
                  <w:pPr>
                    <w:pStyle w:val="4"/>
                    <w:jc w:val="both"/>
                  </w:pPr>
                  <w:r>
                    <w:rPr>
                      <w:rFonts w:ascii="仿宋_GB2312" w:hAnsi="仿宋_GB2312" w:eastAsia="仿宋_GB2312" w:cs="仿宋_GB2312"/>
                      <w:sz w:val="21"/>
                    </w:rPr>
                    <w:t>5%、10%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2125C4AA">
                  <w:pPr>
                    <w:pStyle w:val="4"/>
                    <w:jc w:val="both"/>
                  </w:pPr>
                  <w:r>
                    <w:rPr>
                      <w:rFonts w:ascii="仿宋_GB2312" w:hAnsi="仿宋_GB2312" w:eastAsia="仿宋_GB2312" w:cs="仿宋_GB2312"/>
                      <w:sz w:val="21"/>
                    </w:rPr>
                    <w:t>10L</w:t>
                  </w:r>
                </w:p>
              </w:tc>
            </w:tr>
            <w:tr w14:paraId="35647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45F54028"/>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2C9DED0">
                  <w:pPr>
                    <w:pStyle w:val="4"/>
                    <w:jc w:val="both"/>
                  </w:pPr>
                  <w:r>
                    <w:rPr>
                      <w:rFonts w:ascii="仿宋_GB2312" w:hAnsi="仿宋_GB2312" w:eastAsia="仿宋_GB2312" w:cs="仿宋_GB2312"/>
                      <w:sz w:val="21"/>
                    </w:rPr>
                    <w:t>氯菊·烯丙菊</w:t>
                  </w:r>
                </w:p>
              </w:tc>
              <w:tc>
                <w:tcPr>
                  <w:tcW w:w="1120" w:type="dxa"/>
                  <w:vMerge w:val="continue"/>
                  <w:tcBorders>
                    <w:top w:val="nil"/>
                    <w:left w:val="nil"/>
                    <w:bottom w:val="single" w:color="000000" w:sz="4" w:space="0"/>
                    <w:right w:val="single" w:color="000000" w:sz="4" w:space="0"/>
                  </w:tcBorders>
                </w:tcPr>
                <w:p w14:paraId="56D2246F"/>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25BD4B6">
                  <w:pPr>
                    <w:pStyle w:val="4"/>
                    <w:jc w:val="both"/>
                  </w:pPr>
                  <w:r>
                    <w:rPr>
                      <w:rFonts w:ascii="仿宋_GB2312" w:hAnsi="仿宋_GB2312" w:eastAsia="仿宋_GB2312" w:cs="仿宋_GB2312"/>
                      <w:sz w:val="21"/>
                    </w:rPr>
                    <w:t>104克/升</w:t>
                  </w:r>
                </w:p>
                <w:p w14:paraId="45F94E25">
                  <w:pPr>
                    <w:pStyle w:val="4"/>
                    <w:jc w:val="both"/>
                  </w:pPr>
                  <w:r>
                    <w:rPr>
                      <w:rFonts w:ascii="仿宋_GB2312" w:hAnsi="仿宋_GB2312" w:eastAsia="仿宋_GB2312" w:cs="仿宋_GB2312"/>
                      <w:sz w:val="21"/>
                    </w:rPr>
                    <w:t>168.6克/升</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3185BA94">
                  <w:pPr>
                    <w:pStyle w:val="4"/>
                    <w:jc w:val="both"/>
                  </w:pPr>
                  <w:r>
                    <w:rPr>
                      <w:rFonts w:ascii="仿宋_GB2312" w:hAnsi="仿宋_GB2312" w:eastAsia="仿宋_GB2312" w:cs="仿宋_GB2312"/>
                      <w:sz w:val="21"/>
                    </w:rPr>
                    <w:t>10L</w:t>
                  </w:r>
                </w:p>
              </w:tc>
            </w:tr>
            <w:tr w14:paraId="743833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20D6D99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257D9DE">
                  <w:pPr>
                    <w:pStyle w:val="4"/>
                    <w:jc w:val="both"/>
                  </w:pPr>
                  <w:r>
                    <w:rPr>
                      <w:rFonts w:ascii="仿宋_GB2312" w:hAnsi="仿宋_GB2312" w:eastAsia="仿宋_GB2312" w:cs="仿宋_GB2312"/>
                      <w:sz w:val="21"/>
                    </w:rPr>
                    <w:t>烯丙·氯菊</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7A15DB22">
                  <w:pPr>
                    <w:pStyle w:val="4"/>
                    <w:jc w:val="both"/>
                  </w:pPr>
                  <w:r>
                    <w:rPr>
                      <w:rFonts w:ascii="仿宋_GB2312" w:hAnsi="仿宋_GB2312" w:eastAsia="仿宋_GB2312" w:cs="仿宋_GB2312"/>
                      <w:sz w:val="21"/>
                    </w:rPr>
                    <w:t>空间喷雾</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68E1B5E">
                  <w:pPr>
                    <w:pStyle w:val="4"/>
                    <w:jc w:val="both"/>
                  </w:pPr>
                  <w:r>
                    <w:rPr>
                      <w:rFonts w:ascii="仿宋_GB2312" w:hAnsi="仿宋_GB2312" w:eastAsia="仿宋_GB2312" w:cs="仿宋_GB2312"/>
                      <w:sz w:val="21"/>
                    </w:rPr>
                    <w:t>10%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0B2124B5">
                  <w:pPr>
                    <w:pStyle w:val="4"/>
                    <w:jc w:val="both"/>
                  </w:pPr>
                  <w:r>
                    <w:rPr>
                      <w:rFonts w:ascii="仿宋_GB2312" w:hAnsi="仿宋_GB2312" w:eastAsia="仿宋_GB2312" w:cs="仿宋_GB2312"/>
                      <w:sz w:val="21"/>
                    </w:rPr>
                    <w:t>10L</w:t>
                  </w:r>
                </w:p>
              </w:tc>
            </w:tr>
            <w:tr w14:paraId="50C8C3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3D261CE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5EA7495F">
                  <w:pPr>
                    <w:pStyle w:val="4"/>
                    <w:jc w:val="both"/>
                  </w:pPr>
                  <w:r>
                    <w:rPr>
                      <w:rFonts w:ascii="仿宋_GB2312" w:hAnsi="仿宋_GB2312" w:eastAsia="仿宋_GB2312" w:cs="仿宋_GB2312"/>
                      <w:sz w:val="21"/>
                    </w:rPr>
                    <w:t>氯菊酯·四氟苯菊酯</w:t>
                  </w:r>
                </w:p>
              </w:tc>
              <w:tc>
                <w:tcPr>
                  <w:tcW w:w="1120" w:type="dxa"/>
                  <w:vMerge w:val="continue"/>
                  <w:tcBorders>
                    <w:top w:val="nil"/>
                    <w:left w:val="nil"/>
                    <w:bottom w:val="single" w:color="000000" w:sz="4" w:space="0"/>
                    <w:right w:val="single" w:color="000000" w:sz="4" w:space="0"/>
                  </w:tcBorders>
                </w:tcPr>
                <w:p w14:paraId="1F809F87"/>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3F3E1E36">
                  <w:pPr>
                    <w:pStyle w:val="4"/>
                    <w:jc w:val="both"/>
                  </w:pPr>
                  <w:r>
                    <w:rPr>
                      <w:rFonts w:ascii="仿宋_GB2312" w:hAnsi="仿宋_GB2312" w:eastAsia="仿宋_GB2312" w:cs="仿宋_GB2312"/>
                      <w:sz w:val="21"/>
                    </w:rPr>
                    <w:t>1.2%</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1BFAFDF0">
                  <w:pPr>
                    <w:pStyle w:val="4"/>
                    <w:jc w:val="both"/>
                  </w:pPr>
                  <w:r>
                    <w:rPr>
                      <w:rFonts w:ascii="仿宋_GB2312" w:hAnsi="仿宋_GB2312" w:eastAsia="仿宋_GB2312" w:cs="仿宋_GB2312"/>
                      <w:sz w:val="21"/>
                    </w:rPr>
                    <w:t>10L</w:t>
                  </w:r>
                </w:p>
              </w:tc>
            </w:tr>
            <w:tr w14:paraId="6A511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4341AD9C"/>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B4720CB">
                  <w:pPr>
                    <w:pStyle w:val="4"/>
                    <w:jc w:val="both"/>
                  </w:pPr>
                  <w:r>
                    <w:rPr>
                      <w:rFonts w:ascii="仿宋_GB2312" w:hAnsi="仿宋_GB2312" w:eastAsia="仿宋_GB2312" w:cs="仿宋_GB2312"/>
                      <w:sz w:val="21"/>
                    </w:rPr>
                    <w:t>氯菊酯·四氟苯菊酯</w:t>
                  </w:r>
                </w:p>
              </w:tc>
              <w:tc>
                <w:tcPr>
                  <w:tcW w:w="1120" w:type="dxa"/>
                  <w:vMerge w:val="continue"/>
                  <w:tcBorders>
                    <w:top w:val="nil"/>
                    <w:left w:val="nil"/>
                    <w:bottom w:val="single" w:color="000000" w:sz="4" w:space="0"/>
                    <w:right w:val="single" w:color="000000" w:sz="4" w:space="0"/>
                  </w:tcBorders>
                </w:tcPr>
                <w:p w14:paraId="72B3DAEE"/>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479B4EE8">
                  <w:pPr>
                    <w:pStyle w:val="4"/>
                    <w:jc w:val="both"/>
                  </w:pPr>
                  <w:r>
                    <w:rPr>
                      <w:rFonts w:ascii="仿宋_GB2312" w:hAnsi="仿宋_GB2312" w:eastAsia="仿宋_GB2312" w:cs="仿宋_GB2312"/>
                      <w:sz w:val="21"/>
                    </w:rPr>
                    <w:t>6%</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28AF0E1">
                  <w:pPr>
                    <w:pStyle w:val="4"/>
                    <w:jc w:val="both"/>
                  </w:pPr>
                  <w:r>
                    <w:rPr>
                      <w:rFonts w:ascii="仿宋_GB2312" w:hAnsi="仿宋_GB2312" w:eastAsia="仿宋_GB2312" w:cs="仿宋_GB2312"/>
                      <w:sz w:val="21"/>
                    </w:rPr>
                    <w:t>10L</w:t>
                  </w:r>
                </w:p>
              </w:tc>
            </w:tr>
            <w:tr w14:paraId="29CE0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4A10235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7B2434B6">
                  <w:pPr>
                    <w:pStyle w:val="4"/>
                    <w:jc w:val="both"/>
                  </w:pPr>
                  <w:r>
                    <w:rPr>
                      <w:rFonts w:ascii="仿宋_GB2312" w:hAnsi="仿宋_GB2312" w:eastAsia="仿宋_GB2312" w:cs="仿宋_GB2312"/>
                      <w:sz w:val="21"/>
                    </w:rPr>
                    <w:t>氯菊酯·四氟醚菊酯</w:t>
                  </w:r>
                </w:p>
              </w:tc>
              <w:tc>
                <w:tcPr>
                  <w:tcW w:w="1120" w:type="dxa"/>
                  <w:vMerge w:val="continue"/>
                  <w:tcBorders>
                    <w:top w:val="nil"/>
                    <w:left w:val="nil"/>
                    <w:bottom w:val="single" w:color="000000" w:sz="4" w:space="0"/>
                    <w:right w:val="single" w:color="000000" w:sz="4" w:space="0"/>
                  </w:tcBorders>
                </w:tcPr>
                <w:p w14:paraId="3AB62F07"/>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46290649">
                  <w:pPr>
                    <w:pStyle w:val="4"/>
                    <w:jc w:val="both"/>
                  </w:pPr>
                  <w:r>
                    <w:rPr>
                      <w:rFonts w:ascii="仿宋_GB2312" w:hAnsi="仿宋_GB2312" w:eastAsia="仿宋_GB2312" w:cs="仿宋_GB2312"/>
                      <w:sz w:val="21"/>
                    </w:rPr>
                    <w:t>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56625A4B">
                  <w:pPr>
                    <w:pStyle w:val="4"/>
                    <w:jc w:val="both"/>
                  </w:pPr>
                  <w:r>
                    <w:rPr>
                      <w:rFonts w:ascii="仿宋_GB2312" w:hAnsi="仿宋_GB2312" w:eastAsia="仿宋_GB2312" w:cs="仿宋_GB2312"/>
                      <w:sz w:val="21"/>
                    </w:rPr>
                    <w:t>10L</w:t>
                  </w:r>
                </w:p>
              </w:tc>
            </w:tr>
            <w:tr w14:paraId="5B407E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9E4ECC9"/>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23C60954">
                  <w:pPr>
                    <w:pStyle w:val="4"/>
                    <w:jc w:val="both"/>
                  </w:pPr>
                  <w:r>
                    <w:rPr>
                      <w:rFonts w:ascii="仿宋_GB2312" w:hAnsi="仿宋_GB2312" w:eastAsia="仿宋_GB2312" w:cs="仿宋_GB2312"/>
                      <w:sz w:val="21"/>
                    </w:rPr>
                    <w:t>吡虫啉</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0860682">
                  <w:pPr>
                    <w:pStyle w:val="4"/>
                    <w:jc w:val="both"/>
                  </w:pPr>
                  <w:r>
                    <w:rPr>
                      <w:rFonts w:ascii="仿宋_GB2312" w:hAnsi="仿宋_GB2312" w:eastAsia="仿宋_GB2312" w:cs="仿宋_GB2312"/>
                      <w:sz w:val="21"/>
                    </w:rPr>
                    <w:t>投放</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403B8838">
                  <w:pPr>
                    <w:pStyle w:val="4"/>
                    <w:jc w:val="both"/>
                  </w:pPr>
                  <w:r>
                    <w:rPr>
                      <w:rFonts w:ascii="仿宋_GB2312" w:hAnsi="仿宋_GB2312" w:eastAsia="仿宋_GB2312" w:cs="仿宋_GB2312"/>
                      <w:sz w:val="21"/>
                    </w:rPr>
                    <w:t>2.5%</w:t>
                  </w:r>
                </w:p>
                <w:p w14:paraId="4E589C94">
                  <w:pPr>
                    <w:pStyle w:val="4"/>
                    <w:jc w:val="both"/>
                  </w:pPr>
                  <w:r>
                    <w:rPr>
                      <w:rFonts w:ascii="仿宋_GB2312" w:hAnsi="仿宋_GB2312" w:eastAsia="仿宋_GB2312" w:cs="仿宋_GB2312"/>
                      <w:sz w:val="21"/>
                    </w:rPr>
                    <w:t>2.15%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177BBB48">
                  <w:pPr>
                    <w:pStyle w:val="4"/>
                    <w:jc w:val="both"/>
                  </w:pPr>
                  <w:r>
                    <w:rPr>
                      <w:rFonts w:ascii="仿宋_GB2312" w:hAnsi="仿宋_GB2312" w:eastAsia="仿宋_GB2312" w:cs="仿宋_GB2312"/>
                      <w:sz w:val="21"/>
                    </w:rPr>
                    <w:t>10L</w:t>
                  </w:r>
                </w:p>
              </w:tc>
            </w:tr>
            <w:tr w14:paraId="36EE7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32B6C43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808064F">
                  <w:pPr>
                    <w:pStyle w:val="4"/>
                    <w:jc w:val="both"/>
                  </w:pPr>
                  <w:r>
                    <w:rPr>
                      <w:rFonts w:ascii="仿宋_GB2312" w:hAnsi="仿宋_GB2312" w:eastAsia="仿宋_GB2312" w:cs="仿宋_GB2312"/>
                      <w:sz w:val="21"/>
                    </w:rPr>
                    <w:t>呋虫胺</w:t>
                  </w:r>
                </w:p>
              </w:tc>
              <w:tc>
                <w:tcPr>
                  <w:tcW w:w="1120" w:type="dxa"/>
                  <w:vMerge w:val="continue"/>
                  <w:tcBorders>
                    <w:top w:val="nil"/>
                    <w:left w:val="nil"/>
                    <w:bottom w:val="single" w:color="000000" w:sz="4" w:space="0"/>
                    <w:right w:val="single" w:color="000000" w:sz="4" w:space="0"/>
                  </w:tcBorders>
                </w:tcPr>
                <w:p w14:paraId="025265B3"/>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201BAB70">
                  <w:pPr>
                    <w:pStyle w:val="4"/>
                    <w:jc w:val="both"/>
                  </w:pPr>
                  <w:r>
                    <w:rPr>
                      <w:rFonts w:ascii="仿宋_GB2312" w:hAnsi="仿宋_GB2312" w:eastAsia="仿宋_GB2312" w:cs="仿宋_GB2312"/>
                      <w:sz w:val="21"/>
                    </w:rPr>
                    <w:t>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09DB2E05">
                  <w:pPr>
                    <w:pStyle w:val="4"/>
                    <w:jc w:val="both"/>
                  </w:pPr>
                  <w:r>
                    <w:rPr>
                      <w:rFonts w:ascii="仿宋_GB2312" w:hAnsi="仿宋_GB2312" w:eastAsia="仿宋_GB2312" w:cs="仿宋_GB2312"/>
                      <w:sz w:val="21"/>
                    </w:rPr>
                    <w:t>10L</w:t>
                  </w:r>
                </w:p>
              </w:tc>
            </w:tr>
          </w:tbl>
          <w:p w14:paraId="73FEBDA3">
            <w:pPr>
              <w:pStyle w:val="4"/>
              <w:jc w:val="left"/>
            </w:pPr>
            <w:r>
              <w:rPr>
                <w:rFonts w:ascii="仿宋_GB2312" w:hAnsi="仿宋_GB2312" w:eastAsia="仿宋_GB2312" w:cs="仿宋_GB2312"/>
                <w:sz w:val="21"/>
              </w:rPr>
              <w:t>注：以上药品预估数量是最低数量，具体用量以实际为准。</w:t>
            </w:r>
          </w:p>
        </w:tc>
      </w:tr>
    </w:tbl>
    <w:p w14:paraId="68005A47">
      <w:pPr>
        <w:pStyle w:val="4"/>
        <w:jc w:val="left"/>
      </w:pPr>
      <w:r>
        <w:rPr>
          <w:rFonts w:ascii="仿宋_GB2312" w:hAnsi="仿宋_GB2312" w:eastAsia="仿宋_GB2312" w:cs="仿宋_GB2312"/>
        </w:rPr>
        <w:t>采购包3：</w:t>
      </w:r>
    </w:p>
    <w:p w14:paraId="0A33AF2E">
      <w:pPr>
        <w:pStyle w:val="4"/>
        <w:jc w:val="left"/>
      </w:pPr>
      <w:r>
        <w:rPr>
          <w:rFonts w:ascii="仿宋_GB2312" w:hAnsi="仿宋_GB2312" w:eastAsia="仿宋_GB2312" w:cs="仿宋_GB2312"/>
        </w:rPr>
        <w:t>标的名称：成都世运会龙泉驿赛区病媒生物防制服务（青龙湖射箭场馆中心、龙泉中学荷球场馆中心室内外）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C33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6278F4">
            <w:pPr>
              <w:pStyle w:val="4"/>
              <w:jc w:val="center"/>
            </w:pPr>
            <w:r>
              <w:rPr>
                <w:rFonts w:ascii="仿宋_GB2312" w:hAnsi="仿宋_GB2312" w:eastAsia="仿宋_GB2312" w:cs="仿宋_GB2312"/>
              </w:rPr>
              <w:t>序号</w:t>
            </w:r>
          </w:p>
        </w:tc>
        <w:tc>
          <w:tcPr>
            <w:tcW w:w="581" w:type="dxa"/>
          </w:tcPr>
          <w:p w14:paraId="3268DEB6">
            <w:pPr>
              <w:pStyle w:val="4"/>
              <w:jc w:val="center"/>
            </w:pPr>
            <w:r>
              <w:rPr>
                <w:rFonts w:ascii="仿宋_GB2312" w:hAnsi="仿宋_GB2312" w:eastAsia="仿宋_GB2312" w:cs="仿宋_GB2312"/>
              </w:rPr>
              <w:t>符号标识</w:t>
            </w:r>
          </w:p>
        </w:tc>
        <w:tc>
          <w:tcPr>
            <w:tcW w:w="1495" w:type="dxa"/>
          </w:tcPr>
          <w:p w14:paraId="271F5C41">
            <w:pPr>
              <w:pStyle w:val="4"/>
              <w:jc w:val="center"/>
            </w:pPr>
            <w:r>
              <w:rPr>
                <w:rFonts w:ascii="仿宋_GB2312" w:hAnsi="仿宋_GB2312" w:eastAsia="仿宋_GB2312" w:cs="仿宋_GB2312"/>
              </w:rPr>
              <w:t>技术要求名称</w:t>
            </w:r>
          </w:p>
        </w:tc>
        <w:tc>
          <w:tcPr>
            <w:tcW w:w="5814" w:type="dxa"/>
          </w:tcPr>
          <w:p w14:paraId="5CE83E09">
            <w:pPr>
              <w:pStyle w:val="4"/>
              <w:jc w:val="center"/>
            </w:pPr>
            <w:r>
              <w:rPr>
                <w:rFonts w:ascii="仿宋_GB2312" w:hAnsi="仿宋_GB2312" w:eastAsia="仿宋_GB2312" w:cs="仿宋_GB2312"/>
              </w:rPr>
              <w:t>技术参数与性能指标</w:t>
            </w:r>
          </w:p>
        </w:tc>
      </w:tr>
      <w:tr w14:paraId="40129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69B21D">
            <w:pPr>
              <w:pStyle w:val="4"/>
              <w:jc w:val="center"/>
            </w:pPr>
            <w:r>
              <w:rPr>
                <w:rFonts w:ascii="仿宋_GB2312" w:hAnsi="仿宋_GB2312" w:eastAsia="仿宋_GB2312" w:cs="仿宋_GB2312"/>
              </w:rPr>
              <w:t>1</w:t>
            </w:r>
          </w:p>
        </w:tc>
        <w:tc>
          <w:tcPr>
            <w:tcW w:w="581" w:type="dxa"/>
          </w:tcPr>
          <w:p w14:paraId="56B5DF88">
            <w:pPr>
              <w:pStyle w:val="4"/>
              <w:jc w:val="center"/>
            </w:pPr>
            <w:r>
              <w:rPr>
                <w:rFonts w:ascii="仿宋_GB2312" w:hAnsi="仿宋_GB2312" w:eastAsia="仿宋_GB2312" w:cs="仿宋_GB2312"/>
              </w:rPr>
              <w:t>★</w:t>
            </w:r>
          </w:p>
        </w:tc>
        <w:tc>
          <w:tcPr>
            <w:tcW w:w="1495" w:type="dxa"/>
          </w:tcPr>
          <w:p w14:paraId="6F22D1A2">
            <w:pPr>
              <w:pStyle w:val="4"/>
              <w:jc w:val="left"/>
            </w:pPr>
            <w:r>
              <w:rPr>
                <w:rFonts w:ascii="仿宋_GB2312" w:hAnsi="仿宋_GB2312" w:eastAsia="仿宋_GB2312" w:cs="仿宋_GB2312"/>
              </w:rPr>
              <w:t>成都世运会龙泉驿赛区病媒生物防制服务（青龙湖射箭场馆中心、龙泉中学荷球场馆中心室内外）技术要求</w:t>
            </w:r>
          </w:p>
        </w:tc>
        <w:tc>
          <w:tcPr>
            <w:tcW w:w="5814" w:type="dxa"/>
          </w:tcPr>
          <w:p w14:paraId="1E83B4F0">
            <w:pPr>
              <w:pStyle w:val="4"/>
              <w:jc w:val="both"/>
            </w:pPr>
            <w:r>
              <w:rPr>
                <w:rFonts w:ascii="仿宋_GB2312" w:hAnsi="仿宋_GB2312" w:eastAsia="仿宋_GB2312" w:cs="仿宋_GB2312"/>
                <w:sz w:val="21"/>
              </w:rPr>
              <w:t>（一）服务清单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31"/>
              <w:gridCol w:w="1022"/>
              <w:gridCol w:w="740"/>
            </w:tblGrid>
            <w:tr w14:paraId="26605B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BC479D6">
                  <w:pPr>
                    <w:pStyle w:val="4"/>
                    <w:jc w:val="center"/>
                  </w:pPr>
                  <w:r>
                    <w:rPr>
                      <w:rFonts w:ascii="仿宋_GB2312" w:hAnsi="仿宋_GB2312" w:eastAsia="仿宋_GB2312" w:cs="仿宋_GB2312"/>
                      <w:sz w:val="21"/>
                    </w:rPr>
                    <w:t>服务内容</w:t>
                  </w:r>
                </w:p>
              </w:tc>
              <w:tc>
                <w:tcPr>
                  <w:tcW w:w="10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75877D1">
                  <w:pPr>
                    <w:pStyle w:val="4"/>
                    <w:jc w:val="center"/>
                  </w:pPr>
                  <w:r>
                    <w:rPr>
                      <w:rFonts w:ascii="仿宋_GB2312" w:hAnsi="仿宋_GB2312" w:eastAsia="仿宋_GB2312" w:cs="仿宋_GB2312"/>
                      <w:sz w:val="21"/>
                    </w:rPr>
                    <w:t>计量单位</w:t>
                  </w:r>
                </w:p>
              </w:tc>
              <w:tc>
                <w:tcPr>
                  <w:tcW w:w="74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BE5B6F2">
                  <w:pPr>
                    <w:pStyle w:val="4"/>
                    <w:jc w:val="center"/>
                  </w:pPr>
                  <w:r>
                    <w:rPr>
                      <w:rFonts w:ascii="仿宋_GB2312" w:hAnsi="仿宋_GB2312" w:eastAsia="仿宋_GB2312" w:cs="仿宋_GB2312"/>
                      <w:sz w:val="21"/>
                    </w:rPr>
                    <w:t>数量</w:t>
                  </w:r>
                </w:p>
              </w:tc>
            </w:tr>
            <w:tr w14:paraId="09FD0C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CE6B12">
                  <w:pPr>
                    <w:pStyle w:val="4"/>
                    <w:jc w:val="center"/>
                  </w:pPr>
                  <w:r>
                    <w:rPr>
                      <w:rFonts w:ascii="仿宋_GB2312" w:hAnsi="仿宋_GB2312" w:eastAsia="仿宋_GB2312" w:cs="仿宋_GB2312"/>
                      <w:sz w:val="21"/>
                    </w:rPr>
                    <w:t>成都世运会龙泉驿赛区病媒生物防制服务（青龙湖射箭场馆中心、龙泉中学荷球场馆中心室内外）</w:t>
                  </w:r>
                </w:p>
              </w:tc>
              <w:tc>
                <w:tcPr>
                  <w:tcW w:w="1023" w:type="dxa"/>
                  <w:tcBorders>
                    <w:top w:val="nil"/>
                    <w:left w:val="nil"/>
                    <w:bottom w:val="single" w:color="000000" w:sz="4" w:space="0"/>
                    <w:right w:val="single" w:color="000000" w:sz="4" w:space="0"/>
                  </w:tcBorders>
                  <w:tcMar>
                    <w:top w:w="0" w:type="dxa"/>
                    <w:left w:w="105" w:type="dxa"/>
                    <w:bottom w:w="0" w:type="dxa"/>
                    <w:right w:w="105" w:type="dxa"/>
                  </w:tcMar>
                </w:tcPr>
                <w:p w14:paraId="4E317C64">
                  <w:pPr>
                    <w:pStyle w:val="4"/>
                    <w:jc w:val="center"/>
                  </w:pPr>
                  <w:r>
                    <w:rPr>
                      <w:rFonts w:ascii="仿宋_GB2312" w:hAnsi="仿宋_GB2312" w:eastAsia="仿宋_GB2312" w:cs="仿宋_GB2312"/>
                      <w:sz w:val="21"/>
                    </w:rPr>
                    <w:t>万平方米</w:t>
                  </w:r>
                </w:p>
              </w:tc>
              <w:tc>
                <w:tcPr>
                  <w:tcW w:w="740" w:type="dxa"/>
                  <w:tcBorders>
                    <w:top w:val="nil"/>
                    <w:left w:val="nil"/>
                    <w:bottom w:val="single" w:color="000000" w:sz="4" w:space="0"/>
                    <w:right w:val="single" w:color="000000" w:sz="4" w:space="0"/>
                  </w:tcBorders>
                  <w:tcMar>
                    <w:top w:w="0" w:type="dxa"/>
                    <w:left w:w="105" w:type="dxa"/>
                    <w:bottom w:w="0" w:type="dxa"/>
                    <w:right w:w="105" w:type="dxa"/>
                  </w:tcMar>
                </w:tcPr>
                <w:p w14:paraId="1758BB77">
                  <w:pPr>
                    <w:pStyle w:val="4"/>
                    <w:jc w:val="center"/>
                  </w:pPr>
                  <w:r>
                    <w:rPr>
                      <w:rFonts w:ascii="仿宋_GB2312" w:hAnsi="仿宋_GB2312" w:eastAsia="仿宋_GB2312" w:cs="仿宋_GB2312"/>
                      <w:sz w:val="21"/>
                    </w:rPr>
                    <w:t>57</w:t>
                  </w:r>
                </w:p>
              </w:tc>
            </w:tr>
          </w:tbl>
          <w:p w14:paraId="065E9409">
            <w:pPr>
              <w:pStyle w:val="4"/>
              <w:jc w:val="both"/>
            </w:pPr>
            <w:r>
              <w:rPr>
                <w:rFonts w:ascii="仿宋_GB2312" w:hAnsi="仿宋_GB2312" w:eastAsia="仿宋_GB2312" w:cs="仿宋_GB2312"/>
                <w:sz w:val="21"/>
              </w:rPr>
              <w:t>（二）服务内容及要求</w:t>
            </w:r>
          </w:p>
          <w:p w14:paraId="56125BE0">
            <w:pPr>
              <w:pStyle w:val="4"/>
              <w:jc w:val="both"/>
            </w:pPr>
            <w:r>
              <w:rPr>
                <w:rFonts w:ascii="仿宋_GB2312" w:hAnsi="仿宋_GB2312" w:eastAsia="仿宋_GB2312" w:cs="仿宋_GB2312"/>
                <w:sz w:val="21"/>
              </w:rPr>
              <w:t>1、供应商应完成成都世运会龙泉驿赛区病媒生物防制服务（青龙湖射箭场馆中心、龙泉中学荷球场馆中心室内外）</w:t>
            </w:r>
            <w:r>
              <w:rPr>
                <w:rFonts w:ascii="仿宋_GB2312" w:hAnsi="仿宋_GB2312" w:eastAsia="仿宋_GB2312" w:cs="仿宋_GB2312"/>
                <w:sz w:val="20"/>
              </w:rPr>
              <w:t>病媒生物防制工作</w:t>
            </w:r>
            <w:r>
              <w:rPr>
                <w:rFonts w:ascii="仿宋_GB2312" w:hAnsi="仿宋_GB2312" w:eastAsia="仿宋_GB2312" w:cs="仿宋_GB2312"/>
                <w:sz w:val="21"/>
              </w:rPr>
              <w:t>，防制时间6-8月，室内外病媒生物密度至少达到国家控制水平标准B级水平，防鼠设施合格率至少达到97%，防蝇、防蚊设施合格率至少达到98%，室外有害生物密度（摇蚊、蠓、飞蛾等）得到有效控制；重点保障区周边500米范围内病媒生物密度至少达到国家控制水平标准C级，防鼠、防蝇、防蚊设施合格率至少达到95%。</w:t>
            </w:r>
          </w:p>
          <w:p w14:paraId="692CD4C7">
            <w:pPr>
              <w:pStyle w:val="4"/>
              <w:jc w:val="both"/>
            </w:pPr>
            <w:r>
              <w:rPr>
                <w:rFonts w:ascii="仿宋_GB2312" w:hAnsi="仿宋_GB2312" w:eastAsia="仿宋_GB2312" w:cs="仿宋_GB2312"/>
                <w:sz w:val="21"/>
              </w:rPr>
              <w:t>2、技术原则</w:t>
            </w:r>
          </w:p>
          <w:p w14:paraId="4843D9F6">
            <w:pPr>
              <w:pStyle w:val="4"/>
              <w:jc w:val="both"/>
            </w:pPr>
            <w:r>
              <w:rPr>
                <w:rFonts w:ascii="仿宋_GB2312" w:hAnsi="仿宋_GB2312" w:eastAsia="仿宋_GB2312" w:cs="仿宋_GB2312"/>
                <w:sz w:val="21"/>
              </w:rPr>
              <w:t>全面调查。全面调查场馆及场馆周边500米范围内病媒生物危害情况，制定控制措施。</w:t>
            </w:r>
          </w:p>
          <w:p w14:paraId="3BCD86F0">
            <w:pPr>
              <w:pStyle w:val="4"/>
              <w:jc w:val="both"/>
            </w:pPr>
            <w:r>
              <w:rPr>
                <w:rFonts w:ascii="仿宋_GB2312" w:hAnsi="仿宋_GB2312" w:eastAsia="仿宋_GB2312" w:cs="仿宋_GB2312"/>
                <w:sz w:val="21"/>
              </w:rPr>
              <w:t>综合防制。以场馆为中心实行区域性防制，采取环境治理为主、化学防治为辅、物理防治、生物防治并重的综合防制措施。</w:t>
            </w:r>
          </w:p>
          <w:p w14:paraId="69E180AC">
            <w:pPr>
              <w:pStyle w:val="4"/>
              <w:jc w:val="both"/>
            </w:pPr>
            <w:r>
              <w:rPr>
                <w:rFonts w:ascii="仿宋_GB2312" w:hAnsi="仿宋_GB2312" w:eastAsia="仿宋_GB2312" w:cs="仿宋_GB2312"/>
                <w:sz w:val="21"/>
              </w:rPr>
              <w:t>3、技术措施（本条中引用的相关国家标准，若国家有新标准出台，按国家最新标准执行）</w:t>
            </w:r>
          </w:p>
          <w:p w14:paraId="791A1C8F">
            <w:pPr>
              <w:pStyle w:val="4"/>
              <w:jc w:val="both"/>
            </w:pPr>
            <w:r>
              <w:rPr>
                <w:rFonts w:ascii="仿宋_GB2312" w:hAnsi="仿宋_GB2312" w:eastAsia="仿宋_GB2312" w:cs="仿宋_GB2312"/>
                <w:sz w:val="21"/>
              </w:rPr>
              <w:t>3.1蚊类防制</w:t>
            </w:r>
          </w:p>
          <w:p w14:paraId="5792DD24">
            <w:pPr>
              <w:pStyle w:val="4"/>
              <w:jc w:val="both"/>
            </w:pPr>
            <w:r>
              <w:rPr>
                <w:rFonts w:ascii="仿宋_GB2312" w:hAnsi="仿宋_GB2312" w:eastAsia="仿宋_GB2312" w:cs="仿宋_GB2312"/>
                <w:sz w:val="21"/>
              </w:rPr>
              <w:t>（1）环境防治</w:t>
            </w:r>
          </w:p>
          <w:p w14:paraId="2B8289FD">
            <w:pPr>
              <w:pStyle w:val="4"/>
              <w:jc w:val="both"/>
            </w:pPr>
            <w:r>
              <w:rPr>
                <w:rFonts w:ascii="仿宋_GB2312" w:hAnsi="仿宋_GB2312" w:eastAsia="仿宋_GB2312" w:cs="仿宋_GB2312"/>
                <w:sz w:val="21"/>
              </w:rPr>
              <w:t>①清除环境中各类积水。</w:t>
            </w:r>
          </w:p>
          <w:p w14:paraId="53FF9BF1">
            <w:pPr>
              <w:pStyle w:val="4"/>
              <w:jc w:val="both"/>
            </w:pPr>
            <w:r>
              <w:rPr>
                <w:rFonts w:ascii="仿宋_GB2312" w:hAnsi="仿宋_GB2312" w:eastAsia="仿宋_GB2312" w:cs="仿宋_GB2312"/>
                <w:sz w:val="21"/>
              </w:rPr>
              <w:t>②清理环境中会产生积水的各种垃圾和杂物。</w:t>
            </w:r>
          </w:p>
          <w:p w14:paraId="4ED93085">
            <w:pPr>
              <w:pStyle w:val="4"/>
              <w:jc w:val="both"/>
            </w:pPr>
            <w:r>
              <w:rPr>
                <w:rFonts w:ascii="仿宋_GB2312" w:hAnsi="仿宋_GB2312" w:eastAsia="仿宋_GB2312" w:cs="仿宋_GB2312"/>
                <w:sz w:val="21"/>
              </w:rPr>
              <w:t>③对废旧轮胎和陶罐进行管理。</w:t>
            </w:r>
          </w:p>
          <w:p w14:paraId="66308163">
            <w:pPr>
              <w:pStyle w:val="4"/>
              <w:jc w:val="both"/>
            </w:pPr>
            <w:r>
              <w:rPr>
                <w:rFonts w:ascii="仿宋_GB2312" w:hAnsi="仿宋_GB2312" w:eastAsia="仿宋_GB2312" w:cs="仿宋_GB2312"/>
                <w:sz w:val="21"/>
              </w:rPr>
              <w:t>④填平积水坑、洼，疏通积水沟渠，下水道。</w:t>
            </w:r>
          </w:p>
          <w:p w14:paraId="6C23A13F">
            <w:pPr>
              <w:pStyle w:val="4"/>
              <w:jc w:val="both"/>
            </w:pPr>
            <w:r>
              <w:rPr>
                <w:rFonts w:ascii="仿宋_GB2312" w:hAnsi="仿宋_GB2312" w:eastAsia="仿宋_GB2312" w:cs="仿宋_GB2312"/>
                <w:sz w:val="21"/>
              </w:rPr>
              <w:t>⑤封闭线缆沟槽和明沟。</w:t>
            </w:r>
          </w:p>
          <w:p w14:paraId="4E47F737">
            <w:pPr>
              <w:pStyle w:val="4"/>
              <w:jc w:val="both"/>
            </w:pPr>
            <w:r>
              <w:rPr>
                <w:rFonts w:ascii="仿宋_GB2312" w:hAnsi="仿宋_GB2312" w:eastAsia="仿宋_GB2312" w:cs="仿宋_GB2312"/>
                <w:sz w:val="21"/>
              </w:rPr>
              <w:t>⑥在建筑物的反梁结构和平顶屋设置排水系统，每周疏通清淤，雨棚要改造成斜坡，防止积水。</w:t>
            </w:r>
          </w:p>
          <w:p w14:paraId="3A4CACA7">
            <w:pPr>
              <w:pStyle w:val="4"/>
              <w:jc w:val="both"/>
            </w:pPr>
            <w:r>
              <w:rPr>
                <w:rFonts w:ascii="仿宋_GB2312" w:hAnsi="仿宋_GB2312" w:eastAsia="仿宋_GB2312" w:cs="仿宋_GB2312"/>
                <w:sz w:val="21"/>
              </w:rPr>
              <w:t>⑦种养水生植物水池或容器每周清理、换水。</w:t>
            </w:r>
          </w:p>
          <w:p w14:paraId="62A2DE35">
            <w:pPr>
              <w:pStyle w:val="4"/>
              <w:jc w:val="both"/>
            </w:pPr>
            <w:r>
              <w:rPr>
                <w:rFonts w:ascii="仿宋_GB2312" w:hAnsi="仿宋_GB2312" w:eastAsia="仿宋_GB2312" w:cs="仿宋_GB2312"/>
                <w:sz w:val="21"/>
              </w:rPr>
              <w:t>⑧应在可以放养鱼类的永久性积水容器中放养鱼类。</w:t>
            </w:r>
          </w:p>
          <w:p w14:paraId="3675CEBF">
            <w:pPr>
              <w:pStyle w:val="4"/>
              <w:jc w:val="both"/>
            </w:pPr>
            <w:r>
              <w:rPr>
                <w:rFonts w:ascii="仿宋_GB2312" w:hAnsi="仿宋_GB2312" w:eastAsia="仿宋_GB2312" w:cs="仿宋_GB2312"/>
                <w:sz w:val="21"/>
              </w:rPr>
              <w:t>（2）物理防治</w:t>
            </w:r>
          </w:p>
          <w:p w14:paraId="7351F4E2">
            <w:pPr>
              <w:pStyle w:val="4"/>
              <w:jc w:val="both"/>
            </w:pPr>
            <w:r>
              <w:rPr>
                <w:rFonts w:ascii="仿宋_GB2312" w:hAnsi="仿宋_GB2312" w:eastAsia="仿宋_GB2312" w:cs="仿宋_GB2312"/>
                <w:sz w:val="21"/>
              </w:rPr>
              <w:t>①成蚊可使用含有二氧化碳或化学引诱剂的诱蚊装置、光学诱蚊装置诱杀，该类器械使用时应避免其他干扰物影响。</w:t>
            </w:r>
          </w:p>
          <w:p w14:paraId="4B2C4C1A">
            <w:pPr>
              <w:pStyle w:val="4"/>
              <w:jc w:val="both"/>
            </w:pPr>
            <w:r>
              <w:rPr>
                <w:rFonts w:ascii="仿宋_GB2312" w:hAnsi="仿宋_GB2312" w:eastAsia="仿宋_GB2312" w:cs="仿宋_GB2312"/>
                <w:sz w:val="21"/>
              </w:rPr>
              <w:t>②室内少量成蚊可用电蚊拍击杀。</w:t>
            </w:r>
          </w:p>
          <w:p w14:paraId="65E939CD">
            <w:pPr>
              <w:pStyle w:val="4"/>
              <w:jc w:val="both"/>
            </w:pPr>
            <w:r>
              <w:rPr>
                <w:rFonts w:ascii="仿宋_GB2312" w:hAnsi="仿宋_GB2312" w:eastAsia="仿宋_GB2312" w:cs="仿宋_GB2312"/>
                <w:sz w:val="21"/>
              </w:rPr>
              <w:t>③蚊幼、蛹、卵等可采用开水烫杀或干燥杀灭。</w:t>
            </w:r>
          </w:p>
          <w:p w14:paraId="66C77673">
            <w:pPr>
              <w:pStyle w:val="4"/>
              <w:jc w:val="both"/>
            </w:pPr>
            <w:r>
              <w:rPr>
                <w:rFonts w:ascii="仿宋_GB2312" w:hAnsi="仿宋_GB2312" w:eastAsia="仿宋_GB2312" w:cs="仿宋_GB2312"/>
                <w:sz w:val="21"/>
              </w:rPr>
              <w:t>④安装纱门纱窗，网眼密度纵向≥16孔/5cm、横向≥16孔/5cm。</w:t>
            </w:r>
          </w:p>
          <w:p w14:paraId="3E8A46F2">
            <w:pPr>
              <w:pStyle w:val="4"/>
              <w:jc w:val="both"/>
            </w:pPr>
            <w:r>
              <w:rPr>
                <w:rFonts w:ascii="仿宋_GB2312" w:hAnsi="仿宋_GB2312" w:eastAsia="仿宋_GB2312" w:cs="仿宋_GB2312"/>
                <w:sz w:val="21"/>
              </w:rPr>
              <w:t>⑤下水道口安装防蚊闸、各类管井盖孔洞使用防蚊贴。</w:t>
            </w:r>
          </w:p>
          <w:p w14:paraId="074BC3A2">
            <w:pPr>
              <w:pStyle w:val="4"/>
              <w:jc w:val="both"/>
            </w:pPr>
            <w:r>
              <w:rPr>
                <w:rFonts w:ascii="仿宋_GB2312" w:hAnsi="仿宋_GB2312" w:eastAsia="仿宋_GB2312" w:cs="仿宋_GB2312"/>
                <w:sz w:val="21"/>
              </w:rPr>
              <w:t>（3）化学防治</w:t>
            </w:r>
          </w:p>
          <w:p w14:paraId="64EC0C4A">
            <w:pPr>
              <w:pStyle w:val="4"/>
              <w:jc w:val="both"/>
            </w:pPr>
            <w:r>
              <w:rPr>
                <w:rFonts w:ascii="仿宋_GB2312" w:hAnsi="仿宋_GB2312" w:eastAsia="仿宋_GB2312" w:cs="仿宋_GB2312"/>
                <w:sz w:val="21"/>
              </w:rPr>
              <w:t>①对于尚未清理的孳生地或无法清除的积水（包括已经积水的轮胎、防火缸、下水道口）可以使用化学杀幼剂进行防制。</w:t>
            </w:r>
          </w:p>
          <w:p w14:paraId="75F1A44A">
            <w:pPr>
              <w:pStyle w:val="4"/>
              <w:jc w:val="both"/>
            </w:pPr>
            <w:r>
              <w:rPr>
                <w:rFonts w:ascii="仿宋_GB2312" w:hAnsi="仿宋_GB2312" w:eastAsia="仿宋_GB2312" w:cs="仿宋_GB2312"/>
                <w:sz w:val="21"/>
              </w:rPr>
              <w:t>②空间喷雾杀灭成蚊：</w:t>
            </w:r>
          </w:p>
          <w:p w14:paraId="17A6CC5B">
            <w:pPr>
              <w:pStyle w:val="4"/>
              <w:jc w:val="both"/>
            </w:pPr>
            <w:r>
              <w:rPr>
                <w:rFonts w:ascii="仿宋_GB2312" w:hAnsi="仿宋_GB2312" w:eastAsia="仿宋_GB2312" w:cs="仿宋_GB2312"/>
                <w:sz w:val="21"/>
              </w:rPr>
              <w:t>空间喷雾杀虫剂形成的雾粒粒子应小于50微米，其中场馆内禁止使用烟雾机以及烟机、热烟雾剂等发烟性药剂。</w:t>
            </w:r>
          </w:p>
          <w:p w14:paraId="5D5052D5">
            <w:pPr>
              <w:pStyle w:val="4"/>
              <w:jc w:val="both"/>
            </w:pPr>
            <w:r>
              <w:rPr>
                <w:rFonts w:ascii="仿宋_GB2312" w:hAnsi="仿宋_GB2312" w:eastAsia="仿宋_GB2312" w:cs="仿宋_GB2312"/>
                <w:sz w:val="21"/>
              </w:rPr>
              <w:t>进行空间喷雾作业时应根据蚊虫种类、密度、环境特点选择药械和处理时间，一般在蚊虫活动高峰时段进行处理；</w:t>
            </w:r>
          </w:p>
          <w:p w14:paraId="706C2650">
            <w:pPr>
              <w:pStyle w:val="4"/>
              <w:jc w:val="both"/>
            </w:pPr>
            <w:r>
              <w:rPr>
                <w:rFonts w:ascii="仿宋_GB2312" w:hAnsi="仿宋_GB2312" w:eastAsia="仿宋_GB2312" w:cs="仿宋_GB2312"/>
                <w:sz w:val="21"/>
              </w:rPr>
              <w:t>在风速＜4m/s（15km/h）方可进行处理，处理时保持从下风向到上风向处理。</w:t>
            </w:r>
          </w:p>
          <w:p w14:paraId="64EDBA1B">
            <w:pPr>
              <w:pStyle w:val="4"/>
              <w:jc w:val="both"/>
            </w:pPr>
            <w:r>
              <w:rPr>
                <w:rFonts w:ascii="仿宋_GB2312" w:hAnsi="仿宋_GB2312" w:eastAsia="仿宋_GB2312" w:cs="仿宋_GB2312"/>
                <w:sz w:val="21"/>
              </w:rPr>
              <w:t>喷雾流量和喷雾移动速度可参照GB/T 31714-2015进行计算。</w:t>
            </w:r>
          </w:p>
          <w:p w14:paraId="66FC2563">
            <w:pPr>
              <w:pStyle w:val="4"/>
              <w:jc w:val="both"/>
            </w:pPr>
            <w:r>
              <w:rPr>
                <w:rFonts w:ascii="仿宋_GB2312" w:hAnsi="仿宋_GB2312" w:eastAsia="仿宋_GB2312" w:cs="仿宋_GB2312"/>
                <w:sz w:val="21"/>
              </w:rPr>
              <w:t>注意事项，作业前对现场人员进行警告，将食物、贵重设备、物品进行覆盖，移走宠物，熄灭火源；操作者应使用防护装备，按生产商提供的操作指南进行操作。</w:t>
            </w:r>
          </w:p>
          <w:p w14:paraId="6A9890B2">
            <w:pPr>
              <w:pStyle w:val="4"/>
              <w:jc w:val="both"/>
            </w:pPr>
            <w:r>
              <w:rPr>
                <w:rFonts w:ascii="仿宋_GB2312" w:hAnsi="仿宋_GB2312" w:eastAsia="仿宋_GB2312" w:cs="仿宋_GB2312"/>
                <w:sz w:val="21"/>
              </w:rPr>
              <w:t>③用室内滞留喷洒防制成蚊，适用于防制在室内栖息的蚊虫，根据蚊虫栖息表面特点（不同吸收表面：墙面、家具面、玻璃面）选择所用杀虫剂和器械，具体喷洒方式参见GB/T 31715-2015。</w:t>
            </w:r>
          </w:p>
          <w:p w14:paraId="085BD176">
            <w:pPr>
              <w:pStyle w:val="4"/>
              <w:jc w:val="both"/>
            </w:pPr>
            <w:r>
              <w:rPr>
                <w:rFonts w:ascii="仿宋_GB2312" w:hAnsi="仿宋_GB2312" w:eastAsia="仿宋_GB2312" w:cs="仿宋_GB2312"/>
                <w:sz w:val="21"/>
              </w:rPr>
              <w:t>（4）生物防治</w:t>
            </w:r>
          </w:p>
          <w:p w14:paraId="46C77FF3">
            <w:pPr>
              <w:pStyle w:val="4"/>
              <w:jc w:val="both"/>
            </w:pPr>
            <w:r>
              <w:rPr>
                <w:rFonts w:ascii="仿宋_GB2312" w:hAnsi="仿宋_GB2312" w:eastAsia="仿宋_GB2312" w:cs="仿宋_GB2312"/>
                <w:sz w:val="21"/>
              </w:rPr>
              <w:t>可在合适水体中饲养食蚊鱼类和使用细菌杀虫剂。</w:t>
            </w:r>
          </w:p>
          <w:p w14:paraId="5A6AE61B">
            <w:pPr>
              <w:pStyle w:val="4"/>
              <w:jc w:val="both"/>
            </w:pPr>
            <w:r>
              <w:rPr>
                <w:rFonts w:ascii="仿宋_GB2312" w:hAnsi="仿宋_GB2312" w:eastAsia="仿宋_GB2312" w:cs="仿宋_GB2312"/>
                <w:sz w:val="21"/>
              </w:rPr>
              <w:t>3.2鼠类防制</w:t>
            </w:r>
          </w:p>
          <w:p w14:paraId="55C2D7CE">
            <w:pPr>
              <w:pStyle w:val="4"/>
              <w:jc w:val="both"/>
            </w:pPr>
            <w:r>
              <w:rPr>
                <w:rFonts w:ascii="仿宋_GB2312" w:hAnsi="仿宋_GB2312" w:eastAsia="仿宋_GB2312" w:cs="仿宋_GB2312"/>
                <w:sz w:val="21"/>
              </w:rPr>
              <w:t>（1）环境防治</w:t>
            </w:r>
          </w:p>
          <w:p w14:paraId="7906288C">
            <w:pPr>
              <w:pStyle w:val="4"/>
              <w:jc w:val="both"/>
            </w:pPr>
            <w:r>
              <w:rPr>
                <w:rFonts w:ascii="仿宋_GB2312" w:hAnsi="仿宋_GB2312" w:eastAsia="仿宋_GB2312" w:cs="仿宋_GB2312"/>
                <w:sz w:val="21"/>
              </w:rPr>
              <w:t>①环境改造，平整地面，封堵建筑物与外界相通的孔洞及地面鼠洞，建筑物周围地面硬化，离墙1m范围内无杂草、树丛。</w:t>
            </w:r>
          </w:p>
          <w:p w14:paraId="204D2677">
            <w:pPr>
              <w:pStyle w:val="4"/>
              <w:jc w:val="both"/>
            </w:pPr>
            <w:r>
              <w:rPr>
                <w:rFonts w:ascii="仿宋_GB2312" w:hAnsi="仿宋_GB2312" w:eastAsia="仿宋_GB2312" w:cs="仿宋_GB2312"/>
                <w:sz w:val="21"/>
              </w:rPr>
              <w:t>②清理室内外杂物，保持环境整洁。</w:t>
            </w:r>
          </w:p>
          <w:p w14:paraId="4FC4204F">
            <w:pPr>
              <w:pStyle w:val="4"/>
              <w:jc w:val="both"/>
            </w:pPr>
            <w:r>
              <w:rPr>
                <w:rFonts w:ascii="仿宋_GB2312" w:hAnsi="仿宋_GB2312" w:eastAsia="仿宋_GB2312" w:cs="仿宋_GB2312"/>
                <w:sz w:val="21"/>
              </w:rPr>
              <w:t>③提醒场馆方生活垃圾日产日清，贮存容器密闭，不渗、不漏。</w:t>
            </w:r>
          </w:p>
          <w:p w14:paraId="381EB4F5">
            <w:pPr>
              <w:pStyle w:val="4"/>
              <w:jc w:val="both"/>
            </w:pPr>
            <w:r>
              <w:rPr>
                <w:rFonts w:ascii="仿宋_GB2312" w:hAnsi="仿宋_GB2312" w:eastAsia="仿宋_GB2312" w:cs="仿宋_GB2312"/>
                <w:sz w:val="21"/>
              </w:rPr>
              <w:t>（2）物理防治</w:t>
            </w:r>
          </w:p>
          <w:p w14:paraId="4E00F726">
            <w:pPr>
              <w:pStyle w:val="4"/>
              <w:jc w:val="both"/>
            </w:pPr>
            <w:r>
              <w:rPr>
                <w:rFonts w:ascii="仿宋_GB2312" w:hAnsi="仿宋_GB2312" w:eastAsia="仿宋_GB2312" w:cs="仿宋_GB2312"/>
                <w:sz w:val="21"/>
              </w:rPr>
              <w:t>①室内环境以及居民区内可利用捕鼠器械和粘鼠板进行捕杀鼠类，同时放置相关警示标识。</w:t>
            </w:r>
          </w:p>
          <w:p w14:paraId="42E1913C">
            <w:pPr>
              <w:pStyle w:val="4"/>
              <w:jc w:val="both"/>
            </w:pPr>
            <w:r>
              <w:rPr>
                <w:rFonts w:ascii="仿宋_GB2312" w:hAnsi="仿宋_GB2312" w:eastAsia="仿宋_GB2312" w:cs="仿宋_GB2312"/>
                <w:sz w:val="21"/>
              </w:rPr>
              <w:t>②灭鼠器械的选择、应用的时间、位置应根据作业地点情况进行相应调整。</w:t>
            </w:r>
          </w:p>
          <w:p w14:paraId="494DA5FA">
            <w:pPr>
              <w:pStyle w:val="4"/>
              <w:jc w:val="both"/>
            </w:pPr>
            <w:r>
              <w:rPr>
                <w:rFonts w:ascii="仿宋_GB2312" w:hAnsi="仿宋_GB2312" w:eastAsia="仿宋_GB2312" w:cs="仿宋_GB2312"/>
                <w:sz w:val="21"/>
              </w:rPr>
              <w:t>③不能封闭的建筑物与外界相通的管道、孔洞用间隔＜0.6cm的金属栏栅或直径＜0.6cm的金属孔网封堵。</w:t>
            </w:r>
          </w:p>
          <w:p w14:paraId="5A86C4DB">
            <w:pPr>
              <w:pStyle w:val="4"/>
              <w:jc w:val="both"/>
            </w:pPr>
            <w:r>
              <w:rPr>
                <w:rFonts w:ascii="仿宋_GB2312" w:hAnsi="仿宋_GB2312" w:eastAsia="仿宋_GB2312" w:cs="仿宋_GB2312"/>
                <w:sz w:val="21"/>
              </w:rPr>
              <w:t>④门与门、门框、地面间隙应＜0.6cm，食品库房门口应设置高度＞60cm的挡鼠板；食堂和食物库房通向外部的木质门和框应镶高度＞30cm金属板或设置＞60cm的挡鼠板。</w:t>
            </w:r>
          </w:p>
          <w:p w14:paraId="7F09C095">
            <w:pPr>
              <w:pStyle w:val="4"/>
              <w:jc w:val="both"/>
            </w:pPr>
            <w:r>
              <w:rPr>
                <w:rFonts w:ascii="仿宋_GB2312" w:hAnsi="仿宋_GB2312" w:eastAsia="仿宋_GB2312" w:cs="仿宋_GB2312"/>
                <w:sz w:val="21"/>
              </w:rPr>
              <w:t>⑤地下室、平房、楼房1层的排风扇和通风口应设有间隔或孔径＜0.6cm的金属栏栅或网罩，门窗玻璃无破损。</w:t>
            </w:r>
          </w:p>
          <w:p w14:paraId="0E4B99C3">
            <w:pPr>
              <w:pStyle w:val="4"/>
              <w:jc w:val="both"/>
            </w:pPr>
            <w:r>
              <w:rPr>
                <w:rFonts w:ascii="仿宋_GB2312" w:hAnsi="仿宋_GB2312" w:eastAsia="仿宋_GB2312" w:cs="仿宋_GB2312"/>
                <w:sz w:val="21"/>
              </w:rPr>
              <w:t>⑥下水道口应有间隔或孔径＜1cm的金属栏栅或网格。</w:t>
            </w:r>
          </w:p>
          <w:p w14:paraId="4F8F66AB">
            <w:pPr>
              <w:pStyle w:val="4"/>
              <w:jc w:val="both"/>
            </w:pPr>
            <w:r>
              <w:rPr>
                <w:rFonts w:ascii="仿宋_GB2312" w:hAnsi="仿宋_GB2312" w:eastAsia="仿宋_GB2312" w:cs="仿宋_GB2312"/>
                <w:sz w:val="21"/>
              </w:rPr>
              <w:t>（3）化学防治</w:t>
            </w:r>
          </w:p>
          <w:p w14:paraId="61D063DB">
            <w:pPr>
              <w:pStyle w:val="4"/>
              <w:jc w:val="both"/>
            </w:pPr>
            <w:r>
              <w:rPr>
                <w:rFonts w:ascii="仿宋_GB2312" w:hAnsi="仿宋_GB2312" w:eastAsia="仿宋_GB2312" w:cs="仿宋_GB2312"/>
                <w:sz w:val="21"/>
              </w:rPr>
              <w:t>采用杀鼠剂进行灭鼠，杀鼠剂的种类和使用剂量参照《第12届世界运动会防制药械产品推介目录》，遵循安全使用准则。</w:t>
            </w:r>
          </w:p>
          <w:p w14:paraId="63EBB47E">
            <w:pPr>
              <w:pStyle w:val="4"/>
              <w:jc w:val="both"/>
            </w:pPr>
            <w:r>
              <w:rPr>
                <w:rFonts w:ascii="仿宋_GB2312" w:hAnsi="仿宋_GB2312" w:eastAsia="仿宋_GB2312" w:cs="仿宋_GB2312"/>
                <w:sz w:val="21"/>
              </w:rPr>
              <w:t>3.3蝇类防制</w:t>
            </w:r>
          </w:p>
          <w:p w14:paraId="2A6338B6">
            <w:pPr>
              <w:pStyle w:val="4"/>
              <w:jc w:val="both"/>
            </w:pPr>
            <w:r>
              <w:rPr>
                <w:rFonts w:ascii="仿宋_GB2312" w:hAnsi="仿宋_GB2312" w:eastAsia="仿宋_GB2312" w:cs="仿宋_GB2312"/>
                <w:sz w:val="21"/>
              </w:rPr>
              <w:t>（1）环境防治</w:t>
            </w:r>
          </w:p>
          <w:p w14:paraId="51D8E5A3">
            <w:pPr>
              <w:pStyle w:val="4"/>
              <w:jc w:val="both"/>
            </w:pPr>
            <w:r>
              <w:rPr>
                <w:rFonts w:ascii="仿宋_GB2312" w:hAnsi="仿宋_GB2312" w:eastAsia="仿宋_GB2312" w:cs="仿宋_GB2312"/>
                <w:sz w:val="21"/>
              </w:rPr>
              <w:t>①清理卫生死角，清除孳生物，提醒场馆方进行生活垃圾和餐后食品垃圾管理。</w:t>
            </w:r>
          </w:p>
          <w:p w14:paraId="7CD59AED">
            <w:pPr>
              <w:pStyle w:val="4"/>
              <w:jc w:val="both"/>
            </w:pPr>
            <w:r>
              <w:rPr>
                <w:rFonts w:ascii="仿宋_GB2312" w:hAnsi="仿宋_GB2312" w:eastAsia="仿宋_GB2312" w:cs="仿宋_GB2312"/>
                <w:sz w:val="21"/>
              </w:rPr>
              <w:t>②垃圾箱（桶）、泔水桶加盖密闭储放、清运。存放垃圾容器的地面应硬化，并保持清洁；垃圾容器清运后应彻底清洁，不留淤积物。</w:t>
            </w:r>
          </w:p>
          <w:p w14:paraId="23C20677">
            <w:pPr>
              <w:pStyle w:val="4"/>
              <w:jc w:val="both"/>
            </w:pPr>
            <w:r>
              <w:rPr>
                <w:rFonts w:ascii="仿宋_GB2312" w:hAnsi="仿宋_GB2312" w:eastAsia="仿宋_GB2312" w:cs="仿宋_GB2312"/>
                <w:sz w:val="21"/>
              </w:rPr>
              <w:t>③垃圾采取袋装化和直运方式，淘汰垃圾池、垃圾通道储放垃圾方式。</w:t>
            </w:r>
          </w:p>
          <w:p w14:paraId="64376AF6">
            <w:pPr>
              <w:pStyle w:val="4"/>
              <w:jc w:val="both"/>
            </w:pPr>
            <w:r>
              <w:rPr>
                <w:rFonts w:ascii="仿宋_GB2312" w:hAnsi="仿宋_GB2312" w:eastAsia="仿宋_GB2312" w:cs="仿宋_GB2312"/>
                <w:sz w:val="21"/>
              </w:rPr>
              <w:t>④建立厕所卫生清洁制度，完善防蝇设施，厕所周围1m内地面应硬化。</w:t>
            </w:r>
          </w:p>
          <w:p w14:paraId="54598A95">
            <w:pPr>
              <w:pStyle w:val="4"/>
              <w:jc w:val="both"/>
            </w:pPr>
            <w:r>
              <w:rPr>
                <w:rFonts w:ascii="仿宋_GB2312" w:hAnsi="仿宋_GB2312" w:eastAsia="仿宋_GB2312" w:cs="仿宋_GB2312"/>
                <w:sz w:val="21"/>
              </w:rPr>
              <w:t>⑤保证排水系统的畅通，以防堵塞后污水外溢、淤泥堆积，为蝇类孳生提供场所。</w:t>
            </w:r>
          </w:p>
          <w:p w14:paraId="51366108">
            <w:pPr>
              <w:pStyle w:val="4"/>
              <w:jc w:val="both"/>
            </w:pPr>
            <w:r>
              <w:rPr>
                <w:rFonts w:ascii="仿宋_GB2312" w:hAnsi="仿宋_GB2312" w:eastAsia="仿宋_GB2312" w:cs="仿宋_GB2312"/>
                <w:sz w:val="21"/>
              </w:rPr>
              <w:t>（2）物理防治</w:t>
            </w:r>
          </w:p>
          <w:p w14:paraId="334F120B">
            <w:pPr>
              <w:pStyle w:val="4"/>
              <w:jc w:val="both"/>
            </w:pPr>
            <w:r>
              <w:rPr>
                <w:rFonts w:ascii="仿宋_GB2312" w:hAnsi="仿宋_GB2312" w:eastAsia="仿宋_GB2312" w:cs="仿宋_GB2312"/>
                <w:sz w:val="21"/>
              </w:rPr>
              <w:t>①防蝇设施主要包括纱窗、纱罩、纱门、门帘及风幕机，安装需与门匹配。</w:t>
            </w:r>
          </w:p>
          <w:p w14:paraId="4985D601">
            <w:pPr>
              <w:pStyle w:val="4"/>
              <w:jc w:val="both"/>
            </w:pPr>
            <w:r>
              <w:rPr>
                <w:rFonts w:ascii="仿宋_GB2312" w:hAnsi="仿宋_GB2312" w:eastAsia="仿宋_GB2312" w:cs="仿宋_GB2312"/>
                <w:sz w:val="21"/>
              </w:rPr>
              <w:t>②门帘宽度须大于门洞宽度。胶帘式门帘的两胶片之间重叠处须≥4cm，胶片长度距地面宜≤ 0.5cm。宜在入门处增加缓冲间并在两口处都安装门帘。</w:t>
            </w:r>
          </w:p>
          <w:p w14:paraId="1D15B9B7">
            <w:pPr>
              <w:pStyle w:val="4"/>
              <w:jc w:val="both"/>
            </w:pPr>
            <w:r>
              <w:rPr>
                <w:rFonts w:ascii="仿宋_GB2312" w:hAnsi="仿宋_GB2312" w:eastAsia="仿宋_GB2312" w:cs="仿宋_GB2312"/>
                <w:sz w:val="21"/>
              </w:rPr>
              <w:t>③风幕机吹出的风幅须大于门洞宽度，风幕机的风速应大于7.62m/s，风口向外倾斜30°。</w:t>
            </w:r>
          </w:p>
          <w:p w14:paraId="42245CF2">
            <w:pPr>
              <w:pStyle w:val="4"/>
              <w:jc w:val="both"/>
            </w:pPr>
            <w:r>
              <w:rPr>
                <w:rFonts w:ascii="仿宋_GB2312" w:hAnsi="仿宋_GB2312" w:eastAsia="仿宋_GB2312" w:cs="仿宋_GB2312"/>
                <w:sz w:val="21"/>
              </w:rPr>
              <w:t>④防蝇设施应有专人负责，专人维护。</w:t>
            </w:r>
          </w:p>
          <w:p w14:paraId="4157A15D">
            <w:pPr>
              <w:pStyle w:val="4"/>
              <w:jc w:val="both"/>
            </w:pPr>
            <w:r>
              <w:rPr>
                <w:rFonts w:ascii="仿宋_GB2312" w:hAnsi="仿宋_GB2312" w:eastAsia="仿宋_GB2312" w:cs="仿宋_GB2312"/>
                <w:sz w:val="21"/>
              </w:rPr>
              <w:t>⑤室内有少量成蝇活动时，使用电蝇拍直接捕打灭蝇。</w:t>
            </w:r>
          </w:p>
          <w:p w14:paraId="304E9EFF">
            <w:pPr>
              <w:pStyle w:val="4"/>
              <w:jc w:val="both"/>
            </w:pPr>
            <w:r>
              <w:rPr>
                <w:rFonts w:ascii="仿宋_GB2312" w:hAnsi="仿宋_GB2312" w:eastAsia="仿宋_GB2312" w:cs="仿宋_GB2312"/>
                <w:sz w:val="21"/>
              </w:rPr>
              <w:t>⑥采用粘捕式灭蝇灯、电动捕蝇器、捕蝇笼、粘蝇纸，设置于蝇类活动区域诱捕或诱杀成蝇，并注意避免干扰物影响。</w:t>
            </w:r>
          </w:p>
          <w:p w14:paraId="4FA48988">
            <w:pPr>
              <w:pStyle w:val="4"/>
              <w:jc w:val="both"/>
            </w:pPr>
            <w:r>
              <w:rPr>
                <w:rFonts w:ascii="仿宋_GB2312" w:hAnsi="仿宋_GB2312" w:eastAsia="仿宋_GB2312" w:cs="仿宋_GB2312"/>
                <w:sz w:val="21"/>
              </w:rPr>
              <w:t>（3）化学防治</w:t>
            </w:r>
          </w:p>
          <w:p w14:paraId="1107770A">
            <w:pPr>
              <w:pStyle w:val="4"/>
              <w:jc w:val="both"/>
            </w:pPr>
            <w:r>
              <w:rPr>
                <w:rFonts w:ascii="仿宋_GB2312" w:hAnsi="仿宋_GB2312" w:eastAsia="仿宋_GB2312" w:cs="仿宋_GB2312"/>
                <w:sz w:val="21"/>
              </w:rPr>
              <w:t>①可选择器械、杀虫剂进行消杀。</w:t>
            </w:r>
          </w:p>
          <w:p w14:paraId="61E08C55">
            <w:pPr>
              <w:pStyle w:val="4"/>
              <w:jc w:val="both"/>
            </w:pPr>
            <w:r>
              <w:rPr>
                <w:rFonts w:ascii="仿宋_GB2312" w:hAnsi="仿宋_GB2312" w:eastAsia="仿宋_GB2312" w:cs="仿宋_GB2312"/>
                <w:sz w:val="21"/>
              </w:rPr>
              <w:t>②主要方法有：空间喷雾法、滞留喷洒法、毒饵法、毒蝇绳法参见GB/T 31718-2015。</w:t>
            </w:r>
          </w:p>
          <w:p w14:paraId="415FA709">
            <w:pPr>
              <w:pStyle w:val="4"/>
              <w:jc w:val="both"/>
            </w:pPr>
            <w:r>
              <w:rPr>
                <w:rFonts w:ascii="仿宋_GB2312" w:hAnsi="仿宋_GB2312" w:eastAsia="仿宋_GB2312" w:cs="仿宋_GB2312"/>
                <w:sz w:val="21"/>
              </w:rPr>
              <w:t>3.4蟑螂防制</w:t>
            </w:r>
          </w:p>
          <w:p w14:paraId="743E59C9">
            <w:pPr>
              <w:pStyle w:val="4"/>
              <w:jc w:val="both"/>
            </w:pPr>
            <w:r>
              <w:rPr>
                <w:rFonts w:ascii="仿宋_GB2312" w:hAnsi="仿宋_GB2312" w:eastAsia="仿宋_GB2312" w:cs="仿宋_GB2312"/>
                <w:sz w:val="21"/>
              </w:rPr>
              <w:t>（1）环境防治</w:t>
            </w:r>
          </w:p>
          <w:p w14:paraId="6F8B5944">
            <w:pPr>
              <w:pStyle w:val="4"/>
              <w:jc w:val="both"/>
            </w:pPr>
            <w:r>
              <w:rPr>
                <w:rFonts w:ascii="仿宋_GB2312" w:hAnsi="仿宋_GB2312" w:eastAsia="仿宋_GB2312" w:cs="仿宋_GB2312"/>
                <w:sz w:val="21"/>
              </w:rPr>
              <w:t>①对建筑物裂缝、管线通道缝隙、地板以及门窗框缝隙进行堵塞，下水道口用细眼不锈钢金属网密封，清除蟑螂的栖息场所。物品进入室内之前应仔细检查，预防蟑螂及其卵鞘携带侵入。</w:t>
            </w:r>
          </w:p>
          <w:p w14:paraId="32A28AFD">
            <w:pPr>
              <w:pStyle w:val="4"/>
              <w:jc w:val="both"/>
            </w:pPr>
            <w:r>
              <w:rPr>
                <w:rFonts w:ascii="仿宋_GB2312" w:hAnsi="仿宋_GB2312" w:eastAsia="仿宋_GB2312" w:cs="仿宋_GB2312"/>
                <w:sz w:val="21"/>
              </w:rPr>
              <w:t>②清理碗柜、杂物柜、书柜家具，整理堆积的杂物，清除蟑螂粪便、残骸，保持室内环境整洁有序。</w:t>
            </w:r>
          </w:p>
          <w:p w14:paraId="2C7FD913">
            <w:pPr>
              <w:pStyle w:val="4"/>
              <w:jc w:val="both"/>
            </w:pPr>
            <w:r>
              <w:rPr>
                <w:rFonts w:ascii="仿宋_GB2312" w:hAnsi="仿宋_GB2312" w:eastAsia="仿宋_GB2312" w:cs="仿宋_GB2312"/>
                <w:sz w:val="21"/>
              </w:rPr>
              <w:t>③厨房和食品仓库应保持通风、干燥，灶台和桌面不留食物残渣、污物，地面、桌面保持洁净。</w:t>
            </w:r>
          </w:p>
          <w:p w14:paraId="38B790C1">
            <w:pPr>
              <w:pStyle w:val="4"/>
              <w:jc w:val="both"/>
            </w:pPr>
            <w:r>
              <w:rPr>
                <w:rFonts w:ascii="仿宋_GB2312" w:hAnsi="仿宋_GB2312" w:eastAsia="仿宋_GB2312" w:cs="仿宋_GB2312"/>
                <w:sz w:val="21"/>
              </w:rPr>
              <w:t>（2）物理防治</w:t>
            </w:r>
          </w:p>
          <w:p w14:paraId="7E973409">
            <w:pPr>
              <w:pStyle w:val="4"/>
              <w:jc w:val="both"/>
            </w:pPr>
            <w:r>
              <w:rPr>
                <w:rFonts w:ascii="仿宋_GB2312" w:hAnsi="仿宋_GB2312" w:eastAsia="仿宋_GB2312" w:cs="仿宋_GB2312"/>
                <w:sz w:val="21"/>
              </w:rPr>
              <w:t>①用粘蟑纸、粘蟑盒粘捕蟑螂。粘蟑纸晚放晨收，诱捕到蟑螂后可烫杀或焚烧处理。</w:t>
            </w:r>
          </w:p>
          <w:p w14:paraId="631B90CD">
            <w:pPr>
              <w:pStyle w:val="4"/>
              <w:jc w:val="both"/>
            </w:pPr>
            <w:r>
              <w:rPr>
                <w:rFonts w:ascii="仿宋_GB2312" w:hAnsi="仿宋_GB2312" w:eastAsia="仿宋_GB2312" w:cs="仿宋_GB2312"/>
                <w:sz w:val="21"/>
              </w:rPr>
              <w:t>②厨房和食堂等蟑螂重点孳生场所，可用开水或蒸汽直接浇灌蟑螂栖息活动场所，烫杀蟑螂。</w:t>
            </w:r>
          </w:p>
          <w:p w14:paraId="13088C21">
            <w:pPr>
              <w:pStyle w:val="4"/>
              <w:jc w:val="both"/>
            </w:pPr>
            <w:r>
              <w:rPr>
                <w:rFonts w:ascii="仿宋_GB2312" w:hAnsi="仿宋_GB2312" w:eastAsia="仿宋_GB2312" w:cs="仿宋_GB2312"/>
                <w:sz w:val="21"/>
              </w:rPr>
              <w:t>（3）化学防治</w:t>
            </w:r>
          </w:p>
          <w:p w14:paraId="609A8A78">
            <w:pPr>
              <w:pStyle w:val="4"/>
              <w:jc w:val="both"/>
            </w:pPr>
            <w:r>
              <w:rPr>
                <w:rFonts w:ascii="仿宋_GB2312" w:hAnsi="仿宋_GB2312" w:eastAsia="仿宋_GB2312" w:cs="仿宋_GB2312"/>
                <w:sz w:val="21"/>
              </w:rPr>
              <w:t>①可选择器械、杀虫剂进行处理。</w:t>
            </w:r>
          </w:p>
          <w:p w14:paraId="3B3721D1">
            <w:pPr>
              <w:pStyle w:val="4"/>
              <w:jc w:val="both"/>
            </w:pPr>
            <w:r>
              <w:rPr>
                <w:rFonts w:ascii="仿宋_GB2312" w:hAnsi="仿宋_GB2312" w:eastAsia="仿宋_GB2312" w:cs="仿宋_GB2312"/>
                <w:sz w:val="21"/>
              </w:rPr>
              <w:t>②化学防治应与防治方法综合使用，应根据蟑螂种类、习性、密度、环境特点、既往用药情况选择药、械和方法。</w:t>
            </w:r>
          </w:p>
          <w:p w14:paraId="2D3AB8D8">
            <w:pPr>
              <w:pStyle w:val="4"/>
              <w:jc w:val="both"/>
            </w:pPr>
            <w:r>
              <w:rPr>
                <w:rFonts w:ascii="仿宋_GB2312" w:hAnsi="仿宋_GB2312" w:eastAsia="仿宋_GB2312" w:cs="仿宋_GB2312"/>
                <w:sz w:val="21"/>
              </w:rPr>
              <w:t>③主要方法有：毒粉法、毒笔法、涂抹法、颗粒毒饵法、胶饵法、气雾喷洒法、滞留喷洒法参见GB/T 31719-2015。</w:t>
            </w:r>
          </w:p>
          <w:p w14:paraId="4C0D30CA">
            <w:pPr>
              <w:pStyle w:val="4"/>
              <w:jc w:val="both"/>
            </w:pPr>
            <w:r>
              <w:rPr>
                <w:rFonts w:ascii="仿宋_GB2312" w:hAnsi="仿宋_GB2312" w:eastAsia="仿宋_GB2312" w:cs="仿宋_GB2312"/>
                <w:sz w:val="21"/>
              </w:rPr>
              <w:t>（4）生物防治</w:t>
            </w:r>
          </w:p>
          <w:p w14:paraId="61A2B8E2">
            <w:pPr>
              <w:pStyle w:val="4"/>
              <w:jc w:val="both"/>
            </w:pPr>
            <w:r>
              <w:rPr>
                <w:rFonts w:ascii="仿宋_GB2312" w:hAnsi="仿宋_GB2312" w:eastAsia="仿宋_GB2312" w:cs="仿宋_GB2312"/>
                <w:sz w:val="21"/>
              </w:rPr>
              <w:t>①采用由蟑螂信息素、蟑螂病毒、病毒协调激活因子成分复配形成的杀蟑生物制剂进行生物防治。</w:t>
            </w:r>
          </w:p>
          <w:p w14:paraId="4ECC4984">
            <w:pPr>
              <w:pStyle w:val="4"/>
              <w:jc w:val="both"/>
            </w:pPr>
            <w:r>
              <w:rPr>
                <w:rFonts w:ascii="仿宋_GB2312" w:hAnsi="仿宋_GB2312" w:eastAsia="仿宋_GB2312" w:cs="仿宋_GB2312"/>
                <w:sz w:val="21"/>
              </w:rPr>
              <w:t>3.5卫生杀虫剂的安全使用</w:t>
            </w:r>
          </w:p>
          <w:p w14:paraId="777D6956">
            <w:pPr>
              <w:pStyle w:val="4"/>
              <w:jc w:val="both"/>
            </w:pPr>
            <w:r>
              <w:rPr>
                <w:rFonts w:ascii="仿宋_GB2312" w:hAnsi="仿宋_GB2312" w:eastAsia="仿宋_GB2312" w:cs="仿宋_GB2312"/>
                <w:sz w:val="21"/>
              </w:rPr>
              <w:t>（1）卫生杀虫剂的安全配制</w:t>
            </w:r>
          </w:p>
          <w:p w14:paraId="1DA37F16">
            <w:pPr>
              <w:pStyle w:val="4"/>
              <w:jc w:val="both"/>
            </w:pPr>
            <w:r>
              <w:rPr>
                <w:rFonts w:ascii="仿宋_GB2312" w:hAnsi="仿宋_GB2312" w:eastAsia="仿宋_GB2312" w:cs="仿宋_GB2312"/>
                <w:sz w:val="21"/>
              </w:rPr>
              <w:t>①卫生杀虫剂施药方法及施药浓度应参照产品使用说明书。特殊情况下，依据防制对象、施药场所因素可进行调整。</w:t>
            </w:r>
          </w:p>
          <w:p w14:paraId="24E33B40">
            <w:pPr>
              <w:pStyle w:val="4"/>
              <w:jc w:val="both"/>
            </w:pPr>
            <w:r>
              <w:rPr>
                <w:rFonts w:ascii="仿宋_GB2312" w:hAnsi="仿宋_GB2312" w:eastAsia="仿宋_GB2312" w:cs="仿宋_GB2312"/>
                <w:sz w:val="21"/>
              </w:rPr>
              <w:t>②配制卫生杀虫剂应使用专用工具和容器，至少包括量筒、刻度烧杯、刻度吸管、取液器。工具、容器应有明显的“有毒物品”或“危险物品”的标志，未经清洗处理的专用器具不得转作他用或丢弃。</w:t>
            </w:r>
          </w:p>
          <w:p w14:paraId="5A53E809">
            <w:pPr>
              <w:pStyle w:val="4"/>
              <w:jc w:val="both"/>
            </w:pPr>
            <w:r>
              <w:rPr>
                <w:rFonts w:ascii="仿宋_GB2312" w:hAnsi="仿宋_GB2312" w:eastAsia="仿宋_GB2312" w:cs="仿宋_GB2312"/>
                <w:sz w:val="21"/>
              </w:rPr>
              <w:t>③配制杀虫药剂应在通风的场所，配制人员要穿戴防护用品。</w:t>
            </w:r>
          </w:p>
          <w:p w14:paraId="244EAC41">
            <w:pPr>
              <w:pStyle w:val="4"/>
              <w:jc w:val="both"/>
            </w:pPr>
            <w:r>
              <w:rPr>
                <w:rFonts w:ascii="仿宋_GB2312" w:hAnsi="仿宋_GB2312" w:eastAsia="仿宋_GB2312" w:cs="仿宋_GB2312"/>
                <w:sz w:val="21"/>
              </w:rPr>
              <w:t>④对于活性高、稀释倍数高的药剂应采用两次稀释法。应使用中性、无固体杂质、硬度不可过高的稀释药剂用水。说明书没有特别指出的，不得随意添加其他物质。</w:t>
            </w:r>
          </w:p>
          <w:p w14:paraId="57893DD7">
            <w:pPr>
              <w:pStyle w:val="4"/>
              <w:jc w:val="both"/>
            </w:pPr>
            <w:r>
              <w:rPr>
                <w:rFonts w:ascii="仿宋_GB2312" w:hAnsi="仿宋_GB2312" w:eastAsia="仿宋_GB2312" w:cs="仿宋_GB2312"/>
                <w:sz w:val="21"/>
              </w:rPr>
              <w:t>（2）卫生杀虫剂的使用</w:t>
            </w:r>
          </w:p>
          <w:p w14:paraId="741C5E47">
            <w:pPr>
              <w:pStyle w:val="4"/>
              <w:jc w:val="both"/>
            </w:pPr>
            <w:r>
              <w:rPr>
                <w:rFonts w:ascii="仿宋_GB2312" w:hAnsi="仿宋_GB2312" w:eastAsia="仿宋_GB2312" w:cs="仿宋_GB2312"/>
                <w:sz w:val="21"/>
              </w:rPr>
              <w:t>①施药器械的选择应根据防治目的和药物剂型而定。</w:t>
            </w:r>
          </w:p>
          <w:p w14:paraId="264AA7BD">
            <w:pPr>
              <w:pStyle w:val="4"/>
              <w:jc w:val="both"/>
            </w:pPr>
            <w:r>
              <w:rPr>
                <w:rFonts w:ascii="仿宋_GB2312" w:hAnsi="仿宋_GB2312" w:eastAsia="仿宋_GB2312" w:cs="仿宋_GB2312"/>
                <w:sz w:val="21"/>
              </w:rPr>
              <w:t>②施药人员应穿戴必要的个人防护用品，施药期间不得抽烟、进食、喝水，未经清洗的个人防护用品不得带回居所。</w:t>
            </w:r>
          </w:p>
          <w:p w14:paraId="232A8B3A">
            <w:pPr>
              <w:pStyle w:val="4"/>
              <w:jc w:val="both"/>
            </w:pPr>
            <w:r>
              <w:rPr>
                <w:rFonts w:ascii="仿宋_GB2312" w:hAnsi="仿宋_GB2312" w:eastAsia="仿宋_GB2312" w:cs="仿宋_GB2312"/>
                <w:sz w:val="21"/>
              </w:rPr>
              <w:t>③施药场所的食品、待加工食品原料、直接与食品接触的容器应有遮盖，避免药液污染。应注意保护鱼类、鸟类等非靶标生物。</w:t>
            </w:r>
          </w:p>
          <w:p w14:paraId="226F7033">
            <w:pPr>
              <w:pStyle w:val="4"/>
              <w:jc w:val="both"/>
            </w:pPr>
            <w:r>
              <w:rPr>
                <w:rFonts w:ascii="仿宋_GB2312" w:hAnsi="仿宋_GB2312" w:eastAsia="仿宋_GB2312" w:cs="仿宋_GB2312"/>
                <w:sz w:val="21"/>
              </w:rPr>
              <w:t>④施药如有剩余，药液不能随意倾倒。</w:t>
            </w:r>
          </w:p>
          <w:p w14:paraId="79BDC02A">
            <w:pPr>
              <w:pStyle w:val="4"/>
              <w:jc w:val="both"/>
            </w:pPr>
            <w:r>
              <w:rPr>
                <w:rFonts w:ascii="仿宋_GB2312" w:hAnsi="仿宋_GB2312" w:eastAsia="仿宋_GB2312" w:cs="仿宋_GB2312"/>
                <w:sz w:val="21"/>
              </w:rPr>
              <w:t>（3）杀鼠剂的使用注意事项</w:t>
            </w:r>
          </w:p>
          <w:p w14:paraId="61232104">
            <w:pPr>
              <w:pStyle w:val="4"/>
              <w:jc w:val="both"/>
            </w:pPr>
            <w:r>
              <w:rPr>
                <w:rFonts w:ascii="仿宋_GB2312" w:hAnsi="仿宋_GB2312" w:eastAsia="仿宋_GB2312" w:cs="仿宋_GB2312"/>
                <w:sz w:val="21"/>
              </w:rPr>
              <w:t>①使用成品毒饵，投放在毒饵盒内并设有警示标识。</w:t>
            </w:r>
          </w:p>
          <w:p w14:paraId="6845396F">
            <w:pPr>
              <w:pStyle w:val="4"/>
              <w:jc w:val="both"/>
            </w:pPr>
            <w:r>
              <w:rPr>
                <w:rFonts w:ascii="仿宋_GB2312" w:hAnsi="仿宋_GB2312" w:eastAsia="仿宋_GB2312" w:cs="仿宋_GB2312"/>
                <w:sz w:val="21"/>
              </w:rPr>
              <w:t>②投放毒饵时以公告形式告知，并采取防止未成年人以及家畜、家禽、宠物接触毒饵的措施，直至毒饵清除。</w:t>
            </w:r>
          </w:p>
          <w:p w14:paraId="027D3FA2">
            <w:pPr>
              <w:pStyle w:val="4"/>
              <w:jc w:val="both"/>
            </w:pPr>
            <w:r>
              <w:rPr>
                <w:rFonts w:ascii="仿宋_GB2312" w:hAnsi="仿宋_GB2312" w:eastAsia="仿宋_GB2312" w:cs="仿宋_GB2312"/>
                <w:sz w:val="21"/>
              </w:rPr>
              <w:t>③毒饵警示期不得少于20天，警示期后投放者应立即清除残留毒饵。</w:t>
            </w:r>
          </w:p>
          <w:p w14:paraId="4237F52C">
            <w:pPr>
              <w:pStyle w:val="4"/>
              <w:jc w:val="both"/>
            </w:pPr>
            <w:r>
              <w:rPr>
                <w:rFonts w:ascii="仿宋_GB2312" w:hAnsi="仿宋_GB2312" w:eastAsia="仿宋_GB2312" w:cs="仿宋_GB2312"/>
                <w:sz w:val="21"/>
              </w:rPr>
              <w:t>（4）卫生杀虫剂、杀鼠剂的运输与储存</w:t>
            </w:r>
          </w:p>
          <w:p w14:paraId="233306F4">
            <w:pPr>
              <w:pStyle w:val="4"/>
              <w:jc w:val="both"/>
            </w:pPr>
            <w:r>
              <w:rPr>
                <w:rFonts w:ascii="仿宋_GB2312" w:hAnsi="仿宋_GB2312" w:eastAsia="仿宋_GB2312" w:cs="仿宋_GB2312"/>
                <w:sz w:val="21"/>
              </w:rPr>
              <w:t>①卫生杀虫剂、杀鼠剂在运输、储存、施用过程中，应由具有专人进行管理。</w:t>
            </w:r>
          </w:p>
          <w:p w14:paraId="6C363930">
            <w:pPr>
              <w:pStyle w:val="4"/>
              <w:jc w:val="both"/>
            </w:pPr>
            <w:r>
              <w:rPr>
                <w:rFonts w:ascii="仿宋_GB2312" w:hAnsi="仿宋_GB2312" w:eastAsia="仿宋_GB2312" w:cs="仿宋_GB2312"/>
                <w:sz w:val="21"/>
              </w:rPr>
              <w:t>②卫生杀虫剂、杀鼠剂应置于专用仓库储存，并有专人进行登记管理。</w:t>
            </w:r>
          </w:p>
          <w:p w14:paraId="21E0B107">
            <w:pPr>
              <w:pStyle w:val="4"/>
              <w:jc w:val="both"/>
            </w:pPr>
            <w:r>
              <w:rPr>
                <w:rFonts w:ascii="仿宋_GB2312" w:hAnsi="仿宋_GB2312" w:eastAsia="仿宋_GB2312" w:cs="仿宋_GB2312"/>
                <w:sz w:val="21"/>
              </w:rPr>
              <w:t>4、供应商需负责杀虫剂、杀鼠剂包装废弃物的100%回收，并交由第三方处置机构进行处置，费用由供应商承担。</w:t>
            </w:r>
          </w:p>
          <w:p w14:paraId="07606237">
            <w:pPr>
              <w:pStyle w:val="4"/>
              <w:jc w:val="both"/>
            </w:pPr>
            <w:r>
              <w:rPr>
                <w:rFonts w:ascii="仿宋_GB2312" w:hAnsi="仿宋_GB2312" w:eastAsia="仿宋_GB2312" w:cs="仿宋_GB2312"/>
                <w:sz w:val="21"/>
              </w:rPr>
              <w:t>5、防治服务所需药品要求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6"/>
              <w:gridCol w:w="1229"/>
              <w:gridCol w:w="1105"/>
              <w:gridCol w:w="1365"/>
              <w:gridCol w:w="908"/>
            </w:tblGrid>
            <w:tr w14:paraId="5DAB7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0091E32">
                  <w:pPr>
                    <w:pStyle w:val="4"/>
                    <w:jc w:val="both"/>
                  </w:pPr>
                  <w:r>
                    <w:rPr>
                      <w:rFonts w:ascii="仿宋_GB2312" w:hAnsi="仿宋_GB2312" w:eastAsia="仿宋_GB2312" w:cs="仿宋_GB2312"/>
                      <w:sz w:val="21"/>
                    </w:rPr>
                    <w:t>分类</w:t>
                  </w:r>
                </w:p>
              </w:tc>
              <w:tc>
                <w:tcPr>
                  <w:tcW w:w="124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DD1C5FB">
                  <w:pPr>
                    <w:pStyle w:val="4"/>
                    <w:jc w:val="both"/>
                  </w:pPr>
                  <w:r>
                    <w:rPr>
                      <w:rFonts w:ascii="仿宋_GB2312" w:hAnsi="仿宋_GB2312" w:eastAsia="仿宋_GB2312" w:cs="仿宋_GB2312"/>
                      <w:sz w:val="21"/>
                    </w:rPr>
                    <w:t>名称</w:t>
                  </w:r>
                </w:p>
              </w:tc>
              <w:tc>
                <w:tcPr>
                  <w:tcW w:w="11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33E8F25">
                  <w:pPr>
                    <w:pStyle w:val="4"/>
                    <w:jc w:val="both"/>
                  </w:pPr>
                  <w:r>
                    <w:rPr>
                      <w:rFonts w:ascii="仿宋_GB2312" w:hAnsi="仿宋_GB2312" w:eastAsia="仿宋_GB2312" w:cs="仿宋_GB2312"/>
                      <w:sz w:val="21"/>
                    </w:rPr>
                    <w:t>要求</w:t>
                  </w:r>
                </w:p>
              </w:tc>
              <w:tc>
                <w:tcPr>
                  <w:tcW w:w="132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91355E6">
                  <w:pPr>
                    <w:pStyle w:val="4"/>
                    <w:jc w:val="both"/>
                  </w:pPr>
                  <w:r>
                    <w:rPr>
                      <w:rFonts w:ascii="仿宋_GB2312" w:hAnsi="仿宋_GB2312" w:eastAsia="仿宋_GB2312" w:cs="仿宋_GB2312"/>
                      <w:sz w:val="21"/>
                    </w:rPr>
                    <w:t>单位</w:t>
                  </w:r>
                </w:p>
              </w:tc>
              <w:tc>
                <w:tcPr>
                  <w:tcW w:w="91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F4775A1">
                  <w:pPr>
                    <w:pStyle w:val="4"/>
                    <w:jc w:val="both"/>
                  </w:pPr>
                  <w:r>
                    <w:rPr>
                      <w:rFonts w:ascii="仿宋_GB2312" w:hAnsi="仿宋_GB2312" w:eastAsia="仿宋_GB2312" w:cs="仿宋_GB2312"/>
                      <w:sz w:val="21"/>
                    </w:rPr>
                    <w:t>数量</w:t>
                  </w:r>
                </w:p>
              </w:tc>
            </w:tr>
            <w:tr w14:paraId="2AB13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D29037">
                  <w:pPr>
                    <w:pStyle w:val="4"/>
                    <w:jc w:val="both"/>
                  </w:pPr>
                  <w:r>
                    <w:rPr>
                      <w:rFonts w:ascii="仿宋_GB2312" w:hAnsi="仿宋_GB2312" w:eastAsia="仿宋_GB2312" w:cs="仿宋_GB2312"/>
                      <w:sz w:val="21"/>
                    </w:rPr>
                    <w:t>灭鼠类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B6C642B">
                  <w:pPr>
                    <w:pStyle w:val="4"/>
                    <w:jc w:val="both"/>
                  </w:pPr>
                  <w:r>
                    <w:rPr>
                      <w:rFonts w:ascii="仿宋_GB2312" w:hAnsi="仿宋_GB2312" w:eastAsia="仿宋_GB2312" w:cs="仿宋_GB2312"/>
                      <w:sz w:val="21"/>
                    </w:rPr>
                    <w:t>溴敌隆</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D8C6574">
                  <w:pPr>
                    <w:pStyle w:val="4"/>
                    <w:jc w:val="both"/>
                  </w:pPr>
                  <w:r>
                    <w:rPr>
                      <w:rFonts w:ascii="仿宋_GB2312" w:hAnsi="仿宋_GB2312" w:eastAsia="仿宋_GB2312" w:cs="仿宋_GB2312"/>
                      <w:sz w:val="21"/>
                    </w:rPr>
                    <w:t>安全规范投饵</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67BD78A2">
                  <w:pPr>
                    <w:pStyle w:val="4"/>
                    <w:jc w:val="both"/>
                  </w:pPr>
                  <w:r>
                    <w:rPr>
                      <w:rFonts w:ascii="仿宋_GB2312" w:hAnsi="仿宋_GB2312" w:eastAsia="仿宋_GB2312" w:cs="仿宋_GB2312"/>
                      <w:sz w:val="21"/>
                    </w:rPr>
                    <w:t>0.005%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20245E7C">
                  <w:pPr>
                    <w:pStyle w:val="4"/>
                    <w:jc w:val="both"/>
                  </w:pPr>
                  <w:r>
                    <w:rPr>
                      <w:rFonts w:ascii="仿宋_GB2312" w:hAnsi="仿宋_GB2312" w:eastAsia="仿宋_GB2312" w:cs="仿宋_GB2312"/>
                      <w:sz w:val="21"/>
                    </w:rPr>
                    <w:t>50kg</w:t>
                  </w:r>
                </w:p>
              </w:tc>
            </w:tr>
            <w:tr w14:paraId="02160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8B42421"/>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02D70BC3">
                  <w:pPr>
                    <w:pStyle w:val="4"/>
                    <w:jc w:val="both"/>
                  </w:pPr>
                  <w:r>
                    <w:rPr>
                      <w:rFonts w:ascii="仿宋_GB2312" w:hAnsi="仿宋_GB2312" w:eastAsia="仿宋_GB2312" w:cs="仿宋_GB2312"/>
                      <w:sz w:val="21"/>
                    </w:rPr>
                    <w:t>氟鼠灵</w:t>
                  </w:r>
                </w:p>
              </w:tc>
              <w:tc>
                <w:tcPr>
                  <w:tcW w:w="1120" w:type="dxa"/>
                  <w:vMerge w:val="continue"/>
                  <w:tcBorders>
                    <w:top w:val="nil"/>
                    <w:left w:val="nil"/>
                    <w:bottom w:val="single" w:color="000000" w:sz="4" w:space="0"/>
                    <w:right w:val="single" w:color="000000" w:sz="4" w:space="0"/>
                  </w:tcBorders>
                </w:tcPr>
                <w:p w14:paraId="7EA1AF43"/>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62A45AA1">
                  <w:pPr>
                    <w:pStyle w:val="4"/>
                    <w:jc w:val="both"/>
                  </w:pPr>
                  <w:r>
                    <w:rPr>
                      <w:rFonts w:ascii="仿宋_GB2312" w:hAnsi="仿宋_GB2312" w:eastAsia="仿宋_GB2312" w:cs="仿宋_GB2312"/>
                      <w:sz w:val="21"/>
                    </w:rPr>
                    <w:t>0.005%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29DAA3D9">
                  <w:pPr>
                    <w:pStyle w:val="4"/>
                    <w:jc w:val="both"/>
                  </w:pPr>
                  <w:r>
                    <w:rPr>
                      <w:rFonts w:ascii="仿宋_GB2312" w:hAnsi="仿宋_GB2312" w:eastAsia="仿宋_GB2312" w:cs="仿宋_GB2312"/>
                      <w:sz w:val="21"/>
                    </w:rPr>
                    <w:t>50kg</w:t>
                  </w:r>
                </w:p>
              </w:tc>
            </w:tr>
            <w:tr w14:paraId="4C34D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489D6D">
                  <w:pPr>
                    <w:pStyle w:val="4"/>
                    <w:jc w:val="both"/>
                  </w:pPr>
                  <w:r>
                    <w:rPr>
                      <w:rFonts w:ascii="仿宋_GB2312" w:hAnsi="仿宋_GB2312" w:eastAsia="仿宋_GB2312" w:cs="仿宋_GB2312"/>
                      <w:sz w:val="21"/>
                    </w:rPr>
                    <w:t>灭蚊幼类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7854DBF4">
                  <w:pPr>
                    <w:pStyle w:val="4"/>
                    <w:jc w:val="both"/>
                  </w:pPr>
                  <w:r>
                    <w:rPr>
                      <w:rFonts w:ascii="仿宋_GB2312" w:hAnsi="仿宋_GB2312" w:eastAsia="仿宋_GB2312" w:cs="仿宋_GB2312"/>
                      <w:sz w:val="21"/>
                    </w:rPr>
                    <w:t>倍硫磷</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8B34508">
                  <w:pPr>
                    <w:pStyle w:val="4"/>
                    <w:jc w:val="both"/>
                  </w:pPr>
                  <w:r>
                    <w:rPr>
                      <w:rFonts w:ascii="仿宋_GB2312" w:hAnsi="仿宋_GB2312" w:eastAsia="仿宋_GB2312" w:cs="仿宋_GB2312"/>
                      <w:sz w:val="21"/>
                    </w:rPr>
                    <w:t>撒施、喷洒</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A754650">
                  <w:pPr>
                    <w:pStyle w:val="4"/>
                    <w:jc w:val="both"/>
                  </w:pPr>
                  <w:r>
                    <w:rPr>
                      <w:rFonts w:ascii="仿宋_GB2312" w:hAnsi="仿宋_GB2312" w:eastAsia="仿宋_GB2312" w:cs="仿宋_GB2312"/>
                      <w:sz w:val="21"/>
                    </w:rPr>
                    <w:t>50%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0806056A">
                  <w:pPr>
                    <w:pStyle w:val="4"/>
                    <w:jc w:val="both"/>
                  </w:pPr>
                  <w:r>
                    <w:rPr>
                      <w:rFonts w:ascii="仿宋_GB2312" w:hAnsi="仿宋_GB2312" w:eastAsia="仿宋_GB2312" w:cs="仿宋_GB2312"/>
                      <w:sz w:val="21"/>
                    </w:rPr>
                    <w:t>10kg</w:t>
                  </w:r>
                </w:p>
              </w:tc>
            </w:tr>
            <w:tr w14:paraId="26D64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C12909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36E4829F">
                  <w:pPr>
                    <w:pStyle w:val="4"/>
                    <w:jc w:val="both"/>
                  </w:pPr>
                  <w:r>
                    <w:rPr>
                      <w:rFonts w:ascii="仿宋_GB2312" w:hAnsi="仿宋_GB2312" w:eastAsia="仿宋_GB2312" w:cs="仿宋_GB2312"/>
                      <w:sz w:val="21"/>
                    </w:rPr>
                    <w:t>苏云金杆菌</w:t>
                  </w:r>
                </w:p>
              </w:tc>
              <w:tc>
                <w:tcPr>
                  <w:tcW w:w="1120" w:type="dxa"/>
                  <w:vMerge w:val="continue"/>
                  <w:tcBorders>
                    <w:top w:val="nil"/>
                    <w:left w:val="nil"/>
                    <w:bottom w:val="single" w:color="000000" w:sz="4" w:space="0"/>
                    <w:right w:val="single" w:color="000000" w:sz="4" w:space="0"/>
                  </w:tcBorders>
                </w:tcPr>
                <w:p w14:paraId="787C8D45"/>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569C0974">
                  <w:pPr>
                    <w:pStyle w:val="4"/>
                    <w:jc w:val="both"/>
                  </w:pPr>
                  <w:r>
                    <w:rPr>
                      <w:rFonts w:ascii="仿宋_GB2312" w:hAnsi="仿宋_GB2312" w:eastAsia="仿宋_GB2312" w:cs="仿宋_GB2312"/>
                      <w:sz w:val="21"/>
                    </w:rPr>
                    <w:t>200ITU/毫克</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9E9F8AC">
                  <w:pPr>
                    <w:pStyle w:val="4"/>
                    <w:jc w:val="both"/>
                  </w:pPr>
                  <w:r>
                    <w:rPr>
                      <w:rFonts w:ascii="仿宋_GB2312" w:hAnsi="仿宋_GB2312" w:eastAsia="仿宋_GB2312" w:cs="仿宋_GB2312"/>
                      <w:sz w:val="21"/>
                    </w:rPr>
                    <w:t>5kg</w:t>
                  </w:r>
                </w:p>
              </w:tc>
            </w:tr>
            <w:tr w14:paraId="7E66C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04E812ED"/>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708BC19A">
                  <w:pPr>
                    <w:pStyle w:val="4"/>
                    <w:jc w:val="both"/>
                  </w:pPr>
                  <w:r>
                    <w:rPr>
                      <w:rFonts w:ascii="仿宋_GB2312" w:hAnsi="仿宋_GB2312" w:eastAsia="仿宋_GB2312" w:cs="仿宋_GB2312"/>
                      <w:sz w:val="21"/>
                    </w:rPr>
                    <w:t>吡丙醚</w:t>
                  </w:r>
                </w:p>
              </w:tc>
              <w:tc>
                <w:tcPr>
                  <w:tcW w:w="1120" w:type="dxa"/>
                  <w:vMerge w:val="continue"/>
                  <w:tcBorders>
                    <w:top w:val="nil"/>
                    <w:left w:val="nil"/>
                    <w:bottom w:val="single" w:color="000000" w:sz="4" w:space="0"/>
                    <w:right w:val="single" w:color="000000" w:sz="4" w:space="0"/>
                  </w:tcBorders>
                </w:tcPr>
                <w:p w14:paraId="4BABAAC9"/>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623A724">
                  <w:pPr>
                    <w:pStyle w:val="4"/>
                    <w:jc w:val="both"/>
                  </w:pPr>
                  <w:r>
                    <w:rPr>
                      <w:rFonts w:ascii="仿宋_GB2312" w:hAnsi="仿宋_GB2312" w:eastAsia="仿宋_GB2312" w:cs="仿宋_GB2312"/>
                      <w:sz w:val="21"/>
                    </w:rPr>
                    <w:t>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17885872">
                  <w:pPr>
                    <w:pStyle w:val="4"/>
                    <w:jc w:val="both"/>
                  </w:pPr>
                  <w:r>
                    <w:rPr>
                      <w:rFonts w:ascii="仿宋_GB2312" w:hAnsi="仿宋_GB2312" w:eastAsia="仿宋_GB2312" w:cs="仿宋_GB2312"/>
                      <w:sz w:val="21"/>
                    </w:rPr>
                    <w:t>10kg</w:t>
                  </w:r>
                </w:p>
              </w:tc>
            </w:tr>
            <w:tr w14:paraId="3DE00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3876B9E"/>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6386F3CF">
                  <w:pPr>
                    <w:pStyle w:val="4"/>
                    <w:jc w:val="both"/>
                  </w:pPr>
                  <w:r>
                    <w:rPr>
                      <w:rFonts w:ascii="仿宋_GB2312" w:hAnsi="仿宋_GB2312" w:eastAsia="仿宋_GB2312" w:cs="仿宋_GB2312"/>
                      <w:sz w:val="21"/>
                    </w:rPr>
                    <w:t>S-烯虫酯</w:t>
                  </w:r>
                </w:p>
              </w:tc>
              <w:tc>
                <w:tcPr>
                  <w:tcW w:w="1120" w:type="dxa"/>
                  <w:vMerge w:val="continue"/>
                  <w:tcBorders>
                    <w:top w:val="nil"/>
                    <w:left w:val="nil"/>
                    <w:bottom w:val="single" w:color="000000" w:sz="4" w:space="0"/>
                    <w:right w:val="single" w:color="000000" w:sz="4" w:space="0"/>
                  </w:tcBorders>
                </w:tcPr>
                <w:p w14:paraId="6D506D27"/>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9BCCFC3">
                  <w:pPr>
                    <w:pStyle w:val="4"/>
                    <w:jc w:val="both"/>
                  </w:pPr>
                  <w:r>
                    <w:rPr>
                      <w:rFonts w:ascii="仿宋_GB2312" w:hAnsi="仿宋_GB2312" w:eastAsia="仿宋_GB2312" w:cs="仿宋_GB2312"/>
                      <w:sz w:val="21"/>
                    </w:rPr>
                    <w:t>20%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998FB4E">
                  <w:pPr>
                    <w:pStyle w:val="4"/>
                    <w:jc w:val="both"/>
                  </w:pPr>
                  <w:r>
                    <w:rPr>
                      <w:rFonts w:ascii="仿宋_GB2312" w:hAnsi="仿宋_GB2312" w:eastAsia="仿宋_GB2312" w:cs="仿宋_GB2312"/>
                      <w:sz w:val="21"/>
                    </w:rPr>
                    <w:t>5kg</w:t>
                  </w:r>
                </w:p>
              </w:tc>
            </w:tr>
            <w:tr w14:paraId="674646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D71F65">
                  <w:pPr>
                    <w:pStyle w:val="4"/>
                    <w:jc w:val="both"/>
                  </w:pPr>
                  <w:r>
                    <w:rPr>
                      <w:rFonts w:ascii="仿宋_GB2312" w:hAnsi="仿宋_GB2312" w:eastAsia="仿宋_GB2312" w:cs="仿宋_GB2312"/>
                      <w:sz w:val="21"/>
                    </w:rPr>
                    <w:t>灭蚊蝇、蟑螂类</w:t>
                  </w:r>
                </w:p>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2A093B23">
                  <w:pPr>
                    <w:pStyle w:val="4"/>
                    <w:jc w:val="both"/>
                  </w:pPr>
                  <w:r>
                    <w:rPr>
                      <w:rFonts w:ascii="仿宋_GB2312" w:hAnsi="仿宋_GB2312" w:eastAsia="仿宋_GB2312" w:cs="仿宋_GB2312"/>
                      <w:sz w:val="21"/>
                    </w:rPr>
                    <w:t>高效氟氯氰菊酯</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BD93605">
                  <w:pPr>
                    <w:pStyle w:val="4"/>
                    <w:jc w:val="both"/>
                  </w:pPr>
                  <w:r>
                    <w:rPr>
                      <w:rFonts w:ascii="仿宋_GB2312" w:hAnsi="仿宋_GB2312" w:eastAsia="仿宋_GB2312" w:cs="仿宋_GB2312"/>
                      <w:sz w:val="21"/>
                    </w:rPr>
                    <w:t>滞留喷洒</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30F2F419">
                  <w:pPr>
                    <w:pStyle w:val="4"/>
                    <w:jc w:val="both"/>
                  </w:pPr>
                  <w:r>
                    <w:rPr>
                      <w:rFonts w:ascii="仿宋_GB2312" w:hAnsi="仿宋_GB2312" w:eastAsia="仿宋_GB2312" w:cs="仿宋_GB2312"/>
                      <w:sz w:val="21"/>
                    </w:rPr>
                    <w:t>2.5%--12.5%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445B0E12">
                  <w:pPr>
                    <w:pStyle w:val="4"/>
                    <w:jc w:val="both"/>
                  </w:pPr>
                  <w:r>
                    <w:rPr>
                      <w:rFonts w:ascii="仿宋_GB2312" w:hAnsi="仿宋_GB2312" w:eastAsia="仿宋_GB2312" w:cs="仿宋_GB2312"/>
                      <w:sz w:val="21"/>
                    </w:rPr>
                    <w:t>10L</w:t>
                  </w:r>
                </w:p>
              </w:tc>
            </w:tr>
            <w:tr w14:paraId="7670A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794A1D31"/>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1B948B1E">
                  <w:pPr>
                    <w:pStyle w:val="4"/>
                    <w:jc w:val="both"/>
                  </w:pPr>
                  <w:r>
                    <w:rPr>
                      <w:rFonts w:ascii="仿宋_GB2312" w:hAnsi="仿宋_GB2312" w:eastAsia="仿宋_GB2312" w:cs="仿宋_GB2312"/>
                      <w:sz w:val="21"/>
                    </w:rPr>
                    <w:t>氟氯·吡虫啉</w:t>
                  </w:r>
                </w:p>
              </w:tc>
              <w:tc>
                <w:tcPr>
                  <w:tcW w:w="1120" w:type="dxa"/>
                  <w:vMerge w:val="continue"/>
                  <w:tcBorders>
                    <w:top w:val="nil"/>
                    <w:left w:val="nil"/>
                    <w:bottom w:val="single" w:color="000000" w:sz="4" w:space="0"/>
                    <w:right w:val="single" w:color="000000" w:sz="4" w:space="0"/>
                  </w:tcBorders>
                </w:tcPr>
                <w:p w14:paraId="0456B4E4"/>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1D80E0D4">
                  <w:pPr>
                    <w:pStyle w:val="4"/>
                    <w:jc w:val="both"/>
                  </w:pPr>
                  <w:r>
                    <w:rPr>
                      <w:rFonts w:ascii="仿宋_GB2312" w:hAnsi="仿宋_GB2312" w:eastAsia="仿宋_GB2312" w:cs="仿宋_GB2312"/>
                      <w:sz w:val="21"/>
                    </w:rPr>
                    <w:t>31%</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A6DE8A1">
                  <w:pPr>
                    <w:pStyle w:val="4"/>
                    <w:jc w:val="both"/>
                  </w:pPr>
                  <w:r>
                    <w:rPr>
                      <w:rFonts w:ascii="仿宋_GB2312" w:hAnsi="仿宋_GB2312" w:eastAsia="仿宋_GB2312" w:cs="仿宋_GB2312"/>
                      <w:sz w:val="21"/>
                    </w:rPr>
                    <w:t>10L</w:t>
                  </w:r>
                </w:p>
              </w:tc>
            </w:tr>
            <w:tr w14:paraId="558013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2B6F2C33"/>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2F24DF17">
                  <w:pPr>
                    <w:pStyle w:val="4"/>
                    <w:jc w:val="both"/>
                  </w:pPr>
                  <w:r>
                    <w:rPr>
                      <w:rFonts w:ascii="仿宋_GB2312" w:hAnsi="仿宋_GB2312" w:eastAsia="仿宋_GB2312" w:cs="仿宋_GB2312"/>
                      <w:sz w:val="21"/>
                    </w:rPr>
                    <w:t>溴氰菊酯</w:t>
                  </w:r>
                </w:p>
              </w:tc>
              <w:tc>
                <w:tcPr>
                  <w:tcW w:w="1120" w:type="dxa"/>
                  <w:vMerge w:val="continue"/>
                  <w:tcBorders>
                    <w:top w:val="nil"/>
                    <w:left w:val="nil"/>
                    <w:bottom w:val="single" w:color="000000" w:sz="4" w:space="0"/>
                    <w:right w:val="single" w:color="000000" w:sz="4" w:space="0"/>
                  </w:tcBorders>
                </w:tcPr>
                <w:p w14:paraId="4DF6AE1E"/>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02AA96FC">
                  <w:pPr>
                    <w:pStyle w:val="4"/>
                    <w:jc w:val="both"/>
                  </w:pPr>
                  <w:r>
                    <w:rPr>
                      <w:rFonts w:ascii="仿宋_GB2312" w:hAnsi="仿宋_GB2312" w:eastAsia="仿宋_GB2312" w:cs="仿宋_GB2312"/>
                      <w:sz w:val="21"/>
                    </w:rPr>
                    <w:t>2.5%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2A5FC636">
                  <w:pPr>
                    <w:pStyle w:val="4"/>
                    <w:jc w:val="both"/>
                  </w:pPr>
                  <w:r>
                    <w:rPr>
                      <w:rFonts w:ascii="仿宋_GB2312" w:hAnsi="仿宋_GB2312" w:eastAsia="仿宋_GB2312" w:cs="仿宋_GB2312"/>
                      <w:sz w:val="21"/>
                    </w:rPr>
                    <w:t>10L</w:t>
                  </w:r>
                </w:p>
              </w:tc>
            </w:tr>
            <w:tr w14:paraId="0CEF0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22292555"/>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46606C9F">
                  <w:pPr>
                    <w:pStyle w:val="4"/>
                    <w:jc w:val="both"/>
                  </w:pPr>
                  <w:r>
                    <w:rPr>
                      <w:rFonts w:ascii="仿宋_GB2312" w:hAnsi="仿宋_GB2312" w:eastAsia="仿宋_GB2312" w:cs="仿宋_GB2312"/>
                      <w:sz w:val="21"/>
                    </w:rPr>
                    <w:t>高效氯氰菊酯</w:t>
                  </w:r>
                </w:p>
              </w:tc>
              <w:tc>
                <w:tcPr>
                  <w:tcW w:w="1120" w:type="dxa"/>
                  <w:vMerge w:val="continue"/>
                  <w:tcBorders>
                    <w:top w:val="nil"/>
                    <w:left w:val="nil"/>
                    <w:bottom w:val="single" w:color="000000" w:sz="4" w:space="0"/>
                    <w:right w:val="single" w:color="000000" w:sz="4" w:space="0"/>
                  </w:tcBorders>
                </w:tcPr>
                <w:p w14:paraId="7F0C8D06"/>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2ED44EDB">
                  <w:pPr>
                    <w:pStyle w:val="4"/>
                    <w:jc w:val="both"/>
                  </w:pPr>
                  <w:r>
                    <w:rPr>
                      <w:rFonts w:ascii="仿宋_GB2312" w:hAnsi="仿宋_GB2312" w:eastAsia="仿宋_GB2312" w:cs="仿宋_GB2312"/>
                      <w:sz w:val="21"/>
                    </w:rPr>
                    <w:t>5%、10%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727D8ADA">
                  <w:pPr>
                    <w:pStyle w:val="4"/>
                    <w:jc w:val="both"/>
                  </w:pPr>
                  <w:r>
                    <w:rPr>
                      <w:rFonts w:ascii="仿宋_GB2312" w:hAnsi="仿宋_GB2312" w:eastAsia="仿宋_GB2312" w:cs="仿宋_GB2312"/>
                      <w:sz w:val="21"/>
                    </w:rPr>
                    <w:t>10L</w:t>
                  </w:r>
                </w:p>
              </w:tc>
            </w:tr>
            <w:tr w14:paraId="5D5BB8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0E59B8E5"/>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09844DCB">
                  <w:pPr>
                    <w:pStyle w:val="4"/>
                    <w:jc w:val="both"/>
                  </w:pPr>
                  <w:r>
                    <w:rPr>
                      <w:rFonts w:ascii="仿宋_GB2312" w:hAnsi="仿宋_GB2312" w:eastAsia="仿宋_GB2312" w:cs="仿宋_GB2312"/>
                      <w:sz w:val="21"/>
                    </w:rPr>
                    <w:t>氯菊·烯丙菊</w:t>
                  </w:r>
                </w:p>
              </w:tc>
              <w:tc>
                <w:tcPr>
                  <w:tcW w:w="1120" w:type="dxa"/>
                  <w:vMerge w:val="continue"/>
                  <w:tcBorders>
                    <w:top w:val="nil"/>
                    <w:left w:val="nil"/>
                    <w:bottom w:val="single" w:color="000000" w:sz="4" w:space="0"/>
                    <w:right w:val="single" w:color="000000" w:sz="4" w:space="0"/>
                  </w:tcBorders>
                </w:tcPr>
                <w:p w14:paraId="7DD206EF"/>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321E5D52">
                  <w:pPr>
                    <w:pStyle w:val="4"/>
                    <w:jc w:val="both"/>
                  </w:pPr>
                  <w:r>
                    <w:rPr>
                      <w:rFonts w:ascii="仿宋_GB2312" w:hAnsi="仿宋_GB2312" w:eastAsia="仿宋_GB2312" w:cs="仿宋_GB2312"/>
                      <w:sz w:val="21"/>
                    </w:rPr>
                    <w:t>104克/升</w:t>
                  </w:r>
                </w:p>
                <w:p w14:paraId="242C6ECD">
                  <w:pPr>
                    <w:pStyle w:val="4"/>
                    <w:jc w:val="both"/>
                  </w:pPr>
                  <w:r>
                    <w:rPr>
                      <w:rFonts w:ascii="仿宋_GB2312" w:hAnsi="仿宋_GB2312" w:eastAsia="仿宋_GB2312" w:cs="仿宋_GB2312"/>
                      <w:sz w:val="21"/>
                    </w:rPr>
                    <w:t>168.6克/升</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8ABC22D">
                  <w:pPr>
                    <w:pStyle w:val="4"/>
                    <w:jc w:val="both"/>
                  </w:pPr>
                  <w:r>
                    <w:rPr>
                      <w:rFonts w:ascii="仿宋_GB2312" w:hAnsi="仿宋_GB2312" w:eastAsia="仿宋_GB2312" w:cs="仿宋_GB2312"/>
                      <w:sz w:val="21"/>
                    </w:rPr>
                    <w:t>10L</w:t>
                  </w:r>
                </w:p>
              </w:tc>
            </w:tr>
            <w:tr w14:paraId="164CC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70F11DF7"/>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5CD9A692">
                  <w:pPr>
                    <w:pStyle w:val="4"/>
                    <w:jc w:val="both"/>
                  </w:pPr>
                  <w:r>
                    <w:rPr>
                      <w:rFonts w:ascii="仿宋_GB2312" w:hAnsi="仿宋_GB2312" w:eastAsia="仿宋_GB2312" w:cs="仿宋_GB2312"/>
                      <w:sz w:val="21"/>
                    </w:rPr>
                    <w:t>烯丙·氯菊</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050AF1D">
                  <w:pPr>
                    <w:pStyle w:val="4"/>
                    <w:jc w:val="both"/>
                  </w:pPr>
                  <w:r>
                    <w:rPr>
                      <w:rFonts w:ascii="仿宋_GB2312" w:hAnsi="仿宋_GB2312" w:eastAsia="仿宋_GB2312" w:cs="仿宋_GB2312"/>
                      <w:sz w:val="21"/>
                    </w:rPr>
                    <w:t>空间喷雾</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28FA4352">
                  <w:pPr>
                    <w:pStyle w:val="4"/>
                    <w:jc w:val="both"/>
                  </w:pPr>
                  <w:r>
                    <w:rPr>
                      <w:rFonts w:ascii="仿宋_GB2312" w:hAnsi="仿宋_GB2312" w:eastAsia="仿宋_GB2312" w:cs="仿宋_GB2312"/>
                      <w:sz w:val="21"/>
                    </w:rPr>
                    <w:t>10%</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5FAD8D9A">
                  <w:pPr>
                    <w:pStyle w:val="4"/>
                    <w:jc w:val="both"/>
                  </w:pPr>
                  <w:r>
                    <w:rPr>
                      <w:rFonts w:ascii="仿宋_GB2312" w:hAnsi="仿宋_GB2312" w:eastAsia="仿宋_GB2312" w:cs="仿宋_GB2312"/>
                      <w:sz w:val="21"/>
                    </w:rPr>
                    <w:t>10L</w:t>
                  </w:r>
                </w:p>
              </w:tc>
            </w:tr>
            <w:tr w14:paraId="68B365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1E389C3B"/>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5956A43A">
                  <w:pPr>
                    <w:pStyle w:val="4"/>
                    <w:jc w:val="both"/>
                  </w:pPr>
                  <w:r>
                    <w:rPr>
                      <w:rFonts w:ascii="仿宋_GB2312" w:hAnsi="仿宋_GB2312" w:eastAsia="仿宋_GB2312" w:cs="仿宋_GB2312"/>
                      <w:sz w:val="21"/>
                    </w:rPr>
                    <w:t>氯菊酯·四氟苯菊酯</w:t>
                  </w:r>
                </w:p>
              </w:tc>
              <w:tc>
                <w:tcPr>
                  <w:tcW w:w="1120" w:type="dxa"/>
                  <w:vMerge w:val="continue"/>
                  <w:tcBorders>
                    <w:top w:val="nil"/>
                    <w:left w:val="nil"/>
                    <w:bottom w:val="single" w:color="000000" w:sz="4" w:space="0"/>
                    <w:right w:val="single" w:color="000000" w:sz="4" w:space="0"/>
                  </w:tcBorders>
                </w:tcPr>
                <w:p w14:paraId="3144DFE0"/>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D92E931">
                  <w:pPr>
                    <w:pStyle w:val="4"/>
                    <w:jc w:val="both"/>
                  </w:pPr>
                  <w:r>
                    <w:rPr>
                      <w:rFonts w:ascii="仿宋_GB2312" w:hAnsi="仿宋_GB2312" w:eastAsia="仿宋_GB2312" w:cs="仿宋_GB2312"/>
                      <w:sz w:val="21"/>
                    </w:rPr>
                    <w:t>1.2%</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2161D700">
                  <w:pPr>
                    <w:pStyle w:val="4"/>
                    <w:jc w:val="both"/>
                  </w:pPr>
                  <w:r>
                    <w:rPr>
                      <w:rFonts w:ascii="仿宋_GB2312" w:hAnsi="仿宋_GB2312" w:eastAsia="仿宋_GB2312" w:cs="仿宋_GB2312"/>
                      <w:sz w:val="21"/>
                    </w:rPr>
                    <w:t>10L</w:t>
                  </w:r>
                </w:p>
              </w:tc>
            </w:tr>
            <w:tr w14:paraId="1EA7D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6C6B184D"/>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37CC7925">
                  <w:pPr>
                    <w:pStyle w:val="4"/>
                    <w:jc w:val="both"/>
                  </w:pPr>
                  <w:r>
                    <w:rPr>
                      <w:rFonts w:ascii="仿宋_GB2312" w:hAnsi="仿宋_GB2312" w:eastAsia="仿宋_GB2312" w:cs="仿宋_GB2312"/>
                      <w:sz w:val="21"/>
                    </w:rPr>
                    <w:t>氯菊酯·四氟苯菊酯</w:t>
                  </w:r>
                </w:p>
              </w:tc>
              <w:tc>
                <w:tcPr>
                  <w:tcW w:w="1120" w:type="dxa"/>
                  <w:vMerge w:val="continue"/>
                  <w:tcBorders>
                    <w:top w:val="nil"/>
                    <w:left w:val="nil"/>
                    <w:bottom w:val="single" w:color="000000" w:sz="4" w:space="0"/>
                    <w:right w:val="single" w:color="000000" w:sz="4" w:space="0"/>
                  </w:tcBorders>
                </w:tcPr>
                <w:p w14:paraId="4E8C604C"/>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69A0F043">
                  <w:pPr>
                    <w:pStyle w:val="4"/>
                    <w:jc w:val="both"/>
                  </w:pPr>
                  <w:r>
                    <w:rPr>
                      <w:rFonts w:ascii="仿宋_GB2312" w:hAnsi="仿宋_GB2312" w:eastAsia="仿宋_GB2312" w:cs="仿宋_GB2312"/>
                      <w:sz w:val="21"/>
                    </w:rPr>
                    <w:t>6%</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48B78166">
                  <w:pPr>
                    <w:pStyle w:val="4"/>
                    <w:jc w:val="both"/>
                  </w:pPr>
                  <w:r>
                    <w:rPr>
                      <w:rFonts w:ascii="仿宋_GB2312" w:hAnsi="仿宋_GB2312" w:eastAsia="仿宋_GB2312" w:cs="仿宋_GB2312"/>
                      <w:sz w:val="21"/>
                    </w:rPr>
                    <w:t>10L</w:t>
                  </w:r>
                </w:p>
              </w:tc>
            </w:tr>
            <w:tr w14:paraId="54261C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1193574B"/>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207BB2E7">
                  <w:pPr>
                    <w:pStyle w:val="4"/>
                    <w:jc w:val="both"/>
                  </w:pPr>
                  <w:r>
                    <w:rPr>
                      <w:rFonts w:ascii="仿宋_GB2312" w:hAnsi="仿宋_GB2312" w:eastAsia="仿宋_GB2312" w:cs="仿宋_GB2312"/>
                      <w:sz w:val="21"/>
                    </w:rPr>
                    <w:t>氯菊酯·四氟醚菊酯</w:t>
                  </w:r>
                </w:p>
              </w:tc>
              <w:tc>
                <w:tcPr>
                  <w:tcW w:w="1120" w:type="dxa"/>
                  <w:vMerge w:val="continue"/>
                  <w:tcBorders>
                    <w:top w:val="nil"/>
                    <w:left w:val="nil"/>
                    <w:bottom w:val="single" w:color="000000" w:sz="4" w:space="0"/>
                    <w:right w:val="single" w:color="000000" w:sz="4" w:space="0"/>
                  </w:tcBorders>
                </w:tcPr>
                <w:p w14:paraId="6415190A"/>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EFD5C65">
                  <w:pPr>
                    <w:pStyle w:val="4"/>
                    <w:jc w:val="both"/>
                  </w:pPr>
                  <w:r>
                    <w:rPr>
                      <w:rFonts w:ascii="仿宋_GB2312" w:hAnsi="仿宋_GB2312" w:eastAsia="仿宋_GB2312" w:cs="仿宋_GB2312"/>
                      <w:sz w:val="21"/>
                    </w:rPr>
                    <w:t>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85775A8">
                  <w:pPr>
                    <w:pStyle w:val="4"/>
                    <w:jc w:val="both"/>
                  </w:pPr>
                  <w:r>
                    <w:rPr>
                      <w:rFonts w:ascii="仿宋_GB2312" w:hAnsi="仿宋_GB2312" w:eastAsia="仿宋_GB2312" w:cs="仿宋_GB2312"/>
                      <w:sz w:val="21"/>
                    </w:rPr>
                    <w:t>10L</w:t>
                  </w:r>
                </w:p>
              </w:tc>
            </w:tr>
            <w:tr w14:paraId="10A72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4B8E61AF"/>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7F7EC726">
                  <w:pPr>
                    <w:pStyle w:val="4"/>
                    <w:jc w:val="both"/>
                  </w:pPr>
                  <w:r>
                    <w:rPr>
                      <w:rFonts w:ascii="仿宋_GB2312" w:hAnsi="仿宋_GB2312" w:eastAsia="仿宋_GB2312" w:cs="仿宋_GB2312"/>
                      <w:sz w:val="21"/>
                    </w:rPr>
                    <w:t>吡虫啉</w:t>
                  </w:r>
                </w:p>
              </w:tc>
              <w:tc>
                <w:tcPr>
                  <w:tcW w:w="112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A0E3DAA">
                  <w:pPr>
                    <w:pStyle w:val="4"/>
                    <w:jc w:val="both"/>
                  </w:pPr>
                  <w:r>
                    <w:rPr>
                      <w:rFonts w:ascii="仿宋_GB2312" w:hAnsi="仿宋_GB2312" w:eastAsia="仿宋_GB2312" w:cs="仿宋_GB2312"/>
                      <w:sz w:val="21"/>
                    </w:rPr>
                    <w:t>投放</w:t>
                  </w:r>
                </w:p>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742B9FEE">
                  <w:pPr>
                    <w:pStyle w:val="4"/>
                    <w:jc w:val="both"/>
                  </w:pPr>
                  <w:r>
                    <w:rPr>
                      <w:rFonts w:ascii="仿宋_GB2312" w:hAnsi="仿宋_GB2312" w:eastAsia="仿宋_GB2312" w:cs="仿宋_GB2312"/>
                      <w:sz w:val="21"/>
                    </w:rPr>
                    <w:t>2.5%</w:t>
                  </w:r>
                </w:p>
                <w:p w14:paraId="6228F74E">
                  <w:pPr>
                    <w:pStyle w:val="4"/>
                    <w:jc w:val="both"/>
                  </w:pPr>
                  <w:r>
                    <w:rPr>
                      <w:rFonts w:ascii="仿宋_GB2312" w:hAnsi="仿宋_GB2312" w:eastAsia="仿宋_GB2312" w:cs="仿宋_GB2312"/>
                      <w:sz w:val="21"/>
                    </w:rPr>
                    <w:t>2.15%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18E22B6B">
                  <w:pPr>
                    <w:pStyle w:val="4"/>
                    <w:jc w:val="both"/>
                  </w:pPr>
                  <w:r>
                    <w:rPr>
                      <w:rFonts w:ascii="仿宋_GB2312" w:hAnsi="仿宋_GB2312" w:eastAsia="仿宋_GB2312" w:cs="仿宋_GB2312"/>
                      <w:sz w:val="21"/>
                    </w:rPr>
                    <w:t>10L</w:t>
                  </w:r>
                </w:p>
              </w:tc>
            </w:tr>
            <w:tr w14:paraId="0F286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8" w:type="dxa"/>
                  <w:vMerge w:val="continue"/>
                  <w:tcBorders>
                    <w:top w:val="nil"/>
                    <w:left w:val="single" w:color="000000" w:sz="4" w:space="0"/>
                    <w:bottom w:val="single" w:color="000000" w:sz="4" w:space="0"/>
                    <w:right w:val="single" w:color="000000" w:sz="4" w:space="0"/>
                  </w:tcBorders>
                </w:tcPr>
                <w:p w14:paraId="5E1CCEF9"/>
              </w:tc>
              <w:tc>
                <w:tcPr>
                  <w:tcW w:w="1241" w:type="dxa"/>
                  <w:tcBorders>
                    <w:top w:val="nil"/>
                    <w:left w:val="nil"/>
                    <w:bottom w:val="single" w:color="000000" w:sz="4" w:space="0"/>
                    <w:right w:val="single" w:color="000000" w:sz="4" w:space="0"/>
                  </w:tcBorders>
                  <w:tcMar>
                    <w:top w:w="0" w:type="dxa"/>
                    <w:left w:w="105" w:type="dxa"/>
                    <w:bottom w:w="0" w:type="dxa"/>
                    <w:right w:w="105" w:type="dxa"/>
                  </w:tcMar>
                </w:tcPr>
                <w:p w14:paraId="02778C21">
                  <w:pPr>
                    <w:pStyle w:val="4"/>
                    <w:jc w:val="both"/>
                  </w:pPr>
                  <w:r>
                    <w:rPr>
                      <w:rFonts w:ascii="仿宋_GB2312" w:hAnsi="仿宋_GB2312" w:eastAsia="仿宋_GB2312" w:cs="仿宋_GB2312"/>
                      <w:sz w:val="21"/>
                    </w:rPr>
                    <w:t>呋虫胺</w:t>
                  </w:r>
                </w:p>
              </w:tc>
              <w:tc>
                <w:tcPr>
                  <w:tcW w:w="1120" w:type="dxa"/>
                  <w:vMerge w:val="continue"/>
                  <w:tcBorders>
                    <w:top w:val="nil"/>
                    <w:left w:val="nil"/>
                    <w:bottom w:val="single" w:color="000000" w:sz="4" w:space="0"/>
                    <w:right w:val="single" w:color="000000" w:sz="4" w:space="0"/>
                  </w:tcBorders>
                </w:tcPr>
                <w:p w14:paraId="619C6E87"/>
              </w:tc>
              <w:tc>
                <w:tcPr>
                  <w:tcW w:w="1322" w:type="dxa"/>
                  <w:tcBorders>
                    <w:top w:val="nil"/>
                    <w:left w:val="nil"/>
                    <w:bottom w:val="single" w:color="000000" w:sz="4" w:space="0"/>
                    <w:right w:val="single" w:color="000000" w:sz="4" w:space="0"/>
                  </w:tcBorders>
                  <w:tcMar>
                    <w:top w:w="0" w:type="dxa"/>
                    <w:left w:w="105" w:type="dxa"/>
                    <w:bottom w:w="0" w:type="dxa"/>
                    <w:right w:w="105" w:type="dxa"/>
                  </w:tcMar>
                </w:tcPr>
                <w:p w14:paraId="2A8221BE">
                  <w:pPr>
                    <w:pStyle w:val="4"/>
                    <w:jc w:val="both"/>
                  </w:pPr>
                  <w:r>
                    <w:rPr>
                      <w:rFonts w:ascii="仿宋_GB2312" w:hAnsi="仿宋_GB2312" w:eastAsia="仿宋_GB2312" w:cs="仿宋_GB2312"/>
                      <w:sz w:val="21"/>
                    </w:rPr>
                    <w:t>0.05%</w:t>
                  </w:r>
                </w:p>
              </w:tc>
              <w:tc>
                <w:tcPr>
                  <w:tcW w:w="917" w:type="dxa"/>
                  <w:tcBorders>
                    <w:top w:val="nil"/>
                    <w:left w:val="nil"/>
                    <w:bottom w:val="single" w:color="000000" w:sz="4" w:space="0"/>
                    <w:right w:val="single" w:color="000000" w:sz="4" w:space="0"/>
                  </w:tcBorders>
                  <w:tcMar>
                    <w:top w:w="0" w:type="dxa"/>
                    <w:left w:w="105" w:type="dxa"/>
                    <w:bottom w:w="0" w:type="dxa"/>
                    <w:right w:w="105" w:type="dxa"/>
                  </w:tcMar>
                </w:tcPr>
                <w:p w14:paraId="6B40C207">
                  <w:pPr>
                    <w:pStyle w:val="4"/>
                    <w:jc w:val="both"/>
                  </w:pPr>
                  <w:r>
                    <w:rPr>
                      <w:rFonts w:ascii="仿宋_GB2312" w:hAnsi="仿宋_GB2312" w:eastAsia="仿宋_GB2312" w:cs="仿宋_GB2312"/>
                      <w:sz w:val="21"/>
                    </w:rPr>
                    <w:t>10L</w:t>
                  </w:r>
                </w:p>
              </w:tc>
            </w:tr>
          </w:tbl>
          <w:p w14:paraId="36A178B8">
            <w:pPr>
              <w:pStyle w:val="4"/>
              <w:jc w:val="left"/>
            </w:pPr>
            <w:r>
              <w:rPr>
                <w:rFonts w:ascii="仿宋_GB2312" w:hAnsi="仿宋_GB2312" w:eastAsia="仿宋_GB2312" w:cs="仿宋_GB2312"/>
                <w:sz w:val="21"/>
              </w:rPr>
              <w:t>注：以上药品预估数量是最低数量，具体用量以实际为准。</w:t>
            </w:r>
          </w:p>
        </w:tc>
      </w:tr>
    </w:tbl>
    <w:p w14:paraId="3A5664A7">
      <w:pPr>
        <w:pStyle w:val="4"/>
        <w:jc w:val="left"/>
        <w:outlineLvl w:val="2"/>
      </w:pPr>
      <w:r>
        <w:rPr>
          <w:rFonts w:ascii="仿宋_GB2312" w:hAnsi="仿宋_GB2312" w:eastAsia="仿宋_GB2312" w:cs="仿宋_GB2312"/>
          <w:b/>
          <w:sz w:val="28"/>
        </w:rPr>
        <w:t>3.3.服务要求</w:t>
      </w:r>
    </w:p>
    <w:p w14:paraId="391390A6">
      <w:pPr>
        <w:pStyle w:val="4"/>
        <w:jc w:val="left"/>
        <w:outlineLvl w:val="3"/>
      </w:pPr>
      <w:r>
        <w:rPr>
          <w:rFonts w:ascii="仿宋_GB2312" w:hAnsi="仿宋_GB2312" w:eastAsia="仿宋_GB2312" w:cs="仿宋_GB2312"/>
          <w:b/>
          <w:sz w:val="24"/>
        </w:rPr>
        <w:t>3.3.1服务内容要求</w:t>
      </w:r>
    </w:p>
    <w:p w14:paraId="43CF239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B17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AA0DB5">
            <w:pPr>
              <w:pStyle w:val="4"/>
              <w:jc w:val="center"/>
            </w:pPr>
            <w:r>
              <w:rPr>
                <w:rFonts w:ascii="仿宋_GB2312" w:hAnsi="仿宋_GB2312" w:eastAsia="仿宋_GB2312" w:cs="仿宋_GB2312"/>
              </w:rPr>
              <w:t xml:space="preserve"> 序号</w:t>
            </w:r>
          </w:p>
        </w:tc>
        <w:tc>
          <w:tcPr>
            <w:tcW w:w="581" w:type="dxa"/>
          </w:tcPr>
          <w:p w14:paraId="523601C1">
            <w:pPr>
              <w:pStyle w:val="4"/>
              <w:jc w:val="center"/>
            </w:pPr>
            <w:r>
              <w:rPr>
                <w:rFonts w:ascii="仿宋_GB2312" w:hAnsi="仿宋_GB2312" w:eastAsia="仿宋_GB2312" w:cs="仿宋_GB2312"/>
              </w:rPr>
              <w:t xml:space="preserve"> 符号标识</w:t>
            </w:r>
          </w:p>
        </w:tc>
        <w:tc>
          <w:tcPr>
            <w:tcW w:w="1495" w:type="dxa"/>
          </w:tcPr>
          <w:p w14:paraId="25279A32">
            <w:pPr>
              <w:pStyle w:val="4"/>
              <w:jc w:val="center"/>
            </w:pPr>
            <w:r>
              <w:rPr>
                <w:rFonts w:ascii="仿宋_GB2312" w:hAnsi="仿宋_GB2312" w:eastAsia="仿宋_GB2312" w:cs="仿宋_GB2312"/>
              </w:rPr>
              <w:t xml:space="preserve"> 服务要求名称</w:t>
            </w:r>
          </w:p>
        </w:tc>
        <w:tc>
          <w:tcPr>
            <w:tcW w:w="5814" w:type="dxa"/>
          </w:tcPr>
          <w:p w14:paraId="3A2ADCFD">
            <w:pPr>
              <w:pStyle w:val="4"/>
              <w:jc w:val="center"/>
            </w:pPr>
            <w:r>
              <w:rPr>
                <w:rFonts w:ascii="仿宋_GB2312" w:hAnsi="仿宋_GB2312" w:eastAsia="仿宋_GB2312" w:cs="仿宋_GB2312"/>
              </w:rPr>
              <w:t xml:space="preserve"> 服务要求内容</w:t>
            </w:r>
          </w:p>
        </w:tc>
      </w:tr>
      <w:tr w14:paraId="2996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3B1C33">
            <w:pPr>
              <w:pStyle w:val="4"/>
              <w:jc w:val="center"/>
            </w:pPr>
            <w:r>
              <w:rPr>
                <w:rFonts w:ascii="仿宋_GB2312" w:hAnsi="仿宋_GB2312" w:eastAsia="仿宋_GB2312" w:cs="仿宋_GB2312"/>
              </w:rPr>
              <w:t>1</w:t>
            </w:r>
          </w:p>
        </w:tc>
        <w:tc>
          <w:tcPr>
            <w:tcW w:w="581" w:type="dxa"/>
          </w:tcPr>
          <w:p w14:paraId="6446F56B">
            <w:pPr>
              <w:pStyle w:val="4"/>
              <w:jc w:val="center"/>
            </w:pPr>
            <w:r>
              <w:rPr>
                <w:rFonts w:ascii="仿宋_GB2312" w:hAnsi="仿宋_GB2312" w:eastAsia="仿宋_GB2312" w:cs="仿宋_GB2312"/>
              </w:rPr>
              <w:t>★</w:t>
            </w:r>
          </w:p>
        </w:tc>
        <w:tc>
          <w:tcPr>
            <w:tcW w:w="1495" w:type="dxa"/>
          </w:tcPr>
          <w:p w14:paraId="5A3FF402">
            <w:pPr>
              <w:pStyle w:val="4"/>
              <w:jc w:val="left"/>
            </w:pPr>
            <w:r>
              <w:rPr>
                <w:rFonts w:ascii="仿宋_GB2312" w:hAnsi="仿宋_GB2312" w:eastAsia="仿宋_GB2312" w:cs="仿宋_GB2312"/>
              </w:rPr>
              <w:t>付款进度安排（以此为准）</w:t>
            </w:r>
          </w:p>
        </w:tc>
        <w:tc>
          <w:tcPr>
            <w:tcW w:w="5814" w:type="dxa"/>
          </w:tcPr>
          <w:p w14:paraId="39524DB7">
            <w:pPr>
              <w:pStyle w:val="4"/>
              <w:jc w:val="both"/>
            </w:pPr>
            <w:r>
              <w:rPr>
                <w:rFonts w:ascii="仿宋_GB2312" w:hAnsi="仿宋_GB2312" w:eastAsia="仿宋_GB2312" w:cs="仿宋_GB2312"/>
                <w:b/>
                <w:sz w:val="21"/>
              </w:rPr>
              <w:t>因系统固化原因，3.3.2.商务要求中“付款进度安排”不适用于本项目，本项目“付款进度安排”以此为准（供应商应答“付款进度安排”时仅需应答此条要求即可，无需再应答3.3.2.商务要求中“付款进度安排”）：</w:t>
            </w:r>
          </w:p>
          <w:p w14:paraId="6282F79F">
            <w:pPr>
              <w:pStyle w:val="4"/>
              <w:jc w:val="both"/>
            </w:pPr>
            <w:r>
              <w:rPr>
                <w:rFonts w:ascii="仿宋_GB2312" w:hAnsi="仿宋_GB2312" w:eastAsia="仿宋_GB2312" w:cs="仿宋_GB2312"/>
                <w:sz w:val="21"/>
              </w:rPr>
              <w:t>1、付款周期及比例：合同签订生效后，采购人支付合同金额的40%作为预付款，服务期满，成交人按照要求完成全部服务工作，经采购人验收合格结束后支付合同金额的60%。</w:t>
            </w:r>
          </w:p>
          <w:p w14:paraId="2CB32BDF">
            <w:pPr>
              <w:pStyle w:val="4"/>
              <w:jc w:val="left"/>
            </w:pPr>
            <w:r>
              <w:rPr>
                <w:rFonts w:ascii="仿宋_GB2312" w:hAnsi="仿宋_GB2312" w:eastAsia="仿宋_GB2312" w:cs="仿宋_GB2312"/>
                <w:sz w:val="21"/>
              </w:rPr>
              <w:t>2、付款条件：每次款项的支付前提均为采购人收到成交人出具的正规发票后，在10个工作日内办理款项支付事宜。</w:t>
            </w:r>
          </w:p>
        </w:tc>
      </w:tr>
      <w:tr w14:paraId="0CC92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B2B58B">
            <w:pPr>
              <w:pStyle w:val="4"/>
              <w:jc w:val="center"/>
            </w:pPr>
            <w:r>
              <w:rPr>
                <w:rFonts w:ascii="仿宋_GB2312" w:hAnsi="仿宋_GB2312" w:eastAsia="仿宋_GB2312" w:cs="仿宋_GB2312"/>
              </w:rPr>
              <w:t>2</w:t>
            </w:r>
          </w:p>
        </w:tc>
        <w:tc>
          <w:tcPr>
            <w:tcW w:w="581" w:type="dxa"/>
          </w:tcPr>
          <w:p w14:paraId="617E8475">
            <w:pPr>
              <w:pStyle w:val="4"/>
              <w:jc w:val="center"/>
            </w:pPr>
            <w:r>
              <w:rPr>
                <w:rFonts w:ascii="仿宋_GB2312" w:hAnsi="仿宋_GB2312" w:eastAsia="仿宋_GB2312" w:cs="仿宋_GB2312"/>
              </w:rPr>
              <w:t>★</w:t>
            </w:r>
          </w:p>
        </w:tc>
        <w:tc>
          <w:tcPr>
            <w:tcW w:w="1495" w:type="dxa"/>
          </w:tcPr>
          <w:p w14:paraId="18AE0F6A">
            <w:pPr>
              <w:pStyle w:val="4"/>
              <w:jc w:val="left"/>
            </w:pPr>
            <w:r>
              <w:rPr>
                <w:rFonts w:ascii="仿宋_GB2312" w:hAnsi="仿宋_GB2312" w:eastAsia="仿宋_GB2312" w:cs="仿宋_GB2312"/>
              </w:rPr>
              <w:t>监测范围</w:t>
            </w:r>
          </w:p>
        </w:tc>
        <w:tc>
          <w:tcPr>
            <w:tcW w:w="5814" w:type="dxa"/>
          </w:tcPr>
          <w:p w14:paraId="6E9AD40F">
            <w:pPr>
              <w:pStyle w:val="4"/>
              <w:jc w:val="left"/>
            </w:pPr>
            <w:r>
              <w:rPr>
                <w:rFonts w:ascii="仿宋_GB2312" w:hAnsi="仿宋_GB2312" w:eastAsia="仿宋_GB2312" w:cs="仿宋_GB2312"/>
                <w:sz w:val="21"/>
              </w:rPr>
              <w:t>监测范围为世运会龙泉驿赛区所有赛事活动场所，每月23日前将当月各监测点记录的监测结果按要求录入，上报成都市龙泉驿区疾病预防控制中心卫生科，并于30日前提交纸质版原始记录表。</w:t>
            </w:r>
          </w:p>
        </w:tc>
      </w:tr>
      <w:tr w14:paraId="73BC2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7C521D">
            <w:pPr>
              <w:pStyle w:val="4"/>
              <w:jc w:val="center"/>
            </w:pPr>
            <w:r>
              <w:rPr>
                <w:rFonts w:ascii="仿宋_GB2312" w:hAnsi="仿宋_GB2312" w:eastAsia="仿宋_GB2312" w:cs="仿宋_GB2312"/>
              </w:rPr>
              <w:t>3</w:t>
            </w:r>
          </w:p>
        </w:tc>
        <w:tc>
          <w:tcPr>
            <w:tcW w:w="581" w:type="dxa"/>
          </w:tcPr>
          <w:p w14:paraId="5940E4CE"/>
        </w:tc>
        <w:tc>
          <w:tcPr>
            <w:tcW w:w="1495" w:type="dxa"/>
          </w:tcPr>
          <w:p w14:paraId="1CF77065">
            <w:pPr>
              <w:pStyle w:val="4"/>
              <w:jc w:val="left"/>
            </w:pPr>
            <w:r>
              <w:rPr>
                <w:rFonts w:ascii="仿宋_GB2312" w:hAnsi="仿宋_GB2312" w:eastAsia="仿宋_GB2312" w:cs="仿宋_GB2312"/>
              </w:rPr>
              <w:t>方案要求</w:t>
            </w:r>
          </w:p>
        </w:tc>
        <w:tc>
          <w:tcPr>
            <w:tcW w:w="5814" w:type="dxa"/>
          </w:tcPr>
          <w:p w14:paraId="6045FD3B">
            <w:pPr>
              <w:pStyle w:val="4"/>
              <w:jc w:val="both"/>
            </w:pPr>
            <w:r>
              <w:rPr>
                <w:rFonts w:ascii="仿宋_GB2312" w:hAnsi="仿宋_GB2312" w:eastAsia="仿宋_GB2312" w:cs="仿宋_GB2312"/>
                <w:sz w:val="21"/>
              </w:rPr>
              <w:t>1.供应商针对本项目提供的技术服务方案，内容应当至少包含（1）监测点设置；（2）病媒生物种群鉴别；（3）监测数据的填报；（4）监测任务目标分析。所提供的内容将作为本项目评审依据，也将作为成交后履约过程中的监督及验收依据。</w:t>
            </w:r>
          </w:p>
          <w:p w14:paraId="38E493EB">
            <w:pPr>
              <w:pStyle w:val="4"/>
              <w:jc w:val="left"/>
            </w:pPr>
            <w:r>
              <w:rPr>
                <w:rFonts w:ascii="仿宋_GB2312" w:hAnsi="仿宋_GB2312" w:eastAsia="仿宋_GB2312" w:cs="仿宋_GB2312"/>
                <w:sz w:val="21"/>
              </w:rPr>
              <w:t>2.供应商针对本项目提供的监测实施方案，内容应当至少包含（1）项目重点和难点分析；（2）项目管理制度；（3）项目质控管理办法；（4）人员保障方案；（5）异常结果应对方案；（6）质量保障方案；（7）文档资料管理；（8）监测计划安排。所提供的内容将作为本项目评审依据，也将作为成交后履约过程中的监督及验收依据。</w:t>
            </w:r>
            <w:r>
              <w:br w:type="textWrapping"/>
            </w:r>
            <w:r>
              <w:rPr>
                <w:rFonts w:ascii="仿宋_GB2312" w:hAnsi="仿宋_GB2312" w:eastAsia="仿宋_GB2312" w:cs="仿宋_GB2312"/>
                <w:sz w:val="21"/>
              </w:rPr>
              <w:t xml:space="preserve"> 3.供应商针对本项目提供的售后服务方案，内容应当至少包含（1）售后服务人员及呼叫电话；（2）售后服务管理制度；（3）内部培训方案。所提供的内容将作为本项目评审依据，也将作为成交后履约过程中的监督及验收依据。</w:t>
            </w:r>
          </w:p>
        </w:tc>
      </w:tr>
      <w:tr w14:paraId="23FAD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56DC39">
            <w:pPr>
              <w:pStyle w:val="4"/>
              <w:jc w:val="center"/>
            </w:pPr>
            <w:r>
              <w:rPr>
                <w:rFonts w:ascii="仿宋_GB2312" w:hAnsi="仿宋_GB2312" w:eastAsia="仿宋_GB2312" w:cs="仿宋_GB2312"/>
              </w:rPr>
              <w:t>4</w:t>
            </w:r>
          </w:p>
        </w:tc>
        <w:tc>
          <w:tcPr>
            <w:tcW w:w="581" w:type="dxa"/>
          </w:tcPr>
          <w:p w14:paraId="1FCA3D75"/>
        </w:tc>
        <w:tc>
          <w:tcPr>
            <w:tcW w:w="1495" w:type="dxa"/>
          </w:tcPr>
          <w:p w14:paraId="683FC3D3">
            <w:pPr>
              <w:pStyle w:val="4"/>
              <w:jc w:val="left"/>
            </w:pPr>
            <w:r>
              <w:rPr>
                <w:rFonts w:ascii="仿宋_GB2312" w:hAnsi="仿宋_GB2312" w:eastAsia="仿宋_GB2312" w:cs="仿宋_GB2312"/>
              </w:rPr>
              <w:t>供应商实力</w:t>
            </w:r>
          </w:p>
        </w:tc>
        <w:tc>
          <w:tcPr>
            <w:tcW w:w="5814" w:type="dxa"/>
          </w:tcPr>
          <w:p w14:paraId="48C96555">
            <w:pPr>
              <w:pStyle w:val="4"/>
              <w:jc w:val="left"/>
            </w:pPr>
            <w:r>
              <w:rPr>
                <w:rFonts w:ascii="仿宋_GB2312" w:hAnsi="仿宋_GB2312" w:eastAsia="仿宋_GB2312" w:cs="仿宋_GB2312"/>
                <w:sz w:val="21"/>
              </w:rPr>
              <w:t>拟派项目组人员具备有害生物防制员证书。</w:t>
            </w:r>
          </w:p>
        </w:tc>
      </w:tr>
      <w:tr w14:paraId="60F8F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F4F91F">
            <w:pPr>
              <w:pStyle w:val="4"/>
              <w:jc w:val="center"/>
            </w:pPr>
            <w:r>
              <w:rPr>
                <w:rFonts w:ascii="仿宋_GB2312" w:hAnsi="仿宋_GB2312" w:eastAsia="仿宋_GB2312" w:cs="仿宋_GB2312"/>
              </w:rPr>
              <w:t>5</w:t>
            </w:r>
          </w:p>
        </w:tc>
        <w:tc>
          <w:tcPr>
            <w:tcW w:w="581" w:type="dxa"/>
          </w:tcPr>
          <w:p w14:paraId="5F16F23F"/>
        </w:tc>
        <w:tc>
          <w:tcPr>
            <w:tcW w:w="1495" w:type="dxa"/>
          </w:tcPr>
          <w:p w14:paraId="51DB9789">
            <w:pPr>
              <w:pStyle w:val="4"/>
              <w:jc w:val="left"/>
            </w:pPr>
            <w:r>
              <w:rPr>
                <w:rFonts w:ascii="仿宋_GB2312" w:hAnsi="仿宋_GB2312" w:eastAsia="仿宋_GB2312" w:cs="仿宋_GB2312"/>
              </w:rPr>
              <w:t>供应商业绩</w:t>
            </w:r>
          </w:p>
        </w:tc>
        <w:tc>
          <w:tcPr>
            <w:tcW w:w="5814" w:type="dxa"/>
          </w:tcPr>
          <w:p w14:paraId="36376C1F">
            <w:pPr>
              <w:pStyle w:val="4"/>
              <w:jc w:val="left"/>
            </w:pPr>
            <w:r>
              <w:rPr>
                <w:rFonts w:ascii="仿宋_GB2312" w:hAnsi="仿宋_GB2312" w:eastAsia="仿宋_GB2312" w:cs="仿宋_GB2312"/>
                <w:sz w:val="21"/>
              </w:rPr>
              <w:t>供应商具有类似病媒生物监测类业绩。</w:t>
            </w:r>
          </w:p>
        </w:tc>
      </w:tr>
    </w:tbl>
    <w:p w14:paraId="6AC7FF5B">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BB2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F5C6A8E">
            <w:pPr>
              <w:pStyle w:val="4"/>
              <w:jc w:val="center"/>
            </w:pPr>
            <w:r>
              <w:rPr>
                <w:rFonts w:ascii="仿宋_GB2312" w:hAnsi="仿宋_GB2312" w:eastAsia="仿宋_GB2312" w:cs="仿宋_GB2312"/>
              </w:rPr>
              <w:t xml:space="preserve"> 序号</w:t>
            </w:r>
          </w:p>
        </w:tc>
        <w:tc>
          <w:tcPr>
            <w:tcW w:w="581" w:type="dxa"/>
          </w:tcPr>
          <w:p w14:paraId="26438FD5">
            <w:pPr>
              <w:pStyle w:val="4"/>
              <w:jc w:val="center"/>
            </w:pPr>
            <w:r>
              <w:rPr>
                <w:rFonts w:ascii="仿宋_GB2312" w:hAnsi="仿宋_GB2312" w:eastAsia="仿宋_GB2312" w:cs="仿宋_GB2312"/>
              </w:rPr>
              <w:t xml:space="preserve"> 符号标识</w:t>
            </w:r>
          </w:p>
        </w:tc>
        <w:tc>
          <w:tcPr>
            <w:tcW w:w="1495" w:type="dxa"/>
          </w:tcPr>
          <w:p w14:paraId="4E015D4D">
            <w:pPr>
              <w:pStyle w:val="4"/>
              <w:jc w:val="center"/>
            </w:pPr>
            <w:r>
              <w:rPr>
                <w:rFonts w:ascii="仿宋_GB2312" w:hAnsi="仿宋_GB2312" w:eastAsia="仿宋_GB2312" w:cs="仿宋_GB2312"/>
              </w:rPr>
              <w:t xml:space="preserve"> 服务要求名称</w:t>
            </w:r>
          </w:p>
        </w:tc>
        <w:tc>
          <w:tcPr>
            <w:tcW w:w="5814" w:type="dxa"/>
          </w:tcPr>
          <w:p w14:paraId="0C89E9EA">
            <w:pPr>
              <w:pStyle w:val="4"/>
              <w:jc w:val="center"/>
            </w:pPr>
            <w:r>
              <w:rPr>
                <w:rFonts w:ascii="仿宋_GB2312" w:hAnsi="仿宋_GB2312" w:eastAsia="仿宋_GB2312" w:cs="仿宋_GB2312"/>
              </w:rPr>
              <w:t xml:space="preserve"> 服务要求内容</w:t>
            </w:r>
          </w:p>
        </w:tc>
      </w:tr>
      <w:tr w14:paraId="096B5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EEC7B1">
            <w:pPr>
              <w:pStyle w:val="4"/>
              <w:jc w:val="center"/>
            </w:pPr>
            <w:r>
              <w:rPr>
                <w:rFonts w:ascii="仿宋_GB2312" w:hAnsi="仿宋_GB2312" w:eastAsia="仿宋_GB2312" w:cs="仿宋_GB2312"/>
              </w:rPr>
              <w:t>1</w:t>
            </w:r>
          </w:p>
        </w:tc>
        <w:tc>
          <w:tcPr>
            <w:tcW w:w="581" w:type="dxa"/>
          </w:tcPr>
          <w:p w14:paraId="1416C1C1">
            <w:pPr>
              <w:pStyle w:val="4"/>
              <w:jc w:val="center"/>
            </w:pPr>
            <w:r>
              <w:rPr>
                <w:rFonts w:ascii="仿宋_GB2312" w:hAnsi="仿宋_GB2312" w:eastAsia="仿宋_GB2312" w:cs="仿宋_GB2312"/>
              </w:rPr>
              <w:t>★</w:t>
            </w:r>
          </w:p>
        </w:tc>
        <w:tc>
          <w:tcPr>
            <w:tcW w:w="1495" w:type="dxa"/>
          </w:tcPr>
          <w:p w14:paraId="153654AA">
            <w:pPr>
              <w:pStyle w:val="4"/>
              <w:jc w:val="left"/>
            </w:pPr>
            <w:r>
              <w:rPr>
                <w:rFonts w:ascii="仿宋_GB2312" w:hAnsi="仿宋_GB2312" w:eastAsia="仿宋_GB2312" w:cs="仿宋_GB2312"/>
              </w:rPr>
              <w:t>付款进度安排（以此为准）</w:t>
            </w:r>
          </w:p>
        </w:tc>
        <w:tc>
          <w:tcPr>
            <w:tcW w:w="5814" w:type="dxa"/>
          </w:tcPr>
          <w:p w14:paraId="73261020">
            <w:pPr>
              <w:pStyle w:val="4"/>
              <w:jc w:val="both"/>
            </w:pPr>
            <w:r>
              <w:rPr>
                <w:rFonts w:ascii="仿宋_GB2312" w:hAnsi="仿宋_GB2312" w:eastAsia="仿宋_GB2312" w:cs="仿宋_GB2312"/>
                <w:b/>
                <w:sz w:val="21"/>
              </w:rPr>
              <w:t>因系统固化原因，3.3.2.商务要求中“付款进度安排”不适用于本项目，本项目“付款进度安排”以此为准（供应商应答“付款进度安排”时仅需应答此条要求即可，无需再应答3.3.2.商务要求中“付款进度安排”）：</w:t>
            </w:r>
          </w:p>
          <w:p w14:paraId="042A7E94">
            <w:pPr>
              <w:pStyle w:val="4"/>
              <w:jc w:val="both"/>
            </w:pPr>
            <w:r>
              <w:rPr>
                <w:rFonts w:ascii="仿宋_GB2312" w:hAnsi="仿宋_GB2312" w:eastAsia="仿宋_GB2312" w:cs="仿宋_GB2312"/>
                <w:sz w:val="21"/>
              </w:rPr>
              <w:t>1、付款周期及比例：合同签订生效后，采购人支付合同金额的40%作为预付款，服务期满，成交人按照要求完成全部服务工作，经采购人验收合格结束后支付合同金额的60%。</w:t>
            </w:r>
          </w:p>
          <w:p w14:paraId="78EC128A">
            <w:pPr>
              <w:pStyle w:val="4"/>
              <w:jc w:val="left"/>
            </w:pPr>
            <w:r>
              <w:rPr>
                <w:rFonts w:ascii="仿宋_GB2312" w:hAnsi="仿宋_GB2312" w:eastAsia="仿宋_GB2312" w:cs="仿宋_GB2312"/>
                <w:sz w:val="21"/>
              </w:rPr>
              <w:t>2、付款条件：每次款项的支付前提均为采购人收到成交人出具的正规发票后，在10个工作日内办理款项支付事宜。</w:t>
            </w:r>
          </w:p>
        </w:tc>
      </w:tr>
      <w:tr w14:paraId="5B203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48A632">
            <w:pPr>
              <w:pStyle w:val="4"/>
              <w:jc w:val="center"/>
            </w:pPr>
            <w:r>
              <w:rPr>
                <w:rFonts w:ascii="仿宋_GB2312" w:hAnsi="仿宋_GB2312" w:eastAsia="仿宋_GB2312" w:cs="仿宋_GB2312"/>
              </w:rPr>
              <w:t>2</w:t>
            </w:r>
          </w:p>
        </w:tc>
        <w:tc>
          <w:tcPr>
            <w:tcW w:w="581" w:type="dxa"/>
          </w:tcPr>
          <w:p w14:paraId="02ADFE02">
            <w:pPr>
              <w:pStyle w:val="4"/>
              <w:jc w:val="center"/>
            </w:pPr>
            <w:r>
              <w:rPr>
                <w:rFonts w:ascii="仿宋_GB2312" w:hAnsi="仿宋_GB2312" w:eastAsia="仿宋_GB2312" w:cs="仿宋_GB2312"/>
              </w:rPr>
              <w:t>★</w:t>
            </w:r>
          </w:p>
        </w:tc>
        <w:tc>
          <w:tcPr>
            <w:tcW w:w="1495" w:type="dxa"/>
          </w:tcPr>
          <w:p w14:paraId="30BAA588">
            <w:pPr>
              <w:pStyle w:val="4"/>
              <w:jc w:val="left"/>
            </w:pPr>
            <w:r>
              <w:rPr>
                <w:rFonts w:ascii="仿宋_GB2312" w:hAnsi="仿宋_GB2312" w:eastAsia="仿宋_GB2312" w:cs="仿宋_GB2312"/>
              </w:rPr>
              <w:t>防治范围</w:t>
            </w:r>
          </w:p>
        </w:tc>
        <w:tc>
          <w:tcPr>
            <w:tcW w:w="5814" w:type="dxa"/>
          </w:tcPr>
          <w:p w14:paraId="0D88172E">
            <w:pPr>
              <w:pStyle w:val="4"/>
              <w:jc w:val="left"/>
            </w:pPr>
            <w:r>
              <w:rPr>
                <w:rFonts w:ascii="仿宋_GB2312" w:hAnsi="仿宋_GB2312" w:eastAsia="仿宋_GB2312" w:cs="仿宋_GB2312"/>
                <w:sz w:val="21"/>
              </w:rPr>
              <w:t>防制范围为东安湖体育公园室内项目场馆中心、东安湖体育公园户外项目场馆中心室内及周边环境。</w:t>
            </w:r>
          </w:p>
        </w:tc>
      </w:tr>
      <w:tr w14:paraId="50AEA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4FBFE4">
            <w:pPr>
              <w:pStyle w:val="4"/>
              <w:jc w:val="center"/>
            </w:pPr>
            <w:r>
              <w:rPr>
                <w:rFonts w:ascii="仿宋_GB2312" w:hAnsi="仿宋_GB2312" w:eastAsia="仿宋_GB2312" w:cs="仿宋_GB2312"/>
              </w:rPr>
              <w:t>3</w:t>
            </w:r>
          </w:p>
        </w:tc>
        <w:tc>
          <w:tcPr>
            <w:tcW w:w="581" w:type="dxa"/>
          </w:tcPr>
          <w:p w14:paraId="02410399">
            <w:pPr>
              <w:pStyle w:val="4"/>
              <w:jc w:val="center"/>
            </w:pPr>
            <w:r>
              <w:rPr>
                <w:rFonts w:ascii="仿宋_GB2312" w:hAnsi="仿宋_GB2312" w:eastAsia="仿宋_GB2312" w:cs="仿宋_GB2312"/>
              </w:rPr>
              <w:t>★</w:t>
            </w:r>
          </w:p>
        </w:tc>
        <w:tc>
          <w:tcPr>
            <w:tcW w:w="1495" w:type="dxa"/>
          </w:tcPr>
          <w:p w14:paraId="522E89EC">
            <w:pPr>
              <w:pStyle w:val="4"/>
              <w:jc w:val="left"/>
            </w:pPr>
            <w:r>
              <w:rPr>
                <w:rFonts w:ascii="仿宋_GB2312" w:hAnsi="仿宋_GB2312" w:eastAsia="仿宋_GB2312" w:cs="仿宋_GB2312"/>
              </w:rPr>
              <w:t>售后服务</w:t>
            </w:r>
          </w:p>
        </w:tc>
        <w:tc>
          <w:tcPr>
            <w:tcW w:w="5814" w:type="dxa"/>
          </w:tcPr>
          <w:p w14:paraId="76F1CE56">
            <w:pPr>
              <w:pStyle w:val="4"/>
              <w:jc w:val="both"/>
            </w:pPr>
            <w:r>
              <w:rPr>
                <w:rFonts w:ascii="仿宋_GB2312" w:hAnsi="仿宋_GB2312" w:eastAsia="仿宋_GB2312" w:cs="仿宋_GB2312"/>
                <w:sz w:val="21"/>
              </w:rPr>
              <w:t>1、在服务期内如发现服务质量缺陷的，成交供应商应在接到通知的4小时内返工或采取补救措施，不得收取任何费用。</w:t>
            </w:r>
          </w:p>
          <w:p w14:paraId="13A3A2B4">
            <w:pPr>
              <w:pStyle w:val="4"/>
              <w:jc w:val="left"/>
            </w:pPr>
            <w:r>
              <w:rPr>
                <w:rFonts w:ascii="仿宋_GB2312" w:hAnsi="仿宋_GB2312" w:eastAsia="仿宋_GB2312" w:cs="仿宋_GB2312"/>
                <w:sz w:val="21"/>
              </w:rPr>
              <w:t>2、在服务期内如监测发现四害密度高，有虫媒传染病发生风险，或导致虫媒传染病发生等突发情况，成交供应商应在接到通知的2小时内采取应急除四害措施，并达到相关控制标准，不得收取任何费用。</w:t>
            </w:r>
          </w:p>
        </w:tc>
      </w:tr>
      <w:tr w14:paraId="5B3DB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099947">
            <w:pPr>
              <w:pStyle w:val="4"/>
              <w:jc w:val="center"/>
            </w:pPr>
            <w:r>
              <w:rPr>
                <w:rFonts w:ascii="仿宋_GB2312" w:hAnsi="仿宋_GB2312" w:eastAsia="仿宋_GB2312" w:cs="仿宋_GB2312"/>
              </w:rPr>
              <w:t>4</w:t>
            </w:r>
          </w:p>
        </w:tc>
        <w:tc>
          <w:tcPr>
            <w:tcW w:w="581" w:type="dxa"/>
          </w:tcPr>
          <w:p w14:paraId="55EB0C64">
            <w:pPr>
              <w:pStyle w:val="4"/>
              <w:jc w:val="center"/>
            </w:pPr>
            <w:r>
              <w:rPr>
                <w:rFonts w:ascii="仿宋_GB2312" w:hAnsi="仿宋_GB2312" w:eastAsia="仿宋_GB2312" w:cs="仿宋_GB2312"/>
              </w:rPr>
              <w:t>★</w:t>
            </w:r>
          </w:p>
        </w:tc>
        <w:tc>
          <w:tcPr>
            <w:tcW w:w="1495" w:type="dxa"/>
          </w:tcPr>
          <w:p w14:paraId="4CF2C932">
            <w:pPr>
              <w:pStyle w:val="4"/>
              <w:jc w:val="left"/>
            </w:pPr>
            <w:r>
              <w:rPr>
                <w:rFonts w:ascii="仿宋_GB2312" w:hAnsi="仿宋_GB2312" w:eastAsia="仿宋_GB2312" w:cs="仿宋_GB2312"/>
              </w:rPr>
              <w:t>其他要求</w:t>
            </w:r>
          </w:p>
        </w:tc>
        <w:tc>
          <w:tcPr>
            <w:tcW w:w="5814" w:type="dxa"/>
          </w:tcPr>
          <w:p w14:paraId="35EB3AA1">
            <w:pPr>
              <w:pStyle w:val="4"/>
              <w:jc w:val="left"/>
            </w:pPr>
            <w:r>
              <w:rPr>
                <w:rFonts w:ascii="仿宋_GB2312" w:hAnsi="仿宋_GB2312" w:eastAsia="仿宋_GB2312" w:cs="仿宋_GB2312"/>
                <w:sz w:val="21"/>
              </w:rPr>
              <w:t>成交人在合同签订后正式服务前向采购人提供本次病媒防治服务所使用药品生产厂家的农药登记证（卫生用药）、农药生产许可证、企业产品标准且在有效期内。</w:t>
            </w:r>
          </w:p>
        </w:tc>
      </w:tr>
      <w:tr w14:paraId="7DAF0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F044FD">
            <w:pPr>
              <w:pStyle w:val="4"/>
              <w:jc w:val="center"/>
            </w:pPr>
            <w:r>
              <w:rPr>
                <w:rFonts w:ascii="仿宋_GB2312" w:hAnsi="仿宋_GB2312" w:eastAsia="仿宋_GB2312" w:cs="仿宋_GB2312"/>
              </w:rPr>
              <w:t>5</w:t>
            </w:r>
          </w:p>
        </w:tc>
        <w:tc>
          <w:tcPr>
            <w:tcW w:w="581" w:type="dxa"/>
          </w:tcPr>
          <w:p w14:paraId="2690179D"/>
        </w:tc>
        <w:tc>
          <w:tcPr>
            <w:tcW w:w="1495" w:type="dxa"/>
          </w:tcPr>
          <w:p w14:paraId="7F6FA22A">
            <w:pPr>
              <w:pStyle w:val="4"/>
              <w:jc w:val="left"/>
            </w:pPr>
            <w:r>
              <w:rPr>
                <w:rFonts w:ascii="仿宋_GB2312" w:hAnsi="仿宋_GB2312" w:eastAsia="仿宋_GB2312" w:cs="仿宋_GB2312"/>
              </w:rPr>
              <w:t>项目服务方案要求</w:t>
            </w:r>
          </w:p>
        </w:tc>
        <w:tc>
          <w:tcPr>
            <w:tcW w:w="5814" w:type="dxa"/>
          </w:tcPr>
          <w:p w14:paraId="1EE815EF">
            <w:pPr>
              <w:pStyle w:val="4"/>
              <w:jc w:val="both"/>
            </w:pPr>
            <w:r>
              <w:rPr>
                <w:rFonts w:ascii="仿宋_GB2312" w:hAnsi="仿宋_GB2312" w:eastAsia="仿宋_GB2312" w:cs="仿宋_GB2312"/>
                <w:sz w:val="21"/>
              </w:rPr>
              <w:t>1.供应商针对本项目提供的人员演练和培训方案，内容应当至少包含（1）病媒生物消杀演练方案；（2）内部人员培训方案。所提供的内容将作为本项目评审依据，也将作为成交后履约过程中的监督及验收依据。</w:t>
            </w:r>
          </w:p>
          <w:p w14:paraId="5D224506">
            <w:pPr>
              <w:pStyle w:val="4"/>
              <w:jc w:val="both"/>
            </w:pPr>
            <w:r>
              <w:rPr>
                <w:rFonts w:ascii="仿宋_GB2312" w:hAnsi="仿宋_GB2312" w:eastAsia="仿宋_GB2312" w:cs="仿宋_GB2312"/>
                <w:sz w:val="21"/>
              </w:rPr>
              <w:t>2.供应商针对本项目提供的服务组织设计与服务方案，内容应当至少包含（1）服务内容与流程，（2）人员配置安排，（3）质量管理。所提供的内容将作为本项目评审依据，也将作为成交后履约过程中的监督及验收依据。</w:t>
            </w:r>
          </w:p>
          <w:p w14:paraId="6D8DEE07">
            <w:pPr>
              <w:pStyle w:val="4"/>
              <w:jc w:val="both"/>
            </w:pPr>
            <w:r>
              <w:rPr>
                <w:rFonts w:ascii="仿宋_GB2312" w:hAnsi="仿宋_GB2312" w:eastAsia="仿宋_GB2312" w:cs="仿宋_GB2312"/>
                <w:sz w:val="21"/>
              </w:rPr>
              <w:t>3.供应商针对本项目提供的项目实施难点及应对措施，内容应当至少包含（1）本项目实施的重点、难点分析，（2）解决方案。所提供的内容将作为本项目评审依据，也将作为成交后履约过程中的监督及验收依据。</w:t>
            </w:r>
          </w:p>
          <w:p w14:paraId="37CA488C">
            <w:pPr>
              <w:pStyle w:val="4"/>
              <w:jc w:val="both"/>
            </w:pPr>
            <w:r>
              <w:rPr>
                <w:rFonts w:ascii="仿宋_GB2312" w:hAnsi="仿宋_GB2312" w:eastAsia="仿宋_GB2312" w:cs="仿宋_GB2312"/>
                <w:sz w:val="21"/>
              </w:rPr>
              <w:t>4.供应商针对本项目提供的项目质量控制管理方案，内容应当至少包含（1）项目质量控制标准及措施，（2）防制效果自评估方案。所提供的内容将作为本项目评审依据，也将作为成交后履约过程中的监督及验收依据。</w:t>
            </w:r>
          </w:p>
          <w:p w14:paraId="5E060319">
            <w:pPr>
              <w:pStyle w:val="4"/>
              <w:jc w:val="left"/>
            </w:pPr>
            <w:r>
              <w:rPr>
                <w:rFonts w:ascii="仿宋_GB2312" w:hAnsi="仿宋_GB2312" w:eastAsia="仿宋_GB2312" w:cs="仿宋_GB2312"/>
                <w:sz w:val="21"/>
              </w:rPr>
              <w:t>5.供应商针对本项目提供的应急响应方案，内容应当至少包含（1）应急响应制度，（2）应急响应措施，（3）评估与响应终止方案。所提供的内容将作为本项目评审依据，也将作为成交后履约过程中的监督及验收依据。</w:t>
            </w:r>
          </w:p>
        </w:tc>
      </w:tr>
      <w:tr w14:paraId="7F0BE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9B174C">
            <w:pPr>
              <w:pStyle w:val="4"/>
              <w:jc w:val="center"/>
            </w:pPr>
            <w:r>
              <w:rPr>
                <w:rFonts w:ascii="仿宋_GB2312" w:hAnsi="仿宋_GB2312" w:eastAsia="仿宋_GB2312" w:cs="仿宋_GB2312"/>
              </w:rPr>
              <w:t>6</w:t>
            </w:r>
          </w:p>
        </w:tc>
        <w:tc>
          <w:tcPr>
            <w:tcW w:w="581" w:type="dxa"/>
          </w:tcPr>
          <w:p w14:paraId="194EF992"/>
        </w:tc>
        <w:tc>
          <w:tcPr>
            <w:tcW w:w="1495" w:type="dxa"/>
          </w:tcPr>
          <w:p w14:paraId="2557C86C">
            <w:pPr>
              <w:pStyle w:val="4"/>
              <w:jc w:val="left"/>
            </w:pPr>
            <w:r>
              <w:rPr>
                <w:rFonts w:ascii="仿宋_GB2312" w:hAnsi="仿宋_GB2312" w:eastAsia="仿宋_GB2312" w:cs="仿宋_GB2312"/>
              </w:rPr>
              <w:t>项目技术负责人专业能力</w:t>
            </w:r>
          </w:p>
        </w:tc>
        <w:tc>
          <w:tcPr>
            <w:tcW w:w="5814" w:type="dxa"/>
          </w:tcPr>
          <w:p w14:paraId="292EA425">
            <w:pPr>
              <w:pStyle w:val="4"/>
              <w:jc w:val="both"/>
            </w:pPr>
            <w:r>
              <w:rPr>
                <w:rFonts w:ascii="仿宋_GB2312" w:hAnsi="仿宋_GB2312" w:eastAsia="仿宋_GB2312" w:cs="仿宋_GB2312"/>
                <w:sz w:val="21"/>
              </w:rPr>
              <w:t>1、项目技术负责人具备5年或以上有害生物防制工作经验的；</w:t>
            </w:r>
          </w:p>
          <w:p w14:paraId="78EB69B6">
            <w:pPr>
              <w:pStyle w:val="4"/>
              <w:jc w:val="left"/>
            </w:pPr>
            <w:r>
              <w:rPr>
                <w:rFonts w:ascii="仿宋_GB2312" w:hAnsi="仿宋_GB2312" w:eastAsia="仿宋_GB2312" w:cs="仿宋_GB2312"/>
                <w:sz w:val="21"/>
              </w:rPr>
              <w:t>2、项目技术负责人取得三级（高级工）及以上有害生物防制员证书。</w:t>
            </w:r>
          </w:p>
        </w:tc>
      </w:tr>
      <w:tr w14:paraId="3CC4C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FC04AF">
            <w:pPr>
              <w:pStyle w:val="4"/>
              <w:jc w:val="center"/>
            </w:pPr>
            <w:r>
              <w:rPr>
                <w:rFonts w:ascii="仿宋_GB2312" w:hAnsi="仿宋_GB2312" w:eastAsia="仿宋_GB2312" w:cs="仿宋_GB2312"/>
              </w:rPr>
              <w:t>7</w:t>
            </w:r>
          </w:p>
        </w:tc>
        <w:tc>
          <w:tcPr>
            <w:tcW w:w="581" w:type="dxa"/>
          </w:tcPr>
          <w:p w14:paraId="353E77B8"/>
        </w:tc>
        <w:tc>
          <w:tcPr>
            <w:tcW w:w="1495" w:type="dxa"/>
          </w:tcPr>
          <w:p w14:paraId="7B703365">
            <w:pPr>
              <w:pStyle w:val="4"/>
              <w:jc w:val="left"/>
            </w:pPr>
            <w:r>
              <w:rPr>
                <w:rFonts w:ascii="仿宋_GB2312" w:hAnsi="仿宋_GB2312" w:eastAsia="仿宋_GB2312" w:cs="仿宋_GB2312"/>
              </w:rPr>
              <w:t>本项目人员（不含技术负责人）资质情况</w:t>
            </w:r>
          </w:p>
        </w:tc>
        <w:tc>
          <w:tcPr>
            <w:tcW w:w="5814" w:type="dxa"/>
          </w:tcPr>
          <w:p w14:paraId="0DEDBB0D">
            <w:pPr>
              <w:pStyle w:val="4"/>
              <w:jc w:val="left"/>
            </w:pPr>
            <w:r>
              <w:rPr>
                <w:rFonts w:ascii="仿宋_GB2312" w:hAnsi="仿宋_GB2312" w:eastAsia="仿宋_GB2312" w:cs="仿宋_GB2312"/>
                <w:sz w:val="21"/>
              </w:rPr>
              <w:t>项目人员具备四级（中级工）及以上有害生物防制员证书或具备四级（中级工）以下（不含四级）有害生物防制员证书。</w:t>
            </w:r>
          </w:p>
        </w:tc>
      </w:tr>
      <w:tr w14:paraId="4DC96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416241">
            <w:pPr>
              <w:pStyle w:val="4"/>
              <w:jc w:val="center"/>
            </w:pPr>
            <w:r>
              <w:rPr>
                <w:rFonts w:ascii="仿宋_GB2312" w:hAnsi="仿宋_GB2312" w:eastAsia="仿宋_GB2312" w:cs="仿宋_GB2312"/>
              </w:rPr>
              <w:t>8</w:t>
            </w:r>
          </w:p>
        </w:tc>
        <w:tc>
          <w:tcPr>
            <w:tcW w:w="581" w:type="dxa"/>
          </w:tcPr>
          <w:p w14:paraId="1DE4F247"/>
        </w:tc>
        <w:tc>
          <w:tcPr>
            <w:tcW w:w="1495" w:type="dxa"/>
          </w:tcPr>
          <w:p w14:paraId="4677BA86">
            <w:pPr>
              <w:pStyle w:val="4"/>
              <w:jc w:val="left"/>
            </w:pPr>
            <w:r>
              <w:rPr>
                <w:rFonts w:ascii="仿宋_GB2312" w:hAnsi="仿宋_GB2312" w:eastAsia="仿宋_GB2312" w:cs="仿宋_GB2312"/>
              </w:rPr>
              <w:t>供应商同类项目业绩</w:t>
            </w:r>
          </w:p>
        </w:tc>
        <w:tc>
          <w:tcPr>
            <w:tcW w:w="5814" w:type="dxa"/>
          </w:tcPr>
          <w:p w14:paraId="524486AC">
            <w:pPr>
              <w:pStyle w:val="4"/>
              <w:jc w:val="left"/>
            </w:pPr>
            <w:r>
              <w:rPr>
                <w:rFonts w:ascii="仿宋_GB2312" w:hAnsi="仿宋_GB2312" w:eastAsia="仿宋_GB2312" w:cs="仿宋_GB2312"/>
                <w:sz w:val="21"/>
              </w:rPr>
              <w:t>供应商具有类似病媒生物监测类业绩。</w:t>
            </w:r>
          </w:p>
        </w:tc>
      </w:tr>
      <w:tr w14:paraId="0B237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F7C213">
            <w:pPr>
              <w:pStyle w:val="4"/>
              <w:jc w:val="center"/>
            </w:pPr>
            <w:r>
              <w:rPr>
                <w:rFonts w:ascii="仿宋_GB2312" w:hAnsi="仿宋_GB2312" w:eastAsia="仿宋_GB2312" w:cs="仿宋_GB2312"/>
              </w:rPr>
              <w:t>9</w:t>
            </w:r>
          </w:p>
        </w:tc>
        <w:tc>
          <w:tcPr>
            <w:tcW w:w="581" w:type="dxa"/>
          </w:tcPr>
          <w:p w14:paraId="18638A6E"/>
        </w:tc>
        <w:tc>
          <w:tcPr>
            <w:tcW w:w="1495" w:type="dxa"/>
          </w:tcPr>
          <w:p w14:paraId="5A1B3103">
            <w:pPr>
              <w:pStyle w:val="4"/>
              <w:jc w:val="left"/>
            </w:pPr>
            <w:r>
              <w:rPr>
                <w:rFonts w:ascii="仿宋_GB2312" w:hAnsi="仿宋_GB2312" w:eastAsia="仿宋_GB2312" w:cs="仿宋_GB2312"/>
              </w:rPr>
              <w:t>供应商保障能力</w:t>
            </w:r>
          </w:p>
        </w:tc>
        <w:tc>
          <w:tcPr>
            <w:tcW w:w="5814" w:type="dxa"/>
          </w:tcPr>
          <w:p w14:paraId="574931E5">
            <w:pPr>
              <w:pStyle w:val="4"/>
              <w:jc w:val="both"/>
            </w:pPr>
            <w:r>
              <w:rPr>
                <w:rFonts w:ascii="仿宋_GB2312" w:hAnsi="仿宋_GB2312" w:eastAsia="仿宋_GB2312" w:cs="仿宋_GB2312"/>
                <w:sz w:val="21"/>
              </w:rPr>
              <w:t>1.供应商承诺成交后为本项目购买或已购买保险且保期涵盖本项目服务时间；</w:t>
            </w:r>
          </w:p>
          <w:p w14:paraId="06DA2141">
            <w:pPr>
              <w:pStyle w:val="4"/>
              <w:jc w:val="left"/>
            </w:pPr>
            <w:r>
              <w:rPr>
                <w:rFonts w:ascii="仿宋_GB2312" w:hAnsi="仿宋_GB2312" w:eastAsia="仿宋_GB2312" w:cs="仿宋_GB2312"/>
                <w:sz w:val="21"/>
              </w:rPr>
              <w:t>2.配备从事病媒生物防制专用车辆。</w:t>
            </w:r>
          </w:p>
        </w:tc>
      </w:tr>
    </w:tbl>
    <w:p w14:paraId="12D33669">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42A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CBC0AC">
            <w:pPr>
              <w:pStyle w:val="4"/>
              <w:jc w:val="center"/>
            </w:pPr>
            <w:r>
              <w:rPr>
                <w:rFonts w:ascii="仿宋_GB2312" w:hAnsi="仿宋_GB2312" w:eastAsia="仿宋_GB2312" w:cs="仿宋_GB2312"/>
              </w:rPr>
              <w:t xml:space="preserve"> 序号</w:t>
            </w:r>
          </w:p>
        </w:tc>
        <w:tc>
          <w:tcPr>
            <w:tcW w:w="581" w:type="dxa"/>
          </w:tcPr>
          <w:p w14:paraId="54C63297">
            <w:pPr>
              <w:pStyle w:val="4"/>
              <w:jc w:val="center"/>
            </w:pPr>
            <w:r>
              <w:rPr>
                <w:rFonts w:ascii="仿宋_GB2312" w:hAnsi="仿宋_GB2312" w:eastAsia="仿宋_GB2312" w:cs="仿宋_GB2312"/>
              </w:rPr>
              <w:t xml:space="preserve"> 符号标识</w:t>
            </w:r>
          </w:p>
        </w:tc>
        <w:tc>
          <w:tcPr>
            <w:tcW w:w="1495" w:type="dxa"/>
          </w:tcPr>
          <w:p w14:paraId="3B3190E1">
            <w:pPr>
              <w:pStyle w:val="4"/>
              <w:jc w:val="center"/>
            </w:pPr>
            <w:r>
              <w:rPr>
                <w:rFonts w:ascii="仿宋_GB2312" w:hAnsi="仿宋_GB2312" w:eastAsia="仿宋_GB2312" w:cs="仿宋_GB2312"/>
              </w:rPr>
              <w:t xml:space="preserve"> 服务要求名称</w:t>
            </w:r>
          </w:p>
        </w:tc>
        <w:tc>
          <w:tcPr>
            <w:tcW w:w="5814" w:type="dxa"/>
          </w:tcPr>
          <w:p w14:paraId="6F5A289A">
            <w:pPr>
              <w:pStyle w:val="4"/>
              <w:jc w:val="center"/>
            </w:pPr>
            <w:r>
              <w:rPr>
                <w:rFonts w:ascii="仿宋_GB2312" w:hAnsi="仿宋_GB2312" w:eastAsia="仿宋_GB2312" w:cs="仿宋_GB2312"/>
              </w:rPr>
              <w:t xml:space="preserve"> 服务要求内容</w:t>
            </w:r>
          </w:p>
        </w:tc>
      </w:tr>
      <w:tr w14:paraId="6F13F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5EF05B">
            <w:pPr>
              <w:pStyle w:val="4"/>
              <w:jc w:val="center"/>
            </w:pPr>
            <w:r>
              <w:rPr>
                <w:rFonts w:ascii="仿宋_GB2312" w:hAnsi="仿宋_GB2312" w:eastAsia="仿宋_GB2312" w:cs="仿宋_GB2312"/>
              </w:rPr>
              <w:t>1</w:t>
            </w:r>
          </w:p>
        </w:tc>
        <w:tc>
          <w:tcPr>
            <w:tcW w:w="581" w:type="dxa"/>
          </w:tcPr>
          <w:p w14:paraId="5481B146">
            <w:pPr>
              <w:pStyle w:val="4"/>
              <w:jc w:val="center"/>
            </w:pPr>
            <w:r>
              <w:rPr>
                <w:rFonts w:ascii="仿宋_GB2312" w:hAnsi="仿宋_GB2312" w:eastAsia="仿宋_GB2312" w:cs="仿宋_GB2312"/>
              </w:rPr>
              <w:t>★</w:t>
            </w:r>
          </w:p>
        </w:tc>
        <w:tc>
          <w:tcPr>
            <w:tcW w:w="1495" w:type="dxa"/>
          </w:tcPr>
          <w:p w14:paraId="7A67118D">
            <w:pPr>
              <w:pStyle w:val="4"/>
              <w:jc w:val="left"/>
            </w:pPr>
            <w:r>
              <w:rPr>
                <w:rFonts w:ascii="仿宋_GB2312" w:hAnsi="仿宋_GB2312" w:eastAsia="仿宋_GB2312" w:cs="仿宋_GB2312"/>
              </w:rPr>
              <w:t>付款进度安排（以此为准）</w:t>
            </w:r>
          </w:p>
        </w:tc>
        <w:tc>
          <w:tcPr>
            <w:tcW w:w="5814" w:type="dxa"/>
          </w:tcPr>
          <w:p w14:paraId="0232E0CC">
            <w:pPr>
              <w:pStyle w:val="4"/>
              <w:jc w:val="both"/>
            </w:pPr>
            <w:r>
              <w:rPr>
                <w:rFonts w:ascii="仿宋_GB2312" w:hAnsi="仿宋_GB2312" w:eastAsia="仿宋_GB2312" w:cs="仿宋_GB2312"/>
                <w:b/>
                <w:sz w:val="21"/>
              </w:rPr>
              <w:t>因系统固化原因，3.3.2.商务要求中“付款进度安排”不适用于本项目，本项目“付款进度安排”以此为准（供应商应答“付款进度安排”时仅需应答此条要求即可，无需再应答3.3.2.商务要求中“付款进度安排”）：</w:t>
            </w:r>
          </w:p>
          <w:p w14:paraId="616D4D95">
            <w:pPr>
              <w:pStyle w:val="4"/>
              <w:jc w:val="both"/>
            </w:pPr>
            <w:r>
              <w:rPr>
                <w:rFonts w:ascii="仿宋_GB2312" w:hAnsi="仿宋_GB2312" w:eastAsia="仿宋_GB2312" w:cs="仿宋_GB2312"/>
                <w:sz w:val="21"/>
              </w:rPr>
              <w:t>1、付款周期及比例：合同签订生效后，采购人支付合同金额的40%作为预付款，服务期满，成交人按照要求完成全部服务工作，经采购人验收合格结束后支付合同金额的60%。</w:t>
            </w:r>
          </w:p>
          <w:p w14:paraId="537D68CF">
            <w:pPr>
              <w:pStyle w:val="4"/>
              <w:jc w:val="left"/>
            </w:pPr>
            <w:r>
              <w:rPr>
                <w:rFonts w:ascii="仿宋_GB2312" w:hAnsi="仿宋_GB2312" w:eastAsia="仿宋_GB2312" w:cs="仿宋_GB2312"/>
                <w:sz w:val="21"/>
              </w:rPr>
              <w:t>2、付款条件：每次款项的支付前提均为采购人收到成交人出具的正规发票后，在10个工作日内办理款项支付事宜。</w:t>
            </w:r>
          </w:p>
        </w:tc>
      </w:tr>
      <w:tr w14:paraId="0892A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2EB7B0">
            <w:pPr>
              <w:pStyle w:val="4"/>
              <w:jc w:val="center"/>
            </w:pPr>
            <w:r>
              <w:rPr>
                <w:rFonts w:ascii="仿宋_GB2312" w:hAnsi="仿宋_GB2312" w:eastAsia="仿宋_GB2312" w:cs="仿宋_GB2312"/>
              </w:rPr>
              <w:t>2</w:t>
            </w:r>
          </w:p>
        </w:tc>
        <w:tc>
          <w:tcPr>
            <w:tcW w:w="581" w:type="dxa"/>
          </w:tcPr>
          <w:p w14:paraId="1AFEAF63">
            <w:pPr>
              <w:pStyle w:val="4"/>
              <w:jc w:val="center"/>
            </w:pPr>
            <w:r>
              <w:rPr>
                <w:rFonts w:ascii="仿宋_GB2312" w:hAnsi="仿宋_GB2312" w:eastAsia="仿宋_GB2312" w:cs="仿宋_GB2312"/>
              </w:rPr>
              <w:t>★</w:t>
            </w:r>
          </w:p>
        </w:tc>
        <w:tc>
          <w:tcPr>
            <w:tcW w:w="1495" w:type="dxa"/>
          </w:tcPr>
          <w:p w14:paraId="649F806C">
            <w:pPr>
              <w:pStyle w:val="4"/>
              <w:jc w:val="left"/>
            </w:pPr>
            <w:r>
              <w:rPr>
                <w:rFonts w:ascii="仿宋_GB2312" w:hAnsi="仿宋_GB2312" w:eastAsia="仿宋_GB2312" w:cs="仿宋_GB2312"/>
              </w:rPr>
              <w:t>防治范围</w:t>
            </w:r>
          </w:p>
        </w:tc>
        <w:tc>
          <w:tcPr>
            <w:tcW w:w="5814" w:type="dxa"/>
          </w:tcPr>
          <w:p w14:paraId="06866A94">
            <w:pPr>
              <w:pStyle w:val="4"/>
              <w:jc w:val="left"/>
            </w:pPr>
            <w:r>
              <w:rPr>
                <w:rFonts w:ascii="仿宋_GB2312" w:hAnsi="仿宋_GB2312" w:eastAsia="仿宋_GB2312" w:cs="仿宋_GB2312"/>
                <w:sz w:val="21"/>
              </w:rPr>
              <w:t>防制范围为青龙湖射箭场馆中心、龙泉中学荷球场馆中心室内及周边环境。</w:t>
            </w:r>
          </w:p>
        </w:tc>
      </w:tr>
      <w:tr w14:paraId="15E3E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43F5A0">
            <w:pPr>
              <w:pStyle w:val="4"/>
              <w:jc w:val="center"/>
            </w:pPr>
            <w:r>
              <w:rPr>
                <w:rFonts w:ascii="仿宋_GB2312" w:hAnsi="仿宋_GB2312" w:eastAsia="仿宋_GB2312" w:cs="仿宋_GB2312"/>
              </w:rPr>
              <w:t>3</w:t>
            </w:r>
          </w:p>
        </w:tc>
        <w:tc>
          <w:tcPr>
            <w:tcW w:w="581" w:type="dxa"/>
          </w:tcPr>
          <w:p w14:paraId="753537E9">
            <w:pPr>
              <w:pStyle w:val="4"/>
              <w:jc w:val="center"/>
            </w:pPr>
            <w:r>
              <w:rPr>
                <w:rFonts w:ascii="仿宋_GB2312" w:hAnsi="仿宋_GB2312" w:eastAsia="仿宋_GB2312" w:cs="仿宋_GB2312"/>
              </w:rPr>
              <w:t>★</w:t>
            </w:r>
          </w:p>
        </w:tc>
        <w:tc>
          <w:tcPr>
            <w:tcW w:w="1495" w:type="dxa"/>
          </w:tcPr>
          <w:p w14:paraId="49CB2CA7">
            <w:pPr>
              <w:pStyle w:val="4"/>
              <w:jc w:val="left"/>
            </w:pPr>
            <w:r>
              <w:rPr>
                <w:rFonts w:ascii="仿宋_GB2312" w:hAnsi="仿宋_GB2312" w:eastAsia="仿宋_GB2312" w:cs="仿宋_GB2312"/>
              </w:rPr>
              <w:t>售后服务</w:t>
            </w:r>
          </w:p>
        </w:tc>
        <w:tc>
          <w:tcPr>
            <w:tcW w:w="5814" w:type="dxa"/>
          </w:tcPr>
          <w:p w14:paraId="5AD0BFDA">
            <w:pPr>
              <w:pStyle w:val="4"/>
              <w:jc w:val="both"/>
            </w:pPr>
            <w:r>
              <w:rPr>
                <w:rFonts w:ascii="仿宋_GB2312" w:hAnsi="仿宋_GB2312" w:eastAsia="仿宋_GB2312" w:cs="仿宋_GB2312"/>
                <w:sz w:val="21"/>
              </w:rPr>
              <w:t>1、在服务期内如发现服务质量缺陷的，成交供应商应在接到通知的4小时内返工或采取补救措施，不得收取任何费用。</w:t>
            </w:r>
          </w:p>
          <w:p w14:paraId="4E635CC6">
            <w:pPr>
              <w:pStyle w:val="4"/>
              <w:jc w:val="left"/>
            </w:pPr>
            <w:r>
              <w:rPr>
                <w:rFonts w:ascii="仿宋_GB2312" w:hAnsi="仿宋_GB2312" w:eastAsia="仿宋_GB2312" w:cs="仿宋_GB2312"/>
                <w:sz w:val="21"/>
              </w:rPr>
              <w:t>2、在服务期内如监测发现四害密度高，有虫媒传染病发生风险，或导致虫媒传染病发生等突发情况，成交供应商应在接到通知的2小时内采取应急除四害措施，并达到相关控制标准，不得收取任何费用。</w:t>
            </w:r>
          </w:p>
        </w:tc>
      </w:tr>
      <w:tr w14:paraId="2F048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94C62E">
            <w:pPr>
              <w:pStyle w:val="4"/>
              <w:jc w:val="center"/>
            </w:pPr>
            <w:r>
              <w:rPr>
                <w:rFonts w:ascii="仿宋_GB2312" w:hAnsi="仿宋_GB2312" w:eastAsia="仿宋_GB2312" w:cs="仿宋_GB2312"/>
              </w:rPr>
              <w:t>4</w:t>
            </w:r>
          </w:p>
        </w:tc>
        <w:tc>
          <w:tcPr>
            <w:tcW w:w="581" w:type="dxa"/>
          </w:tcPr>
          <w:p w14:paraId="64D4739F">
            <w:pPr>
              <w:pStyle w:val="4"/>
              <w:jc w:val="center"/>
            </w:pPr>
            <w:r>
              <w:rPr>
                <w:rFonts w:ascii="仿宋_GB2312" w:hAnsi="仿宋_GB2312" w:eastAsia="仿宋_GB2312" w:cs="仿宋_GB2312"/>
              </w:rPr>
              <w:t>★</w:t>
            </w:r>
          </w:p>
        </w:tc>
        <w:tc>
          <w:tcPr>
            <w:tcW w:w="1495" w:type="dxa"/>
          </w:tcPr>
          <w:p w14:paraId="1708472C">
            <w:pPr>
              <w:pStyle w:val="4"/>
              <w:jc w:val="left"/>
            </w:pPr>
            <w:r>
              <w:rPr>
                <w:rFonts w:ascii="仿宋_GB2312" w:hAnsi="仿宋_GB2312" w:eastAsia="仿宋_GB2312" w:cs="仿宋_GB2312"/>
              </w:rPr>
              <w:t>其他要求</w:t>
            </w:r>
          </w:p>
        </w:tc>
        <w:tc>
          <w:tcPr>
            <w:tcW w:w="5814" w:type="dxa"/>
          </w:tcPr>
          <w:p w14:paraId="1368EDBA">
            <w:pPr>
              <w:pStyle w:val="4"/>
              <w:jc w:val="left"/>
            </w:pPr>
            <w:r>
              <w:rPr>
                <w:rFonts w:ascii="仿宋_GB2312" w:hAnsi="仿宋_GB2312" w:eastAsia="仿宋_GB2312" w:cs="仿宋_GB2312"/>
                <w:sz w:val="21"/>
              </w:rPr>
              <w:t>成交人在合同签订后正式服务前向采购人提供本次病媒防治服务所使用药品生产厂家的农药登记证（卫生用药）、农药生产许可证、企业产品标准且在有效期内。</w:t>
            </w:r>
          </w:p>
        </w:tc>
      </w:tr>
      <w:tr w14:paraId="5BE82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1CC771">
            <w:pPr>
              <w:pStyle w:val="4"/>
              <w:jc w:val="center"/>
            </w:pPr>
            <w:r>
              <w:rPr>
                <w:rFonts w:ascii="仿宋_GB2312" w:hAnsi="仿宋_GB2312" w:eastAsia="仿宋_GB2312" w:cs="仿宋_GB2312"/>
              </w:rPr>
              <w:t>5</w:t>
            </w:r>
          </w:p>
        </w:tc>
        <w:tc>
          <w:tcPr>
            <w:tcW w:w="581" w:type="dxa"/>
          </w:tcPr>
          <w:p w14:paraId="55ACE487"/>
        </w:tc>
        <w:tc>
          <w:tcPr>
            <w:tcW w:w="1495" w:type="dxa"/>
          </w:tcPr>
          <w:p w14:paraId="04048634">
            <w:pPr>
              <w:pStyle w:val="4"/>
              <w:jc w:val="left"/>
            </w:pPr>
            <w:r>
              <w:rPr>
                <w:rFonts w:ascii="仿宋_GB2312" w:hAnsi="仿宋_GB2312" w:eastAsia="仿宋_GB2312" w:cs="仿宋_GB2312"/>
              </w:rPr>
              <w:t>项目服务方案要求</w:t>
            </w:r>
          </w:p>
        </w:tc>
        <w:tc>
          <w:tcPr>
            <w:tcW w:w="5814" w:type="dxa"/>
          </w:tcPr>
          <w:p w14:paraId="6E9F2E68">
            <w:pPr>
              <w:pStyle w:val="4"/>
              <w:jc w:val="both"/>
            </w:pPr>
            <w:r>
              <w:rPr>
                <w:rFonts w:ascii="仿宋_GB2312" w:hAnsi="仿宋_GB2312" w:eastAsia="仿宋_GB2312" w:cs="仿宋_GB2312"/>
                <w:sz w:val="21"/>
              </w:rPr>
              <w:t>1.供应商针对本项目提供的人员演练和培训方案，内容应当至少包含（1）病媒生物消杀演练方案；（2）内部人员培训方案。所提供的内容将作为本项目评审依据，也将作为成交后履约过程中的监督及验收依据。</w:t>
            </w:r>
          </w:p>
          <w:p w14:paraId="155F17E9">
            <w:pPr>
              <w:pStyle w:val="4"/>
              <w:jc w:val="both"/>
            </w:pPr>
            <w:r>
              <w:rPr>
                <w:rFonts w:ascii="仿宋_GB2312" w:hAnsi="仿宋_GB2312" w:eastAsia="仿宋_GB2312" w:cs="仿宋_GB2312"/>
                <w:sz w:val="21"/>
              </w:rPr>
              <w:t>2.供应商针对本项目提供的服务组织设计与服务方案，内容应当至少包含（1）服务内容与流程，（2）人员配置安排，（3）质量管理。所提供的内容将作为本项目评审依据，也将作为成交后履约过程中的监督及验收依据。</w:t>
            </w:r>
          </w:p>
          <w:p w14:paraId="44CEC0D6">
            <w:pPr>
              <w:pStyle w:val="4"/>
              <w:jc w:val="both"/>
            </w:pPr>
            <w:r>
              <w:rPr>
                <w:rFonts w:ascii="仿宋_GB2312" w:hAnsi="仿宋_GB2312" w:eastAsia="仿宋_GB2312" w:cs="仿宋_GB2312"/>
                <w:sz w:val="21"/>
              </w:rPr>
              <w:t>3.供应商针对本项目提供的项目实施难点及应对措施方案，内容应当至少包含（1）本项目实施的重点、难点分析，（2）解决方案。所提供的内容将作为本项目评审依据，也将作为成交后履约过程中的监督及验收依据。</w:t>
            </w:r>
          </w:p>
          <w:p w14:paraId="7CE0E77F">
            <w:pPr>
              <w:pStyle w:val="4"/>
              <w:jc w:val="both"/>
            </w:pPr>
            <w:r>
              <w:rPr>
                <w:rFonts w:ascii="仿宋_GB2312" w:hAnsi="仿宋_GB2312" w:eastAsia="仿宋_GB2312" w:cs="仿宋_GB2312"/>
                <w:sz w:val="21"/>
              </w:rPr>
              <w:t>4.供应商针对本项目提供的项目质量控制管理方案，内容应当至少包含（1）项目质量控制标准及措施，（2）防制效果自评估方案。所提供的内容将作为本项目评审依据，也将作为成交后履约过程中的监督及验收依据。</w:t>
            </w:r>
          </w:p>
          <w:p w14:paraId="489F7CD6">
            <w:pPr>
              <w:pStyle w:val="4"/>
              <w:jc w:val="left"/>
            </w:pPr>
            <w:r>
              <w:rPr>
                <w:rFonts w:ascii="仿宋_GB2312" w:hAnsi="仿宋_GB2312" w:eastAsia="仿宋_GB2312" w:cs="仿宋_GB2312"/>
                <w:sz w:val="21"/>
              </w:rPr>
              <w:t>5.供应商针对本项目提供的应急响应方案，内容应当至少包含（1）应急响应制度，（2）应急响应措施，（3）评估与响应终止方案。所提供的内容将作为本项目评审依据，也将作为成交后履约过程中的监督及验收依据。</w:t>
            </w:r>
          </w:p>
        </w:tc>
      </w:tr>
      <w:tr w14:paraId="149C5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434092">
            <w:pPr>
              <w:pStyle w:val="4"/>
              <w:jc w:val="center"/>
            </w:pPr>
            <w:r>
              <w:rPr>
                <w:rFonts w:ascii="仿宋_GB2312" w:hAnsi="仿宋_GB2312" w:eastAsia="仿宋_GB2312" w:cs="仿宋_GB2312"/>
              </w:rPr>
              <w:t>6</w:t>
            </w:r>
          </w:p>
        </w:tc>
        <w:tc>
          <w:tcPr>
            <w:tcW w:w="581" w:type="dxa"/>
          </w:tcPr>
          <w:p w14:paraId="41ED8D4E"/>
        </w:tc>
        <w:tc>
          <w:tcPr>
            <w:tcW w:w="1495" w:type="dxa"/>
          </w:tcPr>
          <w:p w14:paraId="100B6A0F">
            <w:pPr>
              <w:pStyle w:val="4"/>
              <w:jc w:val="left"/>
            </w:pPr>
            <w:r>
              <w:rPr>
                <w:rFonts w:ascii="仿宋_GB2312" w:hAnsi="仿宋_GB2312" w:eastAsia="仿宋_GB2312" w:cs="仿宋_GB2312"/>
              </w:rPr>
              <w:t>项目技术负责人专业能力</w:t>
            </w:r>
          </w:p>
        </w:tc>
        <w:tc>
          <w:tcPr>
            <w:tcW w:w="5814" w:type="dxa"/>
          </w:tcPr>
          <w:p w14:paraId="1D06BD58">
            <w:pPr>
              <w:pStyle w:val="4"/>
              <w:jc w:val="both"/>
            </w:pPr>
            <w:r>
              <w:rPr>
                <w:rFonts w:ascii="仿宋_GB2312" w:hAnsi="仿宋_GB2312" w:eastAsia="仿宋_GB2312" w:cs="仿宋_GB2312"/>
                <w:sz w:val="21"/>
              </w:rPr>
              <w:t>1、项目技术负责人具备5年或以上有害生物防制工作经验。</w:t>
            </w:r>
          </w:p>
          <w:p w14:paraId="714DE266">
            <w:pPr>
              <w:pStyle w:val="4"/>
              <w:jc w:val="left"/>
            </w:pPr>
            <w:r>
              <w:rPr>
                <w:rFonts w:ascii="仿宋_GB2312" w:hAnsi="仿宋_GB2312" w:eastAsia="仿宋_GB2312" w:cs="仿宋_GB2312"/>
                <w:sz w:val="21"/>
              </w:rPr>
              <w:t>2、项目技术负责人取得三级（高级工）及以上有害生物防制员证书。</w:t>
            </w:r>
          </w:p>
        </w:tc>
      </w:tr>
      <w:tr w14:paraId="19B5C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AD0064">
            <w:pPr>
              <w:pStyle w:val="4"/>
              <w:jc w:val="center"/>
            </w:pPr>
            <w:r>
              <w:rPr>
                <w:rFonts w:ascii="仿宋_GB2312" w:hAnsi="仿宋_GB2312" w:eastAsia="仿宋_GB2312" w:cs="仿宋_GB2312"/>
              </w:rPr>
              <w:t>7</w:t>
            </w:r>
          </w:p>
        </w:tc>
        <w:tc>
          <w:tcPr>
            <w:tcW w:w="581" w:type="dxa"/>
          </w:tcPr>
          <w:p w14:paraId="39A7CAF8"/>
        </w:tc>
        <w:tc>
          <w:tcPr>
            <w:tcW w:w="1495" w:type="dxa"/>
          </w:tcPr>
          <w:p w14:paraId="6D6BA9F2">
            <w:pPr>
              <w:pStyle w:val="4"/>
              <w:jc w:val="left"/>
            </w:pPr>
            <w:r>
              <w:rPr>
                <w:rFonts w:ascii="仿宋_GB2312" w:hAnsi="仿宋_GB2312" w:eastAsia="仿宋_GB2312" w:cs="仿宋_GB2312"/>
              </w:rPr>
              <w:t>本项目人员（不含技术负责人）资质情况</w:t>
            </w:r>
          </w:p>
        </w:tc>
        <w:tc>
          <w:tcPr>
            <w:tcW w:w="5814" w:type="dxa"/>
          </w:tcPr>
          <w:p w14:paraId="3737D67D">
            <w:pPr>
              <w:pStyle w:val="4"/>
              <w:jc w:val="left"/>
            </w:pPr>
            <w:r>
              <w:rPr>
                <w:rFonts w:ascii="仿宋_GB2312" w:hAnsi="仿宋_GB2312" w:eastAsia="仿宋_GB2312" w:cs="仿宋_GB2312"/>
                <w:sz w:val="21"/>
              </w:rPr>
              <w:t>项目人员具备四级（中级工）及以上有害生物防制员证书或具备四级（中级工）以下（不含四级）有害生物防制员证书。</w:t>
            </w:r>
          </w:p>
        </w:tc>
      </w:tr>
      <w:tr w14:paraId="64B2B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117B9F">
            <w:pPr>
              <w:pStyle w:val="4"/>
              <w:jc w:val="center"/>
            </w:pPr>
            <w:r>
              <w:rPr>
                <w:rFonts w:ascii="仿宋_GB2312" w:hAnsi="仿宋_GB2312" w:eastAsia="仿宋_GB2312" w:cs="仿宋_GB2312"/>
              </w:rPr>
              <w:t>8</w:t>
            </w:r>
          </w:p>
        </w:tc>
        <w:tc>
          <w:tcPr>
            <w:tcW w:w="581" w:type="dxa"/>
          </w:tcPr>
          <w:p w14:paraId="48D28963"/>
        </w:tc>
        <w:tc>
          <w:tcPr>
            <w:tcW w:w="1495" w:type="dxa"/>
          </w:tcPr>
          <w:p w14:paraId="7C8DC381">
            <w:pPr>
              <w:pStyle w:val="4"/>
              <w:jc w:val="left"/>
            </w:pPr>
            <w:r>
              <w:rPr>
                <w:rFonts w:ascii="仿宋_GB2312" w:hAnsi="仿宋_GB2312" w:eastAsia="仿宋_GB2312" w:cs="仿宋_GB2312"/>
              </w:rPr>
              <w:t>供应商同类项目业绩</w:t>
            </w:r>
          </w:p>
        </w:tc>
        <w:tc>
          <w:tcPr>
            <w:tcW w:w="5814" w:type="dxa"/>
          </w:tcPr>
          <w:p w14:paraId="582ACC7D">
            <w:pPr>
              <w:pStyle w:val="4"/>
              <w:jc w:val="left"/>
            </w:pPr>
            <w:r>
              <w:rPr>
                <w:rFonts w:ascii="仿宋_GB2312" w:hAnsi="仿宋_GB2312" w:eastAsia="仿宋_GB2312" w:cs="仿宋_GB2312"/>
                <w:sz w:val="21"/>
              </w:rPr>
              <w:t>供应商具有类似病媒生物监测类业绩。</w:t>
            </w:r>
          </w:p>
        </w:tc>
      </w:tr>
      <w:tr w14:paraId="61547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0B9B83">
            <w:pPr>
              <w:pStyle w:val="4"/>
              <w:jc w:val="center"/>
            </w:pPr>
            <w:r>
              <w:rPr>
                <w:rFonts w:ascii="仿宋_GB2312" w:hAnsi="仿宋_GB2312" w:eastAsia="仿宋_GB2312" w:cs="仿宋_GB2312"/>
              </w:rPr>
              <w:t>9</w:t>
            </w:r>
          </w:p>
        </w:tc>
        <w:tc>
          <w:tcPr>
            <w:tcW w:w="581" w:type="dxa"/>
          </w:tcPr>
          <w:p w14:paraId="013DFECF"/>
        </w:tc>
        <w:tc>
          <w:tcPr>
            <w:tcW w:w="1495" w:type="dxa"/>
          </w:tcPr>
          <w:p w14:paraId="66AF0DB8">
            <w:pPr>
              <w:pStyle w:val="4"/>
              <w:jc w:val="left"/>
            </w:pPr>
            <w:r>
              <w:rPr>
                <w:rFonts w:ascii="仿宋_GB2312" w:hAnsi="仿宋_GB2312" w:eastAsia="仿宋_GB2312" w:cs="仿宋_GB2312"/>
              </w:rPr>
              <w:t>供应商保障能力</w:t>
            </w:r>
          </w:p>
        </w:tc>
        <w:tc>
          <w:tcPr>
            <w:tcW w:w="5814" w:type="dxa"/>
          </w:tcPr>
          <w:p w14:paraId="418C2232">
            <w:pPr>
              <w:pStyle w:val="4"/>
              <w:jc w:val="both"/>
            </w:pPr>
            <w:r>
              <w:rPr>
                <w:rFonts w:ascii="仿宋_GB2312" w:hAnsi="仿宋_GB2312" w:eastAsia="仿宋_GB2312" w:cs="仿宋_GB2312"/>
                <w:sz w:val="21"/>
              </w:rPr>
              <w:t>1.供应商承诺成交后为本项目购买或已购买保险且保期涵盖本项目服务时间；</w:t>
            </w:r>
          </w:p>
          <w:p w14:paraId="08198351">
            <w:pPr>
              <w:pStyle w:val="4"/>
              <w:jc w:val="left"/>
            </w:pPr>
            <w:r>
              <w:rPr>
                <w:rFonts w:ascii="仿宋_GB2312" w:hAnsi="仿宋_GB2312" w:eastAsia="仿宋_GB2312" w:cs="仿宋_GB2312"/>
                <w:sz w:val="21"/>
              </w:rPr>
              <w:t>2.本项目的设备配备情况：配备从事病媒生物防制专用车辆。</w:t>
            </w:r>
          </w:p>
        </w:tc>
      </w:tr>
    </w:tbl>
    <w:p w14:paraId="6F5E0C9F">
      <w:pPr>
        <w:pStyle w:val="4"/>
        <w:jc w:val="left"/>
        <w:outlineLvl w:val="3"/>
      </w:pPr>
      <w:r>
        <w:rPr>
          <w:rFonts w:ascii="仿宋_GB2312" w:hAnsi="仿宋_GB2312" w:eastAsia="仿宋_GB2312" w:cs="仿宋_GB2312"/>
          <w:b/>
          <w:sz w:val="24"/>
        </w:rPr>
        <w:t>3.3.2.商务要求</w:t>
      </w:r>
    </w:p>
    <w:p w14:paraId="6610B83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576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4ED694">
            <w:pPr>
              <w:pStyle w:val="4"/>
              <w:jc w:val="center"/>
            </w:pPr>
            <w:r>
              <w:rPr>
                <w:rFonts w:ascii="仿宋_GB2312" w:hAnsi="仿宋_GB2312" w:eastAsia="仿宋_GB2312" w:cs="仿宋_GB2312"/>
              </w:rPr>
              <w:t>序号</w:t>
            </w:r>
          </w:p>
        </w:tc>
        <w:tc>
          <w:tcPr>
            <w:tcW w:w="581" w:type="dxa"/>
          </w:tcPr>
          <w:p w14:paraId="60893F70">
            <w:pPr>
              <w:pStyle w:val="4"/>
              <w:jc w:val="center"/>
            </w:pPr>
            <w:r>
              <w:rPr>
                <w:rFonts w:ascii="仿宋_GB2312" w:hAnsi="仿宋_GB2312" w:eastAsia="仿宋_GB2312" w:cs="仿宋_GB2312"/>
              </w:rPr>
              <w:t>符号标识</w:t>
            </w:r>
          </w:p>
        </w:tc>
        <w:tc>
          <w:tcPr>
            <w:tcW w:w="1495" w:type="dxa"/>
          </w:tcPr>
          <w:p w14:paraId="40A5CEEB">
            <w:pPr>
              <w:pStyle w:val="4"/>
              <w:jc w:val="center"/>
            </w:pPr>
            <w:r>
              <w:rPr>
                <w:rFonts w:ascii="仿宋_GB2312" w:hAnsi="仿宋_GB2312" w:eastAsia="仿宋_GB2312" w:cs="仿宋_GB2312"/>
              </w:rPr>
              <w:t>商务要求名称</w:t>
            </w:r>
          </w:p>
        </w:tc>
        <w:tc>
          <w:tcPr>
            <w:tcW w:w="5814" w:type="dxa"/>
          </w:tcPr>
          <w:p w14:paraId="795F2C90">
            <w:pPr>
              <w:pStyle w:val="4"/>
              <w:jc w:val="center"/>
            </w:pPr>
            <w:r>
              <w:rPr>
                <w:rFonts w:ascii="仿宋_GB2312" w:hAnsi="仿宋_GB2312" w:eastAsia="仿宋_GB2312" w:cs="仿宋_GB2312"/>
              </w:rPr>
              <w:t>商务要求内容</w:t>
            </w:r>
          </w:p>
        </w:tc>
      </w:tr>
      <w:tr w14:paraId="0631C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9CA0CC">
            <w:pPr>
              <w:pStyle w:val="4"/>
              <w:jc w:val="center"/>
            </w:pPr>
            <w:r>
              <w:rPr>
                <w:rFonts w:ascii="仿宋_GB2312" w:hAnsi="仿宋_GB2312" w:eastAsia="仿宋_GB2312" w:cs="仿宋_GB2312"/>
              </w:rPr>
              <w:t>1</w:t>
            </w:r>
          </w:p>
        </w:tc>
        <w:tc>
          <w:tcPr>
            <w:tcW w:w="581" w:type="dxa"/>
          </w:tcPr>
          <w:p w14:paraId="69AAF348">
            <w:pPr>
              <w:pStyle w:val="4"/>
              <w:jc w:val="center"/>
            </w:pPr>
            <w:r>
              <w:rPr>
                <w:rFonts w:ascii="仿宋_GB2312" w:hAnsi="仿宋_GB2312" w:eastAsia="仿宋_GB2312" w:cs="仿宋_GB2312"/>
              </w:rPr>
              <w:t>★</w:t>
            </w:r>
          </w:p>
        </w:tc>
        <w:tc>
          <w:tcPr>
            <w:tcW w:w="1495" w:type="dxa"/>
          </w:tcPr>
          <w:p w14:paraId="611E827F">
            <w:pPr>
              <w:pStyle w:val="4"/>
              <w:jc w:val="left"/>
            </w:pPr>
            <w:r>
              <w:rPr>
                <w:rFonts w:ascii="仿宋_GB2312" w:hAnsi="仿宋_GB2312" w:eastAsia="仿宋_GB2312" w:cs="仿宋_GB2312"/>
              </w:rPr>
              <w:t>服务期限</w:t>
            </w:r>
          </w:p>
        </w:tc>
        <w:tc>
          <w:tcPr>
            <w:tcW w:w="5814" w:type="dxa"/>
          </w:tcPr>
          <w:p w14:paraId="4EC71E97">
            <w:pPr>
              <w:pStyle w:val="4"/>
              <w:jc w:val="left"/>
            </w:pPr>
            <w:r>
              <w:rPr>
                <w:rFonts w:ascii="仿宋_GB2312" w:hAnsi="仿宋_GB2312" w:eastAsia="仿宋_GB2312" w:cs="仿宋_GB2312"/>
              </w:rPr>
              <w:t>2025年6月至9月完成全部服务工作。</w:t>
            </w:r>
          </w:p>
        </w:tc>
      </w:tr>
      <w:tr w14:paraId="27BD5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7AE192">
            <w:pPr>
              <w:pStyle w:val="4"/>
              <w:jc w:val="center"/>
            </w:pPr>
            <w:r>
              <w:rPr>
                <w:rFonts w:ascii="仿宋_GB2312" w:hAnsi="仿宋_GB2312" w:eastAsia="仿宋_GB2312" w:cs="仿宋_GB2312"/>
              </w:rPr>
              <w:t>2</w:t>
            </w:r>
          </w:p>
        </w:tc>
        <w:tc>
          <w:tcPr>
            <w:tcW w:w="581" w:type="dxa"/>
          </w:tcPr>
          <w:p w14:paraId="1A4E5E9A">
            <w:pPr>
              <w:pStyle w:val="4"/>
              <w:jc w:val="center"/>
            </w:pPr>
            <w:r>
              <w:rPr>
                <w:rFonts w:ascii="仿宋_GB2312" w:hAnsi="仿宋_GB2312" w:eastAsia="仿宋_GB2312" w:cs="仿宋_GB2312"/>
              </w:rPr>
              <w:t>★</w:t>
            </w:r>
          </w:p>
        </w:tc>
        <w:tc>
          <w:tcPr>
            <w:tcW w:w="1495" w:type="dxa"/>
          </w:tcPr>
          <w:p w14:paraId="17A9BA1A">
            <w:pPr>
              <w:pStyle w:val="4"/>
              <w:jc w:val="left"/>
            </w:pPr>
            <w:r>
              <w:rPr>
                <w:rFonts w:ascii="仿宋_GB2312" w:hAnsi="仿宋_GB2312" w:eastAsia="仿宋_GB2312" w:cs="仿宋_GB2312"/>
              </w:rPr>
              <w:t>服务地点</w:t>
            </w:r>
          </w:p>
        </w:tc>
        <w:tc>
          <w:tcPr>
            <w:tcW w:w="5814" w:type="dxa"/>
          </w:tcPr>
          <w:p w14:paraId="1F0CAB3A">
            <w:pPr>
              <w:pStyle w:val="4"/>
              <w:jc w:val="left"/>
            </w:pPr>
            <w:r>
              <w:rPr>
                <w:rFonts w:ascii="仿宋_GB2312" w:hAnsi="仿宋_GB2312" w:eastAsia="仿宋_GB2312" w:cs="仿宋_GB2312"/>
              </w:rPr>
              <w:t>成都市龙泉驿区（采购人指定地点）。</w:t>
            </w:r>
          </w:p>
        </w:tc>
      </w:tr>
      <w:tr w14:paraId="7AE93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02E4F3">
            <w:pPr>
              <w:pStyle w:val="4"/>
              <w:jc w:val="center"/>
            </w:pPr>
            <w:r>
              <w:rPr>
                <w:rFonts w:ascii="仿宋_GB2312" w:hAnsi="仿宋_GB2312" w:eastAsia="仿宋_GB2312" w:cs="仿宋_GB2312"/>
              </w:rPr>
              <w:t>3</w:t>
            </w:r>
          </w:p>
        </w:tc>
        <w:tc>
          <w:tcPr>
            <w:tcW w:w="581" w:type="dxa"/>
          </w:tcPr>
          <w:p w14:paraId="7B8EC2E0">
            <w:pPr>
              <w:pStyle w:val="4"/>
              <w:jc w:val="center"/>
            </w:pPr>
            <w:r>
              <w:rPr>
                <w:rFonts w:ascii="仿宋_GB2312" w:hAnsi="仿宋_GB2312" w:eastAsia="仿宋_GB2312" w:cs="仿宋_GB2312"/>
              </w:rPr>
              <w:t>★</w:t>
            </w:r>
          </w:p>
        </w:tc>
        <w:tc>
          <w:tcPr>
            <w:tcW w:w="1495" w:type="dxa"/>
          </w:tcPr>
          <w:p w14:paraId="24F62647">
            <w:pPr>
              <w:pStyle w:val="4"/>
              <w:jc w:val="left"/>
            </w:pPr>
            <w:r>
              <w:rPr>
                <w:rFonts w:ascii="仿宋_GB2312" w:hAnsi="仿宋_GB2312" w:eastAsia="仿宋_GB2312" w:cs="仿宋_GB2312"/>
              </w:rPr>
              <w:t>验收、交付标准和方法</w:t>
            </w:r>
          </w:p>
        </w:tc>
        <w:tc>
          <w:tcPr>
            <w:tcW w:w="5814" w:type="dxa"/>
          </w:tcPr>
          <w:p w14:paraId="5DB7B5BB">
            <w:pPr>
              <w:pStyle w:val="4"/>
              <w:jc w:val="left"/>
            </w:pPr>
            <w:r>
              <w:rPr>
                <w:rFonts w:ascii="仿宋_GB2312" w:hAnsi="仿宋_GB2312" w:eastAsia="仿宋_GB2312" w:cs="仿宋_GB2312"/>
              </w:rPr>
              <w:t>因系统固化原因，本项目“验收、交付标准和方法”以此为准，采购文件第二章2.6.6.履约验收方案中内容若与此处要求有冲突的，以此处要求为准： （1）验收组织方式：自行验收； （2）是否邀请本项目的其他供应商：否； （3）是否邀请专家：是； （4）是否邀请服务对象：否； （5）是否邀请第三方检测机构：否； （6）履约验收程序：分期/分段验收； （7）履约验收时间：采购人在收到成交人的验收申请材料后，每月30日之前完成该阶段履约验收工作； （8）验收组织的其他事项：本项目验收方式采取现场监测、专家评估方式进行； （9）技术履约验收内容：按照本项目采购文件中“技术要求”及成交人响应文件进行验收； （10）商务履约验收内容：按照本项目采购文件中“服务要求”“其他要求”及成交人响应文件进行验收； （11）履约验收标准：由采购人组织，严格按照《财政部关于进一步加强政府采购需求和履约验收管理的指导意见》（财库〔2016〕205号）相关规定执行； （12）履约验收其他事项：无。</w:t>
            </w:r>
          </w:p>
        </w:tc>
      </w:tr>
      <w:tr w14:paraId="1C1E2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B2BAD9">
            <w:pPr>
              <w:pStyle w:val="4"/>
              <w:jc w:val="center"/>
            </w:pPr>
            <w:r>
              <w:rPr>
                <w:rFonts w:ascii="仿宋_GB2312" w:hAnsi="仿宋_GB2312" w:eastAsia="仿宋_GB2312" w:cs="仿宋_GB2312"/>
              </w:rPr>
              <w:t>4</w:t>
            </w:r>
          </w:p>
        </w:tc>
        <w:tc>
          <w:tcPr>
            <w:tcW w:w="581" w:type="dxa"/>
          </w:tcPr>
          <w:p w14:paraId="348EBA74">
            <w:pPr>
              <w:pStyle w:val="4"/>
              <w:jc w:val="center"/>
            </w:pPr>
            <w:r>
              <w:rPr>
                <w:rFonts w:ascii="仿宋_GB2312" w:hAnsi="仿宋_GB2312" w:eastAsia="仿宋_GB2312" w:cs="仿宋_GB2312"/>
              </w:rPr>
              <w:t>★</w:t>
            </w:r>
          </w:p>
        </w:tc>
        <w:tc>
          <w:tcPr>
            <w:tcW w:w="1495" w:type="dxa"/>
          </w:tcPr>
          <w:p w14:paraId="3092499C">
            <w:pPr>
              <w:pStyle w:val="4"/>
              <w:jc w:val="left"/>
            </w:pPr>
            <w:r>
              <w:rPr>
                <w:rFonts w:ascii="仿宋_GB2312" w:hAnsi="仿宋_GB2312" w:eastAsia="仿宋_GB2312" w:cs="仿宋_GB2312"/>
              </w:rPr>
              <w:t>支付方式</w:t>
            </w:r>
          </w:p>
        </w:tc>
        <w:tc>
          <w:tcPr>
            <w:tcW w:w="5814" w:type="dxa"/>
          </w:tcPr>
          <w:p w14:paraId="2C1CDA47">
            <w:pPr>
              <w:pStyle w:val="4"/>
              <w:jc w:val="left"/>
            </w:pPr>
            <w:r>
              <w:rPr>
                <w:rFonts w:ascii="仿宋_GB2312" w:hAnsi="仿宋_GB2312" w:eastAsia="仿宋_GB2312" w:cs="仿宋_GB2312"/>
              </w:rPr>
              <w:t>分期付款</w:t>
            </w:r>
          </w:p>
        </w:tc>
      </w:tr>
      <w:tr w14:paraId="2E253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7263C3">
            <w:pPr>
              <w:pStyle w:val="4"/>
              <w:jc w:val="center"/>
            </w:pPr>
            <w:r>
              <w:rPr>
                <w:rFonts w:ascii="仿宋_GB2312" w:hAnsi="仿宋_GB2312" w:eastAsia="仿宋_GB2312" w:cs="仿宋_GB2312"/>
              </w:rPr>
              <w:t>5</w:t>
            </w:r>
          </w:p>
        </w:tc>
        <w:tc>
          <w:tcPr>
            <w:tcW w:w="581" w:type="dxa"/>
          </w:tcPr>
          <w:p w14:paraId="048646CD"/>
        </w:tc>
        <w:tc>
          <w:tcPr>
            <w:tcW w:w="1495" w:type="dxa"/>
          </w:tcPr>
          <w:p w14:paraId="6FC1680E">
            <w:pPr>
              <w:pStyle w:val="4"/>
              <w:jc w:val="left"/>
            </w:pPr>
            <w:r>
              <w:rPr>
                <w:rFonts w:ascii="仿宋_GB2312" w:hAnsi="仿宋_GB2312" w:eastAsia="仿宋_GB2312" w:cs="仿宋_GB2312"/>
              </w:rPr>
              <w:t>付款进度安排</w:t>
            </w:r>
          </w:p>
        </w:tc>
        <w:tc>
          <w:tcPr>
            <w:tcW w:w="5814" w:type="dxa"/>
          </w:tcPr>
          <w:p w14:paraId="36B8BE61">
            <w:pPr>
              <w:pStyle w:val="4"/>
              <w:jc w:val="left"/>
            </w:pPr>
            <w:r>
              <w:rPr>
                <w:rFonts w:ascii="仿宋_GB2312" w:hAnsi="仿宋_GB2312" w:eastAsia="仿宋_GB2312" w:cs="仿宋_GB2312"/>
              </w:rPr>
              <w:t>1、预付款，合同签订生效后，达到付款条件起10日内，支付合同总金额的40.00%</w:t>
            </w:r>
          </w:p>
          <w:p w14:paraId="5D89E812">
            <w:pPr>
              <w:pStyle w:val="4"/>
              <w:jc w:val="left"/>
            </w:pPr>
            <w:r>
              <w:rPr>
                <w:rFonts w:ascii="仿宋_GB2312" w:hAnsi="仿宋_GB2312" w:eastAsia="仿宋_GB2312" w:cs="仿宋_GB2312"/>
              </w:rPr>
              <w:t>2、尾款，服务期满，成交人按照要求完成全部服务工作，经采购人验收合格结束后，达到付款条件起10日内，支付合同总金额的60.00%</w:t>
            </w:r>
          </w:p>
        </w:tc>
      </w:tr>
      <w:tr w14:paraId="5EE3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3F4795">
            <w:pPr>
              <w:pStyle w:val="4"/>
              <w:jc w:val="center"/>
            </w:pPr>
            <w:r>
              <w:rPr>
                <w:rFonts w:ascii="仿宋_GB2312" w:hAnsi="仿宋_GB2312" w:eastAsia="仿宋_GB2312" w:cs="仿宋_GB2312"/>
              </w:rPr>
              <w:t>6</w:t>
            </w:r>
          </w:p>
        </w:tc>
        <w:tc>
          <w:tcPr>
            <w:tcW w:w="581" w:type="dxa"/>
          </w:tcPr>
          <w:p w14:paraId="67995AC5">
            <w:pPr>
              <w:pStyle w:val="4"/>
              <w:jc w:val="center"/>
            </w:pPr>
            <w:r>
              <w:rPr>
                <w:rFonts w:ascii="仿宋_GB2312" w:hAnsi="仿宋_GB2312" w:eastAsia="仿宋_GB2312" w:cs="仿宋_GB2312"/>
              </w:rPr>
              <w:t>★</w:t>
            </w:r>
          </w:p>
        </w:tc>
        <w:tc>
          <w:tcPr>
            <w:tcW w:w="1495" w:type="dxa"/>
          </w:tcPr>
          <w:p w14:paraId="3D066F10">
            <w:pPr>
              <w:pStyle w:val="4"/>
              <w:jc w:val="left"/>
            </w:pPr>
            <w:r>
              <w:rPr>
                <w:rFonts w:ascii="仿宋_GB2312" w:hAnsi="仿宋_GB2312" w:eastAsia="仿宋_GB2312" w:cs="仿宋_GB2312"/>
              </w:rPr>
              <w:t>违约责任与解决争议的方法</w:t>
            </w:r>
          </w:p>
        </w:tc>
        <w:tc>
          <w:tcPr>
            <w:tcW w:w="5814" w:type="dxa"/>
          </w:tcPr>
          <w:p w14:paraId="05B578A6">
            <w:pPr>
              <w:pStyle w:val="4"/>
              <w:jc w:val="left"/>
            </w:pPr>
            <w:r>
              <w:rPr>
                <w:rFonts w:ascii="仿宋_GB2312" w:hAnsi="仿宋_GB2312" w:eastAsia="仿宋_GB2312" w:cs="仿宋_GB2312"/>
              </w:rPr>
              <w:t>按本项目采购合同约定执行。</w:t>
            </w:r>
          </w:p>
        </w:tc>
      </w:tr>
    </w:tbl>
    <w:p w14:paraId="72C1805A">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2A3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D35AA5">
            <w:pPr>
              <w:pStyle w:val="4"/>
              <w:jc w:val="center"/>
            </w:pPr>
            <w:r>
              <w:rPr>
                <w:rFonts w:ascii="仿宋_GB2312" w:hAnsi="仿宋_GB2312" w:eastAsia="仿宋_GB2312" w:cs="仿宋_GB2312"/>
              </w:rPr>
              <w:t>序号</w:t>
            </w:r>
          </w:p>
        </w:tc>
        <w:tc>
          <w:tcPr>
            <w:tcW w:w="581" w:type="dxa"/>
          </w:tcPr>
          <w:p w14:paraId="455FEEC1">
            <w:pPr>
              <w:pStyle w:val="4"/>
              <w:jc w:val="center"/>
            </w:pPr>
            <w:r>
              <w:rPr>
                <w:rFonts w:ascii="仿宋_GB2312" w:hAnsi="仿宋_GB2312" w:eastAsia="仿宋_GB2312" w:cs="仿宋_GB2312"/>
              </w:rPr>
              <w:t>符号标识</w:t>
            </w:r>
          </w:p>
        </w:tc>
        <w:tc>
          <w:tcPr>
            <w:tcW w:w="1495" w:type="dxa"/>
          </w:tcPr>
          <w:p w14:paraId="7C0182C0">
            <w:pPr>
              <w:pStyle w:val="4"/>
              <w:jc w:val="center"/>
            </w:pPr>
            <w:r>
              <w:rPr>
                <w:rFonts w:ascii="仿宋_GB2312" w:hAnsi="仿宋_GB2312" w:eastAsia="仿宋_GB2312" w:cs="仿宋_GB2312"/>
              </w:rPr>
              <w:t>商务要求名称</w:t>
            </w:r>
          </w:p>
        </w:tc>
        <w:tc>
          <w:tcPr>
            <w:tcW w:w="5814" w:type="dxa"/>
          </w:tcPr>
          <w:p w14:paraId="3268370A">
            <w:pPr>
              <w:pStyle w:val="4"/>
              <w:jc w:val="center"/>
            </w:pPr>
            <w:r>
              <w:rPr>
                <w:rFonts w:ascii="仿宋_GB2312" w:hAnsi="仿宋_GB2312" w:eastAsia="仿宋_GB2312" w:cs="仿宋_GB2312"/>
              </w:rPr>
              <w:t>商务要求内容</w:t>
            </w:r>
          </w:p>
        </w:tc>
      </w:tr>
      <w:tr w14:paraId="68DE4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ED138D">
            <w:pPr>
              <w:pStyle w:val="4"/>
              <w:jc w:val="center"/>
            </w:pPr>
            <w:r>
              <w:rPr>
                <w:rFonts w:ascii="仿宋_GB2312" w:hAnsi="仿宋_GB2312" w:eastAsia="仿宋_GB2312" w:cs="仿宋_GB2312"/>
              </w:rPr>
              <w:t>1</w:t>
            </w:r>
          </w:p>
        </w:tc>
        <w:tc>
          <w:tcPr>
            <w:tcW w:w="581" w:type="dxa"/>
          </w:tcPr>
          <w:p w14:paraId="14D5DCD0">
            <w:pPr>
              <w:pStyle w:val="4"/>
              <w:jc w:val="center"/>
            </w:pPr>
            <w:r>
              <w:rPr>
                <w:rFonts w:ascii="仿宋_GB2312" w:hAnsi="仿宋_GB2312" w:eastAsia="仿宋_GB2312" w:cs="仿宋_GB2312"/>
              </w:rPr>
              <w:t>★</w:t>
            </w:r>
          </w:p>
        </w:tc>
        <w:tc>
          <w:tcPr>
            <w:tcW w:w="1495" w:type="dxa"/>
          </w:tcPr>
          <w:p w14:paraId="7E1206C4">
            <w:pPr>
              <w:pStyle w:val="4"/>
              <w:jc w:val="left"/>
            </w:pPr>
            <w:r>
              <w:rPr>
                <w:rFonts w:ascii="仿宋_GB2312" w:hAnsi="仿宋_GB2312" w:eastAsia="仿宋_GB2312" w:cs="仿宋_GB2312"/>
              </w:rPr>
              <w:t>服务期限</w:t>
            </w:r>
          </w:p>
        </w:tc>
        <w:tc>
          <w:tcPr>
            <w:tcW w:w="5814" w:type="dxa"/>
          </w:tcPr>
          <w:p w14:paraId="7ECB3757">
            <w:pPr>
              <w:pStyle w:val="4"/>
              <w:jc w:val="left"/>
            </w:pPr>
            <w:r>
              <w:rPr>
                <w:rFonts w:ascii="仿宋_GB2312" w:hAnsi="仿宋_GB2312" w:eastAsia="仿宋_GB2312" w:cs="仿宋_GB2312"/>
              </w:rPr>
              <w:t>2025年6月至8月完成全部服务工作。</w:t>
            </w:r>
          </w:p>
        </w:tc>
      </w:tr>
      <w:tr w14:paraId="1E31A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ECC350">
            <w:pPr>
              <w:pStyle w:val="4"/>
              <w:jc w:val="center"/>
            </w:pPr>
            <w:r>
              <w:rPr>
                <w:rFonts w:ascii="仿宋_GB2312" w:hAnsi="仿宋_GB2312" w:eastAsia="仿宋_GB2312" w:cs="仿宋_GB2312"/>
              </w:rPr>
              <w:t>2</w:t>
            </w:r>
          </w:p>
        </w:tc>
        <w:tc>
          <w:tcPr>
            <w:tcW w:w="581" w:type="dxa"/>
          </w:tcPr>
          <w:p w14:paraId="50F278A9">
            <w:pPr>
              <w:pStyle w:val="4"/>
              <w:jc w:val="center"/>
            </w:pPr>
            <w:r>
              <w:rPr>
                <w:rFonts w:ascii="仿宋_GB2312" w:hAnsi="仿宋_GB2312" w:eastAsia="仿宋_GB2312" w:cs="仿宋_GB2312"/>
              </w:rPr>
              <w:t>★</w:t>
            </w:r>
          </w:p>
        </w:tc>
        <w:tc>
          <w:tcPr>
            <w:tcW w:w="1495" w:type="dxa"/>
          </w:tcPr>
          <w:p w14:paraId="225031E3">
            <w:pPr>
              <w:pStyle w:val="4"/>
              <w:jc w:val="left"/>
            </w:pPr>
            <w:r>
              <w:rPr>
                <w:rFonts w:ascii="仿宋_GB2312" w:hAnsi="仿宋_GB2312" w:eastAsia="仿宋_GB2312" w:cs="仿宋_GB2312"/>
              </w:rPr>
              <w:t>服务地点</w:t>
            </w:r>
          </w:p>
        </w:tc>
        <w:tc>
          <w:tcPr>
            <w:tcW w:w="5814" w:type="dxa"/>
          </w:tcPr>
          <w:p w14:paraId="52ACB3EE">
            <w:pPr>
              <w:pStyle w:val="4"/>
              <w:jc w:val="left"/>
            </w:pPr>
            <w:r>
              <w:rPr>
                <w:rFonts w:ascii="仿宋_GB2312" w:hAnsi="仿宋_GB2312" w:eastAsia="仿宋_GB2312" w:cs="仿宋_GB2312"/>
              </w:rPr>
              <w:t>成都市龙泉驿区（采购人指定地点）。</w:t>
            </w:r>
          </w:p>
        </w:tc>
      </w:tr>
      <w:tr w14:paraId="0C0B4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8B3D63">
            <w:pPr>
              <w:pStyle w:val="4"/>
              <w:jc w:val="center"/>
            </w:pPr>
            <w:r>
              <w:rPr>
                <w:rFonts w:ascii="仿宋_GB2312" w:hAnsi="仿宋_GB2312" w:eastAsia="仿宋_GB2312" w:cs="仿宋_GB2312"/>
              </w:rPr>
              <w:t>3</w:t>
            </w:r>
          </w:p>
        </w:tc>
        <w:tc>
          <w:tcPr>
            <w:tcW w:w="581" w:type="dxa"/>
          </w:tcPr>
          <w:p w14:paraId="57957CAE">
            <w:pPr>
              <w:pStyle w:val="4"/>
              <w:jc w:val="center"/>
            </w:pPr>
            <w:r>
              <w:rPr>
                <w:rFonts w:ascii="仿宋_GB2312" w:hAnsi="仿宋_GB2312" w:eastAsia="仿宋_GB2312" w:cs="仿宋_GB2312"/>
              </w:rPr>
              <w:t>★</w:t>
            </w:r>
          </w:p>
        </w:tc>
        <w:tc>
          <w:tcPr>
            <w:tcW w:w="1495" w:type="dxa"/>
          </w:tcPr>
          <w:p w14:paraId="3CE2F370">
            <w:pPr>
              <w:pStyle w:val="4"/>
              <w:jc w:val="left"/>
            </w:pPr>
            <w:r>
              <w:rPr>
                <w:rFonts w:ascii="仿宋_GB2312" w:hAnsi="仿宋_GB2312" w:eastAsia="仿宋_GB2312" w:cs="仿宋_GB2312"/>
              </w:rPr>
              <w:t>验收、交付标准和方法</w:t>
            </w:r>
          </w:p>
        </w:tc>
        <w:tc>
          <w:tcPr>
            <w:tcW w:w="5814" w:type="dxa"/>
          </w:tcPr>
          <w:p w14:paraId="5C007C82">
            <w:pPr>
              <w:pStyle w:val="4"/>
              <w:jc w:val="left"/>
            </w:pPr>
            <w:r>
              <w:rPr>
                <w:rFonts w:ascii="仿宋_GB2312" w:hAnsi="仿宋_GB2312" w:eastAsia="仿宋_GB2312" w:cs="仿宋_GB2312"/>
              </w:rPr>
              <w:t>因系统固化原因，本项目“验收、交付标准和方法”以此为准，采购文件第二章2.6.6.履约验收方案中内容若与此处要求有冲突的，以此处要求为准： （1）验收组织方式：自行验收； （2）是否邀请本项目的其他供应商：否； （3）是否邀请专家：是； （4）是否邀请服务对象：否； （5）是否邀请第三方检测机构：否； （6）履约验收程序：分期/分段验收； （7）履约验收时间：采购人在收到成交人的验收申请材料后，每月30日之前完成该阶段履约验收工作； （8）验收组织的其他事项：本项目验收方式采取现场监测、专家评估方式进行； （9）技术履约验收内容：按照本项目采购文件中“技术要求”及成交人响应文件进行验收； （10）商务履约验收内容：按照本项目采购文件中“服务要求”“其他要求”及成交人响应文件进行验收； （11）履约验收标准：由采购人组织，严格按照《财政部关于进一步加强政府采购需求和履约验收管理的指导意见》（财库〔2016〕205号）相关规定执行； （12）履约验收其他事项：无。</w:t>
            </w:r>
          </w:p>
        </w:tc>
      </w:tr>
      <w:tr w14:paraId="6E2A5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BC0ED3">
            <w:pPr>
              <w:pStyle w:val="4"/>
              <w:jc w:val="center"/>
            </w:pPr>
            <w:r>
              <w:rPr>
                <w:rFonts w:ascii="仿宋_GB2312" w:hAnsi="仿宋_GB2312" w:eastAsia="仿宋_GB2312" w:cs="仿宋_GB2312"/>
              </w:rPr>
              <w:t>4</w:t>
            </w:r>
          </w:p>
        </w:tc>
        <w:tc>
          <w:tcPr>
            <w:tcW w:w="581" w:type="dxa"/>
          </w:tcPr>
          <w:p w14:paraId="103FCA9A">
            <w:pPr>
              <w:pStyle w:val="4"/>
              <w:jc w:val="center"/>
            </w:pPr>
            <w:r>
              <w:rPr>
                <w:rFonts w:ascii="仿宋_GB2312" w:hAnsi="仿宋_GB2312" w:eastAsia="仿宋_GB2312" w:cs="仿宋_GB2312"/>
              </w:rPr>
              <w:t>★</w:t>
            </w:r>
          </w:p>
        </w:tc>
        <w:tc>
          <w:tcPr>
            <w:tcW w:w="1495" w:type="dxa"/>
          </w:tcPr>
          <w:p w14:paraId="569D80F4">
            <w:pPr>
              <w:pStyle w:val="4"/>
              <w:jc w:val="left"/>
            </w:pPr>
            <w:r>
              <w:rPr>
                <w:rFonts w:ascii="仿宋_GB2312" w:hAnsi="仿宋_GB2312" w:eastAsia="仿宋_GB2312" w:cs="仿宋_GB2312"/>
              </w:rPr>
              <w:t>支付方式</w:t>
            </w:r>
          </w:p>
        </w:tc>
        <w:tc>
          <w:tcPr>
            <w:tcW w:w="5814" w:type="dxa"/>
          </w:tcPr>
          <w:p w14:paraId="660B747D">
            <w:pPr>
              <w:pStyle w:val="4"/>
              <w:jc w:val="left"/>
            </w:pPr>
            <w:r>
              <w:rPr>
                <w:rFonts w:ascii="仿宋_GB2312" w:hAnsi="仿宋_GB2312" w:eastAsia="仿宋_GB2312" w:cs="仿宋_GB2312"/>
              </w:rPr>
              <w:t>分期付款</w:t>
            </w:r>
          </w:p>
        </w:tc>
      </w:tr>
      <w:tr w14:paraId="585A5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E97555">
            <w:pPr>
              <w:pStyle w:val="4"/>
              <w:jc w:val="center"/>
            </w:pPr>
            <w:r>
              <w:rPr>
                <w:rFonts w:ascii="仿宋_GB2312" w:hAnsi="仿宋_GB2312" w:eastAsia="仿宋_GB2312" w:cs="仿宋_GB2312"/>
              </w:rPr>
              <w:t>5</w:t>
            </w:r>
          </w:p>
        </w:tc>
        <w:tc>
          <w:tcPr>
            <w:tcW w:w="581" w:type="dxa"/>
          </w:tcPr>
          <w:p w14:paraId="738E3D7C"/>
        </w:tc>
        <w:tc>
          <w:tcPr>
            <w:tcW w:w="1495" w:type="dxa"/>
          </w:tcPr>
          <w:p w14:paraId="661BE97E">
            <w:pPr>
              <w:pStyle w:val="4"/>
              <w:jc w:val="left"/>
            </w:pPr>
            <w:r>
              <w:rPr>
                <w:rFonts w:ascii="仿宋_GB2312" w:hAnsi="仿宋_GB2312" w:eastAsia="仿宋_GB2312" w:cs="仿宋_GB2312"/>
              </w:rPr>
              <w:t>付款进度安排</w:t>
            </w:r>
          </w:p>
        </w:tc>
        <w:tc>
          <w:tcPr>
            <w:tcW w:w="5814" w:type="dxa"/>
          </w:tcPr>
          <w:p w14:paraId="72714BC6">
            <w:pPr>
              <w:pStyle w:val="4"/>
              <w:jc w:val="left"/>
            </w:pPr>
            <w:r>
              <w:rPr>
                <w:rFonts w:ascii="仿宋_GB2312" w:hAnsi="仿宋_GB2312" w:eastAsia="仿宋_GB2312" w:cs="仿宋_GB2312"/>
              </w:rPr>
              <w:t>1、预付款，合同签订生效后，达到付款条件起10日内，支付合同总金额的40.00%</w:t>
            </w:r>
          </w:p>
          <w:p w14:paraId="0DA71911">
            <w:pPr>
              <w:pStyle w:val="4"/>
              <w:jc w:val="left"/>
            </w:pPr>
            <w:r>
              <w:rPr>
                <w:rFonts w:ascii="仿宋_GB2312" w:hAnsi="仿宋_GB2312" w:eastAsia="仿宋_GB2312" w:cs="仿宋_GB2312"/>
              </w:rPr>
              <w:t>2、尾款，服务期满，成交人按照要求完成全部服务工作，经采购人验收合格结束后，达到付款条件起10日内，支付合同总金额的60.00%</w:t>
            </w:r>
          </w:p>
        </w:tc>
      </w:tr>
      <w:tr w14:paraId="17555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9812A4">
            <w:pPr>
              <w:pStyle w:val="4"/>
              <w:jc w:val="center"/>
            </w:pPr>
            <w:r>
              <w:rPr>
                <w:rFonts w:ascii="仿宋_GB2312" w:hAnsi="仿宋_GB2312" w:eastAsia="仿宋_GB2312" w:cs="仿宋_GB2312"/>
              </w:rPr>
              <w:t>6</w:t>
            </w:r>
          </w:p>
        </w:tc>
        <w:tc>
          <w:tcPr>
            <w:tcW w:w="581" w:type="dxa"/>
          </w:tcPr>
          <w:p w14:paraId="37671C65">
            <w:pPr>
              <w:pStyle w:val="4"/>
              <w:jc w:val="center"/>
            </w:pPr>
            <w:r>
              <w:rPr>
                <w:rFonts w:ascii="仿宋_GB2312" w:hAnsi="仿宋_GB2312" w:eastAsia="仿宋_GB2312" w:cs="仿宋_GB2312"/>
              </w:rPr>
              <w:t>★</w:t>
            </w:r>
          </w:p>
        </w:tc>
        <w:tc>
          <w:tcPr>
            <w:tcW w:w="1495" w:type="dxa"/>
          </w:tcPr>
          <w:p w14:paraId="19BEA9C9">
            <w:pPr>
              <w:pStyle w:val="4"/>
              <w:jc w:val="left"/>
            </w:pPr>
            <w:r>
              <w:rPr>
                <w:rFonts w:ascii="仿宋_GB2312" w:hAnsi="仿宋_GB2312" w:eastAsia="仿宋_GB2312" w:cs="仿宋_GB2312"/>
              </w:rPr>
              <w:t>违约责任与解决争议的方法</w:t>
            </w:r>
          </w:p>
        </w:tc>
        <w:tc>
          <w:tcPr>
            <w:tcW w:w="5814" w:type="dxa"/>
          </w:tcPr>
          <w:p w14:paraId="0F7330E7">
            <w:pPr>
              <w:pStyle w:val="4"/>
              <w:jc w:val="left"/>
            </w:pPr>
            <w:r>
              <w:rPr>
                <w:rFonts w:ascii="仿宋_GB2312" w:hAnsi="仿宋_GB2312" w:eastAsia="仿宋_GB2312" w:cs="仿宋_GB2312"/>
              </w:rPr>
              <w:t>按本项目采购合同约定执行。</w:t>
            </w:r>
          </w:p>
        </w:tc>
      </w:tr>
    </w:tbl>
    <w:p w14:paraId="578B68B9">
      <w:pPr>
        <w:pStyle w:val="4"/>
        <w:jc w:val="left"/>
      </w:pPr>
      <w:r>
        <w:rPr>
          <w:rFonts w:ascii="仿宋_GB2312" w:hAnsi="仿宋_GB2312" w:eastAsia="仿宋_GB2312" w:cs="仿宋_GB2312"/>
        </w:rP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88C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C920C8">
            <w:pPr>
              <w:pStyle w:val="4"/>
              <w:jc w:val="center"/>
            </w:pPr>
            <w:r>
              <w:rPr>
                <w:rFonts w:ascii="仿宋_GB2312" w:hAnsi="仿宋_GB2312" w:eastAsia="仿宋_GB2312" w:cs="仿宋_GB2312"/>
              </w:rPr>
              <w:t>序号</w:t>
            </w:r>
          </w:p>
        </w:tc>
        <w:tc>
          <w:tcPr>
            <w:tcW w:w="581" w:type="dxa"/>
          </w:tcPr>
          <w:p w14:paraId="68EFAF88">
            <w:pPr>
              <w:pStyle w:val="4"/>
              <w:jc w:val="center"/>
            </w:pPr>
            <w:r>
              <w:rPr>
                <w:rFonts w:ascii="仿宋_GB2312" w:hAnsi="仿宋_GB2312" w:eastAsia="仿宋_GB2312" w:cs="仿宋_GB2312"/>
              </w:rPr>
              <w:t>符号标识</w:t>
            </w:r>
          </w:p>
        </w:tc>
        <w:tc>
          <w:tcPr>
            <w:tcW w:w="1495" w:type="dxa"/>
          </w:tcPr>
          <w:p w14:paraId="5C4496A6">
            <w:pPr>
              <w:pStyle w:val="4"/>
              <w:jc w:val="center"/>
            </w:pPr>
            <w:r>
              <w:rPr>
                <w:rFonts w:ascii="仿宋_GB2312" w:hAnsi="仿宋_GB2312" w:eastAsia="仿宋_GB2312" w:cs="仿宋_GB2312"/>
              </w:rPr>
              <w:t>商务要求名称</w:t>
            </w:r>
          </w:p>
        </w:tc>
        <w:tc>
          <w:tcPr>
            <w:tcW w:w="5814" w:type="dxa"/>
          </w:tcPr>
          <w:p w14:paraId="13BC8BE9">
            <w:pPr>
              <w:pStyle w:val="4"/>
              <w:jc w:val="center"/>
            </w:pPr>
            <w:r>
              <w:rPr>
                <w:rFonts w:ascii="仿宋_GB2312" w:hAnsi="仿宋_GB2312" w:eastAsia="仿宋_GB2312" w:cs="仿宋_GB2312"/>
              </w:rPr>
              <w:t>商务要求内容</w:t>
            </w:r>
          </w:p>
        </w:tc>
      </w:tr>
      <w:tr w14:paraId="6296A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AF3EA3">
            <w:pPr>
              <w:pStyle w:val="4"/>
              <w:jc w:val="center"/>
            </w:pPr>
            <w:r>
              <w:rPr>
                <w:rFonts w:ascii="仿宋_GB2312" w:hAnsi="仿宋_GB2312" w:eastAsia="仿宋_GB2312" w:cs="仿宋_GB2312"/>
              </w:rPr>
              <w:t>1</w:t>
            </w:r>
          </w:p>
        </w:tc>
        <w:tc>
          <w:tcPr>
            <w:tcW w:w="581" w:type="dxa"/>
          </w:tcPr>
          <w:p w14:paraId="3F132CA0">
            <w:pPr>
              <w:pStyle w:val="4"/>
              <w:jc w:val="center"/>
            </w:pPr>
            <w:r>
              <w:rPr>
                <w:rFonts w:ascii="仿宋_GB2312" w:hAnsi="仿宋_GB2312" w:eastAsia="仿宋_GB2312" w:cs="仿宋_GB2312"/>
              </w:rPr>
              <w:t>★</w:t>
            </w:r>
          </w:p>
        </w:tc>
        <w:tc>
          <w:tcPr>
            <w:tcW w:w="1495" w:type="dxa"/>
          </w:tcPr>
          <w:p w14:paraId="7015F01F">
            <w:pPr>
              <w:pStyle w:val="4"/>
              <w:jc w:val="left"/>
            </w:pPr>
            <w:r>
              <w:rPr>
                <w:rFonts w:ascii="仿宋_GB2312" w:hAnsi="仿宋_GB2312" w:eastAsia="仿宋_GB2312" w:cs="仿宋_GB2312"/>
              </w:rPr>
              <w:t>服务期限</w:t>
            </w:r>
          </w:p>
        </w:tc>
        <w:tc>
          <w:tcPr>
            <w:tcW w:w="5814" w:type="dxa"/>
          </w:tcPr>
          <w:p w14:paraId="5B80D1D9">
            <w:pPr>
              <w:pStyle w:val="4"/>
              <w:jc w:val="left"/>
            </w:pPr>
            <w:r>
              <w:rPr>
                <w:rFonts w:ascii="仿宋_GB2312" w:hAnsi="仿宋_GB2312" w:eastAsia="仿宋_GB2312" w:cs="仿宋_GB2312"/>
              </w:rPr>
              <w:t>2025年6月至8月完成全部服务工作。</w:t>
            </w:r>
          </w:p>
        </w:tc>
      </w:tr>
      <w:tr w14:paraId="0DBC8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0E6F84">
            <w:pPr>
              <w:pStyle w:val="4"/>
              <w:jc w:val="center"/>
            </w:pPr>
            <w:r>
              <w:rPr>
                <w:rFonts w:ascii="仿宋_GB2312" w:hAnsi="仿宋_GB2312" w:eastAsia="仿宋_GB2312" w:cs="仿宋_GB2312"/>
              </w:rPr>
              <w:t>2</w:t>
            </w:r>
          </w:p>
        </w:tc>
        <w:tc>
          <w:tcPr>
            <w:tcW w:w="581" w:type="dxa"/>
          </w:tcPr>
          <w:p w14:paraId="2E4A476E">
            <w:pPr>
              <w:pStyle w:val="4"/>
              <w:jc w:val="center"/>
            </w:pPr>
            <w:r>
              <w:rPr>
                <w:rFonts w:ascii="仿宋_GB2312" w:hAnsi="仿宋_GB2312" w:eastAsia="仿宋_GB2312" w:cs="仿宋_GB2312"/>
              </w:rPr>
              <w:t>★</w:t>
            </w:r>
          </w:p>
        </w:tc>
        <w:tc>
          <w:tcPr>
            <w:tcW w:w="1495" w:type="dxa"/>
          </w:tcPr>
          <w:p w14:paraId="4F55CB65">
            <w:pPr>
              <w:pStyle w:val="4"/>
              <w:jc w:val="left"/>
            </w:pPr>
            <w:r>
              <w:rPr>
                <w:rFonts w:ascii="仿宋_GB2312" w:hAnsi="仿宋_GB2312" w:eastAsia="仿宋_GB2312" w:cs="仿宋_GB2312"/>
              </w:rPr>
              <w:t>服务地点</w:t>
            </w:r>
          </w:p>
        </w:tc>
        <w:tc>
          <w:tcPr>
            <w:tcW w:w="5814" w:type="dxa"/>
          </w:tcPr>
          <w:p w14:paraId="13FF50D9">
            <w:pPr>
              <w:pStyle w:val="4"/>
              <w:jc w:val="left"/>
            </w:pPr>
            <w:r>
              <w:rPr>
                <w:rFonts w:ascii="仿宋_GB2312" w:hAnsi="仿宋_GB2312" w:eastAsia="仿宋_GB2312" w:cs="仿宋_GB2312"/>
              </w:rPr>
              <w:t>成都市龙泉驿区（采购人指定地点）。</w:t>
            </w:r>
          </w:p>
        </w:tc>
      </w:tr>
      <w:tr w14:paraId="14061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9BAF50">
            <w:pPr>
              <w:pStyle w:val="4"/>
              <w:jc w:val="center"/>
            </w:pPr>
            <w:r>
              <w:rPr>
                <w:rFonts w:ascii="仿宋_GB2312" w:hAnsi="仿宋_GB2312" w:eastAsia="仿宋_GB2312" w:cs="仿宋_GB2312"/>
              </w:rPr>
              <w:t>3</w:t>
            </w:r>
          </w:p>
        </w:tc>
        <w:tc>
          <w:tcPr>
            <w:tcW w:w="581" w:type="dxa"/>
          </w:tcPr>
          <w:p w14:paraId="0DB11C15">
            <w:pPr>
              <w:pStyle w:val="4"/>
              <w:jc w:val="center"/>
            </w:pPr>
            <w:r>
              <w:rPr>
                <w:rFonts w:ascii="仿宋_GB2312" w:hAnsi="仿宋_GB2312" w:eastAsia="仿宋_GB2312" w:cs="仿宋_GB2312"/>
              </w:rPr>
              <w:t>★</w:t>
            </w:r>
          </w:p>
        </w:tc>
        <w:tc>
          <w:tcPr>
            <w:tcW w:w="1495" w:type="dxa"/>
          </w:tcPr>
          <w:p w14:paraId="5186CCE7">
            <w:pPr>
              <w:pStyle w:val="4"/>
              <w:jc w:val="left"/>
            </w:pPr>
            <w:r>
              <w:rPr>
                <w:rFonts w:ascii="仿宋_GB2312" w:hAnsi="仿宋_GB2312" w:eastAsia="仿宋_GB2312" w:cs="仿宋_GB2312"/>
              </w:rPr>
              <w:t>验收、交付标准</w:t>
            </w:r>
            <w:bookmarkStart w:id="0" w:name="_GoBack"/>
            <w:bookmarkEnd w:id="0"/>
            <w:r>
              <w:rPr>
                <w:rFonts w:ascii="仿宋_GB2312" w:hAnsi="仿宋_GB2312" w:eastAsia="仿宋_GB2312" w:cs="仿宋_GB2312"/>
              </w:rPr>
              <w:t>和方法</w:t>
            </w:r>
          </w:p>
        </w:tc>
        <w:tc>
          <w:tcPr>
            <w:tcW w:w="5814" w:type="dxa"/>
          </w:tcPr>
          <w:p w14:paraId="4B1E1EB7">
            <w:pPr>
              <w:pStyle w:val="4"/>
              <w:jc w:val="left"/>
            </w:pPr>
            <w:r>
              <w:rPr>
                <w:rFonts w:ascii="仿宋_GB2312" w:hAnsi="仿宋_GB2312" w:eastAsia="仿宋_GB2312" w:cs="仿宋_GB2312"/>
              </w:rPr>
              <w:t>因系统固化原因，本项目“验收、交付标准和方法”以此为准，采购文件第二章2.6.6.履约验收方案中内容若与此处要求有冲突的，以此处要求为准： （1）验收组织方式：自行验收； （2）是否邀请本项目的其他供应商：否； （3）是否邀请专家：是； （4）是否邀请服务对象：否； （5）是否邀请第三方检测机构：否； （6）履约验收程序：分期/分段验收； （7）履约验收时间：采购人在收到成交人的验收申请材料后，每月30日之前完成该阶段履约验收工作； （8）验收组织的其他事项：本项目验收方式采取现场监测、专家评估方式进行； （9）技术履约验收内容：按照本项目采购文件中“技术要求”及成交人响应文件进行验收； （10）商务履约验收内容：按照本项目采购文件中“服务要求”“其他要求”及成交人响应文件进行验收； （11）履约验收标准：由采购人组织，严格按照《财政部关于进一步加强政府采购需求和履约验收管理的指导意见》（财库〔2016〕205号）相关规定执行； （12）履约验收其他事项：无。</w:t>
            </w:r>
          </w:p>
        </w:tc>
      </w:tr>
      <w:tr w14:paraId="5EAC0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369C08">
            <w:pPr>
              <w:pStyle w:val="4"/>
              <w:jc w:val="center"/>
            </w:pPr>
            <w:r>
              <w:rPr>
                <w:rFonts w:ascii="仿宋_GB2312" w:hAnsi="仿宋_GB2312" w:eastAsia="仿宋_GB2312" w:cs="仿宋_GB2312"/>
              </w:rPr>
              <w:t>4</w:t>
            </w:r>
          </w:p>
        </w:tc>
        <w:tc>
          <w:tcPr>
            <w:tcW w:w="581" w:type="dxa"/>
          </w:tcPr>
          <w:p w14:paraId="58D7C068">
            <w:pPr>
              <w:pStyle w:val="4"/>
              <w:jc w:val="center"/>
            </w:pPr>
            <w:r>
              <w:rPr>
                <w:rFonts w:ascii="仿宋_GB2312" w:hAnsi="仿宋_GB2312" w:eastAsia="仿宋_GB2312" w:cs="仿宋_GB2312"/>
              </w:rPr>
              <w:t>★</w:t>
            </w:r>
          </w:p>
        </w:tc>
        <w:tc>
          <w:tcPr>
            <w:tcW w:w="1495" w:type="dxa"/>
          </w:tcPr>
          <w:p w14:paraId="64ADD3CE">
            <w:pPr>
              <w:pStyle w:val="4"/>
              <w:jc w:val="left"/>
            </w:pPr>
            <w:r>
              <w:rPr>
                <w:rFonts w:ascii="仿宋_GB2312" w:hAnsi="仿宋_GB2312" w:eastAsia="仿宋_GB2312" w:cs="仿宋_GB2312"/>
              </w:rPr>
              <w:t>支付方式</w:t>
            </w:r>
          </w:p>
        </w:tc>
        <w:tc>
          <w:tcPr>
            <w:tcW w:w="5814" w:type="dxa"/>
          </w:tcPr>
          <w:p w14:paraId="0D41A982">
            <w:pPr>
              <w:pStyle w:val="4"/>
              <w:jc w:val="left"/>
            </w:pPr>
            <w:r>
              <w:rPr>
                <w:rFonts w:ascii="仿宋_GB2312" w:hAnsi="仿宋_GB2312" w:eastAsia="仿宋_GB2312" w:cs="仿宋_GB2312"/>
              </w:rPr>
              <w:t>分期付款</w:t>
            </w:r>
          </w:p>
        </w:tc>
      </w:tr>
      <w:tr w14:paraId="265D6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DA9D3A">
            <w:pPr>
              <w:pStyle w:val="4"/>
              <w:jc w:val="center"/>
            </w:pPr>
            <w:r>
              <w:rPr>
                <w:rFonts w:ascii="仿宋_GB2312" w:hAnsi="仿宋_GB2312" w:eastAsia="仿宋_GB2312" w:cs="仿宋_GB2312"/>
              </w:rPr>
              <w:t>5</w:t>
            </w:r>
          </w:p>
        </w:tc>
        <w:tc>
          <w:tcPr>
            <w:tcW w:w="581" w:type="dxa"/>
          </w:tcPr>
          <w:p w14:paraId="66558D8D"/>
        </w:tc>
        <w:tc>
          <w:tcPr>
            <w:tcW w:w="1495" w:type="dxa"/>
          </w:tcPr>
          <w:p w14:paraId="7BF4A58E">
            <w:pPr>
              <w:pStyle w:val="4"/>
              <w:jc w:val="left"/>
            </w:pPr>
            <w:r>
              <w:rPr>
                <w:rFonts w:ascii="仿宋_GB2312" w:hAnsi="仿宋_GB2312" w:eastAsia="仿宋_GB2312" w:cs="仿宋_GB2312"/>
              </w:rPr>
              <w:t>付款进度安排</w:t>
            </w:r>
          </w:p>
        </w:tc>
        <w:tc>
          <w:tcPr>
            <w:tcW w:w="5814" w:type="dxa"/>
          </w:tcPr>
          <w:p w14:paraId="7858D663">
            <w:pPr>
              <w:pStyle w:val="4"/>
              <w:jc w:val="left"/>
            </w:pPr>
            <w:r>
              <w:rPr>
                <w:rFonts w:ascii="仿宋_GB2312" w:hAnsi="仿宋_GB2312" w:eastAsia="仿宋_GB2312" w:cs="仿宋_GB2312"/>
              </w:rPr>
              <w:t>1、预付款，合同签订生效后，达到付款条件起10日内，支付合同总金额的40.00%</w:t>
            </w:r>
          </w:p>
          <w:p w14:paraId="73D35A5C">
            <w:pPr>
              <w:pStyle w:val="4"/>
              <w:jc w:val="left"/>
            </w:pPr>
            <w:r>
              <w:rPr>
                <w:rFonts w:ascii="仿宋_GB2312" w:hAnsi="仿宋_GB2312" w:eastAsia="仿宋_GB2312" w:cs="仿宋_GB2312"/>
              </w:rPr>
              <w:t>2、尾款，服务期满，成交人按照要求完成全部服务工作，经采购人验收合格结束后，达到付款条件起10日内，支付合同总金额的60.00%</w:t>
            </w:r>
          </w:p>
        </w:tc>
      </w:tr>
      <w:tr w14:paraId="303C1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D3C5FC">
            <w:pPr>
              <w:pStyle w:val="4"/>
              <w:jc w:val="center"/>
            </w:pPr>
            <w:r>
              <w:rPr>
                <w:rFonts w:ascii="仿宋_GB2312" w:hAnsi="仿宋_GB2312" w:eastAsia="仿宋_GB2312" w:cs="仿宋_GB2312"/>
              </w:rPr>
              <w:t>6</w:t>
            </w:r>
          </w:p>
        </w:tc>
        <w:tc>
          <w:tcPr>
            <w:tcW w:w="581" w:type="dxa"/>
          </w:tcPr>
          <w:p w14:paraId="15DDADCE">
            <w:pPr>
              <w:pStyle w:val="4"/>
              <w:jc w:val="center"/>
            </w:pPr>
            <w:r>
              <w:rPr>
                <w:rFonts w:ascii="仿宋_GB2312" w:hAnsi="仿宋_GB2312" w:eastAsia="仿宋_GB2312" w:cs="仿宋_GB2312"/>
              </w:rPr>
              <w:t>★</w:t>
            </w:r>
          </w:p>
        </w:tc>
        <w:tc>
          <w:tcPr>
            <w:tcW w:w="1495" w:type="dxa"/>
          </w:tcPr>
          <w:p w14:paraId="5DB28899">
            <w:pPr>
              <w:pStyle w:val="4"/>
              <w:jc w:val="left"/>
            </w:pPr>
            <w:r>
              <w:rPr>
                <w:rFonts w:ascii="仿宋_GB2312" w:hAnsi="仿宋_GB2312" w:eastAsia="仿宋_GB2312" w:cs="仿宋_GB2312"/>
              </w:rPr>
              <w:t>违约责任与解决争议的方法</w:t>
            </w:r>
          </w:p>
        </w:tc>
        <w:tc>
          <w:tcPr>
            <w:tcW w:w="5814" w:type="dxa"/>
          </w:tcPr>
          <w:p w14:paraId="78FBCC75">
            <w:pPr>
              <w:pStyle w:val="4"/>
              <w:jc w:val="left"/>
            </w:pPr>
            <w:r>
              <w:rPr>
                <w:rFonts w:ascii="仿宋_GB2312" w:hAnsi="仿宋_GB2312" w:eastAsia="仿宋_GB2312" w:cs="仿宋_GB2312"/>
              </w:rPr>
              <w:t>按本项目采购合同约定执行。</w:t>
            </w:r>
          </w:p>
        </w:tc>
      </w:tr>
    </w:tbl>
    <w:p w14:paraId="4FECCCAC">
      <w:pPr>
        <w:pStyle w:val="4"/>
        <w:jc w:val="left"/>
        <w:outlineLvl w:val="2"/>
      </w:pPr>
      <w:r>
        <w:rPr>
          <w:rFonts w:ascii="仿宋_GB2312" w:hAnsi="仿宋_GB2312" w:eastAsia="仿宋_GB2312" w:cs="仿宋_GB2312"/>
          <w:b/>
          <w:sz w:val="28"/>
        </w:rPr>
        <w:t>3.4.其他要求</w:t>
      </w:r>
    </w:p>
    <w:p w14:paraId="62851126">
      <w:pPr>
        <w:pStyle w:val="4"/>
        <w:ind w:firstLine="480"/>
        <w:jc w:val="left"/>
      </w:pPr>
      <w:r>
        <w:rPr>
          <w:rFonts w:ascii="仿宋_GB2312" w:hAnsi="仿宋_GB2312" w:eastAsia="仿宋_GB2312" w:cs="仿宋_GB2312"/>
        </w:rPr>
        <w:t>采购包1：</w:t>
      </w:r>
    </w:p>
    <w:p w14:paraId="6249D874">
      <w:pPr>
        <w:pStyle w:val="4"/>
        <w:jc w:val="left"/>
      </w:pPr>
      <w:r>
        <w:rPr>
          <w:rFonts w:ascii="仿宋_GB2312" w:hAnsi="仿宋_GB2312" w:eastAsia="仿宋_GB2312" w:cs="仿宋_GB2312"/>
        </w:rPr>
        <w:t>无。</w:t>
      </w:r>
    </w:p>
    <w:p w14:paraId="0DAF1A74">
      <w:pPr>
        <w:pStyle w:val="4"/>
        <w:jc w:val="left"/>
      </w:pPr>
      <w:r>
        <w:rPr>
          <w:rFonts w:ascii="仿宋_GB2312" w:hAnsi="仿宋_GB2312" w:eastAsia="仿宋_GB2312" w:cs="仿宋_GB2312"/>
        </w:rPr>
        <w:t>采购包2：</w:t>
      </w:r>
    </w:p>
    <w:p w14:paraId="19845A63">
      <w:pPr>
        <w:pStyle w:val="4"/>
        <w:jc w:val="left"/>
      </w:pPr>
      <w:r>
        <w:rPr>
          <w:rFonts w:ascii="仿宋_GB2312" w:hAnsi="仿宋_GB2312" w:eastAsia="仿宋_GB2312" w:cs="仿宋_GB2312"/>
        </w:rPr>
        <w:t>无。</w:t>
      </w:r>
    </w:p>
    <w:p w14:paraId="393317B2">
      <w:pPr>
        <w:pStyle w:val="4"/>
        <w:jc w:val="left"/>
      </w:pPr>
      <w:r>
        <w:rPr>
          <w:rFonts w:ascii="仿宋_GB2312" w:hAnsi="仿宋_GB2312" w:eastAsia="仿宋_GB2312" w:cs="仿宋_GB2312"/>
        </w:rPr>
        <w:t>采购包3：</w:t>
      </w:r>
    </w:p>
    <w:p w14:paraId="0BC9534B">
      <w:pPr>
        <w:pStyle w:val="4"/>
        <w:jc w:val="left"/>
      </w:pPr>
      <w:r>
        <w:rPr>
          <w:rFonts w:ascii="仿宋_GB2312" w:hAnsi="仿宋_GB2312" w:eastAsia="仿宋_GB2312" w:cs="仿宋_GB2312"/>
        </w:rPr>
        <w:t>无。</w:t>
      </w:r>
    </w:p>
    <w:p w14:paraId="71C891BF">
      <w:r>
        <w:rPr>
          <w:rFonts w:ascii="仿宋_GB2312" w:hAnsi="仿宋_GB2312" w:eastAsia="仿宋_GB2312" w:cs="仿宋_GB2312"/>
        </w:rPr>
        <w:t xml:space="preserve"> </w:t>
      </w:r>
      <w:r>
        <w:rPr>
          <w:rFonts w:ascii="仿宋_GB2312" w:hAnsi="仿宋_GB2312" w:eastAsia="仿宋_GB2312" w:cs="仿宋_GB231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E3141"/>
    <w:rsid w:val="5D8E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2025-06-03T03:14:00Z</dcterms:created>
  <dc:creator>任性的路人甲</dc:creator>
  <cp:lastModifiedBy>任性的路人甲</cp:lastModifiedBy>
  <dcterms:modified xsi:type="dcterms:W3CDTF">2025-06-03T03:15:07Z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5DBF757F194E44EFB8D809405CACB9F9_11</vt:lpwstr>
  </property>
  <property fmtid="{D5CDD505-2E9C-101B-9397-08002B2CF9AE}" pid="4" name="KSOTemplateDocerSaveRecord">
    <vt:lpwstr>eyJoZGlkIjoiODEyNjhhOThlZjI3MWI2ZWIzMjA2YTJhYTczNzE3M2UiLCJ1c2VySWQiOiIzNjMzMTQ4NTAifQ==</vt:lpwstr>
  </property>
</Properties>
</file>