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442000100-2025-00359</w:t>
      </w:r>
    </w:p>
    <w:p>
      <w:pPr>
        <w:pStyle w:val="null3"/>
        <w:jc w:val="center"/>
        <w:outlineLvl w:val="3"/>
      </w:pPr>
      <w:r>
        <w:rPr>
          <w:sz w:val="24"/>
          <w:b/>
        </w:rPr>
        <w:t>采购项目编号：</w:t>
      </w:r>
      <w:r>
        <w:rPr>
          <w:sz w:val="24"/>
          <w:b/>
        </w:rPr>
        <w:t>DC-2025008</w:t>
      </w:r>
    </w:p>
    <w:p>
      <w:pPr>
        <w:pStyle w:val="null3"/>
        <w:jc w:val="center"/>
        <w:outlineLvl w:val="3"/>
      </w:pPr>
      <w:r>
        <w:rPr>
          <w:sz w:val="24"/>
          <w:b/>
        </w:rPr>
        <w:t>项目名称：</w:t>
      </w:r>
      <w:r>
        <w:rPr>
          <w:sz w:val="24"/>
          <w:b/>
        </w:rPr>
        <w:t>小榄镇公共环境病媒生物防制服务采购项目</w:t>
      </w:r>
    </w:p>
    <w:p>
      <w:pPr>
        <w:pStyle w:val="null3"/>
        <w:jc w:val="center"/>
        <w:outlineLvl w:val="3"/>
      </w:pPr>
      <w:r>
        <w:rPr>
          <w:sz w:val="24"/>
          <w:b/>
        </w:rPr>
        <w:t>采购人：</w:t>
      </w:r>
      <w:r>
        <w:rPr>
          <w:sz w:val="24"/>
          <w:b/>
        </w:rPr>
        <w:t>中山市卫生健康局小榄分局</w:t>
      </w:r>
    </w:p>
    <w:p>
      <w:pPr>
        <w:pStyle w:val="null3"/>
        <w:jc w:val="center"/>
        <w:outlineLvl w:val="3"/>
      </w:pPr>
      <w:r>
        <w:rPr>
          <w:sz w:val="24"/>
          <w:b/>
        </w:rPr>
        <w:t>采购代理机构：</w:t>
      </w:r>
      <w:r>
        <w:rPr>
          <w:sz w:val="24"/>
          <w:b/>
        </w:rPr>
        <w:t>广东鼎程项目咨询有限公司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广东鼎程项目咨询有限公司</w:t>
      </w:r>
      <w:r>
        <w:rPr/>
        <w:t>受</w:t>
      </w:r>
      <w:r>
        <w:rPr/>
        <w:t>中山市卫生健康局小榄分局</w:t>
      </w:r>
      <w:r>
        <w:rPr/>
        <w:t>的委托，采用</w:t>
      </w:r>
      <w:r>
        <w:rPr/>
        <w:t>竞争性磋商</w:t>
      </w:r>
      <w:r>
        <w:rPr/>
        <w:t>方式组织采购</w:t>
      </w:r>
      <w:r>
        <w:rPr/>
        <w:t>小榄镇公共环境病媒生物防制服务采购项目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小榄镇公共环境病媒生物防制服务采购项目</w:t>
      </w:r>
    </w:p>
    <w:p>
      <w:pPr>
        <w:pStyle w:val="null3"/>
        <w:ind w:firstLine="480"/>
      </w:pPr>
      <w:r>
        <w:rPr/>
        <w:t>采购计划编号：</w:t>
      </w:r>
      <w:r>
        <w:rPr/>
        <w:t>442000100-2025-00359</w:t>
      </w:r>
    </w:p>
    <w:p>
      <w:pPr>
        <w:pStyle w:val="null3"/>
        <w:ind w:firstLine="480"/>
      </w:pPr>
      <w:r>
        <w:rPr/>
        <w:t>采购项目编号：</w:t>
      </w:r>
      <w:r>
        <w:rPr/>
        <w:t>DC-2025008</w:t>
      </w:r>
    </w:p>
    <w:p>
      <w:pPr>
        <w:pStyle w:val="null3"/>
        <w:ind w:firstLine="480"/>
      </w:pPr>
      <w:r>
        <w:rPr/>
        <w:t>采购方式：</w:t>
      </w:r>
      <w:r>
        <w:rPr/>
        <w:t>竞争性磋商</w:t>
      </w:r>
    </w:p>
    <w:p>
      <w:pPr>
        <w:pStyle w:val="null3"/>
        <w:ind w:firstLine="480"/>
      </w:pPr>
      <w:r>
        <w:rPr/>
        <w:t>预算金额：</w:t>
      </w:r>
      <w:r>
        <w:rPr/>
        <w:t>1,695,840.00</w:t>
      </w:r>
      <w:r>
        <w:rPr/>
        <w:t>元</w:t>
      </w:r>
    </w:p>
    <w:p>
      <w:pPr>
        <w:pStyle w:val="null3"/>
        <w:outlineLvl w:val="3"/>
      </w:pPr>
      <w:r>
        <w:rPr>
          <w:sz w:val="24"/>
          <w:b/>
        </w:rPr>
        <w:t>2.项目内容及需求情况（采购项目技术规格、参数及要求）</w:t>
      </w:r>
    </w:p>
    <w:p>
      <w:pPr>
        <w:pStyle w:val="null3"/>
      </w:pPr>
      <w:r>
        <w:rPr/>
        <w:t>采购包1(小榄镇公共环境病媒生物防制服务采购项目):</w:t>
      </w:r>
    </w:p>
    <w:p>
      <w:pPr>
        <w:pStyle w:val="null3"/>
      </w:pPr>
      <w:r>
        <w:rPr/>
        <w:t>采购包预算金额：1,695,840.00元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小榄镇公共环境病媒生物防制服务采购项目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合同履行期限：合同签订之日起1年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递交响应文件截止时间前6个月内任意1个月依法缴纳税收和社会保障资金的相关材料（如依法免税或不需要缴纳社会保障资金的，提供相应证明材料）或提供《政府采购供应商资格信用承诺函》（格式详见公告附件），若供应商同时提供承诺函和证明材料的，资格审查时以证明材料为准。</w:t>
      </w:r>
    </w:p>
    <w:p>
      <w:pPr>
        <w:pStyle w:val="null3"/>
      </w:pPr>
      <w:r>
        <w:rPr/>
        <w:t>3）具有良好的商业信誉和健全的财务会计制度：供应商必须具有良好的商业信誉和健全的财务会计制度（提供2024年度财务状况报告或提供递交响应文件截止时间前6个月内任意1个月的财务报表复印件或基本开户行出具的资信证明）或提供《政府采购供应商资格信用承诺函》（格式详见公告附件），若供应商同时提供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需同时提供设备和专业技术能力（人员）两类信息）。</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政府采购供应商资格信用承诺函》（格式详见公告附件）。</w:t>
      </w:r>
    </w:p>
    <w:p>
      <w:pPr>
        <w:pStyle w:val="null3"/>
        <w:outlineLvl w:val="3"/>
      </w:pPr>
      <w:r>
        <w:rPr>
          <w:sz w:val="24"/>
          <w:b/>
        </w:rPr>
        <w:t>2.落实政府采购政策需满足的资格要求：</w:t>
      </w:r>
    </w:p>
    <w:p>
      <w:pPr>
        <w:pStyle w:val="null3"/>
        <w:jc w:val="left"/>
      </w:pPr>
      <w:r>
        <w:rPr/>
        <w:t>采购包1（小榄镇公共环境病媒生物防制服务采购项目）：</w:t>
      </w:r>
      <w:r>
        <w:rPr/>
        <w:t>参与的供应商（联合体）服务全部由符合政策要求的中小企业承接。本项目属于专门面向中小企业采购的项目，供应商须符合本项目所属行业(其他未列明行业)政策划型标准的中小企业。监狱企业、残疾人福利单位视同小型、微型企业。注:中小企业以供应商填写的《中小企业声明函(工程、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采购包1（小榄镇公共环境病媒生物防制服务采购项目）：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中山市卫生健康局小榄分局</w:t>
      </w:r>
    </w:p>
    <w:p>
      <w:pPr>
        <w:pStyle w:val="null3"/>
        <w:ind w:firstLine="480"/>
      </w:pPr>
      <w:r>
        <w:rPr/>
        <w:t>地址：</w:t>
      </w:r>
      <w:r>
        <w:rPr/>
        <w:t>中山市小榄镇升平中路8号2号楼2楼 203 室</w:t>
      </w:r>
    </w:p>
    <w:p>
      <w:pPr>
        <w:pStyle w:val="null3"/>
        <w:ind w:firstLine="480"/>
      </w:pPr>
      <w:r>
        <w:rPr/>
        <w:t>联系方式：</w:t>
      </w:r>
      <w:r>
        <w:rPr/>
        <w:t>0760-22113110</w:t>
      </w:r>
    </w:p>
    <w:p>
      <w:pPr>
        <w:pStyle w:val="null3"/>
        <w:outlineLvl w:val="3"/>
      </w:pPr>
      <w:r>
        <w:rPr>
          <w:sz w:val="24"/>
          <w:b/>
        </w:rPr>
        <w:t>2.采购代理机构信息</w:t>
      </w:r>
    </w:p>
    <w:p>
      <w:pPr>
        <w:pStyle w:val="null3"/>
        <w:ind w:firstLine="480"/>
      </w:pPr>
      <w:r>
        <w:rPr/>
        <w:t>名称：</w:t>
      </w:r>
      <w:r>
        <w:rPr/>
        <w:t>广东鼎程项目咨询有限公司</w:t>
      </w:r>
    </w:p>
    <w:p>
      <w:pPr>
        <w:pStyle w:val="null3"/>
        <w:ind w:firstLine="480"/>
      </w:pPr>
      <w:r>
        <w:rPr/>
        <w:t xml:space="preserve"> 地址：</w:t>
      </w:r>
      <w:r>
        <w:rPr/>
        <w:t>中山市东区博爱六路大鳌溪商业楼第3栋第6层616室</w:t>
      </w:r>
    </w:p>
    <w:p>
      <w:pPr>
        <w:pStyle w:val="null3"/>
        <w:ind w:firstLine="480"/>
      </w:pPr>
      <w:r>
        <w:rPr/>
        <w:t xml:space="preserve"> 联系方式：</w:t>
      </w:r>
      <w:r>
        <w:rPr/>
        <w:t>0760-88885590</w:t>
      </w:r>
    </w:p>
    <w:p>
      <w:pPr>
        <w:pStyle w:val="null3"/>
        <w:outlineLvl w:val="3"/>
      </w:pPr>
      <w:r>
        <w:rPr>
          <w:sz w:val="24"/>
          <w:b/>
        </w:rPr>
        <w:t xml:space="preserve"> 3.项目联系方式</w:t>
      </w:r>
    </w:p>
    <w:p>
      <w:pPr>
        <w:pStyle w:val="null3"/>
        <w:ind w:firstLine="480"/>
      </w:pPr>
      <w:r>
        <w:rPr/>
        <w:t xml:space="preserve"> 项目联系人：</w:t>
      </w:r>
      <w:r>
        <w:rPr/>
        <w:t>李雪霞</w:t>
      </w:r>
    </w:p>
    <w:p>
      <w:pPr>
        <w:pStyle w:val="null3"/>
        <w:ind w:firstLine="480"/>
      </w:pPr>
      <w:r>
        <w:rPr/>
        <w:t xml:space="preserve"> 电话：</w:t>
      </w:r>
      <w:r>
        <w:rPr/>
        <w:t>0760-88885590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广东鼎程项目咨询有限公司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（一）总则</w:t>
      </w:r>
    </w:p>
    <w:p>
      <w:pPr>
        <w:pStyle w:val="null3"/>
        <w:jc w:val="left"/>
      </w:pPr>
      <w:r>
        <w:rPr>
          <w:sz w:val="21"/>
        </w:rPr>
        <w:t>1.本项目预算金额为</w:t>
      </w:r>
      <w:r>
        <w:rPr>
          <w:sz w:val="21"/>
        </w:rPr>
        <w:t>1695840.00</w:t>
      </w:r>
      <w:r>
        <w:rPr>
          <w:sz w:val="21"/>
        </w:rPr>
        <w:t>元，</w:t>
      </w:r>
      <w:r>
        <w:rPr>
          <w:sz w:val="21"/>
        </w:rPr>
        <w:t>供应商</w:t>
      </w:r>
      <w:r>
        <w:rPr>
          <w:sz w:val="21"/>
        </w:rPr>
        <w:t>投标报价不得高于预算金额，否则视为无效投标。</w:t>
      </w:r>
    </w:p>
    <w:p>
      <w:pPr>
        <w:pStyle w:val="null3"/>
        <w:jc w:val="left"/>
      </w:pPr>
      <w:r>
        <w:rPr>
          <w:sz w:val="21"/>
        </w:rPr>
        <w:t>2.</w:t>
      </w:r>
      <w:r>
        <w:rPr>
          <w:sz w:val="21"/>
        </w:rPr>
        <w:t>供应商</w:t>
      </w:r>
      <w:r>
        <w:rPr>
          <w:sz w:val="21"/>
        </w:rPr>
        <w:t>必须对所投项目的全部内容进行投标，不允许只对所投项目的部分内容进行投标。</w:t>
      </w:r>
    </w:p>
    <w:p>
      <w:pPr>
        <w:pStyle w:val="null3"/>
        <w:jc w:val="left"/>
      </w:pPr>
      <w:r>
        <w:rPr>
          <w:sz w:val="21"/>
        </w:rPr>
        <w:t>3.投标报价已包含完成本项目所需的人力成本、设备成本、利润、税金、交通中产生的任何费用及其他相关费用等，采购人将不予支付其它额外费用。</w:t>
      </w:r>
    </w:p>
    <w:p>
      <w:pPr>
        <w:pStyle w:val="null3"/>
        <w:jc w:val="left"/>
      </w:pPr>
      <w:r>
        <w:rPr>
          <w:sz w:val="21"/>
        </w:rPr>
        <w:t>4.</w:t>
      </w:r>
      <w:r>
        <w:rPr>
          <w:sz w:val="21"/>
        </w:rPr>
        <w:t>成交供应商</w:t>
      </w:r>
      <w:r>
        <w:rPr>
          <w:sz w:val="21"/>
        </w:rPr>
        <w:t>应承担及负责</w:t>
      </w:r>
      <w:r>
        <w:rPr>
          <w:sz w:val="21"/>
        </w:rPr>
        <w:t>磋商文件</w:t>
      </w:r>
      <w:r>
        <w:rPr>
          <w:sz w:val="21"/>
        </w:rPr>
        <w:t>对</w:t>
      </w:r>
      <w:r>
        <w:rPr>
          <w:sz w:val="21"/>
        </w:rPr>
        <w:t>成交供应商</w:t>
      </w:r>
      <w:r>
        <w:rPr>
          <w:sz w:val="21"/>
        </w:rPr>
        <w:t>要求的一切事宜及责任。</w:t>
      </w:r>
    </w:p>
    <w:p>
      <w:pPr>
        <w:pStyle w:val="null3"/>
        <w:jc w:val="left"/>
      </w:pPr>
      <w:r>
        <w:rPr>
          <w:sz w:val="21"/>
        </w:rPr>
        <w:t>5.</w:t>
      </w:r>
      <w:r>
        <w:rPr>
          <w:sz w:val="21"/>
        </w:rPr>
        <w:t>成交供应商</w:t>
      </w:r>
      <w:r>
        <w:rPr>
          <w:sz w:val="21"/>
        </w:rPr>
        <w:t>不得再以任何方式转包或未经采购人同意分包本项目。</w:t>
      </w:r>
    </w:p>
    <w:p>
      <w:pPr>
        <w:pStyle w:val="null3"/>
        <w:jc w:val="left"/>
      </w:pPr>
      <w:r>
        <w:rPr>
          <w:sz w:val="21"/>
        </w:rPr>
        <w:t>6.打“★”号条款为实质性条款，若有任何一条负偏离或不满足则导致投标无效。</w:t>
      </w:r>
    </w:p>
    <w:p>
      <w:pPr>
        <w:pStyle w:val="null3"/>
        <w:jc w:val="left"/>
      </w:pPr>
      <w:r>
        <w:rPr>
          <w:sz w:val="21"/>
        </w:rPr>
        <w:t>7.打“▲”号条款为重要技术参数（如有），若有部分“▲”条款未响应或不满足，将根据评审要求影响其得分，但不作为无效投标条款。</w:t>
      </w:r>
    </w:p>
    <w:p>
      <w:pPr>
        <w:pStyle w:val="null3"/>
        <w:jc w:val="both"/>
      </w:pPr>
      <w:r>
        <w:rPr>
          <w:sz w:val="21"/>
          <w:b/>
        </w:rPr>
        <w:t>（二）项目基本要求</w:t>
      </w:r>
    </w:p>
    <w:p>
      <w:pPr>
        <w:pStyle w:val="null3"/>
        <w:ind w:firstLine="420"/>
        <w:jc w:val="both"/>
      </w:pPr>
      <w:r>
        <w:rPr>
          <w:sz w:val="21"/>
        </w:rPr>
        <w:t>1、具体服务范围为：道路明细详见</w:t>
      </w:r>
      <w:r>
        <w:rPr>
          <w:sz w:val="21"/>
        </w:rPr>
        <w:t>《附件</w:t>
      </w:r>
      <w:r>
        <w:rPr>
          <w:sz w:val="21"/>
        </w:rPr>
        <w:t>1:小榄镇除四害路段明细表》</w:t>
      </w:r>
      <w:r>
        <w:rPr>
          <w:sz w:val="21"/>
        </w:rPr>
        <w:t>。</w:t>
      </w:r>
    </w:p>
    <w:p>
      <w:pPr>
        <w:pStyle w:val="null3"/>
        <w:ind w:firstLine="420"/>
        <w:jc w:val="both"/>
      </w:pPr>
      <w:r>
        <w:rPr>
          <w:sz w:val="21"/>
        </w:rPr>
        <w:t>主要服务内容为外环境、指定单位的室内外，全部执行有害生物</w:t>
      </w:r>
      <w:r>
        <w:rPr>
          <w:sz w:val="21"/>
        </w:rPr>
        <w:t>(鼠、蚊、蝇、蟑螂)防制工作。（注：外环境包括特殊场所周边100米范围内，道路中间及两旁30米区域范围内的绿化带、杂草地及小块空地，公共场所绿化带，下水道，空置屋，河岸边，空地，杂草地，路边垃圾桶和临时垃圾收集点、卫生死角等。）</w:t>
      </w:r>
    </w:p>
    <w:p>
      <w:pPr>
        <w:pStyle w:val="null3"/>
        <w:jc w:val="center"/>
      </w:pPr>
      <w:r>
        <w:rPr>
          <w:sz w:val="21"/>
        </w:rPr>
        <w:t>道路明细及公共场所明细表</w:t>
      </w:r>
      <w:r>
        <w:rPr>
          <w:sz w:val="21"/>
        </w:rPr>
        <w:t>1.1</w:t>
      </w:r>
    </w:p>
    <w:tbl>
      <w:tblPr>
        <w:tblW w:w="0" w:type="auto"/>
        <w:tblBorders>
          <w:top w:val="none" w:color="000000" w:sz="4"/>
          <w:left w:val="none" w:color="000000" w:sz="4"/>
          <w:bottom w:val="none" w:color="000000" w:sz="4"/>
          <w:right w:val="none" w:color="000000" w:sz="4"/>
          <w:insideH w:val="none"/>
          <w:insideV w:val="none"/>
        </w:tblBorders>
      </w:tblPr>
      <w:tblGrid>
        <w:gridCol w:w="746"/>
        <w:gridCol w:w="6191"/>
        <w:gridCol w:w="1354"/>
      </w:tblGrid>
      <w:tr>
        <w:tc>
          <w:tcPr>
            <w:tcW w:type="dxa" w:w="74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序号</w:t>
            </w:r>
          </w:p>
        </w:tc>
        <w:tc>
          <w:tcPr>
            <w:tcW w:type="dxa" w:w="619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具体区域或地段</w:t>
            </w:r>
          </w:p>
        </w:tc>
        <w:tc>
          <w:tcPr>
            <w:tcW w:type="dxa" w:w="135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防制对象</w:t>
            </w:r>
          </w:p>
        </w:tc>
      </w:tr>
      <w:tr>
        <w:tc>
          <w:tcPr>
            <w:tcW w:type="dxa" w:w="7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6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b/>
              </w:rPr>
              <w:t>附件</w:t>
            </w:r>
            <w:r>
              <w:rPr>
                <w:sz w:val="21"/>
                <w:b/>
              </w:rPr>
              <w:t>1</w:t>
            </w:r>
            <w:r>
              <w:rPr>
                <w:sz w:val="21"/>
                <w:b/>
              </w:rPr>
              <w:t>：小榄镇除四害路段明细表</w:t>
            </w:r>
            <w:r>
              <w:rPr>
                <w:sz w:val="21"/>
                <w:b/>
              </w:rPr>
              <w:t>。</w:t>
            </w:r>
          </w:p>
        </w:tc>
        <w:tc>
          <w:tcPr>
            <w:tcW w:type="dxa" w:w="13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外环境</w:t>
            </w:r>
          </w:p>
        </w:tc>
      </w:tr>
      <w:tr>
        <w:tc>
          <w:tcPr>
            <w:tcW w:type="dxa" w:w="7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6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龙山公园、江滨公园、凤山公园、圆榄山文化公园、</w:t>
            </w:r>
            <w:r>
              <w:rPr>
                <w:sz w:val="21"/>
              </w:rPr>
              <w:t>升平</w:t>
            </w:r>
            <w:r>
              <w:rPr>
                <w:sz w:val="21"/>
              </w:rPr>
              <w:t>公园、儿童公园、旭日公园、东升公园、隐秀寺、小榄车站、体育馆、民安南五金城路口河涌、民安南本田路口河涌、家居装饰中心周边、东升文化广场、高沙垃圾中转站、旭日广场垃圾中转站、坦背垃圾中转站、轻轨站附近空地及高架桥底的绿化带等。</w:t>
            </w:r>
          </w:p>
        </w:tc>
        <w:tc>
          <w:tcPr>
            <w:tcW w:type="dxa" w:w="13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外环境</w:t>
            </w:r>
          </w:p>
        </w:tc>
      </w:tr>
      <w:tr>
        <w:tc>
          <w:tcPr>
            <w:tcW w:type="dxa" w:w="7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6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政府大院、人社分局、综合行政执法局、退伍军人服务中心、第二办公区、综合服务中心（东升人社分局）、综合行政执法局第二办公区、市场监管分局。</w:t>
            </w:r>
          </w:p>
        </w:tc>
        <w:tc>
          <w:tcPr>
            <w:tcW w:type="dxa" w:w="13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室内外环境</w:t>
            </w:r>
          </w:p>
        </w:tc>
      </w:tr>
      <w:tr>
        <w:tc>
          <w:tcPr>
            <w:tcW w:type="dxa" w:w="7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6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表格第</w:t>
            </w:r>
            <w:r>
              <w:rPr>
                <w:sz w:val="21"/>
              </w:rPr>
              <w:t>2点公园内公厕、</w:t>
            </w:r>
            <w:r>
              <w:rPr>
                <w:sz w:val="21"/>
                <w:b/>
              </w:rPr>
              <w:t>附件：</w:t>
            </w:r>
            <w:r>
              <w:rPr>
                <w:sz w:val="21"/>
                <w:b/>
              </w:rPr>
              <w:t>2公厕明细</w:t>
            </w:r>
            <w:r>
              <w:rPr>
                <w:sz w:val="21"/>
              </w:rPr>
              <w:t>。</w:t>
            </w:r>
          </w:p>
        </w:tc>
        <w:tc>
          <w:tcPr>
            <w:tcW w:type="dxa" w:w="13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内外环境</w:t>
            </w:r>
          </w:p>
        </w:tc>
      </w:tr>
    </w:tbl>
    <w:p>
      <w:pPr>
        <w:pStyle w:val="null3"/>
      </w:pPr>
      <w:r>
        <w:rPr/>
        <w:t>采购包1（小榄镇公共环境病媒生物防制服务采购项目）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合同签订之日起1年</w:t>
            </w:r>
          </w:p>
        </w:tc>
      </w:tr>
      <w:tr>
        <w:tc>
          <w:tcPr>
            <w:tcW w:type="dxa" w:w="4153"/>
          </w:tcPr>
          <w:p>
            <w:pPr>
              <w:pStyle w:val="null3"/>
            </w:pPr>
            <w:r>
              <w:rPr/>
              <w:t>标的提供的地点</w:t>
            </w:r>
          </w:p>
        </w:tc>
        <w:tc>
          <w:tcPr>
            <w:tcW w:type="dxa" w:w="4153"/>
          </w:tcPr>
          <w:p>
            <w:pPr>
              <w:pStyle w:val="null3"/>
            </w:pPr>
            <w:r>
              <w:rPr/>
              <w:t>采购人指定的地点</w:t>
            </w:r>
          </w:p>
        </w:tc>
      </w:tr>
      <w:tr/>
      <w:tr/>
      <w:tr>
        <w:tc>
          <w:tcPr>
            <w:tcW w:type="dxa" w:w="4153"/>
          </w:tcPr>
          <w:p>
            <w:pPr>
              <w:pStyle w:val="null3"/>
            </w:pPr>
            <w:r>
              <w:rPr/>
              <w:t>付款方式</w:t>
            </w:r>
          </w:p>
        </w:tc>
        <w:tc>
          <w:tcPr>
            <w:tcW w:type="dxa" w:w="4153"/>
          </w:tcPr>
          <w:p>
            <w:pPr>
              <w:pStyle w:val="null3"/>
            </w:pPr>
            <w:r>
              <w:rPr/>
              <w:t>第1期为(进度款)：支付比例100%，1.本项目不设预付款。2.本项目分四期支付，每期为一个季度，每个季度结算一次。采用下季度支付上季度方式进行支付，采购人在收到有效发票之日起30个日历天内一次性支付成交供应商当次申请的服务费。 成交供应商在向采购人申请支付合同款项时，应先按付款数额向采购人开具符合国家法律法规和标准的税务发票，采购人收到合格发票后予以支付相应款项。未按时开具有效发票导致延迟支付的由成交供应商自行承担。 3.如有按规定扣罚的款项，成交供应商应按采购人要求缴纳处罚金，方可申请当季的服务费用。4.付款形式：银行转账。 注：因所有款项均由镇财政拨款，需政府审批同意后支付。拨款未能及时到位，中标供应商不得以此为由而不履行（或不完全履行）本合同规定的义务。</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1期：采购人与成交供应商将依据磋商文件要求和响应文件承诺对本项目进行验收。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其他，供应商在响应文件中可列明在项目实施过程中要求采购人提供的配合条件，所列配合条件采购人将尽量配合解决，但不代表采购人全部接受，采购人有权全部或部分拒绝供应商提出的配合条件。</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小榄镇公共环境病媒生物防制服务采购项目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1,695,840.00</w:t>
            </w:r>
          </w:p>
        </w:tc>
        <w:tc>
          <w:tcPr>
            <w:tcW w:type="dxa" w:w="933"/>
          </w:tcPr>
          <w:p>
            <w:pPr>
              <w:pStyle w:val="null3"/>
              <w:jc w:val="right"/>
            </w:pPr>
            <w:r>
              <w:rPr/>
              <w:t>1,695,840.00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小榄镇公共环境病媒生物防制服务采购项目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1.服务内容</w:t>
            </w:r>
          </w:p>
          <w:tbl>
            <w:tblPr>
              <w:tblInd w:type="dxa" w:w="120"/>
              <w:tblBorders>
                <w:top w:val="none" w:color="000000" w:sz="4"/>
                <w:left w:val="none" w:color="000000" w:sz="4"/>
                <w:bottom w:val="none" w:color="000000" w:sz="4"/>
                <w:right w:val="none" w:color="000000" w:sz="4"/>
                <w:insideH w:val="none"/>
                <w:insideV w:val="none"/>
              </w:tblBorders>
            </w:tblPr>
            <w:tblGrid>
              <w:gridCol w:w="1005"/>
              <w:gridCol w:w="3333"/>
              <w:gridCol w:w="1259"/>
            </w:tblGrid>
            <w:tr>
              <w:tc>
                <w:tcPr>
                  <w:tcW w:type="dxa" w:w="100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服务</w:t>
                  </w:r>
                </w:p>
                <w:p>
                  <w:pPr>
                    <w:pStyle w:val="null3"/>
                    <w:jc w:val="center"/>
                  </w:pPr>
                  <w:r>
                    <w:rPr>
                      <w:sz w:val="21"/>
                    </w:rPr>
                    <w:t>项目</w:t>
                  </w:r>
                </w:p>
              </w:tc>
              <w:tc>
                <w:tcPr>
                  <w:tcW w:type="dxa" w:w="333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服务内容</w:t>
                  </w:r>
                </w:p>
              </w:tc>
              <w:tc>
                <w:tcPr>
                  <w:tcW w:type="dxa" w:w="125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服务要求</w:t>
                  </w:r>
                </w:p>
              </w:tc>
            </w:tr>
            <w:tr>
              <w:tc>
                <w:tcPr>
                  <w:tcW w:type="dxa" w:w="100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灭鼠</w:t>
                  </w:r>
                </w:p>
              </w:tc>
              <w:tc>
                <w:tcPr>
                  <w:tcW w:type="dxa" w:w="3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w:t>
                  </w:r>
                  <w:r>
                    <w:rPr>
                      <w:sz w:val="21"/>
                    </w:rPr>
                    <w:t>1）服务范围内要饱和投放灭鼠药。</w:t>
                  </w:r>
                </w:p>
              </w:tc>
              <w:tc>
                <w:tcPr>
                  <w:tcW w:type="dxa" w:w="12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1005"/>
                  <w:vMerge/>
                  <w:tcBorders>
                    <w:top w:val="none" w:color="000000" w:sz="4"/>
                    <w:left w:val="single" w:color="000000" w:sz="4"/>
                    <w:bottom w:val="single" w:color="000000" w:sz="4"/>
                    <w:right w:val="single" w:color="000000" w:sz="4"/>
                  </w:tcBorders>
                </w:tcPr>
                <w:p/>
              </w:tc>
              <w:tc>
                <w:tcPr>
                  <w:tcW w:type="dxa" w:w="3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w:t>
                  </w:r>
                  <w:r>
                    <w:rPr>
                      <w:sz w:val="21"/>
                    </w:rPr>
                    <w:t>2）公共环境每月检查鼠迹，发现鼠迹立即清理并及时按常规投放和补充毒饵。</w:t>
                  </w:r>
                </w:p>
              </w:tc>
              <w:tc>
                <w:tcPr>
                  <w:tcW w:type="dxa" w:w="12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1005"/>
                  <w:vMerge/>
                  <w:tcBorders>
                    <w:top w:val="none" w:color="000000" w:sz="4"/>
                    <w:left w:val="single" w:color="000000" w:sz="4"/>
                    <w:bottom w:val="single" w:color="000000" w:sz="4"/>
                    <w:right w:val="single" w:color="000000" w:sz="4"/>
                  </w:tcBorders>
                </w:tcPr>
                <w:p/>
              </w:tc>
              <w:tc>
                <w:tcPr>
                  <w:tcW w:type="dxa" w:w="3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w:t>
                  </w:r>
                  <w:r>
                    <w:rPr>
                      <w:sz w:val="21"/>
                    </w:rPr>
                    <w:t>3）每月监测鼠情，按常规投药和补投药。特殊场所邻近周边如食品加工场所、农贸市场等。</w:t>
                  </w:r>
                </w:p>
              </w:tc>
              <w:tc>
                <w:tcPr>
                  <w:tcW w:type="dxa" w:w="12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1005"/>
                  <w:vMerge/>
                  <w:tcBorders>
                    <w:top w:val="none" w:color="000000" w:sz="4"/>
                    <w:left w:val="single" w:color="000000" w:sz="4"/>
                    <w:bottom w:val="single" w:color="000000" w:sz="4"/>
                    <w:right w:val="single" w:color="000000" w:sz="4"/>
                  </w:tcBorders>
                </w:tcPr>
                <w:p/>
              </w:tc>
              <w:tc>
                <w:tcPr>
                  <w:tcW w:type="dxa" w:w="3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w:t>
                  </w:r>
                  <w:r>
                    <w:rPr>
                      <w:sz w:val="21"/>
                    </w:rPr>
                    <w:t>4）住宅小区、待建工地每季度入户问鼠情1次</w:t>
                  </w:r>
                </w:p>
              </w:tc>
              <w:tc>
                <w:tcPr>
                  <w:tcW w:type="dxa" w:w="12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每季度</w:t>
                  </w:r>
                  <w:r>
                    <w:rPr>
                      <w:sz w:val="21"/>
                    </w:rPr>
                    <w:t>1次</w:t>
                  </w:r>
                </w:p>
              </w:tc>
            </w:tr>
            <w:tr>
              <w:tc>
                <w:tcPr>
                  <w:tcW w:type="dxa" w:w="1005"/>
                  <w:vMerge/>
                  <w:tcBorders>
                    <w:top w:val="none" w:color="000000" w:sz="4"/>
                    <w:left w:val="single" w:color="000000" w:sz="4"/>
                    <w:bottom w:val="single" w:color="000000" w:sz="4"/>
                    <w:right w:val="single" w:color="000000" w:sz="4"/>
                  </w:tcBorders>
                </w:tcPr>
                <w:p/>
              </w:tc>
              <w:tc>
                <w:tcPr>
                  <w:tcW w:type="dxa" w:w="3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w:t>
                  </w:r>
                  <w:r>
                    <w:rPr>
                      <w:sz w:val="21"/>
                    </w:rPr>
                    <w:t>5）每季度按国家考核标准对鼠密度进行监测。</w:t>
                  </w:r>
                </w:p>
              </w:tc>
              <w:tc>
                <w:tcPr>
                  <w:tcW w:type="dxa" w:w="12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每季度</w:t>
                  </w:r>
                  <w:r>
                    <w:rPr>
                      <w:sz w:val="21"/>
                    </w:rPr>
                    <w:t>1次</w:t>
                  </w:r>
                </w:p>
              </w:tc>
            </w:tr>
            <w:tr>
              <w:tc>
                <w:tcPr>
                  <w:tcW w:type="dxa" w:w="100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灭蚊</w:t>
                  </w:r>
                </w:p>
              </w:tc>
              <w:tc>
                <w:tcPr>
                  <w:tcW w:type="dxa" w:w="3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w:t>
                  </w:r>
                  <w:r>
                    <w:rPr>
                      <w:sz w:val="21"/>
                    </w:rPr>
                    <w:t>1）大、中型水体（养殖水体除外）每旬检查一次，发现有蚊幼虫孳生立即施药处理。</w:t>
                  </w:r>
                </w:p>
              </w:tc>
              <w:tc>
                <w:tcPr>
                  <w:tcW w:type="dxa" w:w="12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每旬</w:t>
                  </w:r>
                  <w:r>
                    <w:rPr>
                      <w:sz w:val="21"/>
                    </w:rPr>
                    <w:t>1次</w:t>
                  </w:r>
                </w:p>
              </w:tc>
            </w:tr>
            <w:tr>
              <w:tc>
                <w:tcPr>
                  <w:tcW w:type="dxa" w:w="1005"/>
                  <w:vMerge/>
                  <w:tcBorders>
                    <w:top w:val="none" w:color="000000" w:sz="4"/>
                    <w:left w:val="single" w:color="000000" w:sz="4"/>
                    <w:bottom w:val="single" w:color="000000" w:sz="4"/>
                    <w:right w:val="single" w:color="000000" w:sz="4"/>
                  </w:tcBorders>
                </w:tcPr>
                <w:p/>
              </w:tc>
              <w:tc>
                <w:tcPr>
                  <w:tcW w:type="dxa" w:w="3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w:t>
                  </w:r>
                  <w:r>
                    <w:rPr>
                      <w:sz w:val="21"/>
                    </w:rPr>
                    <w:t>2）服务范围下水道沙井，每井吊挂</w:t>
                  </w:r>
                  <w:r>
                    <w:rPr>
                      <w:sz w:val="21"/>
                    </w:rPr>
                    <w:t>（或投放）</w:t>
                  </w:r>
                  <w:r>
                    <w:rPr>
                      <w:sz w:val="21"/>
                    </w:rPr>
                    <w:t>含</w:t>
                  </w:r>
                  <w:r>
                    <w:rPr>
                      <w:sz w:val="21"/>
                    </w:rPr>
                    <w:t>10克倍硫磷缓释剂（或其它相当剂量的灭蚊幼药物）1包，每月检查更换一次；防蚊闸或存水弯管吊挂</w:t>
                  </w:r>
                  <w:r>
                    <w:rPr>
                      <w:sz w:val="21"/>
                    </w:rPr>
                    <w:t>（或投放）</w:t>
                  </w:r>
                  <w:r>
                    <w:rPr>
                      <w:sz w:val="21"/>
                    </w:rPr>
                    <w:t>含</w:t>
                  </w:r>
                  <w:r>
                    <w:rPr>
                      <w:sz w:val="21"/>
                    </w:rPr>
                    <w:t>10克倍硫磷缓释剂（或其它相当剂量的灭蚊幼药物）1包，每月检查更换一次，控制蚊幼虫孳生。</w:t>
                  </w:r>
                </w:p>
              </w:tc>
              <w:tc>
                <w:tcPr>
                  <w:tcW w:type="dxa" w:w="12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1005"/>
                  <w:vMerge/>
                  <w:tcBorders>
                    <w:top w:val="none" w:color="000000" w:sz="4"/>
                    <w:left w:val="single" w:color="000000" w:sz="4"/>
                    <w:bottom w:val="single" w:color="000000" w:sz="4"/>
                    <w:right w:val="single" w:color="000000" w:sz="4"/>
                  </w:tcBorders>
                </w:tcPr>
                <w:p/>
              </w:tc>
              <w:tc>
                <w:tcPr>
                  <w:tcW w:type="dxa" w:w="3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w:t>
                  </w:r>
                  <w:r>
                    <w:rPr>
                      <w:sz w:val="21"/>
                    </w:rPr>
                    <w:t>3）清理外环境各种小积水，或施药处理。</w:t>
                  </w:r>
                </w:p>
              </w:tc>
              <w:tc>
                <w:tcPr>
                  <w:tcW w:type="dxa" w:w="12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1005"/>
                  <w:vMerge/>
                  <w:tcBorders>
                    <w:top w:val="none" w:color="000000" w:sz="4"/>
                    <w:left w:val="single" w:color="000000" w:sz="4"/>
                    <w:bottom w:val="single" w:color="000000" w:sz="4"/>
                    <w:right w:val="single" w:color="000000" w:sz="4"/>
                  </w:tcBorders>
                </w:tcPr>
                <w:p/>
              </w:tc>
              <w:tc>
                <w:tcPr>
                  <w:tcW w:type="dxa" w:w="3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w:t>
                  </w:r>
                  <w:r>
                    <w:rPr>
                      <w:sz w:val="21"/>
                    </w:rPr>
                    <w:t>4）政府大院、人社分局、综合行政执法局、退伍军人服务中心、第二办公区、综合服务中心（东升人社分局）、综合行政执法局第二办公区、市场监管分局室内外每月2次全面喷杀成蚊、机械烟薰下水道、检查治理孳生地。</w:t>
                  </w:r>
                </w:p>
              </w:tc>
              <w:tc>
                <w:tcPr>
                  <w:tcW w:type="dxa" w:w="12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每月</w:t>
                  </w:r>
                  <w:r>
                    <w:rPr>
                      <w:sz w:val="21"/>
                    </w:rPr>
                    <w:t>2次</w:t>
                  </w:r>
                </w:p>
              </w:tc>
            </w:tr>
            <w:tr>
              <w:tc>
                <w:tcPr>
                  <w:tcW w:type="dxa" w:w="1005"/>
                  <w:vMerge/>
                  <w:tcBorders>
                    <w:top w:val="none" w:color="000000" w:sz="4"/>
                    <w:left w:val="single" w:color="000000" w:sz="4"/>
                    <w:bottom w:val="single" w:color="000000" w:sz="4"/>
                    <w:right w:val="single" w:color="000000" w:sz="4"/>
                  </w:tcBorders>
                </w:tcPr>
                <w:p/>
              </w:tc>
              <w:tc>
                <w:tcPr>
                  <w:tcW w:type="dxa" w:w="3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w:t>
                  </w:r>
                  <w:r>
                    <w:rPr>
                      <w:sz w:val="21"/>
                    </w:rPr>
                    <w:t>5）公共场所绿化带、下水道、空置屋、空置地、河涌两岸、杂草地、路边垃圾桶和临时垃圾收集点等每月2次全面喷杀成蚊、机械烟薰下水道、检查治理孳生地。</w:t>
                  </w:r>
                </w:p>
              </w:tc>
              <w:tc>
                <w:tcPr>
                  <w:tcW w:type="dxa" w:w="12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每月</w:t>
                  </w:r>
                  <w:r>
                    <w:rPr>
                      <w:sz w:val="21"/>
                    </w:rPr>
                    <w:t>2次</w:t>
                  </w:r>
                </w:p>
              </w:tc>
            </w:tr>
            <w:tr>
              <w:tc>
                <w:tcPr>
                  <w:tcW w:type="dxa" w:w="1005"/>
                  <w:vMerge/>
                  <w:tcBorders>
                    <w:top w:val="none" w:color="000000" w:sz="4"/>
                    <w:left w:val="single" w:color="000000" w:sz="4"/>
                    <w:bottom w:val="single" w:color="000000" w:sz="4"/>
                    <w:right w:val="single" w:color="000000" w:sz="4"/>
                  </w:tcBorders>
                </w:tcPr>
                <w:p/>
              </w:tc>
              <w:tc>
                <w:tcPr>
                  <w:tcW w:type="dxa" w:w="3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w:t>
                  </w:r>
                  <w:r>
                    <w:rPr>
                      <w:sz w:val="21"/>
                    </w:rPr>
                    <w:t>6）每季度按国家考核标准对蚊密度进行监测。</w:t>
                  </w:r>
                </w:p>
              </w:tc>
              <w:tc>
                <w:tcPr>
                  <w:tcW w:type="dxa" w:w="12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每季度</w:t>
                  </w:r>
                  <w:r>
                    <w:rPr>
                      <w:sz w:val="21"/>
                    </w:rPr>
                    <w:t>1次</w:t>
                  </w:r>
                </w:p>
              </w:tc>
            </w:tr>
            <w:tr>
              <w:tc>
                <w:tcPr>
                  <w:tcW w:type="dxa" w:w="100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灭蝇</w:t>
                  </w:r>
                </w:p>
              </w:tc>
              <w:tc>
                <w:tcPr>
                  <w:tcW w:type="dxa" w:w="3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w:t>
                  </w:r>
                  <w:r>
                    <w:rPr>
                      <w:sz w:val="21"/>
                    </w:rPr>
                    <w:t>1）服务范围垃圾中转站、垃圾屋、垃圾池、垃圾桶、垃圾车及卫生死角、垃圾堆，每月喷药一次。</w:t>
                  </w:r>
                </w:p>
              </w:tc>
              <w:tc>
                <w:tcPr>
                  <w:tcW w:type="dxa" w:w="12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1005"/>
                  <w:vMerge/>
                  <w:tcBorders>
                    <w:top w:val="none" w:color="000000" w:sz="4"/>
                    <w:left w:val="single" w:color="000000" w:sz="4"/>
                    <w:bottom w:val="single" w:color="000000" w:sz="4"/>
                    <w:right w:val="single" w:color="000000" w:sz="4"/>
                  </w:tcBorders>
                </w:tcPr>
                <w:p/>
              </w:tc>
              <w:tc>
                <w:tcPr>
                  <w:tcW w:type="dxa" w:w="3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w:t>
                  </w:r>
                  <w:r>
                    <w:rPr>
                      <w:sz w:val="21"/>
                    </w:rPr>
                    <w:t>2）农贸市场等特殊场所周边邻近100米范围内，每月滞留喷洒灭蝇一次。</w:t>
                  </w:r>
                </w:p>
              </w:tc>
              <w:tc>
                <w:tcPr>
                  <w:tcW w:type="dxa" w:w="12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1005"/>
                  <w:vMerge/>
                  <w:tcBorders>
                    <w:top w:val="none" w:color="000000" w:sz="4"/>
                    <w:left w:val="single" w:color="000000" w:sz="4"/>
                    <w:bottom w:val="single" w:color="000000" w:sz="4"/>
                    <w:right w:val="single" w:color="000000" w:sz="4"/>
                  </w:tcBorders>
                </w:tcPr>
                <w:p/>
              </w:tc>
              <w:tc>
                <w:tcPr>
                  <w:tcW w:type="dxa" w:w="3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w:t>
                  </w:r>
                  <w:r>
                    <w:rPr>
                      <w:sz w:val="21"/>
                    </w:rPr>
                    <w:t>3）每季度按国家考核标准对成蝇密度进行监测。</w:t>
                  </w:r>
                </w:p>
              </w:tc>
              <w:tc>
                <w:tcPr>
                  <w:tcW w:type="dxa" w:w="12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每季度</w:t>
                  </w:r>
                  <w:r>
                    <w:rPr>
                      <w:sz w:val="21"/>
                    </w:rPr>
                    <w:t>1次</w:t>
                  </w:r>
                </w:p>
              </w:tc>
            </w:tr>
            <w:tr>
              <w:tc>
                <w:tcPr>
                  <w:tcW w:type="dxa" w:w="100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灭蟑螂</w:t>
                  </w:r>
                </w:p>
              </w:tc>
              <w:tc>
                <w:tcPr>
                  <w:tcW w:type="dxa" w:w="3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w:t>
                  </w:r>
                  <w:r>
                    <w:rPr>
                      <w:sz w:val="21"/>
                    </w:rPr>
                    <w:t>1）农贸市场等特殊场所周边邻近100米范围内公共环境，每月喷药灭蟑检查蟑迹。</w:t>
                  </w:r>
                </w:p>
              </w:tc>
              <w:tc>
                <w:tcPr>
                  <w:tcW w:type="dxa" w:w="12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1005"/>
                  <w:vMerge/>
                  <w:tcBorders>
                    <w:top w:val="none" w:color="000000" w:sz="4"/>
                    <w:left w:val="single" w:color="000000" w:sz="4"/>
                    <w:bottom w:val="single" w:color="000000" w:sz="4"/>
                    <w:right w:val="single" w:color="000000" w:sz="4"/>
                  </w:tcBorders>
                </w:tcPr>
                <w:p/>
              </w:tc>
              <w:tc>
                <w:tcPr>
                  <w:tcW w:type="dxa" w:w="3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w:t>
                  </w:r>
                  <w:r>
                    <w:rPr>
                      <w:sz w:val="21"/>
                    </w:rPr>
                    <w:t>2）服务范围公共场所的所有下水道，每月进行机械热烟雾薰杀灭蟑一次。</w:t>
                  </w:r>
                </w:p>
              </w:tc>
              <w:tc>
                <w:tcPr>
                  <w:tcW w:type="dxa" w:w="12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1005"/>
                  <w:vMerge/>
                  <w:tcBorders>
                    <w:top w:val="none" w:color="000000" w:sz="4"/>
                    <w:left w:val="single" w:color="000000" w:sz="4"/>
                    <w:bottom w:val="single" w:color="000000" w:sz="4"/>
                    <w:right w:val="single" w:color="000000" w:sz="4"/>
                  </w:tcBorders>
                </w:tcPr>
                <w:p/>
              </w:tc>
              <w:tc>
                <w:tcPr>
                  <w:tcW w:type="dxa" w:w="3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w:t>
                  </w:r>
                  <w:r>
                    <w:rPr>
                      <w:sz w:val="21"/>
                    </w:rPr>
                    <w:t>3）每季度按国家考核标准对蟑螂密度进行监测。</w:t>
                  </w:r>
                </w:p>
              </w:tc>
              <w:tc>
                <w:tcPr>
                  <w:tcW w:type="dxa" w:w="12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每季度</w:t>
                  </w:r>
                  <w:r>
                    <w:rPr>
                      <w:sz w:val="21"/>
                    </w:rPr>
                    <w:t>1次</w:t>
                  </w:r>
                </w:p>
              </w:tc>
            </w:tr>
            <w:tr>
              <w:tc>
                <w:tcPr>
                  <w:tcW w:type="dxa" w:w="100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其他</w:t>
                  </w:r>
                </w:p>
              </w:tc>
              <w:tc>
                <w:tcPr>
                  <w:tcW w:type="dxa" w:w="3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w:t>
                  </w:r>
                  <w:r>
                    <w:rPr>
                      <w:sz w:val="21"/>
                    </w:rPr>
                    <w:t>1）每季度向居民住户调查问询四害情况，每片区问询住户不少于20户，免费向各社区、市民宣传四害防治知识和进行技术指导。</w:t>
                  </w:r>
                </w:p>
              </w:tc>
              <w:tc>
                <w:tcPr>
                  <w:tcW w:type="dxa" w:w="12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每季度</w:t>
                  </w:r>
                  <w:r>
                    <w:rPr>
                      <w:sz w:val="21"/>
                    </w:rPr>
                    <w:t>1次</w:t>
                  </w:r>
                </w:p>
              </w:tc>
            </w:tr>
            <w:tr>
              <w:tc>
                <w:tcPr>
                  <w:tcW w:type="dxa" w:w="1005"/>
                  <w:vMerge/>
                  <w:tcBorders>
                    <w:top w:val="none" w:color="000000" w:sz="4"/>
                    <w:left w:val="single" w:color="000000" w:sz="4"/>
                    <w:bottom w:val="single" w:color="000000" w:sz="4"/>
                    <w:right w:val="single" w:color="000000" w:sz="4"/>
                  </w:tcBorders>
                </w:tcPr>
                <w:p/>
              </w:tc>
              <w:tc>
                <w:tcPr>
                  <w:tcW w:type="dxa" w:w="3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w:t>
                  </w:r>
                  <w:r>
                    <w:rPr>
                      <w:sz w:val="21"/>
                    </w:rPr>
                    <w:t>2）每季度按政府要求提供季度工作总结。</w:t>
                  </w:r>
                </w:p>
              </w:tc>
              <w:tc>
                <w:tcPr>
                  <w:tcW w:type="dxa" w:w="12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每季度</w:t>
                  </w:r>
                  <w:r>
                    <w:rPr>
                      <w:sz w:val="21"/>
                    </w:rPr>
                    <w:t>1次</w:t>
                  </w:r>
                </w:p>
              </w:tc>
            </w:tr>
            <w:tr>
              <w:tc>
                <w:tcPr>
                  <w:tcW w:type="dxa" w:w="1005"/>
                  <w:vMerge/>
                  <w:tcBorders>
                    <w:top w:val="none" w:color="000000" w:sz="4"/>
                    <w:left w:val="single" w:color="000000" w:sz="4"/>
                    <w:bottom w:val="single" w:color="000000" w:sz="4"/>
                    <w:right w:val="single" w:color="000000" w:sz="4"/>
                  </w:tcBorders>
                </w:tcPr>
                <w:p/>
              </w:tc>
              <w:tc>
                <w:tcPr>
                  <w:tcW w:type="dxa" w:w="459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根据采购人要求，对以下健康教育宣传栏、巩卫广告牌进行定期更新（含设计、拆装），内容、材质、更新时间由采购人指定，如遇破损，及时更换（破损更换不纳入更新次数）。</w:t>
                  </w:r>
                </w:p>
              </w:tc>
            </w:tr>
            <w:tr>
              <w:tc>
                <w:tcPr>
                  <w:tcW w:type="dxa" w:w="10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健康教育宣传位置及尺寸</w:t>
                  </w:r>
                </w:p>
              </w:tc>
              <w:tc>
                <w:tcPr>
                  <w:tcW w:type="dxa" w:w="3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第二办公区围墙：</w:t>
                  </w:r>
                  <w:r>
                    <w:rPr>
                      <w:sz w:val="21"/>
                    </w:rPr>
                    <w:t>6.7m*1.2m，东华路宣传栏：5.1m*1.5m，东升图书馆宣传栏：5m*1.35m。</w:t>
                  </w:r>
                </w:p>
              </w:tc>
              <w:tc>
                <w:tcPr>
                  <w:tcW w:type="dxa" w:w="125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每一个季度更新一次</w:t>
                  </w:r>
                </w:p>
              </w:tc>
            </w:tr>
            <w:tr>
              <w:tc>
                <w:tcPr>
                  <w:tcW w:type="dxa" w:w="10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巩卫广告牌位置及尺寸</w:t>
                  </w:r>
                </w:p>
              </w:tc>
              <w:tc>
                <w:tcPr>
                  <w:tcW w:type="dxa" w:w="3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原中永加油站：</w:t>
                  </w:r>
                  <w:r>
                    <w:rPr>
                      <w:sz w:val="21"/>
                    </w:rPr>
                    <w:t>15.9m*7m，原西区加油站：15.1m*6。</w:t>
                  </w:r>
                </w:p>
              </w:tc>
              <w:tc>
                <w:tcPr>
                  <w:tcW w:type="dxa" w:w="12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每年更新</w:t>
                  </w:r>
                  <w:r>
                    <w:rPr>
                      <w:sz w:val="21"/>
                    </w:rPr>
                    <w:t>2次</w:t>
                  </w:r>
                </w:p>
              </w:tc>
            </w:tr>
            <w:tr>
              <w:tc>
                <w:tcPr>
                  <w:tcW w:type="dxa" w:w="10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其他巩卫宣传喷画、横幅</w:t>
                  </w:r>
                </w:p>
              </w:tc>
              <w:tc>
                <w:tcPr>
                  <w:tcW w:type="dxa" w:w="3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按采购人要求制作</w:t>
                  </w:r>
                  <w:r>
                    <w:rPr>
                      <w:sz w:val="21"/>
                    </w:rPr>
                    <w:t>(含设计、拆装)宣传喷画、横幅，</w:t>
                  </w:r>
                </w:p>
                <w:p>
                  <w:pPr>
                    <w:pStyle w:val="null3"/>
                    <w:jc w:val="left"/>
                  </w:pPr>
                  <w:r>
                    <w:rPr>
                      <w:sz w:val="21"/>
                    </w:rPr>
                    <w:t>内容、位置、材质由采购人指定</w:t>
                  </w:r>
                </w:p>
              </w:tc>
              <w:tc>
                <w:tcPr>
                  <w:tcW w:type="dxa" w:w="12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总面积不超过</w:t>
                  </w:r>
                </w:p>
                <w:p>
                  <w:pPr>
                    <w:pStyle w:val="null3"/>
                    <w:jc w:val="center"/>
                  </w:pPr>
                  <w:r>
                    <w:rPr>
                      <w:sz w:val="21"/>
                    </w:rPr>
                    <w:t>250平方米</w:t>
                  </w:r>
                </w:p>
              </w:tc>
            </w:tr>
            <w:tr>
              <w:tc>
                <w:tcPr>
                  <w:tcW w:type="dxa" w:w="10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业务培训</w:t>
                  </w:r>
                </w:p>
              </w:tc>
              <w:tc>
                <w:tcPr>
                  <w:tcW w:type="dxa" w:w="3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每年组织省市专家开展病媒生物防制知识培训班，所邀请专家需经采购人同意，培训时间、培训主要内容由采购人指定。</w:t>
                  </w:r>
                </w:p>
              </w:tc>
              <w:tc>
                <w:tcPr>
                  <w:tcW w:type="dxa" w:w="12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一年至少一次</w:t>
                  </w:r>
                </w:p>
              </w:tc>
            </w:tr>
          </w:tbl>
          <w:p/>
        </w:tc>
      </w:tr>
      <w:tr>
        <w:tc>
          <w:tcPr>
            <w:tcW w:type="dxa" w:w="2076"/>
          </w:tcPr>
          <w:p/>
        </w:tc>
        <w:tc>
          <w:tcPr>
            <w:tcW w:type="dxa" w:w="415"/>
          </w:tcPr>
          <w:p>
            <w:pPr>
              <w:pStyle w:val="null3"/>
            </w:pPr>
            <w:r>
              <w:rPr/>
              <w:t>2</w:t>
            </w:r>
          </w:p>
        </w:tc>
        <w:tc>
          <w:tcPr>
            <w:tcW w:type="dxa" w:w="5814"/>
          </w:tcPr>
          <w:p>
            <w:pPr>
              <w:pStyle w:val="null3"/>
              <w:jc w:val="both"/>
            </w:pPr>
            <w:r>
              <w:rPr>
                <w:sz w:val="21"/>
              </w:rPr>
              <w:t>2.项目要求</w:t>
            </w:r>
          </w:p>
          <w:p>
            <w:pPr>
              <w:pStyle w:val="null3"/>
              <w:jc w:val="both"/>
            </w:pPr>
            <w:r>
              <w:rPr>
                <w:sz w:val="21"/>
              </w:rPr>
              <w:t>(1)针对本项目的服务范围和需求，应投入不小于12人开展工作，作业人员必须购买社保，且为法定工作年龄内，不得聘用超龄人员作业。</w:t>
            </w:r>
            <w:r>
              <w:rPr>
                <w:sz w:val="21"/>
              </w:rPr>
              <w:t>响应文件</w:t>
            </w:r>
            <w:r>
              <w:rPr>
                <w:sz w:val="21"/>
              </w:rPr>
              <w:t>应提供</w:t>
            </w:r>
            <w:r>
              <w:rPr>
                <w:sz w:val="21"/>
              </w:rPr>
              <w:t>供应商</w:t>
            </w:r>
            <w:r>
              <w:rPr>
                <w:sz w:val="21"/>
              </w:rPr>
              <w:t>为其购买的（</w:t>
            </w:r>
            <w:r>
              <w:rPr>
                <w:sz w:val="21"/>
              </w:rPr>
              <w:t>2025年0</w:t>
            </w:r>
            <w:r>
              <w:rPr>
                <w:sz w:val="21"/>
              </w:rPr>
              <w:t>2</w:t>
            </w:r>
            <w:r>
              <w:rPr>
                <w:sz w:val="21"/>
              </w:rPr>
              <w:t>月</w:t>
            </w:r>
            <w:r>
              <w:rPr>
                <w:sz w:val="21"/>
              </w:rPr>
              <w:t>-0</w:t>
            </w:r>
            <w:r>
              <w:rPr>
                <w:sz w:val="21"/>
              </w:rPr>
              <w:t>4</w:t>
            </w:r>
            <w:r>
              <w:rPr>
                <w:sz w:val="21"/>
              </w:rPr>
              <w:t>月</w:t>
            </w:r>
            <w:r>
              <w:rPr>
                <w:sz w:val="21"/>
              </w:rPr>
              <w:t>）社保证明复印件并加盖公章</w:t>
            </w:r>
            <w:r>
              <w:rPr>
                <w:sz w:val="21"/>
              </w:rPr>
              <w:t>。</w:t>
            </w:r>
          </w:p>
          <w:p>
            <w:pPr>
              <w:pStyle w:val="null3"/>
              <w:jc w:val="both"/>
            </w:pPr>
            <w:r>
              <w:rPr>
                <w:sz w:val="21"/>
              </w:rPr>
              <w:t>(2)针对本项目的服务范围和需求，投入设备基本配置数量及要求应达到下表要求（</w:t>
            </w:r>
            <w:r>
              <w:rPr>
                <w:sz w:val="21"/>
              </w:rPr>
              <w:t>响应文件</w:t>
            </w:r>
            <w:r>
              <w:rPr>
                <w:sz w:val="21"/>
              </w:rPr>
              <w:t>中应按下表要求提供相关证明材料复印件并加盖公章，内容需要清晰容易辨认）：</w:t>
            </w:r>
          </w:p>
          <w:tbl>
            <w:tblPr>
              <w:tblBorders>
                <w:top w:val="none" w:color="000000" w:sz="4"/>
                <w:left w:val="none" w:color="000000" w:sz="4"/>
                <w:bottom w:val="none" w:color="000000" w:sz="4"/>
                <w:right w:val="none" w:color="000000" w:sz="4"/>
                <w:insideH w:val="none"/>
                <w:insideV w:val="none"/>
              </w:tblBorders>
            </w:tblPr>
            <w:tblGrid>
              <w:gridCol w:w="547"/>
              <w:gridCol w:w="1442"/>
              <w:gridCol w:w="2631"/>
              <w:gridCol w:w="979"/>
            </w:tblGrid>
            <w:tr>
              <w:tc>
                <w:tcPr>
                  <w:tcW w:type="dxa" w:w="54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序号</w:t>
                  </w:r>
                </w:p>
              </w:tc>
              <w:tc>
                <w:tcPr>
                  <w:tcW w:type="dxa" w:w="144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设备名称</w:t>
                  </w:r>
                </w:p>
              </w:tc>
              <w:tc>
                <w:tcPr>
                  <w:tcW w:type="dxa" w:w="263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要求</w:t>
                  </w:r>
                </w:p>
              </w:tc>
              <w:tc>
                <w:tcPr>
                  <w:tcW w:type="dxa" w:w="97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数量</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超低容量喷雾机</w:t>
                  </w:r>
                </w:p>
              </w:tc>
              <w:tc>
                <w:tcPr>
                  <w:tcW w:type="dxa" w:w="2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提供每台设备的实物照片和</w:t>
                  </w:r>
                  <w:r>
                    <w:rPr>
                      <w:sz w:val="21"/>
                    </w:rPr>
                    <w:t>供应商</w:t>
                  </w:r>
                  <w:r>
                    <w:rPr>
                      <w:sz w:val="21"/>
                    </w:rPr>
                    <w:t>购买的有效发票复印件</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不少于</w:t>
                  </w:r>
                  <w:r>
                    <w:rPr>
                      <w:sz w:val="21"/>
                    </w:rPr>
                    <w:t>8台</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机动或电动喷雾机（打药机）</w:t>
                  </w:r>
                </w:p>
              </w:tc>
              <w:tc>
                <w:tcPr>
                  <w:tcW w:type="dxa" w:w="2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提供每台设备的实物照片和</w:t>
                  </w:r>
                  <w:r>
                    <w:rPr>
                      <w:sz w:val="21"/>
                    </w:rPr>
                    <w:t>供应商</w:t>
                  </w:r>
                  <w:r>
                    <w:rPr>
                      <w:sz w:val="21"/>
                    </w:rPr>
                    <w:t>购买的有效发票复印件</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不少于</w:t>
                  </w:r>
                  <w:r>
                    <w:rPr>
                      <w:sz w:val="21"/>
                    </w:rPr>
                    <w:t>10台</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热烟雾机</w:t>
                  </w:r>
                </w:p>
              </w:tc>
              <w:tc>
                <w:tcPr>
                  <w:tcW w:type="dxa" w:w="2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提供每台设备的实物照片和</w:t>
                  </w:r>
                  <w:r>
                    <w:rPr>
                      <w:sz w:val="21"/>
                    </w:rPr>
                    <w:t>供应商</w:t>
                  </w:r>
                  <w:r>
                    <w:rPr>
                      <w:sz w:val="21"/>
                    </w:rPr>
                    <w:t>购买的有效发票复印件</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不少于</w:t>
                  </w:r>
                  <w:r>
                    <w:rPr>
                      <w:sz w:val="21"/>
                    </w:rPr>
                    <w:t>8台</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机动车辆</w:t>
                  </w:r>
                </w:p>
              </w:tc>
              <w:tc>
                <w:tcPr>
                  <w:tcW w:type="dxa" w:w="2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提供每辆车辆的实物照片及车辆行驶证复印，且车辆须在有效检验期内</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不少于</w:t>
                  </w:r>
                  <w:r>
                    <w:rPr>
                      <w:sz w:val="21"/>
                    </w:rPr>
                    <w:t>6辆</w:t>
                  </w:r>
                </w:p>
              </w:tc>
            </w:tr>
          </w:tbl>
          <w:p>
            <w:pPr>
              <w:pStyle w:val="null3"/>
              <w:jc w:val="both"/>
            </w:pPr>
            <w:r>
              <w:rPr>
                <w:sz w:val="21"/>
              </w:rPr>
              <w:t>(3)</w:t>
            </w:r>
            <w:r>
              <w:rPr>
                <w:sz w:val="21"/>
                <w:b/>
              </w:rPr>
              <w:t>★</w:t>
            </w:r>
            <w:r>
              <w:rPr>
                <w:sz w:val="21"/>
                <w:b/>
              </w:rPr>
              <w:t>供应商</w:t>
            </w:r>
            <w:r>
              <w:rPr>
                <w:sz w:val="21"/>
                <w:b/>
              </w:rPr>
              <w:t>成交后须在合同签订后</w:t>
            </w:r>
            <w:r>
              <w:rPr>
                <w:sz w:val="21"/>
                <w:b/>
              </w:rPr>
              <w:t>30天内，在小榄镇范围内设置办公场所和仓库（办公场所和仓库合计面积不少于100平方米），如遇突发情况，工作人员须在接到采购人电话通知，30分钟内到达现场。</w:t>
            </w:r>
          </w:p>
          <w:p>
            <w:pPr>
              <w:pStyle w:val="null3"/>
              <w:jc w:val="both"/>
            </w:pPr>
            <w:r>
              <w:rPr>
                <w:sz w:val="21"/>
              </w:rPr>
              <w:t>(4)服务范围辖区每居村定点必须设诱蚊产卵器10个，每7天监测一次，</w:t>
            </w:r>
            <w:r>
              <w:rPr>
                <w:sz w:val="21"/>
              </w:rPr>
              <w:t>供应商</w:t>
            </w:r>
            <w:r>
              <w:rPr>
                <w:sz w:val="21"/>
              </w:rPr>
              <w:t>需记录在案。</w:t>
            </w:r>
          </w:p>
          <w:p>
            <w:pPr>
              <w:pStyle w:val="null3"/>
              <w:jc w:val="both"/>
            </w:pPr>
            <w:r>
              <w:rPr>
                <w:sz w:val="21"/>
              </w:rPr>
              <w:t>(5)科学用药，</w:t>
            </w:r>
            <w:r>
              <w:rPr>
                <w:sz w:val="21"/>
              </w:rPr>
              <w:t>供应商</w:t>
            </w:r>
            <w:r>
              <w:rPr>
                <w:sz w:val="21"/>
              </w:rPr>
              <w:t>必须采用中山市除害消毒管理站或疾控部门建议使用的防治药物，不得使用国家禁用或伪劣的灭鼠、杀虫剂，若因管理操作引起的一切责任由</w:t>
            </w:r>
            <w:r>
              <w:rPr>
                <w:sz w:val="21"/>
              </w:rPr>
              <w:t>供应商</w:t>
            </w:r>
            <w:r>
              <w:rPr>
                <w:sz w:val="21"/>
              </w:rPr>
              <w:t>负责。每次全部作业完毕进行集中清点，药瓶等废弃物进行集中无害化处理。</w:t>
            </w:r>
          </w:p>
          <w:p>
            <w:pPr>
              <w:pStyle w:val="null3"/>
              <w:jc w:val="both"/>
            </w:pPr>
            <w:r>
              <w:rPr>
                <w:sz w:val="21"/>
              </w:rPr>
              <w:t>(6)防治药品及相关器械的使用按国家有关部门指定的最新标准执行，农药产品质量标准书、农药登记证、农药生产许可证（或农药生产批准证书）并报备给采购人。</w:t>
            </w:r>
          </w:p>
          <w:p>
            <w:pPr>
              <w:pStyle w:val="null3"/>
              <w:jc w:val="both"/>
            </w:pPr>
            <w:r>
              <w:rPr>
                <w:sz w:val="21"/>
              </w:rPr>
              <w:t>(7)</w:t>
            </w:r>
            <w:r>
              <w:rPr>
                <w:sz w:val="21"/>
              </w:rPr>
              <w:t>供应商</w:t>
            </w:r>
            <w:r>
              <w:rPr>
                <w:sz w:val="21"/>
              </w:rPr>
              <w:t>聘请员工必须按照《中华人民共和国劳动法》等法律法规进行，并对所聘用员工进行严格管理，对他们的行为负全责，如在服务期内发生劳资纠纷、意外（生病、伤亡事故）或违反合同规定、触犯国家法律、与第三方发生纠纷、诉讼的，由</w:t>
            </w:r>
            <w:r>
              <w:rPr>
                <w:sz w:val="21"/>
              </w:rPr>
              <w:t>供应商</w:t>
            </w:r>
            <w:r>
              <w:rPr>
                <w:sz w:val="21"/>
              </w:rPr>
              <w:t>承担全部责任及因此产生的一切费用。</w:t>
            </w:r>
          </w:p>
          <w:p>
            <w:pPr>
              <w:pStyle w:val="null3"/>
              <w:jc w:val="both"/>
            </w:pPr>
            <w:r>
              <w:rPr>
                <w:sz w:val="21"/>
              </w:rPr>
              <w:t>(8)</w:t>
            </w:r>
            <w:r>
              <w:rPr>
                <w:sz w:val="21"/>
              </w:rPr>
              <w:t>供应商</w:t>
            </w:r>
            <w:r>
              <w:rPr>
                <w:sz w:val="21"/>
              </w:rPr>
              <w:t>须为作业人员配备相应的防护用品，作业人员必须穿着按采购人统一审定的图案、色泽及格式制作的工作服（含雨衣），保持衣冠整洁，阴天或夜间作业必须穿着反光衣，用品和服装购买费用由</w:t>
            </w:r>
            <w:r>
              <w:rPr>
                <w:sz w:val="21"/>
              </w:rPr>
              <w:t>供应商</w:t>
            </w:r>
            <w:r>
              <w:rPr>
                <w:sz w:val="21"/>
              </w:rPr>
              <w:t>承担。</w:t>
            </w:r>
          </w:p>
          <w:p>
            <w:pPr>
              <w:pStyle w:val="null3"/>
              <w:jc w:val="both"/>
            </w:pPr>
            <w:r>
              <w:rPr>
                <w:sz w:val="21"/>
              </w:rPr>
              <w:t>(9)</w:t>
            </w:r>
            <w:r>
              <w:rPr>
                <w:sz w:val="21"/>
              </w:rPr>
              <w:t>供应商</w:t>
            </w:r>
            <w:r>
              <w:rPr>
                <w:sz w:val="21"/>
              </w:rPr>
              <w:t>应做好服务人员档案管理资料，做好工作记录，建立施药服务卡，做好资料收集，整理归档。如采购人有需要必须随时提供。</w:t>
            </w:r>
          </w:p>
          <w:p>
            <w:pPr>
              <w:pStyle w:val="null3"/>
              <w:jc w:val="both"/>
            </w:pPr>
            <w:r>
              <w:rPr>
                <w:sz w:val="21"/>
              </w:rPr>
              <w:t>(10)按采购人要求做好各种规范的公共环境消杀监测记录，制定科学的年度、季度公共环境消杀工作计划，包括技术方案、工作方法、用药计划等。每季度10号前将上季度的实施质量和工作情况向采购人作书面报告。</w:t>
            </w:r>
          </w:p>
          <w:p>
            <w:pPr>
              <w:pStyle w:val="null3"/>
              <w:jc w:val="both"/>
            </w:pPr>
            <w:r>
              <w:rPr>
                <w:sz w:val="21"/>
              </w:rPr>
              <w:t>(11)在服务期内，采购人没有增加服务内容，而</w:t>
            </w:r>
            <w:r>
              <w:rPr>
                <w:sz w:val="21"/>
              </w:rPr>
              <w:t>供应商</w:t>
            </w:r>
            <w:r>
              <w:rPr>
                <w:sz w:val="21"/>
              </w:rPr>
              <w:t>自行增加工作人员的，所增加的费用由</w:t>
            </w:r>
            <w:r>
              <w:rPr>
                <w:sz w:val="21"/>
              </w:rPr>
              <w:t>供应商</w:t>
            </w:r>
            <w:r>
              <w:rPr>
                <w:sz w:val="21"/>
              </w:rPr>
              <w:t>自行负责。</w:t>
            </w:r>
          </w:p>
          <w:p>
            <w:pPr>
              <w:pStyle w:val="null3"/>
              <w:jc w:val="both"/>
            </w:pPr>
            <w:r>
              <w:rPr>
                <w:sz w:val="21"/>
              </w:rPr>
              <w:t>(12)因工作需要或政策性等原因需变更承包区域的，采购人有权变更承包区域面积，承包区域面积变更幅度在1‰（含1‰）以内的，不调整合同价，超过1‰的，按变更时政府相关规定处理，</w:t>
            </w:r>
            <w:r>
              <w:rPr>
                <w:sz w:val="21"/>
              </w:rPr>
              <w:t>供应商</w:t>
            </w:r>
            <w:r>
              <w:rPr>
                <w:sz w:val="21"/>
              </w:rPr>
              <w:t>必须服从。</w:t>
            </w:r>
          </w:p>
          <w:p>
            <w:pPr>
              <w:pStyle w:val="null3"/>
              <w:jc w:val="both"/>
            </w:pPr>
            <w:r>
              <w:rPr>
                <w:sz w:val="21"/>
              </w:rPr>
              <w:t>(13)本项目所涵盖的社区（地名）若出现名称变更或社区撤并等情况，在不变更</w:t>
            </w:r>
            <w:r>
              <w:rPr>
                <w:sz w:val="21"/>
              </w:rPr>
              <w:t>供应商</w:t>
            </w:r>
            <w:r>
              <w:rPr>
                <w:sz w:val="21"/>
              </w:rPr>
              <w:t>承包面积的情况下，不调整本项目合同价。</w:t>
            </w:r>
          </w:p>
          <w:p>
            <w:pPr>
              <w:pStyle w:val="null3"/>
              <w:jc w:val="both"/>
            </w:pPr>
            <w:r>
              <w:rPr>
                <w:sz w:val="21"/>
              </w:rPr>
              <w:t>(14)</w:t>
            </w:r>
            <w:r>
              <w:rPr>
                <w:sz w:val="21"/>
              </w:rPr>
              <w:t>供应商</w:t>
            </w:r>
            <w:r>
              <w:rPr>
                <w:sz w:val="21"/>
              </w:rPr>
              <w:t>在作业施工时，分若干组进行，采购人每组将安排</w:t>
            </w:r>
            <w:r>
              <w:rPr>
                <w:sz w:val="21"/>
              </w:rPr>
              <w:t>1-2名工作人员进行全过程现场施工监督，作业人员必须服从采购人的工作人员监督。</w:t>
            </w:r>
          </w:p>
          <w:p>
            <w:pPr>
              <w:pStyle w:val="null3"/>
              <w:jc w:val="both"/>
            </w:pPr>
            <w:r>
              <w:rPr>
                <w:sz w:val="21"/>
              </w:rPr>
              <w:t>(15)采购人有权在不超出约定的年度消杀总次数的前提下，调整每次消杀的间隔时间。</w:t>
            </w:r>
          </w:p>
        </w:tc>
      </w:tr>
      <w:tr>
        <w:tc>
          <w:tcPr>
            <w:tcW w:type="dxa" w:w="2076"/>
          </w:tcPr>
          <w:p/>
        </w:tc>
        <w:tc>
          <w:tcPr>
            <w:tcW w:type="dxa" w:w="415"/>
          </w:tcPr>
          <w:p>
            <w:pPr>
              <w:pStyle w:val="null3"/>
            </w:pPr>
            <w:r>
              <w:rPr/>
              <w:t>3</w:t>
            </w:r>
          </w:p>
        </w:tc>
        <w:tc>
          <w:tcPr>
            <w:tcW w:type="dxa" w:w="5814"/>
          </w:tcPr>
          <w:p>
            <w:pPr>
              <w:pStyle w:val="null3"/>
              <w:jc w:val="both"/>
            </w:pPr>
            <w:r>
              <w:rPr>
                <w:sz w:val="21"/>
              </w:rPr>
              <w:t>3.</w:t>
            </w:r>
            <w:r>
              <w:rPr>
                <w:sz w:val="21"/>
              </w:rPr>
              <w:t>作业质量标准</w:t>
            </w:r>
          </w:p>
          <w:p>
            <w:pPr>
              <w:pStyle w:val="null3"/>
              <w:ind w:firstLine="420"/>
              <w:jc w:val="both"/>
            </w:pPr>
            <w:r>
              <w:rPr>
                <w:sz w:val="21"/>
              </w:rPr>
              <w:t>参照全国爱卫会除四害标准，确定本项目的除四害防控指标：</w:t>
            </w:r>
          </w:p>
          <w:tbl>
            <w:tblPr>
              <w:tblBorders>
                <w:top w:val="none" w:color="000000" w:sz="4"/>
                <w:left w:val="none" w:color="000000" w:sz="4"/>
                <w:bottom w:val="none" w:color="000000" w:sz="4"/>
                <w:right w:val="none" w:color="000000" w:sz="4"/>
                <w:insideH w:val="none"/>
                <w:insideV w:val="none"/>
              </w:tblBorders>
            </w:tblPr>
            <w:tblGrid>
              <w:gridCol w:w="877"/>
              <w:gridCol w:w="4721"/>
            </w:tblGrid>
            <w:tr>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灭鼠</w:t>
                  </w:r>
                </w:p>
                <w:p>
                  <w:pPr>
                    <w:pStyle w:val="null3"/>
                    <w:jc w:val="center"/>
                  </w:pPr>
                  <w:r>
                    <w:rPr>
                      <w:sz w:val="21"/>
                    </w:rPr>
                    <w:t>标准</w:t>
                  </w:r>
                </w:p>
              </w:tc>
              <w:tc>
                <w:tcPr>
                  <w:tcW w:type="dxa" w:w="47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室内鼠迹阳性率不超过</w:t>
                  </w:r>
                  <w:r>
                    <w:rPr>
                      <w:sz w:val="21"/>
                    </w:rPr>
                    <w:t>5%。</w:t>
                  </w:r>
                </w:p>
                <w:p>
                  <w:pPr>
                    <w:pStyle w:val="null3"/>
                    <w:jc w:val="both"/>
                  </w:pPr>
                  <w:r>
                    <w:rPr>
                      <w:sz w:val="21"/>
                    </w:rPr>
                    <w:t>2</w:t>
                  </w:r>
                  <w:r>
                    <w:rPr>
                      <w:sz w:val="21"/>
                    </w:rPr>
                    <w:t>.</w:t>
                  </w:r>
                  <w:r>
                    <w:rPr>
                      <w:sz w:val="21"/>
                    </w:rPr>
                    <w:t>重点单位防鼠设施合格率不低于</w:t>
                  </w:r>
                  <w:r>
                    <w:rPr>
                      <w:sz w:val="21"/>
                    </w:rPr>
                    <w:t>95%。</w:t>
                  </w:r>
                </w:p>
                <w:p>
                  <w:pPr>
                    <w:pStyle w:val="null3"/>
                    <w:jc w:val="both"/>
                  </w:pPr>
                  <w:r>
                    <w:rPr>
                      <w:sz w:val="21"/>
                    </w:rPr>
                    <w:t>3.</w:t>
                  </w:r>
                  <w:r>
                    <w:rPr>
                      <w:sz w:val="21"/>
                    </w:rPr>
                    <w:t>外环境路径指数不超过</w:t>
                  </w:r>
                  <w:r>
                    <w:rPr>
                      <w:sz w:val="21"/>
                    </w:rPr>
                    <w:t>5处/km。</w:t>
                  </w:r>
                </w:p>
              </w:tc>
            </w:tr>
            <w:tr>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灭蚊</w:t>
                  </w:r>
                </w:p>
                <w:p>
                  <w:pPr>
                    <w:pStyle w:val="null3"/>
                    <w:jc w:val="center"/>
                  </w:pPr>
                  <w:r>
                    <w:rPr>
                      <w:sz w:val="21"/>
                    </w:rPr>
                    <w:t>标准</w:t>
                  </w:r>
                </w:p>
              </w:tc>
              <w:tc>
                <w:tcPr>
                  <w:tcW w:type="dxa" w:w="4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1.成蚊人诱停落法</w:t>
                  </w:r>
                  <w:r>
                    <w:rPr>
                      <w:sz w:val="21"/>
                    </w:rPr>
                    <w:t>不超过</w:t>
                  </w:r>
                  <w:r>
                    <w:rPr>
                      <w:sz w:val="21"/>
                    </w:rPr>
                    <w:t>1.5只/人次</w:t>
                  </w:r>
                  <w:r>
                    <w:rPr>
                      <w:sz w:val="21"/>
                    </w:rPr>
                    <w:t>。</w:t>
                  </w:r>
                </w:p>
                <w:p>
                  <w:pPr>
                    <w:pStyle w:val="null3"/>
                    <w:jc w:val="both"/>
                  </w:pPr>
                  <w:r>
                    <w:rPr>
                      <w:sz w:val="21"/>
                    </w:rPr>
                    <w:t>2.小积水路径指数不超过0.8处/km</w:t>
                  </w:r>
                  <w:r>
                    <w:rPr>
                      <w:sz w:val="21"/>
                    </w:rPr>
                    <w:t>。</w:t>
                  </w:r>
                </w:p>
                <w:p>
                  <w:pPr>
                    <w:pStyle w:val="null3"/>
                    <w:jc w:val="both"/>
                  </w:pPr>
                  <w:r>
                    <w:rPr>
                      <w:sz w:val="21"/>
                    </w:rPr>
                    <w:t>3.大型水体采样勺指数不超过5%，每阳性勺虫数不超过8只。</w:t>
                  </w:r>
                </w:p>
              </w:tc>
            </w:tr>
            <w:tr>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灭蝇</w:t>
                  </w:r>
                </w:p>
                <w:p>
                  <w:pPr>
                    <w:pStyle w:val="null3"/>
                    <w:jc w:val="center"/>
                  </w:pPr>
                  <w:r>
                    <w:rPr>
                      <w:sz w:val="21"/>
                    </w:rPr>
                    <w:t>标准</w:t>
                  </w:r>
                </w:p>
              </w:tc>
              <w:tc>
                <w:tcPr>
                  <w:tcW w:type="dxa" w:w="4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1.室内有蝇房阳性率不超过9%，每阳性房蝇数不超过3只。</w:t>
                  </w:r>
                </w:p>
                <w:p>
                  <w:pPr>
                    <w:pStyle w:val="null3"/>
                    <w:jc w:val="both"/>
                  </w:pPr>
                  <w:r>
                    <w:rPr>
                      <w:sz w:val="21"/>
                    </w:rPr>
                    <w:t>2.</w:t>
                  </w:r>
                  <w:r>
                    <w:rPr>
                      <w:sz w:val="21"/>
                    </w:rPr>
                    <w:t>蝇类孳生地</w:t>
                  </w:r>
                  <w:r>
                    <w:rPr>
                      <w:sz w:val="21"/>
                    </w:rPr>
                    <w:t>阳性率</w:t>
                  </w:r>
                  <w:r>
                    <w:rPr>
                      <w:sz w:val="21"/>
                    </w:rPr>
                    <w:t>不超过</w:t>
                  </w:r>
                  <w:r>
                    <w:rPr>
                      <w:sz w:val="21"/>
                    </w:rPr>
                    <w:t>5</w:t>
                  </w:r>
                  <w:r>
                    <w:rPr>
                      <w:sz w:val="21"/>
                    </w:rPr>
                    <w:t>%。</w:t>
                  </w:r>
                </w:p>
                <w:p>
                  <w:pPr>
                    <w:pStyle w:val="null3"/>
                    <w:jc w:val="both"/>
                  </w:pPr>
                  <w:r>
                    <w:rPr>
                      <w:sz w:val="21"/>
                    </w:rPr>
                    <w:t>3.</w:t>
                  </w:r>
                  <w:r>
                    <w:rPr>
                      <w:sz w:val="21"/>
                    </w:rPr>
                    <w:t>重点单位防蝇设施合格</w:t>
                  </w:r>
                  <w:r>
                    <w:rPr>
                      <w:sz w:val="21"/>
                    </w:rPr>
                    <w:t>率不低于</w:t>
                  </w:r>
                  <w:r>
                    <w:rPr>
                      <w:sz w:val="21"/>
                    </w:rPr>
                    <w:t>9</w:t>
                  </w:r>
                  <w:r>
                    <w:rPr>
                      <w:sz w:val="21"/>
                    </w:rPr>
                    <w:t>5%；加工、销售直接入口食品的场所不得有蝇</w:t>
                  </w:r>
                  <w:r>
                    <w:rPr>
                      <w:sz w:val="21"/>
                    </w:rPr>
                    <w:t>；</w:t>
                  </w:r>
                  <w:r>
                    <w:rPr>
                      <w:sz w:val="21"/>
                    </w:rPr>
                    <w:t>室内孳生地不得有幼虫或蛹</w:t>
                  </w:r>
                  <w:r>
                    <w:rPr>
                      <w:sz w:val="21"/>
                    </w:rPr>
                    <w:t>。</w:t>
                  </w:r>
                </w:p>
              </w:tc>
            </w:tr>
            <w:tr>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灭蟑螂标准</w:t>
                  </w:r>
                </w:p>
              </w:tc>
              <w:tc>
                <w:tcPr>
                  <w:tcW w:type="dxa" w:w="4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室内蟑螂成虫或若虫</w:t>
                  </w:r>
                  <w:r>
                    <w:rPr>
                      <w:sz w:val="21"/>
                    </w:rPr>
                    <w:t>侵害率</w:t>
                  </w:r>
                  <w:r>
                    <w:rPr>
                      <w:sz w:val="21"/>
                    </w:rPr>
                    <w:t>不超过</w:t>
                  </w:r>
                  <w:r>
                    <w:rPr>
                      <w:sz w:val="21"/>
                    </w:rPr>
                    <w:t>5</w:t>
                  </w:r>
                  <w:r>
                    <w:rPr>
                      <w:sz w:val="21"/>
                    </w:rPr>
                    <w:t>%，每间房大蠊不超过5只</w:t>
                  </w:r>
                  <w:r>
                    <w:rPr>
                      <w:sz w:val="21"/>
                    </w:rPr>
                    <w:t>、</w:t>
                  </w:r>
                  <w:r>
                    <w:rPr>
                      <w:sz w:val="21"/>
                    </w:rPr>
                    <w:t>小蠊不超过</w:t>
                  </w:r>
                  <w:r>
                    <w:rPr>
                      <w:sz w:val="21"/>
                    </w:rPr>
                    <w:t>10只。</w:t>
                  </w:r>
                </w:p>
                <w:p>
                  <w:pPr>
                    <w:pStyle w:val="null3"/>
                    <w:jc w:val="both"/>
                  </w:pPr>
                  <w:r>
                    <w:rPr>
                      <w:sz w:val="21"/>
                    </w:rPr>
                    <w:t>2.房间</w:t>
                  </w:r>
                  <w:r>
                    <w:rPr>
                      <w:sz w:val="21"/>
                    </w:rPr>
                    <w:t>活蟑螂卵鞘</w:t>
                  </w:r>
                  <w:r>
                    <w:rPr>
                      <w:sz w:val="21"/>
                    </w:rPr>
                    <w:t>查获率</w:t>
                  </w:r>
                  <w:r>
                    <w:rPr>
                      <w:sz w:val="21"/>
                    </w:rPr>
                    <w:t>不超过</w:t>
                  </w:r>
                  <w:r>
                    <w:rPr>
                      <w:sz w:val="21"/>
                    </w:rPr>
                    <w:t>3</w:t>
                  </w:r>
                  <w:r>
                    <w:rPr>
                      <w:sz w:val="21"/>
                    </w:rPr>
                    <w:t>%，每间房不超过</w:t>
                  </w:r>
                  <w:r>
                    <w:rPr>
                      <w:sz w:val="21"/>
                    </w:rPr>
                    <w:t>8</w:t>
                  </w:r>
                  <w:r>
                    <w:rPr>
                      <w:sz w:val="21"/>
                    </w:rPr>
                    <w:t>只。</w:t>
                  </w:r>
                </w:p>
                <w:p>
                  <w:pPr>
                    <w:pStyle w:val="null3"/>
                    <w:jc w:val="both"/>
                  </w:pPr>
                  <w:r>
                    <w:rPr>
                      <w:sz w:val="21"/>
                    </w:rPr>
                    <w:t>3.</w:t>
                  </w:r>
                  <w:r>
                    <w:rPr>
                      <w:sz w:val="21"/>
                    </w:rPr>
                    <w:t>蟑迹的房间</w:t>
                  </w:r>
                  <w:r>
                    <w:rPr>
                      <w:sz w:val="21"/>
                    </w:rPr>
                    <w:t>查获率</w:t>
                  </w:r>
                  <w:r>
                    <w:rPr>
                      <w:sz w:val="21"/>
                    </w:rPr>
                    <w:t>不超过</w:t>
                  </w:r>
                  <w:r>
                    <w:rPr>
                      <w:sz w:val="21"/>
                    </w:rPr>
                    <w:t>7</w:t>
                  </w:r>
                  <w:r>
                    <w:rPr>
                      <w:sz w:val="21"/>
                    </w:rPr>
                    <w:t>%。</w:t>
                  </w:r>
                </w:p>
              </w:tc>
            </w:tr>
          </w:tbl>
          <w:p/>
        </w:tc>
      </w:tr>
      <w:tr>
        <w:tc>
          <w:tcPr>
            <w:tcW w:type="dxa" w:w="2076"/>
          </w:tcPr>
          <w:p/>
        </w:tc>
        <w:tc>
          <w:tcPr>
            <w:tcW w:type="dxa" w:w="415"/>
          </w:tcPr>
          <w:p>
            <w:pPr>
              <w:pStyle w:val="null3"/>
            </w:pPr>
            <w:r>
              <w:rPr/>
              <w:t>4</w:t>
            </w:r>
          </w:p>
        </w:tc>
        <w:tc>
          <w:tcPr>
            <w:tcW w:type="dxa" w:w="5814"/>
          </w:tcPr>
          <w:p>
            <w:pPr>
              <w:pStyle w:val="null3"/>
              <w:jc w:val="both"/>
            </w:pPr>
            <w:r>
              <w:rPr>
                <w:sz w:val="21"/>
              </w:rPr>
              <w:t>4.检查考核办法</w:t>
            </w:r>
          </w:p>
          <w:tbl>
            <w:tblPr>
              <w:tblBorders>
                <w:top w:val="none" w:color="000000" w:sz="4"/>
                <w:left w:val="none" w:color="000000" w:sz="4"/>
                <w:bottom w:val="none" w:color="000000" w:sz="4"/>
                <w:right w:val="none" w:color="000000" w:sz="4"/>
                <w:insideH w:val="none"/>
                <w:insideV w:val="none"/>
              </w:tblBorders>
            </w:tblPr>
            <w:tblGrid>
              <w:gridCol w:w="671"/>
              <w:gridCol w:w="462"/>
              <w:gridCol w:w="440"/>
              <w:gridCol w:w="3068"/>
              <w:gridCol w:w="495"/>
              <w:gridCol w:w="462"/>
            </w:tblGrid>
            <w:tr>
              <w:tc>
                <w:tcPr>
                  <w:tcW w:type="dxa" w:w="5598"/>
                  <w:gridSpan w:val="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b/>
                    </w:rPr>
                    <w:t>季度考核细则</w:t>
                  </w:r>
                </w:p>
              </w:tc>
            </w:tr>
            <w:tr>
              <w:tc>
                <w:tcPr>
                  <w:tcW w:type="dxa" w:w="11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考核项目</w:t>
                  </w:r>
                </w:p>
              </w:tc>
              <w:tc>
                <w:tcPr>
                  <w:tcW w:type="dxa" w:w="4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w:t>
                  </w:r>
                </w:p>
              </w:tc>
              <w:tc>
                <w:tcPr>
                  <w:tcW w:type="dxa" w:w="4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检查方式</w:t>
                  </w:r>
                </w:p>
              </w:tc>
            </w:tr>
            <w:tr>
              <w:tc>
                <w:tcPr>
                  <w:tcW w:type="dxa" w:w="6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一、基本要求</w:t>
                  </w:r>
                </w:p>
              </w:tc>
              <w:tc>
                <w:tcPr>
                  <w:tcW w:type="dxa" w:w="4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40分</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 按要求进行人员配置，未达要求的，每缺1人</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71"/>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 按要求配置设备，未达要求的，每缺一台设备</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71"/>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 按要求定期进行各项消杀，未落实的，每项</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71"/>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 按要求落实密度监测，未落实的，每项</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71"/>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 按要求落实孳生地调查，未落实的，每项</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71"/>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 按采购人要求报送工作计划、工作记录、质检记录、药品台帐等资料，每缺一项</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71"/>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 消杀过程不得使用违禁药品或无效药物，未达要求的</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71"/>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 消杀人员配备防护装备，未达要求的</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71"/>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 消杀人员工作时穿着工作服装并戴带工作证件，未达要求的，每人</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r>
                    <w:rPr>
                      <w:sz w:val="21"/>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71"/>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 积极配合采购人进行应急消杀，未达要求的</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71"/>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11.积极配合甲方开展各项迎检工作，未达要求的</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71"/>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12.每季度各类有效投诉或媒体负面曝光不得超过</w:t>
                  </w:r>
                  <w:r>
                    <w:rPr>
                      <w:sz w:val="21"/>
                    </w:rPr>
                    <w:t>2</w:t>
                  </w:r>
                  <w:r>
                    <w:rPr>
                      <w:sz w:val="21"/>
                    </w:rPr>
                    <w:t>宗，每超出</w:t>
                  </w:r>
                  <w:r>
                    <w:rPr>
                      <w:sz w:val="21"/>
                    </w:rPr>
                    <w:t>1宗</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二、作业效果</w:t>
                  </w:r>
                </w:p>
              </w:tc>
              <w:tc>
                <w:tcPr>
                  <w:tcW w:type="dxa" w:w="4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灭鼠（</w:t>
                  </w:r>
                  <w:r>
                    <w:rPr>
                      <w:sz w:val="21"/>
                    </w:rPr>
                    <w:t>20分）</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1.合理选点投放灭鼠毒饵，未达要求的，每处</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71"/>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2每堆毒饵不少于50克，未达要求的，每5处</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r>
                    <w:rPr>
                      <w:sz w:val="21"/>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71"/>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3.及时补饵，每堆毒饵残留量不得少于10克，未达要求的，每5处</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r>
                    <w:rPr>
                      <w:sz w:val="21"/>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71"/>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4.每季度饱和投药前</w:t>
                  </w:r>
                  <w:r>
                    <w:rPr>
                      <w:sz w:val="21"/>
                    </w:rPr>
                    <w:t>按通知要求</w:t>
                  </w:r>
                  <w:r>
                    <w:rPr>
                      <w:sz w:val="21"/>
                    </w:rPr>
                    <w:t>知会</w:t>
                  </w:r>
                  <w:r>
                    <w:rPr>
                      <w:sz w:val="21"/>
                    </w:rPr>
                    <w:t>村（社区）</w:t>
                  </w:r>
                  <w:r>
                    <w:rPr>
                      <w:sz w:val="21"/>
                    </w:rPr>
                    <w:t>，未达要求的，每漏通知一个</w:t>
                  </w:r>
                  <w:r>
                    <w:rPr>
                      <w:sz w:val="21"/>
                    </w:rPr>
                    <w:t>村（社区）</w:t>
                  </w:r>
                  <w:r>
                    <w:rPr>
                      <w:sz w:val="21"/>
                    </w:rPr>
                    <w:t>的</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71"/>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 外环境路径指数不超过5处/km</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71"/>
                  <w:vMerge/>
                  <w:tcBorders>
                    <w:top w:val="none" w:color="000000" w:sz="4"/>
                    <w:left w:val="single" w:color="000000" w:sz="4"/>
                    <w:bottom w:val="single" w:color="000000" w:sz="4"/>
                    <w:right w:val="single" w:color="000000" w:sz="4"/>
                  </w:tcBorders>
                </w:tcPr>
                <w:p/>
              </w:tc>
              <w:tc>
                <w:tcPr>
                  <w:tcW w:type="dxa" w:w="4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灭蚊（</w:t>
                  </w:r>
                  <w:r>
                    <w:rPr>
                      <w:sz w:val="21"/>
                    </w:rPr>
                    <w:t>26分）</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1.按要求设置诱蚊产卵器，未达要求的，每处</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71"/>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2.积水沉沙井</w:t>
                  </w:r>
                  <w:r>
                    <w:rPr>
                      <w:sz w:val="21"/>
                    </w:rPr>
                    <w:t>等部位，</w:t>
                  </w:r>
                  <w:r>
                    <w:rPr>
                      <w:sz w:val="21"/>
                    </w:rPr>
                    <w:t>按要求放置含</w:t>
                  </w:r>
                  <w:r>
                    <w:rPr>
                      <w:sz w:val="21"/>
                    </w:rPr>
                    <w:t>10克倍硫磷缓释剂（或其它相当剂量的灭蚊幼药物）</w:t>
                  </w:r>
                  <w:r>
                    <w:rPr>
                      <w:sz w:val="21"/>
                    </w:rPr>
                    <w:t>，</w:t>
                  </w:r>
                  <w:r>
                    <w:rPr>
                      <w:sz w:val="21"/>
                    </w:rPr>
                    <w:t>每月更换一次，更换不全面的，每</w:t>
                  </w:r>
                  <w:r>
                    <w:rPr>
                      <w:sz w:val="21"/>
                    </w:rPr>
                    <w:t>5处</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71"/>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3.全面进行蚊孳生地调查，未达要求的，每处</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71"/>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4.按要求合理处理外环境孳生地，未达要求的，每处</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71"/>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5.按要求全面落实公共区域外环境灭杀成蚊，未达要求的，每处</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71"/>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 公共区域蚊及蚊蚴指标达标，未达要求的，每处</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71"/>
                  <w:vMerge/>
                  <w:tcBorders>
                    <w:top w:val="none" w:color="000000" w:sz="4"/>
                    <w:left w:val="single" w:color="000000" w:sz="4"/>
                    <w:bottom w:val="single" w:color="000000" w:sz="4"/>
                    <w:right w:val="single" w:color="000000" w:sz="4"/>
                  </w:tcBorders>
                </w:tcPr>
                <w:p/>
              </w:tc>
              <w:tc>
                <w:tcPr>
                  <w:tcW w:type="dxa" w:w="4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灭蝇（</w:t>
                  </w:r>
                  <w:r>
                    <w:rPr>
                      <w:sz w:val="21"/>
                    </w:rPr>
                    <w:t>7分）</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1.对公共区域蝇类孳生地普查登记，未达要求的，每漏1处</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71"/>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2.每季度按要求定期监测成蝇密度（监测点10个以上），未达要求的，每少1个点</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71"/>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3.按要求处理蝇类孳生地，未达要求的，每处</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71"/>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4.灭蝇效果达标，未达要求的，检出率每超1%</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71"/>
                  <w:vMerge/>
                  <w:tcBorders>
                    <w:top w:val="none" w:color="000000" w:sz="4"/>
                    <w:left w:val="single" w:color="000000" w:sz="4"/>
                    <w:bottom w:val="single" w:color="000000" w:sz="4"/>
                    <w:right w:val="single" w:color="000000" w:sz="4"/>
                  </w:tcBorders>
                </w:tc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灭蟑（</w:t>
                  </w:r>
                  <w:r>
                    <w:rPr>
                      <w:sz w:val="21"/>
                    </w:rPr>
                    <w:t>7分）</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1.下水道、化粪池、户外堆积物平均每100个井口（处），有蟑螂不超过60只，每超出10只</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98"/>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注：</w:t>
                  </w:r>
                </w:p>
                <w:p>
                  <w:pPr>
                    <w:pStyle w:val="null3"/>
                    <w:jc w:val="both"/>
                  </w:pPr>
                  <w:r>
                    <w:rPr>
                      <w:sz w:val="21"/>
                      <w:b/>
                    </w:rPr>
                    <w:t>1.检查方式中，</w:t>
                  </w:r>
                  <w:r>
                    <w:rPr>
                      <w:sz w:val="21"/>
                      <w:b/>
                    </w:rPr>
                    <w:t>1代表现场检查，2代表查阅历史资料</w:t>
                  </w:r>
                  <w:r>
                    <w:rPr>
                      <w:sz w:val="21"/>
                      <w:b/>
                    </w:rPr>
                    <w:t>；</w:t>
                  </w:r>
                </w:p>
                <w:p>
                  <w:pPr>
                    <w:pStyle w:val="null3"/>
                    <w:jc w:val="both"/>
                  </w:pPr>
                  <w:r>
                    <w:rPr>
                      <w:sz w:val="21"/>
                      <w:b/>
                    </w:rPr>
                    <w:t>2.考核总分按</w:t>
                  </w:r>
                  <w:r>
                    <w:rPr>
                      <w:sz w:val="21"/>
                      <w:b/>
                    </w:rPr>
                    <w:t>100分计算，由采购人进行考核评分。成交供应商按当季度评分向采购人提出核拨服务费，每季度抽查</w:t>
                  </w:r>
                  <w:r>
                    <w:rPr>
                      <w:sz w:val="21"/>
                      <w:b/>
                    </w:rPr>
                    <w:t>1</w:t>
                  </w:r>
                  <w:r>
                    <w:rPr>
                      <w:sz w:val="21"/>
                      <w:b/>
                    </w:rPr>
                    <w:t>次。分值为</w:t>
                  </w:r>
                  <w:r>
                    <w:rPr>
                      <w:sz w:val="21"/>
                      <w:b/>
                    </w:rPr>
                    <w:t>95分（含95分）以上，不扣成交供应商当季度服务费，分值为95分以下，每扣一分扣除当季度服务费的1%；年度内累计两次90分（含90分）以下或一次</w:t>
                  </w:r>
                  <w:r>
                    <w:rPr>
                      <w:sz w:val="21"/>
                      <w:b/>
                    </w:rPr>
                    <w:t>8</w:t>
                  </w:r>
                  <w:r>
                    <w:rPr>
                      <w:sz w:val="21"/>
                      <w:b/>
                    </w:rPr>
                    <w:t>0分（含</w:t>
                  </w:r>
                  <w:r>
                    <w:rPr>
                      <w:sz w:val="21"/>
                      <w:b/>
                    </w:rPr>
                    <w:t>8</w:t>
                  </w:r>
                  <w:r>
                    <w:rPr>
                      <w:sz w:val="21"/>
                      <w:b/>
                    </w:rPr>
                    <w:t>0分）以下，采购人有权单方面终止服务合同，不作任何补偿。</w:t>
                  </w:r>
                </w:p>
                <w:p>
                  <w:pPr>
                    <w:pStyle w:val="null3"/>
                    <w:jc w:val="both"/>
                  </w:pPr>
                  <w:r>
                    <w:rPr>
                      <w:sz w:val="21"/>
                      <w:b/>
                    </w:rPr>
                    <w:t>3.上级对我镇病媒生物防制效果考核不达标的（含年度专项考核、国家卫生镇复审等），将处罚人民币</w:t>
                  </w:r>
                  <w:r>
                    <w:rPr>
                      <w:sz w:val="21"/>
                      <w:b/>
                    </w:rPr>
                    <w:t>5</w:t>
                  </w:r>
                  <w:r>
                    <w:rPr>
                      <w:sz w:val="21"/>
                      <w:b/>
                    </w:rPr>
                    <w:t>万元</w:t>
                  </w:r>
                  <w:r>
                    <w:rPr>
                      <w:sz w:val="21"/>
                      <w:b/>
                    </w:rPr>
                    <w:t>/次。</w:t>
                  </w:r>
                </w:p>
                <w:p>
                  <w:pPr>
                    <w:pStyle w:val="null3"/>
                    <w:jc w:val="both"/>
                  </w:pPr>
                  <w:r>
                    <w:rPr>
                      <w:sz w:val="21"/>
                      <w:b/>
                    </w:rPr>
                    <w:t>4.其他按成交后双方签订的合同考核内容要求。</w:t>
                  </w:r>
                </w:p>
                <w:p>
                  <w:pPr>
                    <w:pStyle w:val="null3"/>
                    <w:jc w:val="both"/>
                  </w:pPr>
                  <w:r>
                    <w:rPr>
                      <w:sz w:val="21"/>
                      <w:b/>
                    </w:rPr>
                    <w:t>5.供应商</w:t>
                  </w:r>
                  <w:r>
                    <w:rPr>
                      <w:sz w:val="21"/>
                      <w:b/>
                    </w:rPr>
                    <w:t>累计扣罚金额达人民币</w:t>
                  </w:r>
                  <w:r>
                    <w:rPr>
                      <w:sz w:val="21"/>
                      <w:b/>
                    </w:rPr>
                    <w:t>5万</w:t>
                  </w:r>
                  <w:r>
                    <w:rPr>
                      <w:sz w:val="21"/>
                      <w:b/>
                    </w:rPr>
                    <w:t>元或以上的，采购人可单方面终止合同，不再对</w:t>
                  </w:r>
                  <w:r>
                    <w:rPr>
                      <w:sz w:val="21"/>
                      <w:b/>
                    </w:rPr>
                    <w:t>成交供应商</w:t>
                  </w:r>
                  <w:r>
                    <w:rPr>
                      <w:sz w:val="21"/>
                      <w:b/>
                    </w:rPr>
                    <w:t>作出任何赔偿。</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1.采购代理机构：本项目是指广东鼎程项目咨询有限公司，负责整个采购活动的组织，依法负责编制和发布磋商文件，对磋商文件拥有最终的解释权，不以任何身份出任磋商小组成员。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中山市卫生健康局小榄分局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成交）供应商应在收取《中标（成交）通知书》时向采购代理机构交纳代理服务费，参照国家发展计划委员会[2002 ]1980号文《招标代理服务收费标准管理暂行办法》及国家发改委[2011]534号文件的标准执行，本项目按服务类招标收费费率差额定率累进法计算执行，以中标（成交）金额作为收费的计算依据。</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其他，（一）关于中小微企业开展政府采购质押融资业务的相关规定： 1.根据《中国人民银行中山市中心支行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 截至当前，辖内开展政府采购质押融资业务的银行机构报备的联系方式如下： 农业发展银行中山市分行 客户部 孙博 13824726333 信贷与风险管理部 徐健兴 13702797626 工商银行中山分行 普惠金融事业部 杨培鹏 15900085352 普惠金融事业部 陈韵诗 18928106880 农业银行中山分行 乡村振兴普惠部/普惠金融事业部 罗红艳 0760-22644680 中国银行中山分行 普惠金融事业部 朱博玮 0760-88116725 风险内控部 庞宇宁 0760-88116076 建设银行中山市分行 公司业务部 吴灵杰 13143108376 交通银行中山分行 普惠部 杨小勇 13424595554 中山农村商业银行 普惠金融部 杜保森 13528137939/0760-88884181 邮储银行中山市分行 普惠金融事业部 梁根元 15876006469 广发银行中山分行 交易银行部 庄焕杰 0760-88862577 平安银行中山分行 公司管理部 刘涛 15902062164 跨境业务部 张蕾 13802664960 政府业务一部 樊林 13631131569 中信银行中山分行 公司银行部（普惠金融部） 陈廷忠 15113386853 民生银行中山分行 小微金融部/普惠金融部 陈毅聪 0760-88799160 光大银行中山分行 公司金融部 邓敏 0760-88858067 招商银行中山分行 风险管理部 钟娟 0760-89981875 公司金融事业部 梁倩 0760-89981269 东莞银行中山分行 业务部 郑康辉 0760-86939959 广州银行中山分行 公司金融部 卢盈伶 0760-88776952 普惠业务部 王淼龙 13528240121 渤海银行中山分行 公司金融部 张砚珺 0760-87911816 公司金融部 蒋华玲 0760-87911803 华润银行中山分行 公司金融部 刘永智 0760-87500626 风险管理部 罗凯欣 0760-87500513 浦发银行中山分行 公司业务部 甘芷珺 13415312386 华兴银行中山分行 公司银行部 梁卫明 0760-88520074 公司银行部 邓松华 0760-88520072 大华银行（中国）有限公司中山分行 科技与营运部 黎骏业 0760-87707696 创兴银行中山支行 公司业务部 温世冠 13435737447 公司业务部 吕瑒 13928153346 2.中小微企业有融资需求的，可通过应收账款融资服务平台（网址：https://www.crcrfsp.com/）和广东省中小微企业信用信息和融资对接平台（网址：https://finance.gzebsc.cn）向辖内特定或非特定银行机构咨询并提出融资申请。 3.采购人应当及时在应收账款融资服务平台（网址：https://www.crcrfsp.com/ ）确认债权债务关系，支持中小微企业融资。 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5.财政部门根据《中华人民共和国政府采购法》等相关法规、规章规定，对参加政府采购活动的供应商的不良行为予以记录，并纳入中山市社会征信和金融服务一体化系统，供银行机构融资授信时审慎性参考。 （二）政府采购合同融资：参与政府采购的中小微企业供应商，凭借中标（成交）通知书或政府采购合同向金融机构申请融资，金融机构以供应商信用审查和政府采购 信誉为基础，按便捷贷款程序和优惠利率，为其发放无财产抵押贷款。详见《中山市财政局 中山市金融工作局 中国人民银行中山市中心支行关于开展中山市 政府采购合同融资工作的通知》，网址：https://gdgpo.czt.gd.gov.cn/freecms/site/guangdong/tzggzlm/info/2021/5738699.html。 （三）成交供应商获取成交资格后，应提供与电子投标一致的纸质投标文件共一式三份。</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60分钟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广东鼎程项目咨询有限公司</w:t>
      </w:r>
      <w:r>
        <w:rPr/>
        <w:t>代收。具体操作要求详见</w:t>
      </w:r>
      <w:r>
        <w:rPr/>
        <w:t>广东鼎程项目咨询有限公司</w:t>
      </w:r>
      <w:r>
        <w:rPr/>
        <w:t>有关指引，递交事宜请自行咨询</w:t>
      </w:r>
      <w:r>
        <w:rPr/>
        <w:t>广东鼎程项目咨询有限公司</w:t>
      </w:r>
      <w:r>
        <w:rPr/>
        <w:t>；请各供应商在响应文件递交截止时间前按须知前附表规定的金额递交至</w:t>
      </w:r>
      <w:r>
        <w:rPr/>
        <w:t>广东鼎程项目咨询有限公司</w:t>
      </w:r>
      <w:r>
        <w:rPr/>
        <w:t>，到账情况以开启时</w:t>
      </w:r>
      <w:r>
        <w:rPr/>
        <w:t>广东鼎程项目咨询有限公司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0760-88885590</w:t>
      </w:r>
    </w:p>
    <w:p>
      <w:pPr>
        <w:pStyle w:val="null3"/>
        <w:ind w:firstLine="480"/>
      </w:pPr>
      <w:r>
        <w:rPr/>
        <w:t>传真：</w:t>
      </w:r>
      <w:r>
        <w:rPr/>
        <w:t>0760-88885590</w:t>
      </w:r>
    </w:p>
    <w:p>
      <w:pPr>
        <w:pStyle w:val="null3"/>
        <w:ind w:firstLine="480"/>
      </w:pPr>
      <w:r>
        <w:rPr/>
        <w:t>邮箱：</w:t>
      </w:r>
      <w:r>
        <w:rPr/>
        <w:t>zsdingcheng@126.com</w:t>
      </w:r>
    </w:p>
    <w:p>
      <w:pPr>
        <w:pStyle w:val="null3"/>
        <w:ind w:firstLine="480"/>
      </w:pPr>
      <w:r>
        <w:rPr/>
        <w:t>地址：</w:t>
      </w:r>
      <w:r>
        <w:rPr/>
        <w:t>中山市东区博爱六路大鳌溪商业楼第3栋第6层616室</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小榄镇公共环境病媒生物防制服务采购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广东鼎程项目咨询有限公司</w:t>
      </w:r>
      <w:r>
        <w:rPr/>
        <w:t>统一对外发布。</w:t>
      </w:r>
    </w:p>
    <w:p>
      <w:pPr>
        <w:pStyle w:val="null3"/>
        <w:ind w:firstLine="480"/>
      </w:pPr>
      <w:r>
        <w:rPr/>
        <w:t>（2）对</w:t>
      </w:r>
      <w:r>
        <w:rPr/>
        <w:t>广东鼎程项目咨询有限公司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采购包1（小榄镇公共环境病媒生物防制服务采购项目）：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采购包1（小榄镇公共环境病媒生物防制服务采购项目）：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递交响应文件截止时间前6个月内任意1个月依法缴纳税收和社会保障资金的相关材料（如依法免税或不需要缴纳社会保障资金的，提供相应证明材料）或提供《政府采购供应商资格信用承诺函》（格式详见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提供递交响应文件截止时间前6个月内任意1个月的财务报表复印件或基本开户行出具的资信证明）或提供《政府采购供应商资格信用承诺函》（格式详见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政府采购供应商资格信用承诺函》（格式详见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本项目属于专门面向中小企业采购的项目，供应商须符合本项目所属行业(其他未列明行业)政策划型标准的中小企业。监狱企业、残疾人福利单位视同小型、微型企业。注:中小企业以供应商填写的《中小企业声明函(工程、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采购包1（小榄镇公共环境病媒生物防制服务采购项目）：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投标报价符合磋商文件报价要求，并且无重大不合理的。</w:t>
            </w:r>
          </w:p>
        </w:tc>
      </w:tr>
      <w:tr>
        <w:tc>
          <w:tcPr>
            <w:tcW w:type="dxa" w:w="890"/>
          </w:tcPr>
          <w:p>
            <w:pPr>
              <w:pStyle w:val="null3"/>
            </w:pPr>
            <w:r>
              <w:rPr/>
              <w:t>2</w:t>
            </w:r>
          </w:p>
        </w:tc>
        <w:tc>
          <w:tcPr>
            <w:tcW w:type="dxa" w:w="3178"/>
          </w:tcPr>
          <w:p>
            <w:pPr>
              <w:pStyle w:val="null3"/>
            </w:pPr>
            <w:r>
              <w:rPr/>
              <w:t>响应承诺函及响应有效期</w:t>
            </w:r>
          </w:p>
        </w:tc>
        <w:tc>
          <w:tcPr>
            <w:tcW w:type="dxa" w:w="4238"/>
          </w:tcPr>
          <w:p>
            <w:pPr>
              <w:pStyle w:val="null3"/>
            </w:pPr>
            <w:r>
              <w:rPr/>
              <w:t>响应承诺函及响应有效期符合磋商文件要求。</w:t>
            </w:r>
          </w:p>
        </w:tc>
      </w:tr>
      <w:tr>
        <w:tc>
          <w:tcPr>
            <w:tcW w:type="dxa" w:w="890"/>
          </w:tcPr>
          <w:p>
            <w:pPr>
              <w:pStyle w:val="null3"/>
            </w:pPr>
            <w:r>
              <w:rPr/>
              <w:t>3</w:t>
            </w:r>
          </w:p>
        </w:tc>
        <w:tc>
          <w:tcPr>
            <w:tcW w:type="dxa" w:w="3178"/>
          </w:tcPr>
          <w:p>
            <w:pPr>
              <w:pStyle w:val="null3"/>
            </w:pPr>
            <w:r>
              <w:rPr/>
              <w:t>法定代表人证明书及法定代表授权书</w:t>
            </w:r>
          </w:p>
        </w:tc>
        <w:tc>
          <w:tcPr>
            <w:tcW w:type="dxa" w:w="4238"/>
          </w:tcPr>
          <w:p>
            <w:pPr>
              <w:pStyle w:val="null3"/>
            </w:pPr>
            <w:r>
              <w:rPr/>
              <w:t>响应文件提供有效的法定代表人证明书及法定代表授权书（如为法定代表人投标，则无须提供法定代表人授权书）。</w:t>
            </w:r>
          </w:p>
        </w:tc>
      </w:tr>
      <w:tr>
        <w:tc>
          <w:tcPr>
            <w:tcW w:type="dxa" w:w="890"/>
          </w:tcPr>
          <w:p>
            <w:pPr>
              <w:pStyle w:val="null3"/>
            </w:pPr>
            <w:r>
              <w:rPr/>
              <w:t>4</w:t>
            </w:r>
          </w:p>
        </w:tc>
        <w:tc>
          <w:tcPr>
            <w:tcW w:type="dxa" w:w="3178"/>
          </w:tcPr>
          <w:p>
            <w:pPr>
              <w:pStyle w:val="null3"/>
            </w:pPr>
            <w:r>
              <w:rPr/>
              <w:t>响应文件完整性</w:t>
            </w:r>
          </w:p>
        </w:tc>
        <w:tc>
          <w:tcPr>
            <w:tcW w:type="dxa" w:w="4238"/>
          </w:tcPr>
          <w:p>
            <w:pPr>
              <w:pStyle w:val="null3"/>
            </w:pPr>
            <w:r>
              <w:rPr/>
              <w:t>响应文件完整，无重大错漏，并按磋商文件要求签署、盖章。</w:t>
            </w:r>
          </w:p>
        </w:tc>
      </w:tr>
      <w:tr>
        <w:tc>
          <w:tcPr>
            <w:tcW w:type="dxa" w:w="890"/>
          </w:tcPr>
          <w:p>
            <w:pPr>
              <w:pStyle w:val="null3"/>
            </w:pPr>
            <w:r>
              <w:rPr/>
              <w:t>5</w:t>
            </w:r>
          </w:p>
        </w:tc>
        <w:tc>
          <w:tcPr>
            <w:tcW w:type="dxa" w:w="3178"/>
          </w:tcPr>
          <w:p>
            <w:pPr>
              <w:pStyle w:val="null3"/>
            </w:pPr>
            <w:r>
              <w:rPr/>
              <w:t>实质性条款（如有）</w:t>
            </w:r>
          </w:p>
        </w:tc>
        <w:tc>
          <w:tcPr>
            <w:tcW w:type="dxa" w:w="4238"/>
          </w:tcPr>
          <w:p>
            <w:pPr>
              <w:pStyle w:val="null3"/>
            </w:pPr>
            <w:r>
              <w:rPr/>
              <w:t>响应文件实质性完全响应和满足磋商文件带“★”号条款要求。</w:t>
            </w:r>
          </w:p>
        </w:tc>
      </w:tr>
      <w:tr>
        <w:tc>
          <w:tcPr>
            <w:tcW w:type="dxa" w:w="890"/>
          </w:tcPr>
          <w:p>
            <w:pPr>
              <w:pStyle w:val="null3"/>
            </w:pPr>
            <w:r>
              <w:rPr/>
              <w:t>6</w:t>
            </w:r>
          </w:p>
        </w:tc>
        <w:tc>
          <w:tcPr>
            <w:tcW w:type="dxa" w:w="3178"/>
          </w:tcPr>
          <w:p>
            <w:pPr>
              <w:pStyle w:val="null3"/>
            </w:pPr>
            <w:r>
              <w:rPr/>
              <w:t>其他要求</w:t>
            </w:r>
          </w:p>
        </w:tc>
        <w:tc>
          <w:tcPr>
            <w:tcW w:type="dxa" w:w="4238"/>
          </w:tcPr>
          <w:p>
            <w:pPr>
              <w:pStyle w:val="null3"/>
            </w:pPr>
            <w:r>
              <w:rPr/>
              <w:t>响应文件无磋商文件或法规明确规定可以视为无效投标的其他情形。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采购包1(小榄镇公共环境病媒生物防制服务采购项目):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商务部分49.0分</w:t>
            </w:r>
          </w:p>
          <w:p>
            <w:pPr>
              <w:pStyle w:val="null3"/>
            </w:pPr>
            <w:r>
              <w:rPr/>
              <w:t>技术部分41.0分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采购需求的响应 (7.0分)</w:t>
            </w:r>
          </w:p>
        </w:tc>
        <w:tc>
          <w:tcPr>
            <w:tcW w:type="dxa" w:w="5076"/>
          </w:tcPr>
          <w:p>
            <w:pPr>
              <w:pStyle w:val="null3"/>
              <w:jc w:val="left"/>
            </w:pPr>
            <w:r>
              <w:rPr/>
              <w:t>就供应商对采购需求的响应进行评审： 1.完全响应并按要求提交完整的证明材料，且完全满足采购需求，得7分； 2.作出响应并提交证明材料，较满足采购需求，得5分； 3.一般响应并一般满足采购需求，得3分； 4.整体响应较差，得1分； 5.不提供不得分。</w:t>
            </w:r>
          </w:p>
        </w:tc>
      </w:tr>
      <w:tr>
        <w:tc>
          <w:tcPr>
            <w:tcW w:type="dxa" w:w="922"/>
            <w:gridSpan w:val="2"/>
            <w:vMerge/>
          </w:tcPr>
          <w:p/>
        </w:tc>
        <w:tc>
          <w:tcPr>
            <w:tcW w:type="dxa" w:w="2307"/>
          </w:tcPr>
          <w:p>
            <w:pPr>
              <w:pStyle w:val="null3"/>
              <w:jc w:val="left"/>
            </w:pPr>
            <w:r>
              <w:rPr/>
              <w:t>项目熟悉程度 (9.0分)</w:t>
            </w:r>
          </w:p>
        </w:tc>
        <w:tc>
          <w:tcPr>
            <w:tcW w:type="dxa" w:w="5076"/>
          </w:tcPr>
          <w:p>
            <w:pPr>
              <w:pStyle w:val="null3"/>
              <w:jc w:val="left"/>
            </w:pPr>
            <w:r>
              <w:rPr/>
              <w:t>就供应商对项目熟悉程度进行评审： 1.供应商熟悉了解本次采购项目实施区域环境现状，对本项目服务内容熟悉，非常了解本项目服务重点，能详细说明辖区内的工作难点、重点，可确保本次项目的顺利实施，得9分； 2.供应商对本次采购项目实施区域环境现状基本清楚，对本项目服务内容基本熟悉，了解本项目服务重点，能概述辖区内的工作难点、重点，基本可确保本次项目的顺利实施，得6分； 3.供应商对本次采购项目实施区域环境现状了解一般，对本项目服务内容理解一般，对本项目服务辖区内的工作难点、重点分析一般，得3分； 4.整体内容较差，得1分； 5.不提供不得分。</w:t>
            </w:r>
          </w:p>
        </w:tc>
      </w:tr>
      <w:tr>
        <w:tc>
          <w:tcPr>
            <w:tcW w:type="dxa" w:w="922"/>
            <w:gridSpan w:val="2"/>
            <w:vMerge/>
          </w:tcPr>
          <w:p/>
        </w:tc>
        <w:tc>
          <w:tcPr>
            <w:tcW w:type="dxa" w:w="2307"/>
          </w:tcPr>
          <w:p>
            <w:pPr>
              <w:pStyle w:val="null3"/>
              <w:jc w:val="left"/>
            </w:pPr>
            <w:r>
              <w:rPr/>
              <w:t>服务方案 (15.0分)</w:t>
            </w:r>
          </w:p>
        </w:tc>
        <w:tc>
          <w:tcPr>
            <w:tcW w:type="dxa" w:w="5076"/>
          </w:tcPr>
          <w:p>
            <w:pPr>
              <w:pStyle w:val="null3"/>
              <w:jc w:val="left"/>
            </w:pPr>
            <w:r>
              <w:rPr/>
              <w:t>就供应商提供的服务方案进行评审： 1.服务方案具体详细，运作流程科学可行，组织架构完善，管理水平高，得15分； 2.服务方案较具体详细，运作流程较科学可行，组织架构较完善，管理水平较高，得11分； 3.服务方案一般，运作流程一般，组织架构一般，管理水平一般，得7分； 4.整体方案内容较差，得3分； 5.不提供不得分。</w:t>
            </w:r>
          </w:p>
        </w:tc>
      </w:tr>
      <w:tr>
        <w:tc>
          <w:tcPr>
            <w:tcW w:type="dxa" w:w="922"/>
            <w:gridSpan w:val="2"/>
            <w:vMerge/>
          </w:tcPr>
          <w:p/>
        </w:tc>
        <w:tc>
          <w:tcPr>
            <w:tcW w:type="dxa" w:w="2307"/>
          </w:tcPr>
          <w:p>
            <w:pPr>
              <w:pStyle w:val="null3"/>
              <w:jc w:val="left"/>
            </w:pPr>
            <w:r>
              <w:rPr/>
              <w:t>质量保障措施和应急预案 (10.0分)</w:t>
            </w:r>
          </w:p>
        </w:tc>
        <w:tc>
          <w:tcPr>
            <w:tcW w:type="dxa" w:w="5076"/>
          </w:tcPr>
          <w:p>
            <w:pPr>
              <w:pStyle w:val="null3"/>
              <w:jc w:val="left"/>
            </w:pPr>
            <w:r>
              <w:rPr/>
              <w:t>就供应商提供的质量保障措施和应急预案进行评审： 1.质量保障措施合理可行，保障性高，应急预案分析全面，应对措施高效可行，得10分； 2.质量保障措施较合理可行，保障性较高，应急预案分析较全面，应对措施较有效可行，得7分； 3.质量保障措施及其保障性一般，应急预案分析及其应对措施一般，得4分； 4.整体内容较差，得1分； 5.不提供不得分。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作业人员情况 (9.0分)</w:t>
            </w:r>
          </w:p>
        </w:tc>
        <w:tc>
          <w:tcPr>
            <w:tcW w:type="dxa" w:w="5076"/>
          </w:tcPr>
          <w:p>
            <w:pPr>
              <w:pStyle w:val="null3"/>
              <w:jc w:val="left"/>
            </w:pPr>
            <w:r>
              <w:rPr/>
              <w:t>1.人员在满足采购需求“不少于12人”的情况下，每增加1名作业人员得1分，最高得6分； 2.投入人员中具有无人机驾驶执照的，得3分，没有不得分。 注：响应文件应提供人员身份证和供应商为其购买的（2025年02月-04月）社保证明复印件并加盖公章，第2点评审内容还须提供无人机驾驶执照，未按要求提供不得分。</w:t>
            </w:r>
          </w:p>
        </w:tc>
      </w:tr>
      <w:tr>
        <w:tc>
          <w:tcPr>
            <w:tcW w:type="dxa" w:w="922"/>
            <w:gridSpan w:val="2"/>
            <w:vMerge/>
          </w:tcPr>
          <w:p/>
        </w:tc>
        <w:tc>
          <w:tcPr>
            <w:tcW w:type="dxa" w:w="2307"/>
          </w:tcPr>
          <w:p>
            <w:pPr>
              <w:pStyle w:val="null3"/>
              <w:jc w:val="left"/>
            </w:pPr>
            <w:r>
              <w:rPr/>
              <w:t>设备情况 (18.0分)</w:t>
            </w:r>
          </w:p>
        </w:tc>
        <w:tc>
          <w:tcPr>
            <w:tcW w:type="dxa" w:w="5076"/>
          </w:tcPr>
          <w:p>
            <w:pPr>
              <w:pStyle w:val="null3"/>
              <w:jc w:val="left"/>
            </w:pPr>
            <w:r>
              <w:rPr/>
              <w:t>1.投入设备具有大型超低容量喷雾机（容量40L或以上）得3分，最高得3分； 2.投入的“机动或电动喷雾机（打药机）”设备在满足采购需求（不少于10台）的情况下，每增加1台容量160L或以上的得0.5分，最高得2分； 3.投入的“热烟雾机”设备在满足采购需求（不少于8台）的情况下，每增加1台得1分，最高得4分； 4.投入的“超低容量喷雾机”设备在满足采购需求（不少于8台）的情况下，每增加1台得2分，最高得4分； 5.投入设备具有用于航拍的无人机，每提供1台得1分，最高得2分。无人机参数必须满足以下要求：最长飞行时间大于30分钟、最长悬停时间大于20分钟、最大信号有效距离大于1公里（有干扰，无遮挡）、影像传感器不少于1/1.3英寸。 注：响应文件中应提供每台设备的实物照片和供应商购买的有效发票，其中无人机还应列明产品型号及官网发布的参数截图（或产品说明书），上述材料均需提供复印件并加盖公章，未按要求提供不得分。（适用于第1-5点评审） 6.投入的“机动车辆”设备在满足采购需求（不少于6辆）的情况下，每增加1辆得1.5分，最高得3分。 注：响应文件中应提供每辆车辆的实物照片及车辆行驶证复印，且车辆须在有效检验期内，车辆所有人应为供应商或其法人名下，未按要求提供不得分。（适用于第6点评审）</w:t>
            </w:r>
          </w:p>
        </w:tc>
      </w:tr>
      <w:tr>
        <w:tc>
          <w:tcPr>
            <w:tcW w:type="dxa" w:w="922"/>
            <w:gridSpan w:val="2"/>
            <w:vMerge/>
          </w:tcPr>
          <w:p/>
        </w:tc>
        <w:tc>
          <w:tcPr>
            <w:tcW w:type="dxa" w:w="2307"/>
          </w:tcPr>
          <w:p>
            <w:pPr>
              <w:pStyle w:val="null3"/>
              <w:jc w:val="left"/>
            </w:pPr>
            <w:r>
              <w:rPr/>
              <w:t>服务便利情况承诺 (3.0分)</w:t>
            </w:r>
          </w:p>
        </w:tc>
        <w:tc>
          <w:tcPr>
            <w:tcW w:type="dxa" w:w="5076"/>
          </w:tcPr>
          <w:p>
            <w:pPr>
              <w:pStyle w:val="null3"/>
              <w:jc w:val="left"/>
            </w:pPr>
            <w:r>
              <w:rPr/>
              <w:t>就供应商提供的服务便利情况承诺进行评审： 1.服务承诺具体全面，可在0.5小时内作出响应，6小时内处理完毕，服务便利性高，得3分； 2.服务承诺较具体全面，可在0.5小时内作出响应或6小时内处理完毕，服务便利性较高，得2分； 3.服务承诺一般，响应时间且处理时间大于6小时，服务便利性一般，得1分； 4.整体方案内容较差，得0.5分； 5.不提供不得分。 注：响应文件中应提供承诺函（内容自拟）并加盖公章。</w:t>
            </w:r>
          </w:p>
        </w:tc>
      </w:tr>
      <w:tr>
        <w:tc>
          <w:tcPr>
            <w:tcW w:type="dxa" w:w="922"/>
            <w:gridSpan w:val="2"/>
            <w:vMerge/>
          </w:tcPr>
          <w:p/>
        </w:tc>
        <w:tc>
          <w:tcPr>
            <w:tcW w:type="dxa" w:w="2307"/>
          </w:tcPr>
          <w:p>
            <w:pPr>
              <w:pStyle w:val="null3"/>
              <w:jc w:val="left"/>
            </w:pPr>
            <w:r>
              <w:rPr/>
              <w:t>企业认证 (7.0分)</w:t>
            </w:r>
          </w:p>
        </w:tc>
        <w:tc>
          <w:tcPr>
            <w:tcW w:type="dxa" w:w="5076"/>
          </w:tcPr>
          <w:p>
            <w:pPr>
              <w:pStyle w:val="null3"/>
              <w:jc w:val="left"/>
            </w:pPr>
            <w:r>
              <w:rPr/>
              <w:t>投标人具有有效的以下证书：“质量管理体系认证证书”、“环境管理体系认证证书”、“职业健康安全管理体系认证证书”，“顾客满意度评价体系认证证书”以及“服务质量评价体系认证证书”的，每提供一个得1.4分，最高得7分。 注： 响应文件中应提供证书复印件以及“全国认证认可信息公共服务平台网站（http://www.cnca.gov.cn/）”有效的认证信息查询截图并加盖公章，未按要求提供不得分。</w:t>
            </w:r>
          </w:p>
        </w:tc>
      </w:tr>
      <w:tr>
        <w:tc>
          <w:tcPr>
            <w:tcW w:type="dxa" w:w="922"/>
            <w:gridSpan w:val="2"/>
            <w:vMerge/>
          </w:tcPr>
          <w:p/>
        </w:tc>
        <w:tc>
          <w:tcPr>
            <w:tcW w:type="dxa" w:w="2307"/>
          </w:tcPr>
          <w:p>
            <w:pPr>
              <w:pStyle w:val="null3"/>
              <w:jc w:val="left"/>
            </w:pPr>
            <w:r>
              <w:rPr/>
              <w:t>业绩及评价 (12.0分)</w:t>
            </w:r>
          </w:p>
        </w:tc>
        <w:tc>
          <w:tcPr>
            <w:tcW w:type="dxa" w:w="5076"/>
          </w:tcPr>
          <w:p>
            <w:pPr>
              <w:pStyle w:val="null3"/>
              <w:jc w:val="left"/>
            </w:pPr>
            <w:r>
              <w:rPr/>
              <w:t>1.2022年04月至今（以合同签订时间为准），供应商承接的同类业绩情况，每提供一个得1.5分，最高得9分。 注：响应文件应提供合同复印件并加盖公章，未按要求提供不得分。 2. 就上述有效业绩中，提供业主单位出具的评价文件，且评价内容为最优档或“非常满意”、“优”等相同含义的，每提供一个得1分，最高得3分。 注：响应文件应提供有业主单位盖章的评价文件复印件并加盖公章，未按要求提供不得分。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442000100-2025-00359</w:t>
      </w:r>
    </w:p>
    <w:p>
      <w:pPr>
        <w:pStyle w:val="null3"/>
        <w:jc w:val="center"/>
        <w:outlineLvl w:val="3"/>
      </w:pPr>
      <w:r>
        <w:rPr>
          <w:sz w:val="24"/>
          <w:b/>
        </w:rPr>
        <w:t>采购项目编号：</w:t>
      </w:r>
      <w:r>
        <w:rPr>
          <w:sz w:val="24"/>
          <w:b/>
        </w:rPr>
        <w:t>DC-2025008</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广东鼎程项目咨询有限公司</w:t>
      </w:r>
    </w:p>
    <w:p>
      <w:pPr>
        <w:pStyle w:val="null3"/>
        <w:ind w:firstLine="480"/>
      </w:pPr>
      <w:r>
        <w:rPr/>
        <w:t xml:space="preserve"> 你方组织的</w:t>
      </w:r>
      <w:r>
        <w:rPr>
          <w:u w:val="single"/>
        </w:rPr>
        <w:t>“</w:t>
      </w:r>
      <w:r>
        <w:rPr>
          <w:u w:val="single"/>
        </w:rPr>
        <w:t>小榄镇公共环境病媒生物防制服务采购项目</w:t>
      </w:r>
      <w:r>
        <w:rPr>
          <w:u w:val="single"/>
        </w:rPr>
        <w:t>”</w:t>
      </w:r>
      <w:r>
        <w:rPr/>
        <w:t>项目的竞争性磋商[采购项目编号为：</w:t>
      </w:r>
      <w:r>
        <w:rPr>
          <w:u w:val="single"/>
        </w:rPr>
        <w:t>DC-2025008</w:t>
      </w:r>
      <w:r>
        <w:rPr/>
        <w:t>]，我方愿参与响应。</w:t>
      </w:r>
    </w:p>
    <w:p>
      <w:pPr>
        <w:pStyle w:val="null3"/>
        <w:ind w:firstLine="480"/>
      </w:pPr>
      <w:r>
        <w:rPr/>
        <w:t>我方确认收到贵方提供的</w:t>
      </w:r>
      <w:r>
        <w:rPr>
          <w:u w:val="single"/>
        </w:rPr>
        <w:t>“</w:t>
      </w:r>
      <w:r>
        <w:rPr>
          <w:u w:val="single"/>
        </w:rPr>
        <w:t>小榄镇公共环境病媒生物防制服务采购项目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广东鼎程项目咨询有限公司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小榄镇公共环境病媒生物防制服务采购项目</w:t>
      </w:r>
      <w:r>
        <w:rPr/>
        <w:t>”项目采购[采购项目编号为</w:t>
      </w:r>
      <w:r>
        <w:rPr/>
        <w:t>DC-2025008</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中山市卫生健康局小榄分局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广东鼎程项目咨询有限公司</w:t>
      </w:r>
    </w:p>
    <w:p>
      <w:pPr>
        <w:pStyle w:val="null3"/>
        <w:ind w:firstLine="480"/>
      </w:pPr>
      <w:r>
        <w:rPr/>
        <w:t>我单位参加贵公司组织的</w:t>
      </w:r>
      <w:r>
        <w:rPr/>
        <w:t>小榄镇公共环境病媒生物防制服务采购项目</w:t>
      </w:r>
      <w:r>
        <w:rPr/>
        <w:t>（采购项目编号：</w:t>
      </w:r>
      <w:r>
        <w:rPr/>
        <w:t>DC-2025008</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广东鼎程项目咨询有限公司</w:t>
      </w:r>
    </w:p>
    <w:p>
      <w:pPr>
        <w:pStyle w:val="null3"/>
        <w:ind w:firstLine="480"/>
      </w:pPr>
      <w:r>
        <w:rPr/>
        <w:t>我单位已登记并准备参与“</w:t>
      </w:r>
      <w:r>
        <w:rPr/>
        <w:t>小榄镇公共环境病媒生物防制服务采购项目</w:t>
      </w:r>
      <w:r>
        <w:rPr/>
        <w:t>”项目（采购项目编号：</w:t>
      </w:r>
      <w:r>
        <w:rPr/>
        <w:t>DC-2025008</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