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EFD4">
      <w:pPr>
        <w:ind w:firstLine="321" w:firstLineChars="100"/>
        <w:jc w:val="center"/>
        <w:rPr>
          <w:rFonts w:hint="eastAsia"/>
          <w:b/>
          <w:bCs/>
          <w:sz w:val="22"/>
          <w:szCs w:val="22"/>
          <w:lang w:val="en-US" w:eastAsia="zh-CN"/>
        </w:rPr>
      </w:pPr>
      <w:r>
        <w:rPr>
          <w:rFonts w:hint="eastAsia"/>
          <w:b/>
          <w:bCs/>
          <w:sz w:val="32"/>
          <w:szCs w:val="32"/>
          <w:lang w:val="en-US" w:eastAsia="zh-CN"/>
        </w:rPr>
        <w:t>采购需求</w:t>
      </w:r>
    </w:p>
    <w:p w14:paraId="4AC6E13C">
      <w:pPr>
        <w:ind w:firstLine="241" w:firstLineChars="100"/>
        <w:jc w:val="both"/>
        <w:rPr>
          <w:rFonts w:hint="eastAsia" w:eastAsia="宋体"/>
          <w:b/>
          <w:bCs/>
          <w:color w:val="auto"/>
          <w:sz w:val="24"/>
          <w:szCs w:val="24"/>
          <w:lang w:eastAsia="zh-CN"/>
        </w:rPr>
      </w:pPr>
      <w:r>
        <w:rPr>
          <w:rFonts w:hint="eastAsia"/>
          <w:b/>
          <w:bCs/>
          <w:color w:val="auto"/>
          <w:sz w:val="24"/>
          <w:szCs w:val="24"/>
          <w:lang w:val="en-US" w:eastAsia="zh-CN"/>
        </w:rPr>
        <w:t>一、采购明细</w:t>
      </w:r>
      <w:bookmarkStart w:id="0" w:name="_GoBack"/>
      <w:bookmarkEnd w:id="0"/>
    </w:p>
    <w:p w14:paraId="275B7DFC">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1、项目名称:</w:t>
      </w:r>
      <w:r>
        <w:rPr>
          <w:rFonts w:hint="eastAsia" w:ascii="宋体" w:hAnsi="宋体" w:eastAsia="宋体" w:cs="宋体"/>
          <w:b w:val="0"/>
          <w:bCs w:val="0"/>
          <w:color w:val="auto"/>
          <w:sz w:val="22"/>
          <w:szCs w:val="22"/>
          <w:lang w:val="en-US" w:eastAsia="zh-CN"/>
        </w:rPr>
        <w:t xml:space="preserve"> 202</w:t>
      </w:r>
      <w:r>
        <w:rPr>
          <w:rFonts w:hint="eastAsia" w:ascii="宋体" w:hAnsi="宋体" w:cs="宋体"/>
          <w:b w:val="0"/>
          <w:bCs w:val="0"/>
          <w:color w:val="auto"/>
          <w:sz w:val="22"/>
          <w:szCs w:val="22"/>
          <w:lang w:val="en-US" w:eastAsia="zh-CN"/>
        </w:rPr>
        <w:t>5</w:t>
      </w:r>
      <w:r>
        <w:rPr>
          <w:rFonts w:hint="eastAsia" w:ascii="宋体" w:hAnsi="宋体" w:eastAsia="宋体" w:cs="宋体"/>
          <w:b w:val="0"/>
          <w:bCs w:val="0"/>
          <w:color w:val="auto"/>
          <w:sz w:val="22"/>
          <w:szCs w:val="22"/>
          <w:lang w:val="en-US" w:eastAsia="zh-CN"/>
        </w:rPr>
        <w:t>年岳阳县巩固国家卫生县病媒生物防制</w:t>
      </w:r>
      <w:r>
        <w:rPr>
          <w:rFonts w:hint="eastAsia" w:ascii="宋体" w:hAnsi="宋体" w:cs="宋体"/>
          <w:b w:val="0"/>
          <w:bCs w:val="0"/>
          <w:color w:val="auto"/>
          <w:sz w:val="22"/>
          <w:szCs w:val="22"/>
          <w:lang w:val="en-US" w:eastAsia="zh-CN"/>
        </w:rPr>
        <w:t>服务</w:t>
      </w:r>
      <w:r>
        <w:rPr>
          <w:rFonts w:hint="eastAsia" w:ascii="宋体" w:hAnsi="宋体" w:eastAsia="宋体" w:cs="宋体"/>
          <w:b w:val="0"/>
          <w:bCs w:val="0"/>
          <w:color w:val="auto"/>
          <w:sz w:val="22"/>
          <w:szCs w:val="22"/>
          <w:lang w:val="en-US" w:eastAsia="zh-CN"/>
        </w:rPr>
        <w:t>项目</w:t>
      </w:r>
      <w:r>
        <w:rPr>
          <w:rFonts w:hint="eastAsia" w:ascii="宋体" w:hAnsi="宋体" w:cs="宋体"/>
          <w:b w:val="0"/>
          <w:bCs w:val="0"/>
          <w:sz w:val="22"/>
          <w:szCs w:val="22"/>
          <w:lang w:val="en-US" w:eastAsia="zh-CN"/>
        </w:rPr>
        <w:t>。</w:t>
      </w:r>
    </w:p>
    <w:p w14:paraId="5C9E3FA8">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2、</w:t>
      </w:r>
      <w:r>
        <w:rPr>
          <w:rFonts w:hint="eastAsia" w:ascii="宋体" w:hAnsi="宋体" w:eastAsia="宋体" w:cs="宋体"/>
          <w:b w:val="0"/>
          <w:bCs w:val="0"/>
          <w:sz w:val="22"/>
          <w:szCs w:val="22"/>
          <w:lang w:val="en-US" w:eastAsia="zh-CN"/>
        </w:rPr>
        <w:t>服务地点:岳阳县</w:t>
      </w:r>
      <w:r>
        <w:rPr>
          <w:rFonts w:hint="eastAsia" w:ascii="宋体" w:hAnsi="宋体" w:cs="宋体"/>
          <w:b w:val="0"/>
          <w:bCs w:val="0"/>
          <w:sz w:val="22"/>
          <w:szCs w:val="22"/>
          <w:lang w:val="en-US" w:eastAsia="zh-CN"/>
        </w:rPr>
        <w:t>县城区。</w:t>
      </w:r>
    </w:p>
    <w:p w14:paraId="173D89F6">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3、</w:t>
      </w:r>
      <w:r>
        <w:rPr>
          <w:rFonts w:hint="eastAsia" w:ascii="宋体" w:hAnsi="宋体" w:eastAsia="宋体" w:cs="宋体"/>
          <w:b w:val="0"/>
          <w:bCs w:val="0"/>
          <w:sz w:val="22"/>
          <w:szCs w:val="22"/>
          <w:lang w:val="en-US" w:eastAsia="zh-CN"/>
        </w:rPr>
        <w:t>最高限价:</w:t>
      </w:r>
      <w:r>
        <w:rPr>
          <w:rFonts w:hint="eastAsia" w:ascii="宋体" w:hAnsi="宋体" w:cs="宋体"/>
          <w:b w:val="0"/>
          <w:bCs w:val="0"/>
          <w:sz w:val="22"/>
          <w:szCs w:val="22"/>
          <w:lang w:val="en-US" w:eastAsia="zh-CN"/>
        </w:rPr>
        <w:t>49.95</w:t>
      </w:r>
      <w:r>
        <w:rPr>
          <w:rFonts w:hint="eastAsia" w:ascii="宋体" w:hAnsi="宋体" w:eastAsia="宋体" w:cs="宋体"/>
          <w:b w:val="0"/>
          <w:bCs w:val="0"/>
          <w:sz w:val="22"/>
          <w:szCs w:val="22"/>
          <w:lang w:val="en-US" w:eastAsia="zh-CN"/>
        </w:rPr>
        <w:t>万元</w:t>
      </w:r>
      <w:r>
        <w:rPr>
          <w:rFonts w:hint="eastAsia" w:ascii="宋体" w:hAnsi="宋体" w:cs="宋体"/>
          <w:b w:val="0"/>
          <w:bCs w:val="0"/>
          <w:sz w:val="22"/>
          <w:szCs w:val="22"/>
          <w:lang w:val="en-US" w:eastAsia="zh-CN"/>
        </w:rPr>
        <w:t>。</w:t>
      </w:r>
    </w:p>
    <w:p w14:paraId="30221475">
      <w:pPr>
        <w:numPr>
          <w:ilvl w:val="0"/>
          <w:numId w:val="0"/>
        </w:numPr>
        <w:spacing w:line="360" w:lineRule="auto"/>
        <w:ind w:left="1320" w:hanging="1320" w:hangingChars="600"/>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4、</w:t>
      </w:r>
      <w:r>
        <w:rPr>
          <w:rFonts w:hint="eastAsia" w:ascii="宋体" w:hAnsi="宋体" w:eastAsia="宋体" w:cs="宋体"/>
          <w:b w:val="0"/>
          <w:bCs w:val="0"/>
          <w:sz w:val="22"/>
          <w:szCs w:val="22"/>
          <w:lang w:val="en-US" w:eastAsia="zh-CN"/>
        </w:rPr>
        <w:t>服务范围:对岳阳县城建</w:t>
      </w:r>
      <w:r>
        <w:rPr>
          <w:rFonts w:hint="eastAsia" w:ascii="宋体" w:hAnsi="宋体" w:cs="宋体"/>
          <w:b w:val="0"/>
          <w:bCs w:val="0"/>
          <w:sz w:val="22"/>
          <w:szCs w:val="22"/>
          <w:highlight w:val="none"/>
          <w:lang w:val="en-US" w:eastAsia="zh-CN"/>
        </w:rPr>
        <w:t>成</w:t>
      </w:r>
      <w:r>
        <w:rPr>
          <w:rFonts w:hint="eastAsia" w:ascii="宋体" w:hAnsi="宋体" w:eastAsia="宋体" w:cs="宋体"/>
          <w:b w:val="0"/>
          <w:bCs w:val="0"/>
          <w:sz w:val="22"/>
          <w:szCs w:val="22"/>
          <w:highlight w:val="none"/>
          <w:lang w:val="en-US" w:eastAsia="zh-CN"/>
        </w:rPr>
        <w:t>区</w:t>
      </w:r>
      <w:r>
        <w:rPr>
          <w:rFonts w:hint="eastAsia" w:ascii="宋体" w:hAnsi="宋体" w:eastAsia="宋体" w:cs="宋体"/>
          <w:b w:val="0"/>
          <w:bCs w:val="0"/>
          <w:sz w:val="22"/>
          <w:szCs w:val="22"/>
          <w:lang w:val="en-US" w:eastAsia="zh-CN"/>
        </w:rPr>
        <w:t>范围内居住的社区/公共绿地、地下空间、地下管井、垃圾桶、公厕、垃圾中转站、水体及辖区内其他公共场所等地的蟑、鼠、蚊、蝇的防治以及孳生地治理</w:t>
      </w:r>
      <w:r>
        <w:rPr>
          <w:rFonts w:hint="eastAsia" w:ascii="宋体" w:hAnsi="宋体" w:cs="宋体"/>
          <w:b w:val="0"/>
          <w:bCs w:val="0"/>
          <w:sz w:val="22"/>
          <w:szCs w:val="22"/>
          <w:lang w:val="en-US" w:eastAsia="zh-CN"/>
        </w:rPr>
        <w:t>，</w:t>
      </w:r>
      <w:r>
        <w:rPr>
          <w:rFonts w:hint="eastAsia" w:ascii="宋体" w:hAnsi="宋体" w:eastAsia="宋体" w:cs="宋体"/>
          <w:b w:val="0"/>
          <w:bCs w:val="0"/>
          <w:sz w:val="22"/>
          <w:szCs w:val="22"/>
          <w:lang w:val="en-US" w:eastAsia="zh-CN"/>
        </w:rPr>
        <w:t>通过开展春冬季灭鼠、夏秋季灭蚊蝇及重点场所应急消杀，有效降低辖区内四害密度</w:t>
      </w:r>
      <w:r>
        <w:rPr>
          <w:rFonts w:hint="eastAsia" w:ascii="宋体" w:hAnsi="宋体" w:cs="宋体"/>
          <w:b w:val="0"/>
          <w:bCs w:val="0"/>
          <w:sz w:val="22"/>
          <w:szCs w:val="22"/>
          <w:lang w:val="en-US" w:eastAsia="zh-CN"/>
        </w:rPr>
        <w:t>。</w:t>
      </w:r>
    </w:p>
    <w:p w14:paraId="0A40DB71">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5、质量要求：</w:t>
      </w:r>
      <w:r>
        <w:rPr>
          <w:rFonts w:hint="eastAsia" w:ascii="宋体" w:hAnsi="宋体" w:eastAsia="宋体" w:cs="宋体"/>
          <w:b w:val="0"/>
          <w:bCs w:val="0"/>
          <w:sz w:val="22"/>
          <w:szCs w:val="22"/>
          <w:lang w:val="en-US" w:eastAsia="zh-CN"/>
        </w:rPr>
        <w:t>达到国标《病媒生物密度控制水平》C级以上要求,确保顺利验收</w:t>
      </w:r>
      <w:r>
        <w:rPr>
          <w:rFonts w:hint="eastAsia" w:ascii="宋体" w:hAnsi="宋体" w:cs="宋体"/>
          <w:b w:val="0"/>
          <w:bCs w:val="0"/>
          <w:sz w:val="22"/>
          <w:szCs w:val="22"/>
          <w:lang w:val="en-US" w:eastAsia="zh-CN"/>
        </w:rPr>
        <w:t>；</w:t>
      </w:r>
    </w:p>
    <w:p w14:paraId="298745AE">
      <w:pPr>
        <w:numPr>
          <w:ilvl w:val="0"/>
          <w:numId w:val="0"/>
        </w:numPr>
        <w:spacing w:line="360" w:lineRule="auto"/>
        <w:ind w:left="440" w:hanging="440" w:hangingChars="200"/>
        <w:jc w:val="both"/>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6、工作内容：①公共区域病媒生物防制；②室内重点场所督导检查；③辖区病媒生物密度监测与效果评估；④病媒生物宣传和药品发放；⑤创卫病媒生物相关档案资料整理与撰写。</w:t>
      </w:r>
    </w:p>
    <w:p w14:paraId="73F4B8DC">
      <w:pPr>
        <w:numPr>
          <w:ilvl w:val="0"/>
          <w:numId w:val="0"/>
        </w:numPr>
        <w:spacing w:line="360" w:lineRule="auto"/>
        <w:jc w:val="both"/>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7、防制时间安排：</w:t>
      </w:r>
    </w:p>
    <w:p w14:paraId="535CA349">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7.1公共区域病媒生物防制</w:t>
      </w:r>
    </w:p>
    <w:p w14:paraId="0967D410">
      <w:pPr>
        <w:numPr>
          <w:ilvl w:val="0"/>
          <w:numId w:val="0"/>
        </w:numPr>
        <w:spacing w:line="360" w:lineRule="auto"/>
        <w:ind w:left="660" w:hanging="660" w:hangingChars="3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(1)自服务开始,分别开展鼠、蟑、越冬蚊虫的防制,每月1-2次,总体防制轮次不少于12轮次；</w:t>
      </w:r>
    </w:p>
    <w:p w14:paraId="2FC41F34">
      <w:pPr>
        <w:numPr>
          <w:ilvl w:val="0"/>
          <w:numId w:val="0"/>
        </w:numPr>
        <w:spacing w:line="360" w:lineRule="auto"/>
        <w:ind w:left="660" w:hanging="660" w:hangingChars="3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(2)自服务开始,按照病媒生物的孳生习性, 每月进行1轮蚊、蝇的综合防制,总体不少于5轮次。</w:t>
      </w:r>
    </w:p>
    <w:p w14:paraId="6BF01D0C">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7.2室内重点场所病媒生物督导检查</w:t>
      </w:r>
    </w:p>
    <w:p w14:paraId="1A9185D6">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自服务开始,每月不少于1次针对蚊、蝇、鼠蟑的督导检查工作,总体不少于6次。</w:t>
      </w:r>
    </w:p>
    <w:p w14:paraId="1AA8B910">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7.3辖区病媒生物密度监测与效果评估</w:t>
      </w:r>
    </w:p>
    <w:p w14:paraId="79212C1B">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根据病媒生物繁殖季节规律,全年定期开展病媒生物密度监测与效果评估工作,主要节点分为3个节点，即:春季统一-灭鼠、夏季统-灭蚊蝇、冬季统-灭鼠，以及创卫明察和暗访前1月等重要节点。具体时间为:自服务开始,年不少于4轮监测与评估。监测与评估场所分为:公共区域和重点场所2大类。</w:t>
      </w:r>
    </w:p>
    <w:p w14:paraId="0F683242">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7.4病媒生物防制和创卫宣传及药品发放</w:t>
      </w:r>
    </w:p>
    <w:p w14:paraId="6BC28A51">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本着全民参与创卫和提高居民及单位病媒生物防制意识和技能,每年在春季、夏季和冬季,不定期开展针对居民和单位的病媒生物宣传和培训指导服务。具体为:病媒生物防制宣传全年不少于4轮次,药品发放不少于2000份。</w:t>
      </w:r>
    </w:p>
    <w:p w14:paraId="71F9BAA4">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7.5创卫病媒生物相关档案整理</w:t>
      </w:r>
    </w:p>
    <w:p w14:paraId="19D957CA">
      <w:pPr>
        <w:numPr>
          <w:ilvl w:val="0"/>
          <w:numId w:val="0"/>
        </w:numPr>
        <w:spacing w:line="360" w:lineRule="auto"/>
        <w:ind w:firstLine="440" w:firstLineChars="200"/>
        <w:jc w:val="both"/>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确保合作期间,将合作年限范围内所有创卫病媒生物相关档案整理完善，在岳阳县驻点一人,协助整理创卫档案。</w:t>
      </w:r>
    </w:p>
    <w:p w14:paraId="1578A7B2">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8、防制控制标准</w:t>
      </w:r>
    </w:p>
    <w:p w14:paraId="7A26DA64">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8.1鼠类标准</w:t>
      </w:r>
    </w:p>
    <w:p w14:paraId="05FC4FAB">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(1)室内鼠迹阳性率小于或等于5%；</w:t>
      </w:r>
    </w:p>
    <w:p w14:paraId="4690E4A2">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(2)外环境鼠密度路径指数小于或等于5。</w:t>
      </w:r>
    </w:p>
    <w:p w14:paraId="01D65EC5">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8.2蚊类标准</w:t>
      </w:r>
    </w:p>
    <w:p w14:paraId="6D3D29F9">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(1)小型积水蚊虫路径指数小于或等于0.8；</w:t>
      </w:r>
    </w:p>
    <w:p w14:paraId="3A9B2D0F">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(2)大型积水蚊虫采样勺指数小于或等于5%,平均每阳性勺少于8只蚊虫幼虫和蛹；</w:t>
      </w:r>
    </w:p>
    <w:p w14:paraId="57B12DAF">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(3)外环境蚊虫停落指数小于或等于1.5。</w:t>
      </w:r>
    </w:p>
    <w:p w14:paraId="1249B454">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8.3蝇类标准</w:t>
      </w:r>
    </w:p>
    <w:p w14:paraId="00D75551">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(1)生产销售直接入口食品的场所不得有蝇,室内不得有蝇类孳生地；</w:t>
      </w:r>
    </w:p>
    <w:p w14:paraId="4D16017D">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(2)室内有蝇房间阳性率小于或等于9% ,阳性间蝇密度小于或等于3只间；</w:t>
      </w:r>
    </w:p>
    <w:p w14:paraId="21887BDD">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(3)室外蝇类孳生地阳性率小于或等于5%。</w:t>
      </w:r>
    </w:p>
    <w:p w14:paraId="70E135D1">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8.4蟑螂标准</w:t>
      </w:r>
    </w:p>
    <w:p w14:paraId="06998D58">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(1)蟑螂成若虫侵害率小于或等于5%，平均每阳性间(处)成若虫小蠊小于或等于10只,大蠊小于或等于5只；</w:t>
      </w:r>
    </w:p>
    <w:p w14:paraId="39B0C046">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(2)蟑螂卵鞘查获率小于或等于3% ,平均每阳性间(处)卵鞘数小于或等于8只；</w:t>
      </w:r>
    </w:p>
    <w:p w14:paraId="28F78CAA">
      <w:pPr>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(3)蟑迹(蟑螂的尸体、残尸、空卵鞘壳、粪便等)查获率小于或等于7%。</w:t>
      </w:r>
    </w:p>
    <w:p w14:paraId="0B0997C5">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9、信息收集报送</w:t>
      </w:r>
    </w:p>
    <w:p w14:paraId="770B734C">
      <w:pPr>
        <w:numPr>
          <w:ilvl w:val="0"/>
          <w:numId w:val="0"/>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9.1每轮作业结束,应进行小结并报送采购人；</w:t>
      </w:r>
    </w:p>
    <w:p w14:paraId="74BA4F47">
      <w:pPr>
        <w:numPr>
          <w:ilvl w:val="0"/>
          <w:numId w:val="0"/>
        </w:numPr>
        <w:spacing w:line="360" w:lineRule="auto"/>
        <w:jc w:val="both"/>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 xml:space="preserve">9.2项目完成后1个月内,将作业记录(或复印件)、照片(电子版)、相关资料及项目执行情况总结报告整理装订,报采购人。 </w:t>
      </w:r>
    </w:p>
    <w:p w14:paraId="33B5D1B8">
      <w:pPr>
        <w:numPr>
          <w:ilvl w:val="0"/>
          <w:numId w:val="1"/>
        </w:numPr>
        <w:spacing w:line="360" w:lineRule="auto"/>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采购数量及参数（见附件，提供报价清单）</w:t>
      </w:r>
    </w:p>
    <w:p w14:paraId="1863B60A">
      <w:pPr>
        <w:numPr>
          <w:ilvl w:val="0"/>
          <w:numId w:val="0"/>
        </w:numPr>
        <w:spacing w:line="360" w:lineRule="auto"/>
        <w:jc w:val="both"/>
        <w:rPr>
          <w:rFonts w:hint="default"/>
          <w:b/>
          <w:bCs/>
          <w:sz w:val="24"/>
          <w:szCs w:val="24"/>
          <w:lang w:val="en-US" w:eastAsia="zh-CN"/>
        </w:rPr>
      </w:pPr>
      <w:r>
        <w:rPr>
          <w:rFonts w:hint="eastAsia"/>
          <w:b/>
          <w:bCs/>
          <w:sz w:val="24"/>
          <w:szCs w:val="24"/>
          <w:lang w:val="en-US" w:eastAsia="zh-CN"/>
        </w:rPr>
        <w:t>二、响应文件要求</w:t>
      </w:r>
    </w:p>
    <w:p w14:paraId="20B7B47F">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1、</w:t>
      </w:r>
      <w:r>
        <w:rPr>
          <w:rFonts w:hint="eastAsia" w:ascii="宋体" w:hAnsi="宋体" w:eastAsia="宋体" w:cs="宋体"/>
          <w:b w:val="0"/>
          <w:bCs w:val="0"/>
          <w:sz w:val="22"/>
          <w:szCs w:val="22"/>
          <w:lang w:val="en-US" w:eastAsia="zh-CN"/>
        </w:rPr>
        <w:t>投标人需提供</w:t>
      </w:r>
      <w:r>
        <w:rPr>
          <w:rFonts w:hint="eastAsia" w:ascii="宋体" w:hAnsi="宋体" w:cs="宋体"/>
          <w:b w:val="0"/>
          <w:bCs w:val="0"/>
          <w:sz w:val="22"/>
          <w:szCs w:val="22"/>
          <w:lang w:val="en-US" w:eastAsia="zh-CN"/>
        </w:rPr>
        <w:t>具有病媒生物防制服务的营业范围的有效的</w:t>
      </w:r>
      <w:r>
        <w:rPr>
          <w:rFonts w:hint="eastAsia" w:ascii="宋体" w:hAnsi="宋体" w:eastAsia="宋体" w:cs="宋体"/>
          <w:b w:val="0"/>
          <w:bCs w:val="0"/>
          <w:sz w:val="22"/>
          <w:szCs w:val="22"/>
          <w:lang w:val="en-US" w:eastAsia="zh-CN"/>
        </w:rPr>
        <w:t>营业执照</w:t>
      </w:r>
      <w:r>
        <w:rPr>
          <w:rFonts w:hint="eastAsia" w:ascii="宋体" w:hAnsi="宋体" w:cs="宋体"/>
          <w:b w:val="0"/>
          <w:bCs w:val="0"/>
          <w:sz w:val="22"/>
          <w:szCs w:val="22"/>
          <w:lang w:val="en-US" w:eastAsia="zh-CN"/>
        </w:rPr>
        <w:t>和具有病媒生物防制服务的企业资质证书甲级资质</w:t>
      </w:r>
      <w:r>
        <w:rPr>
          <w:rFonts w:hint="eastAsia" w:ascii="宋体" w:hAnsi="宋体" w:eastAsia="宋体" w:cs="宋体"/>
          <w:b w:val="0"/>
          <w:bCs w:val="0"/>
          <w:sz w:val="22"/>
          <w:szCs w:val="22"/>
          <w:lang w:val="en-US" w:eastAsia="zh-CN"/>
        </w:rPr>
        <w:t>；</w:t>
      </w:r>
    </w:p>
    <w:p w14:paraId="21FA7948">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2、</w:t>
      </w:r>
      <w:r>
        <w:rPr>
          <w:rFonts w:hint="eastAsia" w:ascii="宋体" w:hAnsi="宋体" w:eastAsia="宋体" w:cs="宋体"/>
          <w:b w:val="0"/>
          <w:bCs w:val="0"/>
          <w:sz w:val="22"/>
          <w:szCs w:val="22"/>
          <w:lang w:val="en-US" w:eastAsia="zh-CN"/>
        </w:rPr>
        <w:t>法定代表人和授权委托人证明文件；（格式自拟）</w:t>
      </w:r>
    </w:p>
    <w:p w14:paraId="5680ED7D">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3、</w:t>
      </w:r>
      <w:r>
        <w:rPr>
          <w:rFonts w:hint="eastAsia" w:ascii="宋体" w:hAnsi="宋体" w:eastAsia="宋体" w:cs="宋体"/>
          <w:b w:val="0"/>
          <w:bCs w:val="0"/>
          <w:sz w:val="22"/>
          <w:szCs w:val="22"/>
          <w:lang w:val="en-US" w:eastAsia="zh-CN"/>
        </w:rPr>
        <w:t>投标人需提供有效的</w:t>
      </w:r>
      <w:r>
        <w:rPr>
          <w:rFonts w:hint="eastAsia" w:ascii="宋体" w:hAnsi="宋体" w:cs="宋体"/>
          <w:b w:val="0"/>
          <w:bCs w:val="0"/>
          <w:sz w:val="22"/>
          <w:szCs w:val="22"/>
          <w:lang w:val="en-US" w:eastAsia="zh-CN"/>
        </w:rPr>
        <w:t>企业资质证书</w:t>
      </w:r>
      <w:r>
        <w:rPr>
          <w:rFonts w:hint="eastAsia" w:ascii="宋体" w:hAnsi="宋体" w:eastAsia="宋体" w:cs="宋体"/>
          <w:b w:val="0"/>
          <w:bCs w:val="0"/>
          <w:sz w:val="22"/>
          <w:szCs w:val="22"/>
          <w:lang w:val="en-US" w:eastAsia="zh-CN"/>
        </w:rPr>
        <w:t>（要求：</w:t>
      </w:r>
      <w:r>
        <w:rPr>
          <w:rFonts w:hint="eastAsia" w:ascii="宋体" w:hAnsi="宋体" w:cs="宋体"/>
          <w:b w:val="0"/>
          <w:bCs w:val="0"/>
          <w:sz w:val="22"/>
          <w:szCs w:val="22"/>
          <w:lang w:val="en-US" w:eastAsia="zh-CN"/>
        </w:rPr>
        <w:t>服务范围</w:t>
      </w:r>
      <w:r>
        <w:rPr>
          <w:rFonts w:hint="eastAsia" w:ascii="宋体" w:hAnsi="宋体" w:eastAsia="宋体" w:cs="宋体"/>
          <w:b w:val="0"/>
          <w:bCs w:val="0"/>
          <w:sz w:val="22"/>
          <w:szCs w:val="22"/>
          <w:lang w:val="en-US" w:eastAsia="zh-CN"/>
        </w:rPr>
        <w:t>需包含病媒生物防制服务）；</w:t>
      </w:r>
    </w:p>
    <w:p w14:paraId="4427B5E1">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4、</w:t>
      </w:r>
      <w:r>
        <w:rPr>
          <w:rFonts w:hint="eastAsia" w:ascii="宋体" w:hAnsi="宋体" w:eastAsia="宋体" w:cs="宋体"/>
          <w:b w:val="0"/>
          <w:bCs w:val="0"/>
          <w:sz w:val="22"/>
          <w:szCs w:val="22"/>
          <w:lang w:val="en-US" w:eastAsia="zh-CN"/>
        </w:rPr>
        <w:t>本项目人员配备不少于</w:t>
      </w:r>
      <w:r>
        <w:rPr>
          <w:rFonts w:hint="eastAsia" w:ascii="宋体" w:hAnsi="宋体" w:cs="宋体"/>
          <w:b w:val="0"/>
          <w:bCs w:val="0"/>
          <w:sz w:val="22"/>
          <w:szCs w:val="22"/>
          <w:lang w:val="en-US" w:eastAsia="zh-CN"/>
        </w:rPr>
        <w:t>3</w:t>
      </w:r>
      <w:r>
        <w:rPr>
          <w:rFonts w:hint="eastAsia" w:ascii="宋体" w:hAnsi="宋体" w:eastAsia="宋体" w:cs="宋体"/>
          <w:b w:val="0"/>
          <w:bCs w:val="0"/>
          <w:sz w:val="22"/>
          <w:szCs w:val="22"/>
          <w:lang w:val="en-US" w:eastAsia="zh-CN"/>
        </w:rPr>
        <w:t>人</w:t>
      </w:r>
      <w:r>
        <w:rPr>
          <w:rFonts w:hint="eastAsia" w:ascii="宋体" w:hAnsi="宋体" w:cs="宋体"/>
          <w:b w:val="0"/>
          <w:bCs w:val="0"/>
          <w:sz w:val="22"/>
          <w:szCs w:val="22"/>
          <w:lang w:val="en-US" w:eastAsia="zh-CN"/>
        </w:rPr>
        <w:t>，</w:t>
      </w:r>
      <w:r>
        <w:rPr>
          <w:rFonts w:hint="eastAsia" w:ascii="宋体" w:hAnsi="宋体" w:eastAsia="宋体" w:cs="宋体"/>
          <w:b w:val="0"/>
          <w:bCs w:val="0"/>
          <w:sz w:val="22"/>
          <w:szCs w:val="22"/>
          <w:lang w:val="en-US" w:eastAsia="zh-CN"/>
        </w:rPr>
        <w:t>拟任项目负责人必须是本公司职工且提供由劳动保障部门出具的近半年内连续3个月社保证明和劳动合同；</w:t>
      </w:r>
    </w:p>
    <w:p w14:paraId="0C257464">
      <w:pPr>
        <w:numPr>
          <w:ilvl w:val="0"/>
          <w:numId w:val="0"/>
        </w:numPr>
        <w:spacing w:line="360" w:lineRule="auto"/>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5、报价标（根据采购需求的清单填写，见附件）</w:t>
      </w:r>
    </w:p>
    <w:p w14:paraId="7D6DA861">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6、提供合理的项目实施方案。（格式自拟）</w:t>
      </w:r>
    </w:p>
    <w:p w14:paraId="4595AD9B">
      <w:pPr>
        <w:numPr>
          <w:ilvl w:val="0"/>
          <w:numId w:val="0"/>
        </w:numPr>
        <w:spacing w:line="360" w:lineRule="auto"/>
        <w:jc w:val="both"/>
        <w:rPr>
          <w:rFonts w:hint="default"/>
          <w:lang w:val="en-US" w:eastAsia="zh-CN"/>
        </w:rPr>
      </w:pPr>
      <w:r>
        <w:rPr>
          <w:rFonts w:hint="eastAsia" w:ascii="宋体" w:hAnsi="宋体" w:eastAsia="宋体" w:cs="宋体"/>
          <w:b w:val="0"/>
          <w:bCs w:val="0"/>
          <w:sz w:val="22"/>
          <w:szCs w:val="22"/>
          <w:lang w:val="en-US" w:eastAsia="zh-CN"/>
        </w:rPr>
        <w:t>注：上述所有资料需加盖供应商公章并扫描作为附件打包上传，未上传附件、上传附件不清晰、不完整视为无效报价，签订合同时提供上述资料原件，否则视为无效报价，作废标处理。供应商须对以上所有资料的真实性负责，如有弄虚作假，做无效报价处理。</w:t>
      </w:r>
    </w:p>
    <w:p w14:paraId="21B36CDB">
      <w:pPr>
        <w:spacing w:line="360" w:lineRule="auto"/>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三</w:t>
      </w:r>
      <w:r>
        <w:rPr>
          <w:rFonts w:hint="eastAsia" w:ascii="仿宋" w:hAnsi="仿宋" w:eastAsia="仿宋" w:cs="仿宋"/>
          <w:b/>
          <w:color w:val="000000"/>
          <w:kern w:val="0"/>
          <w:sz w:val="28"/>
          <w:szCs w:val="28"/>
        </w:rPr>
        <w:t>、注意事项</w:t>
      </w:r>
    </w:p>
    <w:p w14:paraId="4772C498">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1、报价不得超过单位的项目预算。总价款包含材料费及税费等一切费用。不得恶意低价竞标，或者中标后拒绝提供服务。</w:t>
      </w:r>
    </w:p>
    <w:p w14:paraId="4AA3BB41">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2、采购单位可针对竞价单位所提交资料，择优选取经验丰富、报价低、发案优、服务好的竞价单位，本次采购不保证最低价中标。</w:t>
      </w:r>
    </w:p>
    <w:p w14:paraId="60C604E0">
      <w:pPr>
        <w:numPr>
          <w:ilvl w:val="0"/>
          <w:numId w:val="0"/>
        </w:numPr>
        <w:spacing w:line="360" w:lineRule="auto"/>
        <w:jc w:val="both"/>
        <w:rPr>
          <w:rFonts w:hint="eastAsia"/>
          <w:lang w:val="en-US" w:eastAsia="zh-CN"/>
        </w:rPr>
      </w:pPr>
      <w:r>
        <w:rPr>
          <w:rFonts w:hint="eastAsia" w:ascii="宋体" w:hAnsi="宋体" w:eastAsia="宋体" w:cs="宋体"/>
          <w:b w:val="0"/>
          <w:bCs w:val="0"/>
          <w:sz w:val="22"/>
          <w:szCs w:val="22"/>
          <w:lang w:val="en-US" w:eastAsia="zh-CN"/>
        </w:rPr>
        <w:t>3、为了防止恶意竞标，本项目中标候选人公示后需在2个工作日之内签订合同。</w:t>
      </w:r>
    </w:p>
    <w:p w14:paraId="272CFE8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829E6"/>
    <w:multiLevelType w:val="singleLevel"/>
    <w:tmpl w:val="1C3829E6"/>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70B9F"/>
    <w:rsid w:val="11853BD3"/>
    <w:rsid w:val="29017971"/>
    <w:rsid w:val="2A870B9F"/>
    <w:rsid w:val="6832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ind w:firstLine="480"/>
    </w:pPr>
    <w:rPr>
      <w:rFonts w:ascii="宋体"/>
      <w:sz w:val="30"/>
    </w:rPr>
  </w:style>
  <w:style w:type="paragraph" w:styleId="4">
    <w:name w:val="index 4"/>
    <w:basedOn w:val="1"/>
    <w:next w:val="1"/>
    <w:unhideWhenUsed/>
    <w:qFormat/>
    <w:uiPriority w:val="99"/>
    <w:pPr>
      <w:ind w:left="600" w:leftChars="600"/>
    </w:pPr>
  </w:style>
  <w:style w:type="paragraph" w:styleId="5">
    <w:name w:val="Body Text First Indent 2"/>
    <w:basedOn w:val="3"/>
    <w:unhideWhenUsed/>
    <w:qFormat/>
    <w:uiPriority w:val="0"/>
    <w:pPr>
      <w:autoSpaceDE w:val="0"/>
      <w:autoSpaceDN w:val="0"/>
      <w:adjustRightInd w:val="0"/>
      <w:ind w:left="420" w:firstLine="420"/>
      <w:jc w:val="left"/>
    </w:pPr>
    <w:rPr>
      <w:rFonts w:hint="eastAsia" w:ascii="Calibri" w:hAnsi="Calibri" w:eastAsia="Calibri"/>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default" w:ascii="Calibri" w:hAnsi="Calibri" w:cs="Calibri"/>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41"/>
    <w:basedOn w:val="8"/>
    <w:qFormat/>
    <w:uiPriority w:val="0"/>
    <w:rPr>
      <w:rFonts w:ascii="Verdana" w:hAnsi="Verdana" w:cs="Verdana"/>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1715</Words>
  <Characters>1789</Characters>
  <Lines>0</Lines>
  <Paragraphs>0</Paragraphs>
  <TotalTime>6</TotalTime>
  <ScaleCrop>false</ScaleCrop>
  <LinksUpToDate>false</LinksUpToDate>
  <CharactersWithSpaces>1794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2025-05-20T14:31:00Z</dcterms:created>
  <dc:creator>shine</dc:creator>
  <cp:lastModifiedBy>shine</cp:lastModifiedBy>
  <dcterms:modified xsi:type="dcterms:W3CDTF">2025-05-20T15:14:32Z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DC27D520F7F24DE993DF9AEF4057E4A0_11</vt:lpwstr>
  </property>
  <property fmtid="{D5CDD505-2E9C-101B-9397-08002B2CF9AE}" pid="4" name="KSOTemplateDocerSaveRecord">
    <vt:lpwstr>eyJoZGlkIjoiZjE5NDIyN2IxMzAxZDc5MDc4OTcwZWI3NDZiNzc4ZDgiLCJ1c2VySWQiOiI0MjQ3MjU5MTAifQ==</vt:lpwstr>
  </property>
</Properties>
</file>