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B023A">
      <w:pPr>
        <w:pageBreakBefore w:val="0"/>
        <w:kinsoku/>
        <w:topLinePunct w:val="0"/>
        <w:bidi w:val="0"/>
        <w:adjustRightInd w:val="0"/>
        <w:snapToGrid w:val="0"/>
        <w:spacing w:line="240" w:lineRule="atLeast"/>
        <w:ind w:left="0" w:leftChars="0" w:right="0"/>
        <w:jc w:val="center"/>
        <w:textAlignment w:val="auto"/>
        <w:rPr>
          <w:rFonts w:ascii="仿宋" w:hAnsi="仿宋" w:eastAsia="仿宋"/>
          <w:color w:val="auto"/>
          <w:highlight w:val="none"/>
        </w:rPr>
      </w:pPr>
      <w:r>
        <w:rPr>
          <w:rFonts w:hint="eastAsia" w:ascii="仿宋" w:hAnsi="仿宋" w:eastAsia="仿宋"/>
          <w:color w:val="auto"/>
          <w:highlight w:val="none"/>
        </w:rPr>
        <w:t xml:space="preserve"> </w:t>
      </w:r>
    </w:p>
    <w:p w14:paraId="6CE95888">
      <w:pPr>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宋体"/>
          <w:b/>
          <w:bCs/>
          <w:color w:val="auto"/>
          <w:spacing w:val="80"/>
          <w:sz w:val="86"/>
          <w:szCs w:val="86"/>
          <w:highlight w:val="none"/>
        </w:rPr>
      </w:pPr>
      <w:bookmarkStart w:id="0" w:name="_Toc30988"/>
      <w:bookmarkStart w:id="1" w:name="_Toc16779"/>
      <w:bookmarkStart w:id="2" w:name="_Toc31917"/>
      <w:bookmarkStart w:id="3" w:name="_Toc30711"/>
      <w:bookmarkStart w:id="4" w:name="_Toc7408"/>
      <w:bookmarkStart w:id="5" w:name="_Toc31370"/>
      <w:bookmarkStart w:id="6" w:name="_Toc19609"/>
      <w:bookmarkStart w:id="7" w:name="_Toc17591"/>
      <w:r>
        <w:rPr>
          <w:rFonts w:hint="eastAsia" w:ascii="仿宋" w:hAnsi="仿宋" w:eastAsia="仿宋" w:cs="宋体"/>
          <w:b/>
          <w:bCs/>
          <w:color w:val="auto"/>
          <w:spacing w:val="80"/>
          <w:sz w:val="86"/>
          <w:szCs w:val="86"/>
          <w:highlight w:val="none"/>
        </w:rPr>
        <w:t>重庆市政府采购云平台网上竞采文件</w:t>
      </w:r>
      <w:bookmarkEnd w:id="0"/>
      <w:bookmarkEnd w:id="1"/>
      <w:bookmarkEnd w:id="2"/>
      <w:bookmarkEnd w:id="3"/>
      <w:bookmarkEnd w:id="4"/>
      <w:bookmarkEnd w:id="5"/>
      <w:bookmarkEnd w:id="6"/>
      <w:bookmarkEnd w:id="7"/>
    </w:p>
    <w:p w14:paraId="27156131">
      <w:pPr>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宋体"/>
          <w:b/>
          <w:bCs/>
          <w:color w:val="auto"/>
          <w:spacing w:val="80"/>
          <w:sz w:val="86"/>
          <w:szCs w:val="86"/>
          <w:highlight w:val="none"/>
        </w:rPr>
      </w:pPr>
    </w:p>
    <w:p w14:paraId="0669EA2E">
      <w:pPr>
        <w:pStyle w:val="2"/>
        <w:pageBreakBefore w:val="0"/>
        <w:kinsoku/>
        <w:topLinePunct w:val="0"/>
        <w:bidi w:val="0"/>
        <w:adjustRightInd w:val="0"/>
        <w:snapToGrid w:val="0"/>
        <w:spacing w:before="0" w:after="0" w:line="240" w:lineRule="atLeast"/>
        <w:ind w:left="0" w:leftChars="0" w:right="0"/>
        <w:jc w:val="center"/>
        <w:textAlignment w:val="auto"/>
        <w:rPr>
          <w:rFonts w:ascii="仿宋" w:hAnsi="仿宋" w:eastAsia="仿宋" w:cs="宋体"/>
          <w:bCs/>
          <w:color w:val="auto"/>
          <w:spacing w:val="80"/>
          <w:sz w:val="44"/>
          <w:szCs w:val="44"/>
          <w:highlight w:val="none"/>
        </w:rPr>
      </w:pPr>
    </w:p>
    <w:p w14:paraId="7B021070">
      <w:pPr>
        <w:pageBreakBefore w:val="0"/>
        <w:kinsoku/>
        <w:topLinePunct w:val="0"/>
        <w:bidi w:val="0"/>
        <w:adjustRightInd w:val="0"/>
        <w:snapToGrid w:val="0"/>
        <w:spacing w:line="240" w:lineRule="atLeast"/>
        <w:ind w:left="0" w:leftChars="0" w:right="0"/>
        <w:textAlignment w:val="auto"/>
        <w:rPr>
          <w:rFonts w:ascii="仿宋" w:hAnsi="仿宋" w:eastAsia="仿宋" w:cs="宋体"/>
          <w:b/>
          <w:bCs/>
          <w:color w:val="auto"/>
          <w:spacing w:val="80"/>
          <w:sz w:val="44"/>
          <w:szCs w:val="44"/>
          <w:highlight w:val="none"/>
        </w:rPr>
      </w:pPr>
    </w:p>
    <w:p w14:paraId="4EC0B868">
      <w:pPr>
        <w:pageBreakBefore w:val="0"/>
        <w:kinsoku/>
        <w:topLinePunct w:val="0"/>
        <w:bidi w:val="0"/>
        <w:adjustRightInd w:val="0"/>
        <w:snapToGrid w:val="0"/>
        <w:spacing w:line="240" w:lineRule="atLeast"/>
        <w:ind w:left="0" w:leftChars="0" w:right="0" w:firstLine="1080" w:firstLineChars="300"/>
        <w:textAlignment w:val="auto"/>
        <w:rPr>
          <w:rFonts w:hint="eastAsia" w:ascii="仿宋" w:hAnsi="仿宋" w:eastAsia="仿宋" w:cs="仿宋"/>
          <w:color w:val="auto"/>
          <w:sz w:val="36"/>
          <w:szCs w:val="30"/>
          <w:highlight w:val="none"/>
        </w:rPr>
      </w:pPr>
      <w:bookmarkStart w:id="8" w:name="_Hlk111636989"/>
    </w:p>
    <w:p w14:paraId="157C13A5">
      <w:pPr>
        <w:pageBreakBefore w:val="0"/>
        <w:kinsoku/>
        <w:topLinePunct w:val="0"/>
        <w:bidi w:val="0"/>
        <w:adjustRightInd w:val="0"/>
        <w:snapToGrid w:val="0"/>
        <w:spacing w:line="240" w:lineRule="atLeast"/>
        <w:ind w:left="0" w:leftChars="0" w:right="0" w:firstLine="1080" w:firstLineChars="300"/>
        <w:textAlignment w:val="auto"/>
        <w:rPr>
          <w:rFonts w:hint="eastAsia" w:ascii="仿宋" w:hAnsi="仿宋" w:eastAsia="仿宋" w:cs="仿宋"/>
          <w:color w:val="auto"/>
          <w:sz w:val="36"/>
          <w:szCs w:val="30"/>
          <w:highlight w:val="none"/>
        </w:rPr>
      </w:pPr>
    </w:p>
    <w:p w14:paraId="0AB6D666">
      <w:pPr>
        <w:pageBreakBefore w:val="0"/>
        <w:kinsoku/>
        <w:topLinePunct w:val="0"/>
        <w:bidi w:val="0"/>
        <w:adjustRightInd w:val="0"/>
        <w:snapToGrid w:val="0"/>
        <w:spacing w:line="240" w:lineRule="atLeast"/>
        <w:ind w:left="0" w:leftChars="0" w:right="0" w:firstLine="1080" w:firstLineChars="300"/>
        <w:textAlignment w:val="auto"/>
        <w:rPr>
          <w:rFonts w:hint="eastAsia" w:ascii="仿宋" w:hAnsi="仿宋" w:eastAsia="仿宋" w:cs="仿宋"/>
          <w:color w:val="auto"/>
          <w:sz w:val="36"/>
          <w:szCs w:val="30"/>
          <w:highlight w:val="none"/>
        </w:rPr>
      </w:pPr>
    </w:p>
    <w:p w14:paraId="606070FE">
      <w:pPr>
        <w:pageBreakBefore w:val="0"/>
        <w:kinsoku/>
        <w:topLinePunct w:val="0"/>
        <w:bidi w:val="0"/>
        <w:adjustRightInd w:val="0"/>
        <w:snapToGrid w:val="0"/>
        <w:spacing w:line="240" w:lineRule="atLeast"/>
        <w:ind w:left="0" w:leftChars="0" w:right="0" w:firstLine="1080" w:firstLineChars="300"/>
        <w:textAlignment w:val="auto"/>
        <w:rPr>
          <w:rFonts w:hint="eastAsia" w:ascii="仿宋" w:hAnsi="仿宋" w:eastAsia="仿宋" w:cs="仿宋"/>
          <w:color w:val="auto"/>
          <w:sz w:val="36"/>
          <w:szCs w:val="30"/>
          <w:highlight w:val="none"/>
        </w:rPr>
      </w:pPr>
    </w:p>
    <w:p w14:paraId="711B1DB3">
      <w:pPr>
        <w:pageBreakBefore w:val="0"/>
        <w:kinsoku/>
        <w:topLinePunct w:val="0"/>
        <w:bidi w:val="0"/>
        <w:adjustRightInd w:val="0"/>
        <w:snapToGrid w:val="0"/>
        <w:spacing w:line="240" w:lineRule="atLeast"/>
        <w:ind w:left="0" w:leftChars="0" w:right="0" w:firstLine="1080" w:firstLineChars="300"/>
        <w:textAlignment w:val="auto"/>
        <w:rPr>
          <w:rFonts w:hint="default"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rPr>
        <w:t>项目名称：</w:t>
      </w:r>
      <w:bookmarkEnd w:id="8"/>
      <w:r>
        <w:rPr>
          <w:rFonts w:hint="eastAsia" w:ascii="仿宋" w:hAnsi="仿宋" w:eastAsia="仿宋" w:cs="仿宋"/>
          <w:color w:val="auto"/>
          <w:sz w:val="36"/>
          <w:szCs w:val="30"/>
          <w:highlight w:val="none"/>
          <w:lang w:val="en-US" w:eastAsia="zh-CN"/>
        </w:rPr>
        <w:t>病媒生物防制服务</w:t>
      </w:r>
    </w:p>
    <w:p w14:paraId="6D258B73">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36"/>
          <w:szCs w:val="30"/>
          <w:highlight w:val="none"/>
        </w:rPr>
      </w:pPr>
    </w:p>
    <w:p w14:paraId="34044AEA">
      <w:pPr>
        <w:pageBreakBefore w:val="0"/>
        <w:kinsoku/>
        <w:topLinePunct w:val="0"/>
        <w:bidi w:val="0"/>
        <w:adjustRightInd w:val="0"/>
        <w:snapToGrid w:val="0"/>
        <w:spacing w:line="240" w:lineRule="atLeast"/>
        <w:ind w:left="0" w:leftChars="0" w:right="0" w:firstLine="1080" w:firstLineChars="300"/>
        <w:textAlignment w:val="auto"/>
        <w:rPr>
          <w:rFonts w:ascii="仿宋" w:hAnsi="仿宋" w:eastAsia="仿宋" w:cs="仿宋"/>
          <w:color w:val="auto"/>
          <w:sz w:val="36"/>
          <w:szCs w:val="30"/>
          <w:highlight w:val="none"/>
        </w:rPr>
      </w:pPr>
    </w:p>
    <w:p w14:paraId="416D932B">
      <w:pPr>
        <w:pStyle w:val="8"/>
        <w:pageBreakBefore w:val="0"/>
        <w:kinsoku/>
        <w:topLinePunct w:val="0"/>
        <w:bidi w:val="0"/>
        <w:adjustRightInd w:val="0"/>
        <w:snapToGrid w:val="0"/>
        <w:spacing w:line="240" w:lineRule="atLeast"/>
        <w:ind w:left="0" w:leftChars="0" w:right="0"/>
        <w:textAlignment w:val="auto"/>
        <w:rPr>
          <w:rFonts w:ascii="仿宋" w:hAnsi="仿宋" w:eastAsia="仿宋"/>
          <w:color w:val="auto"/>
          <w:highlight w:val="none"/>
        </w:rPr>
      </w:pPr>
    </w:p>
    <w:p w14:paraId="6B759B61">
      <w:pPr>
        <w:rPr>
          <w:rFonts w:ascii="仿宋" w:hAnsi="仿宋" w:eastAsia="仿宋"/>
          <w:color w:val="auto"/>
          <w:highlight w:val="none"/>
        </w:rPr>
      </w:pPr>
    </w:p>
    <w:p w14:paraId="6774A52F">
      <w:pPr>
        <w:rPr>
          <w:rFonts w:ascii="仿宋" w:hAnsi="仿宋" w:eastAsia="仿宋"/>
          <w:color w:val="auto"/>
          <w:highlight w:val="none"/>
        </w:rPr>
      </w:pPr>
    </w:p>
    <w:p w14:paraId="1B13568E">
      <w:pPr>
        <w:rPr>
          <w:rFonts w:ascii="仿宋" w:hAnsi="仿宋" w:eastAsia="仿宋"/>
          <w:color w:val="auto"/>
          <w:highlight w:val="none"/>
        </w:rPr>
      </w:pPr>
    </w:p>
    <w:p w14:paraId="5E6AB13A">
      <w:pPr>
        <w:rPr>
          <w:rFonts w:ascii="仿宋" w:hAnsi="仿宋" w:eastAsia="仿宋"/>
          <w:color w:val="auto"/>
          <w:highlight w:val="none"/>
        </w:rPr>
      </w:pPr>
    </w:p>
    <w:p w14:paraId="41A311BD">
      <w:pPr>
        <w:pStyle w:val="8"/>
        <w:pageBreakBefore w:val="0"/>
        <w:kinsoku/>
        <w:topLinePunct w:val="0"/>
        <w:bidi w:val="0"/>
        <w:adjustRightInd w:val="0"/>
        <w:snapToGrid w:val="0"/>
        <w:spacing w:line="240" w:lineRule="atLeast"/>
        <w:ind w:left="0" w:leftChars="0" w:right="0"/>
        <w:textAlignment w:val="auto"/>
        <w:rPr>
          <w:rFonts w:ascii="仿宋" w:hAnsi="仿宋" w:eastAsia="仿宋"/>
          <w:color w:val="auto"/>
          <w:highlight w:val="none"/>
        </w:rPr>
      </w:pPr>
    </w:p>
    <w:p w14:paraId="15093993">
      <w:pPr>
        <w:pStyle w:val="8"/>
        <w:pageBreakBefore w:val="0"/>
        <w:kinsoku/>
        <w:topLinePunct w:val="0"/>
        <w:bidi w:val="0"/>
        <w:adjustRightInd w:val="0"/>
        <w:snapToGrid w:val="0"/>
        <w:spacing w:line="240" w:lineRule="atLeast"/>
        <w:ind w:left="0" w:leftChars="0" w:right="0"/>
        <w:textAlignment w:val="auto"/>
        <w:rPr>
          <w:rFonts w:ascii="仿宋" w:hAnsi="仿宋" w:eastAsia="仿宋"/>
          <w:color w:val="auto"/>
          <w:highlight w:val="none"/>
        </w:rPr>
      </w:pPr>
    </w:p>
    <w:p w14:paraId="411B84D1">
      <w:pPr>
        <w:pStyle w:val="8"/>
        <w:pageBreakBefore w:val="0"/>
        <w:kinsoku/>
        <w:topLinePunct w:val="0"/>
        <w:bidi w:val="0"/>
        <w:adjustRightInd w:val="0"/>
        <w:snapToGrid w:val="0"/>
        <w:spacing w:line="240" w:lineRule="atLeast"/>
        <w:ind w:left="0" w:leftChars="0" w:right="0" w:firstLine="1080" w:firstLineChars="300"/>
        <w:jc w:val="both"/>
        <w:textAlignment w:val="auto"/>
        <w:rPr>
          <w:rFonts w:hint="default"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val="en-US" w:eastAsia="zh-CN"/>
        </w:rPr>
        <w:t>重庆市渝北职业教育中心</w:t>
      </w:r>
    </w:p>
    <w:p w14:paraId="6335B2BA">
      <w:pPr>
        <w:pStyle w:val="8"/>
        <w:pageBreakBefore w:val="0"/>
        <w:kinsoku/>
        <w:topLinePunct w:val="0"/>
        <w:bidi w:val="0"/>
        <w:adjustRightInd w:val="0"/>
        <w:snapToGrid w:val="0"/>
        <w:spacing w:line="240" w:lineRule="atLeast"/>
        <w:ind w:left="0" w:leftChars="0" w:right="0"/>
        <w:jc w:val="center"/>
        <w:textAlignment w:val="auto"/>
        <w:rPr>
          <w:rFonts w:ascii="仿宋" w:hAnsi="仿宋" w:eastAsia="仿宋" w:cs="宋体"/>
          <w:b/>
          <w:bCs/>
          <w:color w:val="auto"/>
          <w:spacing w:val="80"/>
          <w:sz w:val="44"/>
          <w:szCs w:val="44"/>
          <w:highlight w:val="none"/>
        </w:rPr>
      </w:pPr>
      <w:r>
        <w:rPr>
          <w:rFonts w:hint="eastAsia" w:ascii="仿宋" w:hAnsi="仿宋" w:eastAsia="仿宋" w:cs="仿宋"/>
          <w:color w:val="auto"/>
          <w:sz w:val="36"/>
          <w:szCs w:val="30"/>
          <w:highlight w:val="none"/>
          <w:lang w:val="en-US" w:eastAsia="zh-CN"/>
        </w:rPr>
        <w:t>2025年5月6日</w:t>
      </w:r>
      <w:r>
        <w:rPr>
          <w:rFonts w:hint="eastAsia" w:ascii="仿宋" w:hAnsi="仿宋" w:eastAsia="仿宋" w:cs="仿宋"/>
          <w:color w:val="auto"/>
          <w:sz w:val="44"/>
          <w:szCs w:val="28"/>
          <w:highlight w:val="none"/>
        </w:rPr>
        <w:br w:type="page"/>
      </w:r>
    </w:p>
    <w:p w14:paraId="3C11B6B8">
      <w:pPr>
        <w:pageBreakBefore w:val="0"/>
        <w:kinsoku/>
        <w:topLinePunct w:val="0"/>
        <w:bidi w:val="0"/>
        <w:adjustRightInd w:val="0"/>
        <w:snapToGrid w:val="0"/>
        <w:spacing w:line="240" w:lineRule="atLeast"/>
        <w:ind w:left="0" w:leftChars="0" w:right="0" w:firstLine="723" w:firstLineChars="200"/>
        <w:jc w:val="center"/>
        <w:textAlignment w:val="auto"/>
        <w:rPr>
          <w:rFonts w:ascii="仿宋" w:hAnsi="仿宋" w:eastAsia="仿宋" w:cs="仿宋"/>
          <w:b/>
          <w:bCs/>
          <w:color w:val="auto"/>
          <w:sz w:val="24"/>
          <w:szCs w:val="24"/>
          <w:highlight w:val="none"/>
        </w:rPr>
      </w:pPr>
      <w:bookmarkStart w:id="9" w:name="_Toc11641050"/>
      <w:bookmarkStart w:id="10" w:name="_Toc106030870"/>
      <w:bookmarkStart w:id="11" w:name="_Toc12789052"/>
      <w:bookmarkStart w:id="12" w:name="_Toc76462316"/>
      <w:r>
        <w:rPr>
          <w:rFonts w:hint="eastAsia" w:ascii="仿宋" w:hAnsi="仿宋" w:eastAsia="仿宋" w:cs="仿宋"/>
          <w:b/>
          <w:bCs/>
          <w:color w:val="auto"/>
          <w:sz w:val="36"/>
          <w:szCs w:val="30"/>
          <w:highlight w:val="none"/>
        </w:rPr>
        <w:t>第一篇  竞采邀请书</w:t>
      </w:r>
      <w:bookmarkEnd w:id="9"/>
      <w:bookmarkEnd w:id="10"/>
      <w:bookmarkEnd w:id="11"/>
      <w:bookmarkEnd w:id="12"/>
    </w:p>
    <w:p w14:paraId="67F3E8C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重庆市渝北职业教育中心对学校食堂内外及校园病媒生物防制服务</w:t>
      </w:r>
      <w:r>
        <w:rPr>
          <w:rFonts w:hint="eastAsia" w:ascii="仿宋" w:hAnsi="仿宋" w:eastAsia="仿宋" w:cs="仿宋"/>
          <w:color w:val="auto"/>
          <w:sz w:val="24"/>
          <w:szCs w:val="24"/>
          <w:highlight w:val="none"/>
        </w:rPr>
        <w:t>进行网上竞采采购。欢迎有资格的供应商前来参与网上竞采。</w:t>
      </w:r>
    </w:p>
    <w:p w14:paraId="465C00D1">
      <w:pPr>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b/>
          <w:bCs/>
          <w:color w:val="auto"/>
          <w:spacing w:val="80"/>
          <w:sz w:val="44"/>
          <w:szCs w:val="44"/>
          <w:highlight w:val="none"/>
        </w:rPr>
      </w:pPr>
      <w:r>
        <w:rPr>
          <w:rFonts w:hint="eastAsia" w:ascii="仿宋" w:hAnsi="仿宋" w:eastAsia="仿宋"/>
          <w:b/>
          <w:bCs/>
          <w:color w:val="auto"/>
          <w:spacing w:val="80"/>
          <w:sz w:val="44"/>
          <w:szCs w:val="44"/>
          <w:highlight w:val="none"/>
        </w:rPr>
        <w:t>（</w:t>
      </w:r>
      <w:r>
        <w:rPr>
          <w:rFonts w:hint="eastAsia" w:ascii="仿宋" w:hAnsi="仿宋" w:eastAsia="仿宋"/>
          <w:b/>
          <w:bCs/>
          <w:color w:val="auto"/>
          <w:spacing w:val="80"/>
          <w:sz w:val="44"/>
          <w:szCs w:val="44"/>
          <w:highlight w:val="none"/>
          <w:lang w:val="en-US" w:eastAsia="zh-CN"/>
        </w:rPr>
        <w:t>最低报价法</w:t>
      </w:r>
      <w:r>
        <w:rPr>
          <w:rFonts w:hint="eastAsia" w:ascii="仿宋" w:hAnsi="仿宋" w:eastAsia="仿宋"/>
          <w:b/>
          <w:bCs/>
          <w:color w:val="auto"/>
          <w:spacing w:val="80"/>
          <w:sz w:val="44"/>
          <w:szCs w:val="44"/>
          <w:highlight w:val="none"/>
        </w:rPr>
        <w:t>）</w:t>
      </w:r>
    </w:p>
    <w:p w14:paraId="2F047DFF">
      <w:pPr>
        <w:pStyle w:val="3"/>
        <w:pageBreakBefore w:val="0"/>
        <w:kinsoku/>
        <w:topLinePunct w:val="0"/>
        <w:bidi w:val="0"/>
        <w:adjustRightInd w:val="0"/>
        <w:snapToGrid w:val="0"/>
        <w:spacing w:before="0" w:after="0" w:line="240" w:lineRule="atLeast"/>
        <w:ind w:left="0" w:leftChars="0" w:right="0"/>
        <w:textAlignment w:val="auto"/>
        <w:rPr>
          <w:rFonts w:ascii="仿宋" w:hAnsi="仿宋" w:eastAsia="仿宋" w:cs="仿宋"/>
          <w:color w:val="auto"/>
          <w:sz w:val="24"/>
          <w:szCs w:val="24"/>
          <w:highlight w:val="none"/>
        </w:rPr>
      </w:pPr>
      <w:bookmarkStart w:id="13" w:name="_Toc7625"/>
      <w:bookmarkStart w:id="14" w:name="_Toc12808"/>
      <w:bookmarkStart w:id="15" w:name="_Toc18881"/>
      <w:bookmarkStart w:id="16" w:name="_Toc3463"/>
      <w:bookmarkStart w:id="17" w:name="_Toc313893526"/>
      <w:bookmarkStart w:id="18" w:name="_Toc25458"/>
      <w:bookmarkStart w:id="19" w:name="_Toc317775175"/>
      <w:bookmarkStart w:id="20" w:name="_Toc26820"/>
      <w:bookmarkStart w:id="21" w:name="_Toc18159"/>
      <w:r>
        <w:rPr>
          <w:rFonts w:hint="eastAsia" w:ascii="仿宋" w:hAnsi="仿宋" w:eastAsia="仿宋" w:cs="宋体"/>
          <w:color w:val="auto"/>
          <w:sz w:val="24"/>
          <w:szCs w:val="24"/>
          <w:highlight w:val="none"/>
        </w:rPr>
        <w:t>一、</w:t>
      </w:r>
      <w:r>
        <w:rPr>
          <w:rFonts w:hint="eastAsia" w:ascii="仿宋" w:hAnsi="仿宋" w:eastAsia="仿宋" w:cs="仿宋"/>
          <w:color w:val="auto"/>
          <w:sz w:val="24"/>
          <w:szCs w:val="24"/>
          <w:highlight w:val="none"/>
        </w:rPr>
        <w:t>竞采项目内容</w:t>
      </w:r>
      <w:bookmarkEnd w:id="13"/>
      <w:bookmarkEnd w:id="14"/>
      <w:bookmarkEnd w:id="15"/>
      <w:bookmarkEnd w:id="16"/>
      <w:bookmarkEnd w:id="17"/>
      <w:bookmarkEnd w:id="18"/>
      <w:bookmarkEnd w:id="19"/>
      <w:bookmarkEnd w:id="20"/>
      <w:bookmarkEnd w:id="21"/>
    </w:p>
    <w:tbl>
      <w:tblPr>
        <w:tblStyle w:val="1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3C28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1AF6EACA">
            <w:pPr>
              <w:pageBreakBefore w:val="0"/>
              <w:widowControl/>
              <w:kinsoku/>
              <w:topLinePunct w:val="0"/>
              <w:bidi w:val="0"/>
              <w:adjustRightInd w:val="0"/>
              <w:snapToGrid w:val="0"/>
              <w:spacing w:line="240" w:lineRule="atLeast"/>
              <w:ind w:left="0" w:leftChars="0" w:right="0"/>
              <w:jc w:val="center"/>
              <w:textAlignment w:val="auto"/>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14:paraId="38851B5B">
            <w:pPr>
              <w:pageBreakBefore w:val="0"/>
              <w:widowControl/>
              <w:kinsoku/>
              <w:topLinePunct w:val="0"/>
              <w:bidi w:val="0"/>
              <w:adjustRightInd w:val="0"/>
              <w:snapToGrid w:val="0"/>
              <w:spacing w:line="240" w:lineRule="atLeast"/>
              <w:ind w:left="0" w:leftChars="0" w:right="0"/>
              <w:jc w:val="center"/>
              <w:textAlignment w:val="auto"/>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w:t>
            </w:r>
          </w:p>
          <w:p w14:paraId="4F5C48FA">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（万元）</w:t>
            </w:r>
          </w:p>
        </w:tc>
        <w:tc>
          <w:tcPr>
            <w:tcW w:w="1903" w:type="dxa"/>
            <w:tcBorders>
              <w:top w:val="single" w:color="auto" w:sz="4" w:space="0"/>
              <w:left w:val="single" w:color="auto" w:sz="4" w:space="0"/>
              <w:right w:val="single" w:color="auto" w:sz="4" w:space="0"/>
            </w:tcBorders>
            <w:vAlign w:val="center"/>
          </w:tcPr>
          <w:p w14:paraId="72B6FFA6">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231" w:type="dxa"/>
            <w:tcBorders>
              <w:top w:val="single" w:color="auto" w:sz="4" w:space="0"/>
              <w:left w:val="single" w:color="auto" w:sz="4" w:space="0"/>
              <w:right w:val="single" w:color="auto" w:sz="4" w:space="0"/>
            </w:tcBorders>
            <w:vAlign w:val="center"/>
          </w:tcPr>
          <w:p w14:paraId="2D94B364">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6E15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30" w:type="dxa"/>
            <w:tcBorders>
              <w:top w:val="single" w:color="auto" w:sz="4" w:space="0"/>
              <w:left w:val="single" w:color="auto" w:sz="4" w:space="0"/>
              <w:right w:val="single" w:color="auto" w:sz="4" w:space="0"/>
            </w:tcBorders>
            <w:vAlign w:val="center"/>
          </w:tcPr>
          <w:p w14:paraId="74E7B0FF">
            <w:pPr>
              <w:pageBreakBefore w:val="0"/>
              <w:widowControl/>
              <w:kinsoku/>
              <w:topLinePunct w:val="0"/>
              <w:bidi w:val="0"/>
              <w:adjustRightInd w:val="0"/>
              <w:snapToGrid w:val="0"/>
              <w:spacing w:line="240" w:lineRule="atLeast"/>
              <w:ind w:left="0" w:leftChars="0" w:right="0"/>
              <w:jc w:val="left"/>
              <w:textAlignment w:val="auto"/>
              <w:rPr>
                <w:rFonts w:hint="default" w:ascii="仿宋" w:hAnsi="仿宋" w:eastAsia="仿宋" w:cs="仿宋"/>
                <w:color w:val="auto"/>
                <w:kern w:val="0"/>
                <w:sz w:val="24"/>
                <w:szCs w:val="24"/>
                <w:highlight w:val="none"/>
                <w:lang w:val="en-US" w:eastAsia="zh-CN"/>
              </w:rPr>
            </w:pPr>
            <w:bookmarkStart w:id="22" w:name="_Hlk344477914"/>
            <w:r>
              <w:rPr>
                <w:rFonts w:hint="eastAsia" w:ascii="仿宋" w:hAnsi="仿宋" w:eastAsia="仿宋" w:cs="仿宋"/>
                <w:color w:val="auto"/>
                <w:sz w:val="24"/>
                <w:szCs w:val="24"/>
                <w:highlight w:val="none"/>
                <w:lang w:val="en-US" w:eastAsia="zh-CN"/>
              </w:rPr>
              <w:t>学校食堂内外及校园病媒生物防制服务</w:t>
            </w:r>
          </w:p>
        </w:tc>
        <w:tc>
          <w:tcPr>
            <w:tcW w:w="1746" w:type="dxa"/>
            <w:tcBorders>
              <w:top w:val="single" w:color="auto" w:sz="4" w:space="0"/>
              <w:left w:val="single" w:color="auto" w:sz="4" w:space="0"/>
              <w:right w:val="single" w:color="auto" w:sz="4" w:space="0"/>
            </w:tcBorders>
            <w:vAlign w:val="center"/>
          </w:tcPr>
          <w:p w14:paraId="012DD0C1">
            <w:pPr>
              <w:pageBreakBefore w:val="0"/>
              <w:widowControl/>
              <w:kinsoku/>
              <w:topLinePunct w:val="0"/>
              <w:bidi w:val="0"/>
              <w:adjustRightInd w:val="0"/>
              <w:snapToGrid w:val="0"/>
              <w:spacing w:line="240" w:lineRule="atLeast"/>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4.8</w:t>
            </w:r>
          </w:p>
        </w:tc>
        <w:tc>
          <w:tcPr>
            <w:tcW w:w="1903" w:type="dxa"/>
            <w:tcBorders>
              <w:top w:val="single" w:color="auto" w:sz="4" w:space="0"/>
              <w:left w:val="single" w:color="auto" w:sz="4" w:space="0"/>
              <w:right w:val="single" w:color="auto" w:sz="4" w:space="0"/>
            </w:tcBorders>
            <w:vAlign w:val="center"/>
          </w:tcPr>
          <w:p w14:paraId="54CBA31F">
            <w:pPr>
              <w:pageBreakBefore w:val="0"/>
              <w:widowControl/>
              <w:kinsoku/>
              <w:topLinePunct w:val="0"/>
              <w:bidi w:val="0"/>
              <w:adjustRightInd w:val="0"/>
              <w:snapToGrid w:val="0"/>
              <w:spacing w:line="240" w:lineRule="atLeast"/>
              <w:ind w:left="0" w:leftChars="0" w:right="0"/>
              <w:jc w:val="center"/>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231" w:type="dxa"/>
            <w:tcBorders>
              <w:top w:val="single" w:color="auto" w:sz="4" w:space="0"/>
              <w:left w:val="single" w:color="auto" w:sz="4" w:space="0"/>
              <w:right w:val="single" w:color="auto" w:sz="4" w:space="0"/>
            </w:tcBorders>
            <w:vAlign w:val="center"/>
          </w:tcPr>
          <w:p w14:paraId="0BDC0DD1">
            <w:pPr>
              <w:pageBreakBefore w:val="0"/>
              <w:kinsoku/>
              <w:topLinePunct w:val="0"/>
              <w:bidi w:val="0"/>
              <w:adjustRightInd w:val="0"/>
              <w:snapToGrid w:val="0"/>
              <w:spacing w:line="240" w:lineRule="atLeast"/>
              <w:ind w:left="0" w:leftChars="0" w:right="0"/>
              <w:textAlignment w:val="auto"/>
              <w:rPr>
                <w:rFonts w:ascii="仿宋" w:hAnsi="仿宋" w:eastAsia="仿宋" w:cs="仿宋"/>
                <w:b/>
                <w:color w:val="auto"/>
                <w:sz w:val="24"/>
                <w:szCs w:val="24"/>
                <w:highlight w:val="none"/>
              </w:rPr>
            </w:pPr>
          </w:p>
        </w:tc>
      </w:tr>
      <w:bookmarkEnd w:id="22"/>
    </w:tbl>
    <w:p w14:paraId="4AA4523B">
      <w:pPr>
        <w:pStyle w:val="3"/>
        <w:pageBreakBefore w:val="0"/>
        <w:kinsoku/>
        <w:topLinePunct w:val="0"/>
        <w:bidi w:val="0"/>
        <w:adjustRightInd w:val="0"/>
        <w:snapToGrid w:val="0"/>
        <w:spacing w:before="0" w:after="0" w:line="240" w:lineRule="atLeast"/>
        <w:ind w:left="0" w:leftChars="0" w:right="0"/>
        <w:textAlignment w:val="auto"/>
        <w:rPr>
          <w:rFonts w:ascii="仿宋" w:hAnsi="仿宋" w:eastAsia="仿宋" w:cs="仿宋"/>
          <w:color w:val="auto"/>
          <w:sz w:val="24"/>
          <w:szCs w:val="24"/>
          <w:highlight w:val="none"/>
        </w:rPr>
      </w:pPr>
      <w:bookmarkStart w:id="23" w:name="_Toc6462"/>
      <w:bookmarkStart w:id="24" w:name="_Toc25190"/>
      <w:bookmarkStart w:id="25" w:name="_Toc1790"/>
      <w:bookmarkStart w:id="26" w:name="_Toc15576"/>
      <w:bookmarkStart w:id="27" w:name="_Toc15727"/>
      <w:bookmarkStart w:id="28" w:name="_Toc22399"/>
      <w:bookmarkStart w:id="29" w:name="_Toc19437"/>
      <w:bookmarkStart w:id="30" w:name="_Toc317775178"/>
      <w:bookmarkStart w:id="31" w:name="_Toc373860293"/>
      <w:r>
        <w:rPr>
          <w:rFonts w:hint="eastAsia" w:ascii="仿宋" w:hAnsi="仿宋" w:eastAsia="仿宋" w:cs="仿宋"/>
          <w:color w:val="auto"/>
          <w:sz w:val="24"/>
          <w:szCs w:val="24"/>
          <w:highlight w:val="none"/>
        </w:rPr>
        <w:t>二、资金来源</w:t>
      </w:r>
    </w:p>
    <w:p w14:paraId="2ED77FB0">
      <w:pPr>
        <w:pStyle w:val="3"/>
        <w:pageBreakBefore w:val="0"/>
        <w:kinsoku/>
        <w:topLinePunct w:val="0"/>
        <w:bidi w:val="0"/>
        <w:adjustRightInd w:val="0"/>
        <w:snapToGrid w:val="0"/>
        <w:spacing w:before="0" w:after="0" w:line="240" w:lineRule="atLeast"/>
        <w:ind w:left="0" w:leftChars="0" w:right="0" w:firstLine="480" w:firstLineChars="200"/>
        <w:textAlignment w:val="auto"/>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财政预算资金</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学校办公经费）</w:t>
      </w:r>
      <w:r>
        <w:rPr>
          <w:rFonts w:hint="eastAsia" w:ascii="仿宋" w:hAnsi="仿宋" w:eastAsia="仿宋" w:cs="仿宋"/>
          <w:b w:val="0"/>
          <w:bCs/>
          <w:color w:val="auto"/>
          <w:sz w:val="24"/>
          <w:szCs w:val="24"/>
          <w:highlight w:val="none"/>
        </w:rPr>
        <w:t>，预算金额为</w:t>
      </w:r>
      <w:r>
        <w:rPr>
          <w:rFonts w:hint="eastAsia" w:ascii="仿宋" w:hAnsi="仿宋" w:eastAsia="仿宋" w:cs="仿宋"/>
          <w:b w:val="0"/>
          <w:bCs/>
          <w:color w:val="auto"/>
          <w:sz w:val="24"/>
          <w:szCs w:val="24"/>
          <w:highlight w:val="none"/>
          <w:lang w:val="en-US" w:eastAsia="zh-CN"/>
        </w:rPr>
        <w:t>4.8</w:t>
      </w:r>
      <w:r>
        <w:rPr>
          <w:rFonts w:hint="eastAsia" w:ascii="仿宋" w:hAnsi="仿宋" w:eastAsia="仿宋" w:cs="仿宋"/>
          <w:b w:val="0"/>
          <w:bCs/>
          <w:color w:val="auto"/>
          <w:sz w:val="24"/>
          <w:szCs w:val="24"/>
          <w:highlight w:val="none"/>
        </w:rPr>
        <w:t>万元。</w:t>
      </w:r>
    </w:p>
    <w:p w14:paraId="283034EE">
      <w:pPr>
        <w:pStyle w:val="3"/>
        <w:pageBreakBefore w:val="0"/>
        <w:kinsoku/>
        <w:topLinePunct w:val="0"/>
        <w:bidi w:val="0"/>
        <w:adjustRightInd w:val="0"/>
        <w:snapToGrid w:val="0"/>
        <w:spacing w:before="0" w:after="0"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bookmarkEnd w:id="23"/>
      <w:bookmarkEnd w:id="24"/>
      <w:bookmarkEnd w:id="25"/>
      <w:bookmarkEnd w:id="26"/>
      <w:bookmarkEnd w:id="27"/>
      <w:bookmarkEnd w:id="28"/>
      <w:bookmarkEnd w:id="29"/>
      <w:r>
        <w:rPr>
          <w:rFonts w:hint="eastAsia" w:ascii="仿宋" w:hAnsi="仿宋" w:eastAsia="仿宋" w:cs="仿宋"/>
          <w:color w:val="auto"/>
          <w:sz w:val="24"/>
          <w:szCs w:val="24"/>
          <w:highlight w:val="none"/>
        </w:rPr>
        <w:t>竞采资格条件</w:t>
      </w:r>
    </w:p>
    <w:p w14:paraId="73A6DEDE">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（一）基本条件</w:t>
      </w:r>
    </w:p>
    <w:p w14:paraId="5FF66A23">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满足《中华人民共和国政府采购法》第二十二条规定</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　</w:t>
      </w:r>
    </w:p>
    <w:p w14:paraId="0311F02B">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1、法人或者其他组织的营业执照等证明文件，自然人的身份证明</w:t>
      </w:r>
      <w:r>
        <w:rPr>
          <w:rFonts w:hint="eastAsia" w:ascii="仿宋" w:hAnsi="仿宋" w:eastAsia="仿宋" w:cs="Times New Roman"/>
          <w:color w:val="auto"/>
          <w:sz w:val="24"/>
          <w:szCs w:val="24"/>
          <w:highlight w:val="none"/>
          <w:lang w:eastAsia="zh-CN"/>
        </w:rPr>
        <w:t>。</w:t>
      </w:r>
    </w:p>
    <w:p w14:paraId="7E5AA0C2">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2、财务状况报告，依法缴纳税收和社会保障资金的相关材料</w:t>
      </w:r>
      <w:r>
        <w:rPr>
          <w:rFonts w:hint="eastAsia" w:ascii="仿宋" w:hAnsi="仿宋" w:eastAsia="仿宋" w:cs="Times New Roman"/>
          <w:color w:val="auto"/>
          <w:sz w:val="24"/>
          <w:szCs w:val="24"/>
          <w:highlight w:val="none"/>
          <w:lang w:eastAsia="zh-CN"/>
        </w:rPr>
        <w:t>。</w:t>
      </w:r>
    </w:p>
    <w:p w14:paraId="06FC1A72">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3、具备履行合同所必需的设备和专业技术能力的证明材料</w:t>
      </w:r>
      <w:r>
        <w:rPr>
          <w:rFonts w:hint="eastAsia" w:ascii="仿宋" w:hAnsi="仿宋" w:eastAsia="仿宋" w:cs="Times New Roman"/>
          <w:color w:val="auto"/>
          <w:sz w:val="24"/>
          <w:szCs w:val="24"/>
          <w:highlight w:val="none"/>
          <w:lang w:eastAsia="zh-CN"/>
        </w:rPr>
        <w:t>。</w:t>
      </w:r>
    </w:p>
    <w:p w14:paraId="3F97CF64">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4、参加政府采购活动前3年内在经营活动中没有重大违法记录的书面声明</w:t>
      </w:r>
      <w:r>
        <w:rPr>
          <w:rFonts w:hint="eastAsia" w:ascii="仿宋" w:hAnsi="仿宋" w:eastAsia="仿宋" w:cs="Times New Roman"/>
          <w:color w:val="auto"/>
          <w:sz w:val="24"/>
          <w:szCs w:val="24"/>
          <w:highlight w:val="none"/>
          <w:lang w:eastAsia="zh-CN"/>
        </w:rPr>
        <w:t>。</w:t>
      </w:r>
    </w:p>
    <w:p w14:paraId="15E7DBB8">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5、具备法律、行政法规规定的其他条件的证明材料。</w:t>
      </w:r>
    </w:p>
    <w:p w14:paraId="5F31B379">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（二）特定资格条件</w:t>
      </w:r>
    </w:p>
    <w:bookmarkEnd w:id="30"/>
    <w:bookmarkEnd w:id="31"/>
    <w:p w14:paraId="3E8558AC">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无</w:t>
      </w:r>
    </w:p>
    <w:p w14:paraId="2BBBD8E0">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四、竞采有关说明</w:t>
      </w:r>
    </w:p>
    <w:p w14:paraId="0A9E49A8">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（一）供应商应通过重庆市政府采购网（</w:t>
      </w:r>
      <w:r>
        <w:rPr>
          <w:color w:val="auto"/>
          <w:highlight w:val="none"/>
        </w:rPr>
        <w:fldChar w:fldCharType="begin"/>
      </w:r>
      <w:r>
        <w:rPr>
          <w:color w:val="auto"/>
          <w:highlight w:val="none"/>
        </w:rPr>
        <w:instrText xml:space="preserve"> HYPERLINK "http://www.cqgp.gov.cn" </w:instrText>
      </w:r>
      <w:r>
        <w:rPr>
          <w:color w:val="auto"/>
          <w:highlight w:val="none"/>
        </w:rPr>
        <w:fldChar w:fldCharType="separate"/>
      </w:r>
      <w:r>
        <w:rPr>
          <w:rFonts w:hint="eastAsia" w:ascii="仿宋" w:hAnsi="仿宋" w:eastAsia="仿宋" w:cs="仿宋"/>
          <w:color w:val="auto"/>
          <w:sz w:val="24"/>
          <w:szCs w:val="24"/>
          <w:highlight w:val="none"/>
        </w:rPr>
        <w:t>www.ccgp-chongqing.gov.cn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）登记加入“重庆市政府采购供应商库”。</w:t>
      </w:r>
    </w:p>
    <w:p w14:paraId="5CB67E12">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二）凡有意参加采购的供应商，请在重庆市政府采购云平台·网上竞采中心（https://xj.ccgp-chongqing.gov.cn/ge/）网上下载本项目网上竞采文件以及变更等采购前公布的所有项目资料，无论供应商下载与否，均视为已知晓所有采购实质性要求内容。</w:t>
      </w:r>
    </w:p>
    <w:p w14:paraId="16275D84">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（三）线上报价</w:t>
      </w:r>
    </w:p>
    <w:p w14:paraId="587FFC3B">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1.线上报价时间：按本项目网上公告规定的报价截止时间为准。</w:t>
      </w:r>
    </w:p>
    <w:p w14:paraId="5E539C8B">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2.线上报价要求：按本项目规定的时间在重庆市政府采购云平台·网上竞采中心（</w:t>
      </w:r>
      <w:r>
        <w:rPr>
          <w:rFonts w:ascii="仿宋" w:hAnsi="仿宋" w:eastAsia="仿宋"/>
          <w:color w:val="auto"/>
          <w:sz w:val="24"/>
          <w:szCs w:val="24"/>
          <w:highlight w:val="none"/>
        </w:rPr>
        <w:t>https://xj.ccgp-chongqing.gov.cn/ge/</w:t>
      </w:r>
      <w:r>
        <w:rPr>
          <w:rFonts w:hint="eastAsia" w:ascii="仿宋" w:hAnsi="仿宋" w:eastAsia="仿宋"/>
          <w:color w:val="auto"/>
          <w:sz w:val="24"/>
          <w:szCs w:val="24"/>
          <w:highlight w:val="none"/>
        </w:rPr>
        <w:t>）进行网上报价。</w:t>
      </w:r>
    </w:p>
    <w:p w14:paraId="033339E6">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olor w:val="auto"/>
          <w:sz w:val="24"/>
          <w:szCs w:val="24"/>
          <w:highlight w:val="none"/>
        </w:rPr>
        <w:t>（四）</w:t>
      </w:r>
      <w:r>
        <w:rPr>
          <w:rFonts w:hint="eastAsia" w:ascii="仿宋" w:hAnsi="仿宋" w:eastAsia="仿宋" w:cs="仿宋"/>
          <w:bCs/>
          <w:color w:val="auto"/>
          <w:sz w:val="24"/>
          <w:szCs w:val="24"/>
          <w:highlight w:val="none"/>
        </w:rPr>
        <w:t>供应商须在平台上报价并按要求上传响应文件，未按要求</w:t>
      </w:r>
      <w:r>
        <w:rPr>
          <w:rFonts w:hint="eastAsia" w:ascii="仿宋" w:hAnsi="仿宋" w:eastAsia="仿宋" w:cs="仿宋"/>
          <w:bCs/>
          <w:color w:val="auto"/>
          <w:sz w:val="24"/>
          <w:szCs w:val="24"/>
          <w:highlight w:val="none"/>
          <w:lang w:val="en-US" w:eastAsia="zh-CN"/>
        </w:rPr>
        <w:t>报名、报价和上传响应文件</w:t>
      </w:r>
      <w:r>
        <w:rPr>
          <w:rFonts w:hint="eastAsia" w:ascii="仿宋" w:hAnsi="仿宋" w:eastAsia="仿宋" w:cs="仿宋"/>
          <w:bCs/>
          <w:color w:val="auto"/>
          <w:sz w:val="24"/>
          <w:szCs w:val="24"/>
          <w:highlight w:val="none"/>
        </w:rPr>
        <w:t>的为无效供应商。</w:t>
      </w:r>
    </w:p>
    <w:p w14:paraId="22965882">
      <w:pPr>
        <w:pageBreakBefore w:val="0"/>
        <w:kinsoku/>
        <w:topLinePunct w:val="0"/>
        <w:bidi w:val="0"/>
        <w:adjustRightInd w:val="0"/>
        <w:snapToGrid w:val="0"/>
        <w:spacing w:line="240" w:lineRule="atLeast"/>
        <w:ind w:left="0" w:leftChars="0" w:right="0"/>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w:t>
      </w:r>
      <w:bookmarkStart w:id="32" w:name="_Toc27955"/>
      <w:bookmarkStart w:id="33" w:name="_Toc3475"/>
      <w:bookmarkStart w:id="34" w:name="_Toc20778"/>
      <w:bookmarkStart w:id="35" w:name="_Toc9654"/>
      <w:bookmarkStart w:id="36" w:name="_Toc5085"/>
      <w:bookmarkStart w:id="37" w:name="_Toc25886"/>
      <w:bookmarkStart w:id="38" w:name="_Toc11828"/>
      <w:bookmarkStart w:id="39" w:name="_Toc15478"/>
      <w:bookmarkStart w:id="40" w:name="_Toc14778"/>
      <w:bookmarkStart w:id="41" w:name="_Toc31315"/>
      <w:bookmarkStart w:id="42" w:name="_Toc9027"/>
      <w:bookmarkStart w:id="43" w:name="_Toc19730"/>
      <w:bookmarkStart w:id="44" w:name="_Toc25516"/>
      <w:bookmarkStart w:id="45" w:name="_Toc13969"/>
      <w:r>
        <w:rPr>
          <w:rFonts w:hint="eastAsia" w:ascii="仿宋" w:hAnsi="仿宋" w:eastAsia="仿宋" w:cs="仿宋"/>
          <w:b/>
          <w:bCs/>
          <w:color w:val="auto"/>
          <w:sz w:val="24"/>
          <w:szCs w:val="24"/>
          <w:highlight w:val="none"/>
        </w:rPr>
        <w:t>联系方式</w:t>
      </w:r>
      <w:bookmarkEnd w:id="32"/>
      <w:bookmarkEnd w:id="33"/>
      <w:bookmarkEnd w:id="34"/>
      <w:bookmarkEnd w:id="35"/>
      <w:bookmarkEnd w:id="36"/>
      <w:bookmarkEnd w:id="37"/>
      <w:bookmarkEnd w:id="38"/>
    </w:p>
    <w:p w14:paraId="1195FF89">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val="en-US" w:eastAsia="zh-CN"/>
        </w:rPr>
        <w:t>重庆市渝北职业教育中心</w:t>
      </w:r>
    </w:p>
    <w:p w14:paraId="06212EA9">
      <w:pPr>
        <w:pageBreakBefore w:val="0"/>
        <w:kinsoku/>
        <w:topLinePunct w:val="0"/>
        <w:bidi w:val="0"/>
        <w:adjustRightInd w:val="0"/>
        <w:snapToGrid w:val="0"/>
        <w:spacing w:line="240" w:lineRule="atLeast"/>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彭云</w:t>
      </w:r>
    </w:p>
    <w:p w14:paraId="0B8E6D43">
      <w:pPr>
        <w:pageBreakBefore w:val="0"/>
        <w:kinsoku/>
        <w:topLinePunct w:val="0"/>
        <w:bidi w:val="0"/>
        <w:adjustRightInd w:val="0"/>
        <w:snapToGrid w:val="0"/>
        <w:spacing w:line="240" w:lineRule="atLeast"/>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13983954398</w:t>
      </w:r>
    </w:p>
    <w:p w14:paraId="3DCB50FD">
      <w:pPr>
        <w:pageBreakBefore w:val="0"/>
        <w:kinsoku/>
        <w:topLinePunct w:val="0"/>
        <w:bidi w:val="0"/>
        <w:adjustRightInd w:val="0"/>
        <w:snapToGrid w:val="0"/>
        <w:spacing w:line="240" w:lineRule="atLeast"/>
        <w:ind w:left="0" w:leftChars="0"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址：重庆市</w:t>
      </w:r>
      <w:r>
        <w:rPr>
          <w:rFonts w:hint="eastAsia" w:ascii="仿宋" w:hAnsi="仿宋" w:eastAsia="仿宋" w:cs="仿宋"/>
          <w:color w:val="auto"/>
          <w:sz w:val="24"/>
          <w:szCs w:val="24"/>
          <w:highlight w:val="none"/>
          <w:lang w:val="en-US" w:eastAsia="zh-CN"/>
        </w:rPr>
        <w:t>渝北区龙兴镇两江大道985号</w:t>
      </w:r>
    </w:p>
    <w:p w14:paraId="35A156BC">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p>
    <w:p w14:paraId="1880F853">
      <w:pPr>
        <w:pStyle w:val="3"/>
        <w:pageBreakBefore w:val="0"/>
        <w:kinsoku/>
        <w:topLinePunct w:val="0"/>
        <w:bidi w:val="0"/>
        <w:adjustRightInd w:val="0"/>
        <w:snapToGrid w:val="0"/>
        <w:spacing w:before="0" w:after="0"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bookmarkEnd w:id="39"/>
      <w:bookmarkEnd w:id="40"/>
      <w:bookmarkEnd w:id="41"/>
      <w:bookmarkEnd w:id="42"/>
      <w:bookmarkEnd w:id="43"/>
      <w:bookmarkEnd w:id="44"/>
      <w:bookmarkEnd w:id="45"/>
      <w:r>
        <w:rPr>
          <w:rFonts w:hint="eastAsia" w:ascii="仿宋" w:hAnsi="仿宋" w:eastAsia="仿宋" w:cs="仿宋"/>
          <w:color w:val="auto"/>
          <w:sz w:val="24"/>
          <w:szCs w:val="24"/>
          <w:highlight w:val="none"/>
        </w:rPr>
        <w:t>其它有关规定</w:t>
      </w:r>
    </w:p>
    <w:p w14:paraId="63F69731">
      <w:pPr>
        <w:pageBreakBefore w:val="0"/>
        <w:kinsoku/>
        <w:topLinePunct w:val="0"/>
        <w:bidi w:val="0"/>
        <w:adjustRightInd w:val="0"/>
        <w:snapToGrid w:val="0"/>
        <w:spacing w:line="240" w:lineRule="atLeast"/>
        <w:ind w:left="0" w:leftChars="0" w:right="0"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60E78249">
      <w:pPr>
        <w:pageBreakBefore w:val="0"/>
        <w:kinsoku/>
        <w:topLinePunct w:val="0"/>
        <w:bidi w:val="0"/>
        <w:adjustRightInd w:val="0"/>
        <w:snapToGrid w:val="0"/>
        <w:spacing w:line="240" w:lineRule="atLeast"/>
        <w:ind w:left="0" w:leftChars="0" w:right="0"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0CAA7011">
      <w:pPr>
        <w:pageBreakBefore w:val="0"/>
        <w:kinsoku/>
        <w:topLinePunct w:val="0"/>
        <w:bidi w:val="0"/>
        <w:adjustRightInd w:val="0"/>
        <w:snapToGrid w:val="0"/>
        <w:spacing w:line="240" w:lineRule="atLeast"/>
        <w:ind w:left="0" w:leftChars="0" w:right="0"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（三）本项目的变更等文件（如果有）一律在“重庆市政府采购云平台</w:t>
      </w:r>
      <w:r>
        <w:rPr>
          <w:rFonts w:hint="eastAsia" w:ascii="仿宋" w:hAnsi="宋体" w:cs="宋体"/>
          <w:color w:val="auto"/>
          <w:sz w:val="24"/>
          <w:szCs w:val="24"/>
          <w:highlight w:val="none"/>
        </w:rPr>
        <w:t>•</w:t>
      </w:r>
      <w:r>
        <w:rPr>
          <w:rFonts w:hint="eastAsia" w:ascii="仿宋" w:hAnsi="仿宋" w:eastAsia="仿宋" w:cs="仿宋"/>
          <w:color w:val="auto"/>
          <w:sz w:val="24"/>
          <w:szCs w:val="24"/>
          <w:highlight w:val="none"/>
        </w:rPr>
        <w:t>网上竞采”上发布，请各供应商注意下载；无论供应商下载与否，均视同供应商已知晓本项目澄清文件（如果有）的内容。</w:t>
      </w:r>
    </w:p>
    <w:p w14:paraId="670F02E7">
      <w:pPr>
        <w:pageBreakBefore w:val="0"/>
        <w:kinsoku/>
        <w:topLinePunct w:val="0"/>
        <w:bidi w:val="0"/>
        <w:adjustRightInd w:val="0"/>
        <w:snapToGrid w:val="0"/>
        <w:spacing w:line="240" w:lineRule="atLeast"/>
        <w:ind w:left="0" w:leftChars="0" w:right="0"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25B74264">
      <w:pPr>
        <w:pageBreakBefore w:val="0"/>
        <w:kinsoku/>
        <w:topLinePunct w:val="0"/>
        <w:bidi w:val="0"/>
        <w:adjustRightInd w:val="0"/>
        <w:snapToGrid w:val="0"/>
        <w:spacing w:line="240" w:lineRule="atLeast"/>
        <w:ind w:left="0" w:leftChars="0" w:right="0"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21E64436">
      <w:pPr>
        <w:pageBreakBefore w:val="0"/>
        <w:kinsoku/>
        <w:topLinePunct w:val="0"/>
        <w:bidi w:val="0"/>
        <w:adjustRightInd w:val="0"/>
        <w:snapToGrid w:val="0"/>
        <w:spacing w:line="240" w:lineRule="atLeast"/>
        <w:ind w:left="0" w:leftChars="0" w:right="0"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b/>
          <w:color w:val="auto"/>
          <w:sz w:val="24"/>
          <w:szCs w:val="24"/>
          <w:highlight w:val="none"/>
        </w:rPr>
        <w:t>本项目不接受联合体参与竞采。</w:t>
      </w:r>
    </w:p>
    <w:p w14:paraId="650875EA">
      <w:pPr>
        <w:pageBreakBefore w:val="0"/>
        <w:kinsoku/>
        <w:topLinePunct w:val="0"/>
        <w:bidi w:val="0"/>
        <w:adjustRightInd w:val="0"/>
        <w:snapToGrid w:val="0"/>
        <w:spacing w:line="240" w:lineRule="atLeast"/>
        <w:ind w:left="0" w:leftChars="0" w:right="0"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b/>
          <w:bCs/>
          <w:color w:val="auto"/>
          <w:sz w:val="24"/>
          <w:szCs w:val="24"/>
          <w:highlight w:val="none"/>
        </w:rPr>
        <w:t>或违反云平台相关规则、规定的供应商</w:t>
      </w:r>
      <w:r>
        <w:rPr>
          <w:rFonts w:hint="eastAsia" w:ascii="仿宋" w:hAnsi="仿宋" w:eastAsia="仿宋" w:cs="仿宋"/>
          <w:color w:val="auto"/>
          <w:sz w:val="24"/>
          <w:szCs w:val="24"/>
          <w:highlight w:val="none"/>
        </w:rPr>
        <w:t>，将拒绝其参与网上竞采活动。</w:t>
      </w:r>
    </w:p>
    <w:p w14:paraId="2A943436">
      <w:pPr>
        <w:pStyle w:val="8"/>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42556D7C">
      <w:pPr>
        <w:pageBreakBefore w:val="0"/>
        <w:numPr>
          <w:ilvl w:val="0"/>
          <w:numId w:val="0"/>
        </w:numPr>
        <w:kinsoku/>
        <w:topLinePunct w:val="0"/>
        <w:bidi w:val="0"/>
        <w:adjustRightInd w:val="0"/>
        <w:snapToGrid w:val="0"/>
        <w:spacing w:line="240" w:lineRule="atLeast"/>
        <w:ind w:left="0" w:leftChars="0" w:right="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七、学校占地面积约16万平方米，建筑面积约14万平方米；学校食堂共有三层楼，建筑面积约8000平方米。学校不统一组织现场踏勘，如需现场踏勘的供应商，费用和人身安全由供应商自行负责。</w:t>
      </w:r>
    </w:p>
    <w:p w14:paraId="20AD81A0">
      <w:pPr>
        <w:pageBreakBefore w:val="0"/>
        <w:numPr>
          <w:ilvl w:val="0"/>
          <w:numId w:val="0"/>
        </w:numPr>
        <w:kinsoku/>
        <w:topLinePunct w:val="0"/>
        <w:bidi w:val="0"/>
        <w:adjustRightInd w:val="0"/>
        <w:snapToGrid w:val="0"/>
        <w:spacing w:line="240" w:lineRule="atLeast"/>
        <w:ind w:left="0" w:leftChars="0" w:right="0"/>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、供应商提交响应文件</w:t>
      </w:r>
    </w:p>
    <w:p w14:paraId="14284C35">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1、供应商线上报名、报价时需上传盖公章后的电子文档一份。</w:t>
      </w:r>
    </w:p>
    <w:p w14:paraId="33561BC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0F394EBC">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3、供应商制作的响应文件电子文档，须按照要求制作，规定签字、盖章的地方必须按其规定签字、盖章，未按要求制作响应文件的进行废标处理。</w:t>
      </w:r>
    </w:p>
    <w:p w14:paraId="6A21AAC8">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bookmarkStart w:id="46" w:name="_Toc76462324"/>
      <w:bookmarkStart w:id="47" w:name="_Toc106030878"/>
    </w:p>
    <w:p w14:paraId="49870BE4">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67C3BD9D">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61626BF6">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068E3B00">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2B49725A">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67D5D1C9">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05E13FD4">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5E163035">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3D518163">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051F1A6E">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38FC339B">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25DDB44A">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0CE34A55">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110D0E02">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337DE326">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69DAACBC">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4BC42C4F">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4CEC0F67">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755DFEAD">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2BE74368">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0064DF95">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6F39775A">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1DC2F2AB">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4BF5E4D0">
      <w:pPr>
        <w:pageBreakBefore w:val="0"/>
        <w:kinsoku/>
        <w:topLinePunct w:val="0"/>
        <w:bidi w:val="0"/>
        <w:adjustRightInd w:val="0"/>
        <w:snapToGrid w:val="0"/>
        <w:spacing w:line="240" w:lineRule="atLeast"/>
        <w:ind w:left="0" w:leftChars="0" w:right="0"/>
        <w:textAlignment w:val="auto"/>
        <w:rPr>
          <w:rFonts w:ascii="仿宋" w:hAnsi="仿宋" w:eastAsia="仿宋" w:cs="仿宋"/>
          <w:b/>
          <w:bCs/>
          <w:color w:val="auto"/>
          <w:sz w:val="36"/>
          <w:szCs w:val="36"/>
          <w:highlight w:val="none"/>
        </w:rPr>
      </w:pPr>
    </w:p>
    <w:p w14:paraId="416307FE">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第二篇  项目服务需求</w:t>
      </w:r>
      <w:bookmarkEnd w:id="46"/>
      <w:bookmarkEnd w:id="47"/>
    </w:p>
    <w:p w14:paraId="7106E87D">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b/>
          <w:bCs/>
          <w:color w:val="auto"/>
          <w:sz w:val="24"/>
          <w:szCs w:val="24"/>
          <w:highlight w:val="none"/>
          <w:u w:val="single"/>
        </w:rPr>
      </w:pPr>
      <w:bookmarkStart w:id="48" w:name="_Toc76462325"/>
      <w:bookmarkStart w:id="49" w:name="_Toc12789058"/>
    </w:p>
    <w:p w14:paraId="0CE80C5A">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b/>
          <w:bCs/>
          <w:color w:val="auto"/>
          <w:sz w:val="24"/>
          <w:szCs w:val="24"/>
          <w:highlight w:val="none"/>
        </w:rPr>
      </w:pPr>
      <w:bookmarkStart w:id="50" w:name="_Toc106030879"/>
      <w:r>
        <w:rPr>
          <w:rFonts w:hint="eastAsia" w:ascii="仿宋" w:hAnsi="仿宋" w:eastAsia="仿宋" w:cs="仿宋"/>
          <w:b/>
          <w:bCs/>
          <w:color w:val="auto"/>
          <w:sz w:val="24"/>
          <w:szCs w:val="24"/>
          <w:highlight w:val="none"/>
        </w:rPr>
        <w:t>一、项目基本概况介绍</w:t>
      </w:r>
      <w:bookmarkEnd w:id="48"/>
      <w:bookmarkEnd w:id="50"/>
    </w:p>
    <w:tbl>
      <w:tblPr>
        <w:tblStyle w:val="19"/>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395"/>
        <w:gridCol w:w="863"/>
        <w:gridCol w:w="1083"/>
        <w:gridCol w:w="2346"/>
      </w:tblGrid>
      <w:tr w14:paraId="4F96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0" w:type="dxa"/>
            <w:tcBorders>
              <w:top w:val="single" w:color="auto" w:sz="4" w:space="0"/>
              <w:left w:val="single" w:color="auto" w:sz="4" w:space="0"/>
              <w:right w:val="single" w:color="auto" w:sz="4" w:space="0"/>
            </w:tcBorders>
            <w:vAlign w:val="center"/>
          </w:tcPr>
          <w:p w14:paraId="3FB3A026">
            <w:pPr>
              <w:pageBreakBefore w:val="0"/>
              <w:widowControl/>
              <w:kinsoku/>
              <w:topLinePunct w:val="0"/>
              <w:bidi w:val="0"/>
              <w:adjustRightInd w:val="0"/>
              <w:snapToGrid w:val="0"/>
              <w:spacing w:line="240" w:lineRule="atLeast"/>
              <w:ind w:left="0" w:leftChars="0" w:right="0"/>
              <w:jc w:val="center"/>
              <w:textAlignment w:val="auto"/>
              <w:rPr>
                <w:rFonts w:ascii="仿宋" w:hAnsi="仿宋" w:eastAsia="仿宋" w:cs="宋体"/>
                <w:b/>
                <w:bCs/>
                <w:color w:val="auto"/>
                <w:kern w:val="0"/>
                <w:sz w:val="24"/>
                <w:szCs w:val="24"/>
                <w:highlight w:val="none"/>
              </w:rPr>
            </w:pPr>
            <w:bookmarkStart w:id="51" w:name="_Toc106030880"/>
            <w:r>
              <w:rPr>
                <w:rFonts w:hint="eastAsia" w:ascii="仿宋" w:hAnsi="仿宋" w:eastAsia="仿宋" w:cs="宋体"/>
                <w:b/>
                <w:bCs/>
                <w:color w:val="auto"/>
                <w:kern w:val="0"/>
                <w:sz w:val="24"/>
                <w:szCs w:val="24"/>
                <w:highlight w:val="none"/>
              </w:rPr>
              <w:t>序号</w:t>
            </w:r>
          </w:p>
        </w:tc>
        <w:tc>
          <w:tcPr>
            <w:tcW w:w="4395" w:type="dxa"/>
            <w:tcBorders>
              <w:top w:val="single" w:color="auto" w:sz="4" w:space="0"/>
              <w:left w:val="single" w:color="auto" w:sz="4" w:space="0"/>
              <w:right w:val="single" w:color="auto" w:sz="4" w:space="0"/>
            </w:tcBorders>
            <w:vAlign w:val="center"/>
          </w:tcPr>
          <w:p w14:paraId="4FA32DD8">
            <w:pPr>
              <w:pageBreakBefore w:val="0"/>
              <w:widowControl/>
              <w:kinsoku/>
              <w:topLinePunct w:val="0"/>
              <w:bidi w:val="0"/>
              <w:adjustRightInd w:val="0"/>
              <w:snapToGrid w:val="0"/>
              <w:spacing w:line="240" w:lineRule="atLeast"/>
              <w:ind w:left="0" w:leftChars="0" w:right="0"/>
              <w:jc w:val="center"/>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名称</w:t>
            </w:r>
          </w:p>
        </w:tc>
        <w:tc>
          <w:tcPr>
            <w:tcW w:w="863" w:type="dxa"/>
            <w:tcBorders>
              <w:top w:val="single" w:color="auto" w:sz="4" w:space="0"/>
              <w:left w:val="single" w:color="auto" w:sz="4" w:space="0"/>
              <w:right w:val="single" w:color="auto" w:sz="4" w:space="0"/>
            </w:tcBorders>
            <w:vAlign w:val="center"/>
          </w:tcPr>
          <w:p w14:paraId="0A76B819">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 xml:space="preserve">数量 </w:t>
            </w:r>
          </w:p>
        </w:tc>
        <w:tc>
          <w:tcPr>
            <w:tcW w:w="1083" w:type="dxa"/>
            <w:tcBorders>
              <w:top w:val="single" w:color="auto" w:sz="4" w:space="0"/>
              <w:left w:val="single" w:color="auto" w:sz="4" w:space="0"/>
              <w:right w:val="single" w:color="auto" w:sz="4" w:space="0"/>
            </w:tcBorders>
            <w:vAlign w:val="center"/>
          </w:tcPr>
          <w:p w14:paraId="17996930">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单位</w:t>
            </w:r>
          </w:p>
        </w:tc>
        <w:tc>
          <w:tcPr>
            <w:tcW w:w="2346" w:type="dxa"/>
            <w:tcBorders>
              <w:top w:val="single" w:color="auto" w:sz="4" w:space="0"/>
              <w:left w:val="single" w:color="auto" w:sz="4" w:space="0"/>
              <w:right w:val="single" w:color="auto" w:sz="4" w:space="0"/>
            </w:tcBorders>
            <w:vAlign w:val="center"/>
          </w:tcPr>
          <w:p w14:paraId="141A57A1">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备注</w:t>
            </w:r>
          </w:p>
        </w:tc>
      </w:tr>
      <w:tr w14:paraId="2945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3F7E7EB">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95" w:type="dxa"/>
            <w:tcBorders>
              <w:top w:val="single" w:color="auto" w:sz="4" w:space="0"/>
              <w:left w:val="single" w:color="auto" w:sz="4" w:space="0"/>
              <w:bottom w:val="single" w:color="auto" w:sz="4" w:space="0"/>
              <w:right w:val="single" w:color="auto" w:sz="4" w:space="0"/>
            </w:tcBorders>
            <w:vAlign w:val="center"/>
          </w:tcPr>
          <w:p w14:paraId="52A4939D">
            <w:pPr>
              <w:pageBreakBefore w:val="0"/>
              <w:kinsoku/>
              <w:topLinePunct w:val="0"/>
              <w:bidi w:val="0"/>
              <w:adjustRightInd w:val="0"/>
              <w:snapToGrid w:val="0"/>
              <w:spacing w:line="240" w:lineRule="atLeast"/>
              <w:ind w:left="0" w:leftChars="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学校食堂内外及校园病媒生物防制服务</w:t>
            </w:r>
          </w:p>
        </w:tc>
        <w:tc>
          <w:tcPr>
            <w:tcW w:w="863" w:type="dxa"/>
            <w:tcBorders>
              <w:top w:val="single" w:color="auto" w:sz="4" w:space="0"/>
              <w:left w:val="single" w:color="auto" w:sz="4" w:space="0"/>
              <w:right w:val="single" w:color="auto" w:sz="4" w:space="0"/>
            </w:tcBorders>
            <w:vAlign w:val="center"/>
          </w:tcPr>
          <w:p w14:paraId="4B83CF53">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83" w:type="dxa"/>
            <w:tcBorders>
              <w:top w:val="single" w:color="auto" w:sz="4" w:space="0"/>
              <w:left w:val="single" w:color="auto" w:sz="4" w:space="0"/>
              <w:right w:val="single" w:color="auto" w:sz="4" w:space="0"/>
            </w:tcBorders>
            <w:vAlign w:val="center"/>
          </w:tcPr>
          <w:p w14:paraId="643F5592">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2346" w:type="dxa"/>
            <w:tcBorders>
              <w:top w:val="single" w:color="auto" w:sz="4" w:space="0"/>
              <w:left w:val="single" w:color="auto" w:sz="4" w:space="0"/>
              <w:right w:val="single" w:color="auto" w:sz="4" w:space="0"/>
            </w:tcBorders>
            <w:vAlign w:val="center"/>
          </w:tcPr>
          <w:p w14:paraId="5B1CE07F">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具体内容详见下文</w:t>
            </w:r>
          </w:p>
        </w:tc>
      </w:tr>
    </w:tbl>
    <w:p w14:paraId="06D3A6A8">
      <w:pPr>
        <w:pageBreakBefore w:val="0"/>
        <w:numPr>
          <w:ilvl w:val="0"/>
          <w:numId w:val="1"/>
        </w:numPr>
        <w:kinsoku/>
        <w:topLinePunct w:val="0"/>
        <w:bidi w:val="0"/>
        <w:adjustRightInd w:val="0"/>
        <w:snapToGrid w:val="0"/>
        <w:spacing w:line="240" w:lineRule="atLeast"/>
        <w:ind w:left="0" w:leftChars="0" w:right="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服务</w:t>
      </w:r>
      <w:bookmarkEnd w:id="51"/>
      <w:r>
        <w:rPr>
          <w:rFonts w:hint="eastAsia" w:ascii="仿宋" w:hAnsi="仿宋" w:eastAsia="仿宋" w:cs="仿宋"/>
          <w:b/>
          <w:bCs/>
          <w:color w:val="auto"/>
          <w:sz w:val="24"/>
          <w:szCs w:val="24"/>
          <w:highlight w:val="none"/>
          <w:lang w:val="en-US" w:eastAsia="zh-CN"/>
        </w:rPr>
        <w:t>内容及要求</w:t>
      </w:r>
    </w:p>
    <w:p w14:paraId="15AF1BE3">
      <w:pPr>
        <w:pageBreakBefore w:val="0"/>
        <w:numPr>
          <w:ilvl w:val="0"/>
          <w:numId w:val="0"/>
        </w:numPr>
        <w:kinsoku/>
        <w:topLinePunct w:val="0"/>
        <w:bidi w:val="0"/>
        <w:adjustRightInd w:val="0"/>
        <w:snapToGrid w:val="0"/>
        <w:spacing w:line="240" w:lineRule="atLeast"/>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1.服务内容：加强对学校食堂内外“蚊”、“蝇”、“蟑螂”、“鼠”等有害生物的防制工作；范围扩展到校园及校园围墙附近区域、重点水域、排污管道等地方的有害生物的防制工作。</w:t>
      </w:r>
    </w:p>
    <w:p w14:paraId="654EC9A4">
      <w:pPr>
        <w:pageBreakBefore w:val="0"/>
        <w:numPr>
          <w:ilvl w:val="0"/>
          <w:numId w:val="0"/>
        </w:numPr>
        <w:kinsoku/>
        <w:topLinePunct w:val="0"/>
        <w:bidi w:val="0"/>
        <w:adjustRightInd w:val="0"/>
        <w:snapToGrid w:val="0"/>
        <w:spacing w:line="240" w:lineRule="atLeast"/>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服务要求：供应商能结合学校实际，制定出科学合理的预防控制方案，并严格执行，每月至少安排两次或两次以上的对学校食堂内外及校园环境的有害生物防制工作，治理效果达到或者优于全国爱卫会公布的除四害国家标准。根据学校需要，随时到校进行</w:t>
      </w:r>
      <w:r>
        <w:rPr>
          <w:rFonts w:hint="eastAsia" w:ascii="仿宋" w:hAnsi="仿宋" w:eastAsia="仿宋" w:cs="仿宋"/>
          <w:color w:val="auto"/>
          <w:sz w:val="24"/>
          <w:szCs w:val="24"/>
          <w:highlight w:val="none"/>
          <w:lang w:val="en-US" w:eastAsia="zh-CN"/>
        </w:rPr>
        <w:t>病媒生物防制。</w:t>
      </w:r>
    </w:p>
    <w:p w14:paraId="6ED3929F">
      <w:pPr>
        <w:pageBreakBefore w:val="0"/>
        <w:numPr>
          <w:ilvl w:val="0"/>
          <w:numId w:val="0"/>
        </w:numPr>
        <w:kinsoku/>
        <w:topLinePunct w:val="0"/>
        <w:bidi w:val="0"/>
        <w:adjustRightInd w:val="0"/>
        <w:snapToGrid w:val="0"/>
        <w:spacing w:line="240" w:lineRule="atLeast"/>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3.中标供应商到校工作人员必须服从学校管理，人身财产安全由中标供应商自行负责。</w:t>
      </w:r>
    </w:p>
    <w:p w14:paraId="23AC2450">
      <w:pPr>
        <w:pageBreakBefore w:val="0"/>
        <w:numPr>
          <w:ilvl w:val="0"/>
          <w:numId w:val="0"/>
        </w:numPr>
        <w:kinsoku/>
        <w:topLinePunct w:val="0"/>
        <w:bidi w:val="0"/>
        <w:adjustRightInd w:val="0"/>
        <w:snapToGrid w:val="0"/>
        <w:spacing w:line="240" w:lineRule="atLeast"/>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4.全年病媒生物防制计划。</w:t>
      </w:r>
    </w:p>
    <w:tbl>
      <w:tblPr>
        <w:tblStyle w:val="35"/>
        <w:tblW w:w="951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959"/>
        <w:gridCol w:w="1496"/>
        <w:gridCol w:w="1544"/>
        <w:gridCol w:w="1296"/>
        <w:gridCol w:w="1372"/>
        <w:gridCol w:w="1018"/>
      </w:tblGrid>
      <w:tr w14:paraId="61DDD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25" w:type="dxa"/>
          </w:tcPr>
          <w:p w14:paraId="78356C48">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时间</w:t>
            </w:r>
          </w:p>
        </w:tc>
        <w:tc>
          <w:tcPr>
            <w:tcW w:w="7667" w:type="dxa"/>
            <w:gridSpan w:val="5"/>
          </w:tcPr>
          <w:p w14:paraId="24766CBD">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主要消杀对象顺序</w:t>
            </w:r>
          </w:p>
        </w:tc>
        <w:tc>
          <w:tcPr>
            <w:tcW w:w="1018" w:type="dxa"/>
          </w:tcPr>
          <w:p w14:paraId="0BF5A10A">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作业频率</w:t>
            </w:r>
          </w:p>
        </w:tc>
      </w:tr>
      <w:tr w14:paraId="6DE93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25" w:type="dxa"/>
          </w:tcPr>
          <w:p w14:paraId="68AFF075">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一月</w:t>
            </w:r>
          </w:p>
        </w:tc>
        <w:tc>
          <w:tcPr>
            <w:tcW w:w="1959" w:type="dxa"/>
          </w:tcPr>
          <w:p w14:paraId="025C7A5B">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496" w:type="dxa"/>
          </w:tcPr>
          <w:p w14:paraId="02617A58">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4212" w:type="dxa"/>
            <w:gridSpan w:val="3"/>
          </w:tcPr>
          <w:p w14:paraId="45351348">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p>
        </w:tc>
        <w:tc>
          <w:tcPr>
            <w:tcW w:w="1018" w:type="dxa"/>
          </w:tcPr>
          <w:p w14:paraId="28B5AA91">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038FF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25" w:type="dxa"/>
          </w:tcPr>
          <w:p w14:paraId="1431AE19">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二月</w:t>
            </w:r>
          </w:p>
        </w:tc>
        <w:tc>
          <w:tcPr>
            <w:tcW w:w="1959" w:type="dxa"/>
          </w:tcPr>
          <w:p w14:paraId="6AF2711C">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496" w:type="dxa"/>
          </w:tcPr>
          <w:p w14:paraId="5B87C461">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4212" w:type="dxa"/>
            <w:gridSpan w:val="3"/>
          </w:tcPr>
          <w:p w14:paraId="1A751CCC">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p>
        </w:tc>
        <w:tc>
          <w:tcPr>
            <w:tcW w:w="1018" w:type="dxa"/>
          </w:tcPr>
          <w:p w14:paraId="26E3980C">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6B3B8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5" w:type="dxa"/>
          </w:tcPr>
          <w:p w14:paraId="76671DD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三月</w:t>
            </w:r>
          </w:p>
        </w:tc>
        <w:tc>
          <w:tcPr>
            <w:tcW w:w="1959" w:type="dxa"/>
          </w:tcPr>
          <w:p w14:paraId="2D243A97">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496" w:type="dxa"/>
          </w:tcPr>
          <w:p w14:paraId="07FD5FA1">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2840" w:type="dxa"/>
            <w:gridSpan w:val="2"/>
          </w:tcPr>
          <w:p w14:paraId="198A520A">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越冬蚊蝇</w:t>
            </w:r>
          </w:p>
        </w:tc>
        <w:tc>
          <w:tcPr>
            <w:tcW w:w="1372" w:type="dxa"/>
          </w:tcPr>
          <w:p w14:paraId="2316BF11">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p>
        </w:tc>
        <w:tc>
          <w:tcPr>
            <w:tcW w:w="1018" w:type="dxa"/>
          </w:tcPr>
          <w:p w14:paraId="6ABC8AE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593F6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5" w:type="dxa"/>
          </w:tcPr>
          <w:p w14:paraId="26092CEC">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四月</w:t>
            </w:r>
          </w:p>
        </w:tc>
        <w:tc>
          <w:tcPr>
            <w:tcW w:w="1959" w:type="dxa"/>
          </w:tcPr>
          <w:p w14:paraId="28E86DC5">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496" w:type="dxa"/>
          </w:tcPr>
          <w:p w14:paraId="1B52441C">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1544" w:type="dxa"/>
          </w:tcPr>
          <w:p w14:paraId="14430B4A">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蚊幼、蚊子</w:t>
            </w:r>
          </w:p>
        </w:tc>
        <w:tc>
          <w:tcPr>
            <w:tcW w:w="1296" w:type="dxa"/>
          </w:tcPr>
          <w:p w14:paraId="0A9FC0DA">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苍蝇</w:t>
            </w:r>
          </w:p>
        </w:tc>
        <w:tc>
          <w:tcPr>
            <w:tcW w:w="1372" w:type="dxa"/>
          </w:tcPr>
          <w:p w14:paraId="78D22EEB">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p>
        </w:tc>
        <w:tc>
          <w:tcPr>
            <w:tcW w:w="1018" w:type="dxa"/>
          </w:tcPr>
          <w:p w14:paraId="43627CC4">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10421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5" w:type="dxa"/>
          </w:tcPr>
          <w:p w14:paraId="09216459">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五月</w:t>
            </w:r>
          </w:p>
        </w:tc>
        <w:tc>
          <w:tcPr>
            <w:tcW w:w="1959" w:type="dxa"/>
          </w:tcPr>
          <w:p w14:paraId="3B9C632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苍蝇</w:t>
            </w:r>
          </w:p>
        </w:tc>
        <w:tc>
          <w:tcPr>
            <w:tcW w:w="1496" w:type="dxa"/>
          </w:tcPr>
          <w:p w14:paraId="60C81661">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蚊幼、蚊子</w:t>
            </w:r>
          </w:p>
        </w:tc>
        <w:tc>
          <w:tcPr>
            <w:tcW w:w="1544" w:type="dxa"/>
          </w:tcPr>
          <w:p w14:paraId="378E5FFE">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1296" w:type="dxa"/>
          </w:tcPr>
          <w:p w14:paraId="59641AB5">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372" w:type="dxa"/>
          </w:tcPr>
          <w:p w14:paraId="2F995ACC">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其他害虫</w:t>
            </w:r>
          </w:p>
        </w:tc>
        <w:tc>
          <w:tcPr>
            <w:tcW w:w="1018" w:type="dxa"/>
          </w:tcPr>
          <w:p w14:paraId="5C8E61FA">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0124C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5" w:type="dxa"/>
          </w:tcPr>
          <w:p w14:paraId="65337263">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六月</w:t>
            </w:r>
          </w:p>
        </w:tc>
        <w:tc>
          <w:tcPr>
            <w:tcW w:w="1959" w:type="dxa"/>
          </w:tcPr>
          <w:p w14:paraId="291EBD4B">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苍蝇</w:t>
            </w:r>
          </w:p>
        </w:tc>
        <w:tc>
          <w:tcPr>
            <w:tcW w:w="1496" w:type="dxa"/>
          </w:tcPr>
          <w:p w14:paraId="071EDA1B">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蚊幼、蚊子</w:t>
            </w:r>
          </w:p>
        </w:tc>
        <w:tc>
          <w:tcPr>
            <w:tcW w:w="1544" w:type="dxa"/>
          </w:tcPr>
          <w:p w14:paraId="4273A60C">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1296" w:type="dxa"/>
          </w:tcPr>
          <w:p w14:paraId="54CB9796">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372" w:type="dxa"/>
          </w:tcPr>
          <w:p w14:paraId="51EC0B9E">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其他害虫</w:t>
            </w:r>
          </w:p>
        </w:tc>
        <w:tc>
          <w:tcPr>
            <w:tcW w:w="1018" w:type="dxa"/>
          </w:tcPr>
          <w:p w14:paraId="7865703E">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4BBD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5" w:type="dxa"/>
          </w:tcPr>
          <w:p w14:paraId="6AF06770">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七月</w:t>
            </w:r>
          </w:p>
        </w:tc>
        <w:tc>
          <w:tcPr>
            <w:tcW w:w="1959" w:type="dxa"/>
          </w:tcPr>
          <w:p w14:paraId="7CC6F8B5">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苍蝇</w:t>
            </w:r>
          </w:p>
        </w:tc>
        <w:tc>
          <w:tcPr>
            <w:tcW w:w="1496" w:type="dxa"/>
          </w:tcPr>
          <w:p w14:paraId="7566B1C8">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蚊幼、蚊子</w:t>
            </w:r>
          </w:p>
        </w:tc>
        <w:tc>
          <w:tcPr>
            <w:tcW w:w="1544" w:type="dxa"/>
          </w:tcPr>
          <w:p w14:paraId="5999C4C3">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1296" w:type="dxa"/>
          </w:tcPr>
          <w:p w14:paraId="3A69DEB4">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372" w:type="dxa"/>
          </w:tcPr>
          <w:p w14:paraId="706666C1">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其他害虫</w:t>
            </w:r>
          </w:p>
        </w:tc>
        <w:tc>
          <w:tcPr>
            <w:tcW w:w="1018" w:type="dxa"/>
          </w:tcPr>
          <w:p w14:paraId="1C8A16D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59A05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5" w:type="dxa"/>
          </w:tcPr>
          <w:p w14:paraId="12963A8D">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八月</w:t>
            </w:r>
          </w:p>
        </w:tc>
        <w:tc>
          <w:tcPr>
            <w:tcW w:w="1959" w:type="dxa"/>
          </w:tcPr>
          <w:p w14:paraId="2D08237E">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苍蝇</w:t>
            </w:r>
          </w:p>
        </w:tc>
        <w:tc>
          <w:tcPr>
            <w:tcW w:w="1496" w:type="dxa"/>
          </w:tcPr>
          <w:p w14:paraId="0F61180D">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蚊幼、蚊子</w:t>
            </w:r>
          </w:p>
        </w:tc>
        <w:tc>
          <w:tcPr>
            <w:tcW w:w="1544" w:type="dxa"/>
          </w:tcPr>
          <w:p w14:paraId="53A98B9A">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1296" w:type="dxa"/>
          </w:tcPr>
          <w:p w14:paraId="26F73730">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372" w:type="dxa"/>
          </w:tcPr>
          <w:p w14:paraId="3FD9054A">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其他害虫</w:t>
            </w:r>
          </w:p>
        </w:tc>
        <w:tc>
          <w:tcPr>
            <w:tcW w:w="1018" w:type="dxa"/>
          </w:tcPr>
          <w:p w14:paraId="3BB1154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7E1D3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5" w:type="dxa"/>
          </w:tcPr>
          <w:p w14:paraId="22A393B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九月</w:t>
            </w:r>
          </w:p>
        </w:tc>
        <w:tc>
          <w:tcPr>
            <w:tcW w:w="1959" w:type="dxa"/>
          </w:tcPr>
          <w:p w14:paraId="4EBEA74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蚊幼、蚊子</w:t>
            </w:r>
          </w:p>
        </w:tc>
        <w:tc>
          <w:tcPr>
            <w:tcW w:w="1496" w:type="dxa"/>
          </w:tcPr>
          <w:p w14:paraId="7DFBE240">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苍蝇</w:t>
            </w:r>
          </w:p>
        </w:tc>
        <w:tc>
          <w:tcPr>
            <w:tcW w:w="1544" w:type="dxa"/>
          </w:tcPr>
          <w:p w14:paraId="523C6747">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1296" w:type="dxa"/>
          </w:tcPr>
          <w:p w14:paraId="5F7060E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372" w:type="dxa"/>
          </w:tcPr>
          <w:p w14:paraId="60B2B77E">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其他害虫</w:t>
            </w:r>
          </w:p>
        </w:tc>
        <w:tc>
          <w:tcPr>
            <w:tcW w:w="1018" w:type="dxa"/>
          </w:tcPr>
          <w:p w14:paraId="2C39E371">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3A709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5" w:type="dxa"/>
          </w:tcPr>
          <w:p w14:paraId="1621E70C">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十月</w:t>
            </w:r>
          </w:p>
        </w:tc>
        <w:tc>
          <w:tcPr>
            <w:tcW w:w="1959" w:type="dxa"/>
          </w:tcPr>
          <w:p w14:paraId="690BE600">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496" w:type="dxa"/>
          </w:tcPr>
          <w:p w14:paraId="4319315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1544" w:type="dxa"/>
          </w:tcPr>
          <w:p w14:paraId="6CEB3F3D">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蚊幼、蚊子</w:t>
            </w:r>
          </w:p>
        </w:tc>
        <w:tc>
          <w:tcPr>
            <w:tcW w:w="1296" w:type="dxa"/>
          </w:tcPr>
          <w:p w14:paraId="30FF2B54">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苍蝇</w:t>
            </w:r>
          </w:p>
        </w:tc>
        <w:tc>
          <w:tcPr>
            <w:tcW w:w="1372" w:type="dxa"/>
          </w:tcPr>
          <w:p w14:paraId="2C507111">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其他害虫</w:t>
            </w:r>
          </w:p>
        </w:tc>
        <w:tc>
          <w:tcPr>
            <w:tcW w:w="1018" w:type="dxa"/>
          </w:tcPr>
          <w:p w14:paraId="181471E0">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47F93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5" w:type="dxa"/>
          </w:tcPr>
          <w:p w14:paraId="7BEE761B">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十一月</w:t>
            </w:r>
          </w:p>
        </w:tc>
        <w:tc>
          <w:tcPr>
            <w:tcW w:w="1959" w:type="dxa"/>
          </w:tcPr>
          <w:p w14:paraId="7EF3DCAF">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496" w:type="dxa"/>
          </w:tcPr>
          <w:p w14:paraId="1D311E90">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1544" w:type="dxa"/>
          </w:tcPr>
          <w:p w14:paraId="397D0B0E">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蚊子</w:t>
            </w:r>
          </w:p>
        </w:tc>
        <w:tc>
          <w:tcPr>
            <w:tcW w:w="1296" w:type="dxa"/>
          </w:tcPr>
          <w:p w14:paraId="1AB27160">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苍蝇</w:t>
            </w:r>
          </w:p>
        </w:tc>
        <w:tc>
          <w:tcPr>
            <w:tcW w:w="1372" w:type="dxa"/>
          </w:tcPr>
          <w:p w14:paraId="24892B7D">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p>
        </w:tc>
        <w:tc>
          <w:tcPr>
            <w:tcW w:w="1018" w:type="dxa"/>
          </w:tcPr>
          <w:p w14:paraId="77236276">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49912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25" w:type="dxa"/>
          </w:tcPr>
          <w:p w14:paraId="4135A98B">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十二月</w:t>
            </w:r>
          </w:p>
        </w:tc>
        <w:tc>
          <w:tcPr>
            <w:tcW w:w="1959" w:type="dxa"/>
          </w:tcPr>
          <w:p w14:paraId="5346012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老鼠</w:t>
            </w:r>
          </w:p>
        </w:tc>
        <w:tc>
          <w:tcPr>
            <w:tcW w:w="1496" w:type="dxa"/>
          </w:tcPr>
          <w:p w14:paraId="11140B42">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蟑螂</w:t>
            </w:r>
          </w:p>
        </w:tc>
        <w:tc>
          <w:tcPr>
            <w:tcW w:w="4212" w:type="dxa"/>
            <w:gridSpan w:val="3"/>
          </w:tcPr>
          <w:p w14:paraId="7E73E626">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textAlignment w:val="auto"/>
              <w:rPr>
                <w:rFonts w:hint="eastAsia" w:ascii="仿宋" w:hAnsi="仿宋" w:eastAsia="仿宋" w:cs="仿宋"/>
                <w:color w:val="auto"/>
                <w:spacing w:val="0"/>
                <w:w w:val="100"/>
                <w:sz w:val="24"/>
                <w:szCs w:val="24"/>
              </w:rPr>
            </w:pPr>
          </w:p>
        </w:tc>
        <w:tc>
          <w:tcPr>
            <w:tcW w:w="1018" w:type="dxa"/>
          </w:tcPr>
          <w:p w14:paraId="4CAFF499">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2</w:t>
            </w:r>
          </w:p>
        </w:tc>
      </w:tr>
      <w:tr w14:paraId="50CA0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25" w:type="dxa"/>
          </w:tcPr>
          <w:p w14:paraId="5FE5CDA0">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jc w:val="center"/>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备注 1</w:t>
            </w:r>
          </w:p>
        </w:tc>
        <w:tc>
          <w:tcPr>
            <w:tcW w:w="8685" w:type="dxa"/>
            <w:gridSpan w:val="6"/>
          </w:tcPr>
          <w:p w14:paraId="1195F3E4">
            <w:pPr>
              <w:pStyle w:val="34"/>
              <w:keepNext w:val="0"/>
              <w:keepLines w:val="0"/>
              <w:pageBreakBefore w:val="0"/>
              <w:widowControl w:val="0"/>
              <w:numPr>
                <w:ilvl w:val="0"/>
                <w:numId w:val="2"/>
              </w:numPr>
              <w:tabs>
                <w:tab w:val="left" w:pos="348"/>
              </w:tabs>
              <w:kinsoku/>
              <w:wordWrap/>
              <w:overflowPunct/>
              <w:topLinePunct w:val="0"/>
              <w:autoSpaceDE/>
              <w:autoSpaceDN/>
              <w:bidi w:val="0"/>
              <w:adjustRightInd w:val="0"/>
              <w:snapToGrid w:val="0"/>
              <w:spacing w:line="240" w:lineRule="atLeast"/>
              <w:ind w:left="0" w:leftChars="0" w:right="0" w:hanging="242"/>
              <w:textAlignment w:val="auto"/>
              <w:rPr>
                <w:rFonts w:hint="eastAsia" w:ascii="仿宋" w:hAnsi="仿宋" w:eastAsia="仿宋" w:cs="仿宋"/>
                <w:b/>
                <w:color w:val="auto"/>
                <w:spacing w:val="0"/>
                <w:w w:val="100"/>
                <w:sz w:val="24"/>
                <w:szCs w:val="24"/>
                <w:lang w:eastAsia="zh-CN"/>
              </w:rPr>
            </w:pPr>
            <w:r>
              <w:rPr>
                <w:rFonts w:hint="eastAsia" w:ascii="仿宋" w:hAnsi="仿宋" w:eastAsia="仿宋" w:cs="仿宋"/>
                <w:color w:val="auto"/>
                <w:spacing w:val="0"/>
                <w:w w:val="100"/>
                <w:sz w:val="24"/>
                <w:szCs w:val="24"/>
                <w:lang w:eastAsia="zh-CN"/>
              </w:rPr>
              <w:t>气温低于10°，昆虫的消杀主要在窨井地面以下部位。</w:t>
            </w:r>
          </w:p>
          <w:p w14:paraId="3A870FF8">
            <w:pPr>
              <w:pStyle w:val="34"/>
              <w:keepNext w:val="0"/>
              <w:keepLines w:val="0"/>
              <w:pageBreakBefore w:val="0"/>
              <w:widowControl w:val="0"/>
              <w:numPr>
                <w:ilvl w:val="0"/>
                <w:numId w:val="2"/>
              </w:numPr>
              <w:tabs>
                <w:tab w:val="left" w:pos="348"/>
              </w:tabs>
              <w:kinsoku/>
              <w:wordWrap/>
              <w:overflowPunct/>
              <w:topLinePunct w:val="0"/>
              <w:autoSpaceDE/>
              <w:autoSpaceDN/>
              <w:bidi w:val="0"/>
              <w:adjustRightInd w:val="0"/>
              <w:snapToGrid w:val="0"/>
              <w:spacing w:line="240" w:lineRule="atLeast"/>
              <w:ind w:left="0" w:leftChars="0" w:right="0" w:hanging="242"/>
              <w:textAlignment w:val="auto"/>
              <w:rPr>
                <w:rFonts w:hint="eastAsia" w:ascii="仿宋" w:hAnsi="仿宋" w:eastAsia="仿宋" w:cs="仿宋"/>
                <w:b/>
                <w:color w:val="auto"/>
                <w:spacing w:val="0"/>
                <w:w w:val="100"/>
                <w:sz w:val="24"/>
                <w:szCs w:val="24"/>
                <w:lang w:eastAsia="zh-CN"/>
              </w:rPr>
            </w:pPr>
            <w:r>
              <w:rPr>
                <w:rFonts w:hint="eastAsia" w:ascii="仿宋" w:hAnsi="仿宋" w:eastAsia="仿宋" w:cs="仿宋"/>
                <w:color w:val="auto"/>
                <w:spacing w:val="0"/>
                <w:w w:val="100"/>
                <w:sz w:val="24"/>
                <w:szCs w:val="24"/>
                <w:lang w:eastAsia="zh-CN"/>
              </w:rPr>
              <w:t>开始灭鼠首月按集中灭鼠频率执行。</w:t>
            </w:r>
          </w:p>
          <w:p w14:paraId="3BE624D9">
            <w:pPr>
              <w:pStyle w:val="34"/>
              <w:keepNext w:val="0"/>
              <w:keepLines w:val="0"/>
              <w:pageBreakBefore w:val="0"/>
              <w:widowControl w:val="0"/>
              <w:kinsoku/>
              <w:wordWrap/>
              <w:overflowPunct/>
              <w:topLinePunct w:val="0"/>
              <w:autoSpaceDE/>
              <w:autoSpaceDN/>
              <w:bidi w:val="0"/>
              <w:adjustRightInd w:val="0"/>
              <w:snapToGrid w:val="0"/>
              <w:spacing w:line="240" w:lineRule="atLeast"/>
              <w:ind w:left="0" w:leftChars="0" w:right="0" w:firstLine="360"/>
              <w:textAlignment w:val="auto"/>
              <w:rPr>
                <w:rFonts w:hint="eastAsia" w:ascii="仿宋" w:hAnsi="仿宋" w:eastAsia="仿宋" w:cs="仿宋"/>
                <w:color w:val="auto"/>
                <w:spacing w:val="0"/>
                <w:w w:val="100"/>
                <w:sz w:val="24"/>
                <w:szCs w:val="24"/>
                <w:lang w:eastAsia="zh-CN"/>
              </w:rPr>
            </w:pPr>
            <w:r>
              <w:rPr>
                <w:rFonts w:hint="eastAsia" w:ascii="仿宋" w:hAnsi="仿宋" w:eastAsia="仿宋" w:cs="仿宋"/>
                <w:color w:val="auto"/>
                <w:spacing w:val="0"/>
                <w:w w:val="100"/>
                <w:sz w:val="24"/>
                <w:szCs w:val="24"/>
                <w:lang w:eastAsia="zh-CN"/>
              </w:rPr>
              <w:t>夏季蚊蝇消杀安排在上午 6 点-10 点或下午 4 点-7 点时间段；鼠类控制不受时间限制。因天气因素导致计划作业日不能进行作业的，及时调整作业时间。</w:t>
            </w:r>
          </w:p>
        </w:tc>
      </w:tr>
    </w:tbl>
    <w:p w14:paraId="685506EA">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5.药品、器械要求</w:t>
      </w:r>
    </w:p>
    <w:p w14:paraId="20F72C1B">
      <w:pPr>
        <w:pageBreakBefore w:val="0"/>
        <w:widowControl/>
        <w:tabs>
          <w:tab w:val="left" w:pos="3840"/>
          <w:tab w:val="left" w:pos="5300"/>
        </w:tabs>
        <w:kinsoku/>
        <w:topLinePunct w:val="0"/>
        <w:bidi w:val="0"/>
        <w:adjustRightInd w:val="0"/>
        <w:snapToGrid w:val="0"/>
        <w:spacing w:line="240" w:lineRule="atLeast"/>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5.1.灭鼠药及其它防制设施设备、消杀药剂、毒饵盒等全部由成交供应商提供，成交供应商提供的所有产品必须符合国家的相关法律法规。</w:t>
      </w:r>
    </w:p>
    <w:p w14:paraId="4563CD44">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5.2考虑本项目的特殊性，杜绝使用来源不明无“三证”或质量不稳定的卫生杀虫剂，确保灭效和人畜等各项安全，符合绿色环保的有关要求。鼠、蚊、蝇、蟑螂药品主要技术参数及要求，详细见下表：</w:t>
      </w:r>
    </w:p>
    <w:tbl>
      <w:tblPr>
        <w:tblStyle w:val="19"/>
        <w:tblW w:w="9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1"/>
        <w:gridCol w:w="1515"/>
        <w:gridCol w:w="6255"/>
      </w:tblGrid>
      <w:tr w14:paraId="03847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541" w:type="dxa"/>
            <w:vAlign w:val="center"/>
          </w:tcPr>
          <w:p w14:paraId="20C69228">
            <w:pPr>
              <w:pageBreakBefore w:val="0"/>
              <w:kinsoku/>
              <w:topLinePunct w:val="0"/>
              <w:bidi w:val="0"/>
              <w:adjustRightInd w:val="0"/>
              <w:snapToGrid w:val="0"/>
              <w:spacing w:line="240" w:lineRule="atLeast"/>
              <w:ind w:left="0" w:leftChars="0" w:right="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用途</w:t>
            </w:r>
          </w:p>
        </w:tc>
        <w:tc>
          <w:tcPr>
            <w:tcW w:w="1515" w:type="dxa"/>
            <w:vAlign w:val="center"/>
          </w:tcPr>
          <w:p w14:paraId="7CE1C3F2">
            <w:pPr>
              <w:pageBreakBefore w:val="0"/>
              <w:kinsoku/>
              <w:topLinePunct w:val="0"/>
              <w:bidi w:val="0"/>
              <w:adjustRightInd w:val="0"/>
              <w:snapToGrid w:val="0"/>
              <w:spacing w:line="240" w:lineRule="atLeast"/>
              <w:ind w:left="0" w:leftChars="0" w:right="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药品名称</w:t>
            </w:r>
          </w:p>
        </w:tc>
        <w:tc>
          <w:tcPr>
            <w:tcW w:w="6255" w:type="dxa"/>
            <w:vAlign w:val="center"/>
          </w:tcPr>
          <w:p w14:paraId="7C271CB0">
            <w:pPr>
              <w:pageBreakBefore w:val="0"/>
              <w:kinsoku/>
              <w:topLinePunct w:val="0"/>
              <w:bidi w:val="0"/>
              <w:adjustRightInd w:val="0"/>
              <w:snapToGrid w:val="0"/>
              <w:spacing w:line="240" w:lineRule="atLeast"/>
              <w:ind w:left="0" w:leftChars="0" w:right="0" w:firstLine="48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主要技术参数要求</w:t>
            </w:r>
          </w:p>
        </w:tc>
      </w:tr>
      <w:tr w14:paraId="7757D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3" w:hRule="atLeast"/>
          <w:jc w:val="center"/>
        </w:trPr>
        <w:tc>
          <w:tcPr>
            <w:tcW w:w="1541" w:type="dxa"/>
            <w:vAlign w:val="center"/>
          </w:tcPr>
          <w:p w14:paraId="0CB6AD36">
            <w:pPr>
              <w:pageBreakBefore w:val="0"/>
              <w:kinsoku/>
              <w:topLinePunct w:val="0"/>
              <w:bidi w:val="0"/>
              <w:adjustRightInd w:val="0"/>
              <w:snapToGrid w:val="0"/>
              <w:spacing w:line="240" w:lineRule="atLeast"/>
              <w:ind w:left="0" w:leftChars="0" w:right="0" w:firstLine="199" w:firstLineChars="83"/>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灭鼠</w:t>
            </w:r>
          </w:p>
        </w:tc>
        <w:tc>
          <w:tcPr>
            <w:tcW w:w="1515" w:type="dxa"/>
            <w:vAlign w:val="center"/>
          </w:tcPr>
          <w:p w14:paraId="571FA750">
            <w:pPr>
              <w:pageBreakBefore w:val="0"/>
              <w:kinsoku/>
              <w:topLinePunct w:val="0"/>
              <w:bidi w:val="0"/>
              <w:adjustRightInd w:val="0"/>
              <w:snapToGrid w:val="0"/>
              <w:spacing w:line="240" w:lineRule="atLeast"/>
              <w:ind w:left="0" w:leftChars="0" w:right="0" w:firstLine="480"/>
              <w:jc w:val="center"/>
              <w:textAlignment w:val="auto"/>
              <w:rPr>
                <w:rFonts w:hint="eastAsia" w:ascii="仿宋" w:hAnsi="仿宋" w:eastAsia="仿宋" w:cs="仿宋"/>
                <w:bCs/>
                <w:kern w:val="0"/>
                <w:sz w:val="24"/>
                <w:szCs w:val="24"/>
              </w:rPr>
            </w:pPr>
          </w:p>
          <w:p w14:paraId="746298D4">
            <w:pPr>
              <w:pageBreakBefore w:val="0"/>
              <w:kinsoku/>
              <w:topLinePunct w:val="0"/>
              <w:bidi w:val="0"/>
              <w:adjustRightInd w:val="0"/>
              <w:snapToGrid w:val="0"/>
              <w:spacing w:line="240" w:lineRule="atLeast"/>
              <w:ind w:left="0" w:leftChars="0" w:right="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溴敌隆</w:t>
            </w:r>
          </w:p>
          <w:p w14:paraId="058DE505">
            <w:pPr>
              <w:pageBreakBefore w:val="0"/>
              <w:kinsoku/>
              <w:topLinePunct w:val="0"/>
              <w:bidi w:val="0"/>
              <w:adjustRightInd w:val="0"/>
              <w:snapToGrid w:val="0"/>
              <w:spacing w:line="240" w:lineRule="atLeast"/>
              <w:ind w:left="0" w:leftChars="0" w:right="0"/>
              <w:jc w:val="center"/>
              <w:textAlignment w:val="auto"/>
              <w:rPr>
                <w:rFonts w:hint="eastAsia" w:ascii="仿宋" w:hAnsi="仿宋" w:eastAsia="仿宋" w:cs="仿宋"/>
                <w:bCs/>
                <w:kern w:val="0"/>
                <w:sz w:val="24"/>
                <w:szCs w:val="24"/>
              </w:rPr>
            </w:pPr>
          </w:p>
        </w:tc>
        <w:tc>
          <w:tcPr>
            <w:tcW w:w="6255" w:type="dxa"/>
            <w:vAlign w:val="center"/>
          </w:tcPr>
          <w:p w14:paraId="2F97A8CA">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1.有效成份含量：≥0.005%溴敌隆。</w:t>
            </w:r>
          </w:p>
          <w:p w14:paraId="68331B28">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2.剂型：饵剂。</w:t>
            </w:r>
          </w:p>
          <w:p w14:paraId="0BA5BC34">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3.诱饵（载体）：稻谷、玉米、小麦及其它赋形剂。</w:t>
            </w:r>
          </w:p>
          <w:p w14:paraId="7031D53A">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4.提供药品三证（即：农药登记证、农药生产许可证、技术监督部门备案的企业标准）复印件加盖</w:t>
            </w:r>
            <w:r>
              <w:rPr>
                <w:rFonts w:hint="eastAsia" w:ascii="仿宋" w:hAnsi="仿宋" w:eastAsia="仿宋" w:cs="仿宋"/>
                <w:bCs/>
                <w:sz w:val="24"/>
                <w:szCs w:val="24"/>
                <w:lang w:val="en-US" w:eastAsia="zh-CN"/>
              </w:rPr>
              <w:t>投标人鲜</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rPr>
              <w:t>未提供或提供不全的，视为无效投标。</w:t>
            </w:r>
          </w:p>
          <w:p w14:paraId="42CE1711">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5.生产期：投标人提供的货物必须为2025年新生产的产品。</w:t>
            </w:r>
          </w:p>
        </w:tc>
      </w:tr>
      <w:tr w14:paraId="1F1BC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1541" w:type="dxa"/>
            <w:vAlign w:val="center"/>
          </w:tcPr>
          <w:p w14:paraId="7EF5ECB4">
            <w:pPr>
              <w:pageBreakBefore w:val="0"/>
              <w:kinsoku/>
              <w:topLinePunct w:val="0"/>
              <w:bidi w:val="0"/>
              <w:adjustRightInd w:val="0"/>
              <w:snapToGrid w:val="0"/>
              <w:spacing w:line="240" w:lineRule="atLeast"/>
              <w:ind w:left="0" w:leftChars="0" w:right="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灭蟑螂</w:t>
            </w:r>
          </w:p>
        </w:tc>
        <w:tc>
          <w:tcPr>
            <w:tcW w:w="1515" w:type="dxa"/>
            <w:vAlign w:val="center"/>
          </w:tcPr>
          <w:p w14:paraId="3B86BDFC">
            <w:pPr>
              <w:pageBreakBefore w:val="0"/>
              <w:kinsoku/>
              <w:topLinePunct w:val="0"/>
              <w:bidi w:val="0"/>
              <w:adjustRightInd w:val="0"/>
              <w:snapToGrid w:val="0"/>
              <w:spacing w:line="240" w:lineRule="atLeast"/>
              <w:ind w:left="0" w:leftChars="0" w:right="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呋虫胺</w:t>
            </w:r>
          </w:p>
        </w:tc>
        <w:tc>
          <w:tcPr>
            <w:tcW w:w="6255" w:type="dxa"/>
            <w:vAlign w:val="center"/>
          </w:tcPr>
          <w:p w14:paraId="3B334B7B">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1.有效成分含量：≥0.5%呋虫胺</w:t>
            </w:r>
          </w:p>
          <w:p w14:paraId="39E38CD8">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2.剂型：饵剂。</w:t>
            </w:r>
          </w:p>
          <w:p w14:paraId="6FB8B97A">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3.提供药品三证（即：农药登记证、农药生产许可证、技术监督部门备案的企业标准）复印件加盖</w:t>
            </w:r>
            <w:r>
              <w:rPr>
                <w:rFonts w:hint="eastAsia" w:ascii="仿宋" w:hAnsi="仿宋" w:eastAsia="仿宋" w:cs="仿宋"/>
                <w:bCs/>
                <w:sz w:val="24"/>
                <w:szCs w:val="24"/>
                <w:lang w:val="en-US" w:eastAsia="zh-CN"/>
              </w:rPr>
              <w:t>投标人鲜</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rPr>
              <w:t>未提供或提供不全的，视为无效投标。</w:t>
            </w:r>
          </w:p>
          <w:p w14:paraId="15094153">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4.生产期：投标人提供的货物必须为2025年新生产的产品。</w:t>
            </w:r>
          </w:p>
        </w:tc>
      </w:tr>
      <w:tr w14:paraId="3567C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9" w:hRule="atLeast"/>
          <w:jc w:val="center"/>
        </w:trPr>
        <w:tc>
          <w:tcPr>
            <w:tcW w:w="1541" w:type="dxa"/>
            <w:vAlign w:val="center"/>
          </w:tcPr>
          <w:p w14:paraId="08F8984C">
            <w:pPr>
              <w:pageBreakBefore w:val="0"/>
              <w:kinsoku/>
              <w:topLinePunct w:val="0"/>
              <w:bidi w:val="0"/>
              <w:adjustRightInd w:val="0"/>
              <w:snapToGrid w:val="0"/>
              <w:spacing w:line="240" w:lineRule="atLeast"/>
              <w:ind w:left="0" w:leftChars="0" w:right="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灭蚊灭蝇</w:t>
            </w:r>
          </w:p>
        </w:tc>
        <w:tc>
          <w:tcPr>
            <w:tcW w:w="1515" w:type="dxa"/>
            <w:vAlign w:val="center"/>
          </w:tcPr>
          <w:p w14:paraId="43F7626B">
            <w:pPr>
              <w:pageBreakBefore w:val="0"/>
              <w:kinsoku/>
              <w:topLinePunct w:val="0"/>
              <w:bidi w:val="0"/>
              <w:adjustRightInd w:val="0"/>
              <w:snapToGrid w:val="0"/>
              <w:spacing w:line="240" w:lineRule="atLeast"/>
              <w:ind w:left="0" w:leftChars="0" w:right="0" w:firstLine="120" w:firstLineChars="50"/>
              <w:jc w:val="center"/>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顺氯·残杀威</w:t>
            </w:r>
          </w:p>
        </w:tc>
        <w:tc>
          <w:tcPr>
            <w:tcW w:w="6255" w:type="dxa"/>
            <w:vAlign w:val="center"/>
          </w:tcPr>
          <w:p w14:paraId="04876F4D">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1.有效成份含量：≥15%顺氯·残杀威。</w:t>
            </w:r>
          </w:p>
          <w:p w14:paraId="5AC59AF0">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2.剂型：悬浮剂。（有效成分及其含量：顺式氯氰菊酯8.5%，残杀威6.5%）</w:t>
            </w:r>
          </w:p>
          <w:p w14:paraId="3A69D0F1">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3.提供药品三证（即：农药登记证、农药生产许可证、技术监督部门备案的企业标准）复印件加盖</w:t>
            </w:r>
            <w:r>
              <w:rPr>
                <w:rFonts w:hint="eastAsia" w:ascii="仿宋" w:hAnsi="仿宋" w:eastAsia="仿宋" w:cs="仿宋"/>
                <w:bCs/>
                <w:sz w:val="24"/>
                <w:szCs w:val="24"/>
                <w:lang w:val="en-US" w:eastAsia="zh-CN"/>
              </w:rPr>
              <w:t>投标人鲜</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rPr>
              <w:t>未提供或提供不全的，视为无效投标。</w:t>
            </w:r>
          </w:p>
          <w:p w14:paraId="49E6C6DC">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bCs/>
                <w:sz w:val="24"/>
                <w:szCs w:val="24"/>
              </w:rPr>
            </w:pPr>
            <w:r>
              <w:rPr>
                <w:rFonts w:hint="eastAsia" w:ascii="仿宋" w:hAnsi="仿宋" w:eastAsia="仿宋" w:cs="仿宋"/>
                <w:bCs/>
                <w:sz w:val="24"/>
                <w:szCs w:val="24"/>
              </w:rPr>
              <w:t>4.生产期：投标人提供的货物必须为2025年新生产的产品。</w:t>
            </w:r>
          </w:p>
        </w:tc>
      </w:tr>
    </w:tbl>
    <w:p w14:paraId="347858A8">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17B5DEBA">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33503A9F">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009872F3">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1BB6F086">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792D6ED3">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48D90AF8">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1B761093">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3FF85F61">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299D9F22">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637E174D">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1B15AEFA">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469D0542">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3EC568F6">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685699B5">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0D82A29C">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341D2E1A">
      <w:pPr>
        <w:pageBreakBefore w:val="0"/>
        <w:kinsoku/>
        <w:topLinePunct w:val="0"/>
        <w:bidi w:val="0"/>
        <w:adjustRightInd w:val="0"/>
        <w:snapToGrid w:val="0"/>
        <w:spacing w:line="240" w:lineRule="atLeast"/>
        <w:ind w:left="0" w:leftChars="0" w:right="0"/>
        <w:textAlignment w:val="auto"/>
        <w:rPr>
          <w:rFonts w:hint="eastAsia" w:ascii="仿宋" w:hAnsi="仿宋" w:eastAsia="仿宋" w:cs="仿宋"/>
          <w:sz w:val="24"/>
          <w:szCs w:val="24"/>
        </w:rPr>
      </w:pPr>
    </w:p>
    <w:p w14:paraId="5859719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right="0"/>
        <w:jc w:val="left"/>
        <w:textAlignment w:val="auto"/>
        <w:rPr>
          <w:rFonts w:hint="default" w:ascii="仿宋" w:hAnsi="仿宋" w:eastAsia="仿宋" w:cs="仿宋"/>
          <w:b/>
          <w:bCs/>
          <w:color w:val="auto"/>
          <w:sz w:val="24"/>
          <w:szCs w:val="24"/>
          <w:highlight w:val="none"/>
          <w:lang w:val="en-US" w:eastAsia="zh-CN"/>
        </w:rPr>
      </w:pPr>
    </w:p>
    <w:p w14:paraId="419550E0">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tLeast"/>
        <w:ind w:left="0" w:leftChars="0" w:right="0"/>
        <w:jc w:val="center"/>
        <w:textAlignment w:val="auto"/>
        <w:rPr>
          <w:rFonts w:ascii="仿宋" w:hAnsi="仿宋" w:eastAsia="仿宋" w:cs="仿宋"/>
          <w:b/>
          <w:bCs/>
          <w:color w:val="auto"/>
          <w:sz w:val="36"/>
          <w:szCs w:val="36"/>
          <w:highlight w:val="none"/>
        </w:rPr>
      </w:pPr>
      <w:bookmarkStart w:id="52" w:name="_Toc106030882"/>
      <w:bookmarkStart w:id="53" w:name="_Toc76462327"/>
      <w:r>
        <w:rPr>
          <w:rFonts w:hint="eastAsia" w:ascii="仿宋" w:hAnsi="仿宋" w:eastAsia="仿宋" w:cs="仿宋"/>
          <w:b/>
          <w:bCs/>
          <w:color w:val="auto"/>
          <w:sz w:val="36"/>
          <w:szCs w:val="36"/>
          <w:highlight w:val="none"/>
        </w:rPr>
        <w:t xml:space="preserve"> </w:t>
      </w:r>
      <w:bookmarkEnd w:id="49"/>
      <w:r>
        <w:rPr>
          <w:rFonts w:hint="eastAsia" w:ascii="仿宋" w:hAnsi="仿宋" w:eastAsia="仿宋" w:cs="仿宋"/>
          <w:b/>
          <w:bCs/>
          <w:color w:val="auto"/>
          <w:sz w:val="36"/>
          <w:szCs w:val="36"/>
          <w:highlight w:val="none"/>
        </w:rPr>
        <w:t>项目商务需求</w:t>
      </w:r>
      <w:bookmarkEnd w:id="52"/>
      <w:bookmarkEnd w:id="53"/>
    </w:p>
    <w:p w14:paraId="77CFD100">
      <w:pPr>
        <w:pageBreakBefore w:val="0"/>
        <w:kinsoku/>
        <w:topLinePunct w:val="0"/>
        <w:bidi w:val="0"/>
        <w:adjustRightInd w:val="0"/>
        <w:snapToGrid w:val="0"/>
        <w:spacing w:line="240" w:lineRule="atLeast"/>
        <w:ind w:left="0" w:leftChars="0" w:right="0"/>
        <w:textAlignment w:val="auto"/>
        <w:rPr>
          <w:rFonts w:ascii="仿宋" w:hAnsi="仿宋" w:eastAsia="仿宋" w:cs="仿宋"/>
          <w:b/>
          <w:bCs/>
          <w:color w:val="auto"/>
          <w:sz w:val="24"/>
          <w:szCs w:val="24"/>
          <w:highlight w:val="none"/>
          <w:u w:val="single"/>
        </w:rPr>
      </w:pPr>
    </w:p>
    <w:p w14:paraId="76CF657D">
      <w:pPr>
        <w:pStyle w:val="3"/>
        <w:pageBreakBefore w:val="0"/>
        <w:kinsoku/>
        <w:topLinePunct w:val="0"/>
        <w:bidi w:val="0"/>
        <w:adjustRightInd w:val="0"/>
        <w:snapToGrid w:val="0"/>
        <w:spacing w:before="0" w:after="0" w:line="240" w:lineRule="atLeast"/>
        <w:ind w:left="0" w:leftChars="0" w:right="0"/>
        <w:textAlignment w:val="auto"/>
        <w:rPr>
          <w:rFonts w:ascii="仿宋" w:hAnsi="仿宋" w:eastAsia="仿宋"/>
          <w:color w:val="auto"/>
          <w:sz w:val="24"/>
          <w:szCs w:val="24"/>
          <w:highlight w:val="none"/>
        </w:rPr>
      </w:pPr>
      <w:bookmarkStart w:id="54" w:name="_Toc13038"/>
      <w:bookmarkStart w:id="55" w:name="_Toc21305"/>
      <w:bookmarkStart w:id="56" w:name="_Toc19343"/>
      <w:r>
        <w:rPr>
          <w:rFonts w:hint="eastAsia" w:ascii="仿宋" w:hAnsi="仿宋" w:eastAsia="仿宋"/>
          <w:color w:val="auto"/>
          <w:sz w:val="24"/>
          <w:szCs w:val="24"/>
          <w:highlight w:val="none"/>
        </w:rPr>
        <w:t>一、服务时间、地点、验收方式及报价方式</w:t>
      </w:r>
      <w:bookmarkEnd w:id="54"/>
      <w:bookmarkEnd w:id="55"/>
      <w:bookmarkEnd w:id="56"/>
    </w:p>
    <w:p w14:paraId="47BD1583">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bookmarkStart w:id="57" w:name="_Toc30218"/>
      <w:bookmarkStart w:id="58" w:name="_Toc24209"/>
      <w:bookmarkStart w:id="59" w:name="_Toc506192852"/>
      <w:r>
        <w:rPr>
          <w:rFonts w:hint="eastAsia" w:ascii="仿宋" w:hAnsi="仿宋" w:eastAsia="仿宋"/>
          <w:color w:val="auto"/>
          <w:sz w:val="24"/>
          <w:szCs w:val="24"/>
          <w:highlight w:val="none"/>
        </w:rPr>
        <w:t>（一）服务时间</w:t>
      </w:r>
    </w:p>
    <w:p w14:paraId="3647FDD4">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服务时间：</w:t>
      </w:r>
      <w:r>
        <w:rPr>
          <w:rFonts w:hint="eastAsia" w:ascii="仿宋" w:hAnsi="仿宋" w:eastAsia="仿宋"/>
          <w:color w:val="auto"/>
          <w:sz w:val="24"/>
          <w:szCs w:val="24"/>
          <w:highlight w:val="none"/>
          <w:lang w:val="en-US" w:eastAsia="zh-CN"/>
        </w:rPr>
        <w:t>12个月。</w:t>
      </w:r>
    </w:p>
    <w:p w14:paraId="024C756B">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（二）服务地点</w:t>
      </w:r>
    </w:p>
    <w:p w14:paraId="4593354A">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r>
        <w:rPr>
          <w:rFonts w:hint="eastAsia" w:ascii="仿宋" w:hAnsi="仿宋" w:eastAsia="仿宋"/>
          <w:color w:val="auto"/>
          <w:sz w:val="24"/>
          <w:szCs w:val="24"/>
          <w:highlight w:val="none"/>
          <w:lang w:val="en-US" w:eastAsia="zh-CN"/>
        </w:rPr>
        <w:t>重庆市渝北区龙兴镇两江大道985号</w:t>
      </w:r>
      <w:r>
        <w:rPr>
          <w:rFonts w:hint="eastAsia" w:ascii="仿宋" w:hAnsi="仿宋" w:eastAsia="仿宋"/>
          <w:color w:val="auto"/>
          <w:sz w:val="24"/>
          <w:szCs w:val="24"/>
          <w:highlight w:val="none"/>
        </w:rPr>
        <w:t>。</w:t>
      </w:r>
    </w:p>
    <w:p w14:paraId="7D4D0BA1">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（三）验收方式</w:t>
      </w:r>
    </w:p>
    <w:p w14:paraId="3FA4779B">
      <w:pPr>
        <w:pageBreakBefore w:val="0"/>
        <w:kinsoku/>
        <w:topLinePunct w:val="0"/>
        <w:bidi w:val="0"/>
        <w:adjustRightInd w:val="0"/>
        <w:snapToGrid w:val="0"/>
        <w:spacing w:line="240" w:lineRule="atLeast"/>
        <w:ind w:left="0" w:leftChars="0" w:right="0" w:firstLine="54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采购人自行组织验收。</w:t>
      </w:r>
    </w:p>
    <w:p w14:paraId="5FB2FA2D">
      <w:pPr>
        <w:pageBreakBefore w:val="0"/>
        <w:kinsoku/>
        <w:topLinePunct w:val="0"/>
        <w:bidi w:val="0"/>
        <w:adjustRightInd w:val="0"/>
        <w:snapToGrid w:val="0"/>
        <w:spacing w:line="240" w:lineRule="atLeast"/>
        <w:ind w:left="0" w:leftChars="0" w:right="0" w:firstLine="54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（四）报价方式</w:t>
      </w:r>
      <w:bookmarkStart w:id="60" w:name="_Toc530694353"/>
    </w:p>
    <w:bookmarkEnd w:id="60"/>
    <w:p w14:paraId="4DBDF6AB">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本项目报价的币种为人民币，包含：服务费、货物费、设备及软件、培训、安装调试、运输费（含装卸费）、检测费、税费、辅材费完成本项目全部内容所需的所有费用。因中标人自身原因造成漏报、少报皆有其自行承担责任，采购人不再补偿。</w:t>
      </w:r>
    </w:p>
    <w:p w14:paraId="5556E1EE">
      <w:pPr>
        <w:pStyle w:val="3"/>
        <w:pageBreakBefore w:val="0"/>
        <w:numPr>
          <w:ilvl w:val="0"/>
          <w:numId w:val="0"/>
        </w:numPr>
        <w:kinsoku/>
        <w:topLinePunct w:val="0"/>
        <w:bidi w:val="0"/>
        <w:adjustRightInd w:val="0"/>
        <w:snapToGrid w:val="0"/>
        <w:spacing w:before="0" w:after="0" w:line="240" w:lineRule="atLeast"/>
        <w:ind w:left="0" w:leftChars="0" w:right="0"/>
        <w:textAlignment w:val="auto"/>
        <w:rPr>
          <w:rFonts w:hint="eastAsia" w:ascii="仿宋" w:hAnsi="仿宋" w:eastAsia="仿宋"/>
          <w:color w:val="auto"/>
          <w:sz w:val="24"/>
          <w:szCs w:val="24"/>
          <w:highlight w:val="none"/>
        </w:rPr>
      </w:pPr>
      <w:bookmarkStart w:id="61" w:name="_Toc8644"/>
      <w:bookmarkStart w:id="62" w:name="_Toc8872"/>
      <w:r>
        <w:rPr>
          <w:rFonts w:hint="eastAsia" w:ascii="仿宋" w:hAnsi="仿宋" w:eastAsia="仿宋" w:cs="Times New Roman"/>
          <w:b/>
          <w:color w:val="auto"/>
          <w:kern w:val="2"/>
          <w:sz w:val="24"/>
          <w:szCs w:val="24"/>
          <w:highlight w:val="none"/>
          <w:lang w:val="en-US" w:eastAsia="zh-CN" w:bidi="ar-SA"/>
        </w:rPr>
        <w:t>二、</w:t>
      </w:r>
      <w:r>
        <w:rPr>
          <w:rFonts w:hint="eastAsia" w:ascii="仿宋" w:hAnsi="仿宋" w:eastAsia="仿宋"/>
          <w:color w:val="auto"/>
          <w:sz w:val="24"/>
          <w:szCs w:val="24"/>
          <w:highlight w:val="none"/>
        </w:rPr>
        <w:t>付款方式</w:t>
      </w:r>
      <w:bookmarkEnd w:id="57"/>
      <w:bookmarkEnd w:id="58"/>
      <w:bookmarkEnd w:id="59"/>
      <w:bookmarkEnd w:id="61"/>
      <w:bookmarkEnd w:id="62"/>
    </w:p>
    <w:p w14:paraId="01080A4E">
      <w:pPr>
        <w:pageBreakBefore w:val="0"/>
        <w:numPr>
          <w:ilvl w:val="0"/>
          <w:numId w:val="0"/>
        </w:numPr>
        <w:kinsoku/>
        <w:topLinePunct w:val="0"/>
        <w:bidi w:val="0"/>
        <w:adjustRightInd w:val="0"/>
        <w:snapToGrid w:val="0"/>
        <w:spacing w:line="240" w:lineRule="atLeast"/>
        <w:ind w:left="0" w:leftChars="0" w:right="0" w:firstLine="480" w:firstLineChars="200"/>
        <w:textAlignment w:val="auto"/>
        <w:rPr>
          <w:rFonts w:hint="default" w:ascii="仿宋" w:hAnsi="仿宋" w:eastAsia="仿宋"/>
          <w:color w:val="auto"/>
          <w:sz w:val="24"/>
          <w:szCs w:val="24"/>
          <w:highlight w:val="none"/>
          <w:lang w:val="en-US" w:eastAsia="zh-CN"/>
        </w:rPr>
      </w:pPr>
      <w:r>
        <w:rPr>
          <w:rFonts w:hint="eastAsia" w:ascii="仿宋" w:hAnsi="仿宋" w:eastAsia="仿宋" w:cs="Times New Roman"/>
          <w:color w:val="auto"/>
          <w:kern w:val="2"/>
          <w:sz w:val="24"/>
          <w:szCs w:val="24"/>
          <w:highlight w:val="none"/>
          <w:lang w:val="en-US" w:eastAsia="zh-CN" w:bidi="ar-SA"/>
        </w:rPr>
        <w:t>1.按季度支付，服务当季度末，由病媒生物防制服务单位提供该季度服务费发票，并附上过程性防制资料，经采购人确认后七个工作日内支付服务单位当季服务费。</w:t>
      </w:r>
    </w:p>
    <w:p w14:paraId="051C13D3">
      <w:pPr>
        <w:pStyle w:val="3"/>
        <w:pageBreakBefore w:val="0"/>
        <w:kinsoku/>
        <w:topLinePunct w:val="0"/>
        <w:bidi w:val="0"/>
        <w:adjustRightInd w:val="0"/>
        <w:snapToGrid w:val="0"/>
        <w:spacing w:before="0" w:after="0" w:line="240" w:lineRule="atLeast"/>
        <w:ind w:left="0" w:leftChars="0" w:right="0"/>
        <w:textAlignment w:val="auto"/>
        <w:rPr>
          <w:rFonts w:ascii="仿宋" w:hAnsi="仿宋" w:eastAsia="仿宋"/>
          <w:color w:val="auto"/>
          <w:sz w:val="24"/>
          <w:szCs w:val="24"/>
          <w:highlight w:val="none"/>
        </w:rPr>
      </w:pPr>
      <w:bookmarkStart w:id="63" w:name="_Toc24069"/>
      <w:bookmarkStart w:id="64" w:name="_Toc506192854"/>
      <w:bookmarkStart w:id="65" w:name="_Toc24177"/>
      <w:bookmarkStart w:id="66" w:name="_Toc16472"/>
      <w:bookmarkStart w:id="67" w:name="_Toc344475123"/>
      <w:bookmarkStart w:id="68" w:name="_Toc20713"/>
      <w:bookmarkStart w:id="69" w:name="_Toc414610283"/>
      <w:r>
        <w:rPr>
          <w:rFonts w:hint="eastAsia" w:ascii="仿宋" w:hAnsi="仿宋" w:eastAsia="仿宋"/>
          <w:color w:val="auto"/>
          <w:sz w:val="24"/>
          <w:szCs w:val="24"/>
          <w:highlight w:val="none"/>
        </w:rPr>
        <w:t>三、知识产权</w:t>
      </w:r>
      <w:bookmarkEnd w:id="63"/>
      <w:bookmarkEnd w:id="64"/>
      <w:bookmarkEnd w:id="65"/>
      <w:bookmarkEnd w:id="66"/>
      <w:bookmarkEnd w:id="67"/>
      <w:bookmarkEnd w:id="68"/>
      <w:bookmarkEnd w:id="69"/>
    </w:p>
    <w:p w14:paraId="38C93498">
      <w:pPr>
        <w:pageBreakBefore w:val="0"/>
        <w:kinsoku/>
        <w:topLinePunct w:val="0"/>
        <w:bidi w:val="0"/>
        <w:adjustRightInd w:val="0"/>
        <w:snapToGrid w:val="0"/>
        <w:spacing w:line="240" w:lineRule="atLeast"/>
        <w:ind w:left="0" w:leftChars="0" w:right="0" w:firstLine="54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注：若涉及软件开发等服务类项目知识产权的，知识产权归采购人所有）。</w:t>
      </w:r>
    </w:p>
    <w:p w14:paraId="7D7E56CE">
      <w:pPr>
        <w:pStyle w:val="3"/>
        <w:pageBreakBefore w:val="0"/>
        <w:numPr>
          <w:ilvl w:val="0"/>
          <w:numId w:val="4"/>
        </w:numPr>
        <w:kinsoku/>
        <w:topLinePunct w:val="0"/>
        <w:bidi w:val="0"/>
        <w:adjustRightInd w:val="0"/>
        <w:snapToGrid w:val="0"/>
        <w:spacing w:before="0" w:after="0" w:line="240" w:lineRule="atLeast"/>
        <w:ind w:left="0" w:leftChars="0" w:right="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售后质保要求</w:t>
      </w:r>
    </w:p>
    <w:p w14:paraId="6F35E44A">
      <w:pPr>
        <w:pageBreakBefore w:val="0"/>
        <w:widowControl w:val="0"/>
        <w:kinsoku/>
        <w:wordWrap w:val="0"/>
        <w:overflowPunct/>
        <w:topLinePunct w:val="0"/>
        <w:autoSpaceDE/>
        <w:autoSpaceDN/>
        <w:bidi w:val="0"/>
        <w:adjustRightInd w:val="0"/>
        <w:snapToGrid w:val="0"/>
        <w:spacing w:line="240" w:lineRule="atLeast"/>
        <w:ind w:left="0" w:leftChars="0" w:right="0" w:firstLine="482"/>
        <w:textAlignment w:val="auto"/>
        <w:rPr>
          <w:rFonts w:hint="eastAsia" w:ascii="仿宋" w:hAnsi="仿宋" w:eastAsia="仿宋" w:cs="仿宋"/>
          <w:bCs/>
          <w:color w:val="auto"/>
          <w:sz w:val="24"/>
          <w:szCs w:val="24"/>
          <w:highlight w:val="none"/>
          <w:lang w:val="af-ZA"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af-ZA" w:eastAsia="zh-CN"/>
        </w:rPr>
        <w:t>.提供7×24小时热线电话或电子邮件服务。</w:t>
      </w:r>
    </w:p>
    <w:p w14:paraId="2DCAE787">
      <w:pPr>
        <w:pageBreakBefore w:val="0"/>
        <w:widowControl w:val="0"/>
        <w:kinsoku/>
        <w:wordWrap w:val="0"/>
        <w:overflowPunct/>
        <w:topLinePunct w:val="0"/>
        <w:autoSpaceDE/>
        <w:autoSpaceDN/>
        <w:bidi w:val="0"/>
        <w:adjustRightInd w:val="0"/>
        <w:snapToGrid w:val="0"/>
        <w:spacing w:line="240" w:lineRule="atLeast"/>
        <w:ind w:left="0" w:leftChars="0" w:right="0" w:firstLine="482"/>
        <w:textAlignment w:val="auto"/>
        <w:rPr>
          <w:rFonts w:hint="eastAsia" w:ascii="仿宋" w:hAnsi="仿宋" w:eastAsia="仿宋" w:cs="仿宋"/>
          <w:bCs/>
          <w:color w:val="auto"/>
          <w:sz w:val="24"/>
          <w:szCs w:val="24"/>
          <w:highlight w:val="none"/>
          <w:lang w:val="af-ZA"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af-ZA" w:eastAsia="zh-CN"/>
        </w:rPr>
        <w:t>.在项目实施期间及免费服务期间，若出现系统技术故障，在接到通知1小时内响应，2个工作日内解决系统故障。技术支持与售后服务，不额外收取费</w:t>
      </w:r>
      <w:bookmarkStart w:id="70" w:name="_bookmark4"/>
      <w:bookmarkEnd w:id="70"/>
      <w:r>
        <w:rPr>
          <w:rFonts w:hint="eastAsia" w:ascii="仿宋" w:hAnsi="仿宋" w:eastAsia="仿宋" w:cs="仿宋"/>
          <w:bCs/>
          <w:color w:val="auto"/>
          <w:sz w:val="24"/>
          <w:szCs w:val="24"/>
          <w:highlight w:val="none"/>
          <w:lang w:val="af-ZA" w:eastAsia="zh-CN"/>
        </w:rPr>
        <w:t>用。</w:t>
      </w:r>
    </w:p>
    <w:p w14:paraId="0AE9DE65">
      <w:pPr>
        <w:pageBreakBefore w:val="0"/>
        <w:widowControl w:val="0"/>
        <w:kinsoku/>
        <w:wordWrap w:val="0"/>
        <w:overflowPunct/>
        <w:topLinePunct w:val="0"/>
        <w:autoSpaceDE/>
        <w:autoSpaceDN/>
        <w:bidi w:val="0"/>
        <w:adjustRightInd w:val="0"/>
        <w:snapToGrid w:val="0"/>
        <w:spacing w:line="240" w:lineRule="atLeast"/>
        <w:ind w:left="0" w:leftChars="0" w:right="0" w:firstLine="482"/>
        <w:textAlignment w:val="auto"/>
        <w:rPr>
          <w:rFonts w:hint="eastAsia" w:ascii="仿宋" w:hAnsi="仿宋" w:eastAsia="仿宋" w:cs="仿宋"/>
          <w:bCs/>
          <w:color w:val="auto"/>
          <w:sz w:val="24"/>
          <w:szCs w:val="24"/>
          <w:highlight w:val="none"/>
          <w:lang w:val="af-ZA"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af-ZA" w:eastAsia="zh-CN"/>
        </w:rPr>
        <w:t>.合作期内为采购人提供软件的免费升级服务及售后服务，服务期间产生的耗材、设备磨损及升级等由成交人负责，不得另行收费。</w:t>
      </w:r>
    </w:p>
    <w:p w14:paraId="24EFAAF6">
      <w:pPr>
        <w:pageBreakBefore w:val="0"/>
        <w:widowControl w:val="0"/>
        <w:kinsoku/>
        <w:wordWrap w:val="0"/>
        <w:overflowPunct/>
        <w:topLinePunct w:val="0"/>
        <w:autoSpaceDE/>
        <w:autoSpaceDN/>
        <w:bidi w:val="0"/>
        <w:adjustRightInd w:val="0"/>
        <w:snapToGrid w:val="0"/>
        <w:spacing w:line="240" w:lineRule="atLeast"/>
        <w:ind w:left="0" w:leftChars="0" w:right="0" w:firstLine="482"/>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af-ZA" w:eastAsia="zh-CN"/>
        </w:rPr>
        <w:t>.如采购人决定终止与成交人的合作，服务费用另行协商。</w:t>
      </w:r>
    </w:p>
    <w:p w14:paraId="4705A2FD">
      <w:pPr>
        <w:pStyle w:val="3"/>
        <w:pageBreakBefore w:val="0"/>
        <w:kinsoku/>
        <w:topLinePunct w:val="0"/>
        <w:bidi w:val="0"/>
        <w:adjustRightInd w:val="0"/>
        <w:snapToGrid w:val="0"/>
        <w:spacing w:before="0" w:after="0" w:line="240" w:lineRule="atLeast"/>
        <w:ind w:left="0" w:leftChars="0" w:right="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五、保密要求</w:t>
      </w:r>
    </w:p>
    <w:p w14:paraId="56BB536D">
      <w:pPr>
        <w:pageBreakBefore w:val="0"/>
        <w:kinsoku/>
        <w:topLinePunct w:val="0"/>
        <w:bidi w:val="0"/>
        <w:adjustRightInd w:val="0"/>
        <w:snapToGrid w:val="0"/>
        <w:spacing w:line="240" w:lineRule="atLeast"/>
        <w:ind w:left="0" w:leftChars="0" w:right="0" w:firstLine="54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未经采购人许可，不允许透露任何数据及内容</w:t>
      </w:r>
    </w:p>
    <w:p w14:paraId="044EAD14">
      <w:pPr>
        <w:pStyle w:val="3"/>
        <w:pageBreakBefore w:val="0"/>
        <w:kinsoku/>
        <w:topLinePunct w:val="0"/>
        <w:bidi w:val="0"/>
        <w:adjustRightInd w:val="0"/>
        <w:snapToGrid w:val="0"/>
        <w:spacing w:before="0" w:after="0" w:line="240" w:lineRule="atLeast"/>
        <w:ind w:left="0" w:leftChars="0" w:right="0"/>
        <w:textAlignment w:val="auto"/>
        <w:rPr>
          <w:rFonts w:ascii="仿宋" w:hAnsi="仿宋" w:eastAsia="仿宋"/>
          <w:color w:val="auto"/>
          <w:sz w:val="24"/>
          <w:szCs w:val="24"/>
          <w:highlight w:val="none"/>
        </w:rPr>
      </w:pPr>
      <w:bookmarkStart w:id="71" w:name="_Toc24426"/>
      <w:bookmarkStart w:id="72" w:name="_Toc9614"/>
      <w:bookmarkStart w:id="73" w:name="_Toc506192855"/>
      <w:bookmarkStart w:id="74" w:name="_Toc21712"/>
      <w:bookmarkStart w:id="75" w:name="_Toc31551"/>
      <w:bookmarkStart w:id="76" w:name="_Toc414610285"/>
      <w:r>
        <w:rPr>
          <w:rFonts w:hint="eastAsia" w:ascii="仿宋" w:hAnsi="仿宋" w:eastAsia="仿宋"/>
          <w:color w:val="auto"/>
          <w:sz w:val="24"/>
          <w:szCs w:val="24"/>
          <w:highlight w:val="none"/>
        </w:rPr>
        <w:t>六、</w:t>
      </w:r>
      <w:bookmarkStart w:id="77" w:name="_Toc344475125"/>
      <w:r>
        <w:rPr>
          <w:rFonts w:hint="eastAsia" w:ascii="仿宋" w:hAnsi="仿宋" w:eastAsia="仿宋"/>
          <w:color w:val="auto"/>
          <w:sz w:val="24"/>
          <w:szCs w:val="24"/>
          <w:highlight w:val="none"/>
        </w:rPr>
        <w:t>其他</w:t>
      </w:r>
      <w:bookmarkEnd w:id="71"/>
      <w:bookmarkEnd w:id="72"/>
      <w:bookmarkEnd w:id="73"/>
      <w:bookmarkEnd w:id="74"/>
      <w:bookmarkEnd w:id="75"/>
      <w:bookmarkEnd w:id="76"/>
    </w:p>
    <w:bookmarkEnd w:id="77"/>
    <w:p w14:paraId="38CBA748">
      <w:pPr>
        <w:pageBreakBefore w:val="0"/>
        <w:kinsoku/>
        <w:topLinePunct w:val="0"/>
        <w:bidi w:val="0"/>
        <w:adjustRightInd w:val="0"/>
        <w:snapToGrid w:val="0"/>
        <w:spacing w:line="240" w:lineRule="atLeast"/>
        <w:ind w:left="0" w:leftChars="0" w:right="0" w:firstLine="54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（一）供应商必须在响应文件中对以上条款和服务承诺明确列出，承诺内容必须达到本篇及谈判采购文件其他条款的要求。</w:t>
      </w:r>
    </w:p>
    <w:p w14:paraId="391150EA">
      <w:pPr>
        <w:pageBreakBefore w:val="0"/>
        <w:kinsoku/>
        <w:topLinePunct w:val="0"/>
        <w:bidi w:val="0"/>
        <w:adjustRightInd w:val="0"/>
        <w:snapToGrid w:val="0"/>
        <w:spacing w:line="240" w:lineRule="atLeast"/>
        <w:ind w:left="0" w:leftChars="0" w:right="0" w:firstLine="54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（二）其他未尽事宜由供需双方在采购合同中详细约定。</w:t>
      </w:r>
      <w:bookmarkStart w:id="78" w:name="_Toc109836389"/>
    </w:p>
    <w:p w14:paraId="0CA80E89">
      <w:pPr>
        <w:pageBreakBefore w:val="0"/>
        <w:kinsoku/>
        <w:topLinePunct w:val="0"/>
        <w:bidi w:val="0"/>
        <w:adjustRightInd w:val="0"/>
        <w:snapToGrid w:val="0"/>
        <w:spacing w:line="240" w:lineRule="atLeast"/>
        <w:ind w:left="0" w:leftChars="0" w:right="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br w:type="page"/>
      </w:r>
    </w:p>
    <w:p w14:paraId="375A88E9">
      <w:pPr>
        <w:pageBreakBefore w:val="0"/>
        <w:kinsoku/>
        <w:topLinePunct w:val="0"/>
        <w:bidi w:val="0"/>
        <w:adjustRightInd w:val="0"/>
        <w:snapToGrid w:val="0"/>
        <w:spacing w:line="240" w:lineRule="atLeast"/>
        <w:ind w:left="0" w:leftChars="0" w:right="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b/>
          <w:bCs/>
          <w:color w:val="auto"/>
          <w:sz w:val="36"/>
          <w:szCs w:val="36"/>
          <w:highlight w:val="none"/>
        </w:rPr>
        <w:t>第四篇  竞采程序、评标办法</w:t>
      </w:r>
      <w:bookmarkEnd w:id="78"/>
      <w:r>
        <w:rPr>
          <w:rFonts w:hint="eastAsia" w:ascii="仿宋" w:hAnsi="仿宋" w:eastAsia="仿宋" w:cs="仿宋"/>
          <w:b/>
          <w:bCs/>
          <w:color w:val="auto"/>
          <w:sz w:val="36"/>
          <w:szCs w:val="36"/>
          <w:highlight w:val="none"/>
        </w:rPr>
        <w:t>、无效响应及采购终止</w:t>
      </w:r>
    </w:p>
    <w:p w14:paraId="5797F48B">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b/>
          <w:bCs/>
          <w:color w:val="auto"/>
          <w:sz w:val="24"/>
          <w:szCs w:val="24"/>
          <w:highlight w:val="none"/>
        </w:rPr>
      </w:pPr>
      <w:bookmarkStart w:id="79" w:name="_Toc10124"/>
      <w:r>
        <w:rPr>
          <w:rFonts w:hint="eastAsia" w:ascii="仿宋" w:hAnsi="仿宋" w:eastAsia="仿宋" w:cs="仿宋"/>
          <w:b/>
          <w:bCs/>
          <w:color w:val="auto"/>
          <w:sz w:val="24"/>
          <w:szCs w:val="24"/>
          <w:highlight w:val="none"/>
        </w:rPr>
        <w:t>一、</w:t>
      </w:r>
      <w:bookmarkEnd w:id="79"/>
      <w:bookmarkStart w:id="80" w:name="_Toc75793518"/>
      <w:r>
        <w:rPr>
          <w:rFonts w:hint="eastAsia" w:ascii="仿宋" w:hAnsi="仿宋" w:eastAsia="仿宋" w:cs="仿宋"/>
          <w:b/>
          <w:bCs/>
          <w:color w:val="auto"/>
          <w:sz w:val="24"/>
          <w:szCs w:val="24"/>
          <w:highlight w:val="none"/>
        </w:rPr>
        <w:t>网上竞采程序</w:t>
      </w:r>
      <w:bookmarkEnd w:id="80"/>
    </w:p>
    <w:p w14:paraId="0FE2309B">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（一）报价截止后评审小组对各供应商的资格条件、响应文件的有效性、完整性和响应程度进行审查。各供应商只有在完全符合要求的前提下，才能参与正式采购。</w:t>
      </w:r>
    </w:p>
    <w:p w14:paraId="6EBDFC5A">
      <w:pPr>
        <w:pageBreakBefore w:val="0"/>
        <w:kinsoku/>
        <w:topLinePunct w:val="0"/>
        <w:bidi w:val="0"/>
        <w:adjustRightInd w:val="0"/>
        <w:snapToGrid w:val="0"/>
        <w:spacing w:line="240" w:lineRule="atLeast"/>
        <w:ind w:left="0" w:leftChars="0" w:right="0" w:firstLine="482" w:firstLineChars="200"/>
        <w:jc w:val="left"/>
        <w:textAlignment w:val="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依据法律法规和采购采购文件的规定，对响应文件中的资格证明等进行审查，以确定供应商是否具备采购资格。资格性检查资料表如下：</w:t>
      </w:r>
    </w:p>
    <w:tbl>
      <w:tblPr>
        <w:tblStyle w:val="1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2845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DE1B3AA">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85" w:type="dxa"/>
            <w:gridSpan w:val="2"/>
            <w:vAlign w:val="center"/>
          </w:tcPr>
          <w:p w14:paraId="7DDC2E2D">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检查因素</w:t>
            </w:r>
          </w:p>
        </w:tc>
        <w:tc>
          <w:tcPr>
            <w:tcW w:w="5155" w:type="dxa"/>
            <w:vAlign w:val="center"/>
          </w:tcPr>
          <w:p w14:paraId="7ABBA371">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检查内容</w:t>
            </w:r>
          </w:p>
        </w:tc>
      </w:tr>
      <w:tr w14:paraId="3BB6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57D44D09">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4A1E7B65">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2976" w:type="dxa"/>
            <w:vAlign w:val="center"/>
          </w:tcPr>
          <w:p w14:paraId="537297CA">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4188ACD9">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34CD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655E43F">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tc>
        <w:tc>
          <w:tcPr>
            <w:tcW w:w="709" w:type="dxa"/>
            <w:vMerge w:val="continue"/>
            <w:vAlign w:val="center"/>
          </w:tcPr>
          <w:p w14:paraId="4A08A6E9">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lang w:val="zh-CN"/>
              </w:rPr>
            </w:pPr>
          </w:p>
        </w:tc>
        <w:tc>
          <w:tcPr>
            <w:tcW w:w="2976" w:type="dxa"/>
            <w:vAlign w:val="center"/>
          </w:tcPr>
          <w:p w14:paraId="0DE1DEFC">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3D553E0E">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w:t>
            </w:r>
            <w:r>
              <w:rPr>
                <w:rFonts w:hint="eastAsia" w:ascii="仿宋" w:hAnsi="仿宋" w:eastAsia="仿宋" w:cs="仿宋"/>
                <w:color w:val="auto"/>
                <w:sz w:val="24"/>
                <w:szCs w:val="24"/>
                <w:highlight w:val="none"/>
                <w:lang w:val="en-US" w:eastAsia="zh-CN"/>
              </w:rPr>
              <w:t>基本资格条件</w:t>
            </w:r>
            <w:r>
              <w:rPr>
                <w:rFonts w:hint="eastAsia" w:ascii="仿宋" w:hAnsi="仿宋" w:eastAsia="仿宋" w:cs="仿宋"/>
                <w:color w:val="auto"/>
                <w:sz w:val="24"/>
                <w:szCs w:val="24"/>
                <w:highlight w:val="none"/>
              </w:rPr>
              <w:t>承诺函（见格式文件）</w:t>
            </w:r>
          </w:p>
        </w:tc>
      </w:tr>
      <w:tr w14:paraId="5B8E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9911B56">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tc>
        <w:tc>
          <w:tcPr>
            <w:tcW w:w="709" w:type="dxa"/>
            <w:vMerge w:val="continue"/>
            <w:vAlign w:val="center"/>
          </w:tcPr>
          <w:p w14:paraId="7ADF518E">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lang w:val="zh-CN"/>
              </w:rPr>
            </w:pPr>
          </w:p>
        </w:tc>
        <w:tc>
          <w:tcPr>
            <w:tcW w:w="2976" w:type="dxa"/>
            <w:vAlign w:val="center"/>
          </w:tcPr>
          <w:p w14:paraId="0E07CBD0">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05AD7F79">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tc>
      </w:tr>
      <w:tr w14:paraId="616B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1899B9B1">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tc>
        <w:tc>
          <w:tcPr>
            <w:tcW w:w="709" w:type="dxa"/>
            <w:vMerge w:val="continue"/>
            <w:vAlign w:val="center"/>
          </w:tcPr>
          <w:p w14:paraId="24AC0D17">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lang w:val="zh-CN"/>
              </w:rPr>
            </w:pPr>
          </w:p>
        </w:tc>
        <w:tc>
          <w:tcPr>
            <w:tcW w:w="2976" w:type="dxa"/>
            <w:vAlign w:val="center"/>
          </w:tcPr>
          <w:p w14:paraId="4E0F521D">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448560F7">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tc>
      </w:tr>
      <w:tr w14:paraId="5947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4F8A08E">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tc>
        <w:tc>
          <w:tcPr>
            <w:tcW w:w="709" w:type="dxa"/>
            <w:vMerge w:val="continue"/>
            <w:vAlign w:val="center"/>
          </w:tcPr>
          <w:p w14:paraId="18D3855F">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lang w:val="zh-CN"/>
              </w:rPr>
            </w:pPr>
          </w:p>
        </w:tc>
        <w:tc>
          <w:tcPr>
            <w:tcW w:w="2976" w:type="dxa"/>
            <w:vAlign w:val="center"/>
          </w:tcPr>
          <w:p w14:paraId="6A5D845D">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3D03CFA9">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AAB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0A05F919">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tc>
        <w:tc>
          <w:tcPr>
            <w:tcW w:w="709" w:type="dxa"/>
            <w:vMerge w:val="continue"/>
            <w:vAlign w:val="center"/>
          </w:tcPr>
          <w:p w14:paraId="11E364EA">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lang w:val="zh-CN"/>
              </w:rPr>
            </w:pPr>
          </w:p>
        </w:tc>
        <w:tc>
          <w:tcPr>
            <w:tcW w:w="2976" w:type="dxa"/>
            <w:vAlign w:val="center"/>
          </w:tcPr>
          <w:p w14:paraId="22121881">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5BF4241C">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tc>
      </w:tr>
      <w:tr w14:paraId="1254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49C1D6DD">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732A20F8">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4151D6B5">
            <w:pPr>
              <w:pageBreakBefore w:val="0"/>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5A2F48E5">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4D3CECF">
      <w:pPr>
        <w:pageBreakBefore w:val="0"/>
        <w:kinsoku/>
        <w:topLinePunct w:val="0"/>
        <w:bidi w:val="0"/>
        <w:adjustRightInd w:val="0"/>
        <w:snapToGrid w:val="0"/>
        <w:spacing w:line="240" w:lineRule="atLeast"/>
        <w:ind w:left="0" w:leftChars="0" w:right="0" w:firstLine="482" w:firstLineChars="200"/>
        <w:textAlignment w:val="auto"/>
        <w:rPr>
          <w:rFonts w:ascii="仿宋" w:hAnsi="仿宋" w:eastAsia="仿宋"/>
          <w:color w:val="auto"/>
          <w:kern w:val="0"/>
          <w:sz w:val="24"/>
          <w:szCs w:val="24"/>
          <w:highlight w:val="none"/>
        </w:rPr>
      </w:pPr>
      <w:r>
        <w:rPr>
          <w:rFonts w:hint="eastAsia" w:ascii="仿宋" w:hAnsi="仿宋" w:eastAsia="仿宋" w:cs="宋体"/>
          <w:b/>
          <w:bCs/>
          <w:color w:val="auto"/>
          <w:kern w:val="0"/>
          <w:sz w:val="24"/>
          <w:szCs w:val="24"/>
          <w:highlight w:val="none"/>
        </w:rPr>
        <w:t>2.符合性检查。</w:t>
      </w:r>
      <w:r>
        <w:rPr>
          <w:rFonts w:hint="eastAsia" w:ascii="仿宋" w:hAnsi="仿宋" w:eastAsia="仿宋" w:cs="宋体"/>
          <w:color w:val="auto"/>
          <w:kern w:val="0"/>
          <w:sz w:val="24"/>
          <w:szCs w:val="24"/>
          <w:highlight w:val="none"/>
        </w:rPr>
        <w:t>依据网上竞采文件的规定，从响应文件的有效性、完整性和对网上竞采文件的响应程度进行审查，以确定是否对网上竞采文件的实质性要求作出响应。</w:t>
      </w:r>
      <w:r>
        <w:rPr>
          <w:rFonts w:hint="eastAsia" w:ascii="仿宋" w:hAnsi="仿宋" w:eastAsia="仿宋"/>
          <w:color w:val="auto"/>
          <w:kern w:val="0"/>
          <w:sz w:val="24"/>
          <w:szCs w:val="24"/>
          <w:highlight w:val="none"/>
        </w:rPr>
        <w:t>符合性检查资料表如下：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744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725B257">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3544" w:type="dxa"/>
            <w:gridSpan w:val="2"/>
            <w:vAlign w:val="center"/>
          </w:tcPr>
          <w:p w14:paraId="5FD84308">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评审因素</w:t>
            </w:r>
          </w:p>
        </w:tc>
        <w:tc>
          <w:tcPr>
            <w:tcW w:w="5409" w:type="dxa"/>
            <w:vAlign w:val="center"/>
          </w:tcPr>
          <w:p w14:paraId="0732E8F3">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评审标准</w:t>
            </w:r>
          </w:p>
        </w:tc>
      </w:tr>
      <w:tr w14:paraId="0CC1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A5798DA">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1560" w:type="dxa"/>
            <w:vMerge w:val="restart"/>
            <w:vAlign w:val="center"/>
          </w:tcPr>
          <w:p w14:paraId="30B468F2">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有效性审查</w:t>
            </w:r>
          </w:p>
        </w:tc>
        <w:tc>
          <w:tcPr>
            <w:tcW w:w="1984" w:type="dxa"/>
            <w:vAlign w:val="center"/>
          </w:tcPr>
          <w:p w14:paraId="10A54493">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olor w:val="auto"/>
                <w:sz w:val="24"/>
                <w:szCs w:val="24"/>
                <w:highlight w:val="none"/>
              </w:rPr>
              <w:t>响应文件签署</w:t>
            </w:r>
          </w:p>
        </w:tc>
        <w:tc>
          <w:tcPr>
            <w:tcW w:w="5409" w:type="dxa"/>
            <w:vAlign w:val="center"/>
          </w:tcPr>
          <w:p w14:paraId="6F3884BF">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olor w:val="auto"/>
                <w:sz w:val="24"/>
                <w:highlight w:val="none"/>
              </w:rPr>
              <w:t>网上电子文档及响应文件</w:t>
            </w:r>
            <w:r>
              <w:rPr>
                <w:rFonts w:hint="eastAsia" w:ascii="仿宋" w:hAnsi="仿宋" w:eastAsia="仿宋"/>
                <w:color w:val="auto"/>
                <w:sz w:val="24"/>
                <w:szCs w:val="24"/>
                <w:highlight w:val="none"/>
              </w:rPr>
              <w:t>上法定代表人或其授权代表人的签字齐全。</w:t>
            </w:r>
          </w:p>
        </w:tc>
      </w:tr>
      <w:tr w14:paraId="778B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57EAB4C3">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color w:val="auto"/>
                <w:kern w:val="0"/>
                <w:sz w:val="24"/>
                <w:szCs w:val="24"/>
                <w:highlight w:val="none"/>
              </w:rPr>
            </w:pPr>
          </w:p>
        </w:tc>
        <w:tc>
          <w:tcPr>
            <w:tcW w:w="1560" w:type="dxa"/>
            <w:vMerge w:val="continue"/>
            <w:vAlign w:val="center"/>
          </w:tcPr>
          <w:p w14:paraId="25FC23D4">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p>
        </w:tc>
        <w:tc>
          <w:tcPr>
            <w:tcW w:w="1984" w:type="dxa"/>
            <w:vAlign w:val="center"/>
          </w:tcPr>
          <w:p w14:paraId="48FBF3CB">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法定代表人身份证明及授权委托书</w:t>
            </w:r>
          </w:p>
        </w:tc>
        <w:tc>
          <w:tcPr>
            <w:tcW w:w="5409" w:type="dxa"/>
            <w:vAlign w:val="center"/>
          </w:tcPr>
          <w:p w14:paraId="506B9D77">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法定代表人身份证明及授权委托书有效，符合网上竞采文件规定的格式，签字或盖章齐全。</w:t>
            </w:r>
          </w:p>
        </w:tc>
      </w:tr>
      <w:tr w14:paraId="1D16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27726B1">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color w:val="auto"/>
                <w:kern w:val="0"/>
                <w:sz w:val="24"/>
                <w:szCs w:val="24"/>
                <w:highlight w:val="none"/>
              </w:rPr>
            </w:pPr>
          </w:p>
        </w:tc>
        <w:tc>
          <w:tcPr>
            <w:tcW w:w="1560" w:type="dxa"/>
            <w:vMerge w:val="continue"/>
            <w:vAlign w:val="center"/>
          </w:tcPr>
          <w:p w14:paraId="0B01A13D">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p>
        </w:tc>
        <w:tc>
          <w:tcPr>
            <w:tcW w:w="1984" w:type="dxa"/>
            <w:vAlign w:val="center"/>
          </w:tcPr>
          <w:p w14:paraId="43D4C623">
            <w:pPr>
              <w:pageBreakBefore w:val="0"/>
              <w:kinsoku/>
              <w:topLinePunct w:val="0"/>
              <w:bidi w:val="0"/>
              <w:adjustRightInd w:val="0"/>
              <w:snapToGrid w:val="0"/>
              <w:spacing w:line="240" w:lineRule="atLeast"/>
              <w:ind w:left="0" w:leftChars="0" w:right="0"/>
              <w:textAlignment w:val="auto"/>
              <w:rPr>
                <w:rFonts w:ascii="仿宋" w:hAnsi="仿宋" w:eastAsia="仿宋" w:cs="仿宋_GB2312"/>
                <w:color w:val="auto"/>
                <w:sz w:val="24"/>
                <w:szCs w:val="24"/>
                <w:highlight w:val="none"/>
                <w:lang w:val="zh-CN"/>
              </w:rPr>
            </w:pPr>
            <w:r>
              <w:rPr>
                <w:rFonts w:hint="eastAsia" w:ascii="仿宋" w:hAnsi="仿宋" w:eastAsia="仿宋" w:cs="仿宋_GB2312"/>
                <w:color w:val="auto"/>
                <w:sz w:val="24"/>
                <w:szCs w:val="24"/>
                <w:highlight w:val="none"/>
              </w:rPr>
              <w:t>响应</w:t>
            </w:r>
            <w:r>
              <w:rPr>
                <w:rFonts w:hint="eastAsia" w:ascii="仿宋" w:hAnsi="仿宋" w:eastAsia="仿宋" w:cs="仿宋_GB2312"/>
                <w:color w:val="auto"/>
                <w:sz w:val="24"/>
                <w:szCs w:val="24"/>
                <w:highlight w:val="none"/>
                <w:lang w:val="zh-CN"/>
              </w:rPr>
              <w:t>方案</w:t>
            </w:r>
          </w:p>
        </w:tc>
        <w:tc>
          <w:tcPr>
            <w:tcW w:w="5409" w:type="dxa"/>
            <w:vAlign w:val="center"/>
          </w:tcPr>
          <w:p w14:paraId="3D567EA7">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s="仿宋_GB2312"/>
                <w:color w:val="auto"/>
                <w:sz w:val="24"/>
                <w:szCs w:val="24"/>
                <w:highlight w:val="none"/>
                <w:lang w:val="zh-CN"/>
              </w:rPr>
              <w:t>每个分包只能有一个</w:t>
            </w:r>
            <w:r>
              <w:rPr>
                <w:rFonts w:hint="eastAsia" w:ascii="仿宋" w:hAnsi="仿宋" w:eastAsia="仿宋" w:cs="仿宋_GB2312"/>
                <w:color w:val="auto"/>
                <w:sz w:val="24"/>
                <w:szCs w:val="24"/>
                <w:highlight w:val="none"/>
              </w:rPr>
              <w:t>响应</w:t>
            </w:r>
            <w:r>
              <w:rPr>
                <w:rFonts w:hint="eastAsia" w:ascii="仿宋" w:hAnsi="仿宋" w:eastAsia="仿宋" w:cs="仿宋_GB2312"/>
                <w:color w:val="auto"/>
                <w:sz w:val="24"/>
                <w:szCs w:val="24"/>
                <w:highlight w:val="none"/>
                <w:lang w:val="zh-CN"/>
              </w:rPr>
              <w:t>方案。</w:t>
            </w:r>
          </w:p>
        </w:tc>
      </w:tr>
      <w:tr w14:paraId="03A6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272FFF1">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color w:val="auto"/>
                <w:kern w:val="0"/>
                <w:sz w:val="24"/>
                <w:szCs w:val="24"/>
                <w:highlight w:val="none"/>
              </w:rPr>
            </w:pPr>
          </w:p>
        </w:tc>
        <w:tc>
          <w:tcPr>
            <w:tcW w:w="1560" w:type="dxa"/>
            <w:vMerge w:val="continue"/>
            <w:vAlign w:val="center"/>
          </w:tcPr>
          <w:p w14:paraId="6EC777E3">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p>
        </w:tc>
        <w:tc>
          <w:tcPr>
            <w:tcW w:w="1984" w:type="dxa"/>
            <w:vAlign w:val="center"/>
          </w:tcPr>
          <w:p w14:paraId="6AB68D1C">
            <w:pPr>
              <w:pageBreakBefore w:val="0"/>
              <w:kinsoku/>
              <w:topLinePunct w:val="0"/>
              <w:bidi w:val="0"/>
              <w:adjustRightInd w:val="0"/>
              <w:snapToGrid w:val="0"/>
              <w:spacing w:line="240" w:lineRule="atLeast"/>
              <w:ind w:left="0" w:leftChars="0" w:right="0"/>
              <w:textAlignment w:val="auto"/>
              <w:rPr>
                <w:rFonts w:ascii="仿宋" w:hAnsi="仿宋" w:eastAsia="仿宋" w:cs="仿宋_GB2312"/>
                <w:color w:val="auto"/>
                <w:sz w:val="24"/>
                <w:szCs w:val="24"/>
                <w:highlight w:val="none"/>
                <w:lang w:val="zh-CN"/>
              </w:rPr>
            </w:pPr>
            <w:r>
              <w:rPr>
                <w:rFonts w:hint="eastAsia" w:ascii="仿宋" w:hAnsi="仿宋" w:eastAsia="仿宋"/>
                <w:color w:val="auto"/>
                <w:sz w:val="24"/>
                <w:szCs w:val="24"/>
                <w:highlight w:val="none"/>
              </w:rPr>
              <w:t>报价唯一</w:t>
            </w:r>
          </w:p>
        </w:tc>
        <w:tc>
          <w:tcPr>
            <w:tcW w:w="5409" w:type="dxa"/>
            <w:vAlign w:val="center"/>
          </w:tcPr>
          <w:p w14:paraId="5C214D41">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s="仿宋_GB2312"/>
                <w:color w:val="auto"/>
                <w:sz w:val="24"/>
                <w:szCs w:val="24"/>
                <w:highlight w:val="none"/>
                <w:lang w:val="zh-CN"/>
              </w:rPr>
              <w:t>只能在采购预算范围内报价，</w:t>
            </w:r>
            <w:r>
              <w:rPr>
                <w:rFonts w:hint="eastAsia" w:ascii="仿宋" w:hAnsi="仿宋" w:eastAsia="仿宋"/>
                <w:color w:val="auto"/>
                <w:sz w:val="24"/>
                <w:szCs w:val="24"/>
                <w:highlight w:val="none"/>
              </w:rPr>
              <w:t>只能有一个有效报价，不得提交选择性报价。</w:t>
            </w:r>
          </w:p>
        </w:tc>
      </w:tr>
      <w:tr w14:paraId="6489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C6F6B4C">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p>
        </w:tc>
        <w:tc>
          <w:tcPr>
            <w:tcW w:w="1560" w:type="dxa"/>
            <w:vAlign w:val="center"/>
          </w:tcPr>
          <w:p w14:paraId="472AD301">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完整性审查</w:t>
            </w:r>
          </w:p>
        </w:tc>
        <w:tc>
          <w:tcPr>
            <w:tcW w:w="1984" w:type="dxa"/>
            <w:vAlign w:val="center"/>
          </w:tcPr>
          <w:p w14:paraId="7A6004BC">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s="仿宋_GB2312"/>
                <w:color w:val="auto"/>
                <w:sz w:val="24"/>
                <w:szCs w:val="24"/>
                <w:highlight w:val="none"/>
              </w:rPr>
              <w:t>响应</w:t>
            </w:r>
            <w:r>
              <w:rPr>
                <w:rFonts w:hint="eastAsia" w:ascii="仿宋" w:hAnsi="仿宋" w:eastAsia="仿宋" w:cs="仿宋_GB2312"/>
                <w:color w:val="auto"/>
                <w:sz w:val="24"/>
                <w:szCs w:val="24"/>
                <w:highlight w:val="none"/>
                <w:lang w:val="zh-CN"/>
              </w:rPr>
              <w:t>文件份数</w:t>
            </w:r>
          </w:p>
        </w:tc>
        <w:tc>
          <w:tcPr>
            <w:tcW w:w="5409" w:type="dxa"/>
            <w:vAlign w:val="center"/>
          </w:tcPr>
          <w:p w14:paraId="3707F257">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s="仿宋_GB2312"/>
                <w:color w:val="auto"/>
                <w:sz w:val="24"/>
                <w:szCs w:val="24"/>
                <w:highlight w:val="none"/>
              </w:rPr>
              <w:t>响应</w:t>
            </w:r>
            <w:r>
              <w:rPr>
                <w:rFonts w:hint="eastAsia" w:ascii="仿宋" w:hAnsi="仿宋" w:eastAsia="仿宋" w:cs="仿宋_GB2312"/>
                <w:color w:val="auto"/>
                <w:sz w:val="24"/>
                <w:szCs w:val="24"/>
                <w:highlight w:val="none"/>
                <w:lang w:val="zh-CN"/>
              </w:rPr>
              <w:t>文件数量（</w:t>
            </w:r>
            <w:r>
              <w:rPr>
                <w:rFonts w:hint="eastAsia" w:ascii="仿宋" w:hAnsi="仿宋" w:eastAsia="仿宋" w:cs="仿宋_GB2312"/>
                <w:color w:val="auto"/>
                <w:sz w:val="24"/>
                <w:szCs w:val="24"/>
                <w:highlight w:val="none"/>
              </w:rPr>
              <w:t>含电子文档</w:t>
            </w:r>
            <w:r>
              <w:rPr>
                <w:rFonts w:hint="eastAsia" w:ascii="仿宋" w:hAnsi="仿宋" w:eastAsia="仿宋" w:cs="仿宋_GB2312"/>
                <w:color w:val="auto"/>
                <w:sz w:val="24"/>
                <w:szCs w:val="24"/>
                <w:highlight w:val="none"/>
                <w:lang w:val="zh-CN"/>
              </w:rPr>
              <w:t>）符合</w:t>
            </w:r>
            <w:r>
              <w:rPr>
                <w:rFonts w:hint="eastAsia" w:ascii="仿宋" w:hAnsi="仿宋" w:eastAsia="仿宋" w:cs="仿宋_GB2312"/>
                <w:color w:val="auto"/>
                <w:sz w:val="24"/>
                <w:szCs w:val="24"/>
                <w:highlight w:val="none"/>
              </w:rPr>
              <w:t>网上竞采</w:t>
            </w:r>
            <w:r>
              <w:rPr>
                <w:rFonts w:hint="eastAsia" w:ascii="仿宋" w:hAnsi="仿宋" w:eastAsia="仿宋" w:cs="仿宋_GB2312"/>
                <w:color w:val="auto"/>
                <w:sz w:val="24"/>
                <w:szCs w:val="24"/>
                <w:highlight w:val="none"/>
                <w:lang w:val="zh-CN"/>
              </w:rPr>
              <w:t>文件要求。</w:t>
            </w:r>
          </w:p>
        </w:tc>
      </w:tr>
      <w:tr w14:paraId="6D15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0C53A5D">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w:t>
            </w:r>
          </w:p>
        </w:tc>
        <w:tc>
          <w:tcPr>
            <w:tcW w:w="1560" w:type="dxa"/>
            <w:vMerge w:val="restart"/>
            <w:vAlign w:val="center"/>
          </w:tcPr>
          <w:p w14:paraId="6ADBE329">
            <w:pPr>
              <w:pageBreakBefore w:val="0"/>
              <w:kinsoku/>
              <w:topLinePunct w:val="0"/>
              <w:bidi w:val="0"/>
              <w:adjustRightInd w:val="0"/>
              <w:snapToGrid w:val="0"/>
              <w:spacing w:line="240" w:lineRule="atLeast"/>
              <w:ind w:left="0" w:leftChars="0" w:right="0"/>
              <w:textAlignment w:val="auto"/>
              <w:rPr>
                <w:rFonts w:ascii="仿宋" w:hAnsi="仿宋" w:eastAsia="仿宋" w:cs="仿宋_GB2312"/>
                <w:color w:val="auto"/>
                <w:sz w:val="24"/>
                <w:szCs w:val="24"/>
                <w:highlight w:val="none"/>
                <w:lang w:val="zh-CN"/>
              </w:rPr>
            </w:pPr>
            <w:r>
              <w:rPr>
                <w:rFonts w:hint="eastAsia" w:ascii="仿宋" w:hAnsi="仿宋" w:eastAsia="仿宋" w:cs="宋体"/>
                <w:color w:val="auto"/>
                <w:kern w:val="0"/>
                <w:sz w:val="24"/>
                <w:szCs w:val="24"/>
                <w:highlight w:val="none"/>
              </w:rPr>
              <w:t>网上竞采文件的响应程度审查</w:t>
            </w:r>
          </w:p>
        </w:tc>
        <w:tc>
          <w:tcPr>
            <w:tcW w:w="1984" w:type="dxa"/>
            <w:vAlign w:val="center"/>
          </w:tcPr>
          <w:p w14:paraId="4C35C3E6">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响应文件内容</w:t>
            </w:r>
          </w:p>
        </w:tc>
        <w:tc>
          <w:tcPr>
            <w:tcW w:w="5409" w:type="dxa"/>
            <w:vAlign w:val="center"/>
          </w:tcPr>
          <w:p w14:paraId="76D670A2">
            <w:pPr>
              <w:pStyle w:val="11"/>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对网上竞采文件第二篇、第三篇规定的网上竞采内容作出响应。</w:t>
            </w:r>
          </w:p>
        </w:tc>
      </w:tr>
      <w:tr w14:paraId="66FF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D68B612">
            <w:pPr>
              <w:pageBreakBefore w:val="0"/>
              <w:kinsoku/>
              <w:topLinePunct w:val="0"/>
              <w:bidi w:val="0"/>
              <w:adjustRightInd w:val="0"/>
              <w:snapToGrid w:val="0"/>
              <w:spacing w:line="240" w:lineRule="atLeast"/>
              <w:ind w:left="0" w:leftChars="0" w:right="0"/>
              <w:jc w:val="center"/>
              <w:textAlignment w:val="auto"/>
              <w:rPr>
                <w:rFonts w:ascii="仿宋" w:hAnsi="仿宋" w:eastAsia="仿宋" w:cs="宋体"/>
                <w:color w:val="auto"/>
                <w:kern w:val="0"/>
                <w:sz w:val="24"/>
                <w:szCs w:val="24"/>
                <w:highlight w:val="none"/>
              </w:rPr>
            </w:pPr>
          </w:p>
        </w:tc>
        <w:tc>
          <w:tcPr>
            <w:tcW w:w="1560" w:type="dxa"/>
            <w:vMerge w:val="continue"/>
            <w:vAlign w:val="center"/>
          </w:tcPr>
          <w:p w14:paraId="15DBB8C8">
            <w:pPr>
              <w:pageBreakBefore w:val="0"/>
              <w:kinsoku/>
              <w:topLinePunct w:val="0"/>
              <w:bidi w:val="0"/>
              <w:adjustRightInd w:val="0"/>
              <w:snapToGrid w:val="0"/>
              <w:spacing w:line="240" w:lineRule="atLeast"/>
              <w:ind w:left="0" w:leftChars="0" w:right="0"/>
              <w:textAlignment w:val="auto"/>
              <w:rPr>
                <w:rFonts w:ascii="仿宋" w:hAnsi="仿宋" w:eastAsia="仿宋" w:cs="仿宋_GB2312"/>
                <w:color w:val="auto"/>
                <w:sz w:val="24"/>
                <w:szCs w:val="24"/>
                <w:highlight w:val="none"/>
                <w:lang w:val="zh-CN"/>
              </w:rPr>
            </w:pPr>
          </w:p>
        </w:tc>
        <w:tc>
          <w:tcPr>
            <w:tcW w:w="1984" w:type="dxa"/>
            <w:vAlign w:val="center"/>
          </w:tcPr>
          <w:p w14:paraId="16C896F5">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网上竞采有效期</w:t>
            </w:r>
          </w:p>
        </w:tc>
        <w:tc>
          <w:tcPr>
            <w:tcW w:w="5409" w:type="dxa"/>
            <w:vAlign w:val="center"/>
          </w:tcPr>
          <w:p w14:paraId="5F642BF1">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满足网上竞采文件</w:t>
            </w:r>
            <w:r>
              <w:rPr>
                <w:rFonts w:hint="eastAsia" w:ascii="仿宋" w:hAnsi="仿宋" w:eastAsia="仿宋" w:cs="仿宋_GB2312"/>
                <w:color w:val="auto"/>
                <w:sz w:val="24"/>
                <w:szCs w:val="24"/>
                <w:highlight w:val="none"/>
                <w:lang w:val="zh-CN"/>
              </w:rPr>
              <w:t>规定。</w:t>
            </w:r>
          </w:p>
        </w:tc>
      </w:tr>
    </w:tbl>
    <w:p w14:paraId="3AA4715F">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716421">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EA627A7">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（四）在网上竞采过程中网上竞采的任何一方不得向他人透露与网上竞采有关的服务资料、价格或其他信息。</w:t>
      </w:r>
    </w:p>
    <w:p w14:paraId="790DCDA2">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（五）供应商在网上竞采时作出的所有书面承诺须由法定代表人或其授权代表签字。</w:t>
      </w:r>
    </w:p>
    <w:p w14:paraId="4850ACA5">
      <w:pPr>
        <w:pageBreakBefore w:val="0"/>
        <w:kinsoku/>
        <w:topLinePunct w:val="0"/>
        <w:bidi w:val="0"/>
        <w:adjustRightInd w:val="0"/>
        <w:snapToGrid w:val="0"/>
        <w:spacing w:line="240" w:lineRule="atLeast"/>
        <w:ind w:left="0" w:leftChars="0" w:right="0" w:firstLine="482" w:firstLineChars="20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3.评选方法：</w:t>
      </w:r>
      <w:r>
        <w:rPr>
          <w:rFonts w:hint="eastAsia" w:ascii="仿宋" w:hAnsi="仿宋" w:eastAsia="仿宋"/>
          <w:b/>
          <w:bCs/>
          <w:color w:val="auto"/>
          <w:sz w:val="24"/>
          <w:szCs w:val="24"/>
          <w:highlight w:val="none"/>
          <w:lang w:val="en-US" w:eastAsia="zh-CN"/>
        </w:rPr>
        <w:t>最低评标价法</w:t>
      </w:r>
      <w:r>
        <w:rPr>
          <w:rFonts w:hint="eastAsia" w:ascii="仿宋" w:hAnsi="仿宋" w:eastAsia="仿宋"/>
          <w:b/>
          <w:bCs/>
          <w:color w:val="auto"/>
          <w:sz w:val="24"/>
          <w:szCs w:val="24"/>
          <w:highlight w:val="none"/>
        </w:rPr>
        <w:t>。</w:t>
      </w:r>
    </w:p>
    <w:p w14:paraId="30C66E94">
      <w:pPr>
        <w:pageBreakBefore w:val="0"/>
        <w:kinsoku/>
        <w:topLinePunct w:val="0"/>
        <w:bidi w:val="0"/>
        <w:adjustRightInd w:val="0"/>
        <w:snapToGrid w:val="0"/>
        <w:spacing w:line="240" w:lineRule="atLeast"/>
        <w:ind w:left="0" w:leftChars="0" w:right="0" w:firstLine="480" w:firstLineChars="200"/>
        <w:textAlignment w:val="auto"/>
        <w:rPr>
          <w:rFonts w:hint="eastAsia" w:ascii="仿宋" w:hAnsi="仿宋" w:eastAsia="仿宋" w:cs="仿宋"/>
          <w:color w:val="auto"/>
          <w:sz w:val="24"/>
          <w:szCs w:val="24"/>
          <w:highlight w:val="none"/>
        </w:rPr>
      </w:pPr>
      <w:bookmarkStart w:id="81" w:name="_Hlk27399823"/>
      <w:r>
        <w:rPr>
          <w:rFonts w:hint="eastAsia" w:ascii="仿宋" w:hAnsi="仿宋" w:eastAsia="仿宋" w:cs="仿宋"/>
          <w:color w:val="auto"/>
          <w:sz w:val="24"/>
          <w:szCs w:val="24"/>
          <w:highlight w:val="none"/>
        </w:rPr>
        <w:t>依照本竞采文件相关规定对技术和商务均能满足竞采实质性响应要求的供应商所提交的报价按照由低到高的顺序提</w:t>
      </w:r>
      <w:r>
        <w:rPr>
          <w:rFonts w:hint="eastAsia" w:ascii="仿宋" w:hAnsi="仿宋" w:eastAsia="仿宋" w:cs="仿宋"/>
          <w:color w:val="auto"/>
          <w:sz w:val="24"/>
          <w:szCs w:val="24"/>
          <w:highlight w:val="none"/>
          <w:lang w:val="en-US" w:eastAsia="zh-CN"/>
        </w:rPr>
        <w:t>名</w:t>
      </w:r>
      <w:r>
        <w:rPr>
          <w:rFonts w:hint="eastAsia" w:ascii="仿宋" w:hAnsi="仿宋" w:eastAsia="仿宋" w:cs="仿宋"/>
          <w:color w:val="auto"/>
          <w:sz w:val="24"/>
          <w:szCs w:val="24"/>
          <w:highlight w:val="none"/>
        </w:rPr>
        <w:t>成交候选人。若供应商的报价相同，按技术条款的优劣顺序排列；以上都相同的，按商务条款的优劣顺序排列；以上都相同的，现场抽签决定第一成交候选人。</w:t>
      </w:r>
    </w:p>
    <w:bookmarkEnd w:id="81"/>
    <w:p w14:paraId="4F6EB98C">
      <w:pPr>
        <w:pStyle w:val="2"/>
        <w:pageBreakBefore w:val="0"/>
        <w:kinsoku/>
        <w:topLinePunct w:val="0"/>
        <w:bidi w:val="0"/>
        <w:adjustRightInd w:val="0"/>
        <w:snapToGrid w:val="0"/>
        <w:spacing w:before="0" w:after="0" w:line="240" w:lineRule="atLeast"/>
        <w:ind w:left="0" w:leftChars="0" w:right="0"/>
        <w:textAlignment w:val="auto"/>
        <w:rPr>
          <w:rFonts w:ascii="仿宋" w:hAnsi="仿宋" w:eastAsia="仿宋" w:cs="仿宋"/>
          <w:color w:val="auto"/>
          <w:sz w:val="24"/>
          <w:szCs w:val="24"/>
          <w:highlight w:val="none"/>
        </w:rPr>
      </w:pPr>
      <w:bookmarkStart w:id="82" w:name="_Toc102227313"/>
      <w:bookmarkStart w:id="83" w:name="_Toc76462337"/>
      <w:bookmarkStart w:id="84" w:name="_Toc106030892"/>
      <w:r>
        <w:rPr>
          <w:rFonts w:hint="eastAsia" w:ascii="仿宋" w:hAnsi="仿宋" w:eastAsia="仿宋" w:cs="仿宋"/>
          <w:color w:val="auto"/>
          <w:sz w:val="24"/>
          <w:szCs w:val="24"/>
          <w:highlight w:val="none"/>
        </w:rPr>
        <w:t>三、无效响应</w:t>
      </w:r>
    </w:p>
    <w:p w14:paraId="58286D34">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6ABF6E33">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58E3B379">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74B7680D">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4C730126">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6AC97A92">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6BDEE42F">
      <w:pPr>
        <w:pStyle w:val="12"/>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1E94D30D">
      <w:pPr>
        <w:pStyle w:val="12"/>
        <w:pageBreakBefore w:val="0"/>
        <w:kinsoku/>
        <w:topLinePunct w:val="0"/>
        <w:bidi w:val="0"/>
        <w:adjustRightInd w:val="0"/>
        <w:snapToGrid w:val="0"/>
        <w:spacing w:line="240" w:lineRule="atLeast"/>
        <w:ind w:left="0" w:leftChars="0" w:right="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5871E12B">
      <w:pPr>
        <w:pStyle w:val="2"/>
        <w:pageBreakBefore w:val="0"/>
        <w:kinsoku/>
        <w:topLinePunct w:val="0"/>
        <w:bidi w:val="0"/>
        <w:adjustRightInd w:val="0"/>
        <w:snapToGrid w:val="0"/>
        <w:spacing w:before="0" w:after="0"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四、采购终止</w:t>
      </w:r>
    </w:p>
    <w:p w14:paraId="6120520C">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出现下列情形之一的，终止采购活动，发布项目终止公告并说明原因，重新开展采购活动：</w:t>
      </w:r>
    </w:p>
    <w:p w14:paraId="6BA6B09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（一）因情况变化，不再符合规定的采购方式适用情形的；</w:t>
      </w:r>
    </w:p>
    <w:p w14:paraId="7EC14509">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（二）出现影响采购公正的违法、违规行为的；</w:t>
      </w:r>
    </w:p>
    <w:p w14:paraId="7A96E2EF">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（三）在采购过程中符合竞争要求的供应商或者报价未超过采购预算的供应商不足</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家的。</w:t>
      </w:r>
    </w:p>
    <w:p w14:paraId="6456C9AB">
      <w:pPr>
        <w:pStyle w:val="5"/>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b w:val="0"/>
          <w:bCs/>
          <w:color w:val="auto"/>
          <w:highlight w:val="none"/>
        </w:rPr>
      </w:pPr>
      <w:r>
        <w:rPr>
          <w:rFonts w:hint="eastAsia" w:ascii="仿宋" w:hAnsi="仿宋" w:eastAsia="仿宋" w:cs="仿宋"/>
          <w:b w:val="0"/>
          <w:bCs/>
          <w:color w:val="auto"/>
          <w:sz w:val="24"/>
          <w:szCs w:val="24"/>
          <w:highlight w:val="none"/>
        </w:rPr>
        <w:t>（四）项目出现其他实质性影响，可能导致项目无法正常开展的情形。</w:t>
      </w:r>
    </w:p>
    <w:p w14:paraId="601608C0">
      <w:pPr>
        <w:pStyle w:val="24"/>
        <w:pageBreakBefore w:val="0"/>
        <w:kinsoku/>
        <w:topLinePunct w:val="0"/>
        <w:bidi w:val="0"/>
        <w:adjustRightInd w:val="0"/>
        <w:snapToGrid w:val="0"/>
        <w:spacing w:before="0" w:after="0" w:line="240" w:lineRule="atLeast"/>
        <w:ind w:left="0" w:leftChars="0" w:right="0" w:firstLine="723"/>
        <w:jc w:val="center"/>
        <w:textAlignment w:val="auto"/>
        <w:rPr>
          <w:rFonts w:ascii="仿宋" w:hAnsi="仿宋" w:eastAsia="仿宋" w:cs="仿宋"/>
          <w:b/>
          <w:bCs/>
          <w:color w:val="auto"/>
          <w:sz w:val="36"/>
          <w:szCs w:val="36"/>
          <w:highlight w:val="none"/>
        </w:rPr>
      </w:pPr>
    </w:p>
    <w:p w14:paraId="59624BE7">
      <w:pPr>
        <w:pStyle w:val="24"/>
        <w:pageBreakBefore w:val="0"/>
        <w:kinsoku/>
        <w:topLinePunct w:val="0"/>
        <w:bidi w:val="0"/>
        <w:adjustRightInd w:val="0"/>
        <w:snapToGrid w:val="0"/>
        <w:spacing w:before="0" w:after="0" w:line="240" w:lineRule="atLeast"/>
        <w:ind w:left="0" w:leftChars="0" w:right="0" w:firstLine="723"/>
        <w:jc w:val="center"/>
        <w:textAlignment w:val="auto"/>
        <w:rPr>
          <w:rFonts w:ascii="仿宋" w:hAnsi="仿宋" w:eastAsia="仿宋" w:cs="仿宋"/>
          <w:b/>
          <w:bCs/>
          <w:color w:val="auto"/>
          <w:sz w:val="36"/>
          <w:szCs w:val="36"/>
          <w:highlight w:val="none"/>
        </w:rPr>
      </w:pPr>
    </w:p>
    <w:p w14:paraId="6A4DB39A">
      <w:pPr>
        <w:pStyle w:val="24"/>
        <w:pageBreakBefore w:val="0"/>
        <w:kinsoku/>
        <w:topLinePunct w:val="0"/>
        <w:bidi w:val="0"/>
        <w:adjustRightInd w:val="0"/>
        <w:snapToGrid w:val="0"/>
        <w:spacing w:before="0" w:after="0" w:line="240" w:lineRule="atLeast"/>
        <w:ind w:left="0" w:leftChars="0" w:right="0" w:firstLine="723"/>
        <w:jc w:val="center"/>
        <w:textAlignment w:val="auto"/>
        <w:rPr>
          <w:rFonts w:ascii="仿宋" w:hAnsi="仿宋" w:eastAsia="仿宋" w:cs="仿宋"/>
          <w:b/>
          <w:bCs/>
          <w:color w:val="auto"/>
          <w:sz w:val="36"/>
          <w:szCs w:val="36"/>
          <w:highlight w:val="none"/>
        </w:rPr>
      </w:pPr>
    </w:p>
    <w:p w14:paraId="0B29E7F7">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第五篇  供应商须知</w:t>
      </w:r>
      <w:bookmarkEnd w:id="82"/>
      <w:bookmarkEnd w:id="83"/>
      <w:bookmarkEnd w:id="84"/>
    </w:p>
    <w:p w14:paraId="7CAF8EC9">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bookmarkStart w:id="85" w:name="_Toc76462338"/>
      <w:bookmarkStart w:id="86" w:name="_Toc342913389"/>
      <w:bookmarkStart w:id="87" w:name="_Toc106030893"/>
      <w:r>
        <w:rPr>
          <w:rFonts w:hint="eastAsia" w:ascii="仿宋" w:hAnsi="仿宋" w:eastAsia="仿宋" w:cs="仿宋"/>
          <w:color w:val="auto"/>
          <w:szCs w:val="28"/>
          <w:highlight w:val="none"/>
        </w:rPr>
        <w:t>一、竞采费用</w:t>
      </w:r>
      <w:bookmarkEnd w:id="85"/>
      <w:bookmarkEnd w:id="86"/>
      <w:bookmarkEnd w:id="87"/>
    </w:p>
    <w:p w14:paraId="4BA03D11">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参与竞采的供应商应承担其编制响应文件与递交响应文件所涉及的一切费用，不论竞采结果如何，采购人和采购代理机构在任何情况下无义务也无责任承担这些费用。</w:t>
      </w:r>
    </w:p>
    <w:p w14:paraId="00ADA2EF">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bookmarkStart w:id="88" w:name="_Toc106030894"/>
      <w:bookmarkStart w:id="89" w:name="_Toc342913391"/>
      <w:bookmarkStart w:id="90" w:name="_Toc76462339"/>
      <w:r>
        <w:rPr>
          <w:rFonts w:hint="eastAsia" w:ascii="仿宋" w:hAnsi="仿宋" w:eastAsia="仿宋" w:cs="仿宋"/>
          <w:color w:val="auto"/>
          <w:szCs w:val="28"/>
          <w:highlight w:val="none"/>
        </w:rPr>
        <w:t>二、竞采文件</w:t>
      </w:r>
      <w:bookmarkEnd w:id="88"/>
      <w:bookmarkEnd w:id="89"/>
      <w:bookmarkEnd w:id="90"/>
    </w:p>
    <w:p w14:paraId="346C71B6">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（一）竞采文件由采购邀请书、项目服务需求、供应商须知、项目商务需求、竞采程序及评审标准、政府采购合同、响应文件编制要求七部分组成。</w:t>
      </w:r>
    </w:p>
    <w:p w14:paraId="22496AE3">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（二）采购人（或采购代理机构）所作的一切有效的书面通知、修改及补充，都是竞采文件不可分割的部分。</w:t>
      </w:r>
    </w:p>
    <w:p w14:paraId="75E8AE72">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（三）竞采文件的解释</w:t>
      </w:r>
    </w:p>
    <w:p w14:paraId="6331A86E">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91" w:name="_Toc318159780"/>
      <w:bookmarkStart w:id="92" w:name="_Toc318159160"/>
      <w:bookmarkStart w:id="93" w:name="_Toc318166429"/>
      <w:bookmarkStart w:id="94" w:name="_Toc318159349"/>
    </w:p>
    <w:p w14:paraId="6BC1F858">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（四）评审的依据为竞采文件和响应文件（含有效的书面承诺）。评审小组判断响应文件对竞采文件的响应，仅基于响应文件本身而不靠外部证据。</w:t>
      </w:r>
    </w:p>
    <w:bookmarkEnd w:id="91"/>
    <w:bookmarkEnd w:id="92"/>
    <w:bookmarkEnd w:id="93"/>
    <w:bookmarkEnd w:id="94"/>
    <w:p w14:paraId="73430D9E">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bookmarkStart w:id="95" w:name="_Toc102227318"/>
      <w:bookmarkStart w:id="96" w:name="_Toc106030895"/>
      <w:bookmarkStart w:id="97" w:name="_Toc179714297"/>
      <w:bookmarkStart w:id="98" w:name="_Toc342913392"/>
      <w:bookmarkStart w:id="99" w:name="_Toc76462340"/>
      <w:r>
        <w:rPr>
          <w:rFonts w:hint="eastAsia" w:ascii="仿宋" w:hAnsi="仿宋" w:eastAsia="仿宋" w:cs="仿宋"/>
          <w:color w:val="auto"/>
          <w:szCs w:val="28"/>
          <w:highlight w:val="none"/>
        </w:rPr>
        <w:t>三、竞采要求</w:t>
      </w:r>
      <w:bookmarkEnd w:id="95"/>
      <w:bookmarkEnd w:id="96"/>
      <w:bookmarkEnd w:id="97"/>
      <w:bookmarkEnd w:id="98"/>
      <w:bookmarkEnd w:id="99"/>
    </w:p>
    <w:p w14:paraId="055F718C">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（一）响应文件</w:t>
      </w:r>
    </w:p>
    <w:p w14:paraId="22843CF2">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 w:val="48"/>
          <w:szCs w:val="48"/>
          <w:highlight w:val="none"/>
        </w:rPr>
      </w:pPr>
      <w:r>
        <w:rPr>
          <w:rFonts w:hint="eastAsia" w:ascii="仿宋" w:hAnsi="仿宋" w:eastAsia="仿宋" w:cs="仿宋"/>
          <w:color w:val="auto"/>
          <w:szCs w:val="28"/>
          <w:highlight w:val="none"/>
        </w:rPr>
        <w:t>1.供应商应当按照竞采文件的要求编制响应文件，并对竞采文件提出的要求和条件作出实质性响应。</w:t>
      </w:r>
    </w:p>
    <w:p w14:paraId="47F6AB8C">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2.响应文件组成</w:t>
      </w:r>
    </w:p>
    <w:p w14:paraId="585E1594">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3CCD43D">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（二）竞采有效期：响应文件及有关承诺文件有效期为提交响应文件截止时间起90天。</w:t>
      </w:r>
    </w:p>
    <w:p w14:paraId="2B073AC1">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（三）修正错误</w:t>
      </w:r>
    </w:p>
    <w:p w14:paraId="66BC678C">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color w:val="auto"/>
          <w:szCs w:val="28"/>
          <w:highlight w:val="none"/>
        </w:rPr>
        <w:t>。</w:t>
      </w:r>
    </w:p>
    <w:p w14:paraId="5CB7FD5F">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595D4D58">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（四）提交响应文件的份数和签署</w:t>
      </w:r>
    </w:p>
    <w:p w14:paraId="12D341AC">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1.响应文件电子文档一份。</w:t>
      </w:r>
    </w:p>
    <w:p w14:paraId="3D23F71F">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2.响应文件按竞采文件“第七篇响应文件编制要求”要求签署或盖章。</w:t>
      </w:r>
    </w:p>
    <w:p w14:paraId="19451BF7">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（五）响应文件的递交</w:t>
      </w:r>
    </w:p>
    <w:p w14:paraId="7F24012B">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响应文件的电子文档应在有效报名时间段内，通过竞采系统在线提交。</w:t>
      </w:r>
    </w:p>
    <w:p w14:paraId="3C9F2F3D">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bookmarkStart w:id="100" w:name="_Toc106030896"/>
      <w:bookmarkStart w:id="101" w:name="_Toc76462341"/>
      <w:r>
        <w:rPr>
          <w:rFonts w:hint="eastAsia" w:ascii="仿宋" w:hAnsi="仿宋" w:eastAsia="仿宋" w:cs="仿宋"/>
          <w:color w:val="auto"/>
          <w:szCs w:val="28"/>
          <w:highlight w:val="none"/>
        </w:rPr>
        <w:t>四、成交供应商的确认和变更</w:t>
      </w:r>
      <w:bookmarkEnd w:id="100"/>
      <w:bookmarkEnd w:id="101"/>
    </w:p>
    <w:p w14:paraId="573C6FDC">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（一）成交供应商的确认</w:t>
      </w:r>
    </w:p>
    <w:p w14:paraId="2D5BE84D">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采购人应当在5个工作日内，从评审报告提出的成交候选供应商中，按照排序由高到低的原则确定成交供应商，也可以授权竞采小组直接确定成交供应商。</w:t>
      </w:r>
    </w:p>
    <w:p w14:paraId="4854A561">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（二）成交供应商的变更</w:t>
      </w:r>
    </w:p>
    <w:p w14:paraId="02DAA865">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成交供应商拒绝与采购人签订合同的，采购人可以按照评标报告推荐的成交候选供应商顺序，确定排名下一位的候选人为成交供应商，也可以重新开展竞采活动。</w:t>
      </w:r>
    </w:p>
    <w:p w14:paraId="7330A4B3">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bookmarkStart w:id="102" w:name="_Toc102227321"/>
      <w:bookmarkStart w:id="103" w:name="_Toc76462342"/>
      <w:bookmarkStart w:id="104" w:name="_Toc342913395"/>
      <w:bookmarkStart w:id="105" w:name="_Toc106030897"/>
      <w:r>
        <w:rPr>
          <w:rFonts w:hint="eastAsia" w:ascii="仿宋" w:hAnsi="仿宋" w:eastAsia="仿宋" w:cs="仿宋"/>
          <w:color w:val="auto"/>
          <w:szCs w:val="28"/>
          <w:highlight w:val="none"/>
        </w:rPr>
        <w:t>五、成交通知</w:t>
      </w:r>
      <w:bookmarkEnd w:id="102"/>
      <w:bookmarkEnd w:id="103"/>
      <w:bookmarkEnd w:id="104"/>
      <w:bookmarkEnd w:id="105"/>
    </w:p>
    <w:p w14:paraId="75D18C2F">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（一）成交供应商确定后，采购人/代理机构将在重庆市政府采购云平台·网上竞采板块（https://xj.ccgp-chongqing.gov.cn/ge/）上发布成交结果公告。</w:t>
      </w:r>
    </w:p>
    <w:p w14:paraId="71FE7059">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（二）结果公告发出同时，采购人/代理机构将以书面形式发出《成交通知书》。《成交通知书》一经发出即发生法律效力。</w:t>
      </w:r>
    </w:p>
    <w:p w14:paraId="416652EE">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（三）《成交通知书》作为签订合同的依据。</w:t>
      </w:r>
    </w:p>
    <w:p w14:paraId="05E5B084">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bookmarkStart w:id="106" w:name="_Toc76462343"/>
      <w:bookmarkStart w:id="107" w:name="_Toc106030898"/>
      <w:r>
        <w:rPr>
          <w:rFonts w:hint="eastAsia" w:ascii="仿宋" w:hAnsi="仿宋" w:eastAsia="仿宋" w:cs="仿宋"/>
          <w:color w:val="auto"/>
          <w:szCs w:val="28"/>
          <w:highlight w:val="none"/>
        </w:rPr>
        <w:t>六、关于质疑和投诉</w:t>
      </w:r>
      <w:bookmarkEnd w:id="106"/>
      <w:bookmarkEnd w:id="107"/>
    </w:p>
    <w:p w14:paraId="32DAC87B">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（一）质疑</w:t>
      </w:r>
    </w:p>
    <w:p w14:paraId="1EDA2F32">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供应商认为采购文件、采购过程和成交结果使自己的权益收到伤害的，可向采购人或采购代理机构以书面形式提出质疑。</w:t>
      </w:r>
    </w:p>
    <w:p w14:paraId="6A835E0C">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提出质疑的应当是参与所质疑项目采购活动的供应商。 </w:t>
      </w:r>
    </w:p>
    <w:p w14:paraId="3CD76B46">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1.质疑时限、内容</w:t>
      </w:r>
    </w:p>
    <w:p w14:paraId="776AC3FF">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供应商认为采购文件、采购过程、成交结果使自己的权益受到损害的，可以在知道或者应知其权益受到损害之日起</w:t>
      </w:r>
      <w:r>
        <w:rPr>
          <w:rFonts w:hint="eastAsia" w:ascii="仿宋" w:hAnsi="仿宋" w:eastAsia="仿宋" w:cs="仿宋"/>
          <w:b/>
          <w:bCs/>
          <w:color w:val="auto"/>
          <w:szCs w:val="28"/>
          <w:highlight w:val="none"/>
        </w:rPr>
        <w:t>2</w:t>
      </w:r>
      <w:r>
        <w:rPr>
          <w:rFonts w:hint="eastAsia" w:ascii="仿宋" w:hAnsi="仿宋" w:eastAsia="仿宋" w:cs="仿宋"/>
          <w:color w:val="auto"/>
          <w:szCs w:val="28"/>
          <w:highlight w:val="none"/>
        </w:rPr>
        <w:t>个工作日内，以书面形式向采购人、采购代理机构提出质疑。</w:t>
      </w:r>
    </w:p>
    <w:p w14:paraId="2720B431">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1.2供应商提出质疑应当提交质疑函和必要的证明材料，质疑函应当包括下列内容：</w:t>
      </w:r>
    </w:p>
    <w:p w14:paraId="429E3495">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1.2.1供应商的名称、地址、联系人及联系电话；</w:t>
      </w:r>
    </w:p>
    <w:p w14:paraId="6C7748FD">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1.2.2质疑项目的名称、采购编号；</w:t>
      </w:r>
    </w:p>
    <w:p w14:paraId="1389F6F9">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1.2.3具体、明确的质疑事项和与质疑事项相关的请求；</w:t>
      </w:r>
    </w:p>
    <w:p w14:paraId="6CD7388A">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1.2.4事实依据；</w:t>
      </w:r>
    </w:p>
    <w:p w14:paraId="09D44283">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1.2.5必要的法律依据；</w:t>
      </w:r>
    </w:p>
    <w:p w14:paraId="421468D1">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1.2.6提出质疑的日期；</w:t>
      </w:r>
    </w:p>
    <w:p w14:paraId="7DE4228C">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1.2.7营业执照（或事业单位法人证书，或个体工商户营业执照或有效的自然人身份证明）复印件；</w:t>
      </w:r>
    </w:p>
    <w:p w14:paraId="34CDBD8D">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1.2.8法定代表人授权委托书原件、法定代表人身份证复印件和其授权代表的身份证复印件（供应商为自然人的提供自然人身份证复印件）；</w:t>
      </w:r>
    </w:p>
    <w:p w14:paraId="4FDFA37B">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1.3供应商为自然人的，质疑函应当由本人签字；供应商为法人或者其他组织的，质疑函应当由法定代表人、主要负责人，或者其授权代表签字或者盖章，并加盖公章。</w:t>
      </w:r>
    </w:p>
    <w:p w14:paraId="016681EB">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2.质疑答复</w:t>
      </w:r>
    </w:p>
    <w:p w14:paraId="40922EFC">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b/>
          <w:bCs/>
          <w:color w:val="auto"/>
          <w:sz w:val="48"/>
          <w:szCs w:val="48"/>
          <w:highlight w:val="none"/>
        </w:rPr>
      </w:pPr>
      <w:r>
        <w:rPr>
          <w:rFonts w:hint="eastAsia" w:ascii="仿宋" w:hAnsi="仿宋" w:eastAsia="仿宋" w:cs="仿宋"/>
          <w:color w:val="auto"/>
          <w:szCs w:val="28"/>
          <w:highlight w:val="none"/>
        </w:rPr>
        <w:t>采购人、采购代理机构应当在收到供应商的书面质疑后2个工作日内作出答复，并以书面形式通知质疑供应商和其他有关供应商。</w:t>
      </w:r>
    </w:p>
    <w:p w14:paraId="1A183C38">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bookmarkStart w:id="108" w:name="_Toc102227322"/>
      <w:bookmarkStart w:id="109" w:name="_Toc106030901"/>
      <w:bookmarkStart w:id="110" w:name="_Toc342913396"/>
      <w:bookmarkStart w:id="111" w:name="_Toc76462346"/>
      <w:r>
        <w:rPr>
          <w:rFonts w:hint="eastAsia" w:ascii="仿宋" w:hAnsi="仿宋" w:eastAsia="仿宋" w:cs="仿宋"/>
          <w:color w:val="auto"/>
          <w:szCs w:val="28"/>
          <w:highlight w:val="none"/>
          <w:lang w:val="en-US" w:eastAsia="zh-CN"/>
        </w:rPr>
        <w:t>七</w:t>
      </w:r>
      <w:r>
        <w:rPr>
          <w:rFonts w:hint="eastAsia" w:ascii="仿宋" w:hAnsi="仿宋" w:eastAsia="仿宋" w:cs="仿宋"/>
          <w:color w:val="auto"/>
          <w:szCs w:val="28"/>
          <w:highlight w:val="none"/>
        </w:rPr>
        <w:t>、签订</w:t>
      </w:r>
      <w:bookmarkEnd w:id="108"/>
      <w:r>
        <w:rPr>
          <w:rFonts w:hint="eastAsia" w:ascii="仿宋" w:hAnsi="仿宋" w:eastAsia="仿宋" w:cs="仿宋"/>
          <w:color w:val="auto"/>
          <w:szCs w:val="28"/>
          <w:highlight w:val="none"/>
        </w:rPr>
        <w:t>合同</w:t>
      </w:r>
      <w:bookmarkEnd w:id="109"/>
      <w:bookmarkEnd w:id="110"/>
      <w:bookmarkEnd w:id="111"/>
    </w:p>
    <w:p w14:paraId="76E9DEA1">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一）采购人原则上应在结果公告发出之日起10个工作日内和成交供应商签订政府采购合同，无正当理由不得拒绝或拖延合同签订。所签订的合同不得对竞采文件和供应商的响应文件作实质性修改。其他未尽事宜由采购人和成交供应商在采购合同中详细约定。</w:t>
      </w:r>
    </w:p>
    <w:p w14:paraId="06472728">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（二）竞采文件、供应商的响应文件及澄清文件等，均为签订政府采购合同的依据。</w:t>
      </w:r>
    </w:p>
    <w:p w14:paraId="2F9EB27E">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（三）合同生效条款由供需双方约定，法律、行政法规规定应当办理批准、登记等手续后生效的合同，依照其规定。</w:t>
      </w:r>
    </w:p>
    <w:p w14:paraId="1C97EFF2">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（四）合同原则上应按照《重庆市政府采购合同》签订，相关单位要求适用合同通用格式版本的，应按其要求另行签订其他合同。</w:t>
      </w:r>
    </w:p>
    <w:p w14:paraId="64BCB9E2">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bookmarkStart w:id="112" w:name="_Toc106030902"/>
      <w:r>
        <w:rPr>
          <w:rFonts w:hint="eastAsia" w:ascii="仿宋" w:hAnsi="仿宋" w:eastAsia="仿宋" w:cs="仿宋"/>
          <w:color w:val="auto"/>
          <w:szCs w:val="28"/>
          <w:highlight w:val="none"/>
          <w:lang w:val="en-US" w:eastAsia="zh-CN"/>
        </w:rPr>
        <w:t>八</w:t>
      </w:r>
      <w:r>
        <w:rPr>
          <w:rFonts w:hint="eastAsia" w:ascii="仿宋" w:hAnsi="仿宋" w:eastAsia="仿宋" w:cs="仿宋"/>
          <w:color w:val="auto"/>
          <w:szCs w:val="28"/>
          <w:highlight w:val="none"/>
        </w:rPr>
        <w:t>、项目验收</w:t>
      </w:r>
      <w:bookmarkEnd w:id="112"/>
    </w:p>
    <w:p w14:paraId="1296C6DE">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合同执行完毕，采购人原则上应在5个工作日内组织履约情况验收，不得无故拖延或附加额外条件。</w:t>
      </w:r>
    </w:p>
    <w:p w14:paraId="312C8FFF">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p>
    <w:p w14:paraId="6536E989">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p>
    <w:p w14:paraId="08589DFF">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p>
    <w:p w14:paraId="5AC4F2B7">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p>
    <w:p w14:paraId="2ECE21DA">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p>
    <w:p w14:paraId="523970A2">
      <w:pPr>
        <w:pageBreakBefore w:val="0"/>
        <w:kinsoku/>
        <w:topLinePunct w:val="0"/>
        <w:bidi w:val="0"/>
        <w:adjustRightInd w:val="0"/>
        <w:snapToGrid w:val="0"/>
        <w:spacing w:line="240" w:lineRule="atLeast"/>
        <w:ind w:left="0" w:leftChars="0" w:right="0"/>
        <w:jc w:val="center"/>
        <w:textAlignment w:val="auto"/>
        <w:rPr>
          <w:rFonts w:ascii="仿宋" w:hAnsi="仿宋" w:eastAsia="仿宋"/>
          <w:color w:val="auto"/>
          <w:sz w:val="44"/>
          <w:highlight w:val="none"/>
        </w:rPr>
      </w:pPr>
      <w:bookmarkStart w:id="113" w:name="_Toc109836391"/>
      <w:r>
        <w:rPr>
          <w:rFonts w:hint="eastAsia" w:ascii="仿宋" w:hAnsi="仿宋" w:eastAsia="仿宋" w:cs="仿宋"/>
          <w:bCs/>
          <w:color w:val="auto"/>
          <w:sz w:val="36"/>
          <w:szCs w:val="30"/>
          <w:highlight w:val="none"/>
        </w:rPr>
        <w:t>第六篇  网上竞采合同</w:t>
      </w:r>
      <w:bookmarkEnd w:id="113"/>
    </w:p>
    <w:p w14:paraId="2708E7C3">
      <w:pPr>
        <w:pageBreakBefore w:val="0"/>
        <w:kinsoku/>
        <w:topLinePunct w:val="0"/>
        <w:bidi w:val="0"/>
        <w:adjustRightInd w:val="0"/>
        <w:snapToGrid w:val="0"/>
        <w:spacing w:line="240" w:lineRule="atLeast"/>
        <w:ind w:left="0" w:leftChars="0" w:right="0"/>
        <w:jc w:val="center"/>
        <w:textAlignment w:val="auto"/>
        <w:rPr>
          <w:rFonts w:ascii="仿宋" w:hAnsi="仿宋" w:eastAsia="仿宋"/>
          <w:color w:val="auto"/>
          <w:highlight w:val="none"/>
        </w:rPr>
      </w:pPr>
      <w:r>
        <w:rPr>
          <w:rFonts w:ascii="仿宋" w:hAnsi="仿宋" w:eastAsia="仿宋"/>
          <w:color w:val="auto"/>
          <w:highlight w:val="none"/>
        </w:rPr>
        <w:t>（项目</w:t>
      </w:r>
      <w:r>
        <w:rPr>
          <w:rFonts w:hint="eastAsia" w:ascii="仿宋" w:hAnsi="仿宋" w:eastAsia="仿宋"/>
          <w:color w:val="auto"/>
          <w:highlight w:val="none"/>
        </w:rPr>
        <w:t>采购编</w:t>
      </w:r>
      <w:r>
        <w:rPr>
          <w:rFonts w:ascii="仿宋" w:hAnsi="仿宋" w:eastAsia="仿宋"/>
          <w:color w:val="auto"/>
          <w:highlight w:val="none"/>
        </w:rPr>
        <w:t>号：     ）</w:t>
      </w:r>
    </w:p>
    <w:p w14:paraId="636E3FF4">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highlight w:val="none"/>
        </w:rPr>
      </w:pPr>
      <w:r>
        <w:rPr>
          <w:rFonts w:ascii="仿宋" w:hAnsi="仿宋" w:eastAsia="仿宋"/>
          <w:color w:val="auto"/>
          <w:sz w:val="24"/>
          <w:highlight w:val="none"/>
        </w:rPr>
        <w:t>甲方（需方）：___________________________</w:t>
      </w:r>
    </w:p>
    <w:p w14:paraId="181704EC">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highlight w:val="none"/>
        </w:rPr>
      </w:pPr>
      <w:r>
        <w:rPr>
          <w:rFonts w:ascii="仿宋" w:hAnsi="仿宋" w:eastAsia="仿宋"/>
          <w:color w:val="auto"/>
          <w:sz w:val="24"/>
          <w:highlight w:val="none"/>
        </w:rPr>
        <w:t>乙方（供方）：___________________________</w:t>
      </w:r>
    </w:p>
    <w:p w14:paraId="456E8C33">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highlight w:val="none"/>
        </w:rPr>
      </w:pPr>
      <w:r>
        <w:rPr>
          <w:rFonts w:ascii="仿宋" w:hAnsi="仿宋" w:eastAsia="仿宋"/>
          <w:color w:val="auto"/>
          <w:sz w:val="24"/>
          <w:highlight w:val="none"/>
        </w:rPr>
        <w:t>经双方协商一致，达成以下购销合同：</w:t>
      </w:r>
    </w:p>
    <w:tbl>
      <w:tblPr>
        <w:tblStyle w:val="19"/>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6740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tcBorders>
              <w:top w:val="single" w:color="5B9BD5" w:themeColor="accent1" w:sz="12" w:space="0"/>
              <w:left w:val="nil"/>
              <w:bottom w:val="single" w:color="5B9BD5" w:themeColor="accent1" w:sz="6" w:space="0"/>
              <w:right w:val="nil"/>
            </w:tcBorders>
            <w:shd w:val="clear" w:color="auto" w:fill="FFFFFF"/>
            <w:vAlign w:val="center"/>
          </w:tcPr>
          <w:p w14:paraId="68DE6821">
            <w:pPr>
              <w:pageBreakBefore w:val="0"/>
              <w:kinsoku/>
              <w:topLinePunct w:val="0"/>
              <w:bidi w:val="0"/>
              <w:adjustRightInd w:val="0"/>
              <w:snapToGrid w:val="0"/>
              <w:spacing w:line="240" w:lineRule="atLeast"/>
              <w:ind w:left="0" w:leftChars="0" w:right="0"/>
              <w:jc w:val="center"/>
              <w:textAlignment w:val="auto"/>
              <w:rPr>
                <w:rFonts w:ascii="仿宋" w:hAnsi="仿宋" w:eastAsia="仿宋"/>
                <w:b/>
                <w:i w:val="0"/>
                <w:color w:val="5B9BD5" w:themeColor="accent1"/>
                <w:sz w:val="21"/>
                <w:szCs w:val="21"/>
                <w:highlight w:val="none"/>
                <w14:textFill>
                  <w14:solidFill>
                    <w14:schemeClr w14:val="accent1"/>
                  </w14:solidFill>
                </w14:textFill>
              </w:rPr>
            </w:pPr>
            <w:r>
              <w:rPr>
                <w:rFonts w:hint="eastAsia" w:ascii="仿宋" w:hAnsi="仿宋" w:eastAsia="仿宋"/>
                <w:b/>
                <w:i w:val="0"/>
                <w:color w:val="5B9BD5" w:themeColor="accent1"/>
                <w:sz w:val="21"/>
                <w:szCs w:val="21"/>
                <w:highlight w:val="none"/>
                <w14:textFill>
                  <w14:solidFill>
                    <w14:schemeClr w14:val="accent1"/>
                  </w14:solidFill>
                </w14:textFill>
              </w:rPr>
              <w:t>项目内容</w:t>
            </w:r>
          </w:p>
        </w:tc>
        <w:tc>
          <w:tcPr>
            <w:tcW w:w="1999" w:type="dxa"/>
            <w:gridSpan w:val="2"/>
            <w:tcBorders>
              <w:top w:val="single" w:color="5B9BD5" w:themeColor="accent1" w:sz="12" w:space="0"/>
              <w:left w:val="nil"/>
              <w:bottom w:val="single" w:color="5B9BD5" w:themeColor="accent1" w:sz="6" w:space="0"/>
              <w:right w:val="nil"/>
            </w:tcBorders>
            <w:shd w:val="clear" w:color="auto" w:fill="FFFFFF"/>
            <w:vAlign w:val="center"/>
          </w:tcPr>
          <w:p w14:paraId="2A3CCF66">
            <w:pPr>
              <w:pageBreakBefore w:val="0"/>
              <w:kinsoku/>
              <w:topLinePunct w:val="0"/>
              <w:bidi w:val="0"/>
              <w:adjustRightInd w:val="0"/>
              <w:snapToGrid w:val="0"/>
              <w:spacing w:line="240" w:lineRule="atLeast"/>
              <w:ind w:left="0" w:leftChars="0" w:right="0"/>
              <w:jc w:val="center"/>
              <w:textAlignment w:val="auto"/>
              <w:rPr>
                <w:rFonts w:ascii="仿宋" w:hAnsi="仿宋" w:eastAsia="仿宋"/>
                <w:b/>
                <w:i w:val="0"/>
                <w:color w:val="5B9BD5" w:themeColor="accent1"/>
                <w:sz w:val="21"/>
                <w:szCs w:val="21"/>
                <w:highlight w:val="none"/>
                <w14:textFill>
                  <w14:solidFill>
                    <w14:schemeClr w14:val="accent1"/>
                  </w14:solidFill>
                </w14:textFill>
              </w:rPr>
            </w:pPr>
            <w:r>
              <w:rPr>
                <w:rFonts w:ascii="仿宋" w:hAnsi="仿宋" w:eastAsia="仿宋"/>
                <w:b/>
                <w:i w:val="0"/>
                <w:color w:val="5B9BD5" w:themeColor="accent1"/>
                <w:sz w:val="21"/>
                <w:szCs w:val="21"/>
                <w:highlight w:val="none"/>
                <w14:textFill>
                  <w14:solidFill>
                    <w14:schemeClr w14:val="accent1"/>
                  </w14:solidFill>
                </w14:textFill>
              </w:rPr>
              <w:t>总价</w:t>
            </w:r>
          </w:p>
        </w:tc>
        <w:tc>
          <w:tcPr>
            <w:tcW w:w="2268" w:type="dxa"/>
            <w:tcBorders>
              <w:top w:val="single" w:color="5B9BD5" w:themeColor="accent1" w:sz="12" w:space="0"/>
              <w:left w:val="nil"/>
              <w:bottom w:val="single" w:color="5B9BD5" w:themeColor="accent1" w:sz="6" w:space="0"/>
              <w:right w:val="nil"/>
            </w:tcBorders>
            <w:shd w:val="clear" w:color="auto" w:fill="FFFFFF"/>
            <w:vAlign w:val="center"/>
          </w:tcPr>
          <w:p w14:paraId="7A7760EF">
            <w:pPr>
              <w:pageBreakBefore w:val="0"/>
              <w:kinsoku/>
              <w:topLinePunct w:val="0"/>
              <w:bidi w:val="0"/>
              <w:adjustRightInd w:val="0"/>
              <w:snapToGrid w:val="0"/>
              <w:spacing w:line="240" w:lineRule="atLeast"/>
              <w:ind w:left="0" w:leftChars="0" w:right="0"/>
              <w:jc w:val="center"/>
              <w:textAlignment w:val="auto"/>
              <w:rPr>
                <w:rFonts w:ascii="仿宋" w:hAnsi="仿宋" w:eastAsia="仿宋"/>
                <w:b/>
                <w:i w:val="0"/>
                <w:color w:val="5B9BD5" w:themeColor="accent1"/>
                <w:sz w:val="21"/>
                <w:szCs w:val="21"/>
                <w:highlight w:val="none"/>
                <w14:textFill>
                  <w14:solidFill>
                    <w14:schemeClr w14:val="accent1"/>
                  </w14:solidFill>
                </w14:textFill>
              </w:rPr>
            </w:pPr>
            <w:r>
              <w:rPr>
                <w:rFonts w:hint="eastAsia" w:ascii="仿宋" w:hAnsi="仿宋" w:eastAsia="仿宋"/>
                <w:b/>
                <w:i w:val="0"/>
                <w:color w:val="5B9BD5" w:themeColor="accent1"/>
                <w:sz w:val="21"/>
                <w:szCs w:val="21"/>
                <w:highlight w:val="none"/>
                <w14:textFill>
                  <w14:solidFill>
                    <w14:schemeClr w14:val="accent1"/>
                  </w14:solidFill>
                </w14:textFill>
              </w:rPr>
              <w:t>服务</w:t>
            </w:r>
            <w:r>
              <w:rPr>
                <w:rFonts w:ascii="仿宋" w:hAnsi="仿宋" w:eastAsia="仿宋"/>
                <w:b/>
                <w:i w:val="0"/>
                <w:color w:val="5B9BD5" w:themeColor="accent1"/>
                <w:sz w:val="21"/>
                <w:szCs w:val="21"/>
                <w:highlight w:val="none"/>
                <w14:textFill>
                  <w14:solidFill>
                    <w14:schemeClr w14:val="accent1"/>
                  </w14:solidFill>
                </w14:textFill>
              </w:rPr>
              <w:t>时间</w:t>
            </w:r>
          </w:p>
        </w:tc>
        <w:tc>
          <w:tcPr>
            <w:tcW w:w="2275" w:type="dxa"/>
            <w:tcBorders>
              <w:top w:val="single" w:color="5B9BD5" w:themeColor="accent1" w:sz="12" w:space="0"/>
              <w:left w:val="nil"/>
              <w:bottom w:val="single" w:color="5B9BD5" w:themeColor="accent1" w:sz="6" w:space="0"/>
              <w:right w:val="nil"/>
            </w:tcBorders>
            <w:shd w:val="clear" w:color="auto" w:fill="FFFFFF"/>
            <w:vAlign w:val="center"/>
          </w:tcPr>
          <w:p w14:paraId="3B7ED727">
            <w:pPr>
              <w:pageBreakBefore w:val="0"/>
              <w:kinsoku/>
              <w:topLinePunct w:val="0"/>
              <w:bidi w:val="0"/>
              <w:adjustRightInd w:val="0"/>
              <w:snapToGrid w:val="0"/>
              <w:spacing w:line="240" w:lineRule="atLeast"/>
              <w:ind w:left="0" w:leftChars="0" w:right="0"/>
              <w:jc w:val="center"/>
              <w:textAlignment w:val="auto"/>
              <w:rPr>
                <w:rFonts w:ascii="仿宋" w:hAnsi="仿宋" w:eastAsia="仿宋"/>
                <w:b/>
                <w:i w:val="0"/>
                <w:color w:val="5B9BD5" w:themeColor="accent1"/>
                <w:sz w:val="21"/>
                <w:szCs w:val="21"/>
                <w:highlight w:val="none"/>
                <w14:textFill>
                  <w14:solidFill>
                    <w14:schemeClr w14:val="accent1"/>
                  </w14:solidFill>
                </w14:textFill>
              </w:rPr>
            </w:pPr>
            <w:r>
              <w:rPr>
                <w:rFonts w:hint="eastAsia" w:ascii="仿宋" w:hAnsi="仿宋" w:eastAsia="仿宋"/>
                <w:b/>
                <w:i w:val="0"/>
                <w:color w:val="5B9BD5" w:themeColor="accent1"/>
                <w:sz w:val="21"/>
                <w:szCs w:val="21"/>
                <w:highlight w:val="none"/>
                <w14:textFill>
                  <w14:solidFill>
                    <w14:schemeClr w14:val="accent1"/>
                  </w14:solidFill>
                </w14:textFill>
              </w:rPr>
              <w:t>服务</w:t>
            </w:r>
            <w:r>
              <w:rPr>
                <w:rFonts w:ascii="仿宋" w:hAnsi="仿宋" w:eastAsia="仿宋"/>
                <w:b/>
                <w:i w:val="0"/>
                <w:color w:val="5B9BD5" w:themeColor="accent1"/>
                <w:sz w:val="21"/>
                <w:szCs w:val="21"/>
                <w:highlight w:val="none"/>
                <w14:textFill>
                  <w14:solidFill>
                    <w14:schemeClr w14:val="accent1"/>
                  </w14:solidFill>
                </w14:textFill>
              </w:rPr>
              <w:t>地点</w:t>
            </w:r>
          </w:p>
        </w:tc>
      </w:tr>
      <w:tr w14:paraId="2D98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tcBorders>
              <w:top w:val="single" w:color="5B9BD5" w:themeColor="accent1" w:sz="6" w:space="0"/>
              <w:left w:val="nil"/>
              <w:bottom w:val="nil"/>
              <w:right w:val="nil"/>
            </w:tcBorders>
            <w:shd w:val="clear" w:color="auto" w:fill="FFFFFF"/>
            <w:vAlign w:val="center"/>
          </w:tcPr>
          <w:p w14:paraId="09B124E0">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c>
          <w:tcPr>
            <w:tcW w:w="1999" w:type="dxa"/>
            <w:gridSpan w:val="2"/>
            <w:tcBorders>
              <w:top w:val="single" w:color="5B9BD5" w:themeColor="accent1" w:sz="6" w:space="0"/>
              <w:left w:val="nil"/>
              <w:bottom w:val="nil"/>
              <w:right w:val="nil"/>
            </w:tcBorders>
            <w:shd w:val="clear" w:color="auto" w:fill="FFFFFF"/>
            <w:vAlign w:val="center"/>
          </w:tcPr>
          <w:p w14:paraId="5BFB906D">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c>
          <w:tcPr>
            <w:tcW w:w="2268" w:type="dxa"/>
            <w:tcBorders>
              <w:top w:val="single" w:color="5B9BD5" w:themeColor="accent1" w:sz="6" w:space="0"/>
              <w:left w:val="nil"/>
              <w:bottom w:val="nil"/>
              <w:right w:val="nil"/>
            </w:tcBorders>
            <w:shd w:val="clear" w:color="auto" w:fill="FFFFFF"/>
            <w:vAlign w:val="center"/>
          </w:tcPr>
          <w:p w14:paraId="6E89059C">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c>
          <w:tcPr>
            <w:tcW w:w="2275" w:type="dxa"/>
            <w:tcBorders>
              <w:top w:val="single" w:color="5B9BD5" w:themeColor="accent1" w:sz="6" w:space="0"/>
              <w:left w:val="nil"/>
              <w:bottom w:val="nil"/>
              <w:right w:val="nil"/>
            </w:tcBorders>
            <w:shd w:val="clear" w:color="auto" w:fill="FFFFFF"/>
            <w:vAlign w:val="center"/>
          </w:tcPr>
          <w:p w14:paraId="0EE6F735">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r>
      <w:tr w14:paraId="768A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tcBorders>
              <w:top w:val="nil"/>
              <w:left w:val="nil"/>
              <w:bottom w:val="nil"/>
              <w:right w:val="nil"/>
            </w:tcBorders>
            <w:shd w:val="clear" w:color="auto" w:fill="F2F2F2"/>
            <w:vAlign w:val="center"/>
          </w:tcPr>
          <w:p w14:paraId="181E800F">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c>
          <w:tcPr>
            <w:tcW w:w="1999" w:type="dxa"/>
            <w:gridSpan w:val="2"/>
            <w:tcBorders>
              <w:top w:val="nil"/>
              <w:left w:val="nil"/>
              <w:bottom w:val="nil"/>
              <w:right w:val="nil"/>
            </w:tcBorders>
            <w:shd w:val="clear" w:color="auto" w:fill="F2F2F2"/>
            <w:vAlign w:val="center"/>
          </w:tcPr>
          <w:p w14:paraId="5B4CA193">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c>
          <w:tcPr>
            <w:tcW w:w="2268" w:type="dxa"/>
            <w:tcBorders>
              <w:top w:val="nil"/>
              <w:left w:val="nil"/>
              <w:bottom w:val="nil"/>
              <w:right w:val="nil"/>
            </w:tcBorders>
            <w:shd w:val="clear" w:color="auto" w:fill="F2F2F2"/>
            <w:vAlign w:val="center"/>
          </w:tcPr>
          <w:p w14:paraId="60262D13">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c>
          <w:tcPr>
            <w:tcW w:w="2275" w:type="dxa"/>
            <w:tcBorders>
              <w:top w:val="nil"/>
              <w:left w:val="nil"/>
              <w:bottom w:val="nil"/>
              <w:right w:val="nil"/>
            </w:tcBorders>
            <w:shd w:val="clear" w:color="auto" w:fill="F2F2F2"/>
            <w:vAlign w:val="center"/>
          </w:tcPr>
          <w:p w14:paraId="2A0C684E">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r>
      <w:tr w14:paraId="7475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tcBorders>
              <w:top w:val="nil"/>
              <w:left w:val="nil"/>
              <w:bottom w:val="nil"/>
              <w:right w:val="nil"/>
            </w:tcBorders>
            <w:shd w:val="clear" w:color="auto" w:fill="FFFFFF"/>
            <w:vAlign w:val="center"/>
          </w:tcPr>
          <w:p w14:paraId="238D4021">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c>
          <w:tcPr>
            <w:tcW w:w="1999" w:type="dxa"/>
            <w:gridSpan w:val="2"/>
            <w:tcBorders>
              <w:top w:val="nil"/>
              <w:left w:val="nil"/>
              <w:bottom w:val="nil"/>
              <w:right w:val="nil"/>
            </w:tcBorders>
            <w:shd w:val="clear" w:color="auto" w:fill="FFFFFF"/>
            <w:vAlign w:val="center"/>
          </w:tcPr>
          <w:p w14:paraId="67719B3A">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c>
          <w:tcPr>
            <w:tcW w:w="2268" w:type="dxa"/>
            <w:tcBorders>
              <w:top w:val="nil"/>
              <w:left w:val="nil"/>
              <w:bottom w:val="nil"/>
              <w:right w:val="nil"/>
            </w:tcBorders>
            <w:shd w:val="clear" w:color="auto" w:fill="FFFFFF"/>
            <w:vAlign w:val="center"/>
          </w:tcPr>
          <w:p w14:paraId="4F205C91">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c>
          <w:tcPr>
            <w:tcW w:w="2275" w:type="dxa"/>
            <w:tcBorders>
              <w:top w:val="nil"/>
              <w:left w:val="nil"/>
              <w:bottom w:val="nil"/>
              <w:right w:val="nil"/>
            </w:tcBorders>
            <w:shd w:val="clear" w:color="auto" w:fill="FFFFFF"/>
            <w:vAlign w:val="center"/>
          </w:tcPr>
          <w:p w14:paraId="5E7CE2C5">
            <w:pPr>
              <w:pageBreakBefore w:val="0"/>
              <w:kinsoku/>
              <w:topLinePunct w:val="0"/>
              <w:bidi w:val="0"/>
              <w:adjustRightInd w:val="0"/>
              <w:snapToGrid w:val="0"/>
              <w:spacing w:line="240" w:lineRule="atLeast"/>
              <w:ind w:left="0" w:leftChars="0" w:right="0"/>
              <w:jc w:val="center"/>
              <w:textAlignment w:val="auto"/>
              <w:rPr>
                <w:rFonts w:ascii="仿宋" w:hAnsi="仿宋" w:eastAsia="仿宋"/>
                <w:b w:val="0"/>
                <w:i w:val="0"/>
                <w:color w:val="08090C"/>
                <w:sz w:val="21"/>
                <w:szCs w:val="21"/>
                <w:highlight w:val="none"/>
              </w:rPr>
            </w:pPr>
          </w:p>
        </w:tc>
      </w:tr>
      <w:tr w14:paraId="0E8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tcBorders>
              <w:top w:val="nil"/>
              <w:left w:val="nil"/>
              <w:bottom w:val="nil"/>
              <w:right w:val="nil"/>
            </w:tcBorders>
            <w:shd w:val="clear" w:color="auto" w:fill="F2F2F2"/>
            <w:vAlign w:val="center"/>
          </w:tcPr>
          <w:p w14:paraId="3BD12AED">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合计人民币（小写）：</w:t>
            </w:r>
          </w:p>
        </w:tc>
      </w:tr>
      <w:tr w14:paraId="36E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tcBorders>
              <w:top w:val="nil"/>
              <w:left w:val="nil"/>
              <w:bottom w:val="nil"/>
              <w:right w:val="nil"/>
            </w:tcBorders>
            <w:shd w:val="clear" w:color="auto" w:fill="FFFFFF"/>
            <w:vAlign w:val="center"/>
          </w:tcPr>
          <w:p w14:paraId="6466D8A2">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合计人民币（大写）：</w:t>
            </w:r>
          </w:p>
        </w:tc>
      </w:tr>
      <w:tr w14:paraId="2C1C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tcBorders>
              <w:top w:val="nil"/>
              <w:left w:val="nil"/>
              <w:bottom w:val="nil"/>
              <w:right w:val="nil"/>
            </w:tcBorders>
            <w:shd w:val="clear" w:color="auto" w:fill="F2F2F2"/>
          </w:tcPr>
          <w:p w14:paraId="31B08661">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一、质量要求和技术标准：</w:t>
            </w:r>
          </w:p>
          <w:p w14:paraId="67480690">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1、服务措施：</w:t>
            </w:r>
          </w:p>
          <w:p w14:paraId="17AC3EB0">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p>
        </w:tc>
      </w:tr>
      <w:tr w14:paraId="50A5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tcBorders>
              <w:top w:val="nil"/>
              <w:left w:val="nil"/>
              <w:bottom w:val="nil"/>
              <w:right w:val="nil"/>
            </w:tcBorders>
            <w:shd w:val="clear" w:color="auto" w:fill="FFFFFF"/>
          </w:tcPr>
          <w:p w14:paraId="6D4E53EB">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hint="eastAsia" w:ascii="仿宋" w:hAnsi="仿宋" w:eastAsia="仿宋"/>
                <w:b w:val="0"/>
                <w:i w:val="0"/>
                <w:color w:val="08090C"/>
                <w:sz w:val="21"/>
                <w:szCs w:val="21"/>
                <w:highlight w:val="none"/>
              </w:rPr>
              <w:t>二</w:t>
            </w:r>
            <w:r>
              <w:rPr>
                <w:rFonts w:ascii="仿宋" w:hAnsi="仿宋" w:eastAsia="仿宋"/>
                <w:b w:val="0"/>
                <w:i w:val="0"/>
                <w:color w:val="08090C"/>
                <w:sz w:val="21"/>
                <w:szCs w:val="21"/>
                <w:highlight w:val="none"/>
              </w:rPr>
              <w:t>、验收标准、方法：</w:t>
            </w:r>
          </w:p>
          <w:p w14:paraId="75E4271D">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p>
        </w:tc>
      </w:tr>
      <w:tr w14:paraId="25A2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tcBorders>
              <w:top w:val="nil"/>
              <w:left w:val="nil"/>
              <w:bottom w:val="nil"/>
              <w:right w:val="nil"/>
            </w:tcBorders>
            <w:shd w:val="clear" w:color="auto" w:fill="F2F2F2"/>
          </w:tcPr>
          <w:p w14:paraId="4FF9E238">
            <w:pPr>
              <w:pageBreakBefore w:val="0"/>
              <w:numPr>
                <w:ilvl w:val="0"/>
                <w:numId w:val="1"/>
              </w:numPr>
              <w:kinsoku/>
              <w:topLinePunct w:val="0"/>
              <w:bidi w:val="0"/>
              <w:adjustRightInd w:val="0"/>
              <w:snapToGrid w:val="0"/>
              <w:spacing w:line="240" w:lineRule="atLeast"/>
              <w:ind w:left="0" w:leftChars="0" w:right="0" w:firstLine="0" w:firstLineChars="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付款方式：</w:t>
            </w:r>
          </w:p>
          <w:p w14:paraId="2408DF42">
            <w:pPr>
              <w:pageBreakBefore w:val="0"/>
              <w:numPr>
                <w:ilvl w:val="0"/>
                <w:numId w:val="0"/>
              </w:numPr>
              <w:kinsoku/>
              <w:topLinePunct w:val="0"/>
              <w:bidi w:val="0"/>
              <w:adjustRightInd w:val="0"/>
              <w:snapToGrid w:val="0"/>
              <w:spacing w:line="240" w:lineRule="atLeast"/>
              <w:ind w:left="0" w:leftChars="0" w:right="0"/>
              <w:textAlignment w:val="auto"/>
              <w:rPr>
                <w:rFonts w:hint="default" w:ascii="仿宋" w:hAnsi="仿宋" w:eastAsia="仿宋"/>
                <w:b w:val="0"/>
                <w:i w:val="0"/>
                <w:color w:val="08090C"/>
                <w:sz w:val="21"/>
                <w:szCs w:val="21"/>
                <w:highlight w:val="none"/>
                <w:lang w:val="en-US" w:eastAsia="zh-CN"/>
              </w:rPr>
            </w:pPr>
            <w:r>
              <w:rPr>
                <w:rFonts w:hint="eastAsia" w:ascii="仿宋" w:hAnsi="仿宋" w:eastAsia="仿宋"/>
                <w:b w:val="0"/>
                <w:i w:val="0"/>
                <w:color w:val="08090C"/>
                <w:sz w:val="21"/>
                <w:szCs w:val="21"/>
                <w:highlight w:val="none"/>
                <w:lang w:val="en-US" w:eastAsia="zh-CN"/>
              </w:rPr>
              <w:t xml:space="preserve">   </w:t>
            </w:r>
            <w:r>
              <w:rPr>
                <w:rFonts w:hint="eastAsia" w:ascii="仿宋" w:hAnsi="仿宋" w:eastAsia="仿宋" w:cs="Times New Roman"/>
                <w:b w:val="0"/>
                <w:i w:val="0"/>
                <w:color w:val="08090C"/>
                <w:kern w:val="2"/>
                <w:sz w:val="24"/>
                <w:szCs w:val="24"/>
                <w:highlight w:val="none"/>
                <w:lang w:val="en-US" w:eastAsia="zh-CN" w:bidi="ar-SA"/>
              </w:rPr>
              <w:t>按季度支付，服务当季度末，由病媒生物防制服务单位提供该季度服务费发票，并附上过程性防制资料，经采购人确认后七个工作日内支付服务单位当季服务费。</w:t>
            </w:r>
          </w:p>
          <w:p w14:paraId="5C136A1A">
            <w:pPr>
              <w:pStyle w:val="11"/>
              <w:pageBreakBefore w:val="0"/>
              <w:kinsoku/>
              <w:topLinePunct w:val="0"/>
              <w:bidi w:val="0"/>
              <w:adjustRightInd w:val="0"/>
              <w:snapToGrid w:val="0"/>
              <w:spacing w:line="240" w:lineRule="atLeast"/>
              <w:ind w:left="0" w:leftChars="0" w:right="0" w:hanging="420"/>
              <w:textAlignment w:val="auto"/>
              <w:rPr>
                <w:rFonts w:ascii="仿宋" w:hAnsi="仿宋" w:eastAsia="仿宋"/>
                <w:b w:val="0"/>
                <w:i w:val="0"/>
                <w:color w:val="08090C"/>
                <w:sz w:val="21"/>
                <w:szCs w:val="21"/>
                <w:highlight w:val="none"/>
              </w:rPr>
            </w:pPr>
          </w:p>
        </w:tc>
      </w:tr>
      <w:tr w14:paraId="3608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tcBorders>
              <w:top w:val="nil"/>
              <w:left w:val="nil"/>
              <w:bottom w:val="nil"/>
              <w:right w:val="nil"/>
            </w:tcBorders>
            <w:shd w:val="clear" w:color="auto" w:fill="FFFFFF"/>
          </w:tcPr>
          <w:p w14:paraId="008C0CA9">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hint="eastAsia" w:ascii="仿宋" w:hAnsi="仿宋" w:eastAsia="仿宋"/>
                <w:b w:val="0"/>
                <w:i w:val="0"/>
                <w:color w:val="08090C"/>
                <w:sz w:val="21"/>
                <w:szCs w:val="21"/>
                <w:highlight w:val="none"/>
              </w:rPr>
              <w:t>四</w:t>
            </w:r>
            <w:r>
              <w:rPr>
                <w:rFonts w:ascii="仿宋" w:hAnsi="仿宋" w:eastAsia="仿宋"/>
                <w:b w:val="0"/>
                <w:i w:val="0"/>
                <w:color w:val="08090C"/>
                <w:sz w:val="21"/>
                <w:szCs w:val="21"/>
                <w:highlight w:val="none"/>
              </w:rPr>
              <w:t>、违约责任：</w:t>
            </w:r>
          </w:p>
          <w:p w14:paraId="76EDA411">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按《</w:t>
            </w:r>
            <w:r>
              <w:rPr>
                <w:rFonts w:hint="eastAsia" w:ascii="仿宋" w:hAnsi="仿宋" w:eastAsia="仿宋"/>
                <w:b w:val="0"/>
                <w:i w:val="0"/>
                <w:color w:val="08090C"/>
                <w:sz w:val="21"/>
                <w:szCs w:val="21"/>
                <w:highlight w:val="none"/>
              </w:rPr>
              <w:t>中华人民共和国民法典</w:t>
            </w:r>
            <w:r>
              <w:rPr>
                <w:rFonts w:ascii="仿宋" w:hAnsi="仿宋" w:eastAsia="仿宋"/>
                <w:b w:val="0"/>
                <w:i w:val="0"/>
                <w:color w:val="08090C"/>
                <w:sz w:val="21"/>
                <w:szCs w:val="21"/>
                <w:highlight w:val="none"/>
              </w:rPr>
              <w:t>》、《政府采购法》执行，或按双方约定。</w:t>
            </w:r>
          </w:p>
        </w:tc>
      </w:tr>
      <w:tr w14:paraId="7462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tcBorders>
              <w:top w:val="nil"/>
              <w:left w:val="nil"/>
              <w:bottom w:val="nil"/>
              <w:right w:val="nil"/>
            </w:tcBorders>
            <w:shd w:val="clear" w:color="auto" w:fill="F2F2F2"/>
          </w:tcPr>
          <w:p w14:paraId="231FB189">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hint="eastAsia" w:ascii="仿宋" w:hAnsi="仿宋" w:eastAsia="仿宋"/>
                <w:b w:val="0"/>
                <w:i w:val="0"/>
                <w:color w:val="08090C"/>
                <w:sz w:val="21"/>
                <w:szCs w:val="21"/>
                <w:highlight w:val="none"/>
              </w:rPr>
              <w:t>五</w:t>
            </w:r>
            <w:r>
              <w:rPr>
                <w:rFonts w:ascii="仿宋" w:hAnsi="仿宋" w:eastAsia="仿宋"/>
                <w:b w:val="0"/>
                <w:i w:val="0"/>
                <w:color w:val="08090C"/>
                <w:sz w:val="21"/>
                <w:szCs w:val="21"/>
                <w:highlight w:val="none"/>
              </w:rPr>
              <w:t>、其他约定事项：</w:t>
            </w:r>
          </w:p>
          <w:p w14:paraId="758E6F76">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1、</w:t>
            </w:r>
            <w:r>
              <w:rPr>
                <w:rFonts w:hint="eastAsia" w:ascii="仿宋" w:hAnsi="仿宋" w:eastAsia="仿宋"/>
                <w:b w:val="0"/>
                <w:i w:val="0"/>
                <w:color w:val="08090C"/>
                <w:sz w:val="21"/>
                <w:szCs w:val="21"/>
                <w:highlight w:val="none"/>
              </w:rPr>
              <w:t>采购</w:t>
            </w:r>
            <w:r>
              <w:rPr>
                <w:rFonts w:ascii="仿宋" w:hAnsi="仿宋" w:eastAsia="仿宋"/>
                <w:b w:val="0"/>
                <w:i w:val="0"/>
                <w:color w:val="08090C"/>
                <w:sz w:val="21"/>
                <w:szCs w:val="21"/>
                <w:highlight w:val="none"/>
              </w:rPr>
              <w:t>文件及其补遗文件、</w:t>
            </w:r>
            <w:r>
              <w:rPr>
                <w:rFonts w:hint="eastAsia" w:ascii="仿宋" w:hAnsi="仿宋" w:eastAsia="仿宋"/>
                <w:b w:val="0"/>
                <w:i w:val="0"/>
                <w:color w:val="08090C"/>
                <w:sz w:val="21"/>
                <w:szCs w:val="21"/>
                <w:highlight w:val="none"/>
              </w:rPr>
              <w:t>投标</w:t>
            </w:r>
            <w:r>
              <w:rPr>
                <w:rFonts w:ascii="仿宋" w:hAnsi="仿宋" w:eastAsia="仿宋"/>
                <w:b w:val="0"/>
                <w:i w:val="0"/>
                <w:color w:val="08090C"/>
                <w:sz w:val="21"/>
                <w:szCs w:val="21"/>
                <w:highlight w:val="none"/>
              </w:rPr>
              <w:t>文件和承诺是本合同不可分割的部分。</w:t>
            </w:r>
          </w:p>
          <w:p w14:paraId="45905D3C">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本合同如发生争议由双方协商解决，协商不成向需方所在人民法院提请诉讼。</w:t>
            </w:r>
          </w:p>
          <w:p w14:paraId="15B92B28">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本合同一式__份， 需方__份，供方__份，具同等法律效力。</w:t>
            </w:r>
          </w:p>
          <w:p w14:paraId="5F22E532">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hint="eastAsia" w:ascii="仿宋" w:hAnsi="仿宋" w:eastAsia="仿宋"/>
                <w:b w:val="0"/>
                <w:i w:val="0"/>
                <w:color w:val="08090C"/>
                <w:sz w:val="21"/>
                <w:szCs w:val="21"/>
                <w:highlight w:val="none"/>
              </w:rPr>
              <w:t>2</w:t>
            </w:r>
            <w:r>
              <w:rPr>
                <w:rFonts w:ascii="仿宋" w:hAnsi="仿宋" w:eastAsia="仿宋"/>
                <w:b w:val="0"/>
                <w:i w:val="0"/>
                <w:color w:val="08090C"/>
                <w:sz w:val="21"/>
                <w:szCs w:val="21"/>
                <w:highlight w:val="none"/>
              </w:rPr>
              <w:t>、其他：</w:t>
            </w:r>
          </w:p>
        </w:tc>
      </w:tr>
      <w:tr w14:paraId="6EFF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tcBorders>
              <w:top w:val="nil"/>
              <w:left w:val="nil"/>
              <w:bottom w:val="nil"/>
              <w:right w:val="nil"/>
            </w:tcBorders>
            <w:shd w:val="clear" w:color="auto" w:fill="FFFFFF"/>
          </w:tcPr>
          <w:p w14:paraId="7292F951">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需方：</w:t>
            </w:r>
          </w:p>
          <w:p w14:paraId="075A75AE">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地址：</w:t>
            </w:r>
          </w:p>
          <w:p w14:paraId="71A953CD">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联系电话：</w:t>
            </w:r>
          </w:p>
          <w:p w14:paraId="18E906A9">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授权代表：</w:t>
            </w:r>
          </w:p>
        </w:tc>
        <w:tc>
          <w:tcPr>
            <w:tcW w:w="5125" w:type="dxa"/>
            <w:gridSpan w:val="4"/>
            <w:tcBorders>
              <w:top w:val="nil"/>
              <w:left w:val="nil"/>
              <w:bottom w:val="nil"/>
              <w:right w:val="nil"/>
            </w:tcBorders>
            <w:shd w:val="clear" w:color="auto" w:fill="FFFFFF"/>
          </w:tcPr>
          <w:p w14:paraId="12398D92">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供方：</w:t>
            </w:r>
          </w:p>
          <w:p w14:paraId="7F9FF446">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地址：</w:t>
            </w:r>
          </w:p>
          <w:p w14:paraId="5BE45A0A">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电话：</w:t>
            </w:r>
          </w:p>
          <w:p w14:paraId="095098F7">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传真：</w:t>
            </w:r>
          </w:p>
          <w:p w14:paraId="0EA8D4DE">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开户银行：</w:t>
            </w:r>
          </w:p>
          <w:p w14:paraId="42080F2A">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账号：</w:t>
            </w:r>
          </w:p>
          <w:p w14:paraId="4B6BB22B">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授权代表：</w:t>
            </w:r>
          </w:p>
          <w:p w14:paraId="1CDB9E1E">
            <w:pPr>
              <w:pageBreakBefore w:val="0"/>
              <w:widowControl/>
              <w:kinsoku/>
              <w:topLinePunct w:val="0"/>
              <w:bidi w:val="0"/>
              <w:adjustRightInd w:val="0"/>
              <w:snapToGrid w:val="0"/>
              <w:spacing w:line="240" w:lineRule="atLeast"/>
              <w:ind w:left="0" w:leftChars="0" w:right="0"/>
              <w:jc w:val="left"/>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（本栏请用计算机打印以便于准确付款）</w:t>
            </w:r>
          </w:p>
        </w:tc>
      </w:tr>
      <w:tr w14:paraId="1E4B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tcBorders>
              <w:top w:val="nil"/>
              <w:left w:val="nil"/>
              <w:bottom w:val="single" w:color="5B9BD5" w:themeColor="accent1" w:sz="12" w:space="0"/>
              <w:right w:val="nil"/>
            </w:tcBorders>
            <w:shd w:val="clear" w:color="auto" w:fill="F2F2F2"/>
          </w:tcPr>
          <w:p w14:paraId="7FCC0471">
            <w:pPr>
              <w:pageBreakBefore w:val="0"/>
              <w:kinsoku/>
              <w:topLinePunct w:val="0"/>
              <w:bidi w:val="0"/>
              <w:adjustRightInd w:val="0"/>
              <w:snapToGrid w:val="0"/>
              <w:spacing w:line="240" w:lineRule="atLeast"/>
              <w:ind w:left="0" w:leftChars="0" w:right="0"/>
              <w:textAlignment w:val="auto"/>
              <w:rPr>
                <w:rFonts w:ascii="仿宋" w:hAnsi="仿宋" w:eastAsia="仿宋"/>
                <w:b w:val="0"/>
                <w:i w:val="0"/>
                <w:color w:val="08090C"/>
                <w:sz w:val="21"/>
                <w:szCs w:val="21"/>
                <w:highlight w:val="none"/>
              </w:rPr>
            </w:pPr>
            <w:r>
              <w:rPr>
                <w:rFonts w:ascii="仿宋" w:hAnsi="仿宋" w:eastAsia="仿宋"/>
                <w:b w:val="0"/>
                <w:i w:val="0"/>
                <w:color w:val="08090C"/>
                <w:sz w:val="21"/>
                <w:szCs w:val="21"/>
                <w:highlight w:val="none"/>
              </w:rPr>
              <w:t>备注：</w:t>
            </w:r>
          </w:p>
        </w:tc>
      </w:tr>
    </w:tbl>
    <w:p w14:paraId="5294BAD4">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r>
        <w:rPr>
          <w:rFonts w:ascii="仿宋" w:hAnsi="仿宋" w:eastAsia="仿宋"/>
          <w:color w:val="auto"/>
          <w:highlight w:val="none"/>
        </w:rPr>
        <w:t>签约时间：           年   月   日         签约地点：</w:t>
      </w:r>
    </w:p>
    <w:p w14:paraId="64BB9663">
      <w:pPr>
        <w:pStyle w:val="24"/>
        <w:pageBreakBefore w:val="0"/>
        <w:kinsoku/>
        <w:topLinePunct w:val="0"/>
        <w:bidi w:val="0"/>
        <w:adjustRightInd w:val="0"/>
        <w:snapToGrid w:val="0"/>
        <w:spacing w:before="0" w:after="0" w:line="240" w:lineRule="atLeast"/>
        <w:ind w:left="0" w:leftChars="0" w:right="0" w:firstLine="480"/>
        <w:textAlignment w:val="auto"/>
        <w:rPr>
          <w:rFonts w:ascii="仿宋" w:hAnsi="仿宋" w:eastAsia="仿宋" w:cs="仿宋"/>
          <w:color w:val="auto"/>
          <w:szCs w:val="28"/>
          <w:highlight w:val="none"/>
        </w:rPr>
      </w:pPr>
    </w:p>
    <w:p w14:paraId="5A05CD55">
      <w:pPr>
        <w:pStyle w:val="24"/>
        <w:pageBreakBefore w:val="0"/>
        <w:kinsoku/>
        <w:topLinePunct w:val="0"/>
        <w:bidi w:val="0"/>
        <w:adjustRightInd w:val="0"/>
        <w:snapToGrid w:val="0"/>
        <w:spacing w:before="0" w:after="0" w:line="240" w:lineRule="atLeast"/>
        <w:ind w:left="0" w:leftChars="0" w:right="0" w:firstLine="0" w:firstLineChars="0"/>
        <w:textAlignment w:val="auto"/>
        <w:rPr>
          <w:rFonts w:ascii="仿宋" w:hAnsi="仿宋" w:eastAsia="仿宋" w:cs="仿宋"/>
          <w:color w:val="auto"/>
          <w:szCs w:val="28"/>
          <w:highlight w:val="none"/>
        </w:rPr>
      </w:pPr>
    </w:p>
    <w:p w14:paraId="5CED9FFA">
      <w:pPr>
        <w:pStyle w:val="24"/>
        <w:pageBreakBefore w:val="0"/>
        <w:kinsoku/>
        <w:topLinePunct w:val="0"/>
        <w:bidi w:val="0"/>
        <w:adjustRightInd w:val="0"/>
        <w:snapToGrid w:val="0"/>
        <w:spacing w:before="0" w:after="0" w:line="240" w:lineRule="atLeast"/>
        <w:ind w:left="0" w:leftChars="0" w:right="0" w:firstLine="0" w:firstLineChars="0"/>
        <w:textAlignment w:val="auto"/>
        <w:rPr>
          <w:rFonts w:ascii="仿宋" w:hAnsi="仿宋" w:eastAsia="仿宋" w:cs="仿宋"/>
          <w:color w:val="auto"/>
          <w:szCs w:val="28"/>
          <w:highlight w:val="none"/>
        </w:rPr>
      </w:pPr>
    </w:p>
    <w:p w14:paraId="5B828DC8">
      <w:pPr>
        <w:pStyle w:val="24"/>
        <w:pageBreakBefore w:val="0"/>
        <w:kinsoku/>
        <w:topLinePunct w:val="0"/>
        <w:bidi w:val="0"/>
        <w:adjustRightInd w:val="0"/>
        <w:snapToGrid w:val="0"/>
        <w:spacing w:before="0" w:after="0" w:line="240" w:lineRule="atLeast"/>
        <w:ind w:left="0" w:leftChars="0" w:right="0" w:firstLine="0" w:firstLineChars="0"/>
        <w:textAlignment w:val="auto"/>
        <w:rPr>
          <w:rFonts w:ascii="仿宋" w:hAnsi="仿宋" w:eastAsia="仿宋" w:cs="仿宋"/>
          <w:color w:val="auto"/>
          <w:szCs w:val="28"/>
          <w:highlight w:val="none"/>
        </w:rPr>
      </w:pPr>
    </w:p>
    <w:p w14:paraId="1974A328">
      <w:pPr>
        <w:pStyle w:val="24"/>
        <w:pageBreakBefore w:val="0"/>
        <w:kinsoku/>
        <w:topLinePunct w:val="0"/>
        <w:bidi w:val="0"/>
        <w:adjustRightInd w:val="0"/>
        <w:snapToGrid w:val="0"/>
        <w:spacing w:before="0" w:after="0" w:line="240" w:lineRule="atLeast"/>
        <w:ind w:left="0" w:leftChars="0" w:right="0" w:firstLine="0" w:firstLineChars="0"/>
        <w:textAlignment w:val="auto"/>
        <w:rPr>
          <w:rFonts w:ascii="仿宋" w:hAnsi="仿宋" w:eastAsia="仿宋" w:cs="仿宋"/>
          <w:color w:val="auto"/>
          <w:szCs w:val="28"/>
          <w:highlight w:val="none"/>
        </w:rPr>
      </w:pPr>
    </w:p>
    <w:p w14:paraId="3FB40061">
      <w:pPr>
        <w:pStyle w:val="2"/>
        <w:pageBreakBefore w:val="0"/>
        <w:kinsoku/>
        <w:topLinePunct w:val="0"/>
        <w:bidi w:val="0"/>
        <w:adjustRightInd w:val="0"/>
        <w:snapToGrid w:val="0"/>
        <w:spacing w:before="0" w:after="0" w:line="240" w:lineRule="atLeast"/>
        <w:ind w:left="0" w:leftChars="0" w:right="0"/>
        <w:jc w:val="center"/>
        <w:textAlignment w:val="auto"/>
        <w:rPr>
          <w:rFonts w:ascii="仿宋" w:hAnsi="仿宋" w:eastAsia="仿宋"/>
          <w:bCs/>
          <w:color w:val="auto"/>
          <w:sz w:val="36"/>
          <w:szCs w:val="30"/>
          <w:highlight w:val="none"/>
        </w:rPr>
      </w:pPr>
      <w:bookmarkStart w:id="114" w:name="_Toc10837"/>
      <w:r>
        <w:rPr>
          <w:rFonts w:hint="eastAsia" w:ascii="仿宋" w:hAnsi="仿宋" w:eastAsia="仿宋"/>
          <w:bCs/>
          <w:color w:val="auto"/>
          <w:sz w:val="36"/>
          <w:szCs w:val="30"/>
          <w:highlight w:val="none"/>
        </w:rPr>
        <w:t>第七篇  响应文件编制要求</w:t>
      </w:r>
      <w:bookmarkEnd w:id="114"/>
    </w:p>
    <w:p w14:paraId="4C5AC6AB">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一、经济部分</w:t>
      </w:r>
    </w:p>
    <w:p w14:paraId="6BAD457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（一）报价函</w:t>
      </w:r>
    </w:p>
    <w:p w14:paraId="47BFF4FF">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（二）明细报价表</w:t>
      </w:r>
    </w:p>
    <w:p w14:paraId="5C8FDE54">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二、技术部分</w:t>
      </w:r>
    </w:p>
    <w:p w14:paraId="5FB544B8">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s="宋体"/>
          <w:color w:val="auto"/>
          <w:sz w:val="24"/>
          <w:szCs w:val="24"/>
          <w:highlight w:val="none"/>
        </w:rPr>
        <w:t>（一）技术应答</w:t>
      </w:r>
    </w:p>
    <w:p w14:paraId="1B5943DA">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（二）技术响应偏离表</w:t>
      </w:r>
    </w:p>
    <w:p w14:paraId="4A7759C3">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三、商务部分</w:t>
      </w:r>
    </w:p>
    <w:p w14:paraId="03FAEDC5">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s="宋体"/>
          <w:color w:val="auto"/>
          <w:sz w:val="24"/>
          <w:szCs w:val="24"/>
          <w:highlight w:val="none"/>
        </w:rPr>
        <w:t>（一）服务要求响应情况：交货时间、交货地点、质量保证期、售后服务条款等。</w:t>
      </w:r>
    </w:p>
    <w:p w14:paraId="0ED0B250">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（一）商务响应偏离表</w:t>
      </w:r>
    </w:p>
    <w:p w14:paraId="63368DE6">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（二）其它优惠承诺</w:t>
      </w:r>
    </w:p>
    <w:p w14:paraId="12A615F7">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四、资格条件及其他</w:t>
      </w:r>
    </w:p>
    <w:p w14:paraId="2BB72C98">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14:paraId="30ECCAAE">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（二）法定代表人身份证明书（格式）/法定代表人授权委托书（格式）</w:t>
      </w:r>
    </w:p>
    <w:p w14:paraId="2C6EF5D2">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（三）基本资格条件承诺函（格式）</w:t>
      </w:r>
    </w:p>
    <w:p w14:paraId="602AA466">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宋体"/>
          <w:color w:val="auto"/>
          <w:sz w:val="24"/>
          <w:szCs w:val="24"/>
          <w:highlight w:val="none"/>
        </w:rPr>
      </w:pPr>
      <w:r>
        <w:rPr>
          <w:rFonts w:hint="eastAsia" w:ascii="仿宋" w:hAnsi="仿宋" w:eastAsia="仿宋"/>
          <w:color w:val="auto"/>
          <w:sz w:val="24"/>
          <w:szCs w:val="24"/>
          <w:highlight w:val="none"/>
        </w:rPr>
        <w:t>（四）特定资格条件证书或证明文件</w:t>
      </w:r>
    </w:p>
    <w:p w14:paraId="6046C37C">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五、其他应提供的资料</w:t>
      </w:r>
    </w:p>
    <w:p w14:paraId="3ADBA40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bdr w:val="single" w:color="auto" w:sz="4" w:space="0"/>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p>
    <w:p w14:paraId="71D5BEF7">
      <w:pPr>
        <w:pStyle w:val="8"/>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Cs w:val="28"/>
          <w:highlight w:val="none"/>
        </w:rPr>
      </w:pPr>
    </w:p>
    <w:p w14:paraId="6DE6161A">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color w:val="auto"/>
          <w:sz w:val="24"/>
          <w:szCs w:val="24"/>
          <w:highlight w:val="none"/>
        </w:rPr>
      </w:pPr>
    </w:p>
    <w:p w14:paraId="0AB38EA0">
      <w:pPr>
        <w:pageBreakBefore w:val="0"/>
        <w:numPr>
          <w:ilvl w:val="0"/>
          <w:numId w:val="5"/>
        </w:numPr>
        <w:kinsoku/>
        <w:topLinePunct w:val="0"/>
        <w:bidi w:val="0"/>
        <w:adjustRightInd w:val="0"/>
        <w:snapToGrid w:val="0"/>
        <w:spacing w:line="240" w:lineRule="atLeast"/>
        <w:ind w:left="0" w:leftChars="0" w:right="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经济部分</w:t>
      </w:r>
    </w:p>
    <w:p w14:paraId="48CA10CA">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（一）报价函</w:t>
      </w:r>
    </w:p>
    <w:p w14:paraId="10B4D164">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报价函</w:t>
      </w:r>
    </w:p>
    <w:p w14:paraId="40F4C161">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重庆市渝北职业教育中心</w:t>
      </w:r>
      <w:r>
        <w:rPr>
          <w:rFonts w:hint="eastAsia" w:ascii="仿宋" w:hAnsi="仿宋" w:eastAsia="仿宋" w:cs="仿宋"/>
          <w:color w:val="auto"/>
          <w:sz w:val="24"/>
          <w:szCs w:val="24"/>
          <w:highlight w:val="none"/>
        </w:rPr>
        <w:t>：</w:t>
      </w:r>
    </w:p>
    <w:p w14:paraId="62F9AF33">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2733EBC">
      <w:pPr>
        <w:pageBreakBefore w:val="0"/>
        <w:tabs>
          <w:tab w:val="left" w:pos="6300"/>
        </w:tabs>
        <w:kinsoku/>
        <w:topLinePunct w:val="0"/>
        <w:bidi w:val="0"/>
        <w:adjustRightInd w:val="0"/>
        <w:snapToGrid w:val="0"/>
        <w:spacing w:line="240" w:lineRule="atLeast"/>
        <w:ind w:left="0" w:leftChars="0" w:right="0" w:firstLine="458" w:firstLineChars="191"/>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1、愿意按照竞采采购文件中的一切要求，提供本项目的技术服务，报价为人民币</w:t>
      </w:r>
      <w:r>
        <w:rPr>
          <w:rFonts w:hint="eastAsia" w:ascii="仿宋" w:hAnsi="仿宋" w:eastAsia="仿宋" w:cs="仿宋"/>
          <w:color w:val="auto"/>
          <w:sz w:val="24"/>
          <w:szCs w:val="24"/>
          <w:highlight w:val="none"/>
          <w:u w:val="single"/>
        </w:rPr>
        <w:t>大写：     元整</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u w:val="single"/>
        </w:rPr>
        <w:t>小写：    元</w:t>
      </w:r>
      <w:r>
        <w:rPr>
          <w:rFonts w:hint="eastAsia" w:ascii="仿宋" w:hAnsi="仿宋" w:eastAsia="仿宋" w:cs="仿宋"/>
          <w:color w:val="auto"/>
          <w:sz w:val="24"/>
          <w:szCs w:val="24"/>
          <w:highlight w:val="none"/>
        </w:rPr>
        <w:t>。</w:t>
      </w:r>
    </w:p>
    <w:p w14:paraId="7EA84B16">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7E8C5494">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63E9598B">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0D4688BE">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24AAD9A2">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30C60D74">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AD2A8B3">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044D6949">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028A9954">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650AF2D0">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17FD12CB">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647BEB16">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sectPr>
          <w:footerReference r:id="rId5"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年   月   日</w:t>
      </w:r>
    </w:p>
    <w:p w14:paraId="45B4B84E">
      <w:pPr>
        <w:pageBreakBefore w:val="0"/>
        <w:tabs>
          <w:tab w:val="left" w:pos="2895"/>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（二）明细报价表</w:t>
      </w:r>
    </w:p>
    <w:p w14:paraId="101C32EB">
      <w:pPr>
        <w:pageBreakBefore w:val="0"/>
        <w:tabs>
          <w:tab w:val="left" w:pos="2975"/>
          <w:tab w:val="center" w:pos="4765"/>
        </w:tabs>
        <w:kinsoku/>
        <w:topLinePunct w:val="0"/>
        <w:bidi w:val="0"/>
        <w:adjustRightInd w:val="0"/>
        <w:snapToGrid w:val="0"/>
        <w:spacing w:line="240" w:lineRule="atLeast"/>
        <w:ind w:left="0" w:leftChars="0" w:right="0"/>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明细报价表</w:t>
      </w:r>
    </w:p>
    <w:tbl>
      <w:tblPr>
        <w:tblStyle w:val="19"/>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71C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1219FCE5">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695" w:type="dxa"/>
            <w:vAlign w:val="center"/>
          </w:tcPr>
          <w:p w14:paraId="7678A813">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3404" w:type="dxa"/>
            <w:vAlign w:val="center"/>
          </w:tcPr>
          <w:p w14:paraId="72367893">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相关信息</w:t>
            </w:r>
          </w:p>
        </w:tc>
        <w:tc>
          <w:tcPr>
            <w:tcW w:w="1344" w:type="dxa"/>
            <w:vAlign w:val="center"/>
          </w:tcPr>
          <w:p w14:paraId="43C44242">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344" w:type="dxa"/>
            <w:vAlign w:val="center"/>
          </w:tcPr>
          <w:p w14:paraId="2AA1AC40">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tc>
        <w:tc>
          <w:tcPr>
            <w:tcW w:w="1344" w:type="dxa"/>
            <w:vAlign w:val="center"/>
          </w:tcPr>
          <w:p w14:paraId="3453CABB">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tc>
      </w:tr>
      <w:tr w14:paraId="57B5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1894D64">
            <w:pPr>
              <w:pStyle w:val="9"/>
              <w:pageBreakBefore w:val="0"/>
              <w:kinsoku/>
              <w:topLinePunct w:val="0"/>
              <w:bidi w:val="0"/>
              <w:adjustRightInd w:val="0"/>
              <w:snapToGrid w:val="0"/>
              <w:spacing w:line="240" w:lineRule="atLeast"/>
              <w:ind w:left="0" w:leftChars="0" w:right="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695" w:type="dxa"/>
            <w:vAlign w:val="center"/>
          </w:tcPr>
          <w:p w14:paraId="51595DC3">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3404" w:type="dxa"/>
          </w:tcPr>
          <w:p w14:paraId="4B474FFE">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vAlign w:val="center"/>
          </w:tcPr>
          <w:p w14:paraId="375C5E2A">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747D2308">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4E66BB19">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3462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DA3FFE4">
            <w:pPr>
              <w:pStyle w:val="9"/>
              <w:pageBreakBefore w:val="0"/>
              <w:kinsoku/>
              <w:topLinePunct w:val="0"/>
              <w:bidi w:val="0"/>
              <w:adjustRightInd w:val="0"/>
              <w:snapToGrid w:val="0"/>
              <w:spacing w:line="240" w:lineRule="atLeast"/>
              <w:ind w:left="0" w:leftChars="0" w:right="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695" w:type="dxa"/>
            <w:vAlign w:val="center"/>
          </w:tcPr>
          <w:p w14:paraId="20036D91">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3404" w:type="dxa"/>
          </w:tcPr>
          <w:p w14:paraId="21B19598">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vAlign w:val="center"/>
          </w:tcPr>
          <w:p w14:paraId="7AAE4316">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1D98FECC">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06541465">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32D5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D6BA14F">
            <w:pPr>
              <w:pStyle w:val="9"/>
              <w:pageBreakBefore w:val="0"/>
              <w:kinsoku/>
              <w:topLinePunct w:val="0"/>
              <w:bidi w:val="0"/>
              <w:adjustRightInd w:val="0"/>
              <w:snapToGrid w:val="0"/>
              <w:spacing w:line="240" w:lineRule="atLeast"/>
              <w:ind w:left="0" w:leftChars="0" w:right="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695" w:type="dxa"/>
            <w:vAlign w:val="center"/>
          </w:tcPr>
          <w:p w14:paraId="629B7849">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3404" w:type="dxa"/>
          </w:tcPr>
          <w:p w14:paraId="32DDFD2C">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vAlign w:val="center"/>
          </w:tcPr>
          <w:p w14:paraId="3111EC5F">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43CAFD3F">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32DE4E6B">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7A84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D6915CC">
            <w:pPr>
              <w:pStyle w:val="9"/>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95" w:type="dxa"/>
            <w:vAlign w:val="center"/>
          </w:tcPr>
          <w:p w14:paraId="505A397A">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3404" w:type="dxa"/>
          </w:tcPr>
          <w:p w14:paraId="4453E737">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vAlign w:val="center"/>
          </w:tcPr>
          <w:p w14:paraId="11DC1E83">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546EE68B">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4D055BE5">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5A4C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99DBA60">
            <w:pPr>
              <w:pStyle w:val="9"/>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695" w:type="dxa"/>
            <w:vAlign w:val="center"/>
          </w:tcPr>
          <w:p w14:paraId="3B384C5C">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3404" w:type="dxa"/>
          </w:tcPr>
          <w:p w14:paraId="5D64C8AA">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bookmarkStart w:id="125" w:name="_GoBack"/>
            <w:bookmarkEnd w:id="125"/>
          </w:p>
        </w:tc>
        <w:tc>
          <w:tcPr>
            <w:tcW w:w="1344" w:type="dxa"/>
            <w:vAlign w:val="center"/>
          </w:tcPr>
          <w:p w14:paraId="048137FC">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309E646C">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528A1AD0">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2712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B2F624E">
            <w:pPr>
              <w:pStyle w:val="9"/>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695" w:type="dxa"/>
            <w:vAlign w:val="center"/>
          </w:tcPr>
          <w:p w14:paraId="64229567">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3404" w:type="dxa"/>
          </w:tcPr>
          <w:p w14:paraId="61C8D1CD">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vAlign w:val="center"/>
          </w:tcPr>
          <w:p w14:paraId="5CF06DC5">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0E791369">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24F3E5E1">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0274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CBF6EE4">
            <w:pPr>
              <w:pStyle w:val="9"/>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695" w:type="dxa"/>
            <w:vAlign w:val="center"/>
          </w:tcPr>
          <w:p w14:paraId="19B10A41">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3404" w:type="dxa"/>
          </w:tcPr>
          <w:p w14:paraId="3F169C52">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vAlign w:val="center"/>
          </w:tcPr>
          <w:p w14:paraId="792C367F">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67769146">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2AA1FD20">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6AA8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5D0067B">
            <w:pPr>
              <w:pStyle w:val="9"/>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695" w:type="dxa"/>
            <w:vAlign w:val="center"/>
          </w:tcPr>
          <w:p w14:paraId="2D80CFE2">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3404" w:type="dxa"/>
          </w:tcPr>
          <w:p w14:paraId="38E41B79">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vAlign w:val="center"/>
          </w:tcPr>
          <w:p w14:paraId="07119389">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44" w:type="dxa"/>
          </w:tcPr>
          <w:p w14:paraId="0DE7F1C1">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6CB246C8">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1245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9042E1D">
            <w:pPr>
              <w:pStyle w:val="9"/>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695" w:type="dxa"/>
            <w:vAlign w:val="center"/>
          </w:tcPr>
          <w:p w14:paraId="1FBCF5FC">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各种税费</w:t>
            </w:r>
          </w:p>
        </w:tc>
        <w:tc>
          <w:tcPr>
            <w:tcW w:w="3404" w:type="dxa"/>
          </w:tcPr>
          <w:p w14:paraId="4A59F7F9">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vAlign w:val="center"/>
          </w:tcPr>
          <w:p w14:paraId="4369E11D">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44" w:type="dxa"/>
          </w:tcPr>
          <w:p w14:paraId="22B597E2">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74432023">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6DF8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9074D83">
            <w:pPr>
              <w:pStyle w:val="9"/>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695" w:type="dxa"/>
            <w:vAlign w:val="center"/>
          </w:tcPr>
          <w:p w14:paraId="4F8A24DA">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其他费用</w:t>
            </w:r>
          </w:p>
        </w:tc>
        <w:tc>
          <w:tcPr>
            <w:tcW w:w="3404" w:type="dxa"/>
          </w:tcPr>
          <w:p w14:paraId="7CE69311">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vAlign w:val="center"/>
          </w:tcPr>
          <w:p w14:paraId="40554E7E">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44" w:type="dxa"/>
          </w:tcPr>
          <w:p w14:paraId="75618750">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462C699E">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32E9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959F878">
            <w:pPr>
              <w:pStyle w:val="9"/>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695" w:type="dxa"/>
            <w:vAlign w:val="center"/>
          </w:tcPr>
          <w:p w14:paraId="4A492A00">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04" w:type="dxa"/>
          </w:tcPr>
          <w:p w14:paraId="789E39FA">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vAlign w:val="center"/>
          </w:tcPr>
          <w:p w14:paraId="2C80B211">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44" w:type="dxa"/>
          </w:tcPr>
          <w:p w14:paraId="25653B58">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c>
          <w:tcPr>
            <w:tcW w:w="1344" w:type="dxa"/>
          </w:tcPr>
          <w:p w14:paraId="546C1A72">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tc>
      </w:tr>
      <w:tr w14:paraId="4F5E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D32ED6E">
            <w:pPr>
              <w:pStyle w:val="9"/>
              <w:pageBreakBefore w:val="0"/>
              <w:kinsoku/>
              <w:topLinePunct w:val="0"/>
              <w:bidi w:val="0"/>
              <w:adjustRightInd w:val="0"/>
              <w:snapToGrid w:val="0"/>
              <w:spacing w:line="240" w:lineRule="atLeast"/>
              <w:ind w:left="0" w:leftChars="0" w:right="0"/>
              <w:jc w:val="center"/>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695" w:type="dxa"/>
            <w:vAlign w:val="center"/>
          </w:tcPr>
          <w:p w14:paraId="52024EDE">
            <w:pPr>
              <w:pageBreakBefore w:val="0"/>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总计</w:t>
            </w:r>
          </w:p>
        </w:tc>
        <w:tc>
          <w:tcPr>
            <w:tcW w:w="7436" w:type="dxa"/>
            <w:gridSpan w:val="4"/>
          </w:tcPr>
          <w:p w14:paraId="028418F9">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tc>
      </w:tr>
    </w:tbl>
    <w:p w14:paraId="76537CA9">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p>
    <w:p w14:paraId="1A9D12A6">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p>
    <w:p w14:paraId="232ED75A">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注：本表可根据项目实际情况调整，并逐页盖章。</w:t>
      </w:r>
    </w:p>
    <w:p w14:paraId="1EA13ADA">
      <w:pPr>
        <w:pStyle w:val="15"/>
        <w:pageBreakBefore w:val="0"/>
        <w:kinsoku/>
        <w:topLinePunct w:val="0"/>
        <w:bidi w:val="0"/>
        <w:adjustRightInd w:val="0"/>
        <w:snapToGrid w:val="0"/>
        <w:spacing w:line="240" w:lineRule="atLeast"/>
        <w:ind w:left="0" w:leftChars="0" w:right="0" w:firstLine="480"/>
        <w:textAlignment w:val="auto"/>
        <w:rPr>
          <w:rFonts w:ascii="仿宋" w:hAnsi="仿宋" w:eastAsia="仿宋" w:cs="仿宋"/>
          <w:color w:val="auto"/>
          <w:sz w:val="24"/>
          <w:szCs w:val="24"/>
          <w:highlight w:val="none"/>
        </w:rPr>
      </w:pPr>
    </w:p>
    <w:p w14:paraId="05AECC7D">
      <w:pPr>
        <w:pStyle w:val="15"/>
        <w:pageBreakBefore w:val="0"/>
        <w:kinsoku/>
        <w:topLinePunct w:val="0"/>
        <w:bidi w:val="0"/>
        <w:adjustRightInd w:val="0"/>
        <w:snapToGrid w:val="0"/>
        <w:spacing w:line="240" w:lineRule="atLeast"/>
        <w:ind w:left="0" w:leftChars="0" w:right="0" w:firstLine="48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88A2049">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3CCDCC3F">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502017D0">
      <w:pPr>
        <w:pageBreakBefore w:val="0"/>
        <w:kinsoku/>
        <w:topLinePunct w:val="0"/>
        <w:bidi w:val="0"/>
        <w:adjustRightInd w:val="0"/>
        <w:snapToGrid w:val="0"/>
        <w:spacing w:line="240" w:lineRule="atLeast"/>
        <w:ind w:left="0" w:leftChars="0" w:right="0" w:firstLine="6480" w:firstLineChars="27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FC45AF9">
      <w:pPr>
        <w:pageBreakBefore w:val="0"/>
        <w:kinsoku/>
        <w:topLinePunct w:val="0"/>
        <w:bidi w:val="0"/>
        <w:adjustRightInd w:val="0"/>
        <w:snapToGrid w:val="0"/>
        <w:spacing w:line="240" w:lineRule="atLeast"/>
        <w:ind w:left="0" w:leftChars="0" w:right="0" w:firstLine="420"/>
        <w:textAlignment w:val="auto"/>
        <w:rPr>
          <w:rFonts w:ascii="仿宋" w:hAnsi="仿宋" w:eastAsia="仿宋" w:cs="仿宋"/>
          <w:b/>
          <w:color w:val="auto"/>
          <w:sz w:val="24"/>
          <w:szCs w:val="24"/>
          <w:highlight w:val="none"/>
        </w:rPr>
      </w:pPr>
    </w:p>
    <w:p w14:paraId="70B7BF3D">
      <w:pPr>
        <w:pageBreakBefore w:val="0"/>
        <w:kinsoku/>
        <w:topLinePunct w:val="0"/>
        <w:bidi w:val="0"/>
        <w:adjustRightInd w:val="0"/>
        <w:snapToGrid w:val="0"/>
        <w:spacing w:line="240" w:lineRule="atLeast"/>
        <w:ind w:left="0" w:leftChars="0" w:right="0"/>
        <w:textAlignment w:val="auto"/>
        <w:rPr>
          <w:rFonts w:ascii="仿宋" w:hAnsi="仿宋" w:eastAsia="仿宋" w:cs="仿宋"/>
          <w:b/>
          <w:color w:val="auto"/>
          <w:sz w:val="24"/>
          <w:szCs w:val="24"/>
          <w:highlight w:val="none"/>
        </w:rPr>
      </w:pPr>
    </w:p>
    <w:p w14:paraId="38FB885A">
      <w:pPr>
        <w:pageBreakBefore w:val="0"/>
        <w:kinsoku/>
        <w:topLinePunct w:val="0"/>
        <w:bidi w:val="0"/>
        <w:adjustRightInd w:val="0"/>
        <w:snapToGrid w:val="0"/>
        <w:spacing w:line="240" w:lineRule="atLeast"/>
        <w:ind w:left="0" w:leftChars="0" w:right="0"/>
        <w:textAlignment w:val="auto"/>
        <w:rPr>
          <w:rFonts w:ascii="仿宋" w:hAnsi="仿宋" w:eastAsia="仿宋" w:cs="仿宋"/>
          <w:b/>
          <w:color w:val="auto"/>
          <w:sz w:val="24"/>
          <w:szCs w:val="24"/>
          <w:highlight w:val="none"/>
        </w:rPr>
      </w:pPr>
    </w:p>
    <w:p w14:paraId="5FACD83C">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p>
    <w:p w14:paraId="060E9EA1">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sectPr>
          <w:headerReference r:id="rId6" w:type="default"/>
          <w:footerReference r:id="rId7" w:type="default"/>
          <w:pgSz w:w="11907" w:h="16840"/>
          <w:pgMar w:top="1134" w:right="1418" w:bottom="1134" w:left="1418" w:header="964" w:footer="992" w:gutter="0"/>
          <w:pgNumType w:fmt="numberInDash"/>
          <w:cols w:space="720" w:num="1"/>
          <w:docGrid w:linePitch="312" w:charSpace="0"/>
        </w:sectPr>
      </w:pPr>
    </w:p>
    <w:p w14:paraId="6EBAA0E9">
      <w:pPr>
        <w:pStyle w:val="3"/>
        <w:pageBreakBefore w:val="0"/>
        <w:kinsoku/>
        <w:topLinePunct w:val="0"/>
        <w:bidi w:val="0"/>
        <w:adjustRightInd w:val="0"/>
        <w:snapToGrid w:val="0"/>
        <w:spacing w:before="0" w:after="0" w:line="240" w:lineRule="atLeast"/>
        <w:ind w:left="0" w:leftChars="0" w:right="0"/>
        <w:textAlignment w:val="auto"/>
        <w:rPr>
          <w:rFonts w:ascii="仿宋" w:hAnsi="仿宋" w:eastAsia="仿宋"/>
          <w:color w:val="auto"/>
          <w:sz w:val="24"/>
          <w:szCs w:val="24"/>
          <w:highlight w:val="none"/>
        </w:rPr>
      </w:pPr>
      <w:bookmarkStart w:id="115" w:name="_Toc487204798"/>
      <w:bookmarkStart w:id="116" w:name="_Toc486585241"/>
      <w:bookmarkStart w:id="117" w:name="_Toc9090"/>
      <w:bookmarkStart w:id="118" w:name="_Toc3192"/>
      <w:bookmarkStart w:id="119" w:name="_Toc486608278"/>
      <w:r>
        <w:rPr>
          <w:rFonts w:hint="eastAsia" w:ascii="仿宋" w:hAnsi="仿宋" w:eastAsia="仿宋"/>
          <w:color w:val="auto"/>
          <w:sz w:val="24"/>
          <w:szCs w:val="24"/>
          <w:highlight w:val="none"/>
        </w:rPr>
        <w:t>二、技术部分</w:t>
      </w:r>
      <w:bookmarkEnd w:id="115"/>
      <w:bookmarkEnd w:id="116"/>
      <w:bookmarkEnd w:id="117"/>
      <w:bookmarkEnd w:id="118"/>
      <w:bookmarkEnd w:id="119"/>
    </w:p>
    <w:p w14:paraId="7800AAA2">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（一）技术应答（格式自拟）</w:t>
      </w:r>
    </w:p>
    <w:p w14:paraId="4D0CD497">
      <w:pPr>
        <w:pStyle w:val="5"/>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55015879">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003561EF">
      <w:pPr>
        <w:pStyle w:val="5"/>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37CB5126">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7311833D">
      <w:pPr>
        <w:pStyle w:val="5"/>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4B779E73">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57FE7639">
      <w:pPr>
        <w:pStyle w:val="5"/>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6CFF8B2C">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121BCFAC">
      <w:pPr>
        <w:pStyle w:val="5"/>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6B24C6A1">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7E54DC9E">
      <w:pPr>
        <w:pStyle w:val="5"/>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2CEFD995">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5786079F">
      <w:pPr>
        <w:pStyle w:val="5"/>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745979DF">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060F8B32">
      <w:pPr>
        <w:pStyle w:val="5"/>
        <w:pageBreakBefore w:val="0"/>
        <w:kinsoku/>
        <w:topLinePunct w:val="0"/>
        <w:bidi w:val="0"/>
        <w:adjustRightInd w:val="0"/>
        <w:snapToGrid w:val="0"/>
        <w:spacing w:line="240" w:lineRule="atLeast"/>
        <w:ind w:left="0" w:leftChars="0" w:right="0"/>
        <w:textAlignment w:val="auto"/>
        <w:rPr>
          <w:rFonts w:ascii="仿宋" w:hAnsi="仿宋" w:eastAsia="仿宋"/>
          <w:color w:val="auto"/>
          <w:highlight w:val="none"/>
        </w:rPr>
      </w:pPr>
    </w:p>
    <w:p w14:paraId="52F9E407">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52D59692">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（二）技术响应偏离表</w:t>
      </w:r>
    </w:p>
    <w:p w14:paraId="2036FE38">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tbl>
      <w:tblPr>
        <w:tblStyle w:val="19"/>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7E7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AAE199D">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2658" w:type="dxa"/>
            <w:vAlign w:val="center"/>
          </w:tcPr>
          <w:p w14:paraId="6BB42B82">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采购需求</w:t>
            </w:r>
          </w:p>
        </w:tc>
        <w:tc>
          <w:tcPr>
            <w:tcW w:w="2759" w:type="dxa"/>
            <w:vAlign w:val="center"/>
          </w:tcPr>
          <w:p w14:paraId="4F8DF4CD">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响应情况</w:t>
            </w:r>
          </w:p>
        </w:tc>
        <w:tc>
          <w:tcPr>
            <w:tcW w:w="2067" w:type="dxa"/>
            <w:vAlign w:val="center"/>
          </w:tcPr>
          <w:p w14:paraId="77536F80">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差异说明</w:t>
            </w:r>
          </w:p>
        </w:tc>
      </w:tr>
      <w:tr w14:paraId="1B54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B1D9ED">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658" w:type="dxa"/>
            <w:vAlign w:val="center"/>
          </w:tcPr>
          <w:p w14:paraId="5CCC322A">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759" w:type="dxa"/>
            <w:vAlign w:val="center"/>
          </w:tcPr>
          <w:p w14:paraId="1A5FE620">
            <w:pPr>
              <w:pageBreakBefore w:val="0"/>
              <w:kinsoku/>
              <w:topLinePunct w:val="0"/>
              <w:bidi w:val="0"/>
              <w:adjustRightInd w:val="0"/>
              <w:snapToGrid w:val="0"/>
              <w:spacing w:line="240" w:lineRule="atLeast"/>
              <w:ind w:left="0" w:leftChars="0" w:right="0"/>
              <w:textAlignment w:val="auto"/>
              <w:rPr>
                <w:rFonts w:ascii="仿宋" w:hAnsi="仿宋" w:eastAsia="仿宋"/>
                <w:color w:val="auto"/>
                <w:highlight w:val="none"/>
              </w:rPr>
            </w:pPr>
            <w:bookmarkStart w:id="120" w:name="_Toc8080"/>
            <w:bookmarkStart w:id="121" w:name="_Toc30143"/>
            <w:r>
              <w:rPr>
                <w:rFonts w:hint="eastAsia" w:ascii="仿宋" w:hAnsi="仿宋" w:eastAsia="仿宋" w:cs="宋体"/>
                <w:color w:val="auto"/>
                <w:sz w:val="24"/>
                <w:highlight w:val="none"/>
              </w:rPr>
              <w:t>提醒：请注明技术参数或具体内容</w:t>
            </w:r>
            <w:bookmarkEnd w:id="120"/>
            <w:bookmarkEnd w:id="121"/>
          </w:p>
        </w:tc>
        <w:tc>
          <w:tcPr>
            <w:tcW w:w="2067" w:type="dxa"/>
            <w:vAlign w:val="center"/>
          </w:tcPr>
          <w:p w14:paraId="7F7B5A84">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r>
      <w:tr w14:paraId="3732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C82F01E">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658" w:type="dxa"/>
            <w:vAlign w:val="center"/>
          </w:tcPr>
          <w:p w14:paraId="7F57417E">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759" w:type="dxa"/>
            <w:vAlign w:val="center"/>
          </w:tcPr>
          <w:p w14:paraId="2F8FB39C">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067" w:type="dxa"/>
            <w:vAlign w:val="center"/>
          </w:tcPr>
          <w:p w14:paraId="7BD5C8E7">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r>
      <w:tr w14:paraId="3BED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9B3FBA">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658" w:type="dxa"/>
            <w:vAlign w:val="center"/>
          </w:tcPr>
          <w:p w14:paraId="4731C89D">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759" w:type="dxa"/>
            <w:vAlign w:val="center"/>
          </w:tcPr>
          <w:p w14:paraId="32B90508">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067" w:type="dxa"/>
            <w:vAlign w:val="center"/>
          </w:tcPr>
          <w:p w14:paraId="064E6908">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r>
      <w:tr w14:paraId="2975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B26D74B">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658" w:type="dxa"/>
            <w:vAlign w:val="center"/>
          </w:tcPr>
          <w:p w14:paraId="78C0A749">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759" w:type="dxa"/>
            <w:vAlign w:val="center"/>
          </w:tcPr>
          <w:p w14:paraId="07954135">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067" w:type="dxa"/>
            <w:vAlign w:val="center"/>
          </w:tcPr>
          <w:p w14:paraId="5EB41BB5">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r>
      <w:tr w14:paraId="40DD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943A0C">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658" w:type="dxa"/>
            <w:vAlign w:val="center"/>
          </w:tcPr>
          <w:p w14:paraId="43CB062F">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759" w:type="dxa"/>
            <w:vAlign w:val="center"/>
          </w:tcPr>
          <w:p w14:paraId="0BBA6E5E">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067" w:type="dxa"/>
            <w:vAlign w:val="center"/>
          </w:tcPr>
          <w:p w14:paraId="22717CD5">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r>
      <w:tr w14:paraId="1B09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996B60">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658" w:type="dxa"/>
            <w:vAlign w:val="center"/>
          </w:tcPr>
          <w:p w14:paraId="512962FD">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759" w:type="dxa"/>
            <w:vAlign w:val="center"/>
          </w:tcPr>
          <w:p w14:paraId="76C6672A">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067" w:type="dxa"/>
            <w:vAlign w:val="center"/>
          </w:tcPr>
          <w:p w14:paraId="18272236">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r>
      <w:tr w14:paraId="2576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EE68E6">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658" w:type="dxa"/>
            <w:vAlign w:val="center"/>
          </w:tcPr>
          <w:p w14:paraId="366AEB98">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759" w:type="dxa"/>
            <w:vAlign w:val="center"/>
          </w:tcPr>
          <w:p w14:paraId="37CB075E">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c>
          <w:tcPr>
            <w:tcW w:w="2067" w:type="dxa"/>
            <w:vAlign w:val="center"/>
          </w:tcPr>
          <w:p w14:paraId="5F54508A">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1"/>
                <w:highlight w:val="none"/>
              </w:rPr>
            </w:pPr>
          </w:p>
        </w:tc>
      </w:tr>
    </w:tbl>
    <w:p w14:paraId="6C387E33">
      <w:pPr>
        <w:pageBreakBefore w:val="0"/>
        <w:kinsoku/>
        <w:topLinePunct w:val="0"/>
        <w:bidi w:val="0"/>
        <w:adjustRightInd w:val="0"/>
        <w:snapToGrid w:val="0"/>
        <w:spacing w:line="240" w:lineRule="atLeast"/>
        <w:ind w:left="0" w:leftChars="0" w:right="0"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供应商：                                      法定代表人授权代表：</w:t>
      </w:r>
    </w:p>
    <w:p w14:paraId="2930EB15">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highlight w:val="none"/>
        </w:rPr>
      </w:pPr>
    </w:p>
    <w:p w14:paraId="678F6195">
      <w:pPr>
        <w:pageBreakBefore w:val="0"/>
        <w:kinsoku/>
        <w:topLinePunct w:val="0"/>
        <w:bidi w:val="0"/>
        <w:adjustRightInd w:val="0"/>
        <w:snapToGrid w:val="0"/>
        <w:spacing w:line="240" w:lineRule="atLeast"/>
        <w:ind w:left="0" w:leftChars="0" w:right="0" w:firstLine="720" w:firstLineChars="30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（供应商公章）                               （签字或盖章）</w:t>
      </w:r>
    </w:p>
    <w:p w14:paraId="0AEAC315">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年     月     日</w:t>
      </w:r>
    </w:p>
    <w:p w14:paraId="679ED904">
      <w:pPr>
        <w:pageBreakBefore w:val="0"/>
        <w:kinsoku/>
        <w:topLinePunct w:val="0"/>
        <w:bidi w:val="0"/>
        <w:adjustRightInd w:val="0"/>
        <w:snapToGrid w:val="0"/>
        <w:spacing w:line="240" w:lineRule="atLeast"/>
        <w:ind w:left="0" w:leftChars="0" w:right="0"/>
        <w:textAlignment w:val="auto"/>
        <w:rPr>
          <w:rFonts w:ascii="仿宋" w:hAnsi="仿宋" w:eastAsia="仿宋" w:cs="仿宋"/>
          <w:b/>
          <w:color w:val="auto"/>
          <w:sz w:val="24"/>
          <w:szCs w:val="24"/>
          <w:highlight w:val="none"/>
        </w:rPr>
      </w:pPr>
    </w:p>
    <w:p w14:paraId="0D1319E4">
      <w:pPr>
        <w:pStyle w:val="3"/>
        <w:pageBreakBefore w:val="0"/>
        <w:kinsoku/>
        <w:topLinePunct w:val="0"/>
        <w:bidi w:val="0"/>
        <w:adjustRightInd w:val="0"/>
        <w:snapToGrid w:val="0"/>
        <w:spacing w:before="0" w:after="0" w:line="240" w:lineRule="atLeast"/>
        <w:ind w:left="0" w:leftChars="0" w:right="0"/>
        <w:jc w:val="left"/>
        <w:textAlignment w:val="auto"/>
        <w:rPr>
          <w:rFonts w:ascii="仿宋" w:hAnsi="仿宋" w:eastAsia="仿宋" w:cs="仿宋"/>
          <w:color w:val="auto"/>
          <w:sz w:val="24"/>
          <w:szCs w:val="24"/>
          <w:highlight w:val="none"/>
        </w:rPr>
      </w:pPr>
    </w:p>
    <w:p w14:paraId="2F254FB8">
      <w:pPr>
        <w:rPr>
          <w:rFonts w:ascii="仿宋" w:hAnsi="仿宋" w:eastAsia="仿宋" w:cs="仿宋"/>
          <w:color w:val="auto"/>
          <w:sz w:val="24"/>
          <w:szCs w:val="24"/>
          <w:highlight w:val="none"/>
        </w:rPr>
      </w:pPr>
    </w:p>
    <w:p w14:paraId="7ABEF68A">
      <w:pPr>
        <w:rPr>
          <w:rFonts w:ascii="仿宋" w:hAnsi="仿宋" w:eastAsia="仿宋" w:cs="仿宋"/>
          <w:color w:val="auto"/>
          <w:sz w:val="24"/>
          <w:szCs w:val="24"/>
          <w:highlight w:val="none"/>
        </w:rPr>
      </w:pPr>
    </w:p>
    <w:p w14:paraId="22C0A29B">
      <w:pPr>
        <w:rPr>
          <w:rFonts w:ascii="仿宋" w:hAnsi="仿宋" w:eastAsia="仿宋" w:cs="仿宋"/>
          <w:color w:val="auto"/>
          <w:sz w:val="24"/>
          <w:szCs w:val="24"/>
          <w:highlight w:val="none"/>
        </w:rPr>
      </w:pPr>
    </w:p>
    <w:p w14:paraId="6281AFF9">
      <w:pPr>
        <w:rPr>
          <w:rFonts w:ascii="仿宋" w:hAnsi="仿宋" w:eastAsia="仿宋" w:cs="仿宋"/>
          <w:color w:val="auto"/>
          <w:sz w:val="24"/>
          <w:szCs w:val="24"/>
          <w:highlight w:val="none"/>
        </w:rPr>
      </w:pPr>
    </w:p>
    <w:p w14:paraId="1569F464">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三、商务部分</w:t>
      </w:r>
    </w:p>
    <w:p w14:paraId="4BAE3C32">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（一）服务要求响应情况</w:t>
      </w:r>
    </w:p>
    <w:p w14:paraId="28C80089">
      <w:pPr>
        <w:pStyle w:val="5"/>
        <w:pageBreakBefore w:val="0"/>
        <w:kinsoku/>
        <w:topLinePunct w:val="0"/>
        <w:bidi w:val="0"/>
        <w:adjustRightInd w:val="0"/>
        <w:snapToGrid w:val="0"/>
        <w:spacing w:line="240" w:lineRule="atLeast"/>
        <w:ind w:left="0" w:leftChars="0" w:right="0"/>
        <w:textAlignment w:val="auto"/>
        <w:rPr>
          <w:rFonts w:ascii="仿宋" w:hAnsi="仿宋" w:eastAsia="仿宋"/>
          <w:color w:val="auto"/>
          <w:highlight w:val="none"/>
        </w:rPr>
      </w:pPr>
      <w:r>
        <w:rPr>
          <w:rFonts w:hint="eastAsia" w:ascii="仿宋" w:hAnsi="仿宋" w:eastAsia="仿宋" w:cs="宋体"/>
          <w:color w:val="auto"/>
          <w:sz w:val="24"/>
          <w:szCs w:val="24"/>
          <w:highlight w:val="none"/>
        </w:rPr>
        <w:t>（格式自拟）</w:t>
      </w:r>
    </w:p>
    <w:p w14:paraId="789AD8FC">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18397514">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E002D16">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18AAE488">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343C3C59">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BA836A3">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19E9403F">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2B68A23">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1BAC100">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36244EF1">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21CF64C">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567AB89D">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7593347B">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7D61FBC2">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7126B289">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598E54A4">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A9A39CD">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11DAD2C">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（二）商务响应偏离表</w:t>
      </w:r>
    </w:p>
    <w:p w14:paraId="355DE3AD">
      <w:pPr>
        <w:pageBreakBefore w:val="0"/>
        <w:kinsoku/>
        <w:topLinePunct w:val="0"/>
        <w:bidi w:val="0"/>
        <w:adjustRightInd w:val="0"/>
        <w:snapToGrid w:val="0"/>
        <w:spacing w:line="240" w:lineRule="atLeast"/>
        <w:ind w:left="0" w:leftChars="0" w:right="0"/>
        <w:jc w:val="center"/>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商务响应偏离表</w:t>
      </w:r>
    </w:p>
    <w:p w14:paraId="5E3EADD3">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对于竞采邀请书的商务要求，如有任何偏离请如实填写下表：</w:t>
      </w:r>
    </w:p>
    <w:tbl>
      <w:tblPr>
        <w:tblStyle w:val="19"/>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391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2BD3F669">
            <w:pPr>
              <w:pageBreakBefore w:val="0"/>
              <w:kinsoku/>
              <w:topLinePunct w:val="0"/>
              <w:bidi w:val="0"/>
              <w:adjustRightInd w:val="0"/>
              <w:snapToGrid w:val="0"/>
              <w:spacing w:line="240" w:lineRule="atLeast"/>
              <w:ind w:left="0" w:leftChars="0" w:right="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179" w:type="dxa"/>
            <w:vAlign w:val="center"/>
          </w:tcPr>
          <w:p w14:paraId="58BA8954">
            <w:pPr>
              <w:pageBreakBefore w:val="0"/>
              <w:kinsoku/>
              <w:topLinePunct w:val="0"/>
              <w:bidi w:val="0"/>
              <w:adjustRightInd w:val="0"/>
              <w:snapToGrid w:val="0"/>
              <w:spacing w:line="240" w:lineRule="atLeast"/>
              <w:ind w:left="0" w:leftChars="0" w:right="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竞采项目需求</w:t>
            </w:r>
          </w:p>
        </w:tc>
        <w:tc>
          <w:tcPr>
            <w:tcW w:w="2434" w:type="dxa"/>
            <w:vAlign w:val="center"/>
          </w:tcPr>
          <w:p w14:paraId="00922925">
            <w:pPr>
              <w:pageBreakBefore w:val="0"/>
              <w:kinsoku/>
              <w:topLinePunct w:val="0"/>
              <w:bidi w:val="0"/>
              <w:adjustRightInd w:val="0"/>
              <w:snapToGrid w:val="0"/>
              <w:spacing w:line="240" w:lineRule="atLeast"/>
              <w:ind w:left="0" w:leftChars="0" w:right="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响应情况</w:t>
            </w:r>
          </w:p>
        </w:tc>
        <w:tc>
          <w:tcPr>
            <w:tcW w:w="2355" w:type="dxa"/>
            <w:vAlign w:val="center"/>
          </w:tcPr>
          <w:p w14:paraId="665F3EB6">
            <w:pPr>
              <w:pageBreakBefore w:val="0"/>
              <w:kinsoku/>
              <w:topLinePunct w:val="0"/>
              <w:bidi w:val="0"/>
              <w:adjustRightInd w:val="0"/>
              <w:snapToGrid w:val="0"/>
              <w:spacing w:line="240" w:lineRule="atLeast"/>
              <w:ind w:left="0" w:leftChars="0" w:right="0"/>
              <w:jc w:val="center"/>
              <w:textAlignment w:val="auto"/>
              <w:rPr>
                <w:rFonts w:ascii="仿宋" w:hAnsi="仿宋" w:eastAsia="仿宋"/>
                <w:color w:val="auto"/>
                <w:sz w:val="24"/>
                <w:szCs w:val="24"/>
                <w:highlight w:val="none"/>
              </w:rPr>
            </w:pPr>
            <w:r>
              <w:rPr>
                <w:rFonts w:hint="eastAsia" w:ascii="仿宋" w:hAnsi="仿宋" w:eastAsia="仿宋" w:cs="宋体"/>
                <w:color w:val="auto"/>
                <w:sz w:val="24"/>
                <w:highlight w:val="none"/>
              </w:rPr>
              <w:t>差异说明</w:t>
            </w:r>
          </w:p>
        </w:tc>
      </w:tr>
      <w:tr w14:paraId="4BF9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AD8BAC">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3179" w:type="dxa"/>
            <w:vAlign w:val="center"/>
          </w:tcPr>
          <w:p w14:paraId="3FA01548">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434" w:type="dxa"/>
            <w:vAlign w:val="center"/>
          </w:tcPr>
          <w:p w14:paraId="69A0CFA4">
            <w:pPr>
              <w:pageBreakBefore w:val="0"/>
              <w:kinsoku/>
              <w:topLinePunct w:val="0"/>
              <w:bidi w:val="0"/>
              <w:adjustRightInd w:val="0"/>
              <w:snapToGrid w:val="0"/>
              <w:spacing w:line="240" w:lineRule="atLeast"/>
              <w:ind w:left="0" w:leftChars="0" w:right="0"/>
              <w:textAlignment w:val="auto"/>
              <w:rPr>
                <w:rFonts w:ascii="仿宋" w:hAnsi="仿宋" w:eastAsia="仿宋"/>
                <w:color w:val="auto"/>
                <w:highlight w:val="none"/>
              </w:rPr>
            </w:pPr>
            <w:bookmarkStart w:id="122" w:name="_Toc25144"/>
            <w:bookmarkStart w:id="123" w:name="_Toc4318"/>
            <w:r>
              <w:rPr>
                <w:rFonts w:hint="eastAsia" w:ascii="仿宋" w:hAnsi="仿宋" w:eastAsia="仿宋"/>
                <w:color w:val="auto"/>
                <w:sz w:val="24"/>
                <w:szCs w:val="24"/>
                <w:highlight w:val="none"/>
              </w:rPr>
              <w:t>提醒：请注明具体内容</w:t>
            </w:r>
            <w:bookmarkEnd w:id="122"/>
            <w:bookmarkEnd w:id="123"/>
          </w:p>
        </w:tc>
        <w:tc>
          <w:tcPr>
            <w:tcW w:w="2355" w:type="dxa"/>
            <w:vAlign w:val="center"/>
          </w:tcPr>
          <w:p w14:paraId="634D9EF2">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r>
      <w:tr w14:paraId="1D9A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36994B7">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3179" w:type="dxa"/>
            <w:vAlign w:val="center"/>
          </w:tcPr>
          <w:p w14:paraId="6AFCF9C3">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434" w:type="dxa"/>
            <w:vAlign w:val="center"/>
          </w:tcPr>
          <w:p w14:paraId="4AF94642">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355" w:type="dxa"/>
            <w:vAlign w:val="center"/>
          </w:tcPr>
          <w:p w14:paraId="5C6F4107">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r>
      <w:tr w14:paraId="01B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09E39E">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3179" w:type="dxa"/>
            <w:vAlign w:val="center"/>
          </w:tcPr>
          <w:p w14:paraId="328EF650">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434" w:type="dxa"/>
            <w:vAlign w:val="center"/>
          </w:tcPr>
          <w:p w14:paraId="0DB3981A">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355" w:type="dxa"/>
            <w:vAlign w:val="center"/>
          </w:tcPr>
          <w:p w14:paraId="701A96D9">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r>
      <w:tr w14:paraId="0E68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D383ED">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3179" w:type="dxa"/>
            <w:vAlign w:val="center"/>
          </w:tcPr>
          <w:p w14:paraId="66C9C182">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434" w:type="dxa"/>
            <w:vAlign w:val="center"/>
          </w:tcPr>
          <w:p w14:paraId="7054B2C7">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355" w:type="dxa"/>
            <w:vAlign w:val="center"/>
          </w:tcPr>
          <w:p w14:paraId="07E3E557">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r>
      <w:tr w14:paraId="680D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3813B8B">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3179" w:type="dxa"/>
            <w:vAlign w:val="center"/>
          </w:tcPr>
          <w:p w14:paraId="6992D6D5">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434" w:type="dxa"/>
            <w:vAlign w:val="center"/>
          </w:tcPr>
          <w:p w14:paraId="4F216286">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355" w:type="dxa"/>
            <w:vAlign w:val="center"/>
          </w:tcPr>
          <w:p w14:paraId="4A987B02">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r>
      <w:tr w14:paraId="32D9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2BCF58">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3179" w:type="dxa"/>
            <w:vAlign w:val="center"/>
          </w:tcPr>
          <w:p w14:paraId="3ACFF610">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434" w:type="dxa"/>
            <w:vAlign w:val="center"/>
          </w:tcPr>
          <w:p w14:paraId="3977FD5C">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c>
          <w:tcPr>
            <w:tcW w:w="2355" w:type="dxa"/>
            <w:vAlign w:val="center"/>
          </w:tcPr>
          <w:p w14:paraId="171E53C0">
            <w:pPr>
              <w:pageBreakBefore w:val="0"/>
              <w:tabs>
                <w:tab w:val="left" w:pos="6300"/>
              </w:tabs>
              <w:kinsoku/>
              <w:topLinePunct w:val="0"/>
              <w:bidi w:val="0"/>
              <w:adjustRightInd w:val="0"/>
              <w:snapToGrid w:val="0"/>
              <w:spacing w:line="240" w:lineRule="atLeast"/>
              <w:ind w:left="0" w:leftChars="0" w:right="0"/>
              <w:jc w:val="center"/>
              <w:textAlignment w:val="auto"/>
              <w:outlineLvl w:val="0"/>
              <w:rPr>
                <w:rFonts w:ascii="仿宋" w:hAnsi="仿宋" w:eastAsia="仿宋" w:cs="宋体"/>
                <w:color w:val="auto"/>
                <w:sz w:val="21"/>
                <w:szCs w:val="24"/>
                <w:highlight w:val="none"/>
              </w:rPr>
            </w:pPr>
          </w:p>
        </w:tc>
      </w:tr>
    </w:tbl>
    <w:p w14:paraId="55EE7DA9">
      <w:pPr>
        <w:pageBreakBefore w:val="0"/>
        <w:kinsoku/>
        <w:topLinePunct w:val="0"/>
        <w:bidi w:val="0"/>
        <w:adjustRightInd w:val="0"/>
        <w:snapToGrid w:val="0"/>
        <w:spacing w:line="240" w:lineRule="atLeast"/>
        <w:ind w:left="0" w:leftChars="0" w:right="0"/>
        <w:textAlignment w:val="auto"/>
        <w:rPr>
          <w:rFonts w:ascii="仿宋" w:hAnsi="仿宋" w:eastAsia="仿宋" w:cs="宋体"/>
          <w:color w:val="auto"/>
          <w:sz w:val="24"/>
          <w:szCs w:val="24"/>
          <w:highlight w:val="none"/>
        </w:rPr>
      </w:pPr>
    </w:p>
    <w:p w14:paraId="69F08A47">
      <w:pPr>
        <w:pageBreakBefore w:val="0"/>
        <w:kinsoku/>
        <w:topLinePunct w:val="0"/>
        <w:bidi w:val="0"/>
        <w:adjustRightInd w:val="0"/>
        <w:snapToGrid w:val="0"/>
        <w:spacing w:line="240" w:lineRule="atLeast"/>
        <w:ind w:left="0" w:leftChars="0" w:right="0"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供应商：                                      法定代表人授权代表：</w:t>
      </w:r>
    </w:p>
    <w:p w14:paraId="5DC80B58">
      <w:pPr>
        <w:pageBreakBefore w:val="0"/>
        <w:kinsoku/>
        <w:topLinePunct w:val="0"/>
        <w:bidi w:val="0"/>
        <w:adjustRightInd w:val="0"/>
        <w:snapToGrid w:val="0"/>
        <w:spacing w:line="240" w:lineRule="atLeast"/>
        <w:ind w:left="0" w:leftChars="0" w:right="0" w:firstLine="360" w:firstLineChars="1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（供应商公章）                                 （签字或盖章）</w:t>
      </w:r>
    </w:p>
    <w:p w14:paraId="35AD57EB">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年     月     日</w:t>
      </w:r>
    </w:p>
    <w:p w14:paraId="112C0508">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br w:type="page"/>
      </w:r>
      <w:r>
        <w:rPr>
          <w:rFonts w:hint="eastAsia" w:ascii="仿宋" w:hAnsi="仿宋" w:eastAsia="仿宋"/>
          <w:color w:val="auto"/>
          <w:sz w:val="24"/>
          <w:szCs w:val="24"/>
          <w:highlight w:val="none"/>
        </w:rPr>
        <w:t>（三）其它优惠承诺（格式自定）</w:t>
      </w:r>
    </w:p>
    <w:p w14:paraId="5901D83A">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3C18A73A">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69EDE6A4">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62112D6A">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51619D31">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5968BCA6">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711C03F1">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4763E7A3">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00DB8E88">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14D28AA3">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40E79C55">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104563C6">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306D4AAE">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53B0077D">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6AC8D36F">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11D8A125">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71BB6620">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16145ABE">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5EBF58AC">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1B442789">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115F3077">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27922C3B">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04939550">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3D285764">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62326E78">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0511755C">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085784EA">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2672CFAD">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283B7CBD">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18F17ECB">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11F2A6B1">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3A56CA21">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7EAB2416">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5CD5810F">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6A250F72">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66F017B1">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4ECE8EF4">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758A0B6A">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316EE8A1">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6CF5C9FF">
      <w:pPr>
        <w:pStyle w:val="5"/>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57C647C2">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3B75AEE4">
      <w:pPr>
        <w:pStyle w:val="5"/>
        <w:pageBreakBefore w:val="0"/>
        <w:kinsoku/>
        <w:topLinePunct w:val="0"/>
        <w:bidi w:val="0"/>
        <w:adjustRightInd w:val="0"/>
        <w:snapToGrid w:val="0"/>
        <w:spacing w:line="240" w:lineRule="atLeast"/>
        <w:ind w:left="0" w:leftChars="0" w:right="0"/>
        <w:textAlignment w:val="auto"/>
        <w:rPr>
          <w:rFonts w:ascii="仿宋" w:hAnsi="仿宋" w:eastAsia="仿宋"/>
          <w:color w:val="auto"/>
          <w:highlight w:val="none"/>
        </w:rPr>
      </w:pPr>
    </w:p>
    <w:p w14:paraId="6E2C71D3">
      <w:pPr>
        <w:pStyle w:val="3"/>
        <w:pageBreakBefore w:val="0"/>
        <w:kinsoku/>
        <w:topLinePunct w:val="0"/>
        <w:bidi w:val="0"/>
        <w:adjustRightInd w:val="0"/>
        <w:snapToGrid w:val="0"/>
        <w:spacing w:before="0" w:after="0" w:line="240" w:lineRule="atLeast"/>
        <w:ind w:left="0" w:leftChars="0" w:right="0"/>
        <w:textAlignment w:val="auto"/>
        <w:rPr>
          <w:rFonts w:ascii="仿宋" w:hAnsi="仿宋" w:eastAsia="仿宋" w:cs="仿宋"/>
          <w:color w:val="auto"/>
          <w:sz w:val="24"/>
          <w:szCs w:val="24"/>
          <w:highlight w:val="none"/>
        </w:rPr>
      </w:pPr>
    </w:p>
    <w:p w14:paraId="1BE31961">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1529C75B">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60F23699">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四、资格条件及其他</w:t>
      </w:r>
    </w:p>
    <w:p w14:paraId="7A1FDAE4">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14:paraId="4F1D378A">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536233F3">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3C74D939">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7CD06F00">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306F980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2DAEAA46">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5B927A1B">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111767AB">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78F872B7">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03BB6A2B">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7004693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3CB05DD6">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1D3F3A0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018FFCD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7ECA4BA4">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3B59752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39073C28">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0EED5972">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4C0C3117">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2944DB12">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43BDFF9E">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2B740093">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75F2D9CD">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623478D2">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olor w:val="auto"/>
          <w:sz w:val="24"/>
          <w:szCs w:val="24"/>
          <w:highlight w:val="none"/>
        </w:rPr>
      </w:pPr>
    </w:p>
    <w:p w14:paraId="44097333">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A203786">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b/>
          <w:bCs/>
          <w:color w:val="auto"/>
          <w:sz w:val="24"/>
          <w:szCs w:val="24"/>
          <w:highlight w:val="none"/>
        </w:rPr>
      </w:pPr>
    </w:p>
    <w:p w14:paraId="72693D94">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b/>
          <w:bCs/>
          <w:color w:val="auto"/>
          <w:sz w:val="24"/>
          <w:szCs w:val="24"/>
          <w:highlight w:val="none"/>
        </w:rPr>
      </w:pPr>
    </w:p>
    <w:p w14:paraId="5C824088">
      <w:pPr>
        <w:pageBreakBefore w:val="0"/>
        <w:kinsoku/>
        <w:topLinePunct w:val="0"/>
        <w:bidi w:val="0"/>
        <w:adjustRightInd w:val="0"/>
        <w:snapToGrid w:val="0"/>
        <w:spacing w:line="240" w:lineRule="atLeast"/>
        <w:ind w:left="0" w:leftChars="0" w:right="0"/>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6B4E00D2">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bookmarkStart w:id="124" w:name="_Hlk27399531"/>
      <w:r>
        <w:rPr>
          <w:rFonts w:hint="eastAsia" w:ascii="仿宋" w:hAnsi="仿宋" w:eastAsia="仿宋" w:cs="仿宋"/>
          <w:color w:val="auto"/>
          <w:sz w:val="24"/>
          <w:szCs w:val="24"/>
          <w:highlight w:val="none"/>
        </w:rPr>
        <w:t>（二）法定代表人身份证明书（格式）/法定代表人授权委托书（格式）（二选一）</w:t>
      </w:r>
    </w:p>
    <w:p w14:paraId="20FEF843">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68A625F0">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法定代表人授权委托书</w:t>
      </w:r>
    </w:p>
    <w:p w14:paraId="6032E7B4">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p>
    <w:p w14:paraId="0D3E1C0C">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代表我单位全权办理上述项目的竞采、签约等具体工作，并签署全部有关文件、协议及合同。</w:t>
      </w:r>
    </w:p>
    <w:p w14:paraId="4E4B882D">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1EEB2F96">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39374467">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1043AFC3">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78E95972">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法定代表人：</w:t>
      </w:r>
    </w:p>
    <w:p w14:paraId="1C6A439C">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2DDA4216">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63CB8681">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39C5EB7A">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3B69C086">
      <w:pPr>
        <w:pageBreakBefore w:val="0"/>
        <w:tabs>
          <w:tab w:val="left" w:pos="6300"/>
        </w:tabs>
        <w:kinsoku/>
        <w:topLinePunct w:val="0"/>
        <w:bidi w:val="0"/>
        <w:adjustRightInd w:val="0"/>
        <w:snapToGrid w:val="0"/>
        <w:spacing w:line="240" w:lineRule="atLeast"/>
        <w:ind w:left="0" w:leftChars="0" w:right="0" w:firstLine="570"/>
        <w:jc w:val="righ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供应商名称（公章）</w:t>
      </w:r>
    </w:p>
    <w:p w14:paraId="74A22B3E">
      <w:pPr>
        <w:pageBreakBefore w:val="0"/>
        <w:tabs>
          <w:tab w:val="left" w:pos="6300"/>
        </w:tabs>
        <w:kinsoku/>
        <w:topLinePunct w:val="0"/>
        <w:bidi w:val="0"/>
        <w:adjustRightInd w:val="0"/>
        <w:snapToGrid w:val="0"/>
        <w:spacing w:line="240" w:lineRule="atLeast"/>
        <w:ind w:left="0" w:leftChars="0" w:right="0" w:firstLine="570"/>
        <w:jc w:val="righ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B3BFD9C">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50CD07A">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02C9A6C9">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法定代表人身份证明书</w:t>
      </w:r>
    </w:p>
    <w:p w14:paraId="613A98AD">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p>
    <w:p w14:paraId="22B6B1C2">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（法定代表人名称及身份证代码）是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代表我单位全权办理上述项目的竞采、签约等具体工作，并签署全部有关文件、协议及合同。签字负全部责任。</w:t>
      </w:r>
    </w:p>
    <w:p w14:paraId="445534D1">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14C7586F">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13A6CCB0">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                          供应商名称（公章）</w:t>
      </w:r>
    </w:p>
    <w:p w14:paraId="5B7285BF">
      <w:pPr>
        <w:pageBreakBefore w:val="0"/>
        <w:tabs>
          <w:tab w:val="left" w:pos="6300"/>
        </w:tabs>
        <w:kinsoku/>
        <w:topLinePunct w:val="0"/>
        <w:bidi w:val="0"/>
        <w:adjustRightInd w:val="0"/>
        <w:snapToGrid w:val="0"/>
        <w:spacing w:line="240" w:lineRule="atLeast"/>
        <w:ind w:left="0" w:leftChars="0" w:right="0" w:firstLine="570"/>
        <w:jc w:val="righ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CAB2422">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14:paraId="1061F1BA">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12D6403B">
      <w:pPr>
        <w:pageBreakBefore w:val="0"/>
        <w:tabs>
          <w:tab w:val="left" w:pos="6300"/>
        </w:tabs>
        <w:kinsoku/>
        <w:topLinePunct w:val="0"/>
        <w:bidi w:val="0"/>
        <w:adjustRightInd w:val="0"/>
        <w:snapToGrid w:val="0"/>
        <w:spacing w:line="240" w:lineRule="atLeast"/>
        <w:ind w:left="0" w:leftChars="0" w:right="0" w:firstLine="570"/>
        <w:textAlignment w:val="auto"/>
        <w:rPr>
          <w:rFonts w:ascii="仿宋" w:hAnsi="仿宋" w:eastAsia="仿宋" w:cs="仿宋"/>
          <w:color w:val="auto"/>
          <w:sz w:val="24"/>
          <w:szCs w:val="24"/>
          <w:highlight w:val="none"/>
        </w:rPr>
      </w:pPr>
    </w:p>
    <w:p w14:paraId="0644A9D7">
      <w:pPr>
        <w:pageBreakBefore w:val="0"/>
        <w:widowControl/>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78A12E3D">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51B8AFE7">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7A428EEE">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10FB061">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BA25B08">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556EFEF1">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518C6428">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6FD84176">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56663F6">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6EB6FB71">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5EAE4A9B">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31EA43E6">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137F4E66">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（三）基本资格条件承诺函</w:t>
      </w:r>
    </w:p>
    <w:p w14:paraId="419996E2">
      <w:pPr>
        <w:pageBreakBefore w:val="0"/>
        <w:widowControl/>
        <w:kinsoku/>
        <w:topLinePunct w:val="0"/>
        <w:bidi w:val="0"/>
        <w:adjustRightInd w:val="0"/>
        <w:snapToGrid w:val="0"/>
        <w:spacing w:line="240" w:lineRule="atLeast"/>
        <w:ind w:left="0" w:leftChars="0" w:right="0"/>
        <w:jc w:val="left"/>
        <w:textAlignment w:val="auto"/>
        <w:rPr>
          <w:rFonts w:ascii="仿宋" w:hAnsi="仿宋" w:eastAsia="仿宋" w:cs="仿宋"/>
          <w:color w:val="auto"/>
          <w:sz w:val="24"/>
          <w:szCs w:val="24"/>
          <w:highlight w:val="none"/>
        </w:rPr>
      </w:pPr>
    </w:p>
    <w:p w14:paraId="24B524EC">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14:paraId="5D0A6E2E">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43F1E1C3">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采购代理机构名称）：</w:t>
      </w:r>
    </w:p>
    <w:p w14:paraId="7E53309A">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（供应商名称）郑重承诺：</w:t>
      </w:r>
    </w:p>
    <w:p w14:paraId="5644922F">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1C6A2249">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68DB9C1">
      <w:pPr>
        <w:pageBreakBefore w:val="0"/>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3A33C19C">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379C9E03">
      <w:pPr>
        <w:pageBreakBefore w:val="0"/>
        <w:tabs>
          <w:tab w:val="left" w:pos="6300"/>
        </w:tabs>
        <w:kinsoku/>
        <w:topLinePunct w:val="0"/>
        <w:bidi w:val="0"/>
        <w:adjustRightInd w:val="0"/>
        <w:snapToGrid w:val="0"/>
        <w:spacing w:line="240" w:lineRule="atLeast"/>
        <w:ind w:left="0" w:leftChars="0" w:righ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68B0A13">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37B24C4F">
      <w:pPr>
        <w:pageBreakBefore w:val="0"/>
        <w:tabs>
          <w:tab w:val="left" w:pos="6300"/>
        </w:tabs>
        <w:kinsoku/>
        <w:topLinePunct w:val="0"/>
        <w:bidi w:val="0"/>
        <w:adjustRightInd w:val="0"/>
        <w:snapToGrid w:val="0"/>
        <w:spacing w:line="240" w:lineRule="atLeast"/>
        <w:ind w:left="0" w:leftChars="0" w:right="0" w:firstLine="570"/>
        <w:jc w:val="righ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5A74CC11">
      <w:pPr>
        <w:pageBreakBefore w:val="0"/>
        <w:tabs>
          <w:tab w:val="left" w:pos="6300"/>
        </w:tabs>
        <w:kinsoku/>
        <w:topLinePunct w:val="0"/>
        <w:bidi w:val="0"/>
        <w:adjustRightInd w:val="0"/>
        <w:snapToGrid w:val="0"/>
        <w:spacing w:line="240" w:lineRule="atLeast"/>
        <w:ind w:left="0" w:leftChars="0" w:right="0" w:firstLine="570"/>
        <w:jc w:val="righ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1173357">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3B74DDDE">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80889D8">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328B25F0">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30FF1427">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54960BCF">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6EF7E5BA">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45A21DBF">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6A19E1D">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39AB708C">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45184EAF">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43D802D">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40E685C">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5F0B9A8F">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66E9023C">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A484971">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6820A729">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3E30A079">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16C5C71E">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66F67AB5">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DBCA659">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2DCC4A44">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4CA14619">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2F1FEF0">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D67D14B">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E1D7405">
      <w:pPr>
        <w:pageBreakBefore w:val="0"/>
        <w:kinsoku/>
        <w:topLinePunct w:val="0"/>
        <w:bidi w:val="0"/>
        <w:adjustRightInd w:val="0"/>
        <w:snapToGrid w:val="0"/>
        <w:spacing w:line="240" w:lineRule="atLeast"/>
        <w:ind w:left="0" w:leftChars="0" w:right="0"/>
        <w:textAlignment w:val="auto"/>
        <w:rPr>
          <w:rFonts w:ascii="仿宋" w:hAnsi="仿宋" w:eastAsia="仿宋"/>
          <w:color w:val="auto"/>
          <w:sz w:val="24"/>
          <w:szCs w:val="24"/>
          <w:highlight w:val="none"/>
        </w:rPr>
      </w:pPr>
    </w:p>
    <w:p w14:paraId="07D0305B">
      <w:pPr>
        <w:pageBreakBefore w:val="0"/>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r>
        <w:rPr>
          <w:rFonts w:hint="eastAsia" w:ascii="仿宋" w:hAnsi="仿宋" w:eastAsia="仿宋"/>
          <w:color w:val="auto"/>
          <w:sz w:val="24"/>
          <w:szCs w:val="24"/>
          <w:highlight w:val="none"/>
        </w:rPr>
        <w:t>（四）特定资格条件证书或证明文件</w:t>
      </w:r>
    </w:p>
    <w:p w14:paraId="55D0413A">
      <w:pPr>
        <w:pageBreakBefore w:val="0"/>
        <w:kinsoku/>
        <w:topLinePunct w:val="0"/>
        <w:bidi w:val="0"/>
        <w:adjustRightInd w:val="0"/>
        <w:snapToGrid w:val="0"/>
        <w:spacing w:line="240" w:lineRule="atLeast"/>
        <w:ind w:left="0" w:leftChars="0" w:right="0"/>
        <w:textAlignment w:val="auto"/>
        <w:rPr>
          <w:rFonts w:ascii="仿宋" w:hAnsi="仿宋" w:eastAsia="仿宋"/>
          <w:color w:val="auto"/>
          <w:highlight w:val="none"/>
        </w:rPr>
      </w:pPr>
    </w:p>
    <w:p w14:paraId="1856EE58">
      <w:pPr>
        <w:pageBreakBefore w:val="0"/>
        <w:tabs>
          <w:tab w:val="left" w:pos="6300"/>
        </w:tabs>
        <w:kinsoku/>
        <w:topLinePunct w:val="0"/>
        <w:bidi w:val="0"/>
        <w:adjustRightInd w:val="0"/>
        <w:snapToGrid w:val="0"/>
        <w:spacing w:line="240" w:lineRule="atLeast"/>
        <w:ind w:left="0" w:leftChars="0" w:right="0" w:firstLine="570"/>
        <w:jc w:val="center"/>
        <w:textAlignment w:val="auto"/>
        <w:rPr>
          <w:rFonts w:ascii="仿宋" w:hAnsi="仿宋" w:eastAsia="仿宋" w:cs="仿宋"/>
          <w:color w:val="auto"/>
          <w:sz w:val="24"/>
          <w:szCs w:val="24"/>
          <w:highlight w:val="none"/>
        </w:rPr>
      </w:pPr>
    </w:p>
    <w:p w14:paraId="1C068AB8">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1C7A78DD">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024C1D39">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580B622C">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36742EE4">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54FC463B">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3F5C9F4B">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3F93351A">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115CA2AA">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0E9D5044">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2ED3DD04">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55C67D24">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2590B050">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5F7891A8">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65049AF0">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2EA01148">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24B5AD8C">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60B9CB3A">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6D3029B6">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6A53001D">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24651386">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0C3969C1">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6E9B0BF6">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44CB8835">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6D484B34">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1B5C06AF">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563C7013">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472C2D5C">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73B8C858">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217BD11D">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7B856022">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567E17E3">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60DC8376">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30EFF28C">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7A9BDDC0">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0522DCBD">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2635D18B">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546B5F6C">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57333B12">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04A405FB">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6C87541F">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172555BF">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153680B8">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p>
    <w:p w14:paraId="1E48A2B3">
      <w:pPr>
        <w:pageBreakBefore w:val="0"/>
        <w:kinsoku/>
        <w:topLinePunct w:val="0"/>
        <w:bidi w:val="0"/>
        <w:adjustRightInd w:val="0"/>
        <w:snapToGrid w:val="0"/>
        <w:spacing w:line="240" w:lineRule="atLeast"/>
        <w:ind w:left="0" w:leftChars="0" w:right="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五、其他应提供的资料</w:t>
      </w:r>
    </w:p>
    <w:p w14:paraId="5567F421">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5D89894C">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4129230B">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1BF8C226">
      <w:pPr>
        <w:pageBreakBefore w:val="0"/>
        <w:tabs>
          <w:tab w:val="left" w:pos="6300"/>
        </w:tabs>
        <w:kinsoku/>
        <w:topLinePunct w:val="0"/>
        <w:bidi w:val="0"/>
        <w:adjustRightInd w:val="0"/>
        <w:snapToGrid w:val="0"/>
        <w:spacing w:line="240" w:lineRule="atLeast"/>
        <w:ind w:left="0" w:leftChars="0" w:right="0"/>
        <w:textAlignment w:val="auto"/>
        <w:rPr>
          <w:rFonts w:ascii="仿宋" w:hAnsi="仿宋" w:eastAsia="仿宋" w:cs="仿宋"/>
          <w:color w:val="auto"/>
          <w:sz w:val="24"/>
          <w:szCs w:val="24"/>
          <w:highlight w:val="none"/>
        </w:rPr>
      </w:pPr>
    </w:p>
    <w:p w14:paraId="32F1C2A6">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0DAD66FF">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54AC8200">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0DAC0495">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7D41DBFB">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1D14FE86">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5EA34826">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3AADCF70">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62584828">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678F2FBC">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67ED87A2">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656CBB2B">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3D79E29F">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36B7932B">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270C9BD1">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56592A26">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296B91ED">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261B38B7">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77B79BF0">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51314F54">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s="仿宋"/>
          <w:color w:val="auto"/>
          <w:sz w:val="24"/>
          <w:szCs w:val="24"/>
          <w:highlight w:val="none"/>
        </w:rPr>
      </w:pPr>
    </w:p>
    <w:p w14:paraId="1F0825EC">
      <w:pPr>
        <w:pageBreakBefore w:val="0"/>
        <w:tabs>
          <w:tab w:val="left" w:pos="6300"/>
        </w:tabs>
        <w:kinsoku/>
        <w:topLinePunct w:val="0"/>
        <w:bidi w:val="0"/>
        <w:adjustRightInd w:val="0"/>
        <w:snapToGrid w:val="0"/>
        <w:spacing w:line="240" w:lineRule="atLeast"/>
        <w:ind w:left="0" w:leftChars="0" w:right="0"/>
        <w:jc w:val="center"/>
        <w:textAlignment w:val="auto"/>
        <w:rPr>
          <w:rFonts w:ascii="仿宋" w:hAnsi="仿宋" w:eastAsia="仿宋"/>
          <w:color w:val="auto"/>
          <w:highlight w:val="none"/>
        </w:rPr>
      </w:pPr>
      <w:r>
        <w:rPr>
          <w:rFonts w:hint="eastAsia" w:ascii="仿宋" w:hAnsi="仿宋" w:eastAsia="仿宋" w:cs="仿宋"/>
          <w:color w:val="auto"/>
          <w:sz w:val="24"/>
          <w:szCs w:val="24"/>
          <w:highlight w:val="none"/>
        </w:rPr>
        <w:t>（结束）</w:t>
      </w:r>
      <w:bookmarkEnd w:id="124"/>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DB0A">
    <w:pPr>
      <w:pStyle w:val="13"/>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76F8C3">
                          <w:pPr>
                            <w:pStyle w:val="13"/>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4776F8C3">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7E9A3">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3BA2F157">
                          <w:pPr>
                            <w:pStyle w:val="13"/>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3BA2F157">
                    <w:pPr>
                      <w:pStyle w:val="13"/>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AE06">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6D4FBE7E">
                          <w:pPr>
                            <w:pStyle w:val="1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6D4FBE7E">
                    <w:pPr>
                      <w:pStyle w:val="1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- 22 -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A4DB">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71DB43F0">
                          <w:pPr>
                            <w:pStyle w:val="13"/>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71DB43F0">
                    <w:pPr>
                      <w:pStyle w:val="13"/>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85789">
    <w:pPr>
      <w:pStyle w:val="14"/>
    </w:pPr>
    <w:r>
      <w:rPr>
        <w:rFonts w:hint="eastAsia" w:ascii="仿宋" w:hAnsi="仿宋" w:eastAsia="仿宋"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3DEE2">
    <w:pPr>
      <w:pStyle w:val="14"/>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9C8AD">
    <w:pPr>
      <w:pStyle w:val="14"/>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A61CF"/>
    <w:multiLevelType w:val="multilevel"/>
    <w:tmpl w:val="087A61CF"/>
    <w:lvl w:ilvl="0" w:tentative="0">
      <w:start w:val="1"/>
      <w:numFmt w:val="decimal"/>
      <w:lvlText w:val="%1."/>
      <w:lvlJc w:val="left"/>
      <w:pPr>
        <w:ind w:left="347" w:hanging="241"/>
        <w:jc w:val="left"/>
      </w:pPr>
      <w:rPr>
        <w:rFonts w:hint="default" w:ascii="新宋体" w:hAnsi="新宋体" w:eastAsia="新宋体" w:cs="新宋体"/>
        <w:b w:val="0"/>
        <w:bCs w:val="0"/>
        <w:i w:val="0"/>
        <w:iCs w:val="0"/>
        <w:w w:val="100"/>
        <w:sz w:val="22"/>
        <w:szCs w:val="22"/>
      </w:rPr>
    </w:lvl>
    <w:lvl w:ilvl="1" w:tentative="0">
      <w:start w:val="0"/>
      <w:numFmt w:val="bullet"/>
      <w:lvlText w:val="•"/>
      <w:lvlJc w:val="left"/>
      <w:pPr>
        <w:ind w:left="1166" w:hanging="241"/>
      </w:pPr>
      <w:rPr>
        <w:rFonts w:hint="default"/>
      </w:rPr>
    </w:lvl>
    <w:lvl w:ilvl="2" w:tentative="0">
      <w:start w:val="0"/>
      <w:numFmt w:val="bullet"/>
      <w:lvlText w:val="•"/>
      <w:lvlJc w:val="left"/>
      <w:pPr>
        <w:ind w:left="1992" w:hanging="241"/>
      </w:pPr>
      <w:rPr>
        <w:rFonts w:hint="default"/>
      </w:rPr>
    </w:lvl>
    <w:lvl w:ilvl="3" w:tentative="0">
      <w:start w:val="0"/>
      <w:numFmt w:val="bullet"/>
      <w:lvlText w:val="•"/>
      <w:lvlJc w:val="left"/>
      <w:pPr>
        <w:ind w:left="2818" w:hanging="241"/>
      </w:pPr>
      <w:rPr>
        <w:rFonts w:hint="default"/>
      </w:rPr>
    </w:lvl>
    <w:lvl w:ilvl="4" w:tentative="0">
      <w:start w:val="0"/>
      <w:numFmt w:val="bullet"/>
      <w:lvlText w:val="•"/>
      <w:lvlJc w:val="left"/>
      <w:pPr>
        <w:ind w:left="3644" w:hanging="241"/>
      </w:pPr>
      <w:rPr>
        <w:rFonts w:hint="default"/>
      </w:rPr>
    </w:lvl>
    <w:lvl w:ilvl="5" w:tentative="0">
      <w:start w:val="0"/>
      <w:numFmt w:val="bullet"/>
      <w:lvlText w:val="•"/>
      <w:lvlJc w:val="left"/>
      <w:pPr>
        <w:ind w:left="4471" w:hanging="241"/>
      </w:pPr>
      <w:rPr>
        <w:rFonts w:hint="default"/>
      </w:rPr>
    </w:lvl>
    <w:lvl w:ilvl="6" w:tentative="0">
      <w:start w:val="0"/>
      <w:numFmt w:val="bullet"/>
      <w:lvlText w:val="•"/>
      <w:lvlJc w:val="left"/>
      <w:pPr>
        <w:ind w:left="5297" w:hanging="241"/>
      </w:pPr>
      <w:rPr>
        <w:rFonts w:hint="default"/>
      </w:rPr>
    </w:lvl>
    <w:lvl w:ilvl="7" w:tentative="0">
      <w:start w:val="0"/>
      <w:numFmt w:val="bullet"/>
      <w:lvlText w:val="•"/>
      <w:lvlJc w:val="left"/>
      <w:pPr>
        <w:ind w:left="6123" w:hanging="241"/>
      </w:pPr>
      <w:rPr>
        <w:rFonts w:hint="default"/>
      </w:rPr>
    </w:lvl>
    <w:lvl w:ilvl="8" w:tentative="0">
      <w:start w:val="0"/>
      <w:numFmt w:val="bullet"/>
      <w:lvlText w:val="•"/>
      <w:lvlJc w:val="left"/>
      <w:pPr>
        <w:ind w:left="6949" w:hanging="241"/>
      </w:pPr>
      <w:rPr>
        <w:rFonts w:hint="default"/>
      </w:rPr>
    </w:lvl>
  </w:abstractNum>
  <w:abstractNum w:abstractNumId="1">
    <w:nsid w:val="386E1E74"/>
    <w:multiLevelType w:val="singleLevel"/>
    <w:tmpl w:val="386E1E74"/>
    <w:lvl w:ilvl="0" w:tentative="0">
      <w:start w:val="4"/>
      <w:numFmt w:val="chineseCounting"/>
      <w:suff w:val="nothing"/>
      <w:lvlText w:val="%1、"/>
      <w:lvlJc w:val="left"/>
      <w:rPr>
        <w:rFonts w:hint="eastAsia"/>
      </w:rPr>
    </w:lvl>
  </w:abstractNum>
  <w:abstractNum w:abstractNumId="2">
    <w:nsid w:val="447923CE"/>
    <w:multiLevelType w:val="singleLevel"/>
    <w:tmpl w:val="447923CE"/>
    <w:lvl w:ilvl="0" w:tentative="0">
      <w:start w:val="2"/>
      <w:numFmt w:val="chineseCounting"/>
      <w:suff w:val="nothing"/>
      <w:lvlText w:val="%1、"/>
      <w:lvlJc w:val="left"/>
      <w:rPr>
        <w:rFonts w:hint="eastAsia"/>
      </w:rPr>
    </w:lvl>
  </w:abstractNum>
  <w:abstractNum w:abstractNumId="3">
    <w:nsid w:val="64F7617D"/>
    <w:multiLevelType w:val="singleLevel"/>
    <w:tmpl w:val="64F7617D"/>
    <w:lvl w:ilvl="0" w:tentative="0">
      <w:start w:val="1"/>
      <w:numFmt w:val="chineseCounting"/>
      <w:suff w:val="nothing"/>
      <w:lvlText w:val="%1、"/>
      <w:lvlJc w:val="left"/>
      <w:rPr>
        <w:rFonts w:hint="eastAsia"/>
      </w:rPr>
    </w:lvl>
  </w:abstractNum>
  <w:abstractNum w:abstractNumId="4">
    <w:nsid w:val="7D764751"/>
    <w:multiLevelType w:val="singleLevel"/>
    <w:tmpl w:val="7D764751"/>
    <w:lvl w:ilvl="0" w:tentative="0">
      <w:start w:val="3"/>
      <w:numFmt w:val="chineseCounting"/>
      <w:suff w:val="space"/>
      <w:lvlText w:val="第%1篇"/>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ZTczMDVlYWY3NDYwYTg2NGM1NDc0ZDk0MzVmY2EifQ=="/>
  </w:docVars>
  <w:rsids>
    <w:rsidRoot w:val="4DEF5E83"/>
    <w:rsid w:val="00210D8D"/>
    <w:rsid w:val="00222B81"/>
    <w:rsid w:val="004B0F8D"/>
    <w:rsid w:val="00724725"/>
    <w:rsid w:val="0079052A"/>
    <w:rsid w:val="007D6180"/>
    <w:rsid w:val="008603F3"/>
    <w:rsid w:val="008D138C"/>
    <w:rsid w:val="0092634D"/>
    <w:rsid w:val="00954526"/>
    <w:rsid w:val="00A72FF4"/>
    <w:rsid w:val="00C10B75"/>
    <w:rsid w:val="02315D47"/>
    <w:rsid w:val="02715ECA"/>
    <w:rsid w:val="03184E54"/>
    <w:rsid w:val="03540DEC"/>
    <w:rsid w:val="044D00BA"/>
    <w:rsid w:val="08F203BB"/>
    <w:rsid w:val="0A5A6A18"/>
    <w:rsid w:val="0CDB73F8"/>
    <w:rsid w:val="0CF84031"/>
    <w:rsid w:val="0E714E17"/>
    <w:rsid w:val="0FB2475E"/>
    <w:rsid w:val="105A0637"/>
    <w:rsid w:val="10B0619D"/>
    <w:rsid w:val="120E362F"/>
    <w:rsid w:val="13CA1093"/>
    <w:rsid w:val="141C038E"/>
    <w:rsid w:val="142C1915"/>
    <w:rsid w:val="162450AE"/>
    <w:rsid w:val="1649463A"/>
    <w:rsid w:val="16817D4B"/>
    <w:rsid w:val="168638E4"/>
    <w:rsid w:val="16FA6AB5"/>
    <w:rsid w:val="179F5F58"/>
    <w:rsid w:val="18014134"/>
    <w:rsid w:val="181854D1"/>
    <w:rsid w:val="1906396D"/>
    <w:rsid w:val="199F6806"/>
    <w:rsid w:val="1D2174B9"/>
    <w:rsid w:val="1F561113"/>
    <w:rsid w:val="21C33D1C"/>
    <w:rsid w:val="22E648FE"/>
    <w:rsid w:val="22E91AFC"/>
    <w:rsid w:val="23FE60FC"/>
    <w:rsid w:val="26635D46"/>
    <w:rsid w:val="26C848AF"/>
    <w:rsid w:val="28CD75F9"/>
    <w:rsid w:val="2B0D7196"/>
    <w:rsid w:val="2E5463FB"/>
    <w:rsid w:val="2E556D82"/>
    <w:rsid w:val="32C945A9"/>
    <w:rsid w:val="33FF585B"/>
    <w:rsid w:val="3581238E"/>
    <w:rsid w:val="3594392B"/>
    <w:rsid w:val="3619500D"/>
    <w:rsid w:val="39AD47AD"/>
    <w:rsid w:val="3C2E0626"/>
    <w:rsid w:val="3DAB6F31"/>
    <w:rsid w:val="3E9A0C6C"/>
    <w:rsid w:val="3F212082"/>
    <w:rsid w:val="3F5C430D"/>
    <w:rsid w:val="3FC21E9F"/>
    <w:rsid w:val="40385F17"/>
    <w:rsid w:val="414357CF"/>
    <w:rsid w:val="435E7112"/>
    <w:rsid w:val="448A0300"/>
    <w:rsid w:val="44E97761"/>
    <w:rsid w:val="467E6743"/>
    <w:rsid w:val="4DEF5E83"/>
    <w:rsid w:val="4FB528E4"/>
    <w:rsid w:val="562767E7"/>
    <w:rsid w:val="566C4404"/>
    <w:rsid w:val="56C82D59"/>
    <w:rsid w:val="591F7797"/>
    <w:rsid w:val="5A6F70EB"/>
    <w:rsid w:val="5B3C618F"/>
    <w:rsid w:val="5BBB2033"/>
    <w:rsid w:val="5C183C23"/>
    <w:rsid w:val="5D761313"/>
    <w:rsid w:val="5EB01281"/>
    <w:rsid w:val="5FB03577"/>
    <w:rsid w:val="5FC0021F"/>
    <w:rsid w:val="615654A2"/>
    <w:rsid w:val="62B10778"/>
    <w:rsid w:val="631E2FC0"/>
    <w:rsid w:val="637C299F"/>
    <w:rsid w:val="63815FA0"/>
    <w:rsid w:val="63F74CFB"/>
    <w:rsid w:val="66197FD6"/>
    <w:rsid w:val="66E77EB8"/>
    <w:rsid w:val="6826104A"/>
    <w:rsid w:val="6D7F1C2A"/>
    <w:rsid w:val="6D920165"/>
    <w:rsid w:val="6DD90434"/>
    <w:rsid w:val="6E351CD1"/>
    <w:rsid w:val="6F6E5145"/>
    <w:rsid w:val="6F866004"/>
    <w:rsid w:val="737E0C71"/>
    <w:rsid w:val="74C662F0"/>
    <w:rsid w:val="74E22A5A"/>
    <w:rsid w:val="7CB0044E"/>
    <w:rsid w:val="7CC2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autoRedefine/>
    <w:unhideWhenUsed/>
    <w:qFormat/>
    <w:uiPriority w:val="9"/>
    <w:pPr>
      <w:keepNext/>
      <w:keepLines/>
      <w:spacing w:before="280" w:after="290" w:line="376" w:lineRule="auto"/>
      <w:outlineLvl w:val="3"/>
    </w:pPr>
    <w:rPr>
      <w:rFonts w:ascii="Cambria" w:hAnsi="Cambria"/>
      <w:b/>
      <w:bCs/>
      <w:szCs w:val="28"/>
    </w:rPr>
  </w:style>
  <w:style w:type="character" w:default="1" w:styleId="20">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Normal Indent"/>
    <w:basedOn w:val="1"/>
    <w:autoRedefine/>
    <w:qFormat/>
    <w:uiPriority w:val="99"/>
    <w:pPr>
      <w:adjustRightInd w:val="0"/>
      <w:snapToGrid w:val="0"/>
      <w:spacing w:line="360" w:lineRule="auto"/>
      <w:ind w:firstLine="420"/>
    </w:pPr>
    <w:rPr>
      <w:sz w:val="24"/>
    </w:rPr>
  </w:style>
  <w:style w:type="paragraph" w:styleId="7">
    <w:name w:val="annotation text"/>
    <w:basedOn w:val="1"/>
    <w:autoRedefine/>
    <w:qFormat/>
    <w:uiPriority w:val="0"/>
    <w:pPr>
      <w:jc w:val="left"/>
    </w:p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1">
    <w:name w:val="Date"/>
    <w:basedOn w:val="1"/>
    <w:next w:val="1"/>
    <w:autoRedefine/>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0"/>
    <w:pPr>
      <w:spacing w:line="180" w:lineRule="auto"/>
      <w:jc w:val="center"/>
    </w:pPr>
    <w:rPr>
      <w:sz w:val="30"/>
    </w:rPr>
  </w:style>
  <w:style w:type="paragraph" w:styleId="16">
    <w:name w:val="List"/>
    <w:basedOn w:val="1"/>
    <w:autoRedefine/>
    <w:semiHidden/>
    <w:qFormat/>
    <w:uiPriority w:val="0"/>
    <w:pPr>
      <w:ind w:left="200" w:hanging="200" w:hangingChars="200"/>
    </w:pPr>
  </w:style>
  <w:style w:type="paragraph" w:styleId="17">
    <w:name w:val="index 7"/>
    <w:basedOn w:val="1"/>
    <w:next w:val="1"/>
    <w:autoRedefine/>
    <w:qFormat/>
    <w:uiPriority w:val="0"/>
    <w:pPr>
      <w:ind w:left="2520"/>
    </w:pPr>
  </w:style>
  <w:style w:type="paragraph" w:styleId="18">
    <w:name w:val="Body Text First Indent 2"/>
    <w:basedOn w:val="9"/>
    <w:autoRedefine/>
    <w:qFormat/>
    <w:uiPriority w:val="0"/>
    <w:pPr>
      <w:spacing w:line="240" w:lineRule="auto"/>
      <w:ind w:left="420" w:leftChars="200" w:firstLine="420" w:firstLineChars="200"/>
    </w:pPr>
  </w:style>
  <w:style w:type="character" w:styleId="21">
    <w:name w:val="page number"/>
    <w:basedOn w:val="20"/>
    <w:autoRedefine/>
    <w:qFormat/>
    <w:uiPriority w:val="0"/>
  </w:style>
  <w:style w:type="paragraph" w:customStyle="1" w:styleId="22">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3">
    <w:name w:val="图例"/>
    <w:basedOn w:val="1"/>
    <w:autoRedefine/>
    <w:qFormat/>
    <w:uiPriority w:val="0"/>
    <w:pPr>
      <w:spacing w:before="120" w:after="120" w:line="360" w:lineRule="auto"/>
      <w:jc w:val="center"/>
    </w:pPr>
    <w:rPr>
      <w:rFonts w:eastAsia="仿宋_GB2312"/>
      <w:b/>
      <w:sz w:val="24"/>
    </w:rPr>
  </w:style>
  <w:style w:type="paragraph" w:customStyle="1" w:styleId="24">
    <w:name w:val="电建正文"/>
    <w:basedOn w:val="25"/>
    <w:autoRedefine/>
    <w:qFormat/>
    <w:uiPriority w:val="0"/>
    <w:pPr>
      <w:tabs>
        <w:tab w:val="left" w:pos="720"/>
      </w:tabs>
      <w:spacing w:line="360" w:lineRule="auto"/>
      <w:ind w:firstLine="200" w:firstLineChars="200"/>
    </w:pPr>
    <w:rPr>
      <w:rFonts w:ascii="Tahoma" w:hAnsi="Tahoma"/>
      <w:sz w:val="24"/>
    </w:rPr>
  </w:style>
  <w:style w:type="paragraph" w:customStyle="1" w:styleId="25">
    <w:name w:val="List First"/>
    <w:basedOn w:val="16"/>
    <w:next w:val="16"/>
    <w:autoRedefine/>
    <w:qFormat/>
    <w:uiPriority w:val="0"/>
    <w:pPr>
      <w:widowControl/>
      <w:tabs>
        <w:tab w:val="left" w:pos="720"/>
      </w:tabs>
      <w:overflowPunct w:val="0"/>
      <w:autoSpaceDE w:val="0"/>
      <w:autoSpaceDN w:val="0"/>
      <w:spacing w:before="80" w:after="80"/>
      <w:ind w:left="0"/>
      <w:jc w:val="left"/>
    </w:pPr>
    <w:rPr>
      <w:kern w:val="0"/>
      <w:sz w:val="20"/>
    </w:rPr>
  </w:style>
  <w:style w:type="character" w:customStyle="1" w:styleId="26">
    <w:name w:val="font61"/>
    <w:basedOn w:val="20"/>
    <w:autoRedefine/>
    <w:qFormat/>
    <w:uiPriority w:val="0"/>
    <w:rPr>
      <w:rFonts w:hint="eastAsia" w:ascii="宋体" w:hAnsi="宋体" w:eastAsia="宋体" w:cs="宋体"/>
      <w:b/>
      <w:bCs/>
      <w:color w:val="000000"/>
      <w:sz w:val="28"/>
      <w:szCs w:val="28"/>
      <w:u w:val="none"/>
    </w:rPr>
  </w:style>
  <w:style w:type="character" w:customStyle="1" w:styleId="27">
    <w:name w:val="font81"/>
    <w:basedOn w:val="20"/>
    <w:autoRedefine/>
    <w:qFormat/>
    <w:uiPriority w:val="0"/>
    <w:rPr>
      <w:rFonts w:hint="eastAsia" w:ascii="宋体" w:hAnsi="宋体" w:eastAsia="宋体" w:cs="宋体"/>
      <w:b/>
      <w:bCs/>
      <w:color w:val="000000"/>
      <w:sz w:val="20"/>
      <w:szCs w:val="20"/>
      <w:u w:val="none"/>
    </w:rPr>
  </w:style>
  <w:style w:type="paragraph" w:customStyle="1" w:styleId="28">
    <w:name w:val="样式  + 首行缩进:  2 字符"/>
    <w:autoRedefine/>
    <w:qFormat/>
    <w:uiPriority w:val="2"/>
    <w:pPr>
      <w:widowControl w:val="0"/>
      <w:suppressAutoHyphens/>
      <w:spacing w:line="360" w:lineRule="auto"/>
      <w:ind w:firstLine="480"/>
      <w:jc w:val="both"/>
    </w:pPr>
    <w:rPr>
      <w:rFonts w:ascii="宋体" w:hAnsi="宋体" w:eastAsia="宋体" w:cs="宋体"/>
      <w:color w:val="000000"/>
      <w:spacing w:val="10"/>
      <w:sz w:val="24"/>
      <w:szCs w:val="24"/>
      <w:lang w:val="en-US" w:eastAsia="zh-CN" w:bidi="ar-SA"/>
    </w:rPr>
  </w:style>
  <w:style w:type="paragraph" w:customStyle="1" w:styleId="29">
    <w:name w:val="批注文字1"/>
    <w:basedOn w:val="1"/>
    <w:autoRedefine/>
    <w:qFormat/>
    <w:uiPriority w:val="0"/>
    <w:pPr>
      <w:spacing w:line="360" w:lineRule="atLeast"/>
      <w:jc w:val="left"/>
      <w:textAlignment w:val="baseline"/>
    </w:pPr>
    <w:rPr>
      <w:kern w:val="0"/>
      <w:sz w:val="24"/>
    </w:rPr>
  </w:style>
  <w:style w:type="paragraph" w:customStyle="1" w:styleId="30">
    <w:name w:val="*正文"/>
    <w:basedOn w:val="1"/>
    <w:autoRedefine/>
    <w:qFormat/>
    <w:uiPriority w:val="0"/>
    <w:pPr>
      <w:widowControl/>
      <w:spacing w:line="360" w:lineRule="auto"/>
      <w:ind w:firstLine="480"/>
    </w:pPr>
    <w:rPr>
      <w:rFonts w:eastAsia="仿宋_GB2312"/>
      <w:sz w:val="24"/>
      <w:szCs w:val="28"/>
    </w:rPr>
  </w:style>
  <w:style w:type="paragraph" w:customStyle="1" w:styleId="31">
    <w:name w:val="正文（首行缩进2字符）"/>
    <w:basedOn w:val="1"/>
    <w:autoRedefine/>
    <w:qFormat/>
    <w:uiPriority w:val="0"/>
    <w:pPr>
      <w:ind w:firstLine="480"/>
    </w:pPr>
  </w:style>
  <w:style w:type="character" w:customStyle="1" w:styleId="32">
    <w:name w:val="font21"/>
    <w:autoRedefine/>
    <w:qFormat/>
    <w:uiPriority w:val="6"/>
    <w:rPr>
      <w:rFonts w:hint="eastAsia" w:ascii="仿宋" w:hAnsi="仿宋" w:eastAsia="仿宋" w:cs="仿宋"/>
      <w:color w:val="0000FF"/>
      <w:sz w:val="24"/>
      <w:szCs w:val="24"/>
      <w:u w:val="none"/>
    </w:rPr>
  </w:style>
  <w:style w:type="character" w:customStyle="1" w:styleId="33">
    <w:name w:val="NormalCharacter"/>
    <w:autoRedefine/>
    <w:qFormat/>
    <w:uiPriority w:val="0"/>
    <w:rPr>
      <w:kern w:val="2"/>
      <w:sz w:val="28"/>
      <w:lang w:val="en-US" w:eastAsia="zh-CN" w:bidi="ar-SA"/>
    </w:rPr>
  </w:style>
  <w:style w:type="paragraph" w:customStyle="1" w:styleId="34">
    <w:name w:val="Table Paragraph"/>
    <w:basedOn w:val="1"/>
    <w:autoRedefine/>
    <w:qFormat/>
    <w:uiPriority w:val="1"/>
  </w:style>
  <w:style w:type="table" w:customStyle="1" w:styleId="35">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9448</Words>
  <Characters>9963</Characters>
  <Lines>19</Lines>
  <Paragraphs>28</Paragraphs>
  <TotalTime>8</TotalTime>
  <ScaleCrop>false</ScaleCrop>
  <LinksUpToDate>false</LinksUpToDate>
  <CharactersWithSpaces>10743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一生平安</cp:lastModifiedBy>
  <cp:lastPrinted>2023-12-07T01:45:00Z</cp:lastPrinted>
  <dcterms:modified xsi:type="dcterms:W3CDTF">2025-05-13T02:14:25Z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C21DD9EFCDA1479FBAF3339CA53CBB1A_13</vt:lpwstr>
  </property>
  <property fmtid="{D5CDD505-2E9C-101B-9397-08002B2CF9AE}" pid="4" name="KSOTemplateDocerSaveRecord">
    <vt:lpwstr>eyJoZGlkIjoiYjcxMzY5OTI4Mjk4NDU0ZGFiNzZkODNjZjNlMWM4YjIiLCJ1c2VySWQiOiI2MjM5MDcyNDkifQ==</vt:lpwstr>
  </property>
</Properties>
</file>