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AF6E8">
      <w:pPr>
        <w:pStyle w:val="7"/>
        <w:jc w:val="center"/>
        <w:rPr>
          <w:rFonts w:hint="eastAsia" w:ascii="宋体" w:hAnsi="宋体" w:eastAsia="宋体" w:cs="宋体"/>
          <w:b w:val="0"/>
          <w:bCs w:val="0"/>
          <w:color w:val="auto"/>
          <w:kern w:val="2"/>
          <w:sz w:val="48"/>
          <w:szCs w:val="48"/>
          <w:highlight w:val="none"/>
          <w:lang w:val="en-US" w:eastAsia="zh-CN" w:bidi="ar-SA"/>
        </w:rPr>
      </w:pPr>
    </w:p>
    <w:p w14:paraId="3492E7AC">
      <w:pPr>
        <w:adjustRightInd/>
        <w:spacing w:line="360" w:lineRule="auto"/>
        <w:jc w:val="center"/>
        <w:rPr>
          <w:rFonts w:hint="eastAsia" w:ascii="宋体" w:hAnsi="宋体" w:eastAsia="宋体" w:cs="宋体"/>
          <w:b w:val="0"/>
          <w:bCs w:val="0"/>
          <w:color w:val="auto"/>
          <w:kern w:val="2"/>
          <w:sz w:val="48"/>
          <w:szCs w:val="48"/>
          <w:highlight w:val="none"/>
          <w:lang w:val="en-US" w:eastAsia="zh-CN" w:bidi="ar-SA"/>
        </w:rPr>
      </w:pPr>
      <w:r>
        <w:rPr>
          <w:rFonts w:hint="eastAsia" w:ascii="宋体" w:hAnsi="宋体" w:eastAsia="宋体" w:cs="宋体"/>
          <w:b w:val="0"/>
          <w:bCs w:val="0"/>
          <w:color w:val="auto"/>
          <w:kern w:val="2"/>
          <w:sz w:val="48"/>
          <w:szCs w:val="48"/>
          <w:highlight w:val="none"/>
          <w:lang w:val="en-US" w:eastAsia="zh-CN" w:bidi="ar-SA"/>
        </w:rPr>
        <w:t>萧山区2025年红火蚁疫情监测服务项目</w:t>
      </w:r>
    </w:p>
    <w:p w14:paraId="464B5266">
      <w:pPr>
        <w:adjustRightInd/>
        <w:spacing w:line="360" w:lineRule="auto"/>
        <w:jc w:val="center"/>
        <w:rPr>
          <w:rFonts w:hint="eastAsia" w:ascii="宋体" w:hAnsi="宋体" w:eastAsia="宋体" w:cs="宋体"/>
          <w:b w:val="0"/>
          <w:bCs w:val="0"/>
          <w:color w:val="auto"/>
          <w:kern w:val="2"/>
          <w:sz w:val="48"/>
          <w:szCs w:val="48"/>
          <w:highlight w:val="none"/>
          <w:lang w:val="en-US" w:eastAsia="zh-CN" w:bidi="ar-SA"/>
        </w:rPr>
      </w:pPr>
    </w:p>
    <w:p w14:paraId="63D7D412">
      <w:pPr>
        <w:adjustRightInd/>
        <w:spacing w:line="360" w:lineRule="auto"/>
        <w:jc w:val="center"/>
        <w:rPr>
          <w:rFonts w:hint="eastAsia" w:ascii="宋体" w:hAnsi="宋体" w:eastAsia="宋体" w:cs="宋体"/>
          <w:b w:val="0"/>
          <w:bCs w:val="0"/>
          <w:color w:val="auto"/>
          <w:kern w:val="2"/>
          <w:sz w:val="48"/>
          <w:szCs w:val="48"/>
          <w:highlight w:val="none"/>
          <w:lang w:val="en-US" w:eastAsia="zh-CN" w:bidi="ar-SA"/>
        </w:rPr>
      </w:pPr>
    </w:p>
    <w:p w14:paraId="6E629628">
      <w:pPr>
        <w:adjustRightInd/>
        <w:spacing w:line="360" w:lineRule="auto"/>
        <w:jc w:val="center"/>
        <w:rPr>
          <w:rFonts w:hint="eastAsia" w:ascii="宋体" w:hAnsi="宋体" w:eastAsia="宋体" w:cs="宋体"/>
          <w:b w:val="0"/>
          <w:bCs w:val="0"/>
          <w:color w:val="auto"/>
          <w:sz w:val="48"/>
          <w:szCs w:val="48"/>
          <w:highlight w:val="none"/>
        </w:rPr>
      </w:pPr>
      <w:r>
        <w:rPr>
          <w:rFonts w:hint="eastAsia" w:ascii="宋体" w:hAnsi="宋体" w:eastAsia="宋体" w:cs="宋体"/>
          <w:b w:val="0"/>
          <w:bCs w:val="0"/>
          <w:color w:val="auto"/>
          <w:sz w:val="48"/>
          <w:szCs w:val="48"/>
          <w:highlight w:val="none"/>
          <w:lang w:eastAsia="zh-CN"/>
        </w:rPr>
        <w:t>交易</w:t>
      </w:r>
      <w:r>
        <w:rPr>
          <w:rFonts w:hint="eastAsia" w:ascii="宋体" w:hAnsi="宋体" w:eastAsia="宋体" w:cs="宋体"/>
          <w:b w:val="0"/>
          <w:bCs w:val="0"/>
          <w:color w:val="auto"/>
          <w:sz w:val="48"/>
          <w:szCs w:val="48"/>
          <w:highlight w:val="none"/>
        </w:rPr>
        <w:t>文件</w:t>
      </w:r>
    </w:p>
    <w:p w14:paraId="0CD2F856">
      <w:pPr>
        <w:adjustRightInd/>
        <w:spacing w:line="360" w:lineRule="auto"/>
        <w:jc w:val="center"/>
        <w:rPr>
          <w:rFonts w:hint="eastAsia" w:ascii="宋体" w:hAnsi="宋体" w:eastAsia="宋体" w:cs="宋体"/>
          <w:b w:val="0"/>
          <w:bCs w:val="0"/>
          <w:color w:val="auto"/>
          <w:sz w:val="44"/>
          <w:szCs w:val="44"/>
          <w:highlight w:val="none"/>
        </w:rPr>
      </w:pPr>
      <w:r>
        <w:rPr>
          <w:rFonts w:hint="eastAsia" w:ascii="宋体" w:hAnsi="宋体" w:eastAsia="宋体" w:cs="宋体"/>
          <w:b w:val="0"/>
          <w:bCs w:val="0"/>
          <w:color w:val="auto"/>
          <w:sz w:val="44"/>
          <w:szCs w:val="44"/>
          <w:highlight w:val="none"/>
        </w:rPr>
        <w:t xml:space="preserve"> （电子</w:t>
      </w:r>
      <w:r>
        <w:rPr>
          <w:rFonts w:hint="eastAsia" w:ascii="宋体" w:hAnsi="宋体" w:eastAsia="宋体" w:cs="宋体"/>
          <w:b w:val="0"/>
          <w:bCs w:val="0"/>
          <w:color w:val="auto"/>
          <w:sz w:val="44"/>
          <w:szCs w:val="44"/>
          <w:highlight w:val="none"/>
          <w:lang w:eastAsia="zh-CN"/>
        </w:rPr>
        <w:t>交易</w:t>
      </w:r>
      <w:r>
        <w:rPr>
          <w:rFonts w:hint="eastAsia" w:ascii="宋体" w:hAnsi="宋体" w:eastAsia="宋体" w:cs="宋体"/>
          <w:b w:val="0"/>
          <w:bCs w:val="0"/>
          <w:color w:val="auto"/>
          <w:sz w:val="44"/>
          <w:szCs w:val="44"/>
          <w:highlight w:val="none"/>
        </w:rPr>
        <w:t>标）</w:t>
      </w:r>
    </w:p>
    <w:p w14:paraId="7265B5AB">
      <w:pPr>
        <w:snapToGrid w:val="0"/>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NYJ2025-GK-LCY003</w:t>
      </w:r>
    </w:p>
    <w:p w14:paraId="4A6B49FD">
      <w:pPr>
        <w:adjustRightInd/>
        <w:spacing w:line="360" w:lineRule="auto"/>
        <w:rPr>
          <w:rFonts w:hint="eastAsia" w:ascii="宋体" w:hAnsi="宋体" w:eastAsia="宋体" w:cs="宋体"/>
          <w:color w:val="auto"/>
          <w:sz w:val="28"/>
          <w:szCs w:val="20"/>
          <w:highlight w:val="none"/>
        </w:rPr>
      </w:pPr>
    </w:p>
    <w:p w14:paraId="6353D1ED">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150F5C99">
      <w:pPr>
        <w:pStyle w:val="5"/>
        <w:ind w:left="0" w:leftChars="0" w:firstLine="0" w:firstLineChars="0"/>
        <w:rPr>
          <w:rFonts w:hint="eastAsia" w:ascii="宋体" w:hAnsi="宋体" w:eastAsia="宋体" w:cs="宋体"/>
          <w:b/>
          <w:color w:val="auto"/>
          <w:sz w:val="44"/>
          <w:szCs w:val="44"/>
          <w:highlight w:val="none"/>
        </w:rPr>
      </w:pPr>
    </w:p>
    <w:p w14:paraId="18EB27DB">
      <w:pPr>
        <w:spacing w:line="360" w:lineRule="auto"/>
        <w:rPr>
          <w:rFonts w:hint="eastAsia" w:ascii="宋体" w:hAnsi="宋体" w:eastAsia="宋体" w:cs="宋体"/>
          <w:color w:val="auto"/>
          <w:sz w:val="32"/>
          <w:szCs w:val="32"/>
          <w:highlight w:val="none"/>
        </w:rPr>
      </w:pPr>
    </w:p>
    <w:p w14:paraId="3361DC51">
      <w:pPr>
        <w:spacing w:line="360" w:lineRule="auto"/>
        <w:rPr>
          <w:rFonts w:hint="eastAsia" w:ascii="宋体" w:hAnsi="宋体" w:eastAsia="宋体" w:cs="宋体"/>
          <w:color w:val="auto"/>
          <w:sz w:val="32"/>
          <w:szCs w:val="32"/>
          <w:highlight w:val="none"/>
        </w:rPr>
      </w:pPr>
    </w:p>
    <w:p w14:paraId="7753F09B">
      <w:pPr>
        <w:snapToGrid w:val="0"/>
        <w:spacing w:line="360" w:lineRule="auto"/>
        <w:jc w:val="center"/>
        <w:rPr>
          <w:rFonts w:hint="eastAsia" w:ascii="宋体" w:hAnsi="宋体" w:eastAsia="宋体" w:cs="宋体"/>
          <w:color w:val="auto"/>
          <w:sz w:val="36"/>
          <w:highlight w:val="none"/>
          <w:lang w:eastAsia="zh-CN"/>
        </w:rPr>
      </w:pPr>
      <w:r>
        <w:rPr>
          <w:rFonts w:hint="eastAsia" w:ascii="宋体" w:hAnsi="宋体" w:eastAsia="宋体" w:cs="宋体"/>
          <w:color w:val="auto"/>
          <w:sz w:val="36"/>
          <w:highlight w:val="none"/>
          <w:lang w:eastAsia="zh-CN"/>
        </w:rPr>
        <w:t>杭州市萧山区农业农村局</w:t>
      </w:r>
    </w:p>
    <w:p w14:paraId="5EF48742">
      <w:pPr>
        <w:snapToGrid w:val="0"/>
        <w:spacing w:line="360" w:lineRule="auto"/>
        <w:jc w:val="center"/>
        <w:rPr>
          <w:rFonts w:hint="eastAsia" w:ascii="宋体" w:hAnsi="宋体" w:eastAsia="宋体" w:cs="宋体"/>
          <w:color w:val="auto"/>
          <w:sz w:val="36"/>
          <w:highlight w:val="none"/>
          <w:lang w:eastAsia="zh-CN"/>
        </w:rPr>
      </w:pPr>
      <w:r>
        <w:rPr>
          <w:rFonts w:hint="eastAsia" w:ascii="宋体" w:hAnsi="宋体" w:eastAsia="宋体" w:cs="宋体"/>
          <w:color w:val="auto"/>
          <w:sz w:val="36"/>
          <w:highlight w:val="none"/>
          <w:lang w:eastAsia="zh-CN"/>
        </w:rPr>
        <w:t>德威工程管理咨询有限公司</w:t>
      </w:r>
    </w:p>
    <w:p w14:paraId="43716A7C">
      <w:pPr>
        <w:snapToGrid w:val="0"/>
        <w:spacing w:line="360" w:lineRule="auto"/>
        <w:jc w:val="cente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rPr>
        <w:t xml:space="preserve"> </w:t>
      </w:r>
      <w:r>
        <w:rPr>
          <w:rFonts w:hint="eastAsia" w:ascii="宋体" w:hAnsi="宋体" w:eastAsia="宋体" w:cs="宋体"/>
          <w:bCs/>
          <w:color w:val="auto"/>
          <w:sz w:val="32"/>
          <w:szCs w:val="32"/>
          <w:highlight w:val="none"/>
          <w:lang w:val="en-US" w:eastAsia="zh-CN"/>
        </w:rPr>
        <w:t>2024</w:t>
      </w:r>
      <w:r>
        <w:rPr>
          <w:rFonts w:hint="eastAsia" w:ascii="宋体" w:hAnsi="宋体" w:eastAsia="宋体" w:cs="宋体"/>
          <w:bCs/>
          <w:color w:val="auto"/>
          <w:sz w:val="32"/>
          <w:szCs w:val="32"/>
          <w:highlight w:val="none"/>
        </w:rPr>
        <w:t>年</w:t>
      </w:r>
      <w:r>
        <w:rPr>
          <w:rFonts w:hint="eastAsia" w:ascii="宋体" w:hAnsi="宋体" w:eastAsia="宋体" w:cs="宋体"/>
          <w:bCs/>
          <w:color w:val="auto"/>
          <w:sz w:val="32"/>
          <w:szCs w:val="32"/>
          <w:highlight w:val="none"/>
          <w:lang w:val="en-US" w:eastAsia="zh-CN"/>
        </w:rPr>
        <w:t>5</w:t>
      </w:r>
      <w:r>
        <w:rPr>
          <w:rFonts w:hint="eastAsia" w:ascii="宋体" w:hAnsi="宋体" w:eastAsia="宋体" w:cs="宋体"/>
          <w:bCs/>
          <w:color w:val="auto"/>
          <w:sz w:val="32"/>
          <w:szCs w:val="32"/>
          <w:highlight w:val="none"/>
        </w:rPr>
        <w:t>月</w:t>
      </w:r>
      <w:r>
        <w:rPr>
          <w:rFonts w:hint="default" w:ascii="宋体" w:hAnsi="宋体" w:cs="宋体"/>
          <w:bCs/>
          <w:color w:val="auto"/>
          <w:sz w:val="32"/>
          <w:szCs w:val="32"/>
          <w:highlight w:val="none"/>
          <w:lang w:val="en-US"/>
        </w:rPr>
        <w:t>6</w:t>
      </w:r>
      <w:r>
        <w:rPr>
          <w:rFonts w:hint="eastAsia" w:ascii="宋体" w:hAnsi="宋体" w:cs="宋体"/>
          <w:bCs/>
          <w:color w:val="auto"/>
          <w:sz w:val="32"/>
          <w:szCs w:val="32"/>
          <w:highlight w:val="none"/>
          <w:lang w:val="en-US" w:eastAsia="zh-CN"/>
        </w:rPr>
        <w:t>日</w:t>
      </w:r>
    </w:p>
    <w:p w14:paraId="62D43D06">
      <w:pPr>
        <w:snapToGrid w:val="0"/>
        <w:spacing w:line="360" w:lineRule="auto"/>
        <w:jc w:val="center"/>
        <w:rPr>
          <w:rFonts w:hint="eastAsia" w:ascii="宋体" w:hAnsi="宋体" w:eastAsia="宋体" w:cs="宋体"/>
          <w:color w:val="auto"/>
          <w:sz w:val="24"/>
          <w:highlight w:val="none"/>
        </w:rPr>
      </w:pPr>
    </w:p>
    <w:p w14:paraId="3E1B2992">
      <w:pPr>
        <w:spacing w:line="360" w:lineRule="auto"/>
        <w:jc w:val="center"/>
        <w:rPr>
          <w:rFonts w:hint="eastAsia" w:ascii="宋体" w:hAnsi="宋体" w:eastAsia="宋体" w:cs="宋体"/>
          <w:color w:val="auto"/>
          <w:sz w:val="24"/>
          <w:highlight w:val="none"/>
        </w:rPr>
      </w:pPr>
    </w:p>
    <w:p w14:paraId="61B60E55">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7C625205">
      <w:pPr>
        <w:spacing w:line="360" w:lineRule="auto"/>
        <w:rPr>
          <w:rFonts w:hint="eastAsia" w:ascii="宋体" w:hAnsi="宋体" w:eastAsia="宋体" w:cs="宋体"/>
          <w:color w:val="auto"/>
          <w:sz w:val="32"/>
          <w:szCs w:val="32"/>
          <w:highlight w:val="none"/>
        </w:rPr>
      </w:pPr>
    </w:p>
    <w:p w14:paraId="38A69AED">
      <w:pPr>
        <w:spacing w:line="360" w:lineRule="auto"/>
        <w:rPr>
          <w:rFonts w:hint="eastAsia" w:ascii="宋体" w:hAnsi="宋体" w:eastAsia="宋体" w:cs="宋体"/>
          <w:color w:val="auto"/>
          <w:sz w:val="32"/>
          <w:szCs w:val="32"/>
          <w:highlight w:val="none"/>
        </w:rPr>
      </w:pPr>
    </w:p>
    <w:p w14:paraId="5E2AFA6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第一部分      </w:t>
      </w:r>
      <w:r>
        <w:rPr>
          <w:rFonts w:hint="eastAsia" w:ascii="宋体" w:hAnsi="宋体" w:eastAsia="宋体" w:cs="宋体"/>
          <w:color w:val="auto"/>
          <w:sz w:val="32"/>
          <w:szCs w:val="32"/>
          <w:highlight w:val="none"/>
          <w:lang w:eastAsia="zh-CN"/>
        </w:rPr>
        <w:t>交易</w:t>
      </w:r>
      <w:r>
        <w:rPr>
          <w:rFonts w:hint="eastAsia" w:ascii="宋体" w:hAnsi="宋体" w:eastAsia="宋体" w:cs="宋体"/>
          <w:color w:val="auto"/>
          <w:sz w:val="32"/>
          <w:szCs w:val="32"/>
          <w:highlight w:val="none"/>
        </w:rPr>
        <w:t>公告</w:t>
      </w:r>
    </w:p>
    <w:p w14:paraId="2398FB9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第二部分      </w:t>
      </w:r>
      <w:r>
        <w:rPr>
          <w:rFonts w:hint="eastAsia" w:ascii="宋体" w:hAnsi="宋体" w:eastAsia="宋体" w:cs="宋体"/>
          <w:color w:val="auto"/>
          <w:sz w:val="32"/>
          <w:szCs w:val="32"/>
          <w:highlight w:val="none"/>
          <w:lang w:eastAsia="zh-CN"/>
        </w:rPr>
        <w:t>供应商</w:t>
      </w:r>
      <w:r>
        <w:rPr>
          <w:rFonts w:hint="eastAsia" w:ascii="宋体" w:hAnsi="宋体" w:eastAsia="宋体" w:cs="宋体"/>
          <w:color w:val="auto"/>
          <w:sz w:val="32"/>
          <w:szCs w:val="32"/>
          <w:highlight w:val="none"/>
        </w:rPr>
        <w:t>须知</w:t>
      </w:r>
    </w:p>
    <w:p w14:paraId="5889419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53DE50A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w:t>
      </w:r>
      <w:r>
        <w:rPr>
          <w:rFonts w:hint="eastAsia" w:ascii="宋体" w:hAnsi="宋体" w:eastAsia="宋体" w:cs="宋体"/>
          <w:color w:val="auto"/>
          <w:sz w:val="32"/>
          <w:szCs w:val="32"/>
          <w:highlight w:val="none"/>
          <w:lang w:eastAsia="zh-CN"/>
        </w:rPr>
        <w:t>审</w:t>
      </w:r>
      <w:r>
        <w:rPr>
          <w:rFonts w:hint="eastAsia" w:ascii="宋体" w:hAnsi="宋体" w:eastAsia="宋体" w:cs="宋体"/>
          <w:color w:val="auto"/>
          <w:sz w:val="32"/>
          <w:szCs w:val="32"/>
          <w:highlight w:val="none"/>
        </w:rPr>
        <w:t>办法</w:t>
      </w:r>
    </w:p>
    <w:p w14:paraId="77E774D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应提交的有关格式范例</w:t>
      </w:r>
    </w:p>
    <w:p w14:paraId="1663F526">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3A174486">
      <w:pPr>
        <w:spacing w:line="360" w:lineRule="auto"/>
        <w:ind w:firstLine="549" w:firstLineChars="229"/>
        <w:rPr>
          <w:rFonts w:hint="eastAsia" w:ascii="宋体" w:hAnsi="宋体" w:eastAsia="宋体" w:cs="宋体"/>
          <w:color w:val="auto"/>
          <w:sz w:val="24"/>
          <w:highlight w:val="none"/>
        </w:rPr>
      </w:pPr>
    </w:p>
    <w:p w14:paraId="54A765E5">
      <w:pPr>
        <w:spacing w:line="360" w:lineRule="auto"/>
        <w:ind w:firstLine="549" w:firstLineChars="229"/>
        <w:rPr>
          <w:rFonts w:hint="eastAsia" w:ascii="宋体" w:hAnsi="宋体" w:eastAsia="宋体" w:cs="宋体"/>
          <w:color w:val="auto"/>
          <w:sz w:val="24"/>
          <w:highlight w:val="none"/>
        </w:rPr>
      </w:pPr>
    </w:p>
    <w:p w14:paraId="2E803155">
      <w:pPr>
        <w:spacing w:line="360" w:lineRule="auto"/>
        <w:ind w:firstLine="549" w:firstLineChars="229"/>
        <w:rPr>
          <w:rFonts w:hint="eastAsia" w:ascii="宋体" w:hAnsi="宋体" w:eastAsia="宋体" w:cs="宋体"/>
          <w:color w:val="auto"/>
          <w:sz w:val="24"/>
          <w:highlight w:val="none"/>
        </w:rPr>
      </w:pPr>
    </w:p>
    <w:p w14:paraId="17D52D02">
      <w:pPr>
        <w:spacing w:line="360" w:lineRule="auto"/>
        <w:ind w:firstLine="549" w:firstLineChars="229"/>
        <w:rPr>
          <w:rFonts w:hint="eastAsia" w:ascii="宋体" w:hAnsi="宋体" w:eastAsia="宋体" w:cs="宋体"/>
          <w:color w:val="auto"/>
          <w:sz w:val="24"/>
          <w:highlight w:val="none"/>
        </w:rPr>
      </w:pPr>
    </w:p>
    <w:p w14:paraId="6E14392B">
      <w:pPr>
        <w:spacing w:line="360" w:lineRule="auto"/>
        <w:ind w:firstLine="549" w:firstLineChars="229"/>
        <w:rPr>
          <w:rFonts w:hint="eastAsia" w:ascii="宋体" w:hAnsi="宋体" w:eastAsia="宋体" w:cs="宋体"/>
          <w:color w:val="auto"/>
          <w:sz w:val="24"/>
          <w:highlight w:val="none"/>
        </w:rPr>
      </w:pPr>
    </w:p>
    <w:p w14:paraId="51803E88">
      <w:pPr>
        <w:spacing w:line="360" w:lineRule="auto"/>
        <w:ind w:firstLine="549" w:firstLineChars="229"/>
        <w:rPr>
          <w:rFonts w:hint="eastAsia" w:ascii="宋体" w:hAnsi="宋体" w:eastAsia="宋体" w:cs="宋体"/>
          <w:color w:val="auto"/>
          <w:sz w:val="24"/>
          <w:highlight w:val="none"/>
        </w:rPr>
      </w:pPr>
    </w:p>
    <w:p w14:paraId="0EE74B98">
      <w:pPr>
        <w:spacing w:line="360" w:lineRule="auto"/>
        <w:ind w:firstLine="549" w:firstLineChars="229"/>
        <w:rPr>
          <w:rFonts w:hint="eastAsia" w:ascii="宋体" w:hAnsi="宋体" w:eastAsia="宋体" w:cs="宋体"/>
          <w:color w:val="auto"/>
          <w:sz w:val="24"/>
          <w:highlight w:val="none"/>
        </w:rPr>
      </w:pPr>
    </w:p>
    <w:p w14:paraId="172B6555">
      <w:pPr>
        <w:spacing w:line="360" w:lineRule="auto"/>
        <w:ind w:firstLine="549" w:firstLineChars="229"/>
        <w:rPr>
          <w:rFonts w:hint="eastAsia" w:ascii="宋体" w:hAnsi="宋体" w:eastAsia="宋体" w:cs="宋体"/>
          <w:color w:val="auto"/>
          <w:sz w:val="24"/>
          <w:highlight w:val="none"/>
        </w:rPr>
      </w:pPr>
    </w:p>
    <w:p w14:paraId="57FD883C">
      <w:pPr>
        <w:spacing w:line="360" w:lineRule="auto"/>
        <w:ind w:firstLine="549" w:firstLineChars="229"/>
        <w:rPr>
          <w:rFonts w:hint="eastAsia" w:ascii="宋体" w:hAnsi="宋体" w:eastAsia="宋体" w:cs="宋体"/>
          <w:color w:val="auto"/>
          <w:sz w:val="24"/>
          <w:highlight w:val="none"/>
        </w:rPr>
      </w:pPr>
    </w:p>
    <w:p w14:paraId="6FC831B0">
      <w:pPr>
        <w:spacing w:line="360" w:lineRule="auto"/>
        <w:ind w:firstLine="549" w:firstLineChars="229"/>
        <w:rPr>
          <w:rFonts w:hint="eastAsia" w:ascii="宋体" w:hAnsi="宋体" w:eastAsia="宋体" w:cs="宋体"/>
          <w:color w:val="auto"/>
          <w:sz w:val="24"/>
          <w:highlight w:val="none"/>
        </w:rPr>
      </w:pPr>
    </w:p>
    <w:p w14:paraId="3AB818AF">
      <w:pPr>
        <w:spacing w:line="360" w:lineRule="auto"/>
        <w:ind w:firstLine="549" w:firstLineChars="229"/>
        <w:rPr>
          <w:rFonts w:hint="eastAsia" w:ascii="宋体" w:hAnsi="宋体" w:eastAsia="宋体" w:cs="宋体"/>
          <w:color w:val="auto"/>
          <w:sz w:val="24"/>
          <w:highlight w:val="none"/>
        </w:rPr>
      </w:pPr>
    </w:p>
    <w:p w14:paraId="05B43315">
      <w:pPr>
        <w:spacing w:line="360" w:lineRule="auto"/>
        <w:ind w:firstLine="549" w:firstLineChars="229"/>
        <w:rPr>
          <w:rFonts w:hint="eastAsia" w:ascii="宋体" w:hAnsi="宋体" w:eastAsia="宋体" w:cs="宋体"/>
          <w:color w:val="auto"/>
          <w:sz w:val="24"/>
          <w:highlight w:val="none"/>
        </w:rPr>
      </w:pPr>
    </w:p>
    <w:p w14:paraId="7E6ED756">
      <w:pPr>
        <w:spacing w:line="360" w:lineRule="auto"/>
        <w:rPr>
          <w:rFonts w:hint="eastAsia" w:ascii="宋体" w:hAnsi="宋体" w:eastAsia="宋体" w:cs="宋体"/>
          <w:color w:val="auto"/>
          <w:sz w:val="24"/>
          <w:highlight w:val="none"/>
        </w:rPr>
      </w:pPr>
    </w:p>
    <w:p w14:paraId="6203E0AB">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 xml:space="preserve">第一部分 </w:t>
      </w:r>
      <w:r>
        <w:rPr>
          <w:rFonts w:hint="eastAsia" w:ascii="宋体" w:hAnsi="宋体" w:eastAsia="宋体" w:cs="宋体"/>
          <w:b/>
          <w:color w:val="auto"/>
          <w:sz w:val="36"/>
          <w:szCs w:val="20"/>
          <w:highlight w:val="none"/>
          <w:lang w:eastAsia="zh-CN"/>
        </w:rPr>
        <w:t>交易</w:t>
      </w:r>
      <w:r>
        <w:rPr>
          <w:rFonts w:hint="eastAsia" w:ascii="宋体" w:hAnsi="宋体" w:eastAsia="宋体" w:cs="宋体"/>
          <w:b/>
          <w:color w:val="auto"/>
          <w:sz w:val="36"/>
          <w:szCs w:val="20"/>
          <w:highlight w:val="none"/>
        </w:rPr>
        <w:t>公告</w:t>
      </w:r>
    </w:p>
    <w:p w14:paraId="778C4A08">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2EBF989C">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萧山区2025年红火蚁疫情监测服务项目</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项目的潜在</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应在</w:t>
      </w:r>
      <w:r>
        <w:rPr>
          <w:rFonts w:hint="eastAsia" w:ascii="宋体" w:hAnsi="宋体" w:eastAsia="宋体" w:cs="宋体"/>
          <w:color w:val="auto"/>
          <w:sz w:val="24"/>
          <w:highlight w:val="none"/>
          <w:lang w:eastAsia="zh-CN"/>
        </w:rPr>
        <w:t>乐采云(萧采云)</w:t>
      </w:r>
      <w:r>
        <w:rPr>
          <w:rFonts w:hint="eastAsia" w:ascii="宋体" w:hAnsi="宋体" w:eastAsia="宋体" w:cs="宋体"/>
          <w:color w:val="auto"/>
          <w:sz w:val="24"/>
          <w:highlight w:val="none"/>
        </w:rPr>
        <w:t>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w:t>
      </w:r>
      <w:r>
        <w:rPr>
          <w:rStyle w:val="77"/>
          <w:rFonts w:hint="eastAsia" w:ascii="宋体" w:hAnsi="宋体" w:eastAsia="宋体" w:cs="宋体"/>
          <w:snapToGrid/>
          <w:color w:val="auto"/>
          <w:kern w:val="2"/>
          <w:sz w:val="24"/>
          <w:szCs w:val="24"/>
          <w:highlight w:val="none"/>
          <w:lang w:eastAsia="zh-CN"/>
        </w:rPr>
        <w:t>交易</w:t>
      </w:r>
      <w:r>
        <w:rPr>
          <w:rStyle w:val="77"/>
          <w:rFonts w:hint="eastAsia" w:ascii="宋体" w:hAnsi="宋体" w:eastAsia="宋体" w:cs="宋体"/>
          <w:snapToGrid/>
          <w:color w:val="auto"/>
          <w:kern w:val="2"/>
          <w:sz w:val="24"/>
          <w:szCs w:val="24"/>
          <w:highlight w:val="none"/>
        </w:rPr>
        <w:t>文件，并于</w:t>
      </w:r>
      <w:r>
        <w:rPr>
          <w:rFonts w:hint="eastAsia" w:ascii="宋体" w:hAnsi="宋体" w:cs="宋体"/>
          <w:color w:val="auto"/>
          <w:sz w:val="24"/>
          <w:highlight w:val="none"/>
          <w:u w:val="single"/>
          <w:lang w:eastAsia="zh-CN"/>
        </w:rPr>
        <w:t>2025年5月14日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w:t>
      </w:r>
    </w:p>
    <w:p w14:paraId="7A19D99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3FDEB2B4">
      <w:pPr>
        <w:spacing w:line="360" w:lineRule="auto"/>
        <w:rPr>
          <w:rFonts w:hint="eastAsia" w:ascii="宋体" w:hAnsi="宋体" w:eastAsia="宋体" w:cs="宋体"/>
          <w:b w:val="0"/>
          <w:bCs/>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b w:val="0"/>
          <w:bCs/>
          <w:color w:val="auto"/>
          <w:sz w:val="24"/>
          <w:highlight w:val="none"/>
          <w:lang w:eastAsia="zh-CN"/>
        </w:rPr>
        <w:t>NYJ2025-GK-LCY003</w:t>
      </w:r>
    </w:p>
    <w:p w14:paraId="5E17F223">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r>
        <w:rPr>
          <w:rFonts w:hint="eastAsia" w:ascii="宋体" w:hAnsi="宋体" w:eastAsia="宋体" w:cs="宋体"/>
          <w:b w:val="0"/>
          <w:bCs/>
          <w:color w:val="auto"/>
          <w:sz w:val="24"/>
          <w:highlight w:val="none"/>
          <w:lang w:eastAsia="zh-CN"/>
        </w:rPr>
        <w:t>萧山区2025年红火蚁疫情监测服务项目</w:t>
      </w:r>
      <w:r>
        <w:rPr>
          <w:rFonts w:hint="eastAsia" w:ascii="宋体" w:hAnsi="宋体" w:eastAsia="宋体" w:cs="宋体"/>
          <w:b w:val="0"/>
          <w:bCs/>
          <w:color w:val="auto"/>
          <w:sz w:val="24"/>
          <w:highlight w:val="none"/>
        </w:rPr>
        <w:t xml:space="preserve">   </w:t>
      </w:r>
    </w:p>
    <w:p w14:paraId="203CD9E1">
      <w:pPr>
        <w:spacing w:line="360" w:lineRule="auto"/>
        <w:ind w:firstLine="480"/>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预算金额（元）：</w:t>
      </w:r>
      <w:r>
        <w:rPr>
          <w:rFonts w:hint="eastAsia" w:ascii="宋体" w:hAnsi="宋体" w:eastAsia="宋体" w:cs="宋体"/>
          <w:b w:val="0"/>
          <w:bCs/>
          <w:color w:val="auto"/>
          <w:sz w:val="24"/>
          <w:highlight w:val="none"/>
          <w:lang w:val="en-US" w:eastAsia="zh-CN"/>
        </w:rPr>
        <w:t>300000元</w:t>
      </w:r>
    </w:p>
    <w:p w14:paraId="17649828">
      <w:pPr>
        <w:tabs>
          <w:tab w:val="center" w:pos="4535"/>
        </w:tabs>
        <w:spacing w:line="360" w:lineRule="auto"/>
        <w:ind w:firstLine="480"/>
        <w:rPr>
          <w:rFonts w:hint="eastAsia" w:ascii="宋体" w:hAnsi="宋体" w:eastAsia="宋体" w:cs="宋体"/>
          <w:b w:val="0"/>
          <w:bCs/>
          <w:color w:val="auto"/>
          <w:sz w:val="24"/>
          <w:highlight w:val="none"/>
          <w:lang w:val="en-US"/>
        </w:rPr>
      </w:pPr>
      <w:r>
        <w:rPr>
          <w:rFonts w:hint="eastAsia" w:ascii="宋体" w:hAnsi="宋体" w:eastAsia="宋体" w:cs="宋体"/>
          <w:b/>
          <w:color w:val="auto"/>
          <w:sz w:val="24"/>
          <w:highlight w:val="none"/>
        </w:rPr>
        <w:t>最高限价（元）：</w:t>
      </w:r>
      <w:r>
        <w:rPr>
          <w:rFonts w:hint="eastAsia" w:ascii="宋体" w:hAnsi="宋体" w:eastAsia="宋体" w:cs="宋体"/>
          <w:b w:val="0"/>
          <w:bCs/>
          <w:color w:val="auto"/>
          <w:sz w:val="24"/>
          <w:highlight w:val="none"/>
          <w:lang w:val="en-US" w:eastAsia="zh-CN"/>
        </w:rPr>
        <w:t>300000元</w:t>
      </w:r>
      <w:r>
        <w:rPr>
          <w:rFonts w:hint="eastAsia" w:ascii="宋体" w:hAnsi="宋体" w:eastAsia="宋体" w:cs="宋体"/>
          <w:b w:val="0"/>
          <w:bCs/>
          <w:color w:val="auto"/>
          <w:sz w:val="24"/>
          <w:highlight w:val="none"/>
          <w:lang w:val="en-US" w:eastAsia="zh-CN"/>
        </w:rPr>
        <w:tab/>
      </w:r>
    </w:p>
    <w:p w14:paraId="40FEEF18">
      <w:pPr>
        <w:pStyle w:val="18"/>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p>
    <w:p w14:paraId="5EC5169A">
      <w:pPr>
        <w:spacing w:line="360" w:lineRule="auto"/>
        <w:ind w:left="420" w:leftChars="200"/>
        <w:jc w:val="left"/>
        <w:rPr>
          <w:rFonts w:hint="eastAsia" w:ascii="宋体" w:hAnsi="宋体" w:eastAsia="宋体" w:cs="宋体"/>
          <w:color w:val="auto"/>
          <w:sz w:val="24"/>
          <w:szCs w:val="28"/>
          <w:highlight w:val="none"/>
          <w:u w:val="single"/>
          <w:lang w:eastAsia="zh-CN"/>
        </w:rPr>
      </w:pPr>
      <w:r>
        <w:rPr>
          <w:rFonts w:hint="eastAsia" w:ascii="宋体" w:hAnsi="宋体" w:eastAsia="宋体" w:cs="宋体"/>
          <w:color w:val="auto"/>
          <w:sz w:val="24"/>
          <w:highlight w:val="none"/>
        </w:rPr>
        <w:t>标项名称:</w:t>
      </w:r>
      <w:r>
        <w:rPr>
          <w:rFonts w:hint="eastAsia" w:ascii="宋体" w:hAnsi="宋体" w:eastAsia="宋体" w:cs="宋体"/>
          <w:b w:val="0"/>
          <w:bCs/>
          <w:color w:val="auto"/>
          <w:sz w:val="24"/>
          <w:highlight w:val="none"/>
          <w:lang w:eastAsia="zh-CN"/>
        </w:rPr>
        <w:t>萧山区2025年红火蚁疫情监测服务项目</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简要规格描述或项目基本概况介绍、用途：</w:t>
      </w:r>
      <w:r>
        <w:rPr>
          <w:rFonts w:hint="eastAsia" w:ascii="宋体" w:hAnsi="宋体" w:eastAsia="宋体" w:cs="宋体"/>
          <w:color w:val="auto"/>
          <w:sz w:val="24"/>
          <w:szCs w:val="28"/>
          <w:highlight w:val="none"/>
        </w:rPr>
        <w:t>详见</w:t>
      </w:r>
      <w:r>
        <w:rPr>
          <w:rFonts w:hint="eastAsia" w:ascii="宋体" w:hAnsi="宋体" w:eastAsia="宋体" w:cs="宋体"/>
          <w:color w:val="auto"/>
          <w:sz w:val="24"/>
          <w:szCs w:val="28"/>
          <w:highlight w:val="none"/>
          <w:lang w:eastAsia="zh-CN"/>
        </w:rPr>
        <w:t>交易文件</w:t>
      </w:r>
    </w:p>
    <w:p w14:paraId="4588650C">
      <w:pPr>
        <w:pStyle w:val="18"/>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备注： </w:t>
      </w:r>
    </w:p>
    <w:p w14:paraId="43795F32">
      <w:pPr>
        <w:spacing w:line="360" w:lineRule="auto"/>
        <w:ind w:left="420" w:left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合同履约期限：</w:t>
      </w:r>
      <w:r>
        <w:rPr>
          <w:rFonts w:hint="eastAsia" w:ascii="宋体" w:hAnsi="宋体" w:eastAsia="宋体" w:cs="宋体"/>
          <w:color w:val="auto"/>
          <w:sz w:val="24"/>
          <w:szCs w:val="28"/>
          <w:highlight w:val="none"/>
        </w:rPr>
        <w:t>详见</w:t>
      </w:r>
      <w:r>
        <w:rPr>
          <w:rFonts w:hint="eastAsia" w:ascii="宋体" w:hAnsi="宋体" w:eastAsia="宋体" w:cs="宋体"/>
          <w:color w:val="auto"/>
          <w:sz w:val="24"/>
          <w:szCs w:val="28"/>
          <w:highlight w:val="none"/>
          <w:lang w:eastAsia="zh-CN"/>
        </w:rPr>
        <w:t>交易文件</w:t>
      </w:r>
    </w:p>
    <w:p w14:paraId="6EF30244">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 xml:space="preserve">：（ ）是；（√）否 </w:t>
      </w:r>
      <w:r>
        <w:rPr>
          <w:rFonts w:hint="eastAsia" w:ascii="宋体" w:hAnsi="宋体" w:eastAsia="宋体" w:cs="宋体"/>
          <w:color w:val="auto"/>
          <w:kern w:val="0"/>
          <w:sz w:val="24"/>
          <w:highlight w:val="none"/>
        </w:rPr>
        <w:t>。</w:t>
      </w:r>
    </w:p>
    <w:p w14:paraId="0156E75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268197EF">
      <w:pPr>
        <w:snapToGrid w:val="0"/>
        <w:spacing w:line="360" w:lineRule="auto"/>
        <w:ind w:firstLine="480" w:firstLineChars="20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 xml:space="preserve">1.满足《中华人民共和国政府采购法》第二十二条规定；    </w:t>
      </w:r>
    </w:p>
    <w:p w14:paraId="6E4046BC">
      <w:pPr>
        <w:snapToGrid w:val="0"/>
        <w:spacing w:line="360" w:lineRule="auto"/>
        <w:ind w:firstLine="480" w:firstLineChars="20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 xml:space="preserve">2.落实政府采购政策需满足的资格要求：标项1：供应商为中小企业   </w:t>
      </w:r>
    </w:p>
    <w:p w14:paraId="15F993E8">
      <w:pPr>
        <w:snapToGrid w:val="0"/>
        <w:spacing w:line="360" w:lineRule="auto"/>
        <w:ind w:firstLine="480" w:firstLineChars="20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3.本项目的特定资格要求：</w:t>
      </w:r>
      <w:r>
        <w:rPr>
          <w:rFonts w:hint="eastAsia" w:ascii="宋体" w:hAnsi="宋体" w:eastAsia="宋体" w:cs="宋体"/>
          <w:snapToGrid w:val="0"/>
          <w:color w:val="auto"/>
          <w:kern w:val="28"/>
          <w:sz w:val="24"/>
          <w:szCs w:val="20"/>
          <w:lang w:val="en-US" w:eastAsia="zh-CN"/>
        </w:rPr>
        <w:t xml:space="preserve"> 无</w:t>
      </w:r>
      <w:r>
        <w:rPr>
          <w:rFonts w:hint="eastAsia" w:ascii="宋体" w:hAnsi="宋体" w:eastAsia="宋体" w:cs="宋体"/>
          <w:snapToGrid w:val="0"/>
          <w:color w:val="auto"/>
          <w:kern w:val="28"/>
          <w:sz w:val="24"/>
          <w:szCs w:val="20"/>
        </w:rPr>
        <w:t xml:space="preserve">   </w:t>
      </w:r>
    </w:p>
    <w:p w14:paraId="2CE4AB7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B152C3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w:t>
      </w:r>
      <w:r>
        <w:rPr>
          <w:rFonts w:hint="eastAsia" w:ascii="宋体" w:hAnsi="宋体" w:eastAsia="宋体" w:cs="宋体"/>
          <w:b/>
          <w:color w:val="auto"/>
          <w:sz w:val="24"/>
          <w:highlight w:val="none"/>
          <w:lang w:eastAsia="zh-CN"/>
        </w:rPr>
        <w:t>交易</w:t>
      </w:r>
      <w:r>
        <w:rPr>
          <w:rFonts w:hint="eastAsia" w:ascii="宋体" w:hAnsi="宋体" w:eastAsia="宋体" w:cs="宋体"/>
          <w:b/>
          <w:color w:val="auto"/>
          <w:sz w:val="24"/>
          <w:highlight w:val="none"/>
        </w:rPr>
        <w:t xml:space="preserve">文件 </w:t>
      </w:r>
    </w:p>
    <w:p w14:paraId="1F066A7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eastAsia="zh-CN"/>
        </w:rPr>
        <w:t>2025年5月14日</w:t>
      </w:r>
      <w:r>
        <w:rPr>
          <w:rFonts w:hint="eastAsia" w:ascii="宋体" w:hAnsi="宋体" w:eastAsia="宋体" w:cs="宋体"/>
          <w:color w:val="auto"/>
          <w:sz w:val="24"/>
          <w:highlight w:val="none"/>
        </w:rPr>
        <w:t>，每天上午00:00至12:00，下午12:00至23:59（北京时间，线上获取法定节假日均可，线下获取文件法定节假日除外）</w:t>
      </w:r>
    </w:p>
    <w:p w14:paraId="5DFEDE5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lang w:eastAsia="zh-CN"/>
        </w:rPr>
        <w:t>乐采云(萧采云)</w:t>
      </w:r>
      <w:r>
        <w:rPr>
          <w:rFonts w:hint="eastAsia" w:ascii="宋体" w:hAnsi="宋体" w:eastAsia="宋体" w:cs="宋体"/>
          <w:color w:val="auto"/>
          <w:sz w:val="24"/>
          <w:highlight w:val="none"/>
        </w:rPr>
        <w:t xml:space="preserve">平台（https://www.zcygov.cn/） </w:t>
      </w:r>
    </w:p>
    <w:p w14:paraId="5E1852C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w:t>
      </w:r>
      <w:r>
        <w:rPr>
          <w:rFonts w:hint="eastAsia" w:ascii="宋体" w:hAnsi="宋体" w:eastAsia="宋体" w:cs="宋体"/>
          <w:color w:val="auto"/>
          <w:sz w:val="24"/>
          <w:highlight w:val="none"/>
          <w:lang w:eastAsia="zh-CN"/>
        </w:rPr>
        <w:t>乐采云(萧采云)</w:t>
      </w:r>
      <w:r>
        <w:rPr>
          <w:rFonts w:hint="eastAsia" w:ascii="宋体" w:hAnsi="宋体" w:eastAsia="宋体" w:cs="宋体"/>
          <w:color w:val="auto"/>
          <w:sz w:val="24"/>
          <w:highlight w:val="none"/>
        </w:rPr>
        <w:t xml:space="preserve">平台https://www.zcygov.cn/在线申请获取采购文件（进入“项目采购”应用，在获取采购文件菜单中选择项目，申请获取采购文件）。 </w:t>
      </w:r>
    </w:p>
    <w:p w14:paraId="36C3276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58E05E5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文件截止时间、</w:t>
      </w:r>
      <w:r>
        <w:rPr>
          <w:rFonts w:hint="eastAsia" w:ascii="宋体" w:hAnsi="宋体" w:eastAsia="宋体" w:cs="宋体"/>
          <w:b/>
          <w:color w:val="auto"/>
          <w:sz w:val="24"/>
          <w:highlight w:val="none"/>
          <w:lang w:eastAsia="zh-CN"/>
        </w:rPr>
        <w:t>交易</w:t>
      </w:r>
      <w:r>
        <w:rPr>
          <w:rFonts w:hint="eastAsia" w:ascii="宋体" w:hAnsi="宋体" w:eastAsia="宋体" w:cs="宋体"/>
          <w:b/>
          <w:color w:val="auto"/>
          <w:sz w:val="24"/>
          <w:highlight w:val="none"/>
        </w:rPr>
        <w:t>时间和地点</w:t>
      </w:r>
    </w:p>
    <w:p w14:paraId="66E389A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文件截止时间：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2025年5月14日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58928003">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交易</w:t>
      </w: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lang w:eastAsia="zh-CN"/>
        </w:rPr>
        <w:t>乐采云(萧采云)</w:t>
      </w:r>
      <w:r>
        <w:rPr>
          <w:rFonts w:hint="eastAsia" w:ascii="宋体" w:hAnsi="宋体" w:eastAsia="宋体" w:cs="宋体"/>
          <w:color w:val="auto"/>
          <w:sz w:val="24"/>
          <w:highlight w:val="none"/>
        </w:rPr>
        <w:t xml:space="preserve">平台（https://www.zcygov.cn/） </w:t>
      </w:r>
    </w:p>
    <w:p w14:paraId="03C0409E">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lang w:eastAsia="zh-CN"/>
        </w:rPr>
        <w:t>交易</w:t>
      </w:r>
      <w:r>
        <w:rPr>
          <w:rFonts w:hint="eastAsia" w:ascii="宋体" w:hAnsi="宋体" w:eastAsia="宋体" w:cs="宋体"/>
          <w:b/>
          <w:color w:val="auto"/>
          <w:sz w:val="24"/>
          <w:highlight w:val="none"/>
        </w:rPr>
        <w:t>时间：</w:t>
      </w:r>
      <w:r>
        <w:rPr>
          <w:rFonts w:hint="eastAsia" w:ascii="宋体" w:hAnsi="宋体" w:cs="宋体"/>
          <w:color w:val="auto"/>
          <w:sz w:val="24"/>
          <w:highlight w:val="none"/>
          <w:u w:val="single"/>
          <w:lang w:eastAsia="zh-CN"/>
        </w:rPr>
        <w:t>2025年5月14日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 xml:space="preserve"> </w:t>
      </w:r>
    </w:p>
    <w:p w14:paraId="09B4D6D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lang w:eastAsia="zh-CN"/>
        </w:rPr>
        <w:t>交易</w:t>
      </w: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lang w:eastAsia="zh-CN"/>
        </w:rPr>
        <w:t>乐采云(萧采云)</w:t>
      </w:r>
      <w:r>
        <w:rPr>
          <w:rFonts w:hint="eastAsia" w:ascii="宋体" w:hAnsi="宋体" w:eastAsia="宋体" w:cs="宋体"/>
          <w:color w:val="auto"/>
          <w:sz w:val="24"/>
          <w:highlight w:val="none"/>
        </w:rPr>
        <w:t>平台（https://www.zcygov.cn/）</w:t>
      </w:r>
      <w:r>
        <w:rPr>
          <w:rFonts w:hint="eastAsia" w:ascii="宋体" w:hAnsi="宋体" w:eastAsia="宋体" w:cs="宋体"/>
          <w:color w:val="auto"/>
          <w:sz w:val="24"/>
          <w:szCs w:val="28"/>
          <w:highlight w:val="none"/>
        </w:rPr>
        <w:t>。</w:t>
      </w:r>
    </w:p>
    <w:p w14:paraId="6B8C3D61">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bookmarkStart w:id="390" w:name="_GoBack"/>
      <w:bookmarkEnd w:id="390"/>
    </w:p>
    <w:p w14:paraId="5CCB99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日。</w:t>
      </w:r>
    </w:p>
    <w:p w14:paraId="6A249D4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72E2B9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文件使自己的权益受到损害的，可以自获取</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文件之日或者</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文件公告期限届满之日（公告期限届满后获取</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文件的，以公告期限届满之日为准）起</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7A96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交易（招投标）的说明：①电子交易：本项目以数据电文形式，依托“政府采购云平台（www.zcygov.cn）”进行交易活动，不接受纸质响应文件；②交易准备：注册账号--点击“商家入驻”，进行政府采购供应商资料填写；申领CA数字证书---申领流程详见“浙江政府采购网-下载专区-电子交易客户端-CA驱动和申领流程”；安装“</w:t>
      </w:r>
      <w:r>
        <w:rPr>
          <w:rFonts w:hint="eastAsia" w:ascii="宋体" w:hAnsi="宋体" w:eastAsia="宋体" w:cs="宋体"/>
          <w:color w:val="auto"/>
          <w:sz w:val="24"/>
          <w:highlight w:val="none"/>
          <w:lang w:eastAsia="zh-CN"/>
        </w:rPr>
        <w:t>乐采云(萧采云)</w:t>
      </w:r>
      <w:r>
        <w:rPr>
          <w:rFonts w:hint="eastAsia" w:ascii="宋体" w:hAnsi="宋体" w:eastAsia="宋体" w:cs="宋体"/>
          <w:color w:val="auto"/>
          <w:sz w:val="24"/>
          <w:highlight w:val="none"/>
        </w:rPr>
        <w:t>电子交易客户端”----前往“浙江政府采购网-下载专区-电子交易客户端”进行下载并安装；③交易（采购）文件的获取：使用账号登录或者使用CA登录</w:t>
      </w:r>
      <w:r>
        <w:rPr>
          <w:rFonts w:hint="eastAsia" w:ascii="宋体" w:hAnsi="宋体" w:eastAsia="宋体" w:cs="宋体"/>
          <w:color w:val="auto"/>
          <w:sz w:val="24"/>
          <w:highlight w:val="none"/>
          <w:lang w:eastAsia="zh-CN"/>
        </w:rPr>
        <w:t>乐采云(萧采云)</w:t>
      </w:r>
      <w:r>
        <w:rPr>
          <w:rFonts w:hint="eastAsia" w:ascii="宋体" w:hAnsi="宋体" w:eastAsia="宋体" w:cs="宋体"/>
          <w:color w:val="auto"/>
          <w:sz w:val="24"/>
          <w:highlight w:val="none"/>
        </w:rPr>
        <w:t>平台；进入“项目采购”应用，在获取采购文件菜单中选择项目，获取交易文件；④响应文件的制作：在“</w:t>
      </w:r>
      <w:r>
        <w:rPr>
          <w:rFonts w:hint="eastAsia" w:ascii="宋体" w:hAnsi="宋体" w:eastAsia="宋体" w:cs="宋体"/>
          <w:color w:val="auto"/>
          <w:sz w:val="24"/>
          <w:highlight w:val="none"/>
          <w:lang w:eastAsia="zh-CN"/>
        </w:rPr>
        <w:t>乐采云(萧采云)</w:t>
      </w:r>
      <w:r>
        <w:rPr>
          <w:rFonts w:hint="eastAsia" w:ascii="宋体" w:hAnsi="宋体" w:eastAsia="宋体" w:cs="宋体"/>
          <w:color w:val="auto"/>
          <w:sz w:val="24"/>
          <w:highlight w:val="none"/>
        </w:rPr>
        <w:t>电子交易客户端”中完成“填写基本信息”、“导入响应文件”、“标书关联”、“标书检查”、“电子签名”、“生成电子标书”等操作；⑤采购人、采购机构将依托</w:t>
      </w:r>
      <w:r>
        <w:rPr>
          <w:rFonts w:hint="eastAsia" w:ascii="宋体" w:hAnsi="宋体" w:eastAsia="宋体" w:cs="宋体"/>
          <w:color w:val="auto"/>
          <w:sz w:val="24"/>
          <w:highlight w:val="none"/>
          <w:lang w:eastAsia="zh-CN"/>
        </w:rPr>
        <w:t>乐采云(萧采云)</w:t>
      </w:r>
      <w:r>
        <w:rPr>
          <w:rFonts w:hint="eastAsia" w:ascii="宋体" w:hAnsi="宋体" w:eastAsia="宋体" w:cs="宋体"/>
          <w:color w:val="auto"/>
          <w:sz w:val="24"/>
          <w:highlight w:val="none"/>
        </w:rPr>
        <w:t>平台完成本项目的电子交易活动，平台不接受未按上述方式获取交易文件的供应商进行</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 ⑥对未按上述方式获取交易文件的供应商对该文件提出的质疑，采购人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交易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w:t>
      </w:r>
      <w:r>
        <w:rPr>
          <w:rFonts w:hint="eastAsia" w:ascii="宋体" w:hAnsi="宋体" w:eastAsia="宋体" w:cs="宋体"/>
          <w:color w:val="auto"/>
          <w:sz w:val="24"/>
          <w:highlight w:val="none"/>
          <w:lang w:eastAsia="zh-CN"/>
        </w:rPr>
        <w:t>乐采云(萧采云)</w:t>
      </w:r>
      <w:r>
        <w:rPr>
          <w:rFonts w:hint="eastAsia" w:ascii="宋体" w:hAnsi="宋体" w:eastAsia="宋体" w:cs="宋体"/>
          <w:color w:val="auto"/>
          <w:sz w:val="24"/>
          <w:highlight w:val="none"/>
        </w:rPr>
        <w:t>平台“服务中心-帮助文档-项目采购-操作流程-电子招投标-政府采购项目电子交易管理操作指南-供应商”。</w:t>
      </w:r>
    </w:p>
    <w:p w14:paraId="5D0DDC1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29DEC498">
      <w:pPr>
        <w:widowControl/>
        <w:spacing w:line="360" w:lineRule="auto"/>
        <w:jc w:val="both"/>
        <w:rPr>
          <w:rFonts w:hint="eastAsia" w:ascii="宋体" w:hAnsi="宋体" w:eastAsia="宋体" w:cs="宋体"/>
        </w:rPr>
      </w:pPr>
      <w:r>
        <w:rPr>
          <w:rFonts w:hint="eastAsia" w:ascii="宋体" w:hAnsi="宋体" w:eastAsia="宋体" w:cs="宋体"/>
          <w:sz w:val="24"/>
          <w:szCs w:val="28"/>
        </w:rPr>
        <w:t>1</w:t>
      </w:r>
      <w:r>
        <w:rPr>
          <w:rFonts w:hint="eastAsia" w:ascii="宋体" w:hAnsi="宋体" w:eastAsia="宋体" w:cs="宋体"/>
          <w:color w:val="auto"/>
          <w:sz w:val="24"/>
          <w:szCs w:val="28"/>
          <w:highlight w:val="none"/>
        </w:rPr>
        <w:t>.采购人信息</w:t>
      </w:r>
    </w:p>
    <w:p w14:paraId="0BAF3C36">
      <w:pPr>
        <w:spacing w:line="360" w:lineRule="auto"/>
        <w:jc w:val="left"/>
        <w:rPr>
          <w:rFonts w:hint="eastAsia" w:ascii="宋体" w:hAnsi="宋体" w:eastAsia="宋体" w:cs="宋体"/>
          <w:color w:val="auto"/>
          <w:sz w:val="24"/>
          <w:szCs w:val="24"/>
          <w:highlight w:val="none"/>
          <w:lang w:val="en-US" w:eastAsia="zh-CN"/>
        </w:rPr>
      </w:pPr>
      <w:bookmarkStart w:id="10" w:name="_Toc28359009"/>
      <w:bookmarkStart w:id="11" w:name="_Toc28359086"/>
      <w:r>
        <w:rPr>
          <w:rFonts w:hint="eastAsia" w:ascii="宋体" w:hAnsi="宋体" w:eastAsia="宋体" w:cs="宋体"/>
          <w:color w:val="auto"/>
          <w:sz w:val="24"/>
          <w:szCs w:val="28"/>
          <w:highlight w:val="none"/>
        </w:rPr>
        <w:t>名称：</w:t>
      </w:r>
      <w:r>
        <w:rPr>
          <w:rFonts w:hint="eastAsia" w:ascii="宋体" w:hAnsi="宋体" w:eastAsia="宋体" w:cs="宋体"/>
          <w:color w:val="auto"/>
          <w:sz w:val="24"/>
          <w:szCs w:val="28"/>
          <w:highlight w:val="none"/>
          <w:lang w:eastAsia="zh-CN"/>
        </w:rPr>
        <w:t>杭州市萧山区农业农村局</w:t>
      </w:r>
    </w:p>
    <w:p w14:paraId="5BE960ED">
      <w:pPr>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地址：</w:t>
      </w:r>
      <w:r>
        <w:rPr>
          <w:rFonts w:hint="eastAsia" w:ascii="宋体" w:hAnsi="宋体" w:eastAsia="宋体" w:cs="宋体"/>
          <w:color w:val="auto"/>
          <w:sz w:val="24"/>
          <w:szCs w:val="24"/>
          <w:highlight w:val="none"/>
          <w:lang w:val="en-US" w:eastAsia="zh-CN"/>
        </w:rPr>
        <w:t>杭州市</w:t>
      </w:r>
      <w:r>
        <w:rPr>
          <w:rFonts w:hint="eastAsia" w:ascii="宋体" w:hAnsi="宋体" w:eastAsia="宋体" w:cs="宋体"/>
          <w:color w:val="auto"/>
          <w:sz w:val="24"/>
          <w:szCs w:val="24"/>
          <w:highlight w:val="none"/>
        </w:rPr>
        <w:t>萧山区潘右路988号</w:t>
      </w:r>
    </w:p>
    <w:p w14:paraId="39458F7B">
      <w:pPr>
        <w:spacing w:line="360" w:lineRule="auto"/>
        <w:jc w:val="lef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项目联系人（询问）：</w:t>
      </w:r>
      <w:r>
        <w:rPr>
          <w:rFonts w:hint="eastAsia" w:ascii="宋体" w:hAnsi="宋体" w:eastAsia="宋体" w:cs="宋体"/>
          <w:color w:val="auto"/>
          <w:sz w:val="24"/>
          <w:szCs w:val="28"/>
          <w:highlight w:val="none"/>
          <w:lang w:val="en-US" w:eastAsia="zh-CN"/>
        </w:rPr>
        <w:t>商女士</w:t>
      </w:r>
    </w:p>
    <w:p w14:paraId="682E1D50">
      <w:pPr>
        <w:spacing w:line="360" w:lineRule="auto"/>
        <w:jc w:val="lef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项目联系方式（询问）：0571-</w:t>
      </w:r>
      <w:r>
        <w:rPr>
          <w:rFonts w:hint="eastAsia" w:ascii="宋体" w:hAnsi="宋体" w:eastAsia="宋体" w:cs="宋体"/>
          <w:color w:val="auto"/>
          <w:sz w:val="24"/>
          <w:szCs w:val="28"/>
          <w:highlight w:val="none"/>
          <w:lang w:val="en-US" w:eastAsia="zh-CN"/>
        </w:rPr>
        <w:t xml:space="preserve">82623273 </w:t>
      </w:r>
      <w:r>
        <w:rPr>
          <w:rFonts w:hint="eastAsia" w:ascii="宋体" w:hAnsi="宋体" w:cs="宋体"/>
          <w:color w:val="auto"/>
          <w:sz w:val="24"/>
          <w:szCs w:val="28"/>
          <w:highlight w:val="none"/>
          <w:lang w:val="en-US" w:eastAsia="zh-CN"/>
        </w:rPr>
        <w:t>17326083616</w:t>
      </w:r>
    </w:p>
    <w:bookmarkEnd w:id="10"/>
    <w:bookmarkEnd w:id="11"/>
    <w:p w14:paraId="429488C5">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2.采购代理机构信息</w:t>
      </w:r>
    </w:p>
    <w:p w14:paraId="56BA0DC7">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名称：德威工程管理咨询有限公司</w:t>
      </w:r>
    </w:p>
    <w:p w14:paraId="72FBFC8C">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地址：萧山区通惠南路782号憬天国际5幢23楼</w:t>
      </w:r>
    </w:p>
    <w:p w14:paraId="290C1CBC">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项目联系人（询问）：胡松华</w:t>
      </w:r>
    </w:p>
    <w:p w14:paraId="4A54075D">
      <w:pPr>
        <w:spacing w:line="36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rPr>
        <w:t>项目联系方式（询问）：0571-82756806</w:t>
      </w:r>
      <w:r>
        <w:rPr>
          <w:rFonts w:hint="eastAsia" w:ascii="宋体" w:hAnsi="宋体" w:eastAsia="宋体" w:cs="宋体"/>
          <w:color w:val="auto"/>
          <w:sz w:val="24"/>
          <w:lang w:val="en-US" w:eastAsia="zh-CN"/>
        </w:rPr>
        <w:t xml:space="preserve">  15397030968</w:t>
      </w:r>
    </w:p>
    <w:p w14:paraId="186DC5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w:t>
      </w:r>
    </w:p>
    <w:p w14:paraId="4B253C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w:t>
      </w:r>
      <w:r>
        <w:rPr>
          <w:rFonts w:hint="eastAsia" w:ascii="宋体" w:hAnsi="宋体" w:eastAsia="宋体" w:cs="宋体"/>
          <w:color w:val="auto"/>
          <w:sz w:val="24"/>
          <w:highlight w:val="none"/>
          <w:lang w:eastAsia="zh-CN"/>
        </w:rPr>
        <w:t>乐采云(萧采云)</w:t>
      </w:r>
      <w:r>
        <w:rPr>
          <w:rFonts w:hint="eastAsia" w:ascii="宋体" w:hAnsi="宋体" w:eastAsia="宋体" w:cs="宋体"/>
          <w:color w:val="auto"/>
          <w:sz w:val="24"/>
          <w:highlight w:val="none"/>
        </w:rPr>
        <w:t>（https://www.zcygov.cn/），点击右侧咨询小采，获取采小蜜智能服务管家帮助，或拨打</w:t>
      </w:r>
      <w:r>
        <w:rPr>
          <w:rFonts w:hint="eastAsia" w:ascii="宋体" w:hAnsi="宋体" w:eastAsia="宋体" w:cs="宋体"/>
          <w:color w:val="auto"/>
          <w:sz w:val="24"/>
          <w:highlight w:val="none"/>
          <w:lang w:eastAsia="zh-CN"/>
        </w:rPr>
        <w:t>乐采云(萧采云)</w:t>
      </w:r>
      <w:r>
        <w:rPr>
          <w:rFonts w:hint="eastAsia" w:ascii="宋体" w:hAnsi="宋体" w:eastAsia="宋体" w:cs="宋体"/>
          <w:color w:val="auto"/>
          <w:sz w:val="24"/>
          <w:highlight w:val="none"/>
        </w:rPr>
        <w:t>服务热线400-881-7190获取热线服务帮助。</w:t>
      </w:r>
    </w:p>
    <w:p w14:paraId="34EB1C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78DDCEA8">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w:t>
      </w:r>
    </w:p>
    <w:p w14:paraId="5A81608E">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w:t>
      </w:r>
      <w:r>
        <w:rPr>
          <w:rFonts w:hint="eastAsia" w:ascii="宋体" w:hAnsi="宋体" w:eastAsia="宋体" w:cs="宋体"/>
          <w:b/>
          <w:color w:val="auto"/>
          <w:sz w:val="36"/>
          <w:szCs w:val="20"/>
          <w:highlight w:val="none"/>
          <w:lang w:eastAsia="zh-CN"/>
        </w:rPr>
        <w:t>供应商</w:t>
      </w:r>
      <w:r>
        <w:rPr>
          <w:rFonts w:hint="eastAsia" w:ascii="宋体" w:hAnsi="宋体" w:eastAsia="宋体" w:cs="宋体"/>
          <w:b/>
          <w:color w:val="auto"/>
          <w:sz w:val="36"/>
          <w:szCs w:val="20"/>
          <w:highlight w:val="none"/>
        </w:rPr>
        <w:t>须知</w:t>
      </w:r>
      <w:bookmarkEnd w:id="8"/>
    </w:p>
    <w:p w14:paraId="75B8B59F">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36"/>
        <w:gridCol w:w="1864"/>
        <w:gridCol w:w="6298"/>
      </w:tblGrid>
      <w:tr w14:paraId="1963C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71674D68">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64" w:type="dxa"/>
            <w:tcBorders>
              <w:top w:val="single" w:color="000000" w:sz="8" w:space="0"/>
              <w:left w:val="single" w:color="auto" w:sz="4" w:space="0"/>
              <w:bottom w:val="single" w:color="000000" w:sz="8" w:space="0"/>
              <w:right w:val="single" w:color="000000" w:sz="8" w:space="0"/>
            </w:tcBorders>
            <w:vAlign w:val="center"/>
          </w:tcPr>
          <w:p w14:paraId="277576AD">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298" w:type="dxa"/>
            <w:tcBorders>
              <w:top w:val="single" w:color="000000" w:sz="8" w:space="0"/>
              <w:left w:val="single" w:color="000000" w:sz="2" w:space="0"/>
              <w:bottom w:val="single" w:color="000000" w:sz="8" w:space="0"/>
              <w:right w:val="single" w:color="000000" w:sz="8" w:space="0"/>
            </w:tcBorders>
            <w:vAlign w:val="center"/>
          </w:tcPr>
          <w:p w14:paraId="20F644CB">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1021B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5C1D9419">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64" w:type="dxa"/>
            <w:tcBorders>
              <w:top w:val="single" w:color="000000" w:sz="8" w:space="0"/>
              <w:left w:val="single" w:color="auto" w:sz="4" w:space="0"/>
              <w:bottom w:val="single" w:color="000000" w:sz="8" w:space="0"/>
              <w:right w:val="single" w:color="000000" w:sz="8" w:space="0"/>
            </w:tcBorders>
            <w:vAlign w:val="center"/>
          </w:tcPr>
          <w:p w14:paraId="694A9A1E">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298" w:type="dxa"/>
            <w:tcBorders>
              <w:top w:val="single" w:color="000000" w:sz="8" w:space="0"/>
              <w:left w:val="single" w:color="000000" w:sz="2" w:space="0"/>
              <w:bottom w:val="single" w:color="000000" w:sz="8" w:space="0"/>
              <w:right w:val="single" w:color="000000" w:sz="8" w:space="0"/>
            </w:tcBorders>
            <w:vAlign w:val="center"/>
          </w:tcPr>
          <w:p w14:paraId="15596FED">
            <w:pPr>
              <w:pageBreakBefore w:val="0"/>
              <w:kinsoku/>
              <w:wordWrap/>
              <w:overflowPunct/>
              <w:topLinePunct w:val="0"/>
              <w:autoSpaceDE/>
              <w:autoSpaceDN/>
              <w:bidi w:val="0"/>
              <w:spacing w:line="360" w:lineRule="auto"/>
              <w:ind w:left="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  )</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1547317">
            <w:pPr>
              <w:pageBreakBefore w:val="0"/>
              <w:kinsoku/>
              <w:wordWrap/>
              <w:overflowPunct/>
              <w:topLinePunct w:val="0"/>
              <w:autoSpaceDE/>
              <w:autoSpaceDN/>
              <w:bidi w:val="0"/>
              <w:spacing w:line="360" w:lineRule="auto"/>
              <w:ind w:left="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w:t>
            </w:r>
            <w:r>
              <w:rPr>
                <w:rFonts w:hint="eastAsia" w:ascii="宋体" w:hAnsi="宋体" w:eastAsia="宋体" w:cs="宋体"/>
                <w:b/>
                <w:bCs w:val="0"/>
                <w:color w:val="auto"/>
                <w:sz w:val="24"/>
                <w:highlight w:val="none"/>
              </w:rPr>
              <w:t>√</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14:paraId="101AB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0ACC815F">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64" w:type="dxa"/>
            <w:tcBorders>
              <w:top w:val="single" w:color="000000" w:sz="8" w:space="0"/>
              <w:left w:val="single" w:color="auto" w:sz="4" w:space="0"/>
              <w:bottom w:val="single" w:color="000000" w:sz="8" w:space="0"/>
              <w:right w:val="single" w:color="000000" w:sz="8" w:space="0"/>
            </w:tcBorders>
            <w:vAlign w:val="center"/>
          </w:tcPr>
          <w:p w14:paraId="4D01F5D5">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298" w:type="dxa"/>
            <w:tcBorders>
              <w:top w:val="single" w:color="000000" w:sz="8" w:space="0"/>
              <w:left w:val="single" w:color="000000" w:sz="2" w:space="0"/>
              <w:bottom w:val="single" w:color="000000" w:sz="8" w:space="0"/>
              <w:right w:val="single" w:color="000000" w:sz="8" w:space="0"/>
            </w:tcBorders>
            <w:vAlign w:val="center"/>
          </w:tcPr>
          <w:p w14:paraId="4FD0C0D3">
            <w:pPr>
              <w:keepNext w:val="0"/>
              <w:keepLines w:val="0"/>
              <w:pageBreakBefore w:val="0"/>
              <w:widowControl w:val="0"/>
              <w:kinsoku/>
              <w:wordWrap/>
              <w:overflowPunct/>
              <w:topLinePunct w:val="0"/>
              <w:autoSpaceDE/>
              <w:autoSpaceDN/>
              <w:bidi w:val="0"/>
              <w:adjustRightInd w:val="0"/>
              <w:snapToGrid/>
              <w:spacing w:line="400" w:lineRule="exact"/>
              <w:ind w:left="0"/>
              <w:textAlignment w:val="auto"/>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lang w:eastAsia="zh-CN"/>
              </w:rPr>
              <w:t>萧山区2025年红火蚁疫情监测服务项目</w:t>
            </w:r>
            <w:r>
              <w:rPr>
                <w:rFonts w:hint="eastAsia" w:ascii="宋体" w:hAnsi="宋体" w:eastAsia="宋体" w:cs="宋体"/>
                <w:color w:val="auto"/>
                <w:kern w:val="0"/>
                <w:sz w:val="24"/>
                <w:highlight w:val="none"/>
              </w:rPr>
              <w:t>，属于</w:t>
            </w:r>
            <w:r>
              <w:rPr>
                <w:rFonts w:hint="eastAsia" w:ascii="宋体" w:hAnsi="宋体" w:eastAsia="宋体" w:cs="宋体"/>
                <w:b w:val="0"/>
                <w:bCs w:val="0"/>
                <w:color w:val="auto"/>
                <w:sz w:val="24"/>
                <w:szCs w:val="24"/>
                <w:highlight w:val="none"/>
                <w:u w:val="single"/>
                <w:lang w:val="en-US" w:eastAsia="zh-CN"/>
              </w:rPr>
              <w:t>其他未列明行业</w:t>
            </w:r>
            <w:r>
              <w:rPr>
                <w:rFonts w:hint="eastAsia" w:ascii="宋体" w:hAnsi="宋体" w:eastAsia="宋体" w:cs="宋体"/>
                <w:color w:val="auto"/>
                <w:kern w:val="0"/>
                <w:sz w:val="24"/>
                <w:highlight w:val="none"/>
              </w:rPr>
              <w:t>行业；</w:t>
            </w:r>
          </w:p>
          <w:p w14:paraId="3826B086">
            <w:pPr>
              <w:keepNext w:val="0"/>
              <w:keepLines w:val="0"/>
              <w:pageBreakBefore w:val="0"/>
              <w:widowControl w:val="0"/>
              <w:kinsoku/>
              <w:wordWrap/>
              <w:overflowPunct/>
              <w:topLinePunct w:val="0"/>
              <w:autoSpaceDE/>
              <w:autoSpaceDN/>
              <w:bidi w:val="0"/>
              <w:adjustRightInd w:val="0"/>
              <w:snapToGrid/>
              <w:spacing w:line="400" w:lineRule="exact"/>
              <w:ind w:left="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行业划分标准：</w:t>
            </w:r>
          </w:p>
          <w:p w14:paraId="0B5F66B5">
            <w:pPr>
              <w:keepNext w:val="0"/>
              <w:keepLines w:val="0"/>
              <w:pageBreakBefore w:val="0"/>
              <w:widowControl w:val="0"/>
              <w:kinsoku/>
              <w:wordWrap/>
              <w:overflowPunct/>
              <w:topLinePunct w:val="0"/>
              <w:autoSpaceDE/>
              <w:autoSpaceDN/>
              <w:bidi w:val="0"/>
              <w:adjustRightInd w:val="0"/>
              <w:snapToGrid/>
              <w:spacing w:line="400" w:lineRule="exact"/>
              <w:ind w:left="0"/>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4"/>
                <w:highlight w:val="none"/>
              </w:rPr>
              <w:t>《关于印发中小企业划型标准规定的通知》工信部联企业〔2011〕300号</w:t>
            </w:r>
          </w:p>
        </w:tc>
      </w:tr>
      <w:tr w14:paraId="2E4AB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403764E3">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64" w:type="dxa"/>
            <w:tcBorders>
              <w:top w:val="single" w:color="000000" w:sz="8" w:space="0"/>
              <w:left w:val="single" w:color="auto" w:sz="4" w:space="0"/>
              <w:bottom w:val="single" w:color="000000" w:sz="8" w:space="0"/>
              <w:right w:val="single" w:color="000000" w:sz="8" w:space="0"/>
            </w:tcBorders>
            <w:vAlign w:val="center"/>
          </w:tcPr>
          <w:p w14:paraId="0BE02128">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298" w:type="dxa"/>
            <w:tcBorders>
              <w:top w:val="single" w:color="000000" w:sz="8" w:space="0"/>
              <w:left w:val="single" w:color="000000" w:sz="2" w:space="0"/>
              <w:bottom w:val="single" w:color="000000" w:sz="8" w:space="0"/>
              <w:right w:val="single" w:color="000000" w:sz="8" w:space="0"/>
            </w:tcBorders>
            <w:vAlign w:val="center"/>
          </w:tcPr>
          <w:p w14:paraId="587115CD">
            <w:pPr>
              <w:pageBreakBefore w:val="0"/>
              <w:kinsoku/>
              <w:wordWrap/>
              <w:overflowPunct/>
              <w:topLinePunct w:val="0"/>
              <w:autoSpaceDE/>
              <w:autoSpaceDN/>
              <w:bidi w:val="0"/>
              <w:spacing w:line="360" w:lineRule="auto"/>
              <w:ind w:left="0"/>
              <w:textAlignment w:val="auto"/>
              <w:rPr>
                <w:rFonts w:hint="eastAsia" w:ascii="宋体" w:hAnsi="宋体" w:eastAsia="宋体" w:cs="宋体"/>
                <w:color w:val="auto"/>
                <w:sz w:val="24"/>
                <w:szCs w:val="32"/>
                <w:highlight w:val="none"/>
              </w:rPr>
            </w:pPr>
            <w:r>
              <w:rPr>
                <w:rFonts w:hint="eastAsia" w:ascii="宋体" w:hAnsi="宋体" w:eastAsia="宋体" w:cs="宋体"/>
                <w:color w:val="auto"/>
                <w:kern w:val="0"/>
                <w:sz w:val="24"/>
                <w:highlight w:val="none"/>
                <w:lang w:val="en-US" w:eastAsia="zh-CN"/>
              </w:rPr>
              <w:t>(</w:t>
            </w:r>
            <w:r>
              <w:rPr>
                <w:rFonts w:hint="eastAsia" w:ascii="宋体" w:hAnsi="宋体" w:eastAsia="宋体" w:cs="宋体"/>
                <w:b/>
                <w:color w:val="auto"/>
                <w:sz w:val="24"/>
                <w:highlight w:val="none"/>
              </w:rPr>
              <w:t>√</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sz w:val="24"/>
                <w:szCs w:val="32"/>
                <w:highlight w:val="none"/>
              </w:rPr>
              <w:t>本项目不允许采购进口产品。</w:t>
            </w:r>
          </w:p>
          <w:p w14:paraId="304069E0">
            <w:pPr>
              <w:pageBreakBefore w:val="0"/>
              <w:kinsoku/>
              <w:wordWrap/>
              <w:overflowPunct/>
              <w:topLinePunct w:val="0"/>
              <w:autoSpaceDE/>
              <w:autoSpaceDN/>
              <w:bidi w:val="0"/>
              <w:spacing w:line="360" w:lineRule="auto"/>
              <w:ind w:left="0"/>
              <w:textAlignment w:val="auto"/>
              <w:rPr>
                <w:rFonts w:hint="eastAsia" w:ascii="宋体" w:hAnsi="宋体" w:eastAsia="宋体" w:cs="宋体"/>
                <w:color w:val="auto"/>
                <w:sz w:val="24"/>
                <w:szCs w:val="32"/>
                <w:highlight w:val="none"/>
              </w:rPr>
            </w:pPr>
            <w:r>
              <w:rPr>
                <w:rFonts w:hint="eastAsia" w:ascii="宋体" w:hAnsi="宋体" w:eastAsia="宋体" w:cs="宋体"/>
                <w:color w:val="auto"/>
                <w:kern w:val="0"/>
                <w:sz w:val="24"/>
                <w:highlight w:val="none"/>
                <w:lang w:val="en-US" w:eastAsia="zh-CN"/>
              </w:rPr>
              <w:t>(  )</w:t>
            </w:r>
            <w:r>
              <w:rPr>
                <w:rFonts w:hint="eastAsia" w:ascii="宋体" w:hAnsi="宋体" w:eastAsia="宋体" w:cs="宋体"/>
                <w:color w:val="auto"/>
                <w:sz w:val="24"/>
                <w:szCs w:val="32"/>
                <w:highlight w:val="none"/>
              </w:rPr>
              <w:t>可以就</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u w:val="single"/>
                <w:lang w:val="en-US" w:eastAsia="zh-CN"/>
              </w:rPr>
              <w:t>/</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采购进口产品。</w:t>
            </w:r>
          </w:p>
          <w:p w14:paraId="4EE77A03">
            <w:pPr>
              <w:pStyle w:val="6"/>
              <w:pageBreakBefore w:val="0"/>
              <w:kinsoku/>
              <w:wordWrap/>
              <w:overflowPunct/>
              <w:topLinePunct w:val="0"/>
              <w:autoSpaceDE/>
              <w:autoSpaceDN/>
              <w:bidi w:val="0"/>
              <w:ind w:left="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rPr>
              <w:t>进口产品是指通过中国海关保关验放进入中国境内且产自境关外的产品。</w:t>
            </w:r>
          </w:p>
        </w:tc>
      </w:tr>
      <w:tr w14:paraId="22C2E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49104045">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64" w:type="dxa"/>
            <w:tcBorders>
              <w:top w:val="single" w:color="000000" w:sz="8" w:space="0"/>
              <w:left w:val="single" w:color="auto" w:sz="4" w:space="0"/>
              <w:bottom w:val="single" w:color="000000" w:sz="8" w:space="0"/>
              <w:right w:val="single" w:color="000000" w:sz="8" w:space="0"/>
            </w:tcBorders>
            <w:vAlign w:val="center"/>
          </w:tcPr>
          <w:p w14:paraId="6F3D23B8">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298" w:type="dxa"/>
            <w:tcBorders>
              <w:top w:val="single" w:color="000000" w:sz="8" w:space="0"/>
              <w:left w:val="single" w:color="000000" w:sz="2" w:space="0"/>
              <w:bottom w:val="single" w:color="000000" w:sz="8" w:space="0"/>
              <w:right w:val="single" w:color="000000" w:sz="8" w:space="0"/>
            </w:tcBorders>
            <w:vAlign w:val="center"/>
          </w:tcPr>
          <w:p w14:paraId="2B264EA3">
            <w:pPr>
              <w:pageBreakBefore w:val="0"/>
              <w:kinsoku/>
              <w:wordWrap/>
              <w:overflowPunct/>
              <w:topLinePunct w:val="0"/>
              <w:autoSpaceDE/>
              <w:autoSpaceDN/>
              <w:bidi w:val="0"/>
              <w:snapToGrid w:val="0"/>
              <w:spacing w:line="360" w:lineRule="auto"/>
              <w:ind w:left="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w:t>
            </w:r>
            <w:r>
              <w:rPr>
                <w:rFonts w:hint="eastAsia" w:ascii="宋体" w:hAnsi="宋体" w:eastAsia="宋体" w:cs="宋体"/>
                <w:b w:val="0"/>
                <w:bCs/>
                <w:color w:val="auto"/>
                <w:kern w:val="0"/>
                <w:sz w:val="24"/>
                <w:highlight w:val="none"/>
              </w:rPr>
              <w:t>A</w:t>
            </w:r>
            <w:r>
              <w:rPr>
                <w:rFonts w:hint="eastAsia" w:ascii="宋体" w:hAnsi="宋体" w:eastAsia="宋体" w:cs="宋体"/>
                <w:b w:val="0"/>
                <w:bCs/>
                <w:color w:val="auto"/>
                <w:sz w:val="24"/>
                <w:highlight w:val="none"/>
              </w:rPr>
              <w:t>同意将非主体、非关键性的</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工作分包。</w:t>
            </w:r>
          </w:p>
          <w:p w14:paraId="548D2A07">
            <w:pPr>
              <w:pageBreakBefore w:val="0"/>
              <w:kinsoku/>
              <w:wordWrap/>
              <w:overflowPunct/>
              <w:topLinePunct w:val="0"/>
              <w:autoSpaceDE/>
              <w:autoSpaceDN/>
              <w:bidi w:val="0"/>
              <w:spacing w:line="360" w:lineRule="auto"/>
              <w:ind w:left="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B</w:t>
            </w:r>
            <w:r>
              <w:rPr>
                <w:rFonts w:hint="eastAsia" w:ascii="宋体" w:hAnsi="宋体" w:eastAsia="宋体" w:cs="宋体"/>
                <w:b w:val="0"/>
                <w:bCs/>
                <w:color w:val="auto"/>
                <w:sz w:val="24"/>
                <w:highlight w:val="none"/>
              </w:rPr>
              <w:t>不同意分包。</w:t>
            </w:r>
          </w:p>
        </w:tc>
      </w:tr>
      <w:tr w14:paraId="0EA1A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3D62DF31">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64" w:type="dxa"/>
            <w:tcBorders>
              <w:top w:val="single" w:color="000000" w:sz="8" w:space="0"/>
              <w:left w:val="single" w:color="auto" w:sz="4" w:space="0"/>
              <w:bottom w:val="single" w:color="000000" w:sz="8" w:space="0"/>
              <w:right w:val="single" w:color="000000" w:sz="8" w:space="0"/>
            </w:tcBorders>
            <w:vAlign w:val="center"/>
          </w:tcPr>
          <w:p w14:paraId="03A5E8F0">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交易</w:t>
            </w:r>
            <w:r>
              <w:rPr>
                <w:rFonts w:hint="eastAsia" w:ascii="宋体" w:hAnsi="宋体" w:eastAsia="宋体" w:cs="宋体"/>
                <w:b/>
                <w:color w:val="auto"/>
                <w:sz w:val="24"/>
                <w:highlight w:val="none"/>
              </w:rPr>
              <w:t>前答疑会或现场考察</w:t>
            </w:r>
          </w:p>
        </w:tc>
        <w:tc>
          <w:tcPr>
            <w:tcW w:w="6298" w:type="dxa"/>
            <w:tcBorders>
              <w:top w:val="single" w:color="000000" w:sz="8" w:space="0"/>
              <w:left w:val="single" w:color="000000" w:sz="2" w:space="0"/>
              <w:bottom w:val="single" w:color="000000" w:sz="8" w:space="0"/>
              <w:right w:val="single" w:color="000000" w:sz="8" w:space="0"/>
            </w:tcBorders>
            <w:vAlign w:val="center"/>
          </w:tcPr>
          <w:p w14:paraId="4A3C5CD7">
            <w:pPr>
              <w:pageBreakBefore w:val="0"/>
              <w:kinsoku/>
              <w:wordWrap/>
              <w:overflowPunct/>
              <w:topLinePunct w:val="0"/>
              <w:autoSpaceDE/>
              <w:autoSpaceDN/>
              <w:bidi w:val="0"/>
              <w:spacing w:line="360" w:lineRule="auto"/>
              <w:ind w:left="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A</w:t>
            </w:r>
            <w:r>
              <w:rPr>
                <w:rFonts w:hint="eastAsia" w:ascii="宋体" w:hAnsi="宋体" w:eastAsia="宋体" w:cs="宋体"/>
                <w:b w:val="0"/>
                <w:bCs/>
                <w:color w:val="auto"/>
                <w:sz w:val="24"/>
                <w:highlight w:val="none"/>
              </w:rPr>
              <w:t>不组织。</w:t>
            </w:r>
          </w:p>
          <w:p w14:paraId="57320230">
            <w:pPr>
              <w:pageBreakBefore w:val="0"/>
              <w:kinsoku/>
              <w:wordWrap/>
              <w:overflowPunct/>
              <w:topLinePunct w:val="0"/>
              <w:autoSpaceDE/>
              <w:autoSpaceDN/>
              <w:bidi w:val="0"/>
              <w:spacing w:line="360" w:lineRule="auto"/>
              <w:ind w:left="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w:t>
            </w:r>
            <w:r>
              <w:rPr>
                <w:rFonts w:hint="eastAsia" w:ascii="宋体" w:hAnsi="宋体" w:eastAsia="宋体" w:cs="宋体"/>
                <w:b w:val="0"/>
                <w:bCs/>
                <w:color w:val="auto"/>
                <w:kern w:val="0"/>
                <w:sz w:val="24"/>
                <w:highlight w:val="none"/>
              </w:rPr>
              <w:t>B组织</w:t>
            </w:r>
            <w:r>
              <w:rPr>
                <w:rFonts w:hint="eastAsia" w:ascii="宋体" w:hAnsi="宋体" w:eastAsia="宋体" w:cs="宋体"/>
                <w:b w:val="0"/>
                <w:bCs/>
                <w:color w:val="auto"/>
                <w:kern w:val="0"/>
                <w:sz w:val="24"/>
                <w:highlight w:val="none"/>
                <w:lang w:eastAsia="zh-CN"/>
              </w:rPr>
              <w:t>，</w:t>
            </w:r>
            <w:r>
              <w:rPr>
                <w:rFonts w:hint="eastAsia" w:ascii="宋体" w:hAnsi="宋体" w:eastAsia="宋体" w:cs="宋体"/>
                <w:b w:val="0"/>
                <w:bCs/>
                <w:color w:val="auto"/>
                <w:sz w:val="24"/>
                <w:highlight w:val="none"/>
              </w:rPr>
              <w:t>时间：</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,地点：</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w:t>
            </w:r>
          </w:p>
          <w:p w14:paraId="2C8E0F26">
            <w:pPr>
              <w:pageBreakBefore w:val="0"/>
              <w:kinsoku/>
              <w:wordWrap/>
              <w:overflowPunct/>
              <w:topLinePunct w:val="0"/>
              <w:autoSpaceDE/>
              <w:autoSpaceDN/>
              <w:bidi w:val="0"/>
              <w:spacing w:line="360" w:lineRule="auto"/>
              <w:ind w:left="0"/>
              <w:textAlignment w:val="auto"/>
              <w:rPr>
                <w:rFonts w:hint="eastAsia" w:ascii="宋体" w:hAnsi="宋体" w:eastAsia="宋体" w:cs="宋体"/>
                <w:b w:val="0"/>
                <w:bCs/>
                <w:color w:val="auto"/>
                <w:sz w:val="24"/>
                <w:szCs w:val="20"/>
                <w:highlight w:val="none"/>
                <w:lang w:val="en-US" w:eastAsia="zh-CN"/>
              </w:rPr>
            </w:pPr>
            <w:r>
              <w:rPr>
                <w:rFonts w:hint="eastAsia" w:ascii="宋体" w:hAnsi="宋体" w:eastAsia="宋体" w:cs="宋体"/>
                <w:b w:val="0"/>
                <w:bCs/>
                <w:color w:val="auto"/>
                <w:sz w:val="24"/>
                <w:highlight w:val="none"/>
              </w:rPr>
              <w:t>联系人：</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none"/>
                <w:lang w:eastAsia="zh-CN"/>
              </w:rPr>
              <w:t>；</w:t>
            </w:r>
            <w:r>
              <w:rPr>
                <w:rFonts w:hint="eastAsia" w:ascii="宋体" w:hAnsi="宋体" w:eastAsia="宋体" w:cs="宋体"/>
                <w:b w:val="0"/>
                <w:bCs/>
                <w:color w:val="auto"/>
                <w:sz w:val="24"/>
                <w:highlight w:val="none"/>
                <w:u w:val="none"/>
                <w:lang w:val="en-US" w:eastAsia="zh-CN"/>
              </w:rPr>
              <w:t>其他说明：</w:t>
            </w:r>
            <w:r>
              <w:rPr>
                <w:rFonts w:hint="eastAsia" w:ascii="宋体" w:hAnsi="宋体" w:eastAsia="宋体" w:cs="宋体"/>
                <w:b w:val="0"/>
                <w:bCs/>
                <w:color w:val="auto"/>
                <w:sz w:val="24"/>
                <w:highlight w:val="none"/>
                <w:u w:val="single"/>
                <w:lang w:val="en-US" w:eastAsia="zh-CN"/>
              </w:rPr>
              <w:t>/</w:t>
            </w:r>
          </w:p>
        </w:tc>
      </w:tr>
      <w:tr w14:paraId="6994A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03C58FFA">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64" w:type="dxa"/>
            <w:tcBorders>
              <w:top w:val="single" w:color="000000" w:sz="8" w:space="0"/>
              <w:left w:val="single" w:color="auto" w:sz="4" w:space="0"/>
              <w:bottom w:val="single" w:color="000000" w:sz="8" w:space="0"/>
              <w:right w:val="single" w:color="000000" w:sz="8" w:space="0"/>
            </w:tcBorders>
            <w:vAlign w:val="center"/>
          </w:tcPr>
          <w:p w14:paraId="011115A0">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b/>
                <w:color w:val="0000FF"/>
                <w:sz w:val="24"/>
                <w:highlight w:val="none"/>
              </w:rPr>
            </w:pPr>
            <w:r>
              <w:rPr>
                <w:rFonts w:hint="eastAsia" w:ascii="宋体" w:hAnsi="宋体" w:eastAsia="宋体" w:cs="宋体"/>
                <w:b/>
                <w:color w:val="auto"/>
                <w:sz w:val="24"/>
                <w:highlight w:val="none"/>
              </w:rPr>
              <w:t>样品提供</w:t>
            </w:r>
          </w:p>
        </w:tc>
        <w:tc>
          <w:tcPr>
            <w:tcW w:w="6298" w:type="dxa"/>
            <w:tcBorders>
              <w:top w:val="single" w:color="000000" w:sz="8" w:space="0"/>
              <w:left w:val="single" w:color="000000" w:sz="2" w:space="0"/>
              <w:bottom w:val="single" w:color="000000" w:sz="8" w:space="0"/>
              <w:right w:val="single" w:color="000000" w:sz="8" w:space="0"/>
            </w:tcBorders>
            <w:vAlign w:val="center"/>
          </w:tcPr>
          <w:p w14:paraId="3DED9A8E">
            <w:pPr>
              <w:pageBreakBefore w:val="0"/>
              <w:kinsoku/>
              <w:wordWrap/>
              <w:overflowPunct/>
              <w:topLinePunct w:val="0"/>
              <w:autoSpaceDE/>
              <w:autoSpaceDN/>
              <w:bidi w:val="0"/>
              <w:spacing w:line="360" w:lineRule="auto"/>
              <w:ind w:left="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（√）A不要求提供。</w:t>
            </w:r>
          </w:p>
          <w:p w14:paraId="7579ACC8">
            <w:pPr>
              <w:pageBreakBefore w:val="0"/>
              <w:kinsoku/>
              <w:wordWrap/>
              <w:overflowPunct/>
              <w:topLinePunct w:val="0"/>
              <w:autoSpaceDE/>
              <w:autoSpaceDN/>
              <w:bidi w:val="0"/>
              <w:spacing w:line="360" w:lineRule="auto"/>
              <w:ind w:left="0"/>
              <w:textAlignment w:val="auto"/>
              <w:rPr>
                <w:rFonts w:hint="eastAsia" w:ascii="宋体" w:hAnsi="宋体" w:eastAsia="宋体" w:cs="宋体"/>
                <w:b/>
                <w:color w:val="0000FF"/>
                <w:sz w:val="24"/>
                <w:highlight w:val="none"/>
                <w:lang w:eastAsia="zh-CN"/>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）B要求提供</w:t>
            </w:r>
            <w:r>
              <w:rPr>
                <w:rFonts w:hint="eastAsia" w:ascii="宋体" w:hAnsi="宋体" w:eastAsia="宋体" w:cs="宋体"/>
                <w:b w:val="0"/>
                <w:bCs/>
                <w:color w:val="auto"/>
                <w:sz w:val="24"/>
                <w:highlight w:val="none"/>
                <w:lang w:eastAsia="zh-CN"/>
              </w:rPr>
              <w:t>。</w:t>
            </w:r>
          </w:p>
        </w:tc>
      </w:tr>
      <w:tr w14:paraId="2F11E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8" w:hRule="atLeast"/>
        </w:trPr>
        <w:tc>
          <w:tcPr>
            <w:tcW w:w="636" w:type="dxa"/>
            <w:tcBorders>
              <w:top w:val="single" w:color="auto" w:sz="4" w:space="0"/>
              <w:left w:val="single" w:color="auto" w:sz="4" w:space="0"/>
              <w:bottom w:val="single" w:color="auto" w:sz="4" w:space="0"/>
              <w:right w:val="single" w:color="auto" w:sz="4" w:space="0"/>
            </w:tcBorders>
            <w:vAlign w:val="center"/>
          </w:tcPr>
          <w:p w14:paraId="50E55F1A">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64" w:type="dxa"/>
            <w:tcBorders>
              <w:top w:val="single" w:color="000000" w:sz="8" w:space="0"/>
              <w:left w:val="single" w:color="auto" w:sz="4" w:space="0"/>
              <w:bottom w:val="single" w:color="000000" w:sz="8" w:space="0"/>
              <w:right w:val="single" w:color="000000" w:sz="8" w:space="0"/>
            </w:tcBorders>
            <w:vAlign w:val="center"/>
          </w:tcPr>
          <w:p w14:paraId="1C7083DC">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298" w:type="dxa"/>
            <w:tcBorders>
              <w:top w:val="single" w:color="000000" w:sz="8" w:space="0"/>
              <w:left w:val="single" w:color="000000" w:sz="2" w:space="0"/>
              <w:bottom w:val="single" w:color="000000" w:sz="8" w:space="0"/>
              <w:right w:val="single" w:color="000000" w:sz="8" w:space="0"/>
            </w:tcBorders>
            <w:vAlign w:val="center"/>
          </w:tcPr>
          <w:p w14:paraId="48FC796E">
            <w:pPr>
              <w:pageBreakBefore w:val="0"/>
              <w:kinsoku/>
              <w:wordWrap/>
              <w:overflowPunct/>
              <w:topLinePunct w:val="0"/>
              <w:autoSpaceDE/>
              <w:autoSpaceDN/>
              <w:bidi w:val="0"/>
              <w:spacing w:line="360" w:lineRule="auto"/>
              <w:ind w:left="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A</w:t>
            </w:r>
            <w:r>
              <w:rPr>
                <w:rFonts w:hint="eastAsia" w:ascii="宋体" w:hAnsi="宋体" w:eastAsia="宋体" w:cs="宋体"/>
                <w:b w:val="0"/>
                <w:bCs/>
                <w:color w:val="auto"/>
                <w:sz w:val="24"/>
                <w:highlight w:val="none"/>
              </w:rPr>
              <w:t>不组织</w:t>
            </w:r>
            <w:r>
              <w:rPr>
                <w:rFonts w:hint="eastAsia" w:ascii="宋体" w:hAnsi="宋体" w:eastAsia="宋体" w:cs="宋体"/>
                <w:b w:val="0"/>
                <w:bCs/>
                <w:color w:val="auto"/>
                <w:sz w:val="24"/>
                <w:szCs w:val="24"/>
                <w:highlight w:val="none"/>
              </w:rPr>
              <w:t>。</w:t>
            </w:r>
          </w:p>
          <w:p w14:paraId="1183A977">
            <w:pPr>
              <w:pageBreakBefore w:val="0"/>
              <w:kinsoku/>
              <w:wordWrap/>
              <w:overflowPunct/>
              <w:topLinePunct w:val="0"/>
              <w:autoSpaceDE/>
              <w:autoSpaceDN/>
              <w:bidi w:val="0"/>
              <w:spacing w:line="360" w:lineRule="auto"/>
              <w:ind w:left="0"/>
              <w:textAlignment w:val="auto"/>
              <w:rPr>
                <w:rFonts w:hint="eastAsia" w:ascii="宋体" w:hAnsi="宋体" w:eastAsia="宋体" w:cs="宋体"/>
                <w:b/>
                <w:color w:val="auto"/>
                <w:kern w:val="0"/>
                <w:sz w:val="24"/>
                <w:highlight w:val="none"/>
                <w:lang w:val="zh-CN"/>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szCs w:val="24"/>
                <w:highlight w:val="none"/>
              </w:rPr>
              <w:t>B组织。</w:t>
            </w:r>
          </w:p>
        </w:tc>
      </w:tr>
      <w:tr w14:paraId="179A0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vMerge w:val="restart"/>
            <w:tcBorders>
              <w:top w:val="single" w:color="auto" w:sz="4" w:space="0"/>
              <w:left w:val="single" w:color="auto" w:sz="4" w:space="0"/>
              <w:right w:val="single" w:color="auto" w:sz="4" w:space="0"/>
            </w:tcBorders>
            <w:vAlign w:val="center"/>
          </w:tcPr>
          <w:p w14:paraId="1BAB77C7">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64" w:type="dxa"/>
            <w:vMerge w:val="restart"/>
            <w:tcBorders>
              <w:top w:val="single" w:color="000000" w:sz="8" w:space="0"/>
              <w:left w:val="single" w:color="auto" w:sz="4" w:space="0"/>
              <w:right w:val="single" w:color="000000" w:sz="8" w:space="0"/>
            </w:tcBorders>
            <w:vAlign w:val="center"/>
          </w:tcPr>
          <w:p w14:paraId="495A0D13">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应当提供的资格、资信证明文件</w:t>
            </w:r>
          </w:p>
        </w:tc>
        <w:tc>
          <w:tcPr>
            <w:tcW w:w="6298" w:type="dxa"/>
            <w:tcBorders>
              <w:top w:val="single" w:color="000000" w:sz="8" w:space="0"/>
              <w:left w:val="single" w:color="000000" w:sz="2" w:space="0"/>
              <w:bottom w:val="single" w:color="auto" w:sz="4" w:space="0"/>
              <w:right w:val="single" w:color="000000" w:sz="8" w:space="0"/>
            </w:tcBorders>
            <w:vAlign w:val="center"/>
          </w:tcPr>
          <w:p w14:paraId="6E2CD1E4">
            <w:pPr>
              <w:pageBreakBefore w:val="0"/>
              <w:kinsoku/>
              <w:wordWrap/>
              <w:overflowPunct/>
              <w:topLinePunct w:val="0"/>
              <w:autoSpaceDE/>
              <w:autoSpaceDN/>
              <w:bidi w:val="0"/>
              <w:spacing w:line="360" w:lineRule="auto"/>
              <w:ind w:lef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文件第二部分11.1。</w:t>
            </w:r>
          </w:p>
          <w:p w14:paraId="35D6E25F">
            <w:pPr>
              <w:pageBreakBefore w:val="0"/>
              <w:kinsoku/>
              <w:wordWrap/>
              <w:overflowPunct/>
              <w:topLinePunct w:val="0"/>
              <w:autoSpaceDE/>
              <w:autoSpaceDN/>
              <w:bidi w:val="0"/>
              <w:spacing w:line="360" w:lineRule="auto"/>
              <w:ind w:left="0"/>
              <w:textAlignment w:val="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供应商未提供有效的资格证明文件的，视为供应商不具备交易文件中规定的资格要求，响应无效。</w:t>
            </w:r>
          </w:p>
        </w:tc>
      </w:tr>
      <w:tr w14:paraId="02EC6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vMerge w:val="continue"/>
            <w:tcBorders>
              <w:left w:val="single" w:color="auto" w:sz="4" w:space="0"/>
              <w:bottom w:val="single" w:color="auto" w:sz="4" w:space="0"/>
              <w:right w:val="single" w:color="auto" w:sz="4" w:space="0"/>
            </w:tcBorders>
            <w:vAlign w:val="center"/>
          </w:tcPr>
          <w:p w14:paraId="22B10BD5">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color w:val="auto"/>
                <w:sz w:val="24"/>
                <w:highlight w:val="none"/>
              </w:rPr>
            </w:pPr>
          </w:p>
        </w:tc>
        <w:tc>
          <w:tcPr>
            <w:tcW w:w="1864" w:type="dxa"/>
            <w:vMerge w:val="continue"/>
            <w:tcBorders>
              <w:left w:val="single" w:color="auto" w:sz="4" w:space="0"/>
              <w:bottom w:val="single" w:color="000000" w:sz="8" w:space="0"/>
              <w:right w:val="single" w:color="000000" w:sz="8" w:space="0"/>
            </w:tcBorders>
            <w:vAlign w:val="center"/>
          </w:tcPr>
          <w:p w14:paraId="142D0691">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b/>
                <w:color w:val="auto"/>
                <w:sz w:val="24"/>
                <w:highlight w:val="none"/>
              </w:rPr>
            </w:pPr>
          </w:p>
        </w:tc>
        <w:tc>
          <w:tcPr>
            <w:tcW w:w="6298" w:type="dxa"/>
            <w:tcBorders>
              <w:top w:val="single" w:color="auto" w:sz="4" w:space="0"/>
              <w:left w:val="single" w:color="000000" w:sz="2" w:space="0"/>
              <w:bottom w:val="single" w:color="000000" w:sz="8" w:space="0"/>
              <w:right w:val="single" w:color="000000" w:sz="8" w:space="0"/>
            </w:tcBorders>
            <w:vAlign w:val="center"/>
          </w:tcPr>
          <w:p w14:paraId="7F1631A9">
            <w:pPr>
              <w:pageBreakBefore w:val="0"/>
              <w:kinsoku/>
              <w:wordWrap/>
              <w:overflowPunct/>
              <w:topLinePunct w:val="0"/>
              <w:autoSpaceDE/>
              <w:autoSpaceDN/>
              <w:bidi w:val="0"/>
              <w:spacing w:line="360" w:lineRule="auto"/>
              <w:ind w:lef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文件第四部分评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标准提供。</w:t>
            </w:r>
          </w:p>
        </w:tc>
      </w:tr>
      <w:tr w14:paraId="6FA27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7814F809">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64" w:type="dxa"/>
            <w:tcBorders>
              <w:top w:val="single" w:color="000000" w:sz="8" w:space="0"/>
              <w:left w:val="single" w:color="000000" w:sz="2" w:space="0"/>
              <w:bottom w:val="single" w:color="000000" w:sz="8" w:space="0"/>
              <w:right w:val="single" w:color="000000" w:sz="8" w:space="0"/>
            </w:tcBorders>
            <w:vAlign w:val="center"/>
          </w:tcPr>
          <w:p w14:paraId="66FF10FE">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b w:val="0"/>
                <w:bCs/>
                <w:color w:val="auto"/>
                <w:sz w:val="24"/>
                <w:highlight w:val="none"/>
              </w:rPr>
            </w:pPr>
            <w:r>
              <w:rPr>
                <w:rFonts w:hint="eastAsia" w:ascii="宋体" w:hAnsi="宋体" w:eastAsia="宋体" w:cs="宋体"/>
                <w:b/>
                <w:bCs w:val="0"/>
                <w:color w:val="auto"/>
                <w:sz w:val="24"/>
                <w:highlight w:val="none"/>
              </w:rPr>
              <w:t>报价要求</w:t>
            </w:r>
          </w:p>
        </w:tc>
        <w:tc>
          <w:tcPr>
            <w:tcW w:w="6298" w:type="dxa"/>
            <w:tcBorders>
              <w:top w:val="single" w:color="000000" w:sz="8" w:space="0"/>
              <w:left w:val="single" w:color="000000" w:sz="2" w:space="0"/>
              <w:bottom w:val="single" w:color="000000" w:sz="8" w:space="0"/>
              <w:right w:val="single" w:color="000000" w:sz="8" w:space="0"/>
            </w:tcBorders>
            <w:vAlign w:val="center"/>
          </w:tcPr>
          <w:p w14:paraId="75A440AC">
            <w:pPr>
              <w:pageBreakBefore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有关本项目实施所需的所有费用（含税费）均计入报价。</w:t>
            </w:r>
            <w:r>
              <w:rPr>
                <w:rFonts w:hint="eastAsia" w:ascii="宋体" w:hAnsi="宋体" w:eastAsia="宋体" w:cs="宋体"/>
                <w:b w:val="0"/>
                <w:bCs/>
                <w:color w:val="auto"/>
                <w:kern w:val="0"/>
                <w:sz w:val="24"/>
                <w:highlight w:val="none"/>
                <w:lang w:eastAsia="zh-CN"/>
              </w:rPr>
              <w:t>交易</w:t>
            </w:r>
            <w:r>
              <w:rPr>
                <w:rFonts w:hint="eastAsia" w:ascii="宋体" w:hAnsi="宋体" w:eastAsia="宋体" w:cs="宋体"/>
                <w:b w:val="0"/>
                <w:bCs/>
                <w:color w:val="auto"/>
                <w:kern w:val="0"/>
                <w:sz w:val="24"/>
                <w:highlight w:val="none"/>
              </w:rPr>
              <w:t>一览表（报价表）是报价的唯一载体</w:t>
            </w:r>
            <w:r>
              <w:rPr>
                <w:rFonts w:hint="eastAsia" w:ascii="宋体" w:hAnsi="宋体" w:eastAsia="宋体" w:cs="宋体"/>
                <w:b w:val="0"/>
                <w:bCs/>
                <w:color w:val="auto"/>
                <w:kern w:val="0"/>
                <w:sz w:val="24"/>
                <w:highlight w:val="none"/>
                <w:lang w:val="zh-CN"/>
              </w:rPr>
              <w:t>。响应文件中价格全部采用人民币报价。交易文件未列明，而供应商认为必需的费用也需列入报价。</w:t>
            </w:r>
          </w:p>
          <w:p w14:paraId="06FDD4CD">
            <w:pPr>
              <w:pageBreakBefore w:val="0"/>
              <w:kinsoku/>
              <w:wordWrap/>
              <w:overflowPunct/>
              <w:topLinePunct w:val="0"/>
              <w:autoSpaceDE/>
              <w:autoSpaceDN/>
              <w:bidi w:val="0"/>
              <w:spacing w:line="360" w:lineRule="auto"/>
              <w:ind w:left="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响应报价出现下列情形的，响应无效：</w:t>
            </w:r>
          </w:p>
          <w:p w14:paraId="26508628">
            <w:pPr>
              <w:pageBreakBefore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响应文件出现不是唯一的、有选择性响应报价的；</w:t>
            </w:r>
          </w:p>
          <w:p w14:paraId="37464065">
            <w:pPr>
              <w:pageBreakBefore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响应报价超过交易文件中规定的预算金额或者最高限价的；</w:t>
            </w:r>
          </w:p>
          <w:p w14:paraId="7A7A4E6B">
            <w:pPr>
              <w:pageBreakBefore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报价明显低于其他通过符合性审查</w:t>
            </w:r>
            <w:r>
              <w:rPr>
                <w:rFonts w:hint="eastAsia" w:ascii="宋体" w:hAnsi="宋体" w:eastAsia="宋体" w:cs="宋体"/>
                <w:b w:val="0"/>
                <w:bCs/>
                <w:color w:val="auto"/>
                <w:kern w:val="0"/>
                <w:sz w:val="24"/>
                <w:highlight w:val="none"/>
                <w:lang w:eastAsia="zh-CN"/>
              </w:rPr>
              <w:t>供应商</w:t>
            </w:r>
            <w:r>
              <w:rPr>
                <w:rFonts w:hint="eastAsia" w:ascii="宋体" w:hAnsi="宋体" w:eastAsia="宋体" w:cs="宋体"/>
                <w:b w:val="0"/>
                <w:bCs/>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eastAsia="宋体" w:cs="宋体"/>
                <w:b w:val="0"/>
                <w:bCs/>
                <w:color w:val="auto"/>
                <w:kern w:val="0"/>
                <w:sz w:val="24"/>
                <w:highlight w:val="none"/>
                <w:lang w:val="zh-CN"/>
              </w:rPr>
              <w:t>；</w:t>
            </w:r>
          </w:p>
          <w:p w14:paraId="5B18F191">
            <w:pPr>
              <w:pageBreakBefore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lang w:eastAsia="zh-CN"/>
              </w:rPr>
              <w:t>供应商</w:t>
            </w:r>
            <w:r>
              <w:rPr>
                <w:rFonts w:hint="eastAsia" w:ascii="宋体" w:hAnsi="宋体" w:eastAsia="宋体" w:cs="宋体"/>
                <w:b w:val="0"/>
                <w:bCs/>
                <w:color w:val="auto"/>
                <w:kern w:val="0"/>
                <w:sz w:val="24"/>
                <w:highlight w:val="none"/>
              </w:rPr>
              <w:t>对根据修正原则修正后的报价不确认的。</w:t>
            </w:r>
          </w:p>
          <w:p w14:paraId="146DE19F">
            <w:pPr>
              <w:pageBreakBefore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kern w:val="0"/>
                <w:sz w:val="24"/>
                <w:highlight w:val="none"/>
              </w:rPr>
              <w:t>资格文件、商务技术文件与报价文件未分开制作</w:t>
            </w:r>
            <w:r>
              <w:rPr>
                <w:rFonts w:hint="eastAsia" w:ascii="宋体" w:hAnsi="宋体" w:eastAsia="宋体" w:cs="宋体"/>
                <w:b w:val="0"/>
                <w:bCs/>
                <w:color w:val="auto"/>
                <w:sz w:val="24"/>
                <w:highlight w:val="none"/>
              </w:rPr>
              <w:t>。</w:t>
            </w:r>
          </w:p>
        </w:tc>
      </w:tr>
      <w:tr w14:paraId="6BA6B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33D65F8B">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64" w:type="dxa"/>
            <w:tcBorders>
              <w:top w:val="single" w:color="000000" w:sz="8" w:space="0"/>
              <w:left w:val="single" w:color="000000" w:sz="2" w:space="0"/>
              <w:bottom w:val="single" w:color="000000" w:sz="8" w:space="0"/>
              <w:right w:val="single" w:color="000000" w:sz="8" w:space="0"/>
            </w:tcBorders>
            <w:vAlign w:val="center"/>
          </w:tcPr>
          <w:p w14:paraId="58C23414">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w:t>
            </w: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w:t>
            </w:r>
          </w:p>
        </w:tc>
        <w:tc>
          <w:tcPr>
            <w:tcW w:w="6298" w:type="dxa"/>
            <w:tcBorders>
              <w:top w:val="single" w:color="000000" w:sz="8" w:space="0"/>
              <w:left w:val="single" w:color="000000" w:sz="2" w:space="0"/>
              <w:bottom w:val="single" w:color="000000" w:sz="8" w:space="0"/>
              <w:right w:val="single" w:color="000000" w:sz="8" w:space="0"/>
            </w:tcBorders>
            <w:vAlign w:val="center"/>
          </w:tcPr>
          <w:p w14:paraId="220E7D95">
            <w:pPr>
              <w:pStyle w:val="34"/>
              <w:pageBreakBefore w:val="0"/>
              <w:kinsoku/>
              <w:wordWrap/>
              <w:overflowPunct/>
              <w:topLinePunct w:val="0"/>
              <w:autoSpaceDE/>
              <w:autoSpaceDN/>
              <w:bidi w:val="0"/>
              <w:spacing w:line="360" w:lineRule="auto"/>
              <w:ind w:left="0" w:leftChars="0" w:hanging="4" w:firstLineChars="0"/>
              <w:textAlignment w:val="auto"/>
              <w:rPr>
                <w:rFonts w:hint="eastAsia" w:ascii="宋体" w:hAnsi="宋体" w:eastAsia="宋体" w:cs="宋体"/>
                <w:color w:val="auto"/>
                <w:kern w:val="28"/>
                <w:sz w:val="24"/>
                <w:highlight w:val="none"/>
                <w:lang w:val="en-US" w:eastAsia="zh-CN"/>
              </w:rPr>
            </w:pPr>
            <w:r>
              <w:rPr>
                <w:rFonts w:hint="eastAsia" w:ascii="宋体" w:hAnsi="宋体" w:eastAsia="宋体" w:cs="宋体"/>
                <w:color w:val="auto"/>
                <w:kern w:val="28"/>
                <w:sz w:val="24"/>
                <w:szCs w:val="24"/>
                <w:highlight w:val="none"/>
                <w:lang w:val="en-US" w:eastAsia="zh-CN"/>
              </w:rPr>
              <w:t>备份文件是否收取：不收取。</w:t>
            </w:r>
          </w:p>
        </w:tc>
      </w:tr>
      <w:tr w14:paraId="57206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8"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025DE2D4">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864" w:type="dxa"/>
            <w:tcBorders>
              <w:top w:val="single" w:color="000000" w:sz="8" w:space="0"/>
              <w:left w:val="single" w:color="000000" w:sz="2" w:space="0"/>
              <w:bottom w:val="single" w:color="000000" w:sz="8" w:space="0"/>
              <w:right w:val="single" w:color="000000" w:sz="8" w:space="0"/>
            </w:tcBorders>
            <w:vAlign w:val="center"/>
          </w:tcPr>
          <w:p w14:paraId="2182D159">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采购机构代理费用</w:t>
            </w:r>
          </w:p>
        </w:tc>
        <w:tc>
          <w:tcPr>
            <w:tcW w:w="6298" w:type="dxa"/>
            <w:tcBorders>
              <w:top w:val="single" w:color="000000" w:sz="8" w:space="0"/>
              <w:left w:val="single" w:color="000000" w:sz="2" w:space="0"/>
              <w:bottom w:val="single" w:color="000000" w:sz="8" w:space="0"/>
              <w:right w:val="single" w:color="000000" w:sz="8" w:space="0"/>
            </w:tcBorders>
            <w:vAlign w:val="center"/>
          </w:tcPr>
          <w:p w14:paraId="343CA298">
            <w:pPr>
              <w:keepNext w:val="0"/>
              <w:keepLines w:val="0"/>
              <w:pageBreakBefore w:val="0"/>
              <w:widowControl/>
              <w:suppressLineNumbers w:val="0"/>
              <w:kinsoku/>
              <w:wordWrap/>
              <w:overflowPunct/>
              <w:topLinePunct w:val="0"/>
              <w:autoSpaceDE/>
              <w:autoSpaceDN/>
              <w:bidi w:val="0"/>
              <w:ind w:left="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采购人支付。</w:t>
            </w:r>
          </w:p>
        </w:tc>
      </w:tr>
      <w:tr w14:paraId="57687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181589D9">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highlight w:val="none"/>
                <w:lang w:val="en-US" w:eastAsia="zh-CN"/>
              </w:rPr>
              <w:t>14</w:t>
            </w:r>
          </w:p>
        </w:tc>
        <w:tc>
          <w:tcPr>
            <w:tcW w:w="1864" w:type="dxa"/>
            <w:tcBorders>
              <w:top w:val="single" w:color="000000" w:sz="8" w:space="0"/>
              <w:left w:val="single" w:color="000000" w:sz="2" w:space="0"/>
              <w:bottom w:val="single" w:color="000000" w:sz="8" w:space="0"/>
              <w:right w:val="single" w:color="000000" w:sz="8" w:space="0"/>
            </w:tcBorders>
            <w:vAlign w:val="center"/>
          </w:tcPr>
          <w:p w14:paraId="3F5F9D8F">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b/>
                <w:color w:val="auto"/>
                <w:sz w:val="24"/>
                <w:highlight w:val="yellow"/>
                <w:lang w:val="en-US" w:eastAsia="zh-CN"/>
              </w:rPr>
            </w:pPr>
            <w:r>
              <w:rPr>
                <w:rFonts w:hint="eastAsia" w:ascii="宋体" w:hAnsi="宋体" w:eastAsia="宋体" w:cs="宋体"/>
                <w:b/>
                <w:color w:val="auto"/>
                <w:sz w:val="24"/>
                <w:highlight w:val="none"/>
                <w:lang w:val="en-US" w:eastAsia="zh-CN"/>
              </w:rPr>
              <w:t>履约保证金</w:t>
            </w:r>
          </w:p>
        </w:tc>
        <w:tc>
          <w:tcPr>
            <w:tcW w:w="6298" w:type="dxa"/>
            <w:tcBorders>
              <w:top w:val="single" w:color="000000" w:sz="8" w:space="0"/>
              <w:left w:val="single" w:color="000000" w:sz="2" w:space="0"/>
              <w:bottom w:val="single" w:color="000000" w:sz="8" w:space="0"/>
              <w:right w:val="single" w:color="000000" w:sz="8" w:space="0"/>
            </w:tcBorders>
            <w:vAlign w:val="center"/>
          </w:tcPr>
          <w:p w14:paraId="06CBF94A">
            <w:pPr>
              <w:keepNext w:val="0"/>
              <w:keepLines w:val="0"/>
              <w:pageBreakBefore w:val="0"/>
              <w:widowControl/>
              <w:suppressLineNumbers w:val="0"/>
              <w:kinsoku/>
              <w:wordWrap/>
              <w:overflowPunct/>
              <w:topLinePunct w:val="0"/>
              <w:autoSpaceDE/>
              <w:autoSpaceDN/>
              <w:bidi w:val="0"/>
              <w:ind w:lef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履约保证金：</w:t>
            </w:r>
            <w:r>
              <w:rPr>
                <w:rFonts w:hint="eastAsia" w:ascii="宋体" w:hAnsi="宋体" w:eastAsia="宋体" w:cs="宋体"/>
                <w:color w:val="auto"/>
                <w:sz w:val="24"/>
                <w:szCs w:val="24"/>
                <w:highlight w:val="none"/>
                <w:lang w:val="en-US" w:eastAsia="zh-CN"/>
              </w:rPr>
              <w:t>不收取</w:t>
            </w:r>
          </w:p>
          <w:p w14:paraId="0CA832FC">
            <w:pPr>
              <w:keepNext w:val="0"/>
              <w:keepLines w:val="0"/>
              <w:pageBreakBefore w:val="0"/>
              <w:widowControl/>
              <w:suppressLineNumbers w:val="0"/>
              <w:kinsoku/>
              <w:wordWrap/>
              <w:overflowPunct/>
              <w:topLinePunct w:val="0"/>
              <w:autoSpaceDE/>
              <w:autoSpaceDN/>
              <w:bidi w:val="0"/>
              <w:ind w:left="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供应商应当以支票、汇票、本票或者金融机构、担保机构出具的保函等非现金形式提交。</w:t>
            </w:r>
          </w:p>
        </w:tc>
      </w:tr>
      <w:tr w14:paraId="59FD7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1D1E989C">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highlight w:val="none"/>
                <w:lang w:val="en-US" w:eastAsia="zh-CN"/>
              </w:rPr>
              <w:t>15</w:t>
            </w:r>
          </w:p>
        </w:tc>
        <w:tc>
          <w:tcPr>
            <w:tcW w:w="1864" w:type="dxa"/>
            <w:tcBorders>
              <w:top w:val="single" w:color="000000" w:sz="8" w:space="0"/>
              <w:left w:val="single" w:color="000000" w:sz="2" w:space="0"/>
              <w:bottom w:val="single" w:color="000000" w:sz="8" w:space="0"/>
              <w:right w:val="single" w:color="000000" w:sz="8" w:space="0"/>
            </w:tcBorders>
            <w:vAlign w:val="center"/>
          </w:tcPr>
          <w:p w14:paraId="050688DA">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资格审查</w:t>
            </w:r>
          </w:p>
        </w:tc>
        <w:tc>
          <w:tcPr>
            <w:tcW w:w="6298" w:type="dxa"/>
            <w:tcBorders>
              <w:top w:val="single" w:color="000000" w:sz="8" w:space="0"/>
              <w:left w:val="single" w:color="000000" w:sz="2" w:space="0"/>
              <w:bottom w:val="single" w:color="000000" w:sz="8" w:space="0"/>
              <w:right w:val="single" w:color="000000" w:sz="8" w:space="0"/>
            </w:tcBorders>
            <w:vAlign w:val="center"/>
          </w:tcPr>
          <w:p w14:paraId="3D995432">
            <w:pPr>
              <w:pStyle w:val="34"/>
              <w:pageBreakBefore w:val="0"/>
              <w:kinsoku/>
              <w:wordWrap/>
              <w:overflowPunct/>
              <w:topLinePunct w:val="0"/>
              <w:autoSpaceDE/>
              <w:autoSpaceDN/>
              <w:bidi w:val="0"/>
              <w:spacing w:line="360" w:lineRule="auto"/>
              <w:ind w:left="0" w:leftChars="0" w:hanging="4" w:firstLine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本项目由</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进行资格文件查询。</w:t>
            </w:r>
          </w:p>
        </w:tc>
      </w:tr>
      <w:tr w14:paraId="671C7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784E5A7B">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17</w:t>
            </w:r>
          </w:p>
        </w:tc>
        <w:tc>
          <w:tcPr>
            <w:tcW w:w="1864" w:type="dxa"/>
            <w:tcBorders>
              <w:top w:val="single" w:color="000000" w:sz="8" w:space="0"/>
              <w:left w:val="single" w:color="000000" w:sz="2" w:space="0"/>
              <w:bottom w:val="single" w:color="000000" w:sz="8" w:space="0"/>
              <w:right w:val="single" w:color="000000" w:sz="8" w:space="0"/>
            </w:tcBorders>
            <w:vAlign w:val="center"/>
          </w:tcPr>
          <w:p w14:paraId="68F1CA6E">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质疑接收人及答复</w:t>
            </w:r>
          </w:p>
        </w:tc>
        <w:tc>
          <w:tcPr>
            <w:tcW w:w="6298" w:type="dxa"/>
            <w:tcBorders>
              <w:top w:val="single" w:color="000000" w:sz="8" w:space="0"/>
              <w:left w:val="single" w:color="000000" w:sz="2" w:space="0"/>
              <w:bottom w:val="single" w:color="000000" w:sz="8" w:space="0"/>
              <w:right w:val="single" w:color="000000" w:sz="8" w:space="0"/>
            </w:tcBorders>
            <w:vAlign w:val="center"/>
          </w:tcPr>
          <w:p w14:paraId="224DDEE4">
            <w:pPr>
              <w:pStyle w:val="34"/>
              <w:pageBreakBefore w:val="0"/>
              <w:kinsoku/>
              <w:wordWrap/>
              <w:overflowPunct/>
              <w:topLinePunct w:val="0"/>
              <w:autoSpaceDE/>
              <w:autoSpaceDN/>
              <w:bidi w:val="0"/>
              <w:spacing w:line="360" w:lineRule="auto"/>
              <w:ind w:left="0" w:leftChars="0" w:hanging="4"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采购人、采购机构质疑接收人、联系方式：详见公告</w:t>
            </w:r>
          </w:p>
          <w:p w14:paraId="28DA72C9">
            <w:pPr>
              <w:pStyle w:val="34"/>
              <w:pageBreakBefore w:val="0"/>
              <w:kinsoku/>
              <w:wordWrap/>
              <w:overflowPunct/>
              <w:topLinePunct w:val="0"/>
              <w:autoSpaceDE/>
              <w:autoSpaceDN/>
              <w:bidi w:val="0"/>
              <w:spacing w:line="360" w:lineRule="auto"/>
              <w:ind w:left="0" w:leftChars="0" w:hanging="4"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线上提交质疑方式：</w:t>
            </w:r>
            <w:r>
              <w:rPr>
                <w:rFonts w:hint="eastAsia" w:ascii="宋体" w:hAnsi="宋体" w:eastAsia="宋体" w:cs="宋体"/>
                <w:color w:val="auto"/>
                <w:sz w:val="24"/>
                <w:highlight w:val="none"/>
                <w:lang w:eastAsia="zh-CN"/>
              </w:rPr>
              <w:t>乐采云(萧采云)</w:t>
            </w:r>
            <w:r>
              <w:rPr>
                <w:rFonts w:hint="eastAsia" w:ascii="宋体" w:hAnsi="宋体" w:eastAsia="宋体" w:cs="宋体"/>
                <w:color w:val="auto"/>
                <w:sz w:val="24"/>
                <w:highlight w:val="none"/>
              </w:rPr>
              <w:t>线上质疑路径：项目采购-询问质疑投诉-质疑列表。请使用ca签章在每一页质疑文件中加盖电子公章，上传完整附件。</w:t>
            </w:r>
          </w:p>
          <w:p w14:paraId="50888400">
            <w:pPr>
              <w:pStyle w:val="34"/>
              <w:pageBreakBefore w:val="0"/>
              <w:kinsoku/>
              <w:wordWrap/>
              <w:overflowPunct/>
              <w:topLinePunct w:val="0"/>
              <w:autoSpaceDE/>
              <w:autoSpaceDN/>
              <w:bidi w:val="0"/>
              <w:spacing w:line="360" w:lineRule="auto"/>
              <w:ind w:left="0" w:leftChars="0" w:hanging="4"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本项目涉及资格条件、采购需求、评分办法及采购过程中有关现场考察或开标前答疑会等事项由采购人进行答复。</w:t>
            </w:r>
          </w:p>
          <w:p w14:paraId="6062C205">
            <w:pPr>
              <w:pStyle w:val="34"/>
              <w:pageBreakBefore w:val="0"/>
              <w:kinsoku/>
              <w:wordWrap/>
              <w:overflowPunct/>
              <w:topLinePunct w:val="0"/>
              <w:autoSpaceDE/>
              <w:autoSpaceDN/>
              <w:bidi w:val="0"/>
              <w:spacing w:line="360" w:lineRule="auto"/>
              <w:ind w:left="0" w:leftChars="0" w:hanging="4"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涉及流程规范性、组织程序等相关事项，由采购机构进行答复。</w:t>
            </w:r>
          </w:p>
        </w:tc>
      </w:tr>
      <w:tr w14:paraId="25F3E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45D2EE48">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w:t>
            </w:r>
          </w:p>
        </w:tc>
        <w:tc>
          <w:tcPr>
            <w:tcW w:w="1864" w:type="dxa"/>
            <w:tcBorders>
              <w:top w:val="single" w:color="000000" w:sz="8" w:space="0"/>
              <w:left w:val="single" w:color="000000" w:sz="2" w:space="0"/>
              <w:bottom w:val="single" w:color="000000" w:sz="8" w:space="0"/>
              <w:right w:val="single" w:color="000000" w:sz="8" w:space="0"/>
            </w:tcBorders>
            <w:vAlign w:val="center"/>
          </w:tcPr>
          <w:p w14:paraId="31AD7FDF">
            <w:pPr>
              <w:pageBreakBefore w:val="0"/>
              <w:kinsoku/>
              <w:wordWrap/>
              <w:overflowPunct/>
              <w:topLinePunct w:val="0"/>
              <w:autoSpaceDE/>
              <w:autoSpaceDN/>
              <w:bidi w:val="0"/>
              <w:snapToGrid w:val="0"/>
              <w:spacing w:line="360" w:lineRule="auto"/>
              <w:ind w:lef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298" w:type="dxa"/>
            <w:tcBorders>
              <w:top w:val="single" w:color="000000" w:sz="8" w:space="0"/>
              <w:left w:val="single" w:color="000000" w:sz="2" w:space="0"/>
              <w:bottom w:val="single" w:color="000000" w:sz="8" w:space="0"/>
              <w:right w:val="single" w:color="000000" w:sz="8" w:space="0"/>
            </w:tcBorders>
            <w:vAlign w:val="center"/>
          </w:tcPr>
          <w:p w14:paraId="5F4DF5AA">
            <w:pPr>
              <w:pageBreakBefore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本项目通用总则条款与前附表等专用特别规定有冲突之处，以专用条款（特别规定）为准</w:t>
            </w:r>
          </w:p>
        </w:tc>
      </w:tr>
      <w:bookmarkEnd w:id="9"/>
    </w:tbl>
    <w:p w14:paraId="453B7638">
      <w:pPr>
        <w:rPr>
          <w:rFonts w:hint="eastAsia" w:ascii="宋体" w:hAnsi="宋体" w:eastAsia="宋体" w:cs="宋体"/>
          <w:b/>
          <w:color w:val="auto"/>
          <w:sz w:val="32"/>
          <w:szCs w:val="20"/>
          <w:highlight w:val="none"/>
        </w:rPr>
      </w:pPr>
      <w:bookmarkStart w:id="12" w:name="_Toc164416483"/>
      <w:bookmarkStart w:id="13" w:name="第三部分"/>
      <w:r>
        <w:rPr>
          <w:rFonts w:hint="eastAsia" w:ascii="宋体" w:hAnsi="宋体" w:eastAsia="宋体" w:cs="宋体"/>
          <w:b/>
          <w:color w:val="auto"/>
          <w:sz w:val="32"/>
          <w:szCs w:val="20"/>
          <w:highlight w:val="none"/>
        </w:rPr>
        <w:t>一、总则</w:t>
      </w:r>
    </w:p>
    <w:p w14:paraId="55C776B4">
      <w:pPr>
        <w:snapToGrid w:val="0"/>
        <w:spacing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33F5FCE6">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本交易文件适用于该项目的交易、资格审查及信用信息查询、评审、定标、合同、验收等行为（法律、法规另有规定的，从其规定）。</w:t>
      </w:r>
    </w:p>
    <w:p w14:paraId="69B5A7BE">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50B6572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“采购人”系指交易公告中载明的本项目的采购人。</w:t>
      </w:r>
    </w:p>
    <w:p w14:paraId="367FDB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“采购机构”系指交易公告中载明的本项目的采购机构。</w:t>
      </w:r>
    </w:p>
    <w:p w14:paraId="0AB292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“供应商”系指是指响应交易、参加交易竞争的法人、其他组织或者自然人。</w:t>
      </w:r>
    </w:p>
    <w:p w14:paraId="7EE014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2A9FB3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p>
    <w:p w14:paraId="0B0739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2.6“电子交易平台”是指本项目采购活动所依托的政府采购云平台（https://www.zcygov.cn/）。</w:t>
      </w:r>
    </w:p>
    <w:p w14:paraId="578202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14:paraId="3DAFF93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 xml:space="preserve"> 询问、质疑、投诉</w:t>
      </w:r>
    </w:p>
    <w:p w14:paraId="7B9BFD64">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.1供应商询问</w:t>
      </w:r>
    </w:p>
    <w:p w14:paraId="50A5A0EF">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C535F81">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.2供应商质疑</w:t>
      </w:r>
    </w:p>
    <w:p w14:paraId="7C451164">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.1提出质疑的供应商应当是参与所质疑项目采购活动的供应商。潜在供应商已依法获取其可质疑的</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的，可以对该文件提出质疑。</w:t>
      </w:r>
    </w:p>
    <w:p w14:paraId="28EEC178">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.2供应商认为</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、采购过程和</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结果使自己的权益受到损害的，可以在知道或者应知其权益受到损害之日起</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日内，以书面形式向采购人或者采购机构提出质疑，否则，采购人或者采购机构不予受理：</w:t>
      </w:r>
    </w:p>
    <w:p w14:paraId="384161B1">
      <w:pPr>
        <w:pStyle w:val="18"/>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lang w:val="en-US" w:eastAsia="zh-CN"/>
        </w:rPr>
        <w:t>3</w:t>
      </w:r>
      <w:r>
        <w:rPr>
          <w:rFonts w:hint="eastAsia" w:ascii="宋体" w:hAnsi="宋体" w:eastAsia="宋体" w:cs="宋体"/>
          <w:snapToGrid/>
          <w:color w:val="auto"/>
          <w:kern w:val="2"/>
          <w:sz w:val="24"/>
          <w:highlight w:val="none"/>
        </w:rPr>
        <w:t>.2.2.1对</w:t>
      </w:r>
      <w:r>
        <w:rPr>
          <w:rFonts w:hint="eastAsia" w:ascii="宋体" w:hAnsi="宋体" w:eastAsia="宋体" w:cs="宋体"/>
          <w:snapToGrid/>
          <w:color w:val="auto"/>
          <w:kern w:val="2"/>
          <w:sz w:val="24"/>
          <w:highlight w:val="none"/>
          <w:lang w:eastAsia="zh-CN"/>
        </w:rPr>
        <w:t>交易文件</w:t>
      </w:r>
      <w:r>
        <w:rPr>
          <w:rFonts w:hint="eastAsia" w:ascii="宋体" w:hAnsi="宋体" w:eastAsia="宋体" w:cs="宋体"/>
          <w:snapToGrid/>
          <w:color w:val="auto"/>
          <w:kern w:val="2"/>
          <w:sz w:val="24"/>
          <w:highlight w:val="none"/>
        </w:rPr>
        <w:t>提出质疑的，质疑期限为供应商获得</w:t>
      </w:r>
      <w:r>
        <w:rPr>
          <w:rFonts w:hint="eastAsia" w:ascii="宋体" w:hAnsi="宋体" w:eastAsia="宋体" w:cs="宋体"/>
          <w:snapToGrid/>
          <w:color w:val="auto"/>
          <w:kern w:val="2"/>
          <w:sz w:val="24"/>
          <w:highlight w:val="none"/>
          <w:lang w:eastAsia="zh-CN"/>
        </w:rPr>
        <w:t>交易文件</w:t>
      </w:r>
      <w:r>
        <w:rPr>
          <w:rFonts w:hint="eastAsia" w:ascii="宋体" w:hAnsi="宋体" w:eastAsia="宋体" w:cs="宋体"/>
          <w:snapToGrid/>
          <w:color w:val="auto"/>
          <w:kern w:val="2"/>
          <w:sz w:val="24"/>
          <w:highlight w:val="none"/>
        </w:rPr>
        <w:t>之日或者</w:t>
      </w:r>
      <w:r>
        <w:rPr>
          <w:rFonts w:hint="eastAsia" w:ascii="宋体" w:hAnsi="宋体" w:eastAsia="宋体" w:cs="宋体"/>
          <w:snapToGrid/>
          <w:color w:val="auto"/>
          <w:kern w:val="2"/>
          <w:sz w:val="24"/>
          <w:highlight w:val="none"/>
          <w:lang w:eastAsia="zh-CN"/>
        </w:rPr>
        <w:t>交易文件</w:t>
      </w:r>
      <w:r>
        <w:rPr>
          <w:rFonts w:hint="eastAsia" w:ascii="宋体" w:hAnsi="宋体" w:eastAsia="宋体" w:cs="宋体"/>
          <w:snapToGrid/>
          <w:color w:val="auto"/>
          <w:kern w:val="2"/>
          <w:sz w:val="24"/>
          <w:highlight w:val="none"/>
        </w:rPr>
        <w:t>公告期限届满之日起计算。</w:t>
      </w:r>
    </w:p>
    <w:p w14:paraId="7C715C15">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rPr>
        <w:t>2.2.2对采购过程提出质疑的，质疑期限为各采购程序环节结束之日起计算。对同一采购程序环节的质疑，供应商须一次性提出。</w:t>
      </w:r>
    </w:p>
    <w:p w14:paraId="5C17CCA0">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rPr>
        <w:t>2.2.3对采购结果提出质疑的，质疑期限自采购结果公告期限届满之日起计算。</w:t>
      </w:r>
    </w:p>
    <w:p w14:paraId="2500DE9F">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3.2.3</w:t>
      </w:r>
      <w:r>
        <w:rPr>
          <w:rFonts w:hint="eastAsia" w:ascii="宋体" w:hAnsi="宋体" w:eastAsia="宋体" w:cs="宋体"/>
          <w:color w:val="auto"/>
          <w:sz w:val="24"/>
          <w:highlight w:val="none"/>
        </w:rPr>
        <w:t>供应商提出质疑应当提交质疑函和必要的证明材料。质疑函应当包括下列内容：</w:t>
      </w:r>
    </w:p>
    <w:p w14:paraId="047F887E">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3.2.3.1供应商的姓名或者名称、地址、邮编、联系人及联系电话；</w:t>
      </w:r>
    </w:p>
    <w:p w14:paraId="3CB4E5B0">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3.2.3.2质疑项目的名称、编号；</w:t>
      </w:r>
    </w:p>
    <w:p w14:paraId="168BAC11">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3.2.3.3具体、明确的质疑事项和与质疑事项相关的请求；</w:t>
      </w:r>
    </w:p>
    <w:p w14:paraId="5E8769F1">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3.2.3.4事实依据；</w:t>
      </w:r>
    </w:p>
    <w:p w14:paraId="5A32D34A">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3.2.3.5必要的法律依据；</w:t>
      </w:r>
    </w:p>
    <w:p w14:paraId="67817F9E">
      <w:pPr>
        <w:pStyle w:val="34"/>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3.2.3.6提出质疑的日期。</w:t>
      </w:r>
    </w:p>
    <w:p w14:paraId="36959D56">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3039F9A">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41439A1A">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3.2</w:t>
      </w:r>
      <w:r>
        <w:rPr>
          <w:rFonts w:hint="eastAsia" w:ascii="宋体" w:hAnsi="宋体" w:eastAsia="宋体" w:cs="宋体"/>
          <w:color w:val="auto"/>
          <w:highlight w:val="none"/>
        </w:rPr>
        <w:t>.4采购人或者采购机构应当在收到供应商的书面质疑后</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日内作出答复，并以书面形式通知质疑供应商和其他与质疑处理结果有利害关系的采购当事人，但答复的内容不得涉及商业秘密。</w:t>
      </w:r>
    </w:p>
    <w:p w14:paraId="38DA9197">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3.2</w:t>
      </w:r>
      <w:r>
        <w:rPr>
          <w:rFonts w:hint="eastAsia" w:ascii="宋体" w:hAnsi="宋体" w:eastAsia="宋体" w:cs="宋体"/>
          <w:color w:val="auto"/>
          <w:highlight w:val="none"/>
        </w:rPr>
        <w:t>.5询问或者质疑事项可能影响采购结果的，采购人应当暂停签订合同，已经签订合同的，应当中止履行合同。</w:t>
      </w:r>
    </w:p>
    <w:p w14:paraId="5D50144D">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3.3供应商投诉</w:t>
      </w:r>
    </w:p>
    <w:p w14:paraId="67E384D8">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eastAsia="zh-CN"/>
        </w:rPr>
        <w:t>3.</w:t>
      </w:r>
      <w:r>
        <w:rPr>
          <w:rFonts w:hint="eastAsia" w:ascii="宋体" w:hAnsi="宋体" w:eastAsia="宋体" w:cs="宋体"/>
          <w:color w:val="auto"/>
          <w:highlight w:val="none"/>
        </w:rPr>
        <w:t>3.1质疑供应商对采购人、采购机构的答复不满意或者采购人、采购机构未在规定的时间内作出答复的，可以在答复期满后十五个工作日内向同级采购监督管理部门提出投诉。</w:t>
      </w:r>
    </w:p>
    <w:p w14:paraId="14D0BB5F">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eastAsia="zh-CN"/>
        </w:rPr>
        <w:t>3.</w:t>
      </w:r>
      <w:r>
        <w:rPr>
          <w:rFonts w:hint="eastAsia" w:ascii="宋体" w:hAnsi="宋体" w:eastAsia="宋体" w:cs="宋体"/>
          <w:color w:val="auto"/>
          <w:highlight w:val="none"/>
        </w:rPr>
        <w:t>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2CBC7A19">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eastAsia="zh-CN"/>
        </w:rPr>
        <w:t>3.</w:t>
      </w:r>
      <w:r>
        <w:rPr>
          <w:rFonts w:hint="eastAsia" w:ascii="宋体" w:hAnsi="宋体" w:eastAsia="宋体" w:cs="宋体"/>
          <w:color w:val="auto"/>
          <w:highlight w:val="none"/>
        </w:rPr>
        <w:t>3.3供应商投诉应当有明确的请求和必要的证明材料。</w:t>
      </w:r>
    </w:p>
    <w:p w14:paraId="3189AD8B">
      <w:pPr>
        <w:pStyle w:val="131"/>
        <w:snapToGrid w:val="0"/>
        <w:spacing w:before="0"/>
        <w:ind w:firstLine="360"/>
        <w:rPr>
          <w:rFonts w:hint="eastAsia" w:ascii="宋体" w:hAnsi="宋体" w:eastAsia="宋体" w:cs="宋体"/>
          <w:color w:val="auto"/>
          <w:sz w:val="18"/>
          <w:szCs w:val="18"/>
          <w:highlight w:val="none"/>
        </w:rPr>
      </w:pPr>
    </w:p>
    <w:p w14:paraId="7D1F5C55">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w:t>
      </w:r>
      <w:r>
        <w:rPr>
          <w:rFonts w:hint="eastAsia" w:ascii="宋体" w:hAnsi="宋体" w:eastAsia="宋体" w:cs="宋体"/>
          <w:b/>
          <w:color w:val="auto"/>
          <w:sz w:val="32"/>
          <w:szCs w:val="20"/>
          <w:highlight w:val="none"/>
          <w:lang w:eastAsia="zh-CN"/>
        </w:rPr>
        <w:t>交易文件</w:t>
      </w:r>
      <w:r>
        <w:rPr>
          <w:rFonts w:hint="eastAsia" w:ascii="宋体" w:hAnsi="宋体" w:eastAsia="宋体" w:cs="宋体"/>
          <w:b/>
          <w:color w:val="auto"/>
          <w:sz w:val="32"/>
          <w:szCs w:val="20"/>
          <w:highlight w:val="none"/>
        </w:rPr>
        <w:t>的构成、澄清、修改</w:t>
      </w:r>
    </w:p>
    <w:p w14:paraId="5F10D98E">
      <w:pPr>
        <w:pStyle w:val="34"/>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交易文件</w:t>
      </w:r>
      <w:r>
        <w:rPr>
          <w:rFonts w:hint="eastAsia" w:ascii="宋体" w:hAnsi="宋体" w:eastAsia="宋体" w:cs="宋体"/>
          <w:b/>
          <w:color w:val="auto"/>
          <w:sz w:val="24"/>
          <w:szCs w:val="24"/>
          <w:highlight w:val="none"/>
        </w:rPr>
        <w:t>的构成</w:t>
      </w:r>
    </w:p>
    <w:p w14:paraId="1F985F6D">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交易文件</w:t>
      </w:r>
      <w:r>
        <w:rPr>
          <w:rFonts w:hint="eastAsia" w:ascii="宋体" w:hAnsi="宋体" w:eastAsia="宋体" w:cs="宋体"/>
          <w:color w:val="auto"/>
          <w:sz w:val="24"/>
          <w:szCs w:val="24"/>
          <w:highlight w:val="none"/>
        </w:rPr>
        <w:t>包括下列文件及附件：</w:t>
      </w:r>
    </w:p>
    <w:p w14:paraId="34F99D5E">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交易</w:t>
      </w:r>
      <w:r>
        <w:rPr>
          <w:rFonts w:hint="eastAsia" w:ascii="宋体" w:hAnsi="宋体" w:eastAsia="宋体" w:cs="宋体"/>
          <w:color w:val="auto"/>
          <w:sz w:val="24"/>
          <w:szCs w:val="24"/>
          <w:highlight w:val="none"/>
        </w:rPr>
        <w:t>公告；</w:t>
      </w:r>
    </w:p>
    <w:p w14:paraId="2E9A43C6">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p>
    <w:p w14:paraId="650919EA">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.1.3采购需求；</w:t>
      </w:r>
    </w:p>
    <w:p w14:paraId="107CF128">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.1.4评</w:t>
      </w:r>
      <w:r>
        <w:rPr>
          <w:rFonts w:hint="eastAsia" w:ascii="宋体" w:hAnsi="宋体" w:eastAsia="宋体" w:cs="宋体"/>
          <w:color w:val="auto"/>
          <w:sz w:val="24"/>
          <w:szCs w:val="24"/>
          <w:highlight w:val="none"/>
          <w:lang w:eastAsia="zh-CN"/>
        </w:rPr>
        <w:t>审</w:t>
      </w:r>
      <w:r>
        <w:rPr>
          <w:rFonts w:hint="eastAsia" w:ascii="宋体" w:hAnsi="宋体" w:eastAsia="宋体" w:cs="宋体"/>
          <w:color w:val="auto"/>
          <w:sz w:val="24"/>
          <w:szCs w:val="24"/>
          <w:highlight w:val="none"/>
        </w:rPr>
        <w:t>办法；</w:t>
      </w:r>
    </w:p>
    <w:p w14:paraId="7456BEE5">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.1.5拟签订的合同文本；</w:t>
      </w:r>
    </w:p>
    <w:p w14:paraId="01375932">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.1.6</w:t>
      </w:r>
      <w:r>
        <w:rPr>
          <w:rFonts w:hint="eastAsia" w:ascii="宋体" w:hAnsi="宋体" w:eastAsia="宋体" w:cs="宋体"/>
          <w:color w:val="auto"/>
          <w:sz w:val="24"/>
          <w:szCs w:val="24"/>
          <w:highlight w:val="none"/>
        </w:rPr>
        <w:t>应提交的有关格式范例。</w:t>
      </w:r>
    </w:p>
    <w:p w14:paraId="39A131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.2与本项目有关的</w:t>
      </w:r>
      <w:r>
        <w:rPr>
          <w:rFonts w:hint="eastAsia" w:ascii="宋体" w:hAnsi="宋体" w:eastAsia="宋体" w:cs="宋体"/>
          <w:bCs/>
          <w:color w:val="auto"/>
          <w:sz w:val="24"/>
          <w:highlight w:val="none"/>
        </w:rPr>
        <w:t>澄清或者修改的内容为</w:t>
      </w:r>
      <w:r>
        <w:rPr>
          <w:rFonts w:hint="eastAsia" w:ascii="宋体" w:hAnsi="宋体" w:eastAsia="宋体" w:cs="宋体"/>
          <w:bCs/>
          <w:color w:val="auto"/>
          <w:sz w:val="24"/>
          <w:highlight w:val="none"/>
          <w:lang w:eastAsia="zh-CN"/>
        </w:rPr>
        <w:t>交易文件</w:t>
      </w:r>
      <w:r>
        <w:rPr>
          <w:rFonts w:hint="eastAsia" w:ascii="宋体" w:hAnsi="宋体" w:eastAsia="宋体" w:cs="宋体"/>
          <w:bCs/>
          <w:color w:val="auto"/>
          <w:sz w:val="24"/>
          <w:highlight w:val="none"/>
        </w:rPr>
        <w:t>的组成部分</w:t>
      </w:r>
      <w:r>
        <w:rPr>
          <w:rFonts w:hint="eastAsia" w:ascii="宋体" w:hAnsi="宋体" w:eastAsia="宋体" w:cs="宋体"/>
          <w:color w:val="auto"/>
          <w:sz w:val="24"/>
          <w:highlight w:val="none"/>
        </w:rPr>
        <w:t>。</w:t>
      </w:r>
    </w:p>
    <w:p w14:paraId="4816D020">
      <w:pPr>
        <w:pStyle w:val="34"/>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eastAsia="zh-CN"/>
        </w:rPr>
        <w:t>交易文件</w:t>
      </w:r>
      <w:r>
        <w:rPr>
          <w:rFonts w:hint="eastAsia" w:ascii="宋体" w:hAnsi="宋体" w:eastAsia="宋体" w:cs="宋体"/>
          <w:b/>
          <w:color w:val="auto"/>
          <w:sz w:val="24"/>
          <w:szCs w:val="24"/>
          <w:highlight w:val="none"/>
        </w:rPr>
        <w:t>的澄清、修改</w:t>
      </w:r>
    </w:p>
    <w:p w14:paraId="3BBB3708">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.1已获取</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，若有问题需要澄清，应于</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截止时间前，以书面形式向采购机构提出。</w:t>
      </w:r>
    </w:p>
    <w:p w14:paraId="5E601A5B">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 采购机构对</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进行澄清或修改的，将同时通过电子交易平台通知已获取</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。依法应当公告的，将按规定公告，同时视情况延长</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截止时间和</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时间。该澄清或者修改的内容为</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的组成部分。</w:t>
      </w:r>
    </w:p>
    <w:p w14:paraId="1BCEE401">
      <w:pPr>
        <w:pStyle w:val="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20BB4E9C">
      <w:pPr>
        <w:adjustRightInd/>
        <w:spacing w:line="360" w:lineRule="auto"/>
        <w:jc w:val="center"/>
        <w:outlineLvl w:val="0"/>
        <w:rPr>
          <w:rFonts w:hint="eastAsia" w:ascii="宋体" w:hAnsi="宋体" w:eastAsia="宋体" w:cs="宋体"/>
          <w:b/>
          <w:color w:val="auto"/>
          <w:sz w:val="30"/>
          <w:szCs w:val="20"/>
          <w:highlight w:val="none"/>
          <w:lang w:eastAsia="zh-CN"/>
        </w:rPr>
      </w:pPr>
      <w:r>
        <w:rPr>
          <w:rFonts w:hint="eastAsia" w:ascii="宋体" w:hAnsi="宋体" w:eastAsia="宋体" w:cs="宋体"/>
          <w:b/>
          <w:color w:val="auto"/>
          <w:sz w:val="30"/>
          <w:szCs w:val="20"/>
          <w:highlight w:val="none"/>
        </w:rPr>
        <w:t>三、</w:t>
      </w:r>
      <w:r>
        <w:rPr>
          <w:rFonts w:hint="eastAsia" w:ascii="宋体" w:hAnsi="宋体" w:eastAsia="宋体" w:cs="宋体"/>
          <w:b/>
          <w:color w:val="auto"/>
          <w:sz w:val="30"/>
          <w:szCs w:val="20"/>
          <w:highlight w:val="none"/>
          <w:lang w:eastAsia="zh-CN"/>
        </w:rPr>
        <w:t>交易</w:t>
      </w:r>
    </w:p>
    <w:p w14:paraId="2DD0F438">
      <w:pPr>
        <w:pStyle w:val="34"/>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eastAsia="zh-CN"/>
        </w:rPr>
        <w:t>交易文件</w:t>
      </w:r>
      <w:r>
        <w:rPr>
          <w:rFonts w:hint="eastAsia" w:ascii="宋体" w:hAnsi="宋体" w:eastAsia="宋体" w:cs="宋体"/>
          <w:b/>
          <w:color w:val="auto"/>
          <w:sz w:val="24"/>
          <w:szCs w:val="24"/>
          <w:highlight w:val="none"/>
        </w:rPr>
        <w:t>的获取</w:t>
      </w:r>
    </w:p>
    <w:p w14:paraId="5CD74B65">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w:t>
      </w:r>
      <w:r>
        <w:rPr>
          <w:rFonts w:hint="eastAsia" w:ascii="宋体" w:hAnsi="宋体" w:eastAsia="宋体" w:cs="宋体"/>
          <w:snapToGrid w:val="0"/>
          <w:color w:val="auto"/>
          <w:kern w:val="28"/>
          <w:sz w:val="24"/>
          <w:highlight w:val="none"/>
          <w:lang w:eastAsia="zh-CN"/>
        </w:rPr>
        <w:t>交易</w:t>
      </w:r>
      <w:r>
        <w:rPr>
          <w:rFonts w:hint="eastAsia" w:ascii="宋体" w:hAnsi="宋体" w:eastAsia="宋体" w:cs="宋体"/>
          <w:snapToGrid w:val="0"/>
          <w:color w:val="auto"/>
          <w:kern w:val="28"/>
          <w:sz w:val="24"/>
          <w:highlight w:val="none"/>
        </w:rPr>
        <w:t>公告中获取</w:t>
      </w:r>
      <w:r>
        <w:rPr>
          <w:rFonts w:hint="eastAsia" w:ascii="宋体" w:hAnsi="宋体" w:eastAsia="宋体" w:cs="宋体"/>
          <w:snapToGrid w:val="0"/>
          <w:color w:val="auto"/>
          <w:kern w:val="28"/>
          <w:sz w:val="24"/>
          <w:highlight w:val="none"/>
          <w:lang w:eastAsia="zh-CN"/>
        </w:rPr>
        <w:t>交易文件</w:t>
      </w:r>
      <w:r>
        <w:rPr>
          <w:rFonts w:hint="eastAsia" w:ascii="宋体" w:hAnsi="宋体" w:eastAsia="宋体" w:cs="宋体"/>
          <w:snapToGrid w:val="0"/>
          <w:color w:val="auto"/>
          <w:kern w:val="28"/>
          <w:sz w:val="24"/>
          <w:highlight w:val="none"/>
        </w:rPr>
        <w:t>的时间期限、地点、方式及</w:t>
      </w:r>
      <w:r>
        <w:rPr>
          <w:rFonts w:hint="eastAsia" w:ascii="宋体" w:hAnsi="宋体" w:eastAsia="宋体" w:cs="宋体"/>
          <w:snapToGrid w:val="0"/>
          <w:color w:val="auto"/>
          <w:kern w:val="28"/>
          <w:sz w:val="24"/>
          <w:highlight w:val="none"/>
          <w:lang w:eastAsia="zh-CN"/>
        </w:rPr>
        <w:t>交易文件</w:t>
      </w:r>
      <w:r>
        <w:rPr>
          <w:rFonts w:hint="eastAsia" w:ascii="宋体" w:hAnsi="宋体" w:eastAsia="宋体" w:cs="宋体"/>
          <w:snapToGrid w:val="0"/>
          <w:color w:val="auto"/>
          <w:kern w:val="28"/>
          <w:sz w:val="24"/>
          <w:highlight w:val="none"/>
        </w:rPr>
        <w:t>售价。</w:t>
      </w:r>
    </w:p>
    <w:p w14:paraId="4F7A3BC0">
      <w:pPr>
        <w:pStyle w:val="34"/>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交易</w:t>
      </w:r>
      <w:r>
        <w:rPr>
          <w:rFonts w:hint="eastAsia" w:ascii="宋体" w:hAnsi="宋体" w:eastAsia="宋体" w:cs="宋体"/>
          <w:b/>
          <w:color w:val="auto"/>
          <w:sz w:val="24"/>
          <w:szCs w:val="24"/>
          <w:highlight w:val="none"/>
        </w:rPr>
        <w:t>前答疑会或现场考察</w:t>
      </w:r>
    </w:p>
    <w:p w14:paraId="718EB21C">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现场考察或者召开</w:t>
      </w:r>
      <w:r>
        <w:rPr>
          <w:rFonts w:hint="eastAsia" w:ascii="宋体" w:hAnsi="宋体" w:eastAsia="宋体" w:cs="宋体"/>
          <w:color w:val="auto"/>
          <w:sz w:val="24"/>
          <w:szCs w:val="24"/>
          <w:highlight w:val="none"/>
          <w:lang w:eastAsia="zh-CN"/>
        </w:rPr>
        <w:t>交易</w:t>
      </w:r>
      <w:r>
        <w:rPr>
          <w:rFonts w:hint="eastAsia" w:ascii="宋体" w:hAnsi="宋体" w:eastAsia="宋体" w:cs="宋体"/>
          <w:color w:val="auto"/>
          <w:sz w:val="24"/>
          <w:szCs w:val="24"/>
          <w:highlight w:val="none"/>
        </w:rPr>
        <w:t>前答疑会的，潜在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按第二部分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须知前附表的规定参加现场考察或者</w:t>
      </w:r>
      <w:r>
        <w:rPr>
          <w:rFonts w:hint="eastAsia" w:ascii="宋体" w:hAnsi="宋体" w:eastAsia="宋体" w:cs="宋体"/>
          <w:color w:val="auto"/>
          <w:sz w:val="24"/>
          <w:szCs w:val="24"/>
          <w:highlight w:val="none"/>
          <w:lang w:eastAsia="zh-CN"/>
        </w:rPr>
        <w:t>交易</w:t>
      </w:r>
      <w:r>
        <w:rPr>
          <w:rFonts w:hint="eastAsia" w:ascii="宋体" w:hAnsi="宋体" w:eastAsia="宋体" w:cs="宋体"/>
          <w:color w:val="auto"/>
          <w:sz w:val="24"/>
          <w:szCs w:val="24"/>
          <w:highlight w:val="none"/>
        </w:rPr>
        <w:t>前答疑会。</w:t>
      </w:r>
    </w:p>
    <w:p w14:paraId="5F16AB41">
      <w:pPr>
        <w:pStyle w:val="34"/>
        <w:spacing w:line="360" w:lineRule="auto"/>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lang w:val="en-US" w:eastAsia="zh-CN"/>
        </w:rPr>
        <w:t>8</w:t>
      </w:r>
      <w:r>
        <w:rPr>
          <w:rFonts w:hint="eastAsia" w:ascii="宋体" w:hAnsi="宋体" w:eastAsia="宋体" w:cs="宋体"/>
          <w:b/>
          <w:color w:val="auto"/>
          <w:kern w:val="28"/>
          <w:sz w:val="24"/>
          <w:szCs w:val="24"/>
          <w:highlight w:val="none"/>
        </w:rPr>
        <w:t>.</w:t>
      </w:r>
      <w:r>
        <w:rPr>
          <w:rFonts w:hint="eastAsia" w:ascii="宋体" w:hAnsi="宋体" w:eastAsia="宋体" w:cs="宋体"/>
          <w:b/>
          <w:color w:val="auto"/>
          <w:kern w:val="28"/>
          <w:sz w:val="24"/>
          <w:szCs w:val="24"/>
          <w:highlight w:val="none"/>
          <w:lang w:eastAsia="zh-CN"/>
        </w:rPr>
        <w:t>交易</w:t>
      </w:r>
      <w:r>
        <w:rPr>
          <w:rFonts w:hint="eastAsia" w:ascii="宋体" w:hAnsi="宋体" w:eastAsia="宋体" w:cs="宋体"/>
          <w:b/>
          <w:color w:val="auto"/>
          <w:kern w:val="28"/>
          <w:sz w:val="24"/>
          <w:szCs w:val="24"/>
          <w:highlight w:val="none"/>
        </w:rPr>
        <w:t>保证金</w:t>
      </w:r>
    </w:p>
    <w:p w14:paraId="1D3FF5FA">
      <w:pPr>
        <w:pStyle w:val="18"/>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保证金。</w:t>
      </w:r>
    </w:p>
    <w:p w14:paraId="006F8EFC">
      <w:pPr>
        <w:pStyle w:val="34"/>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eastAsia="zh-CN"/>
        </w:rPr>
        <w:t>响应</w:t>
      </w:r>
      <w:r>
        <w:rPr>
          <w:rFonts w:hint="eastAsia" w:ascii="宋体" w:hAnsi="宋体" w:eastAsia="宋体" w:cs="宋体"/>
          <w:b/>
          <w:color w:val="auto"/>
          <w:sz w:val="24"/>
          <w:szCs w:val="24"/>
          <w:highlight w:val="none"/>
        </w:rPr>
        <w:t>文件的语言</w:t>
      </w:r>
    </w:p>
    <w:p w14:paraId="103D5C54">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文件及</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与采购有关的来往通知、函件和文件均应使用中文。</w:t>
      </w:r>
    </w:p>
    <w:p w14:paraId="6AFDC734">
      <w:pPr>
        <w:pStyle w:val="34"/>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eastAsia="zh-CN"/>
        </w:rPr>
        <w:t>响应</w:t>
      </w:r>
      <w:r>
        <w:rPr>
          <w:rFonts w:hint="eastAsia" w:ascii="宋体" w:hAnsi="宋体" w:eastAsia="宋体" w:cs="宋体"/>
          <w:b/>
          <w:color w:val="auto"/>
          <w:sz w:val="24"/>
          <w:szCs w:val="24"/>
          <w:highlight w:val="none"/>
        </w:rPr>
        <w:t>文件的组成</w:t>
      </w:r>
    </w:p>
    <w:p w14:paraId="26DB5944">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rPr>
        <w:t>.1资格文件：</w:t>
      </w:r>
    </w:p>
    <w:p w14:paraId="03EC69E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.1.1符合参加采购活动应当具备的一般条件的承诺函；</w:t>
      </w:r>
    </w:p>
    <w:p w14:paraId="5E47E69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.1.2落实采购政策需满足的资格要求。</w:t>
      </w:r>
    </w:p>
    <w:p w14:paraId="352B0CA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w:t>
      </w:r>
    </w:p>
    <w:p w14:paraId="7D440009">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14:paraId="35D693F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函；</w:t>
      </w:r>
      <w:r>
        <w:rPr>
          <w:rFonts w:hint="eastAsia" w:ascii="宋体" w:hAnsi="宋体" w:eastAsia="宋体" w:cs="宋体"/>
          <w:color w:val="auto"/>
          <w:sz w:val="24"/>
          <w:highlight w:val="none"/>
          <w:lang w:val="zh-CN"/>
        </w:rPr>
        <w:t xml:space="preserve"> </w:t>
      </w:r>
    </w:p>
    <w:p w14:paraId="357AE0B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.2.2授权委托书或法定代表人（单位负责人、自然人本人）身份证明；</w:t>
      </w:r>
    </w:p>
    <w:p w14:paraId="6F45719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.2.3符合性审查资料；</w:t>
      </w:r>
    </w:p>
    <w:p w14:paraId="5924D96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.2.4评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p>
    <w:p w14:paraId="7236CFD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.2.5</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标的清单；</w:t>
      </w:r>
    </w:p>
    <w:p w14:paraId="7FA2395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.2.6商务技术偏离表；</w:t>
      </w:r>
    </w:p>
    <w:p w14:paraId="3F75CCA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.2.7</w:t>
      </w:r>
      <w:r>
        <w:rPr>
          <w:rFonts w:hint="eastAsia" w:ascii="宋体" w:hAnsi="宋体" w:eastAsia="宋体" w:cs="宋体"/>
          <w:color w:val="auto"/>
          <w:sz w:val="24"/>
          <w:highlight w:val="none"/>
          <w:lang w:val="zh-CN"/>
        </w:rPr>
        <w:t>采购供应商廉洁自律承诺书；</w:t>
      </w:r>
    </w:p>
    <w:p w14:paraId="6D57BC9C">
      <w:pPr>
        <w:snapToGrid w:val="0"/>
        <w:spacing w:line="360" w:lineRule="auto"/>
        <w:ind w:firstLine="482" w:firstLineChars="200"/>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lang w:val="en-US" w:eastAsia="zh-CN"/>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 xml:space="preserve">报价文件： </w:t>
      </w:r>
    </w:p>
    <w:p w14:paraId="37C682A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一览表（报价表）；</w:t>
      </w:r>
    </w:p>
    <w:p w14:paraId="128F7F20">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文件含有采购人不能接受的附加条件的，</w:t>
      </w:r>
      <w:r>
        <w:rPr>
          <w:rFonts w:hint="eastAsia" w:ascii="宋体" w:hAnsi="宋体" w:eastAsia="宋体" w:cs="宋体"/>
          <w:b/>
          <w:color w:val="auto"/>
          <w:sz w:val="24"/>
          <w:highlight w:val="none"/>
          <w:lang w:eastAsia="zh-CN"/>
        </w:rPr>
        <w:t>交易</w:t>
      </w:r>
      <w:r>
        <w:rPr>
          <w:rFonts w:hint="eastAsia" w:ascii="宋体" w:hAnsi="宋体" w:eastAsia="宋体" w:cs="宋体"/>
          <w:b/>
          <w:color w:val="auto"/>
          <w:sz w:val="24"/>
          <w:highlight w:val="none"/>
        </w:rPr>
        <w:t>无效；</w:t>
      </w:r>
    </w:p>
    <w:p w14:paraId="2BD6AF89">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提供虚假材料</w:t>
      </w:r>
      <w:r>
        <w:rPr>
          <w:rFonts w:hint="eastAsia" w:ascii="宋体" w:hAnsi="宋体" w:eastAsia="宋体" w:cs="宋体"/>
          <w:b/>
          <w:color w:val="auto"/>
          <w:sz w:val="24"/>
          <w:highlight w:val="none"/>
          <w:lang w:eastAsia="zh-CN"/>
        </w:rPr>
        <w:t>交易</w:t>
      </w:r>
      <w:r>
        <w:rPr>
          <w:rFonts w:hint="eastAsia" w:ascii="宋体" w:hAnsi="宋体" w:eastAsia="宋体" w:cs="宋体"/>
          <w:b/>
          <w:color w:val="auto"/>
          <w:sz w:val="24"/>
          <w:highlight w:val="none"/>
        </w:rPr>
        <w:t>的，</w:t>
      </w:r>
      <w:r>
        <w:rPr>
          <w:rFonts w:hint="eastAsia" w:ascii="宋体" w:hAnsi="宋体" w:eastAsia="宋体" w:cs="宋体"/>
          <w:b/>
          <w:color w:val="auto"/>
          <w:sz w:val="24"/>
          <w:highlight w:val="none"/>
          <w:lang w:eastAsia="zh-CN"/>
        </w:rPr>
        <w:t>交易</w:t>
      </w:r>
      <w:r>
        <w:rPr>
          <w:rFonts w:hint="eastAsia" w:ascii="宋体" w:hAnsi="宋体" w:eastAsia="宋体" w:cs="宋体"/>
          <w:b/>
          <w:color w:val="auto"/>
          <w:sz w:val="24"/>
          <w:highlight w:val="none"/>
        </w:rPr>
        <w:t>无效。</w:t>
      </w:r>
    </w:p>
    <w:p w14:paraId="57CB03D7">
      <w:pPr>
        <w:pStyle w:val="131"/>
        <w:snapToGrid w:val="0"/>
        <w:spacing w:before="0"/>
        <w:ind w:firstLine="482" w:firstLineChars="20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的编制</w:t>
      </w:r>
    </w:p>
    <w:p w14:paraId="6DCD26C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5AAF3DCD">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2供应商进行电子交易（投标）应安装客户端软件—“乐采云(萧采云)电子交易客户端”，并按照交易文件和电子交易平台的要求编制并加密响应文件。供应商未按规定加密的响应文件，电子交易平台将拒收并提示。</w:t>
      </w:r>
    </w:p>
    <w:p w14:paraId="1589D9F1">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.3使用“乐采云(萧采云)电子交易客户端”需要提前申领CA数字证书，申领流程请自行前往“浙江政府采购网-下载专区-电子交易客户端-CA驱动和申领流程”进行查阅。</w:t>
      </w:r>
    </w:p>
    <w:p w14:paraId="5CCC21F2">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的签署、盖章</w:t>
      </w:r>
    </w:p>
    <w:p w14:paraId="335E4F96">
      <w:pPr>
        <w:pStyle w:val="131"/>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按照</w:t>
      </w:r>
      <w:r>
        <w:rPr>
          <w:rFonts w:hint="eastAsia" w:ascii="宋体" w:hAnsi="宋体" w:eastAsia="宋体" w:cs="宋体"/>
          <w:color w:val="auto"/>
          <w:szCs w:val="24"/>
          <w:highlight w:val="none"/>
          <w:lang w:eastAsia="zh-CN"/>
        </w:rPr>
        <w:t>交易文件</w:t>
      </w:r>
      <w:r>
        <w:rPr>
          <w:rFonts w:hint="eastAsia" w:ascii="宋体" w:hAnsi="宋体" w:eastAsia="宋体" w:cs="宋体"/>
          <w:color w:val="auto"/>
          <w:szCs w:val="24"/>
          <w:highlight w:val="none"/>
        </w:rPr>
        <w:t>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供应商</w:t>
      </w:r>
      <w:r>
        <w:rPr>
          <w:rFonts w:hint="eastAsia" w:ascii="宋体" w:hAnsi="宋体" w:eastAsia="宋体" w:cs="宋体"/>
          <w:b/>
          <w:color w:val="auto"/>
          <w:highlight w:val="none"/>
        </w:rPr>
        <w:t>的</w:t>
      </w:r>
      <w:r>
        <w:rPr>
          <w:rFonts w:hint="eastAsia" w:ascii="宋体" w:hAnsi="宋体" w:eastAsia="宋体" w:cs="宋体"/>
          <w:b/>
          <w:color w:val="auto"/>
          <w:highlight w:val="none"/>
          <w:lang w:eastAsia="zh-CN"/>
        </w:rPr>
        <w:t>响应文件</w:t>
      </w:r>
      <w:r>
        <w:rPr>
          <w:rFonts w:hint="eastAsia" w:ascii="宋体" w:hAnsi="宋体" w:eastAsia="宋体" w:cs="宋体"/>
          <w:b/>
          <w:color w:val="auto"/>
          <w:highlight w:val="none"/>
        </w:rPr>
        <w:t>未按照</w:t>
      </w:r>
      <w:r>
        <w:rPr>
          <w:rFonts w:hint="eastAsia" w:ascii="宋体" w:hAnsi="宋体" w:eastAsia="宋体" w:cs="宋体"/>
          <w:b/>
          <w:color w:val="auto"/>
          <w:highlight w:val="none"/>
          <w:lang w:eastAsia="zh-CN"/>
        </w:rPr>
        <w:t>交易文件</w:t>
      </w:r>
      <w:r>
        <w:rPr>
          <w:rFonts w:hint="eastAsia" w:ascii="宋体" w:hAnsi="宋体" w:eastAsia="宋体" w:cs="宋体"/>
          <w:b/>
          <w:color w:val="auto"/>
          <w:highlight w:val="none"/>
        </w:rPr>
        <w:t>要求签署、盖章的，其</w:t>
      </w:r>
      <w:r>
        <w:rPr>
          <w:rFonts w:hint="eastAsia" w:ascii="宋体" w:hAnsi="宋体" w:eastAsia="宋体" w:cs="宋体"/>
          <w:b/>
          <w:color w:val="auto"/>
          <w:highlight w:val="none"/>
          <w:lang w:eastAsia="zh-CN"/>
        </w:rPr>
        <w:t>交易</w:t>
      </w:r>
      <w:r>
        <w:rPr>
          <w:rFonts w:hint="eastAsia" w:ascii="宋体" w:hAnsi="宋体" w:eastAsia="宋体" w:cs="宋体"/>
          <w:b/>
          <w:color w:val="auto"/>
          <w:highlight w:val="none"/>
        </w:rPr>
        <w:t>无效</w:t>
      </w:r>
      <w:r>
        <w:rPr>
          <w:rFonts w:hint="eastAsia" w:ascii="宋体" w:hAnsi="宋体" w:eastAsia="宋体" w:cs="宋体"/>
          <w:color w:val="auto"/>
          <w:szCs w:val="24"/>
          <w:highlight w:val="none"/>
        </w:rPr>
        <w:t>。</w:t>
      </w:r>
    </w:p>
    <w:p w14:paraId="763A420F">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.2为确保网上操作合法、有效和安全，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应当在</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截止时间前完成在“政府采购云平台”的身份认证，确保在电子交易（投标）过程中能够对相关数据电文进行加密和使用电子签名。</w:t>
      </w:r>
    </w:p>
    <w:p w14:paraId="09929440">
      <w:pPr>
        <w:pStyle w:val="1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签署、盖章的要求适用于电子签名。</w:t>
      </w:r>
    </w:p>
    <w:p w14:paraId="200EF3C4">
      <w:pPr>
        <w:pStyle w:val="131"/>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3</w:t>
      </w:r>
      <w:r>
        <w:rPr>
          <w:rFonts w:hint="eastAsia" w:ascii="宋体" w:hAnsi="宋体" w:eastAsia="宋体" w:cs="宋体"/>
          <w:b/>
          <w:color w:val="auto"/>
          <w:szCs w:val="24"/>
          <w:highlight w:val="none"/>
        </w:rPr>
        <w:t xml:space="preserve">. </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的提交、补充、修改、撤回</w:t>
      </w:r>
    </w:p>
    <w:p w14:paraId="6942DE2C">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772128BA">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.2电子交易平台收到响应文件，将妥善保存并即时向供应商发出确认回执通知。在交易截止时间前，除供应商补充、修改或者撤回响应文件外，任何单位和个人不得解密或提取响应文件。</w:t>
      </w:r>
    </w:p>
    <w:p w14:paraId="457B307C">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.3采购人、采购机构可以视情况延长响应文件提交的截止时间。在上述情况下，采购机构与供应商以前在交易截止期方面的全部权利、责任和义务，将适用于延长至新的交易截止期。</w:t>
      </w:r>
    </w:p>
    <w:p w14:paraId="5A8B8782">
      <w:pPr>
        <w:pStyle w:val="34"/>
        <w:numPr>
          <w:ilvl w:val="0"/>
          <w:numId w:val="0"/>
        </w:num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14.</w:t>
      </w:r>
      <w:r>
        <w:rPr>
          <w:rFonts w:hint="eastAsia" w:ascii="宋体" w:hAnsi="宋体" w:eastAsia="宋体" w:cs="宋体"/>
          <w:b/>
          <w:color w:val="auto"/>
          <w:sz w:val="24"/>
          <w:szCs w:val="24"/>
          <w:highlight w:val="none"/>
        </w:rPr>
        <w:t>备份</w:t>
      </w:r>
      <w:r>
        <w:rPr>
          <w:rFonts w:hint="eastAsia" w:ascii="宋体" w:hAnsi="宋体" w:eastAsia="宋体" w:cs="宋体"/>
          <w:b/>
          <w:color w:val="auto"/>
          <w:sz w:val="24"/>
          <w:szCs w:val="24"/>
          <w:highlight w:val="none"/>
          <w:lang w:eastAsia="zh-CN"/>
        </w:rPr>
        <w:t>响应文件</w:t>
      </w:r>
    </w:p>
    <w:p w14:paraId="5C5393A1">
      <w:pPr>
        <w:pStyle w:val="34"/>
        <w:numPr>
          <w:ilvl w:val="0"/>
          <w:numId w:val="0"/>
        </w:num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本项目不收取备份响应文件</w:t>
      </w:r>
    </w:p>
    <w:p w14:paraId="6722270B">
      <w:pPr>
        <w:pStyle w:val="131"/>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的无效处理</w:t>
      </w:r>
    </w:p>
    <w:p w14:paraId="48D18AE7">
      <w:pPr>
        <w:pStyle w:val="26"/>
        <w:spacing w:line="360" w:lineRule="auto"/>
        <w:ind w:left="0" w:leftChars="0"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eastAsia="zh-CN"/>
        </w:rPr>
        <w:t>交易文件</w:t>
      </w:r>
      <w:r>
        <w:rPr>
          <w:rFonts w:hint="eastAsia" w:ascii="宋体" w:hAnsi="宋体" w:eastAsia="宋体" w:cs="宋体"/>
          <w:color w:val="auto"/>
          <w:szCs w:val="21"/>
          <w:highlight w:val="none"/>
        </w:rPr>
        <w:t>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w:t>
      </w:r>
      <w:r>
        <w:rPr>
          <w:rFonts w:hint="eastAsia" w:ascii="宋体" w:hAnsi="宋体" w:eastAsia="宋体" w:cs="宋体"/>
          <w:color w:val="auto"/>
          <w:szCs w:val="21"/>
          <w:highlight w:val="none"/>
          <w:lang w:eastAsia="zh-CN"/>
        </w:rPr>
        <w:t>交易</w:t>
      </w:r>
      <w:r>
        <w:rPr>
          <w:rFonts w:hint="eastAsia" w:ascii="宋体" w:hAnsi="宋体" w:eastAsia="宋体" w:cs="宋体"/>
          <w:color w:val="auto"/>
          <w:szCs w:val="21"/>
          <w:highlight w:val="none"/>
        </w:rPr>
        <w:t>无效：</w:t>
      </w:r>
    </w:p>
    <w:p w14:paraId="75196F4F">
      <w:pPr>
        <w:pStyle w:val="131"/>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6</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交易</w:t>
      </w:r>
      <w:r>
        <w:rPr>
          <w:rFonts w:hint="eastAsia" w:ascii="宋体" w:hAnsi="宋体" w:eastAsia="宋体" w:cs="宋体"/>
          <w:b/>
          <w:color w:val="auto"/>
          <w:szCs w:val="24"/>
          <w:highlight w:val="none"/>
        </w:rPr>
        <w:t>有效期</w:t>
      </w:r>
    </w:p>
    <w:p w14:paraId="15A9F0AE">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val="en-US" w:eastAsia="zh-CN"/>
        </w:rPr>
        <w:t>6</w:t>
      </w: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eastAsia="zh-CN"/>
        </w:rPr>
        <w:t>交易</w:t>
      </w:r>
      <w:r>
        <w:rPr>
          <w:rFonts w:hint="eastAsia" w:ascii="宋体" w:hAnsi="宋体" w:eastAsia="宋体" w:cs="宋体"/>
          <w:color w:val="auto"/>
          <w:sz w:val="24"/>
          <w:szCs w:val="20"/>
          <w:highlight w:val="none"/>
        </w:rPr>
        <w:t>有效期为从提交</w:t>
      </w:r>
      <w:r>
        <w:rPr>
          <w:rFonts w:hint="eastAsia" w:ascii="宋体" w:hAnsi="宋体" w:eastAsia="宋体" w:cs="宋体"/>
          <w:color w:val="auto"/>
          <w:sz w:val="24"/>
          <w:szCs w:val="20"/>
          <w:highlight w:val="none"/>
          <w:lang w:eastAsia="zh-CN"/>
        </w:rPr>
        <w:t>响应文件</w:t>
      </w:r>
      <w:r>
        <w:rPr>
          <w:rFonts w:hint="eastAsia" w:ascii="宋体" w:hAnsi="宋体" w:eastAsia="宋体" w:cs="宋体"/>
          <w:color w:val="auto"/>
          <w:sz w:val="24"/>
          <w:szCs w:val="20"/>
          <w:highlight w:val="none"/>
        </w:rPr>
        <w:t>的截止之日起90天。▲</w:t>
      </w:r>
      <w:r>
        <w:rPr>
          <w:rFonts w:hint="eastAsia" w:ascii="宋体" w:hAnsi="宋体" w:eastAsia="宋体" w:cs="宋体"/>
          <w:b/>
          <w:color w:val="auto"/>
          <w:sz w:val="24"/>
          <w:szCs w:val="20"/>
          <w:highlight w:val="none"/>
          <w:lang w:eastAsia="zh-CN"/>
        </w:rPr>
        <w:t>供应商</w:t>
      </w:r>
      <w:r>
        <w:rPr>
          <w:rFonts w:hint="eastAsia" w:ascii="宋体" w:hAnsi="宋体" w:eastAsia="宋体" w:cs="宋体"/>
          <w:b/>
          <w:color w:val="auto"/>
          <w:sz w:val="24"/>
          <w:szCs w:val="20"/>
          <w:highlight w:val="none"/>
        </w:rPr>
        <w:t>的</w:t>
      </w:r>
      <w:r>
        <w:rPr>
          <w:rFonts w:hint="eastAsia" w:ascii="宋体" w:hAnsi="宋体" w:eastAsia="宋体" w:cs="宋体"/>
          <w:b/>
          <w:color w:val="auto"/>
          <w:sz w:val="24"/>
          <w:szCs w:val="20"/>
          <w:highlight w:val="none"/>
          <w:lang w:eastAsia="zh-CN"/>
        </w:rPr>
        <w:t>响应文件</w:t>
      </w:r>
      <w:r>
        <w:rPr>
          <w:rFonts w:hint="eastAsia" w:ascii="宋体" w:hAnsi="宋体" w:eastAsia="宋体" w:cs="宋体"/>
          <w:b/>
          <w:color w:val="auto"/>
          <w:sz w:val="24"/>
          <w:szCs w:val="20"/>
          <w:highlight w:val="none"/>
        </w:rPr>
        <w:t>中承</w:t>
      </w:r>
      <w:r>
        <w:rPr>
          <w:rFonts w:hint="eastAsia" w:ascii="宋体" w:hAnsi="宋体" w:eastAsia="宋体" w:cs="宋体"/>
          <w:b/>
          <w:color w:val="auto"/>
          <w:sz w:val="24"/>
          <w:szCs w:val="21"/>
          <w:highlight w:val="none"/>
        </w:rPr>
        <w:t>诺的</w:t>
      </w:r>
      <w:r>
        <w:rPr>
          <w:rFonts w:hint="eastAsia" w:ascii="宋体" w:hAnsi="宋体" w:eastAsia="宋体" w:cs="宋体"/>
          <w:b/>
          <w:color w:val="auto"/>
          <w:sz w:val="24"/>
          <w:szCs w:val="21"/>
          <w:highlight w:val="none"/>
          <w:lang w:eastAsia="zh-CN"/>
        </w:rPr>
        <w:t>交易</w:t>
      </w:r>
      <w:r>
        <w:rPr>
          <w:rFonts w:hint="eastAsia" w:ascii="宋体" w:hAnsi="宋体" w:eastAsia="宋体" w:cs="宋体"/>
          <w:b/>
          <w:color w:val="auto"/>
          <w:sz w:val="24"/>
          <w:szCs w:val="21"/>
          <w:highlight w:val="none"/>
        </w:rPr>
        <w:t>有效期少于</w:t>
      </w:r>
      <w:r>
        <w:rPr>
          <w:rFonts w:hint="eastAsia" w:ascii="宋体" w:hAnsi="宋体" w:eastAsia="宋体" w:cs="宋体"/>
          <w:b/>
          <w:color w:val="auto"/>
          <w:sz w:val="24"/>
          <w:szCs w:val="21"/>
          <w:highlight w:val="none"/>
          <w:lang w:eastAsia="zh-CN"/>
        </w:rPr>
        <w:t>交易文件</w:t>
      </w:r>
      <w:r>
        <w:rPr>
          <w:rFonts w:hint="eastAsia" w:ascii="宋体" w:hAnsi="宋体" w:eastAsia="宋体" w:cs="宋体"/>
          <w:b/>
          <w:color w:val="auto"/>
          <w:sz w:val="24"/>
          <w:szCs w:val="21"/>
          <w:highlight w:val="none"/>
        </w:rPr>
        <w:t>中载明的</w:t>
      </w:r>
      <w:r>
        <w:rPr>
          <w:rFonts w:hint="eastAsia" w:ascii="宋体" w:hAnsi="宋体" w:eastAsia="宋体" w:cs="宋体"/>
          <w:b/>
          <w:color w:val="auto"/>
          <w:sz w:val="24"/>
          <w:szCs w:val="21"/>
          <w:highlight w:val="none"/>
          <w:lang w:eastAsia="zh-CN"/>
        </w:rPr>
        <w:t>交易</w:t>
      </w:r>
      <w:r>
        <w:rPr>
          <w:rFonts w:hint="eastAsia" w:ascii="宋体" w:hAnsi="宋体" w:eastAsia="宋体" w:cs="宋体"/>
          <w:b/>
          <w:color w:val="auto"/>
          <w:sz w:val="24"/>
          <w:szCs w:val="21"/>
          <w:highlight w:val="none"/>
        </w:rPr>
        <w:t>有效期的，</w:t>
      </w:r>
      <w:r>
        <w:rPr>
          <w:rFonts w:hint="eastAsia" w:ascii="宋体" w:hAnsi="宋体" w:eastAsia="宋体" w:cs="宋体"/>
          <w:b/>
          <w:color w:val="auto"/>
          <w:sz w:val="24"/>
          <w:szCs w:val="21"/>
          <w:highlight w:val="none"/>
          <w:lang w:eastAsia="zh-CN"/>
        </w:rPr>
        <w:t>交易</w:t>
      </w:r>
      <w:r>
        <w:rPr>
          <w:rFonts w:hint="eastAsia" w:ascii="宋体" w:hAnsi="宋体" w:eastAsia="宋体" w:cs="宋体"/>
          <w:b/>
          <w:color w:val="auto"/>
          <w:sz w:val="24"/>
          <w:szCs w:val="21"/>
          <w:highlight w:val="none"/>
        </w:rPr>
        <w:t>无效。</w:t>
      </w:r>
    </w:p>
    <w:p w14:paraId="44DC644E">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合格投递后，自</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截止日期起，在</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有效期内有效。</w:t>
      </w:r>
    </w:p>
    <w:p w14:paraId="48A23FF0">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.3在原定</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有效期满之前，如果出现特殊情况，采购机构可以以书面形式通知</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延长</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有效期。</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同意延长的，不得要求或被允许修改其</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拒绝延长的，其</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无效。</w:t>
      </w:r>
    </w:p>
    <w:p w14:paraId="254E2FB1">
      <w:pPr>
        <w:pStyle w:val="131"/>
        <w:spacing w:before="0"/>
        <w:ind w:firstLine="643"/>
        <w:rPr>
          <w:rFonts w:hint="eastAsia" w:ascii="宋体" w:hAnsi="宋体" w:eastAsia="宋体" w:cs="宋体"/>
          <w:b/>
          <w:color w:val="auto"/>
          <w:sz w:val="32"/>
          <w:highlight w:val="none"/>
        </w:rPr>
      </w:pPr>
    </w:p>
    <w:p w14:paraId="5A7A1156">
      <w:pPr>
        <w:pStyle w:val="131"/>
        <w:spacing w:before="0"/>
        <w:ind w:left="0" w:leftChars="0"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w:t>
      </w:r>
      <w:r>
        <w:rPr>
          <w:rFonts w:hint="eastAsia" w:ascii="宋体" w:hAnsi="宋体" w:eastAsia="宋体" w:cs="宋体"/>
          <w:b/>
          <w:color w:val="auto"/>
          <w:sz w:val="32"/>
          <w:highlight w:val="none"/>
          <w:lang w:eastAsia="zh-CN"/>
        </w:rPr>
        <w:t>交易</w:t>
      </w:r>
      <w:r>
        <w:rPr>
          <w:rFonts w:hint="eastAsia" w:ascii="宋体" w:hAnsi="宋体" w:eastAsia="宋体" w:cs="宋体"/>
          <w:b/>
          <w:color w:val="auto"/>
          <w:sz w:val="32"/>
          <w:highlight w:val="none"/>
        </w:rPr>
        <w:t>、资格审查</w:t>
      </w:r>
    </w:p>
    <w:p w14:paraId="4B8BC864">
      <w:pPr>
        <w:pStyle w:val="556"/>
        <w:spacing w:before="0" w:line="360" w:lineRule="auto"/>
        <w:ind w:left="0" w:leftChars="0" w:firstLine="482" w:firstLineChars="2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交易</w:t>
      </w:r>
      <w:r>
        <w:rPr>
          <w:rFonts w:hint="eastAsia" w:ascii="宋体" w:hAnsi="宋体" w:eastAsia="宋体" w:cs="宋体"/>
          <w:color w:val="auto"/>
          <w:sz w:val="24"/>
          <w:highlight w:val="none"/>
        </w:rPr>
        <w:t xml:space="preserve"> </w:t>
      </w:r>
    </w:p>
    <w:p w14:paraId="2159973D">
      <w:pPr>
        <w:pStyle w:val="556"/>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.1采购机构按照</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规定的时间通过电子交易平台组织开标，所有</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均应当准时在线参加。</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不足3家的，不得</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w:t>
      </w:r>
    </w:p>
    <w:p w14:paraId="7AAFDFD3">
      <w:pPr>
        <w:pStyle w:val="556"/>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.2交易时，电子交易平台按交易时间自动提取所有响应文件。采购机构依托电子交易平台发起开始解密指令，供应商按照平台提示和交易文件的规定在半小时内完成在线解密。</w:t>
      </w:r>
    </w:p>
    <w:p w14:paraId="2DE16B95">
      <w:pPr>
        <w:pStyle w:val="556"/>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.3</w:t>
      </w:r>
      <w:r>
        <w:rPr>
          <w:rFonts w:hint="eastAsia" w:ascii="宋体" w:hAnsi="宋体" w:eastAsia="宋体" w:cs="宋体"/>
          <w:b/>
          <w:color w:val="auto"/>
          <w:sz w:val="24"/>
          <w:highlight w:val="none"/>
        </w:rPr>
        <w:t>响应文件未按时解密，供应商提供了备份响应文件的，以备份响应文件作为依据，否则视为响应文件撤回。响应文件已按时解密的，备份响应文件自动失效。</w:t>
      </w:r>
    </w:p>
    <w:p w14:paraId="4EF406D0">
      <w:pPr>
        <w:pStyle w:val="556"/>
        <w:spacing w:before="0" w:line="360" w:lineRule="auto"/>
        <w:ind w:left="0" w:firstLine="241" w:firstLineChars="100"/>
        <w:contextualSpacing/>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w:t>
      </w:r>
      <w:r>
        <w:rPr>
          <w:rFonts w:hint="eastAsia" w:ascii="宋体" w:hAnsi="宋体" w:eastAsia="宋体" w:cs="宋体"/>
          <w:b/>
          <w:color w:val="auto"/>
          <w:sz w:val="24"/>
          <w:szCs w:val="20"/>
          <w:highlight w:val="none"/>
          <w:lang w:val="en-US" w:eastAsia="zh-CN"/>
        </w:rPr>
        <w:t>8</w:t>
      </w:r>
      <w:r>
        <w:rPr>
          <w:rFonts w:hint="eastAsia" w:ascii="宋体" w:hAnsi="宋体" w:eastAsia="宋体" w:cs="宋体"/>
          <w:b/>
          <w:color w:val="auto"/>
          <w:sz w:val="24"/>
          <w:szCs w:val="20"/>
          <w:highlight w:val="none"/>
        </w:rPr>
        <w:t>、资格审查</w:t>
      </w:r>
    </w:p>
    <w:p w14:paraId="1883EEAA">
      <w:pPr>
        <w:pStyle w:val="556"/>
        <w:spacing w:before="0" w:line="360" w:lineRule="auto"/>
        <w:ind w:left="0" w:firstLine="240" w:firstLineChars="100"/>
        <w:contextualSpacing/>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r>
        <w:rPr>
          <w:rFonts w:hint="eastAsia" w:ascii="宋体" w:hAnsi="宋体" w:eastAsia="宋体" w:cs="宋体"/>
          <w:color w:val="auto"/>
          <w:sz w:val="24"/>
          <w:szCs w:val="22"/>
          <w:highlight w:val="none"/>
          <w:lang w:val="en-US" w:eastAsia="zh-CN"/>
        </w:rPr>
        <w:t>8</w:t>
      </w:r>
      <w:r>
        <w:rPr>
          <w:rFonts w:hint="eastAsia" w:ascii="宋体" w:hAnsi="宋体" w:eastAsia="宋体" w:cs="宋体"/>
          <w:color w:val="auto"/>
          <w:sz w:val="24"/>
          <w:szCs w:val="22"/>
          <w:highlight w:val="none"/>
        </w:rPr>
        <w:t>.1交易后，采购人或采购机构将依法对供应商的资格进行审查。</w:t>
      </w:r>
    </w:p>
    <w:p w14:paraId="490E0631">
      <w:pPr>
        <w:pStyle w:val="556"/>
        <w:spacing w:before="0" w:line="360" w:lineRule="auto"/>
        <w:ind w:left="0" w:firstLine="240" w:firstLineChars="100"/>
        <w:contextualSpacing/>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r>
        <w:rPr>
          <w:rFonts w:hint="eastAsia" w:ascii="宋体" w:hAnsi="宋体" w:eastAsia="宋体" w:cs="宋体"/>
          <w:color w:val="auto"/>
          <w:sz w:val="24"/>
          <w:szCs w:val="22"/>
          <w:highlight w:val="none"/>
          <w:lang w:val="en-US" w:eastAsia="zh-CN"/>
        </w:rPr>
        <w:t>8</w:t>
      </w:r>
      <w:r>
        <w:rPr>
          <w:rFonts w:hint="eastAsia" w:ascii="宋体" w:hAnsi="宋体" w:eastAsia="宋体" w:cs="宋体"/>
          <w:color w:val="auto"/>
          <w:sz w:val="24"/>
          <w:szCs w:val="22"/>
          <w:highlight w:val="none"/>
        </w:rPr>
        <w:t>.2采购人或采购机构依据法律法规和交易文件的规定，对供应商的基本资格条件、特定资格条件进行审查。</w:t>
      </w:r>
    </w:p>
    <w:p w14:paraId="089CBD2A">
      <w:pPr>
        <w:pStyle w:val="556"/>
        <w:spacing w:before="0" w:line="360" w:lineRule="auto"/>
        <w:ind w:left="0" w:firstLine="240" w:firstLineChars="100"/>
        <w:contextualSpacing/>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r>
        <w:rPr>
          <w:rFonts w:hint="eastAsia" w:ascii="宋体" w:hAnsi="宋体" w:eastAsia="宋体" w:cs="宋体"/>
          <w:color w:val="auto"/>
          <w:sz w:val="24"/>
          <w:szCs w:val="22"/>
          <w:highlight w:val="none"/>
          <w:lang w:val="en-US" w:eastAsia="zh-CN"/>
        </w:rPr>
        <w:t>8</w:t>
      </w:r>
      <w:r>
        <w:rPr>
          <w:rFonts w:hint="eastAsia" w:ascii="宋体" w:hAnsi="宋体" w:eastAsia="宋体" w:cs="宋体"/>
          <w:color w:val="auto"/>
          <w:sz w:val="24"/>
          <w:szCs w:val="22"/>
          <w:highlight w:val="none"/>
        </w:rPr>
        <w:t>.3供应商未按照交易文件要求提供与基本资格条件、特定资格条件相应的有效资格证明材料的，视为供应商不具备交易文件中规定的资格要求，其响应无效。</w:t>
      </w:r>
    </w:p>
    <w:p w14:paraId="7BCCA4C7">
      <w:pPr>
        <w:pStyle w:val="556"/>
        <w:spacing w:before="0" w:line="360" w:lineRule="auto"/>
        <w:ind w:left="0" w:firstLine="240" w:firstLineChars="100"/>
        <w:contextualSpacing/>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r>
        <w:rPr>
          <w:rFonts w:hint="eastAsia" w:ascii="宋体" w:hAnsi="宋体" w:eastAsia="宋体" w:cs="宋体"/>
          <w:color w:val="auto"/>
          <w:sz w:val="24"/>
          <w:szCs w:val="22"/>
          <w:highlight w:val="none"/>
          <w:lang w:val="en-US" w:eastAsia="zh-CN"/>
        </w:rPr>
        <w:t>8</w:t>
      </w:r>
      <w:r>
        <w:rPr>
          <w:rFonts w:hint="eastAsia" w:ascii="宋体" w:hAnsi="宋体" w:eastAsia="宋体" w:cs="宋体"/>
          <w:color w:val="auto"/>
          <w:sz w:val="24"/>
          <w:szCs w:val="22"/>
          <w:highlight w:val="none"/>
        </w:rPr>
        <w:t>.4对未通过资格审查的供应商，采购人或采购机构告知其未通过的原因。</w:t>
      </w:r>
    </w:p>
    <w:p w14:paraId="06D1E0CC">
      <w:pPr>
        <w:pStyle w:val="556"/>
        <w:spacing w:before="0" w:line="360" w:lineRule="auto"/>
        <w:ind w:left="0" w:firstLine="240" w:firstLineChars="100"/>
        <w:contextualSpacing/>
        <w:rPr>
          <w:rFonts w:hint="eastAsia" w:ascii="宋体" w:hAnsi="宋体" w:eastAsia="宋体" w:cs="宋体"/>
          <w:color w:val="auto"/>
          <w:kern w:val="0"/>
          <w:szCs w:val="24"/>
          <w:highlight w:val="none"/>
          <w:lang w:val="en-US" w:eastAsia="zh-CN"/>
        </w:rPr>
      </w:pPr>
      <w:r>
        <w:rPr>
          <w:rFonts w:hint="eastAsia" w:ascii="宋体" w:hAnsi="宋体" w:eastAsia="宋体" w:cs="宋体"/>
          <w:color w:val="auto"/>
          <w:sz w:val="24"/>
          <w:szCs w:val="22"/>
          <w:highlight w:val="none"/>
        </w:rPr>
        <w:t>1</w:t>
      </w:r>
      <w:r>
        <w:rPr>
          <w:rFonts w:hint="eastAsia" w:ascii="宋体" w:hAnsi="宋体" w:eastAsia="宋体" w:cs="宋体"/>
          <w:color w:val="auto"/>
          <w:sz w:val="24"/>
          <w:szCs w:val="22"/>
          <w:highlight w:val="none"/>
          <w:lang w:val="en-US" w:eastAsia="zh-CN"/>
        </w:rPr>
        <w:t>8</w:t>
      </w:r>
      <w:r>
        <w:rPr>
          <w:rFonts w:hint="eastAsia" w:ascii="宋体" w:hAnsi="宋体" w:eastAsia="宋体" w:cs="宋体"/>
          <w:color w:val="auto"/>
          <w:sz w:val="24"/>
          <w:szCs w:val="22"/>
          <w:highlight w:val="none"/>
        </w:rPr>
        <w:t>.5合格供应商不足3家的，不再评标。</w:t>
      </w:r>
    </w:p>
    <w:p w14:paraId="6DCCB3FF">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2F59B30F">
      <w:pPr>
        <w:spacing w:line="360" w:lineRule="auto"/>
        <w:ind w:firstLine="482" w:firstLineChars="200"/>
        <w:rPr>
          <w:rFonts w:hint="eastAsia" w:ascii="宋体" w:hAnsi="宋体" w:eastAsia="宋体" w:cs="宋体"/>
          <w:b/>
          <w:color w:val="auto"/>
          <w:sz w:val="24"/>
          <w:highlight w:val="none"/>
        </w:rPr>
      </w:pPr>
      <w:bookmarkStart w:id="14" w:name="_Toc91899903"/>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和有关规定，履行评标工作职责，并按照评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方法及评分标准，全面衡量各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的响应情况。对实质上响应</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，按照评审因素的量化指标排出推荐</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的先后顺序，并按顺序提出授标建议。</w:t>
      </w:r>
      <w:r>
        <w:rPr>
          <w:rFonts w:hint="eastAsia" w:ascii="宋体" w:hAnsi="宋体" w:eastAsia="宋体" w:cs="宋体"/>
          <w:b/>
          <w:color w:val="auto"/>
          <w:sz w:val="24"/>
          <w:highlight w:val="none"/>
        </w:rPr>
        <w:t>详见</w:t>
      </w:r>
      <w:r>
        <w:rPr>
          <w:rFonts w:hint="eastAsia" w:ascii="宋体" w:hAnsi="宋体" w:eastAsia="宋体" w:cs="宋体"/>
          <w:b/>
          <w:color w:val="auto"/>
          <w:sz w:val="24"/>
          <w:highlight w:val="none"/>
          <w:lang w:eastAsia="zh-CN"/>
        </w:rPr>
        <w:t>交易文件</w:t>
      </w:r>
      <w:r>
        <w:rPr>
          <w:rFonts w:hint="eastAsia" w:ascii="宋体" w:hAnsi="宋体" w:eastAsia="宋体" w:cs="宋体"/>
          <w:b/>
          <w:color w:val="auto"/>
          <w:sz w:val="24"/>
          <w:highlight w:val="none"/>
        </w:rPr>
        <w:t>第四部分评标办法。</w:t>
      </w:r>
    </w:p>
    <w:p w14:paraId="336626D3">
      <w:pPr>
        <w:spacing w:line="360" w:lineRule="auto"/>
        <w:rPr>
          <w:rFonts w:hint="eastAsia" w:ascii="宋体" w:hAnsi="宋体" w:eastAsia="宋体" w:cs="宋体"/>
          <w:b/>
          <w:color w:val="auto"/>
          <w:sz w:val="24"/>
          <w:highlight w:val="none"/>
        </w:rPr>
      </w:pPr>
    </w:p>
    <w:p w14:paraId="60815958">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439D0895">
      <w:pPr>
        <w:pStyle w:val="26"/>
        <w:spacing w:line="360" w:lineRule="auto"/>
        <w:ind w:left="479" w:leftChars="228"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0</w:t>
      </w:r>
      <w:r>
        <w:rPr>
          <w:rFonts w:hint="eastAsia" w:ascii="宋体" w:hAnsi="宋体" w:eastAsia="宋体" w:cs="宋体"/>
          <w:b/>
          <w:color w:val="auto"/>
          <w:highlight w:val="none"/>
        </w:rPr>
        <w:t>. 确定</w:t>
      </w:r>
      <w:r>
        <w:rPr>
          <w:rFonts w:hint="eastAsia" w:ascii="宋体" w:hAnsi="宋体" w:eastAsia="宋体" w:cs="宋体"/>
          <w:b/>
          <w:color w:val="auto"/>
          <w:highlight w:val="none"/>
          <w:lang w:eastAsia="zh-CN"/>
        </w:rPr>
        <w:t>成交</w:t>
      </w:r>
      <w:r>
        <w:rPr>
          <w:rFonts w:hint="eastAsia" w:ascii="宋体" w:hAnsi="宋体" w:eastAsia="宋体" w:cs="宋体"/>
          <w:b/>
          <w:color w:val="auto"/>
          <w:highlight w:val="none"/>
        </w:rPr>
        <w:t>供应商</w:t>
      </w:r>
    </w:p>
    <w:p w14:paraId="30004F8D">
      <w:pPr>
        <w:pStyle w:val="131"/>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采购人将自收到评审报告之日起5个工作日内通过电子交易平台在评审报告推荐的</w:t>
      </w:r>
      <w:r>
        <w:rPr>
          <w:rFonts w:hint="eastAsia" w:ascii="宋体" w:hAnsi="宋体" w:eastAsia="宋体" w:cs="宋体"/>
          <w:color w:val="auto"/>
          <w:szCs w:val="24"/>
          <w:highlight w:val="none"/>
          <w:lang w:eastAsia="zh-CN"/>
        </w:rPr>
        <w:t>成交</w:t>
      </w:r>
      <w:r>
        <w:rPr>
          <w:rFonts w:hint="eastAsia" w:ascii="宋体" w:hAnsi="宋体" w:eastAsia="宋体" w:cs="宋体"/>
          <w:color w:val="auto"/>
          <w:szCs w:val="24"/>
          <w:highlight w:val="none"/>
        </w:rPr>
        <w:t>候选人中按顺序确定</w:t>
      </w:r>
      <w:r>
        <w:rPr>
          <w:rFonts w:hint="eastAsia" w:ascii="宋体" w:hAnsi="宋体" w:eastAsia="宋体" w:cs="宋体"/>
          <w:color w:val="auto"/>
          <w:szCs w:val="24"/>
          <w:highlight w:val="none"/>
          <w:lang w:eastAsia="zh-CN"/>
        </w:rPr>
        <w:t>成交</w:t>
      </w:r>
      <w:r>
        <w:rPr>
          <w:rFonts w:hint="eastAsia" w:ascii="宋体" w:hAnsi="宋体" w:eastAsia="宋体" w:cs="宋体"/>
          <w:color w:val="auto"/>
          <w:szCs w:val="24"/>
          <w:highlight w:val="none"/>
        </w:rPr>
        <w:t>供应商。</w:t>
      </w:r>
    </w:p>
    <w:p w14:paraId="580D0D27">
      <w:pPr>
        <w:pStyle w:val="131"/>
        <w:snapToGrid w:val="0"/>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szCs w:val="24"/>
          <w:highlight w:val="none"/>
        </w:rPr>
        <w:t xml:space="preserve">. </w:t>
      </w:r>
      <w:r>
        <w:rPr>
          <w:rFonts w:hint="eastAsia" w:ascii="宋体" w:hAnsi="宋体" w:eastAsia="宋体" w:cs="宋体"/>
          <w:b/>
          <w:color w:val="auto"/>
          <w:szCs w:val="24"/>
          <w:highlight w:val="none"/>
          <w:lang w:eastAsia="zh-CN"/>
        </w:rPr>
        <w:t>成交</w:t>
      </w:r>
      <w:r>
        <w:rPr>
          <w:rFonts w:hint="eastAsia" w:ascii="宋体" w:hAnsi="宋体" w:eastAsia="宋体" w:cs="宋体"/>
          <w:b/>
          <w:color w:val="auto"/>
          <w:szCs w:val="24"/>
          <w:highlight w:val="none"/>
        </w:rPr>
        <w:t>通知与</w:t>
      </w:r>
      <w:r>
        <w:rPr>
          <w:rFonts w:hint="eastAsia" w:ascii="宋体" w:hAnsi="宋体" w:eastAsia="宋体" w:cs="宋体"/>
          <w:b/>
          <w:color w:val="auto"/>
          <w:szCs w:val="24"/>
          <w:highlight w:val="none"/>
          <w:lang w:eastAsia="zh-CN"/>
        </w:rPr>
        <w:t>成交</w:t>
      </w:r>
      <w:r>
        <w:rPr>
          <w:rFonts w:hint="eastAsia" w:ascii="宋体" w:hAnsi="宋体" w:eastAsia="宋体" w:cs="宋体"/>
          <w:b/>
          <w:color w:val="auto"/>
          <w:szCs w:val="24"/>
          <w:highlight w:val="none"/>
        </w:rPr>
        <w:t>结果公告</w:t>
      </w:r>
    </w:p>
    <w:p w14:paraId="372F1A02">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.1自成交人确定之日起2个工作日内，采购机构通过电子交易平台向成交人发出成交通知书，同时编制发布采购结果公告。采购机构也可以以纸质形式进行成交通知。</w:t>
      </w:r>
    </w:p>
    <w:p w14:paraId="47D7DB86">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.2成交结果公告内容包括采购人及其委托的采购机构的名称、地址、联系方式，项目名称和项目编号，成交人名称、地址和成交金额，主要成交标的的名称、规格型号、数量、单价、服务要求。</w:t>
      </w:r>
    </w:p>
    <w:p w14:paraId="7D24FFFB">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.3公告期限为1个工作日。</w:t>
      </w:r>
    </w:p>
    <w:p w14:paraId="0B7954BB">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3CCA54B4">
      <w:pPr>
        <w:snapToGrid w:val="0"/>
        <w:spacing w:line="360" w:lineRule="auto"/>
        <w:ind w:left="120" w:leftChars="57" w:firstLine="482" w:firstLineChars="150"/>
        <w:jc w:val="center"/>
        <w:rPr>
          <w:rFonts w:hint="eastAsia" w:ascii="宋体" w:hAnsi="宋体" w:eastAsia="宋体" w:cs="宋体"/>
          <w:b/>
          <w:color w:val="auto"/>
          <w:highlight w:val="none"/>
        </w:rPr>
      </w:pPr>
      <w:r>
        <w:rPr>
          <w:rFonts w:hint="eastAsia" w:ascii="宋体" w:hAnsi="宋体" w:eastAsia="宋体" w:cs="宋体"/>
          <w:b/>
          <w:color w:val="auto"/>
          <w:sz w:val="32"/>
          <w:highlight w:val="none"/>
        </w:rPr>
        <w:t>七、合同授予</w:t>
      </w:r>
    </w:p>
    <w:p w14:paraId="3863C30F">
      <w:pPr>
        <w:pStyle w:val="26"/>
        <w:spacing w:line="360" w:lineRule="auto"/>
        <w:ind w:left="479" w:leftChars="228"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 合同的签订</w:t>
      </w:r>
    </w:p>
    <w:p w14:paraId="016990A7">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 xml:space="preserve"> 采购人与成交人应当通过电子交易平台在成交通知书发出之日起三十日内，按照交易文件确定的事项签订采购合同。</w:t>
      </w:r>
    </w:p>
    <w:p w14:paraId="522995FA">
      <w:pPr>
        <w:widowControl/>
        <w:shd w:val="clear" w:color="auto" w:fill="FFFFFF"/>
        <w:spacing w:line="360" w:lineRule="auto"/>
        <w:ind w:firstLine="48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lang w:val="zh-CN"/>
        </w:rPr>
        <w:t>.2</w:t>
      </w:r>
      <w:r>
        <w:rPr>
          <w:rFonts w:hint="eastAsia" w:ascii="宋体" w:hAnsi="宋体" w:eastAsia="宋体" w:cs="宋体"/>
          <w:color w:val="auto"/>
          <w:kern w:val="0"/>
          <w:sz w:val="24"/>
          <w:highlight w:val="none"/>
          <w:lang w:val="zh-CN"/>
        </w:rPr>
        <w:t>成交人按规定的日期、时间、地点，由法定代表人或其授权代表与采购人代表签订合同。如成交人为联合体的，由联合体成员各方法定代表人或其授权代表与采购人代表签订合同。</w:t>
      </w:r>
    </w:p>
    <w:p w14:paraId="25B2268E">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.3如签订合同并生效后，供应商无故拒绝或延期，除按照合同条款处理外，列入不良行为记录一次，并给予通报。</w:t>
      </w:r>
    </w:p>
    <w:p w14:paraId="758EF614">
      <w:pPr>
        <w:pStyle w:val="131"/>
        <w:snapToGrid w:val="0"/>
        <w:spacing w:before="0"/>
        <w:ind w:firstLine="4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.4成交</w:t>
      </w:r>
      <w:r>
        <w:rPr>
          <w:rFonts w:hint="eastAsia" w:ascii="宋体" w:hAnsi="宋体" w:eastAsia="宋体" w:cs="宋体"/>
          <w:color w:val="auto"/>
          <w:kern w:val="0"/>
          <w:sz w:val="24"/>
          <w:szCs w:val="24"/>
          <w:highlight w:val="none"/>
          <w:lang w:val="en-US" w:eastAsia="zh-CN" w:bidi="ar-SA"/>
        </w:rPr>
        <w:t>供应商拒绝与采购人签订合同的，采购人可以按照评审报告推荐的成交或者成交候选人名单排序，确定下一候选人为成交供应商，也可以重新开展采购活动。</w:t>
      </w:r>
    </w:p>
    <w:p w14:paraId="209371F3">
      <w:pPr>
        <w:pStyle w:val="131"/>
        <w:snapToGrid w:val="0"/>
        <w:spacing w:before="0" w:after="120"/>
        <w:ind w:firstLine="4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22.5采购合同由采购人与成交供应商根据交易文件、响应文件等内容通过采购电子交易平台在线签订，自动备案。</w:t>
      </w:r>
    </w:p>
    <w:p w14:paraId="5F5DA0C2">
      <w:pPr>
        <w:pStyle w:val="26"/>
        <w:spacing w:line="360" w:lineRule="auto"/>
        <w:ind w:left="479" w:leftChars="228"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 履约保证金</w:t>
      </w:r>
    </w:p>
    <w:p w14:paraId="36E7E1D6">
      <w:pPr>
        <w:tabs>
          <w:tab w:val="left" w:pos="0"/>
        </w:tabs>
        <w:spacing w:line="360" w:lineRule="auto"/>
        <w:ind w:firstLine="482"/>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。鼓励和支持供应商以银行、保险公司出具的保函形式提供履约保证金。</w:t>
      </w:r>
      <w:r>
        <w:rPr>
          <w:rFonts w:hint="eastAsia" w:ascii="宋体" w:hAnsi="宋体" w:eastAsia="宋体" w:cs="宋体"/>
          <w:b/>
          <w:color w:val="auto"/>
          <w:sz w:val="24"/>
          <w:highlight w:val="none"/>
        </w:rPr>
        <w:t>采购人不得拒收履约保函，项目验收结束后应及时退还。</w:t>
      </w:r>
    </w:p>
    <w:p w14:paraId="0C7E56CC">
      <w:pPr>
        <w:pStyle w:val="60"/>
        <w:rPr>
          <w:rFonts w:hint="eastAsia" w:ascii="宋体" w:hAnsi="宋体" w:eastAsia="宋体" w:cs="宋体"/>
          <w:color w:val="auto"/>
          <w:highlight w:val="none"/>
        </w:rPr>
      </w:pPr>
    </w:p>
    <w:p w14:paraId="5A75DA56">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04B539FF">
      <w:pPr>
        <w:pStyle w:val="131"/>
        <w:snapToGrid w:val="0"/>
        <w:spacing w:before="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val="0"/>
          <w:bCs/>
          <w:color w:val="auto"/>
          <w:szCs w:val="24"/>
          <w:highlight w:val="none"/>
          <w:lang w:val="en-US" w:eastAsia="zh-CN"/>
        </w:rPr>
        <w:t>4</w:t>
      </w:r>
      <w:r>
        <w:rPr>
          <w:rFonts w:hint="eastAsia" w:ascii="宋体" w:hAnsi="宋体" w:eastAsia="宋体" w:cs="宋体"/>
          <w:b w:val="0"/>
          <w:bCs/>
          <w:color w:val="auto"/>
          <w:szCs w:val="24"/>
          <w:highlight w:val="none"/>
        </w:rPr>
        <w:t>.</w:t>
      </w:r>
      <w:r>
        <w:rPr>
          <w:rFonts w:hint="eastAsia" w:ascii="宋体" w:hAnsi="宋体" w:eastAsia="宋体" w:cs="宋体"/>
          <w:b/>
          <w:color w:val="auto"/>
          <w:szCs w:val="24"/>
          <w:highlight w:val="none"/>
        </w:rPr>
        <w:t xml:space="preserve">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14:paraId="6BD60A3A">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xml:space="preserve">.1电子交易平台发生故障而无法登录访问的； </w:t>
      </w:r>
    </w:p>
    <w:p w14:paraId="6A5FD4B8">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.2电子交易平台应用或数据库出现错误，不能进行正常操作的；</w:t>
      </w:r>
    </w:p>
    <w:p w14:paraId="17FFC08B">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.3电子交易平台发现严重安全漏洞，有潜在泄密危险的；</w:t>
      </w:r>
    </w:p>
    <w:p w14:paraId="7092D592">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xml:space="preserve">.4病毒发作导致不能进行正常操作的； </w:t>
      </w:r>
    </w:p>
    <w:p w14:paraId="56E9DBAE">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.5其他无法保证电子交易的公平、公正和安全的情况。</w:t>
      </w:r>
    </w:p>
    <w:p w14:paraId="3073B47C">
      <w:pPr>
        <w:pStyle w:val="131"/>
        <w:snapToGrid w:val="0"/>
        <w:spacing w:before="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2780416">
      <w:pPr>
        <w:tabs>
          <w:tab w:val="left" w:pos="0"/>
        </w:tabs>
        <w:spacing w:line="360" w:lineRule="auto"/>
        <w:ind w:firstLine="480"/>
        <w:rPr>
          <w:rFonts w:hint="eastAsia" w:ascii="宋体" w:hAnsi="宋体" w:eastAsia="宋体" w:cs="宋体"/>
          <w:color w:val="auto"/>
          <w:sz w:val="24"/>
          <w:highlight w:val="none"/>
        </w:rPr>
      </w:pPr>
    </w:p>
    <w:p w14:paraId="34972A47">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133521D6">
      <w:pPr>
        <w:pStyle w:val="26"/>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6</w:t>
      </w:r>
      <w:r>
        <w:rPr>
          <w:rFonts w:hint="eastAsia" w:ascii="宋体" w:hAnsi="宋体" w:eastAsia="宋体" w:cs="宋体"/>
          <w:b/>
          <w:color w:val="auto"/>
          <w:highlight w:val="none"/>
        </w:rPr>
        <w:t>.验收</w:t>
      </w:r>
    </w:p>
    <w:p w14:paraId="76D1BB64">
      <w:pPr>
        <w:tabs>
          <w:tab w:val="left" w:pos="0"/>
        </w:tabs>
        <w:spacing w:line="360" w:lineRule="auto"/>
        <w:ind w:firstLine="480"/>
        <w:rPr>
          <w:rFonts w:hint="eastAsia" w:ascii="宋体" w:hAnsi="宋体" w:eastAsia="宋体" w:cs="宋体"/>
          <w:b/>
          <w:color w:val="auto"/>
          <w:sz w:val="36"/>
          <w:szCs w:val="36"/>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.1采购人应当组织对供应商履约的验收。</w:t>
      </w:r>
      <w:bookmarkEnd w:id="12"/>
      <w:bookmarkEnd w:id="13"/>
      <w:bookmarkEnd w:id="14"/>
      <w:bookmarkStart w:id="15" w:name="第四部分"/>
    </w:p>
    <w:p w14:paraId="029B8071">
      <w:pPr>
        <w:spacing w:line="360" w:lineRule="auto"/>
        <w:jc w:val="center"/>
        <w:outlineLvl w:val="0"/>
        <w:rPr>
          <w:rFonts w:hint="eastAsia" w:ascii="宋体" w:hAnsi="宋体" w:eastAsia="宋体" w:cs="宋体"/>
          <w:b/>
          <w:color w:val="auto"/>
          <w:sz w:val="36"/>
          <w:szCs w:val="36"/>
          <w:highlight w:val="none"/>
        </w:rPr>
      </w:pPr>
    </w:p>
    <w:p w14:paraId="263CC2BB">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A3B6E7A">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第三部分   采购需求</w:t>
      </w:r>
    </w:p>
    <w:p w14:paraId="3B653E3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w:t>
      </w:r>
      <w:r>
        <w:rPr>
          <w:rFonts w:hint="eastAsia" w:ascii="宋体" w:hAnsi="宋体" w:eastAsia="宋体" w:cs="宋体"/>
          <w:b/>
          <w:color w:val="auto"/>
          <w:sz w:val="24"/>
          <w:highlight w:val="none"/>
          <w:lang w:eastAsia="zh-CN"/>
        </w:rPr>
        <w:t>交易</w:t>
      </w:r>
      <w:r>
        <w:rPr>
          <w:rFonts w:hint="eastAsia" w:ascii="宋体" w:hAnsi="宋体" w:eastAsia="宋体" w:cs="宋体"/>
          <w:b/>
          <w:color w:val="auto"/>
          <w:sz w:val="24"/>
          <w:highlight w:val="none"/>
        </w:rPr>
        <w:t>一览表</w:t>
      </w:r>
    </w:p>
    <w:p w14:paraId="40ADE250">
      <w:pPr>
        <w:ind w:firstLine="590" w:firstLineChars="24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标项：一</w:t>
      </w:r>
    </w:p>
    <w:tbl>
      <w:tblPr>
        <w:tblStyle w:val="63"/>
        <w:tblW w:w="9438" w:type="dxa"/>
        <w:jc w:val="center"/>
        <w:tblLayout w:type="fixed"/>
        <w:tblCellMar>
          <w:top w:w="0" w:type="dxa"/>
          <w:left w:w="0" w:type="dxa"/>
          <w:bottom w:w="0" w:type="dxa"/>
          <w:right w:w="0" w:type="dxa"/>
        </w:tblCellMar>
      </w:tblPr>
      <w:tblGrid>
        <w:gridCol w:w="711"/>
        <w:gridCol w:w="2914"/>
        <w:gridCol w:w="698"/>
        <w:gridCol w:w="909"/>
        <w:gridCol w:w="1048"/>
        <w:gridCol w:w="1823"/>
        <w:gridCol w:w="1335"/>
      </w:tblGrid>
      <w:tr w14:paraId="025B56B9">
        <w:tblPrEx>
          <w:tblCellMar>
            <w:top w:w="0" w:type="dxa"/>
            <w:left w:w="0" w:type="dxa"/>
            <w:bottom w:w="0" w:type="dxa"/>
            <w:right w:w="0" w:type="dxa"/>
          </w:tblCellMar>
        </w:tblPrEx>
        <w:trPr>
          <w:cantSplit/>
          <w:trHeight w:val="694" w:hRule="atLeast"/>
          <w:jc w:val="center"/>
        </w:trPr>
        <w:tc>
          <w:tcPr>
            <w:tcW w:w="71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F2B144">
            <w:pPr>
              <w:tabs>
                <w:tab w:val="left" w:pos="0"/>
              </w:tabs>
              <w:adjustRightInd w:val="0"/>
              <w:snapToGrid w:val="0"/>
              <w:spacing w:after="0"/>
              <w:jc w:val="center"/>
              <w:rPr>
                <w:rFonts w:hint="eastAsia" w:ascii="宋体" w:hAnsi="宋体" w:eastAsia="宋体" w:cs="宋体"/>
                <w:bCs/>
                <w:color w:val="auto"/>
                <w:sz w:val="24"/>
                <w:highlight w:val="none"/>
              </w:rPr>
            </w:pPr>
            <w:r>
              <w:rPr>
                <w:rFonts w:hint="eastAsia" w:ascii="宋体" w:hAnsi="宋体" w:eastAsia="宋体" w:cs="宋体"/>
                <w:sz w:val="24"/>
                <w:szCs w:val="24"/>
                <w:highlight w:val="none"/>
              </w:rPr>
              <w:t>序号</w:t>
            </w:r>
          </w:p>
        </w:tc>
        <w:tc>
          <w:tcPr>
            <w:tcW w:w="291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0E8B502">
            <w:pPr>
              <w:tabs>
                <w:tab w:val="left" w:pos="0"/>
              </w:tabs>
              <w:adjustRightInd w:val="0"/>
              <w:snapToGrid w:val="0"/>
              <w:spacing w:after="0"/>
              <w:jc w:val="center"/>
              <w:rPr>
                <w:rFonts w:hint="eastAsia" w:ascii="宋体" w:hAnsi="宋体" w:eastAsia="宋体" w:cs="宋体"/>
                <w:bCs/>
                <w:color w:val="auto"/>
                <w:sz w:val="24"/>
                <w:highlight w:val="none"/>
              </w:rPr>
            </w:pPr>
            <w:r>
              <w:rPr>
                <w:rFonts w:hint="eastAsia" w:ascii="宋体" w:hAnsi="宋体" w:eastAsia="宋体" w:cs="宋体"/>
                <w:sz w:val="24"/>
                <w:szCs w:val="24"/>
                <w:highlight w:val="none"/>
              </w:rPr>
              <w:t>名称</w:t>
            </w:r>
          </w:p>
        </w:tc>
        <w:tc>
          <w:tcPr>
            <w:tcW w:w="69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6D4DEA2">
            <w:pPr>
              <w:tabs>
                <w:tab w:val="left" w:pos="0"/>
              </w:tabs>
              <w:adjustRightInd w:val="0"/>
              <w:snapToGrid w:val="0"/>
              <w:spacing w:after="0"/>
              <w:jc w:val="center"/>
              <w:rPr>
                <w:rFonts w:hint="eastAsia" w:ascii="宋体" w:hAnsi="宋体" w:eastAsia="宋体" w:cs="宋体"/>
                <w:bCs/>
                <w:color w:val="auto"/>
                <w:sz w:val="24"/>
                <w:highlight w:val="none"/>
              </w:rPr>
            </w:pPr>
            <w:r>
              <w:rPr>
                <w:rFonts w:hint="eastAsia" w:ascii="宋体" w:hAnsi="宋体" w:eastAsia="宋体" w:cs="宋体"/>
                <w:sz w:val="24"/>
                <w:szCs w:val="24"/>
                <w:highlight w:val="none"/>
              </w:rPr>
              <w:t>数量</w:t>
            </w:r>
          </w:p>
        </w:tc>
        <w:tc>
          <w:tcPr>
            <w:tcW w:w="90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3C41CBD">
            <w:pPr>
              <w:tabs>
                <w:tab w:val="left" w:pos="0"/>
              </w:tabs>
              <w:adjustRightInd w:val="0"/>
              <w:snapToGrid w:val="0"/>
              <w:spacing w:after="0"/>
              <w:jc w:val="center"/>
              <w:rPr>
                <w:rFonts w:hint="eastAsia" w:ascii="宋体" w:hAnsi="宋体" w:eastAsia="宋体" w:cs="宋体"/>
                <w:bCs/>
                <w:color w:val="auto"/>
                <w:sz w:val="24"/>
                <w:highlight w:val="none"/>
              </w:rPr>
            </w:pPr>
            <w:r>
              <w:rPr>
                <w:rFonts w:hint="eastAsia" w:ascii="宋体" w:hAnsi="宋体" w:eastAsia="宋体" w:cs="宋体"/>
                <w:sz w:val="24"/>
                <w:szCs w:val="24"/>
                <w:highlight w:val="none"/>
              </w:rPr>
              <w:t>单位</w:t>
            </w:r>
          </w:p>
        </w:tc>
        <w:tc>
          <w:tcPr>
            <w:tcW w:w="104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6B520D1">
            <w:pPr>
              <w:tabs>
                <w:tab w:val="left" w:pos="0"/>
              </w:tabs>
              <w:adjustRightInd w:val="0"/>
              <w:snapToGrid w:val="0"/>
              <w:spacing w:after="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预算</w:t>
            </w:r>
          </w:p>
          <w:p w14:paraId="0A682D35">
            <w:pPr>
              <w:tabs>
                <w:tab w:val="left" w:pos="0"/>
              </w:tabs>
              <w:adjustRightInd w:val="0"/>
              <w:snapToGrid w:val="0"/>
              <w:spacing w:after="0"/>
              <w:jc w:val="center"/>
              <w:rPr>
                <w:rFonts w:hint="eastAsia" w:ascii="宋体" w:hAnsi="宋体" w:eastAsia="宋体" w:cs="宋体"/>
                <w:bCs/>
                <w:color w:val="auto"/>
                <w:sz w:val="24"/>
                <w:highlight w:val="none"/>
              </w:rPr>
            </w:pPr>
            <w:r>
              <w:rPr>
                <w:rFonts w:hint="eastAsia" w:ascii="宋体" w:hAnsi="宋体" w:eastAsia="宋体" w:cs="宋体"/>
                <w:sz w:val="24"/>
                <w:szCs w:val="24"/>
                <w:highlight w:val="none"/>
              </w:rPr>
              <w:t>（元）</w:t>
            </w:r>
          </w:p>
        </w:tc>
        <w:tc>
          <w:tcPr>
            <w:tcW w:w="1823" w:type="dxa"/>
            <w:tcBorders>
              <w:top w:val="single" w:color="auto" w:sz="4" w:space="0"/>
              <w:left w:val="nil"/>
              <w:bottom w:val="single" w:color="auto" w:sz="4" w:space="0"/>
              <w:right w:val="single" w:color="auto" w:sz="4" w:space="0"/>
            </w:tcBorders>
            <w:noWrap w:val="0"/>
            <w:vAlign w:val="center"/>
          </w:tcPr>
          <w:p w14:paraId="02B0D46C">
            <w:pPr>
              <w:tabs>
                <w:tab w:val="left" w:pos="0"/>
              </w:tabs>
              <w:adjustRightInd w:val="0"/>
              <w:snapToGrid w:val="0"/>
              <w:spacing w:after="0"/>
              <w:jc w:val="center"/>
              <w:rPr>
                <w:rFonts w:hint="eastAsia" w:ascii="宋体" w:hAnsi="宋体" w:eastAsia="宋体" w:cs="宋体"/>
                <w:bCs/>
                <w:color w:val="auto"/>
                <w:sz w:val="24"/>
                <w:highlight w:val="none"/>
              </w:rPr>
            </w:pPr>
            <w:r>
              <w:rPr>
                <w:rFonts w:hint="eastAsia" w:ascii="宋体" w:hAnsi="宋体" w:eastAsia="宋体" w:cs="宋体"/>
                <w:sz w:val="24"/>
                <w:szCs w:val="24"/>
                <w:highlight w:val="none"/>
              </w:rPr>
              <w:t>简要规格描述或基本情况介绍</w:t>
            </w:r>
          </w:p>
        </w:tc>
        <w:tc>
          <w:tcPr>
            <w:tcW w:w="1335" w:type="dxa"/>
            <w:tcBorders>
              <w:top w:val="single" w:color="auto" w:sz="4" w:space="0"/>
              <w:left w:val="nil"/>
              <w:bottom w:val="single" w:color="auto" w:sz="4" w:space="0"/>
              <w:right w:val="single" w:color="auto" w:sz="4" w:space="0"/>
            </w:tcBorders>
            <w:noWrap w:val="0"/>
            <w:vAlign w:val="center"/>
          </w:tcPr>
          <w:p w14:paraId="7C5E823A">
            <w:pPr>
              <w:tabs>
                <w:tab w:val="left" w:pos="0"/>
              </w:tabs>
              <w:adjustRightInd w:val="0"/>
              <w:snapToGrid w:val="0"/>
              <w:spacing w:after="0"/>
              <w:jc w:val="center"/>
              <w:rPr>
                <w:rFonts w:hint="eastAsia" w:ascii="宋体" w:hAnsi="宋体" w:eastAsia="宋体" w:cs="宋体"/>
                <w:bCs/>
                <w:color w:val="auto"/>
                <w:sz w:val="24"/>
                <w:highlight w:val="none"/>
              </w:rPr>
            </w:pPr>
            <w:r>
              <w:rPr>
                <w:rFonts w:hint="eastAsia" w:ascii="宋体" w:hAnsi="宋体" w:eastAsia="宋体" w:cs="宋体"/>
                <w:sz w:val="24"/>
                <w:szCs w:val="24"/>
                <w:highlight w:val="none"/>
              </w:rPr>
              <w:t>最高限价（元）</w:t>
            </w:r>
          </w:p>
        </w:tc>
      </w:tr>
      <w:tr w14:paraId="0FB2A1E7">
        <w:tblPrEx>
          <w:tblCellMar>
            <w:top w:w="0" w:type="dxa"/>
            <w:left w:w="0" w:type="dxa"/>
            <w:bottom w:w="0" w:type="dxa"/>
            <w:right w:w="0" w:type="dxa"/>
          </w:tblCellMar>
        </w:tblPrEx>
        <w:trPr>
          <w:cantSplit/>
          <w:trHeight w:val="977" w:hRule="atLeast"/>
          <w:jc w:val="center"/>
        </w:trPr>
        <w:tc>
          <w:tcPr>
            <w:tcW w:w="71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7BF5605">
            <w:pPr>
              <w:tabs>
                <w:tab w:val="left" w:pos="0"/>
              </w:tabs>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w:t>
            </w:r>
          </w:p>
        </w:tc>
        <w:tc>
          <w:tcPr>
            <w:tcW w:w="291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3BE85E1">
            <w:pPr>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b w:val="0"/>
                <w:bCs/>
                <w:color w:val="auto"/>
                <w:sz w:val="24"/>
                <w:highlight w:val="none"/>
                <w:lang w:eastAsia="zh-CN"/>
              </w:rPr>
              <w:t>萧山区2025年红火蚁疫情监测服务项目</w:t>
            </w:r>
          </w:p>
        </w:tc>
        <w:tc>
          <w:tcPr>
            <w:tcW w:w="69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3AEFA09">
            <w:pPr>
              <w:jc w:val="center"/>
              <w:textAlignment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w:t>
            </w:r>
          </w:p>
        </w:tc>
        <w:tc>
          <w:tcPr>
            <w:tcW w:w="90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71FF04">
            <w:pPr>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rPr>
              <w:t>项</w:t>
            </w:r>
          </w:p>
        </w:tc>
        <w:tc>
          <w:tcPr>
            <w:tcW w:w="104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51ABF52">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300000</w:t>
            </w:r>
          </w:p>
        </w:tc>
        <w:tc>
          <w:tcPr>
            <w:tcW w:w="1823" w:type="dxa"/>
            <w:tcBorders>
              <w:top w:val="single" w:color="auto" w:sz="4" w:space="0"/>
              <w:left w:val="nil"/>
              <w:bottom w:val="single" w:color="auto" w:sz="4" w:space="0"/>
              <w:right w:val="single" w:color="auto" w:sz="4" w:space="0"/>
            </w:tcBorders>
            <w:noWrap w:val="0"/>
            <w:vAlign w:val="center"/>
          </w:tcPr>
          <w:p w14:paraId="36B5C30C">
            <w:pPr>
              <w:tabs>
                <w:tab w:val="left" w:pos="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eastAsia="zh-Hans"/>
              </w:rPr>
              <w:t>二、</w:t>
            </w:r>
            <w:r>
              <w:rPr>
                <w:rFonts w:hint="eastAsia" w:ascii="宋体" w:hAnsi="宋体" w:eastAsia="宋体" w:cs="宋体"/>
                <w:sz w:val="24"/>
                <w:szCs w:val="24"/>
                <w:highlight w:val="none"/>
                <w:lang w:val="en-US" w:eastAsia="zh-CN"/>
              </w:rPr>
              <w:t>交易</w:t>
            </w:r>
            <w:r>
              <w:rPr>
                <w:rFonts w:hint="eastAsia" w:ascii="宋体" w:hAnsi="宋体" w:eastAsia="宋体" w:cs="宋体"/>
                <w:sz w:val="24"/>
                <w:szCs w:val="24"/>
                <w:highlight w:val="none"/>
              </w:rPr>
              <w:t>需求-1、技术需求</w:t>
            </w:r>
          </w:p>
        </w:tc>
        <w:tc>
          <w:tcPr>
            <w:tcW w:w="1335" w:type="dxa"/>
            <w:tcBorders>
              <w:top w:val="single" w:color="auto" w:sz="4" w:space="0"/>
              <w:left w:val="nil"/>
              <w:bottom w:val="single" w:color="auto" w:sz="4" w:space="0"/>
              <w:right w:val="single" w:color="auto" w:sz="4" w:space="0"/>
            </w:tcBorders>
            <w:noWrap w:val="0"/>
            <w:vAlign w:val="center"/>
          </w:tcPr>
          <w:p w14:paraId="48C13351">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300000</w:t>
            </w:r>
          </w:p>
        </w:tc>
      </w:tr>
    </w:tbl>
    <w:p w14:paraId="5EB530E9">
      <w:pPr>
        <w:autoSpaceDE w:val="0"/>
        <w:autoSpaceDN w:val="0"/>
        <w:spacing w:after="120" w:afterLines="50" w:line="300" w:lineRule="exact"/>
        <w:jc w:val="center"/>
        <w:rPr>
          <w:rFonts w:hint="eastAsia" w:ascii="宋体" w:hAnsi="宋体" w:eastAsia="宋体" w:cs="宋体"/>
          <w:b/>
          <w:color w:val="auto"/>
          <w:sz w:val="18"/>
          <w:szCs w:val="18"/>
          <w:highlight w:val="none"/>
        </w:rPr>
      </w:pPr>
    </w:p>
    <w:p w14:paraId="7ED9422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r>
        <w:rPr>
          <w:rFonts w:hint="eastAsia" w:ascii="宋体" w:hAnsi="宋体" w:eastAsia="宋体" w:cs="宋体"/>
          <w:b/>
          <w:color w:val="auto"/>
          <w:sz w:val="24"/>
          <w:highlight w:val="none"/>
          <w:lang w:eastAsia="zh-CN"/>
        </w:rPr>
        <w:t>交易</w:t>
      </w:r>
      <w:r>
        <w:rPr>
          <w:rFonts w:hint="eastAsia" w:ascii="宋体" w:hAnsi="宋体" w:eastAsia="宋体" w:cs="宋体"/>
          <w:b/>
          <w:color w:val="auto"/>
          <w:sz w:val="24"/>
          <w:highlight w:val="none"/>
        </w:rPr>
        <w:t>需求</w:t>
      </w:r>
    </w:p>
    <w:p w14:paraId="08481D3A">
      <w:pPr>
        <w:rPr>
          <w:rFonts w:hint="eastAsia" w:ascii="宋体" w:hAnsi="宋体" w:eastAsia="宋体" w:cs="宋体"/>
          <w:color w:val="auto"/>
          <w:sz w:val="24"/>
          <w:szCs w:val="24"/>
          <w:highlight w:val="none"/>
        </w:rPr>
      </w:pPr>
      <w:bookmarkStart w:id="16" w:name="_Toc310522576"/>
    </w:p>
    <w:p w14:paraId="246C6B90">
      <w:pPr>
        <w:pStyle w:val="5"/>
        <w:pageBreakBefore w:val="0"/>
        <w:widowControl w:val="0"/>
        <w:numPr>
          <w:ilvl w:val="0"/>
          <w:numId w:val="1"/>
        </w:numPr>
        <w:kinsoku/>
        <w:wordWrap/>
        <w:overflowPunct/>
        <w:topLinePunct w:val="0"/>
        <w:autoSpaceDE/>
        <w:autoSpaceDN/>
        <w:bidi w:val="0"/>
        <w:adjustRightInd w:val="0"/>
        <w:spacing w:before="0" w:after="0" w:line="360" w:lineRule="auto"/>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技术需求</w:t>
      </w:r>
    </w:p>
    <w:p w14:paraId="78D4133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一、项目内容</w:t>
      </w:r>
    </w:p>
    <w:p w14:paraId="43050A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通过问询调查、目测踏查、诱饵诱集等一系列的科学监测手段，</w:t>
      </w:r>
      <w:r>
        <w:rPr>
          <w:rFonts w:hint="eastAsia" w:ascii="宋体" w:hAnsi="宋体" w:eastAsia="宋体" w:cs="宋体"/>
          <w:b w:val="0"/>
          <w:bCs w:val="0"/>
          <w:sz w:val="24"/>
          <w:szCs w:val="24"/>
          <w:lang w:val="en-US" w:eastAsia="zh-CN"/>
        </w:rPr>
        <w:t>于</w:t>
      </w:r>
      <w:r>
        <w:rPr>
          <w:rFonts w:hint="default" w:ascii="宋体" w:hAnsi="宋体" w:eastAsia="宋体" w:cs="宋体"/>
          <w:b w:val="0"/>
          <w:bCs w:val="0"/>
          <w:sz w:val="24"/>
          <w:szCs w:val="24"/>
          <w:lang w:eastAsia="zh-CN"/>
          <w:woUserID w:val="1"/>
        </w:rPr>
        <w:t>2025</w:t>
      </w:r>
      <w:r>
        <w:rPr>
          <w:rFonts w:hint="eastAsia" w:ascii="宋体" w:hAnsi="宋体" w:eastAsia="宋体" w:cs="宋体"/>
          <w:b w:val="0"/>
          <w:bCs w:val="0"/>
          <w:sz w:val="24"/>
          <w:szCs w:val="24"/>
          <w:lang w:val="en-US" w:eastAsia="zh-CN"/>
        </w:rPr>
        <w:t>年</w:t>
      </w:r>
      <w:r>
        <w:rPr>
          <w:rFonts w:hint="default" w:ascii="宋体" w:hAnsi="宋体" w:eastAsia="宋体" w:cs="宋体"/>
          <w:b w:val="0"/>
          <w:bCs w:val="0"/>
          <w:sz w:val="24"/>
          <w:szCs w:val="24"/>
          <w:lang w:eastAsia="zh-CN"/>
          <w:woUserID w:val="1"/>
        </w:rPr>
        <w:t>5</w:t>
      </w:r>
      <w:r>
        <w:rPr>
          <w:rFonts w:hint="eastAsia" w:ascii="宋体" w:hAnsi="宋体" w:eastAsia="宋体" w:cs="宋体"/>
          <w:b w:val="0"/>
          <w:bCs w:val="0"/>
          <w:sz w:val="24"/>
          <w:szCs w:val="24"/>
          <w:lang w:val="en-US" w:eastAsia="zh-CN"/>
        </w:rPr>
        <w:t>—11月在</w:t>
      </w:r>
      <w:r>
        <w:rPr>
          <w:rFonts w:hint="eastAsia" w:ascii="宋体" w:hAnsi="宋体" w:eastAsia="宋体" w:cs="宋体"/>
          <w:b w:val="0"/>
          <w:bCs w:val="0"/>
          <w:sz w:val="24"/>
          <w:szCs w:val="24"/>
        </w:rPr>
        <w:t>全区范围内开展</w:t>
      </w:r>
      <w:r>
        <w:rPr>
          <w:rFonts w:hint="eastAsia" w:ascii="宋体" w:hAnsi="宋体" w:eastAsia="宋体" w:cs="宋体"/>
          <w:b w:val="0"/>
          <w:bCs w:val="0"/>
          <w:sz w:val="24"/>
          <w:szCs w:val="24"/>
          <w:lang w:val="en-US" w:eastAsia="zh-CN"/>
        </w:rPr>
        <w:t>全面</w:t>
      </w:r>
      <w:r>
        <w:rPr>
          <w:rFonts w:hint="eastAsia" w:ascii="宋体" w:hAnsi="宋体" w:eastAsia="宋体" w:cs="宋体"/>
          <w:b w:val="0"/>
          <w:bCs w:val="0"/>
          <w:sz w:val="24"/>
          <w:szCs w:val="24"/>
        </w:rPr>
        <w:t>监测</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重点监控苗木与废旧物品的经营及调运场所、公共绿化草坪、荒地、河道绿化坡地、农地田埂、林地边界等，明确萧山地区红火蚁的发生情况</w:t>
      </w:r>
      <w:r>
        <w:rPr>
          <w:rFonts w:hint="eastAsia" w:ascii="宋体" w:hAnsi="宋体" w:eastAsia="宋体" w:cs="宋体"/>
          <w:b w:val="0"/>
          <w:bCs w:val="0"/>
          <w:sz w:val="24"/>
          <w:szCs w:val="24"/>
          <w:lang w:val="en-US" w:eastAsia="zh-CN"/>
        </w:rPr>
        <w:t>并及时采取防控措施。</w:t>
      </w:r>
    </w:p>
    <w:p w14:paraId="0322FDF5">
      <w:pPr>
        <w:pStyle w:val="62"/>
        <w:ind w:left="0" w:leftChars="0" w:firstLine="0" w:firstLineChars="0"/>
        <w:rPr>
          <w:rFonts w:hint="eastAsia" w:ascii="宋体" w:hAnsi="宋体" w:eastAsia="宋体" w:cs="宋体"/>
          <w:b w:val="0"/>
          <w:bCs w:val="0"/>
          <w:sz w:val="24"/>
          <w:szCs w:val="24"/>
        </w:rPr>
      </w:pPr>
      <w:r>
        <w:rPr>
          <w:rFonts w:hint="eastAsia" w:eastAsia="宋体" w:cs="宋体"/>
          <w:b w:val="0"/>
          <w:bCs w:val="0"/>
          <w:sz w:val="24"/>
          <w:szCs w:val="24"/>
          <w:lang w:val="en-US" w:eastAsia="zh-CN"/>
        </w:rPr>
        <w:t>二、项目需求</w:t>
      </w:r>
    </w:p>
    <w:p w14:paraId="436FCB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1、调查范围及面积：在萧山全区范围内开展调查，既定的重点监测区域要全覆盖，包括大型苗木交易场所（3个）</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苗圃（50个）</w:t>
      </w:r>
      <w:r>
        <w:rPr>
          <w:rFonts w:hint="eastAsia" w:ascii="宋体" w:hAnsi="宋体" w:eastAsia="宋体" w:cs="宋体"/>
          <w:b w:val="0"/>
          <w:bCs w:val="0"/>
          <w:sz w:val="24"/>
          <w:szCs w:val="24"/>
        </w:rPr>
        <w:t>及乡镇或街道的绿化区域</w:t>
      </w:r>
      <w:r>
        <w:rPr>
          <w:rFonts w:hint="eastAsia" w:ascii="宋体" w:hAnsi="宋体" w:eastAsia="宋体" w:cs="宋体"/>
          <w:b w:val="0"/>
          <w:bCs w:val="0"/>
          <w:sz w:val="24"/>
          <w:szCs w:val="24"/>
          <w:highlight w:val="none"/>
        </w:rPr>
        <w:t>（20个）</w:t>
      </w:r>
      <w:r>
        <w:rPr>
          <w:rFonts w:hint="eastAsia" w:ascii="宋体" w:hAnsi="宋体" w:eastAsia="宋体" w:cs="宋体"/>
          <w:b w:val="0"/>
          <w:bCs w:val="0"/>
          <w:sz w:val="24"/>
          <w:szCs w:val="24"/>
        </w:rPr>
        <w:t xml:space="preserve">，做到监测到位；调查面积不少于 </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0万亩，其中大型苗木交易场所 0.3万亩、</w:t>
      </w:r>
      <w:r>
        <w:rPr>
          <w:rFonts w:hint="eastAsia" w:ascii="宋体" w:hAnsi="宋体" w:eastAsia="宋体" w:cs="宋体"/>
          <w:b w:val="0"/>
          <w:bCs w:val="0"/>
          <w:sz w:val="24"/>
          <w:szCs w:val="24"/>
          <w:lang w:val="en-US" w:eastAsia="zh-CN"/>
        </w:rPr>
        <w:t>苗圃1.0万亩、</w:t>
      </w:r>
      <w:r>
        <w:rPr>
          <w:rFonts w:hint="eastAsia" w:ascii="宋体" w:hAnsi="宋体" w:eastAsia="宋体" w:cs="宋体"/>
          <w:b w:val="0"/>
          <w:bCs w:val="0"/>
          <w:sz w:val="24"/>
          <w:szCs w:val="24"/>
        </w:rPr>
        <w:t xml:space="preserve">乡镇或街道的绿化区域 </w:t>
      </w:r>
      <w:r>
        <w:rPr>
          <w:rFonts w:hint="eastAsia" w:ascii="宋体" w:hAnsi="宋体" w:eastAsia="宋体" w:cs="宋体"/>
          <w:b w:val="0"/>
          <w:bCs w:val="0"/>
          <w:sz w:val="24"/>
          <w:szCs w:val="24"/>
          <w:lang w:val="en-US" w:eastAsia="zh-CN"/>
        </w:rPr>
        <w:t>20</w:t>
      </w:r>
      <w:r>
        <w:rPr>
          <w:rFonts w:hint="eastAsia" w:ascii="宋体" w:hAnsi="宋体" w:eastAsia="宋体" w:cs="宋体"/>
          <w:b w:val="0"/>
          <w:bCs w:val="0"/>
          <w:sz w:val="24"/>
          <w:szCs w:val="24"/>
        </w:rPr>
        <w:t>万亩。</w:t>
      </w:r>
    </w:p>
    <w:p w14:paraId="30E2DA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2、调查点设置方法及考核指标：调查点共</w:t>
      </w:r>
      <w:r>
        <w:rPr>
          <w:rFonts w:hint="eastAsia" w:ascii="宋体" w:hAnsi="宋体" w:eastAsia="宋体" w:cs="宋体"/>
          <w:b w:val="0"/>
          <w:bCs w:val="0"/>
          <w:sz w:val="24"/>
          <w:szCs w:val="24"/>
          <w:lang w:val="en-US" w:eastAsia="zh-CN"/>
        </w:rPr>
        <w:t>253</w:t>
      </w:r>
      <w:r>
        <w:rPr>
          <w:rFonts w:hint="eastAsia" w:ascii="宋体" w:hAnsi="宋体" w:eastAsia="宋体" w:cs="宋体"/>
          <w:b w:val="0"/>
          <w:bCs w:val="0"/>
          <w:sz w:val="24"/>
          <w:szCs w:val="24"/>
        </w:rPr>
        <w:t>个，其中苗木交易场所</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个、</w:t>
      </w:r>
      <w:r>
        <w:rPr>
          <w:rFonts w:hint="eastAsia" w:ascii="宋体" w:hAnsi="宋体" w:eastAsia="宋体" w:cs="宋体"/>
          <w:b w:val="0"/>
          <w:bCs w:val="0"/>
          <w:sz w:val="24"/>
          <w:szCs w:val="24"/>
          <w:lang w:val="en-US" w:eastAsia="zh-CN"/>
        </w:rPr>
        <w:t>苗圃50个、</w:t>
      </w:r>
      <w:r>
        <w:rPr>
          <w:rFonts w:hint="eastAsia" w:ascii="宋体" w:hAnsi="宋体" w:eastAsia="宋体" w:cs="宋体"/>
          <w:b w:val="0"/>
          <w:bCs w:val="0"/>
          <w:sz w:val="24"/>
          <w:szCs w:val="24"/>
        </w:rPr>
        <w:t>乡镇或街道</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00个。调查点设置方法：新街、瓜沥和君祥花卉交易场所</w:t>
      </w:r>
      <w:r>
        <w:rPr>
          <w:rFonts w:hint="eastAsia" w:ascii="宋体" w:hAnsi="宋体" w:eastAsia="宋体" w:cs="宋体"/>
          <w:b w:val="0"/>
          <w:bCs w:val="0"/>
          <w:sz w:val="24"/>
          <w:szCs w:val="24"/>
          <w:lang w:val="en-US" w:eastAsia="zh-CN"/>
        </w:rPr>
        <w:t>和苗圃均需要全域调查</w:t>
      </w:r>
      <w:r>
        <w:rPr>
          <w:rFonts w:hint="eastAsia" w:ascii="宋体" w:hAnsi="宋体" w:eastAsia="宋体" w:cs="宋体"/>
          <w:b w:val="0"/>
          <w:bCs w:val="0"/>
          <w:sz w:val="24"/>
          <w:szCs w:val="24"/>
        </w:rPr>
        <w:t>，小计</w:t>
      </w:r>
      <w:r>
        <w:rPr>
          <w:rFonts w:hint="eastAsia" w:ascii="宋体" w:hAnsi="宋体" w:eastAsia="宋体" w:cs="宋体"/>
          <w:b w:val="0"/>
          <w:bCs w:val="0"/>
          <w:sz w:val="24"/>
          <w:szCs w:val="24"/>
          <w:lang w:val="en-US" w:eastAsia="zh-CN"/>
        </w:rPr>
        <w:t>53</w:t>
      </w:r>
      <w:r>
        <w:rPr>
          <w:rFonts w:hint="eastAsia" w:ascii="宋体" w:hAnsi="宋体" w:eastAsia="宋体" w:cs="宋体"/>
          <w:b w:val="0"/>
          <w:bCs w:val="0"/>
          <w:sz w:val="24"/>
          <w:szCs w:val="24"/>
        </w:rPr>
        <w:t xml:space="preserve">个调查点；乡镇或街道20个区域根据监测重点摸底情况随机取 </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个调查点，小计</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00个调查点。</w:t>
      </w:r>
    </w:p>
    <w:p w14:paraId="13E75C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3、监测技术的考核方法：严格参照国家标准《红火蚁监测规程》（GB/T 23626-2009）基础上，重点采取问询、目测、诱饵诱集等监测手段实施调查，利用数字森防红火蚁监测防控系统进行监测大数据的采集工作，数据及时录入</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实现监测信息化、数字化及智能化管理。其中诱饵诱集需保证诱饵的有效性，且诱饵监测面积至少4万亩以上，其中苗木交易场所0.3万亩、</w:t>
      </w:r>
      <w:r>
        <w:rPr>
          <w:rFonts w:hint="eastAsia" w:ascii="宋体" w:hAnsi="宋体" w:eastAsia="宋体" w:cs="宋体"/>
          <w:b w:val="0"/>
          <w:bCs w:val="0"/>
          <w:sz w:val="24"/>
          <w:szCs w:val="24"/>
          <w:lang w:val="en-US" w:eastAsia="zh-CN"/>
        </w:rPr>
        <w:t>苗圃1.0万亩</w:t>
      </w:r>
      <w:r>
        <w:rPr>
          <w:rFonts w:hint="eastAsia" w:ascii="宋体" w:hAnsi="宋体" w:eastAsia="宋体" w:cs="宋体"/>
          <w:b w:val="0"/>
          <w:bCs w:val="0"/>
          <w:sz w:val="24"/>
          <w:szCs w:val="24"/>
        </w:rPr>
        <w:t>及乡镇或街道</w:t>
      </w:r>
      <w:r>
        <w:rPr>
          <w:rFonts w:hint="eastAsia" w:ascii="宋体" w:hAnsi="宋体" w:eastAsia="宋体" w:cs="宋体"/>
          <w:b w:val="0"/>
          <w:bCs w:val="0"/>
          <w:sz w:val="24"/>
          <w:szCs w:val="24"/>
          <w:lang w:val="en-US" w:eastAsia="zh-CN"/>
        </w:rPr>
        <w:t>2.7</w:t>
      </w:r>
      <w:r>
        <w:rPr>
          <w:rFonts w:hint="eastAsia" w:ascii="宋体" w:hAnsi="宋体" w:eastAsia="宋体" w:cs="宋体"/>
          <w:b w:val="0"/>
          <w:bCs w:val="0"/>
          <w:sz w:val="24"/>
          <w:szCs w:val="24"/>
        </w:rPr>
        <w:t>万亩，而且诱饵投放量在</w:t>
      </w:r>
      <w:r>
        <w:rPr>
          <w:rFonts w:hint="eastAsia" w:ascii="宋体" w:hAnsi="宋体" w:eastAsia="宋体" w:cs="宋体"/>
          <w:b w:val="0"/>
          <w:bCs w:val="0"/>
          <w:sz w:val="24"/>
          <w:szCs w:val="24"/>
          <w:lang w:val="en-US" w:eastAsia="zh-CN"/>
        </w:rPr>
        <w:t>8000</w:t>
      </w:r>
      <w:r>
        <w:rPr>
          <w:rFonts w:hint="eastAsia" w:ascii="宋体" w:hAnsi="宋体" w:eastAsia="宋体" w:cs="宋体"/>
          <w:b w:val="0"/>
          <w:bCs w:val="0"/>
          <w:sz w:val="24"/>
          <w:szCs w:val="24"/>
        </w:rPr>
        <w:t>个以上，其中苗木交易场所500个</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苗圃1500个</w:t>
      </w:r>
      <w:r>
        <w:rPr>
          <w:rFonts w:hint="eastAsia" w:ascii="宋体" w:hAnsi="宋体" w:eastAsia="宋体" w:cs="宋体"/>
          <w:b w:val="0"/>
          <w:bCs w:val="0"/>
          <w:sz w:val="24"/>
          <w:szCs w:val="24"/>
        </w:rPr>
        <w:t>及乡镇或街道</w:t>
      </w:r>
      <w:r>
        <w:rPr>
          <w:rFonts w:hint="eastAsia" w:ascii="宋体" w:hAnsi="宋体" w:eastAsia="宋体" w:cs="宋体"/>
          <w:b w:val="0"/>
          <w:bCs w:val="0"/>
          <w:sz w:val="24"/>
          <w:szCs w:val="24"/>
          <w:lang w:val="en-US" w:eastAsia="zh-CN"/>
        </w:rPr>
        <w:t>60</w:t>
      </w:r>
      <w:r>
        <w:rPr>
          <w:rFonts w:hint="eastAsia" w:ascii="宋体" w:hAnsi="宋体" w:eastAsia="宋体" w:cs="宋体"/>
          <w:b w:val="0"/>
          <w:bCs w:val="0"/>
          <w:sz w:val="24"/>
          <w:szCs w:val="24"/>
        </w:rPr>
        <w:t>00个。</w:t>
      </w:r>
    </w:p>
    <w:p w14:paraId="03D4DD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4、监测频次及考核指标：监测频次及考核指标：每个月执行调查至少2次，苗木交易场所监测频次不少于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次；乡镇或街道绿化场所监测频次不少于2次，同个调查点前后两次监测间隔时间应在一个月以上。</w:t>
      </w:r>
    </w:p>
    <w:p w14:paraId="5C14B9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作业规范化考核：每次执行监测调查均需做好作业预案，录需详细记录问询、目测及诱饵诱集等作业内容，打点记录信息应与日志中描述一一对应，图片记录需展现作业场景与日期、天气及位置等信息，每位作业人员需确认签字。</w:t>
      </w:r>
    </w:p>
    <w:p w14:paraId="414494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（2）</w:t>
      </w:r>
      <w:r>
        <w:rPr>
          <w:rFonts w:hint="eastAsia" w:ascii="宋体" w:hAnsi="宋体" w:eastAsia="宋体" w:cs="宋体"/>
          <w:b/>
          <w:bCs/>
          <w:color w:val="auto"/>
          <w:sz w:val="24"/>
          <w:szCs w:val="24"/>
          <w:highlight w:val="none"/>
          <w:lang w:val="en-US" w:eastAsia="zh-CN"/>
        </w:rPr>
        <w:t>商务需求</w:t>
      </w:r>
    </w:p>
    <w:p w14:paraId="6BF57BAA">
      <w:pPr>
        <w:adjustRightInd/>
        <w:spacing w:line="360" w:lineRule="auto"/>
        <w:ind w:firstLine="205" w:firstLineChars="98"/>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highlight w:val="none"/>
          <w:lang w:val="en-US" w:eastAsia="zh-CN"/>
        </w:rPr>
        <w:t>▲</w:t>
      </w:r>
      <w:r>
        <w:rPr>
          <w:rFonts w:hint="eastAsia" w:ascii="宋体" w:hAnsi="宋体" w:eastAsia="宋体" w:cs="宋体"/>
          <w:color w:val="auto"/>
          <w:sz w:val="24"/>
          <w:szCs w:val="24"/>
          <w:highlight w:val="none"/>
          <w:lang w:val="en-US" w:eastAsia="zh-CN"/>
        </w:rPr>
        <w:t>1、服务期限：2025年5月到2025年11月（具体以合同签订为准）</w:t>
      </w:r>
    </w:p>
    <w:p w14:paraId="0E8CEA59">
      <w:pPr>
        <w:adjustRightInd/>
        <w:spacing w:line="360" w:lineRule="auto"/>
        <w:ind w:firstLine="235" w:firstLineChars="98"/>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2、服务地点：业主指定地点。</w:t>
      </w:r>
    </w:p>
    <w:p w14:paraId="68616362">
      <w:pPr>
        <w:adjustRightInd/>
        <w:spacing w:line="360" w:lineRule="auto"/>
        <w:ind w:firstLine="235" w:firstLineChars="98"/>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3、付款方式：</w:t>
      </w:r>
      <w:r>
        <w:rPr>
          <w:rFonts w:hint="eastAsia" w:ascii="宋体" w:hAnsi="宋体" w:eastAsia="宋体" w:cs="宋体"/>
          <w:sz w:val="24"/>
          <w:highlight w:val="none"/>
        </w:rPr>
        <w:t>合同签订后</w:t>
      </w:r>
      <w:r>
        <w:rPr>
          <w:rFonts w:hint="eastAsia" w:ascii="宋体" w:hAnsi="宋体" w:eastAsia="宋体" w:cs="宋体"/>
          <w:sz w:val="24"/>
          <w:highlight w:val="none"/>
          <w:lang w:val="en-US" w:eastAsia="zh-CN"/>
        </w:rPr>
        <w:t>支付合同价</w:t>
      </w:r>
      <w:r>
        <w:rPr>
          <w:rFonts w:hint="eastAsia" w:ascii="宋体" w:hAnsi="宋体" w:eastAsia="宋体" w:cs="宋体"/>
          <w:sz w:val="24"/>
          <w:highlight w:val="none"/>
        </w:rPr>
        <w:t>60%</w:t>
      </w:r>
      <w:r>
        <w:rPr>
          <w:rFonts w:hint="eastAsia" w:ascii="宋体" w:hAnsi="宋体" w:eastAsia="宋体" w:cs="宋体"/>
          <w:sz w:val="24"/>
          <w:highlight w:val="none"/>
          <w:lang w:val="en-US" w:eastAsia="zh-CN"/>
        </w:rPr>
        <w:t>的预付款</w:t>
      </w:r>
      <w:r>
        <w:rPr>
          <w:rFonts w:hint="eastAsia" w:ascii="宋体" w:hAnsi="宋体" w:eastAsia="宋体" w:cs="宋体"/>
          <w:sz w:val="24"/>
          <w:highlight w:val="none"/>
        </w:rPr>
        <w:t>,项目验收通过之后</w:t>
      </w:r>
      <w:r>
        <w:rPr>
          <w:rFonts w:hint="eastAsia" w:ascii="宋体" w:hAnsi="宋体" w:eastAsia="宋体" w:cs="宋体"/>
          <w:sz w:val="24"/>
          <w:highlight w:val="none"/>
          <w:lang w:val="en-US" w:eastAsia="zh-CN"/>
        </w:rPr>
        <w:t>支付</w:t>
      </w:r>
      <w:r>
        <w:rPr>
          <w:rFonts w:hint="eastAsia" w:ascii="宋体" w:hAnsi="宋体" w:eastAsia="宋体" w:cs="宋体"/>
          <w:sz w:val="24"/>
          <w:highlight w:val="none"/>
        </w:rPr>
        <w:t>剩余</w:t>
      </w:r>
      <w:r>
        <w:rPr>
          <w:rFonts w:hint="eastAsia" w:ascii="宋体" w:hAnsi="宋体" w:eastAsia="宋体" w:cs="宋体"/>
          <w:sz w:val="24"/>
          <w:highlight w:val="none"/>
          <w:lang w:val="en-US" w:eastAsia="zh-CN"/>
        </w:rPr>
        <w:t>合同价</w:t>
      </w:r>
      <w:r>
        <w:rPr>
          <w:rFonts w:hint="eastAsia" w:ascii="宋体" w:hAnsi="宋体" w:eastAsia="宋体" w:cs="宋体"/>
          <w:sz w:val="24"/>
          <w:highlight w:val="none"/>
        </w:rPr>
        <w:t>的40%。</w:t>
      </w:r>
    </w:p>
    <w:p w14:paraId="39145DFC">
      <w:pPr>
        <w:spacing w:line="360" w:lineRule="auto"/>
        <w:rPr>
          <w:rFonts w:hint="eastAsia" w:ascii="宋体" w:hAnsi="宋体" w:eastAsia="宋体" w:cs="宋体"/>
          <w:color w:val="auto"/>
          <w:sz w:val="24"/>
          <w:szCs w:val="24"/>
          <w:highlight w:val="none"/>
        </w:rPr>
      </w:pPr>
    </w:p>
    <w:p w14:paraId="1B8D1E76">
      <w:pPr>
        <w:pStyle w:val="131"/>
        <w:snapToGrid w:val="0"/>
        <w:spacing w:before="0"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1、除标注的参考品牌外，欢迎其它能满足本项目技术需求且性能与所注品牌相当的产品参与。</w:t>
      </w:r>
    </w:p>
    <w:p w14:paraId="303607B1">
      <w:pPr>
        <w:pStyle w:val="131"/>
        <w:snapToGrid w:val="0"/>
        <w:spacing w:before="0"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2、如有附图，仅作参考。</w:t>
      </w:r>
    </w:p>
    <w:p w14:paraId="566BA65B">
      <w:pPr>
        <w:pStyle w:val="131"/>
        <w:snapToGrid w:val="0"/>
        <w:spacing w:before="0"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3、打▲内容为实质性要求，不允许有负偏离，否则将以涉及无效响应条款作无效响应。</w:t>
      </w:r>
    </w:p>
    <w:p w14:paraId="04A788B4">
      <w:pPr>
        <w:pStyle w:val="131"/>
        <w:snapToGrid w:val="0"/>
        <w:spacing w:before="0" w:line="360" w:lineRule="auto"/>
        <w:ind w:firstLine="480"/>
        <w:jc w:val="center"/>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sz w:val="24"/>
          <w:szCs w:val="24"/>
          <w:highlight w:val="none"/>
          <w:lang w:val="en-US" w:eastAsia="zh-CN"/>
        </w:rPr>
        <w:t>4、成交人所提供的货物、服务须与响应承诺一致，不得以次充好、偷工减料，若在项目验收中发现有上述情况，将向有关部门举报，根据相关规定进行处理。</w:t>
      </w:r>
      <w:r>
        <w:rPr>
          <w:rFonts w:hint="eastAsia" w:ascii="宋体" w:hAnsi="宋体" w:eastAsia="宋体" w:cs="宋体"/>
          <w:color w:val="auto"/>
          <w:kern w:val="2"/>
          <w:sz w:val="24"/>
          <w:szCs w:val="24"/>
          <w:highlight w:val="none"/>
          <w:lang w:val="en-US" w:eastAsia="zh-CN" w:bidi="ar-SA"/>
        </w:rPr>
        <w:br w:type="page"/>
      </w:r>
      <w:bookmarkEnd w:id="16"/>
      <w:r>
        <w:rPr>
          <w:rFonts w:hint="eastAsia" w:ascii="宋体" w:hAnsi="宋体" w:eastAsia="宋体" w:cs="宋体"/>
          <w:color w:val="auto"/>
          <w:kern w:val="2"/>
          <w:sz w:val="32"/>
          <w:szCs w:val="32"/>
          <w:highlight w:val="none"/>
          <w:lang w:val="en-US" w:eastAsia="zh-CN" w:bidi="ar-SA"/>
        </w:rPr>
        <w:t xml:space="preserve">第四部分   </w:t>
      </w:r>
      <w:bookmarkStart w:id="17" w:name="_Toc184310324"/>
      <w:bookmarkEnd w:id="17"/>
      <w:bookmarkStart w:id="18" w:name="_Toc184313283"/>
      <w:bookmarkEnd w:id="18"/>
      <w:bookmarkStart w:id="19" w:name="_Toc184314476"/>
      <w:bookmarkEnd w:id="19"/>
      <w:bookmarkStart w:id="20" w:name="_Toc184314466"/>
      <w:bookmarkEnd w:id="20"/>
      <w:bookmarkStart w:id="21" w:name="_Toc184310308"/>
      <w:bookmarkEnd w:id="21"/>
      <w:bookmarkStart w:id="22" w:name="_Toc184313302"/>
      <w:bookmarkEnd w:id="22"/>
      <w:bookmarkStart w:id="23" w:name="_Toc184310332"/>
      <w:bookmarkEnd w:id="23"/>
      <w:bookmarkStart w:id="24" w:name="_Toc184310340"/>
      <w:bookmarkEnd w:id="24"/>
      <w:bookmarkStart w:id="25" w:name="_Toc184310318"/>
      <w:bookmarkEnd w:id="25"/>
      <w:bookmarkStart w:id="26" w:name="_Toc184313272"/>
      <w:bookmarkEnd w:id="26"/>
      <w:bookmarkStart w:id="27" w:name="_Toc184308095"/>
      <w:bookmarkEnd w:id="27"/>
      <w:bookmarkStart w:id="28" w:name="_Toc184312098"/>
      <w:bookmarkEnd w:id="28"/>
      <w:bookmarkStart w:id="29" w:name="_Toc184314444"/>
      <w:bookmarkEnd w:id="29"/>
      <w:bookmarkStart w:id="30" w:name="_Toc184308065"/>
      <w:bookmarkEnd w:id="30"/>
      <w:bookmarkStart w:id="31" w:name="_Toc184312091"/>
      <w:bookmarkEnd w:id="31"/>
      <w:bookmarkStart w:id="32" w:name="_Toc184312075"/>
      <w:bookmarkEnd w:id="32"/>
      <w:bookmarkStart w:id="33" w:name="_Toc184313289"/>
      <w:bookmarkEnd w:id="33"/>
      <w:bookmarkStart w:id="34" w:name="_Toc184310298"/>
      <w:bookmarkEnd w:id="34"/>
      <w:bookmarkStart w:id="35" w:name="_Toc184314429"/>
      <w:bookmarkEnd w:id="35"/>
      <w:bookmarkStart w:id="36" w:name="_Toc184314416"/>
      <w:bookmarkEnd w:id="36"/>
      <w:bookmarkStart w:id="37" w:name="_Toc184310287"/>
      <w:bookmarkEnd w:id="37"/>
      <w:bookmarkStart w:id="38" w:name="_Toc184313286"/>
      <w:bookmarkEnd w:id="38"/>
      <w:bookmarkStart w:id="39" w:name="_Toc184312106"/>
      <w:bookmarkEnd w:id="39"/>
      <w:bookmarkStart w:id="40" w:name="_Toc184313242"/>
      <w:bookmarkEnd w:id="40"/>
      <w:bookmarkStart w:id="41" w:name="_Toc184313298"/>
      <w:bookmarkEnd w:id="41"/>
      <w:bookmarkStart w:id="42" w:name="_Toc184313249"/>
      <w:bookmarkEnd w:id="42"/>
      <w:bookmarkStart w:id="43" w:name="_Toc184313294"/>
      <w:bookmarkEnd w:id="43"/>
      <w:bookmarkStart w:id="44" w:name="_Toc184312124"/>
      <w:bookmarkEnd w:id="44"/>
      <w:bookmarkStart w:id="45" w:name="_Toc184308079"/>
      <w:bookmarkEnd w:id="45"/>
      <w:bookmarkStart w:id="46" w:name="_Toc184308086"/>
      <w:bookmarkEnd w:id="46"/>
      <w:bookmarkStart w:id="47" w:name="_Toc184308099"/>
      <w:bookmarkEnd w:id="47"/>
      <w:bookmarkStart w:id="48" w:name="_Toc184314424"/>
      <w:bookmarkEnd w:id="48"/>
      <w:bookmarkStart w:id="49" w:name="_Toc184308098"/>
      <w:bookmarkEnd w:id="49"/>
      <w:bookmarkStart w:id="50" w:name="_Toc184310339"/>
      <w:bookmarkEnd w:id="50"/>
      <w:bookmarkStart w:id="51" w:name="_Toc184314436"/>
      <w:bookmarkEnd w:id="51"/>
      <w:bookmarkStart w:id="52" w:name="_Toc184312116"/>
      <w:bookmarkEnd w:id="52"/>
      <w:bookmarkStart w:id="53" w:name="_Toc184310310"/>
      <w:bookmarkEnd w:id="53"/>
      <w:bookmarkStart w:id="54" w:name="_Toc184313308"/>
      <w:bookmarkEnd w:id="54"/>
      <w:bookmarkStart w:id="55" w:name="_Toc184308041"/>
      <w:bookmarkEnd w:id="55"/>
      <w:bookmarkStart w:id="56" w:name="_Toc184314412"/>
      <w:bookmarkEnd w:id="56"/>
      <w:bookmarkStart w:id="57" w:name="_Toc184314448"/>
      <w:bookmarkEnd w:id="57"/>
      <w:bookmarkStart w:id="58" w:name="_Toc184314446"/>
      <w:bookmarkEnd w:id="58"/>
      <w:bookmarkStart w:id="59" w:name="_Toc184310273"/>
      <w:bookmarkEnd w:id="59"/>
      <w:bookmarkStart w:id="60" w:name="_Toc184314428"/>
      <w:bookmarkEnd w:id="60"/>
      <w:bookmarkStart w:id="61" w:name="_Toc184308063"/>
      <w:bookmarkEnd w:id="61"/>
      <w:bookmarkStart w:id="62" w:name="_Toc184314435"/>
      <w:bookmarkEnd w:id="62"/>
      <w:bookmarkStart w:id="63" w:name="_Toc184313244"/>
      <w:bookmarkEnd w:id="63"/>
      <w:bookmarkStart w:id="64" w:name="_Toc184312094"/>
      <w:bookmarkEnd w:id="64"/>
      <w:bookmarkStart w:id="65" w:name="_Toc184313271"/>
      <w:bookmarkEnd w:id="65"/>
      <w:bookmarkStart w:id="66" w:name="_Toc184310328"/>
      <w:bookmarkEnd w:id="66"/>
      <w:bookmarkStart w:id="67" w:name="_Toc184313266"/>
      <w:bookmarkEnd w:id="67"/>
      <w:bookmarkStart w:id="68" w:name="_Toc184312077"/>
      <w:bookmarkEnd w:id="68"/>
      <w:bookmarkStart w:id="69" w:name="_Toc184310297"/>
      <w:bookmarkEnd w:id="69"/>
      <w:bookmarkStart w:id="70" w:name="_Toc184313282"/>
      <w:bookmarkEnd w:id="70"/>
      <w:bookmarkStart w:id="71" w:name="_Toc184310291"/>
      <w:bookmarkEnd w:id="71"/>
      <w:bookmarkStart w:id="72" w:name="_Toc184312133"/>
      <w:bookmarkEnd w:id="72"/>
      <w:bookmarkStart w:id="73" w:name="_Toc184308045"/>
      <w:bookmarkEnd w:id="73"/>
      <w:bookmarkStart w:id="74" w:name="_Toc184314445"/>
      <w:bookmarkEnd w:id="74"/>
      <w:bookmarkStart w:id="75" w:name="_Toc184314451"/>
      <w:bookmarkEnd w:id="75"/>
      <w:bookmarkStart w:id="76" w:name="_Toc184314480"/>
      <w:bookmarkEnd w:id="76"/>
      <w:bookmarkStart w:id="77" w:name="_Toc184313280"/>
      <w:bookmarkEnd w:id="77"/>
      <w:bookmarkStart w:id="78" w:name="_Toc184314422"/>
      <w:bookmarkEnd w:id="78"/>
      <w:bookmarkStart w:id="79" w:name="_Toc184314452"/>
      <w:bookmarkEnd w:id="79"/>
      <w:bookmarkStart w:id="80" w:name="_Toc184313241"/>
      <w:bookmarkEnd w:id="80"/>
      <w:bookmarkStart w:id="81" w:name="_Toc184313252"/>
      <w:bookmarkEnd w:id="81"/>
      <w:bookmarkStart w:id="82" w:name="_Toc184312087"/>
      <w:bookmarkEnd w:id="82"/>
      <w:bookmarkStart w:id="83" w:name="_Toc184314465"/>
      <w:bookmarkEnd w:id="83"/>
      <w:bookmarkStart w:id="84" w:name="_Toc184313292"/>
      <w:bookmarkEnd w:id="84"/>
      <w:bookmarkStart w:id="85" w:name="_Toc184313250"/>
      <w:bookmarkEnd w:id="85"/>
      <w:bookmarkStart w:id="86" w:name="_Toc184308036"/>
      <w:bookmarkEnd w:id="86"/>
      <w:bookmarkStart w:id="87" w:name="_Toc184308071"/>
      <w:bookmarkEnd w:id="87"/>
      <w:bookmarkStart w:id="88" w:name="_Toc184313265"/>
      <w:bookmarkEnd w:id="88"/>
      <w:bookmarkStart w:id="89" w:name="_Toc184314417"/>
      <w:bookmarkEnd w:id="89"/>
      <w:bookmarkStart w:id="90" w:name="_Toc184310312"/>
      <w:bookmarkEnd w:id="90"/>
      <w:bookmarkStart w:id="91" w:name="_Toc184314467"/>
      <w:bookmarkEnd w:id="91"/>
      <w:bookmarkStart w:id="92" w:name="_Toc184314430"/>
      <w:bookmarkEnd w:id="92"/>
      <w:bookmarkStart w:id="93" w:name="_Toc184308076"/>
      <w:bookmarkEnd w:id="93"/>
      <w:bookmarkStart w:id="94" w:name="_Toc184308055"/>
      <w:bookmarkEnd w:id="94"/>
      <w:bookmarkStart w:id="95" w:name="_Toc184312082"/>
      <w:bookmarkEnd w:id="95"/>
      <w:bookmarkStart w:id="96" w:name="_Toc184310319"/>
      <w:bookmarkEnd w:id="96"/>
      <w:bookmarkStart w:id="97" w:name="_Toc184312110"/>
      <w:bookmarkEnd w:id="97"/>
      <w:bookmarkStart w:id="98" w:name="_Toc184313261"/>
      <w:bookmarkEnd w:id="98"/>
      <w:bookmarkStart w:id="99" w:name="_Toc184313257"/>
      <w:bookmarkEnd w:id="99"/>
      <w:bookmarkStart w:id="100" w:name="_Toc184310293"/>
      <w:bookmarkEnd w:id="100"/>
      <w:bookmarkStart w:id="101" w:name="_Toc184310275"/>
      <w:bookmarkEnd w:id="101"/>
      <w:bookmarkStart w:id="102" w:name="_Toc184313251"/>
      <w:bookmarkEnd w:id="102"/>
      <w:bookmarkStart w:id="103" w:name="_Toc184312092"/>
      <w:bookmarkEnd w:id="103"/>
      <w:bookmarkStart w:id="104" w:name="_Toc184308054"/>
      <w:bookmarkEnd w:id="104"/>
      <w:bookmarkStart w:id="105" w:name="_Toc184314471"/>
      <w:bookmarkEnd w:id="105"/>
      <w:bookmarkStart w:id="106" w:name="_Toc184310327"/>
      <w:bookmarkEnd w:id="106"/>
      <w:bookmarkStart w:id="107" w:name="_Toc184313255"/>
      <w:bookmarkEnd w:id="107"/>
      <w:bookmarkStart w:id="108" w:name="_Toc184314431"/>
      <w:bookmarkEnd w:id="108"/>
      <w:bookmarkStart w:id="109" w:name="_Toc184313277"/>
      <w:bookmarkEnd w:id="109"/>
      <w:bookmarkStart w:id="110" w:name="_Toc184312115"/>
      <w:bookmarkEnd w:id="110"/>
      <w:bookmarkStart w:id="111" w:name="_Toc184312131"/>
      <w:bookmarkEnd w:id="111"/>
      <w:bookmarkStart w:id="112" w:name="_Toc184313274"/>
      <w:bookmarkEnd w:id="112"/>
      <w:bookmarkStart w:id="113" w:name="_Toc184313297"/>
      <w:bookmarkEnd w:id="113"/>
      <w:bookmarkStart w:id="114" w:name="_Toc184314477"/>
      <w:bookmarkEnd w:id="114"/>
      <w:bookmarkStart w:id="115" w:name="_Toc184314413"/>
      <w:bookmarkEnd w:id="115"/>
      <w:bookmarkStart w:id="116" w:name="_Toc184313301"/>
      <w:bookmarkEnd w:id="116"/>
      <w:bookmarkStart w:id="117" w:name="_Toc184310333"/>
      <w:bookmarkEnd w:id="117"/>
      <w:bookmarkStart w:id="118" w:name="_Toc184310303"/>
      <w:bookmarkEnd w:id="118"/>
      <w:bookmarkStart w:id="119" w:name="_Toc184313307"/>
      <w:bookmarkEnd w:id="119"/>
      <w:bookmarkStart w:id="120" w:name="_Toc184310317"/>
      <w:bookmarkEnd w:id="120"/>
      <w:bookmarkStart w:id="121" w:name="_Toc184312078"/>
      <w:bookmarkEnd w:id="121"/>
      <w:bookmarkStart w:id="122" w:name="_Toc184310314"/>
      <w:bookmarkEnd w:id="122"/>
      <w:bookmarkStart w:id="123" w:name="_Toc184312127"/>
      <w:bookmarkEnd w:id="123"/>
      <w:bookmarkStart w:id="124" w:name="_Toc184314472"/>
      <w:bookmarkEnd w:id="124"/>
      <w:bookmarkStart w:id="125" w:name="_Toc184308062"/>
      <w:bookmarkEnd w:id="125"/>
      <w:bookmarkStart w:id="126" w:name="_Toc184308051"/>
      <w:bookmarkEnd w:id="126"/>
      <w:bookmarkStart w:id="127" w:name="_Toc184313303"/>
      <w:bookmarkEnd w:id="127"/>
      <w:bookmarkStart w:id="128" w:name="_Toc184308049"/>
      <w:bookmarkEnd w:id="128"/>
      <w:bookmarkStart w:id="129" w:name="_Toc184310338"/>
      <w:bookmarkEnd w:id="129"/>
      <w:bookmarkStart w:id="130" w:name="_Toc184310311"/>
      <w:bookmarkEnd w:id="130"/>
      <w:bookmarkStart w:id="131" w:name="_Toc184312136"/>
      <w:bookmarkEnd w:id="131"/>
      <w:bookmarkStart w:id="132" w:name="_Toc184313279"/>
      <w:bookmarkEnd w:id="132"/>
      <w:bookmarkStart w:id="133" w:name="_Toc184308102"/>
      <w:bookmarkEnd w:id="133"/>
      <w:bookmarkStart w:id="134" w:name="_Toc184308108"/>
      <w:bookmarkEnd w:id="134"/>
      <w:bookmarkStart w:id="135" w:name="_Toc184308074"/>
      <w:bookmarkEnd w:id="135"/>
      <w:bookmarkStart w:id="136" w:name="_Toc184310307"/>
      <w:bookmarkEnd w:id="136"/>
      <w:bookmarkStart w:id="137" w:name="_Toc184312111"/>
      <w:bookmarkEnd w:id="137"/>
      <w:bookmarkStart w:id="138" w:name="_Toc184313254"/>
      <w:bookmarkEnd w:id="138"/>
      <w:bookmarkStart w:id="139" w:name="_Toc184314456"/>
      <w:bookmarkEnd w:id="139"/>
      <w:bookmarkStart w:id="140" w:name="_Toc184308070"/>
      <w:bookmarkEnd w:id="140"/>
      <w:bookmarkStart w:id="141" w:name="_Toc184310306"/>
      <w:bookmarkEnd w:id="141"/>
      <w:bookmarkStart w:id="142" w:name="_Toc184308090"/>
      <w:bookmarkEnd w:id="142"/>
      <w:bookmarkStart w:id="143" w:name="_Toc184308082"/>
      <w:bookmarkEnd w:id="143"/>
      <w:bookmarkStart w:id="144" w:name="_Toc184308078"/>
      <w:bookmarkEnd w:id="144"/>
      <w:bookmarkStart w:id="145" w:name="_Toc184310326"/>
      <w:bookmarkEnd w:id="145"/>
      <w:bookmarkStart w:id="146" w:name="_Toc184312139"/>
      <w:bookmarkEnd w:id="146"/>
      <w:bookmarkStart w:id="147" w:name="_Toc184308106"/>
      <w:bookmarkEnd w:id="147"/>
      <w:bookmarkStart w:id="148" w:name="_Toc184314433"/>
      <w:bookmarkEnd w:id="148"/>
      <w:bookmarkStart w:id="149" w:name="_Toc184313246"/>
      <w:bookmarkEnd w:id="149"/>
      <w:bookmarkStart w:id="150" w:name="_Toc184310330"/>
      <w:bookmarkEnd w:id="150"/>
      <w:bookmarkStart w:id="151" w:name="_Toc184310335"/>
      <w:bookmarkEnd w:id="151"/>
      <w:bookmarkStart w:id="152" w:name="_Toc184308064"/>
      <w:bookmarkEnd w:id="152"/>
      <w:bookmarkStart w:id="153" w:name="_Toc184308048"/>
      <w:bookmarkEnd w:id="153"/>
      <w:bookmarkStart w:id="154" w:name="_Toc184312079"/>
      <w:bookmarkEnd w:id="154"/>
      <w:bookmarkStart w:id="155" w:name="_Toc184312069"/>
      <w:bookmarkEnd w:id="155"/>
      <w:bookmarkStart w:id="156" w:name="_Toc184308068"/>
      <w:bookmarkEnd w:id="156"/>
      <w:bookmarkStart w:id="157" w:name="_Toc184314458"/>
      <w:bookmarkEnd w:id="157"/>
      <w:bookmarkStart w:id="158" w:name="_Toc184314474"/>
      <w:bookmarkEnd w:id="158"/>
      <w:bookmarkStart w:id="159" w:name="_Toc184310299"/>
      <w:bookmarkEnd w:id="159"/>
      <w:bookmarkStart w:id="160" w:name="_Toc184308058"/>
      <w:bookmarkEnd w:id="160"/>
      <w:bookmarkStart w:id="161" w:name="_Toc184308087"/>
      <w:bookmarkEnd w:id="161"/>
      <w:bookmarkStart w:id="162" w:name="_Toc184313253"/>
      <w:bookmarkEnd w:id="162"/>
      <w:bookmarkStart w:id="163" w:name="_Toc184310301"/>
      <w:bookmarkEnd w:id="163"/>
      <w:bookmarkStart w:id="164" w:name="_Toc184314470"/>
      <w:bookmarkEnd w:id="164"/>
      <w:bookmarkStart w:id="165" w:name="_Toc184312080"/>
      <w:bookmarkEnd w:id="165"/>
      <w:bookmarkStart w:id="166" w:name="_Toc184308040"/>
      <w:bookmarkEnd w:id="166"/>
      <w:bookmarkStart w:id="167" w:name="_Toc184312137"/>
      <w:bookmarkEnd w:id="167"/>
      <w:bookmarkStart w:id="168" w:name="_Toc184313238"/>
      <w:bookmarkEnd w:id="168"/>
      <w:bookmarkStart w:id="169" w:name="_Toc184313263"/>
      <w:bookmarkEnd w:id="169"/>
      <w:bookmarkStart w:id="170" w:name="_Toc184314439"/>
      <w:bookmarkEnd w:id="170"/>
      <w:bookmarkStart w:id="171" w:name="_Toc184310295"/>
      <w:bookmarkEnd w:id="171"/>
      <w:bookmarkStart w:id="172" w:name="_Toc184312122"/>
      <w:bookmarkEnd w:id="172"/>
      <w:bookmarkStart w:id="173" w:name="_Toc184314423"/>
      <w:bookmarkEnd w:id="173"/>
      <w:bookmarkStart w:id="174" w:name="_Toc184312096"/>
      <w:bookmarkEnd w:id="174"/>
      <w:bookmarkStart w:id="175" w:name="_Toc184314447"/>
      <w:bookmarkEnd w:id="175"/>
      <w:bookmarkStart w:id="176" w:name="_Toc184313293"/>
      <w:bookmarkEnd w:id="176"/>
      <w:bookmarkStart w:id="177" w:name="_Toc184314449"/>
      <w:bookmarkEnd w:id="177"/>
      <w:bookmarkStart w:id="178" w:name="_Toc184314462"/>
      <w:bookmarkEnd w:id="178"/>
      <w:bookmarkStart w:id="179" w:name="_Toc184312100"/>
      <w:bookmarkEnd w:id="179"/>
      <w:bookmarkStart w:id="180" w:name="_Toc184308057"/>
      <w:bookmarkEnd w:id="180"/>
      <w:bookmarkStart w:id="181" w:name="_Toc184313258"/>
      <w:bookmarkEnd w:id="181"/>
      <w:bookmarkStart w:id="182" w:name="_Toc184308075"/>
      <w:bookmarkEnd w:id="182"/>
      <w:bookmarkStart w:id="183" w:name="_Toc184314437"/>
      <w:bookmarkEnd w:id="183"/>
      <w:bookmarkStart w:id="184" w:name="_Toc184310341"/>
      <w:bookmarkEnd w:id="184"/>
      <w:bookmarkStart w:id="185" w:name="_Toc184308061"/>
      <w:bookmarkEnd w:id="185"/>
      <w:bookmarkStart w:id="186" w:name="_Toc184312090"/>
      <w:bookmarkEnd w:id="186"/>
      <w:bookmarkStart w:id="187" w:name="_Toc184314468"/>
      <w:bookmarkEnd w:id="187"/>
      <w:bookmarkStart w:id="188" w:name="_Toc184310344"/>
      <w:bookmarkEnd w:id="188"/>
      <w:bookmarkStart w:id="189" w:name="_Toc184308103"/>
      <w:bookmarkEnd w:id="189"/>
      <w:bookmarkStart w:id="190" w:name="_Toc184314419"/>
      <w:bookmarkEnd w:id="190"/>
      <w:bookmarkStart w:id="191" w:name="_Toc184313305"/>
      <w:bookmarkEnd w:id="191"/>
      <w:bookmarkStart w:id="192" w:name="_Toc184310304"/>
      <w:bookmarkEnd w:id="192"/>
      <w:bookmarkStart w:id="193" w:name="_Toc184310289"/>
      <w:bookmarkEnd w:id="193"/>
      <w:bookmarkStart w:id="194" w:name="_Toc184308091"/>
      <w:bookmarkEnd w:id="194"/>
      <w:bookmarkStart w:id="195" w:name="_Toc184314478"/>
      <w:bookmarkEnd w:id="195"/>
      <w:bookmarkStart w:id="196" w:name="_Toc184314438"/>
      <w:bookmarkEnd w:id="196"/>
      <w:bookmarkStart w:id="197" w:name="_Toc184314421"/>
      <w:bookmarkEnd w:id="197"/>
      <w:bookmarkStart w:id="198" w:name="_Toc184314442"/>
      <w:bookmarkEnd w:id="198"/>
      <w:bookmarkStart w:id="199" w:name="_Toc184312118"/>
      <w:bookmarkEnd w:id="199"/>
      <w:bookmarkStart w:id="200" w:name="_Toc184308046"/>
      <w:bookmarkEnd w:id="200"/>
      <w:bookmarkStart w:id="201" w:name="_Toc184308080"/>
      <w:bookmarkEnd w:id="201"/>
      <w:bookmarkStart w:id="202" w:name="_Toc184314450"/>
      <w:bookmarkEnd w:id="202"/>
      <w:bookmarkStart w:id="203" w:name="_Toc184313270"/>
      <w:bookmarkEnd w:id="203"/>
      <w:bookmarkStart w:id="204" w:name="_Toc184310282"/>
      <w:bookmarkEnd w:id="204"/>
      <w:bookmarkStart w:id="205" w:name="_Toc184313300"/>
      <w:bookmarkEnd w:id="205"/>
      <w:bookmarkStart w:id="206" w:name="_Toc184314481"/>
      <w:bookmarkEnd w:id="206"/>
      <w:bookmarkStart w:id="207" w:name="_Toc184312128"/>
      <w:bookmarkEnd w:id="207"/>
      <w:bookmarkStart w:id="208" w:name="_Toc184313243"/>
      <w:bookmarkEnd w:id="208"/>
      <w:bookmarkStart w:id="209" w:name="_Toc184312099"/>
      <w:bookmarkEnd w:id="209"/>
      <w:bookmarkStart w:id="210" w:name="_Toc184308083"/>
      <w:bookmarkEnd w:id="210"/>
      <w:bookmarkStart w:id="211" w:name="_Toc184314473"/>
      <w:bookmarkEnd w:id="211"/>
      <w:bookmarkStart w:id="212" w:name="_Toc184314426"/>
      <w:bookmarkEnd w:id="212"/>
      <w:bookmarkStart w:id="213" w:name="_Toc184310280"/>
      <w:bookmarkEnd w:id="213"/>
      <w:bookmarkStart w:id="214" w:name="_Toc184312108"/>
      <w:bookmarkEnd w:id="214"/>
      <w:bookmarkStart w:id="215" w:name="_Toc184308105"/>
      <w:bookmarkEnd w:id="215"/>
      <w:bookmarkStart w:id="216" w:name="_Toc184312101"/>
      <w:bookmarkEnd w:id="216"/>
      <w:bookmarkStart w:id="217" w:name="_Toc184312129"/>
      <w:bookmarkEnd w:id="217"/>
      <w:bookmarkStart w:id="218" w:name="_Toc184308104"/>
      <w:bookmarkEnd w:id="218"/>
      <w:bookmarkStart w:id="219" w:name="_Toc184313269"/>
      <w:bookmarkEnd w:id="219"/>
      <w:bookmarkStart w:id="220" w:name="_Toc184310331"/>
      <w:bookmarkEnd w:id="220"/>
      <w:bookmarkStart w:id="221" w:name="_Toc184314461"/>
      <w:bookmarkEnd w:id="221"/>
      <w:bookmarkStart w:id="222" w:name="_Toc184308101"/>
      <w:bookmarkEnd w:id="222"/>
      <w:bookmarkStart w:id="223" w:name="_Toc184314454"/>
      <w:bookmarkEnd w:id="223"/>
      <w:bookmarkStart w:id="224" w:name="_Toc184308039"/>
      <w:bookmarkEnd w:id="224"/>
      <w:bookmarkStart w:id="225" w:name="_Toc184308044"/>
      <w:bookmarkEnd w:id="225"/>
      <w:bookmarkStart w:id="226" w:name="_Toc184310309"/>
      <w:bookmarkEnd w:id="226"/>
      <w:bookmarkStart w:id="227" w:name="_Toc184308052"/>
      <w:bookmarkEnd w:id="227"/>
      <w:bookmarkStart w:id="228" w:name="_Toc184312112"/>
      <w:bookmarkEnd w:id="228"/>
      <w:bookmarkStart w:id="229" w:name="_Toc184312071"/>
      <w:bookmarkEnd w:id="229"/>
      <w:bookmarkStart w:id="230" w:name="_Toc184314441"/>
      <w:bookmarkEnd w:id="230"/>
      <w:bookmarkStart w:id="231" w:name="_Toc184310305"/>
      <w:bookmarkEnd w:id="231"/>
      <w:bookmarkStart w:id="232" w:name="_Toc184313245"/>
      <w:bookmarkEnd w:id="232"/>
      <w:bookmarkStart w:id="233" w:name="_Toc184312068"/>
      <w:bookmarkEnd w:id="233"/>
      <w:bookmarkStart w:id="234" w:name="_Toc184313288"/>
      <w:bookmarkEnd w:id="234"/>
      <w:bookmarkStart w:id="235" w:name="_Toc184310279"/>
      <w:bookmarkEnd w:id="235"/>
      <w:bookmarkStart w:id="236" w:name="_Toc184312123"/>
      <w:bookmarkEnd w:id="236"/>
      <w:bookmarkStart w:id="237" w:name="_Toc184308050"/>
      <w:bookmarkEnd w:id="237"/>
      <w:bookmarkStart w:id="238" w:name="_Toc184310296"/>
      <w:bookmarkEnd w:id="238"/>
      <w:bookmarkStart w:id="239" w:name="_Toc184314418"/>
      <w:bookmarkEnd w:id="239"/>
      <w:bookmarkStart w:id="240" w:name="_Toc184310315"/>
      <w:bookmarkEnd w:id="240"/>
      <w:bookmarkStart w:id="241" w:name="_Toc184312134"/>
      <w:bookmarkEnd w:id="241"/>
      <w:bookmarkStart w:id="242" w:name="_Toc184313248"/>
      <w:bookmarkEnd w:id="242"/>
      <w:bookmarkStart w:id="243" w:name="_Toc184310302"/>
      <w:bookmarkEnd w:id="243"/>
      <w:bookmarkStart w:id="244" w:name="_Toc184312114"/>
      <w:bookmarkEnd w:id="244"/>
      <w:bookmarkStart w:id="245" w:name="_Toc184310337"/>
      <w:bookmarkEnd w:id="245"/>
      <w:bookmarkStart w:id="246" w:name="_Toc184313310"/>
      <w:bookmarkEnd w:id="246"/>
      <w:bookmarkStart w:id="247" w:name="_Toc184314443"/>
      <w:bookmarkEnd w:id="247"/>
      <w:bookmarkStart w:id="248" w:name="_Toc184308042"/>
      <w:bookmarkEnd w:id="248"/>
      <w:bookmarkStart w:id="249" w:name="_Toc184310288"/>
      <w:bookmarkEnd w:id="249"/>
      <w:bookmarkStart w:id="250" w:name="_Toc184312109"/>
      <w:bookmarkEnd w:id="250"/>
      <w:bookmarkStart w:id="251" w:name="_Toc184308060"/>
      <w:bookmarkEnd w:id="251"/>
      <w:bookmarkStart w:id="252" w:name="_Toc184308053"/>
      <w:bookmarkEnd w:id="252"/>
      <w:bookmarkStart w:id="253" w:name="_Toc184314469"/>
      <w:bookmarkEnd w:id="253"/>
      <w:bookmarkStart w:id="254" w:name="_Toc184310320"/>
      <w:bookmarkEnd w:id="254"/>
      <w:bookmarkStart w:id="255" w:name="_Toc184308088"/>
      <w:bookmarkEnd w:id="255"/>
      <w:bookmarkStart w:id="256" w:name="_Toc184310294"/>
      <w:bookmarkEnd w:id="256"/>
      <w:bookmarkStart w:id="257" w:name="_Toc184313239"/>
      <w:bookmarkEnd w:id="257"/>
      <w:bookmarkStart w:id="258" w:name="_Toc184314432"/>
      <w:bookmarkEnd w:id="258"/>
      <w:bookmarkStart w:id="259" w:name="_Toc184308100"/>
      <w:bookmarkEnd w:id="259"/>
      <w:bookmarkStart w:id="260" w:name="_Toc184310313"/>
      <w:bookmarkEnd w:id="260"/>
      <w:bookmarkStart w:id="261" w:name="_Toc184314420"/>
      <w:bookmarkEnd w:id="261"/>
      <w:bookmarkStart w:id="262" w:name="_Toc184308107"/>
      <w:bookmarkEnd w:id="262"/>
      <w:bookmarkStart w:id="263" w:name="_Toc184314475"/>
      <w:bookmarkEnd w:id="263"/>
      <w:bookmarkStart w:id="264" w:name="_Toc184312095"/>
      <w:bookmarkEnd w:id="264"/>
      <w:bookmarkStart w:id="265" w:name="_Toc184314463"/>
      <w:bookmarkEnd w:id="265"/>
      <w:bookmarkStart w:id="266" w:name="_Toc184310286"/>
      <w:bookmarkEnd w:id="266"/>
      <w:bookmarkStart w:id="267" w:name="_Toc184312086"/>
      <w:bookmarkEnd w:id="267"/>
      <w:bookmarkStart w:id="268" w:name="_Toc184310322"/>
      <w:bookmarkEnd w:id="268"/>
      <w:bookmarkStart w:id="269" w:name="_Toc184308085"/>
      <w:bookmarkEnd w:id="269"/>
      <w:bookmarkStart w:id="270" w:name="_Toc184308043"/>
      <w:bookmarkEnd w:id="270"/>
      <w:bookmarkStart w:id="271" w:name="_Toc184312102"/>
      <w:bookmarkEnd w:id="271"/>
      <w:bookmarkStart w:id="272" w:name="_Toc184310334"/>
      <w:bookmarkEnd w:id="272"/>
      <w:bookmarkStart w:id="273" w:name="_Toc184310325"/>
      <w:bookmarkEnd w:id="273"/>
      <w:bookmarkStart w:id="274" w:name="_Toc184313273"/>
      <w:bookmarkEnd w:id="274"/>
      <w:bookmarkStart w:id="275" w:name="_Toc184310272"/>
      <w:bookmarkEnd w:id="275"/>
      <w:bookmarkStart w:id="276" w:name="_Toc184314410"/>
      <w:bookmarkEnd w:id="276"/>
      <w:bookmarkStart w:id="277" w:name="_Toc184308094"/>
      <w:bookmarkEnd w:id="277"/>
      <w:bookmarkStart w:id="278" w:name="_Toc184314411"/>
      <w:bookmarkEnd w:id="278"/>
      <w:bookmarkStart w:id="279" w:name="_Toc184312097"/>
      <w:bookmarkEnd w:id="279"/>
      <w:bookmarkStart w:id="280" w:name="_Toc184314453"/>
      <w:bookmarkEnd w:id="280"/>
      <w:bookmarkStart w:id="281" w:name="_Toc184308093"/>
      <w:bookmarkEnd w:id="281"/>
      <w:bookmarkStart w:id="282" w:name="_Toc184312084"/>
      <w:bookmarkEnd w:id="282"/>
      <w:bookmarkStart w:id="283" w:name="_Toc184310290"/>
      <w:bookmarkEnd w:id="283"/>
      <w:bookmarkStart w:id="284" w:name="_Toc184308077"/>
      <w:bookmarkEnd w:id="284"/>
      <w:bookmarkStart w:id="285" w:name="_Toc184313304"/>
      <w:bookmarkEnd w:id="285"/>
      <w:bookmarkStart w:id="286" w:name="_Toc184313260"/>
      <w:bookmarkEnd w:id="286"/>
      <w:bookmarkStart w:id="287" w:name="_Toc184312107"/>
      <w:bookmarkEnd w:id="287"/>
      <w:bookmarkStart w:id="288" w:name="_Toc184312120"/>
      <w:bookmarkEnd w:id="288"/>
      <w:bookmarkStart w:id="289" w:name="_Toc184313267"/>
      <w:bookmarkEnd w:id="289"/>
      <w:bookmarkStart w:id="290" w:name="_Toc184313275"/>
      <w:bookmarkEnd w:id="290"/>
      <w:bookmarkStart w:id="291" w:name="_Toc184313296"/>
      <w:bookmarkEnd w:id="291"/>
      <w:bookmarkStart w:id="292" w:name="_Toc184313264"/>
      <w:bookmarkEnd w:id="292"/>
      <w:bookmarkStart w:id="293" w:name="_Toc184314440"/>
      <w:bookmarkEnd w:id="293"/>
      <w:bookmarkStart w:id="294" w:name="_Toc184313259"/>
      <w:bookmarkEnd w:id="294"/>
      <w:bookmarkStart w:id="295" w:name="_Toc184312073"/>
      <w:bookmarkEnd w:id="295"/>
      <w:bookmarkStart w:id="296" w:name="_Toc184314457"/>
      <w:bookmarkEnd w:id="296"/>
      <w:bookmarkStart w:id="297" w:name="_Toc184312126"/>
      <w:bookmarkEnd w:id="297"/>
      <w:bookmarkStart w:id="298" w:name="_Toc184308067"/>
      <w:bookmarkEnd w:id="298"/>
      <w:bookmarkStart w:id="299" w:name="_Toc184312088"/>
      <w:bookmarkEnd w:id="299"/>
      <w:bookmarkStart w:id="300" w:name="_Toc184312089"/>
      <w:bookmarkEnd w:id="300"/>
      <w:bookmarkStart w:id="301" w:name="_Toc184312085"/>
      <w:bookmarkEnd w:id="301"/>
      <w:bookmarkStart w:id="302" w:name="_Toc184312117"/>
      <w:bookmarkEnd w:id="302"/>
      <w:bookmarkStart w:id="303" w:name="_Toc184312121"/>
      <w:bookmarkEnd w:id="303"/>
      <w:bookmarkStart w:id="304" w:name="_Toc184314459"/>
      <w:bookmarkEnd w:id="304"/>
      <w:bookmarkStart w:id="305" w:name="_Toc184308069"/>
      <w:bookmarkEnd w:id="305"/>
      <w:bookmarkStart w:id="306" w:name="_Toc184314425"/>
      <w:bookmarkEnd w:id="306"/>
      <w:bookmarkStart w:id="307" w:name="_Toc184313281"/>
      <w:bookmarkEnd w:id="307"/>
      <w:bookmarkStart w:id="308" w:name="_Toc184314479"/>
      <w:bookmarkEnd w:id="308"/>
      <w:bookmarkStart w:id="309" w:name="_Toc184310343"/>
      <w:bookmarkEnd w:id="309"/>
      <w:bookmarkStart w:id="310" w:name="_Toc184310276"/>
      <w:bookmarkEnd w:id="310"/>
      <w:bookmarkStart w:id="311" w:name="_Toc184312072"/>
      <w:bookmarkEnd w:id="311"/>
      <w:bookmarkStart w:id="312" w:name="_Toc184310274"/>
      <w:bookmarkEnd w:id="312"/>
      <w:bookmarkStart w:id="313" w:name="_Toc184313284"/>
      <w:bookmarkEnd w:id="313"/>
      <w:bookmarkStart w:id="314" w:name="_Toc184312138"/>
      <w:bookmarkEnd w:id="314"/>
      <w:bookmarkStart w:id="315" w:name="_Toc184313287"/>
      <w:bookmarkEnd w:id="315"/>
      <w:bookmarkStart w:id="316" w:name="_Toc184314415"/>
      <w:bookmarkEnd w:id="316"/>
      <w:bookmarkStart w:id="317" w:name="_Toc184313306"/>
      <w:bookmarkEnd w:id="317"/>
      <w:bookmarkStart w:id="318" w:name="_Toc184312104"/>
      <w:bookmarkEnd w:id="318"/>
      <w:bookmarkStart w:id="319" w:name="_Toc184308096"/>
      <w:bookmarkEnd w:id="319"/>
      <w:bookmarkStart w:id="320" w:name="_Toc184308084"/>
      <w:bookmarkEnd w:id="320"/>
      <w:bookmarkStart w:id="321" w:name="_Toc184310285"/>
      <w:bookmarkEnd w:id="321"/>
      <w:bookmarkStart w:id="322" w:name="_Toc184314455"/>
      <w:bookmarkEnd w:id="322"/>
      <w:bookmarkStart w:id="323" w:name="_Toc184313295"/>
      <w:bookmarkEnd w:id="323"/>
      <w:bookmarkStart w:id="324" w:name="_Toc184308056"/>
      <w:bookmarkEnd w:id="324"/>
      <w:bookmarkStart w:id="325" w:name="_Toc184313256"/>
      <w:bookmarkEnd w:id="325"/>
      <w:bookmarkStart w:id="326" w:name="_Toc184313278"/>
      <w:bookmarkEnd w:id="326"/>
      <w:bookmarkStart w:id="327" w:name="_Toc184312132"/>
      <w:bookmarkEnd w:id="327"/>
      <w:bookmarkStart w:id="328" w:name="_Toc184310283"/>
      <w:bookmarkEnd w:id="328"/>
      <w:bookmarkStart w:id="329" w:name="_Toc184314482"/>
      <w:bookmarkEnd w:id="329"/>
      <w:bookmarkStart w:id="330" w:name="_Toc184314434"/>
      <w:bookmarkEnd w:id="330"/>
      <w:bookmarkStart w:id="331" w:name="_Toc184313291"/>
      <w:bookmarkEnd w:id="331"/>
      <w:bookmarkStart w:id="332" w:name="_Toc184310277"/>
      <w:bookmarkEnd w:id="332"/>
      <w:bookmarkStart w:id="333" w:name="_Toc184313309"/>
      <w:bookmarkEnd w:id="333"/>
      <w:bookmarkStart w:id="334" w:name="_Toc184313247"/>
      <w:bookmarkEnd w:id="334"/>
      <w:bookmarkStart w:id="335" w:name="_Toc184308037"/>
      <w:bookmarkEnd w:id="335"/>
      <w:bookmarkStart w:id="336" w:name="_Toc184310284"/>
      <w:bookmarkEnd w:id="336"/>
      <w:bookmarkStart w:id="337" w:name="_Toc184312093"/>
      <w:bookmarkEnd w:id="337"/>
      <w:bookmarkStart w:id="338" w:name="_Toc184314464"/>
      <w:bookmarkEnd w:id="338"/>
      <w:bookmarkStart w:id="339" w:name="_Toc184312103"/>
      <w:bookmarkEnd w:id="339"/>
      <w:bookmarkStart w:id="340" w:name="_Toc184312067"/>
      <w:bookmarkEnd w:id="340"/>
      <w:bookmarkStart w:id="341" w:name="_Toc184312083"/>
      <w:bookmarkEnd w:id="341"/>
      <w:bookmarkStart w:id="342" w:name="_Toc184310336"/>
      <w:bookmarkEnd w:id="342"/>
      <w:bookmarkStart w:id="343" w:name="_Toc184308081"/>
      <w:bookmarkEnd w:id="343"/>
      <w:bookmarkStart w:id="344" w:name="_Toc184312076"/>
      <w:bookmarkEnd w:id="344"/>
      <w:bookmarkStart w:id="345" w:name="_Toc184313240"/>
      <w:bookmarkEnd w:id="345"/>
      <w:bookmarkStart w:id="346" w:name="_Toc184313290"/>
      <w:bookmarkEnd w:id="346"/>
      <w:bookmarkStart w:id="347" w:name="_Toc184310292"/>
      <w:bookmarkEnd w:id="347"/>
      <w:bookmarkStart w:id="348" w:name="_Toc184314427"/>
      <w:bookmarkEnd w:id="348"/>
      <w:bookmarkStart w:id="349" w:name="_Toc184312135"/>
      <w:bookmarkEnd w:id="349"/>
      <w:bookmarkStart w:id="350" w:name="_Toc184308073"/>
      <w:bookmarkEnd w:id="350"/>
      <w:bookmarkStart w:id="351" w:name="_Toc184312130"/>
      <w:bookmarkEnd w:id="351"/>
      <w:bookmarkStart w:id="352" w:name="_Toc184310316"/>
      <w:bookmarkEnd w:id="352"/>
      <w:bookmarkStart w:id="353" w:name="_Toc184313299"/>
      <w:bookmarkEnd w:id="353"/>
      <w:bookmarkStart w:id="354" w:name="_Toc184313262"/>
      <w:bookmarkEnd w:id="354"/>
      <w:bookmarkStart w:id="355" w:name="_Toc184308072"/>
      <w:bookmarkEnd w:id="355"/>
      <w:bookmarkStart w:id="356" w:name="_Toc184308066"/>
      <w:bookmarkEnd w:id="356"/>
      <w:bookmarkStart w:id="357" w:name="_Toc184313285"/>
      <w:bookmarkEnd w:id="357"/>
      <w:bookmarkStart w:id="358" w:name="_Toc184308038"/>
      <w:bookmarkEnd w:id="358"/>
      <w:bookmarkStart w:id="359" w:name="_Toc184312119"/>
      <w:bookmarkEnd w:id="359"/>
      <w:bookmarkStart w:id="360" w:name="_Toc184308047"/>
      <w:bookmarkEnd w:id="360"/>
      <w:bookmarkStart w:id="361" w:name="_Toc184314414"/>
      <w:bookmarkEnd w:id="361"/>
      <w:bookmarkStart w:id="362" w:name="_Toc184310342"/>
      <w:bookmarkEnd w:id="362"/>
      <w:bookmarkStart w:id="363" w:name="_Toc184308059"/>
      <w:bookmarkEnd w:id="363"/>
      <w:bookmarkStart w:id="364" w:name="_Toc184312125"/>
      <w:bookmarkEnd w:id="364"/>
      <w:bookmarkStart w:id="365" w:name="_Toc184312074"/>
      <w:bookmarkEnd w:id="365"/>
      <w:bookmarkStart w:id="366" w:name="_Toc184310300"/>
      <w:bookmarkEnd w:id="366"/>
      <w:bookmarkStart w:id="367" w:name="_Toc184313276"/>
      <w:bookmarkEnd w:id="367"/>
      <w:bookmarkStart w:id="368" w:name="_Toc184310323"/>
      <w:bookmarkEnd w:id="368"/>
      <w:bookmarkStart w:id="369" w:name="_Toc184310278"/>
      <w:bookmarkEnd w:id="369"/>
      <w:bookmarkStart w:id="370" w:name="_Toc184312081"/>
      <w:bookmarkEnd w:id="370"/>
      <w:bookmarkStart w:id="371" w:name="_Toc184312070"/>
      <w:bookmarkEnd w:id="371"/>
      <w:bookmarkStart w:id="372" w:name="_Toc184310329"/>
      <w:bookmarkEnd w:id="372"/>
      <w:bookmarkStart w:id="373" w:name="_Toc184314460"/>
      <w:bookmarkEnd w:id="373"/>
      <w:bookmarkStart w:id="374" w:name="_Toc184313268"/>
      <w:bookmarkEnd w:id="374"/>
      <w:bookmarkStart w:id="375" w:name="_Toc184308089"/>
      <w:bookmarkEnd w:id="375"/>
      <w:bookmarkStart w:id="376" w:name="_Toc184310321"/>
      <w:bookmarkEnd w:id="376"/>
      <w:bookmarkStart w:id="377" w:name="_Toc184312113"/>
      <w:bookmarkEnd w:id="377"/>
      <w:bookmarkStart w:id="378" w:name="_Toc184308097"/>
      <w:bookmarkEnd w:id="378"/>
      <w:bookmarkStart w:id="379" w:name="_Toc184312105"/>
      <w:bookmarkEnd w:id="379"/>
      <w:bookmarkStart w:id="380" w:name="_Toc184308092"/>
      <w:bookmarkEnd w:id="380"/>
      <w:bookmarkStart w:id="381" w:name="_Toc184310281"/>
      <w:bookmarkEnd w:id="381"/>
      <w:r>
        <w:rPr>
          <w:rFonts w:hint="eastAsia" w:ascii="宋体" w:hAnsi="宋体" w:eastAsia="宋体" w:cs="宋体"/>
          <w:color w:val="auto"/>
          <w:kern w:val="2"/>
          <w:sz w:val="32"/>
          <w:szCs w:val="32"/>
          <w:highlight w:val="none"/>
          <w:lang w:val="en-US" w:eastAsia="zh-CN" w:bidi="ar-SA"/>
        </w:rPr>
        <w:t>评标办法</w:t>
      </w:r>
    </w:p>
    <w:p w14:paraId="09B58427">
      <w:pPr>
        <w:ind w:firstLine="361" w:firstLineChars="150"/>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b/>
          <w:bCs/>
          <w:sz w:val="24"/>
        </w:rPr>
        <w:t>1、商务技术分（85分）</w:t>
      </w:r>
    </w:p>
    <w:tbl>
      <w:tblPr>
        <w:tblStyle w:val="63"/>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586"/>
        <w:gridCol w:w="445"/>
        <w:gridCol w:w="5836"/>
        <w:gridCol w:w="729"/>
        <w:gridCol w:w="1014"/>
      </w:tblGrid>
      <w:tr w14:paraId="5057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087" w:type="dxa"/>
            <w:gridSpan w:val="4"/>
            <w:noWrap w:val="0"/>
            <w:vAlign w:val="center"/>
          </w:tcPr>
          <w:p w14:paraId="5693C32C">
            <w:pPr>
              <w:spacing w:line="400" w:lineRule="exact"/>
              <w:jc w:val="center"/>
              <w:rPr>
                <w:rFonts w:hint="eastAsia" w:ascii="宋体" w:hAnsi="宋体" w:eastAsia="宋体" w:cs="宋体"/>
                <w:sz w:val="24"/>
              </w:rPr>
            </w:pPr>
            <w:r>
              <w:rPr>
                <w:rFonts w:hint="eastAsia" w:ascii="宋体" w:hAnsi="宋体" w:eastAsia="宋体" w:cs="宋体"/>
                <w:sz w:val="24"/>
              </w:rPr>
              <w:t>评审内容及分值</w:t>
            </w:r>
          </w:p>
        </w:tc>
        <w:tc>
          <w:tcPr>
            <w:tcW w:w="729" w:type="dxa"/>
            <w:noWrap w:val="0"/>
            <w:vAlign w:val="center"/>
          </w:tcPr>
          <w:p w14:paraId="7663EA3D">
            <w:pPr>
              <w:spacing w:line="400" w:lineRule="exact"/>
              <w:jc w:val="center"/>
              <w:rPr>
                <w:rFonts w:hint="eastAsia" w:ascii="宋体" w:hAnsi="宋体" w:eastAsia="宋体" w:cs="宋体"/>
                <w:sz w:val="24"/>
              </w:rPr>
            </w:pPr>
            <w:r>
              <w:rPr>
                <w:rFonts w:hint="eastAsia" w:ascii="宋体" w:hAnsi="宋体" w:eastAsia="宋体" w:cs="宋体"/>
                <w:sz w:val="24"/>
              </w:rPr>
              <w:t>权值</w:t>
            </w:r>
          </w:p>
        </w:tc>
        <w:tc>
          <w:tcPr>
            <w:tcW w:w="1014" w:type="dxa"/>
            <w:noWrap w:val="0"/>
            <w:vAlign w:val="center"/>
          </w:tcPr>
          <w:p w14:paraId="27967A94">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主/客</w:t>
            </w:r>
          </w:p>
          <w:p w14:paraId="6A42FD49">
            <w:pPr>
              <w:spacing w:line="400" w:lineRule="exact"/>
              <w:jc w:val="center"/>
              <w:rPr>
                <w:rFonts w:hint="eastAsia" w:ascii="宋体" w:hAnsi="宋体" w:eastAsia="宋体" w:cs="宋体"/>
                <w:sz w:val="24"/>
              </w:rPr>
            </w:pPr>
            <w:r>
              <w:rPr>
                <w:rFonts w:hint="eastAsia" w:ascii="宋体" w:hAnsi="宋体" w:eastAsia="宋体" w:cs="宋体"/>
                <w:kern w:val="0"/>
                <w:sz w:val="24"/>
              </w:rPr>
              <w:t>观分</w:t>
            </w:r>
          </w:p>
        </w:tc>
      </w:tr>
      <w:tr w14:paraId="17952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220" w:type="dxa"/>
            <w:noWrap w:val="0"/>
            <w:vAlign w:val="center"/>
          </w:tcPr>
          <w:p w14:paraId="40B12812">
            <w:pPr>
              <w:spacing w:line="400" w:lineRule="exact"/>
              <w:jc w:val="center"/>
              <w:rPr>
                <w:rFonts w:hint="eastAsia" w:ascii="宋体" w:hAnsi="宋体" w:eastAsia="宋体" w:cs="宋体"/>
                <w:sz w:val="24"/>
              </w:rPr>
            </w:pPr>
            <w:r>
              <w:rPr>
                <w:rFonts w:hint="eastAsia" w:ascii="宋体" w:hAnsi="宋体" w:eastAsia="宋体" w:cs="宋体"/>
                <w:sz w:val="24"/>
              </w:rPr>
              <w:t>商务</w:t>
            </w:r>
          </w:p>
          <w:p w14:paraId="5FA1C1A3">
            <w:pPr>
              <w:spacing w:line="400" w:lineRule="exact"/>
              <w:jc w:val="center"/>
              <w:rPr>
                <w:rFonts w:hint="eastAsia" w:ascii="宋体" w:hAnsi="宋体" w:eastAsia="宋体" w:cs="宋体"/>
                <w:sz w:val="24"/>
              </w:rPr>
            </w:pPr>
            <w:r>
              <w:rPr>
                <w:rFonts w:hint="eastAsia" w:ascii="宋体" w:hAnsi="宋体" w:eastAsia="宋体" w:cs="宋体"/>
                <w:sz w:val="24"/>
              </w:rPr>
              <w:t>资信</w:t>
            </w:r>
          </w:p>
          <w:p w14:paraId="614A7770">
            <w:pPr>
              <w:spacing w:line="400" w:lineRule="exact"/>
              <w:jc w:val="center"/>
              <w:rPr>
                <w:rFonts w:hint="eastAsia" w:ascii="宋体" w:hAnsi="宋体" w:eastAsia="宋体" w:cs="宋体"/>
                <w:sz w:val="24"/>
                <w:lang w:eastAsia="zh-CN"/>
              </w:rPr>
            </w:pP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lang w:val="en-US" w:eastAsia="zh-CN"/>
              </w:rPr>
              <w:t>1分</w:t>
            </w:r>
            <w:r>
              <w:rPr>
                <w:rFonts w:hint="eastAsia" w:ascii="宋体" w:hAnsi="宋体" w:eastAsia="宋体" w:cs="宋体"/>
                <w:sz w:val="24"/>
                <w:lang w:eastAsia="zh-CN"/>
              </w:rPr>
              <w:t>）</w:t>
            </w:r>
          </w:p>
        </w:tc>
        <w:tc>
          <w:tcPr>
            <w:tcW w:w="586" w:type="dxa"/>
            <w:noWrap w:val="0"/>
            <w:vAlign w:val="center"/>
          </w:tcPr>
          <w:p w14:paraId="61B02D74">
            <w:pPr>
              <w:spacing w:line="240" w:lineRule="atLeast"/>
              <w:jc w:val="center"/>
              <w:rPr>
                <w:rFonts w:hint="eastAsia" w:ascii="宋体" w:hAnsi="宋体" w:eastAsia="宋体" w:cs="宋体"/>
                <w:bCs/>
                <w:sz w:val="24"/>
              </w:rPr>
            </w:pPr>
            <w:r>
              <w:rPr>
                <w:rFonts w:hint="eastAsia" w:ascii="宋体" w:hAnsi="宋体" w:eastAsia="宋体" w:cs="宋体"/>
                <w:bCs/>
                <w:sz w:val="24"/>
              </w:rPr>
              <w:t>1</w:t>
            </w:r>
          </w:p>
        </w:tc>
        <w:tc>
          <w:tcPr>
            <w:tcW w:w="6281" w:type="dxa"/>
            <w:gridSpan w:val="2"/>
            <w:noWrap w:val="0"/>
            <w:vAlign w:val="center"/>
          </w:tcPr>
          <w:p w14:paraId="0B3E617B">
            <w:pPr>
              <w:widowControl/>
              <w:spacing w:line="240" w:lineRule="atLeast"/>
              <w:jc w:val="left"/>
              <w:rPr>
                <w:rFonts w:hint="eastAsia" w:ascii="宋体" w:hAnsi="宋体" w:eastAsia="宋体" w:cs="宋体"/>
                <w:bCs/>
                <w:sz w:val="24"/>
              </w:rPr>
            </w:pPr>
            <w:r>
              <w:rPr>
                <w:rFonts w:hint="eastAsia" w:ascii="宋体" w:hAnsi="宋体" w:eastAsia="宋体" w:cs="宋体"/>
                <w:bCs/>
                <w:sz w:val="24"/>
              </w:rPr>
              <w:t>供应商自202</w:t>
            </w:r>
            <w:r>
              <w:rPr>
                <w:rFonts w:hint="eastAsia" w:ascii="宋体" w:hAnsi="宋体" w:eastAsia="宋体" w:cs="宋体"/>
                <w:bCs/>
                <w:sz w:val="24"/>
                <w:lang w:val="en-US" w:eastAsia="zh-CN"/>
              </w:rPr>
              <w:t>1</w:t>
            </w:r>
            <w:r>
              <w:rPr>
                <w:rFonts w:hint="eastAsia" w:ascii="宋体" w:hAnsi="宋体" w:eastAsia="宋体" w:cs="宋体"/>
                <w:bCs/>
                <w:sz w:val="24"/>
              </w:rPr>
              <w:t>年1月1日以来，完成过类似项目的，每提供1个得0.5分，最高得1分。（时间以合同签订日期为准，提供合同复印件加盖公章）</w:t>
            </w:r>
          </w:p>
        </w:tc>
        <w:tc>
          <w:tcPr>
            <w:tcW w:w="729" w:type="dxa"/>
            <w:noWrap w:val="0"/>
            <w:vAlign w:val="center"/>
          </w:tcPr>
          <w:p w14:paraId="3CC881D3">
            <w:pPr>
              <w:spacing w:before="120" w:after="120" w:line="240" w:lineRule="atLeast"/>
              <w:jc w:val="center"/>
              <w:rPr>
                <w:rFonts w:hint="eastAsia" w:ascii="宋体" w:hAnsi="宋体" w:eastAsia="宋体" w:cs="宋体"/>
                <w:bCs/>
                <w:sz w:val="24"/>
              </w:rPr>
            </w:pPr>
            <w:r>
              <w:rPr>
                <w:rFonts w:hint="eastAsia" w:ascii="宋体" w:hAnsi="宋体" w:eastAsia="宋体" w:cs="宋体"/>
                <w:bCs/>
                <w:sz w:val="24"/>
                <w:lang w:val="en-US" w:eastAsia="zh-CN"/>
              </w:rPr>
              <w:t>0-</w:t>
            </w:r>
            <w:r>
              <w:rPr>
                <w:rFonts w:hint="eastAsia" w:ascii="宋体" w:hAnsi="宋体" w:eastAsia="宋体" w:cs="宋体"/>
                <w:bCs/>
                <w:sz w:val="24"/>
              </w:rPr>
              <w:t>1</w:t>
            </w:r>
          </w:p>
        </w:tc>
        <w:tc>
          <w:tcPr>
            <w:tcW w:w="1014" w:type="dxa"/>
            <w:noWrap w:val="0"/>
            <w:vAlign w:val="center"/>
          </w:tcPr>
          <w:p w14:paraId="741B8153">
            <w:pPr>
              <w:spacing w:line="240" w:lineRule="atLeast"/>
              <w:jc w:val="center"/>
              <w:rPr>
                <w:rFonts w:hint="eastAsia" w:ascii="宋体" w:hAnsi="宋体" w:eastAsia="宋体" w:cs="宋体"/>
                <w:bCs/>
                <w:sz w:val="24"/>
              </w:rPr>
            </w:pPr>
            <w:r>
              <w:rPr>
                <w:rFonts w:hint="eastAsia" w:ascii="宋体" w:hAnsi="宋体" w:eastAsia="宋体" w:cs="宋体"/>
                <w:bCs/>
                <w:sz w:val="24"/>
              </w:rPr>
              <w:t>客观分</w:t>
            </w:r>
          </w:p>
        </w:tc>
      </w:tr>
      <w:tr w14:paraId="2486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220" w:type="dxa"/>
            <w:vMerge w:val="restart"/>
            <w:noWrap w:val="0"/>
            <w:vAlign w:val="center"/>
          </w:tcPr>
          <w:p w14:paraId="5CEE5BB2">
            <w:pPr>
              <w:spacing w:line="400" w:lineRule="exact"/>
              <w:jc w:val="center"/>
              <w:rPr>
                <w:rFonts w:hint="eastAsia" w:ascii="宋体" w:hAnsi="宋体" w:eastAsia="宋体" w:cs="宋体"/>
                <w:sz w:val="24"/>
              </w:rPr>
            </w:pPr>
            <w:r>
              <w:rPr>
                <w:rFonts w:hint="eastAsia" w:ascii="宋体" w:hAnsi="宋体" w:eastAsia="宋体" w:cs="宋体"/>
                <w:sz w:val="24"/>
              </w:rPr>
              <w:t>技术</w:t>
            </w:r>
          </w:p>
          <w:p w14:paraId="65B9B56D">
            <w:pPr>
              <w:spacing w:line="400" w:lineRule="exact"/>
              <w:jc w:val="center"/>
              <w:rPr>
                <w:rFonts w:hint="eastAsia" w:ascii="宋体" w:hAnsi="宋体" w:eastAsia="宋体" w:cs="宋体"/>
                <w:sz w:val="24"/>
                <w:lang w:eastAsia="zh-CN"/>
              </w:rPr>
            </w:pP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lang w:val="en-US" w:eastAsia="zh-CN"/>
              </w:rPr>
              <w:t>84分</w:t>
            </w:r>
            <w:r>
              <w:rPr>
                <w:rFonts w:hint="eastAsia" w:ascii="宋体" w:hAnsi="宋体" w:eastAsia="宋体" w:cs="宋体"/>
                <w:sz w:val="24"/>
                <w:lang w:eastAsia="zh-CN"/>
              </w:rPr>
              <w:t>）</w:t>
            </w:r>
          </w:p>
        </w:tc>
        <w:tc>
          <w:tcPr>
            <w:tcW w:w="586" w:type="dxa"/>
            <w:noWrap w:val="0"/>
            <w:vAlign w:val="center"/>
          </w:tcPr>
          <w:p w14:paraId="3A8DF2DA">
            <w:pPr>
              <w:spacing w:line="240" w:lineRule="atLeast"/>
              <w:jc w:val="center"/>
              <w:rPr>
                <w:rFonts w:hint="eastAsia" w:ascii="宋体" w:hAnsi="宋体" w:eastAsia="宋体" w:cs="宋体"/>
                <w:sz w:val="24"/>
              </w:rPr>
            </w:pPr>
            <w:r>
              <w:rPr>
                <w:rFonts w:hint="eastAsia" w:ascii="宋体" w:hAnsi="宋体" w:eastAsia="宋体" w:cs="宋体"/>
                <w:sz w:val="24"/>
              </w:rPr>
              <w:t>2</w:t>
            </w:r>
          </w:p>
        </w:tc>
        <w:tc>
          <w:tcPr>
            <w:tcW w:w="6281" w:type="dxa"/>
            <w:gridSpan w:val="2"/>
            <w:noWrap w:val="0"/>
            <w:vAlign w:val="center"/>
          </w:tcPr>
          <w:p w14:paraId="2F20F4CB">
            <w:pPr>
              <w:widowControl/>
              <w:spacing w:line="240" w:lineRule="atLeast"/>
              <w:jc w:val="left"/>
              <w:rPr>
                <w:rFonts w:hint="eastAsia" w:ascii="宋体" w:hAnsi="宋体" w:eastAsia="宋体" w:cs="宋体"/>
                <w:bCs/>
                <w:sz w:val="24"/>
              </w:rPr>
            </w:pPr>
            <w:r>
              <w:rPr>
                <w:rFonts w:hint="eastAsia" w:ascii="宋体" w:hAnsi="宋体" w:eastAsia="宋体" w:cs="宋体"/>
                <w:bCs/>
                <w:sz w:val="24"/>
              </w:rPr>
              <w:t>响应方案的合理性、科学性、全面性：根据对项目的理解程度、总体设计、组织实施、独到优势等情况综合评定对比打分。</w:t>
            </w:r>
          </w:p>
          <w:p w14:paraId="36F8622F">
            <w:pPr>
              <w:widowControl/>
              <w:spacing w:line="240" w:lineRule="atLeast"/>
              <w:jc w:val="left"/>
              <w:rPr>
                <w:rFonts w:hint="eastAsia" w:ascii="宋体" w:hAnsi="宋体" w:eastAsia="宋体" w:cs="宋体"/>
                <w:bCs/>
                <w:sz w:val="24"/>
              </w:rPr>
            </w:pPr>
            <w:r>
              <w:rPr>
                <w:rFonts w:hint="eastAsia" w:ascii="宋体" w:hAnsi="宋体" w:eastAsia="宋体" w:cs="宋体"/>
                <w:bCs/>
                <w:sz w:val="24"/>
                <w:lang w:val="en-US" w:eastAsia="zh-CN"/>
              </w:rPr>
              <w:t>（方案详细完善的得4.1-6分，方案较详细完善的得2.1-4分，方案不够详细完善的得0-2分）</w:t>
            </w:r>
          </w:p>
        </w:tc>
        <w:tc>
          <w:tcPr>
            <w:tcW w:w="729" w:type="dxa"/>
            <w:noWrap w:val="0"/>
            <w:vAlign w:val="center"/>
          </w:tcPr>
          <w:p w14:paraId="07E9F194">
            <w:pPr>
              <w:spacing w:line="240" w:lineRule="atLeast"/>
              <w:jc w:val="center"/>
              <w:rPr>
                <w:rFonts w:hint="eastAsia" w:ascii="宋体" w:hAnsi="宋体" w:eastAsia="宋体" w:cs="宋体"/>
                <w:sz w:val="24"/>
                <w:lang w:eastAsia="zh-CN"/>
              </w:rPr>
            </w:pPr>
            <w:r>
              <w:rPr>
                <w:rFonts w:hint="eastAsia" w:ascii="宋体" w:hAnsi="宋体" w:eastAsia="宋体" w:cs="宋体"/>
                <w:sz w:val="24"/>
                <w:lang w:val="en-US" w:eastAsia="zh-CN"/>
              </w:rPr>
              <w:t>0-6</w:t>
            </w:r>
          </w:p>
        </w:tc>
        <w:tc>
          <w:tcPr>
            <w:tcW w:w="1014" w:type="dxa"/>
            <w:noWrap w:val="0"/>
            <w:vAlign w:val="center"/>
          </w:tcPr>
          <w:p w14:paraId="5218D275">
            <w:pPr>
              <w:spacing w:line="240" w:lineRule="atLeast"/>
              <w:jc w:val="center"/>
              <w:rPr>
                <w:rFonts w:hint="eastAsia" w:ascii="宋体" w:hAnsi="宋体" w:eastAsia="宋体" w:cs="宋体"/>
                <w:sz w:val="24"/>
              </w:rPr>
            </w:pPr>
            <w:r>
              <w:rPr>
                <w:rFonts w:hint="eastAsia" w:ascii="宋体" w:hAnsi="宋体" w:eastAsia="宋体" w:cs="宋体"/>
                <w:sz w:val="24"/>
              </w:rPr>
              <w:t>主观分</w:t>
            </w:r>
          </w:p>
        </w:tc>
      </w:tr>
      <w:tr w14:paraId="27E42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220" w:type="dxa"/>
            <w:vMerge w:val="continue"/>
            <w:noWrap w:val="0"/>
            <w:vAlign w:val="center"/>
          </w:tcPr>
          <w:p w14:paraId="3338AC21">
            <w:pPr>
              <w:spacing w:line="400" w:lineRule="exact"/>
              <w:jc w:val="center"/>
              <w:rPr>
                <w:rFonts w:hint="eastAsia" w:ascii="宋体" w:hAnsi="宋体" w:eastAsia="宋体" w:cs="宋体"/>
                <w:sz w:val="24"/>
              </w:rPr>
            </w:pPr>
          </w:p>
        </w:tc>
        <w:tc>
          <w:tcPr>
            <w:tcW w:w="586" w:type="dxa"/>
            <w:noWrap w:val="0"/>
            <w:vAlign w:val="center"/>
          </w:tcPr>
          <w:p w14:paraId="011AFF5F">
            <w:pPr>
              <w:pStyle w:val="6"/>
              <w:spacing w:line="240" w:lineRule="atLeast"/>
              <w:jc w:val="center"/>
              <w:rPr>
                <w:rFonts w:hint="eastAsia" w:ascii="宋体" w:hAnsi="宋体" w:eastAsia="宋体" w:cs="宋体"/>
                <w:b w:val="0"/>
                <w:sz w:val="24"/>
                <w:szCs w:val="24"/>
                <w:lang w:val="en-US"/>
              </w:rPr>
            </w:pPr>
            <w:r>
              <w:rPr>
                <w:rFonts w:hint="eastAsia" w:ascii="宋体" w:hAnsi="宋体" w:eastAsia="宋体" w:cs="宋体"/>
                <w:b w:val="0"/>
                <w:sz w:val="24"/>
                <w:szCs w:val="24"/>
                <w:lang w:val="en-US"/>
              </w:rPr>
              <w:t>3</w:t>
            </w:r>
          </w:p>
        </w:tc>
        <w:tc>
          <w:tcPr>
            <w:tcW w:w="6281" w:type="dxa"/>
            <w:gridSpan w:val="2"/>
            <w:noWrap w:val="0"/>
            <w:vAlign w:val="center"/>
          </w:tcPr>
          <w:p w14:paraId="68AB7AB1">
            <w:pPr>
              <w:widowControl/>
              <w:spacing w:line="240" w:lineRule="atLeast"/>
              <w:jc w:val="left"/>
              <w:rPr>
                <w:rFonts w:hint="eastAsia" w:ascii="宋体" w:hAnsi="宋体" w:eastAsia="宋体" w:cs="宋体"/>
                <w:bCs/>
                <w:sz w:val="24"/>
                <w:lang w:val="zh-CN"/>
              </w:rPr>
            </w:pPr>
            <w:r>
              <w:rPr>
                <w:rFonts w:hint="eastAsia" w:ascii="宋体" w:hAnsi="宋体" w:eastAsia="宋体" w:cs="宋体"/>
                <w:bCs/>
                <w:sz w:val="24"/>
              </w:rPr>
              <w:t>根</w:t>
            </w:r>
            <w:r>
              <w:rPr>
                <w:rFonts w:hint="eastAsia" w:ascii="宋体" w:hAnsi="宋体" w:eastAsia="宋体" w:cs="宋体"/>
                <w:bCs/>
                <w:sz w:val="24"/>
                <w:lang w:val="zh-CN"/>
              </w:rPr>
              <w:t>据供应商提供的管理方案具有完备的管理组织、完善的项目实施规范和可行的管理制度等综合评定对比打分。</w:t>
            </w:r>
          </w:p>
          <w:p w14:paraId="37ABCDD0">
            <w:pPr>
              <w:widowControl/>
              <w:spacing w:line="240" w:lineRule="atLeast"/>
              <w:jc w:val="left"/>
              <w:rPr>
                <w:rFonts w:hint="eastAsia" w:ascii="宋体" w:hAnsi="宋体" w:eastAsia="宋体" w:cs="宋体"/>
                <w:bCs/>
                <w:sz w:val="24"/>
                <w:lang w:val="en-US"/>
              </w:rPr>
            </w:pPr>
            <w:r>
              <w:rPr>
                <w:rFonts w:hint="eastAsia" w:ascii="宋体" w:hAnsi="宋体" w:eastAsia="宋体" w:cs="宋体"/>
                <w:bCs/>
                <w:sz w:val="24"/>
                <w:lang w:val="en-US" w:eastAsia="zh-CN"/>
              </w:rPr>
              <w:t>（方案详细完善的得4.1-6分，方案较详细完善的得2.1-4分，方案不够详细完善的得0-2分）</w:t>
            </w:r>
          </w:p>
        </w:tc>
        <w:tc>
          <w:tcPr>
            <w:tcW w:w="729" w:type="dxa"/>
            <w:noWrap w:val="0"/>
            <w:vAlign w:val="center"/>
          </w:tcPr>
          <w:p w14:paraId="6CC79EF9">
            <w:pPr>
              <w:spacing w:line="240" w:lineRule="atLeast"/>
              <w:jc w:val="center"/>
              <w:rPr>
                <w:rFonts w:hint="eastAsia" w:ascii="宋体" w:hAnsi="宋体" w:eastAsia="宋体" w:cs="宋体"/>
                <w:bCs/>
                <w:sz w:val="24"/>
                <w:lang w:eastAsia="zh-CN"/>
              </w:rPr>
            </w:pPr>
            <w:r>
              <w:rPr>
                <w:rFonts w:hint="eastAsia" w:ascii="宋体" w:hAnsi="宋体" w:eastAsia="宋体" w:cs="宋体"/>
                <w:bCs/>
                <w:sz w:val="24"/>
                <w:lang w:val="en-US" w:eastAsia="zh-CN"/>
              </w:rPr>
              <w:t>0-6</w:t>
            </w:r>
          </w:p>
        </w:tc>
        <w:tc>
          <w:tcPr>
            <w:tcW w:w="1014" w:type="dxa"/>
            <w:noWrap w:val="0"/>
            <w:vAlign w:val="center"/>
          </w:tcPr>
          <w:p w14:paraId="55B1FD25">
            <w:pPr>
              <w:spacing w:line="240" w:lineRule="atLeast"/>
              <w:jc w:val="center"/>
              <w:rPr>
                <w:rFonts w:hint="eastAsia" w:ascii="宋体" w:hAnsi="宋体" w:eastAsia="宋体" w:cs="宋体"/>
                <w:bCs/>
                <w:sz w:val="24"/>
              </w:rPr>
            </w:pPr>
            <w:r>
              <w:rPr>
                <w:rFonts w:hint="eastAsia" w:ascii="宋体" w:hAnsi="宋体" w:eastAsia="宋体" w:cs="宋体"/>
                <w:bCs/>
                <w:sz w:val="24"/>
              </w:rPr>
              <w:t>主观分</w:t>
            </w:r>
          </w:p>
        </w:tc>
      </w:tr>
      <w:tr w14:paraId="1FFC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20" w:type="dxa"/>
            <w:vMerge w:val="continue"/>
            <w:noWrap w:val="0"/>
            <w:vAlign w:val="center"/>
          </w:tcPr>
          <w:p w14:paraId="22B15612">
            <w:pPr>
              <w:spacing w:line="400" w:lineRule="exact"/>
              <w:jc w:val="center"/>
              <w:rPr>
                <w:rFonts w:hint="eastAsia" w:ascii="宋体" w:hAnsi="宋体" w:eastAsia="宋体" w:cs="宋体"/>
                <w:sz w:val="24"/>
              </w:rPr>
            </w:pPr>
          </w:p>
        </w:tc>
        <w:tc>
          <w:tcPr>
            <w:tcW w:w="586" w:type="dxa"/>
            <w:noWrap w:val="0"/>
            <w:vAlign w:val="center"/>
          </w:tcPr>
          <w:p w14:paraId="7A023464">
            <w:pPr>
              <w:widowControl/>
              <w:spacing w:line="240" w:lineRule="atLeast"/>
              <w:jc w:val="center"/>
              <w:rPr>
                <w:rFonts w:hint="eastAsia" w:ascii="宋体" w:hAnsi="宋体" w:eastAsia="宋体" w:cs="宋体"/>
                <w:sz w:val="24"/>
              </w:rPr>
            </w:pPr>
            <w:r>
              <w:rPr>
                <w:rFonts w:hint="eastAsia" w:ascii="宋体" w:hAnsi="宋体" w:eastAsia="宋体" w:cs="宋体"/>
                <w:sz w:val="24"/>
              </w:rPr>
              <w:t>4</w:t>
            </w:r>
          </w:p>
        </w:tc>
        <w:tc>
          <w:tcPr>
            <w:tcW w:w="6281" w:type="dxa"/>
            <w:gridSpan w:val="2"/>
            <w:noWrap w:val="0"/>
            <w:vAlign w:val="center"/>
          </w:tcPr>
          <w:p w14:paraId="2D1C784F">
            <w:pPr>
              <w:widowControl/>
              <w:spacing w:line="240" w:lineRule="atLeast"/>
              <w:jc w:val="left"/>
              <w:rPr>
                <w:rFonts w:hint="eastAsia" w:ascii="宋体" w:hAnsi="宋体" w:eastAsia="宋体" w:cs="宋体"/>
                <w:bCs/>
                <w:sz w:val="24"/>
                <w:lang w:val="zh-CN"/>
              </w:rPr>
            </w:pPr>
            <w:r>
              <w:rPr>
                <w:rFonts w:hint="eastAsia" w:ascii="宋体" w:hAnsi="宋体" w:eastAsia="宋体" w:cs="宋体"/>
                <w:bCs/>
                <w:sz w:val="24"/>
                <w:lang w:val="zh-CN"/>
              </w:rPr>
              <w:t>根据供应商提供的技术培训方案可行性及合理性等情况综合评定对比打分。</w:t>
            </w:r>
          </w:p>
          <w:p w14:paraId="0E368943">
            <w:pPr>
              <w:widowControl/>
              <w:spacing w:line="240" w:lineRule="atLeast"/>
              <w:jc w:val="left"/>
              <w:rPr>
                <w:rFonts w:hint="eastAsia" w:ascii="宋体" w:hAnsi="宋体" w:eastAsia="宋体" w:cs="宋体"/>
                <w:bCs/>
                <w:sz w:val="24"/>
                <w:lang w:val="zh-CN"/>
              </w:rPr>
            </w:pPr>
            <w:r>
              <w:rPr>
                <w:rFonts w:hint="eastAsia" w:ascii="宋体" w:hAnsi="宋体" w:eastAsia="宋体" w:cs="宋体"/>
                <w:bCs/>
                <w:sz w:val="24"/>
                <w:lang w:val="en-US" w:eastAsia="zh-CN"/>
              </w:rPr>
              <w:t>（方案详细完善的得4.1-6分，方案较详细完善的得2.1-4分，方案不够详细完善的得0-2分）</w:t>
            </w:r>
          </w:p>
        </w:tc>
        <w:tc>
          <w:tcPr>
            <w:tcW w:w="729" w:type="dxa"/>
            <w:noWrap w:val="0"/>
            <w:vAlign w:val="center"/>
          </w:tcPr>
          <w:p w14:paraId="77E125D1">
            <w:pPr>
              <w:spacing w:line="240" w:lineRule="atLeast"/>
              <w:jc w:val="center"/>
              <w:rPr>
                <w:rFonts w:hint="eastAsia" w:ascii="宋体" w:hAnsi="宋体" w:eastAsia="宋体" w:cs="宋体"/>
                <w:bCs/>
                <w:sz w:val="24"/>
                <w:lang w:eastAsia="zh-CN"/>
              </w:rPr>
            </w:pPr>
            <w:r>
              <w:rPr>
                <w:rFonts w:hint="eastAsia" w:ascii="宋体" w:hAnsi="宋体" w:eastAsia="宋体" w:cs="宋体"/>
                <w:bCs/>
                <w:sz w:val="24"/>
                <w:lang w:val="en-US" w:eastAsia="zh-CN"/>
              </w:rPr>
              <w:t>0-6</w:t>
            </w:r>
          </w:p>
        </w:tc>
        <w:tc>
          <w:tcPr>
            <w:tcW w:w="1014" w:type="dxa"/>
            <w:noWrap w:val="0"/>
            <w:vAlign w:val="center"/>
          </w:tcPr>
          <w:p w14:paraId="6CA2D194">
            <w:pPr>
              <w:spacing w:line="240" w:lineRule="atLeast"/>
              <w:jc w:val="center"/>
              <w:rPr>
                <w:rFonts w:hint="eastAsia" w:ascii="宋体" w:hAnsi="宋体" w:eastAsia="宋体" w:cs="宋体"/>
                <w:bCs/>
                <w:sz w:val="24"/>
              </w:rPr>
            </w:pPr>
            <w:r>
              <w:rPr>
                <w:rFonts w:hint="eastAsia" w:ascii="宋体" w:hAnsi="宋体" w:eastAsia="宋体" w:cs="宋体"/>
                <w:bCs/>
                <w:sz w:val="24"/>
              </w:rPr>
              <w:t>主观分</w:t>
            </w:r>
          </w:p>
        </w:tc>
      </w:tr>
      <w:tr w14:paraId="426B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220" w:type="dxa"/>
            <w:vMerge w:val="continue"/>
            <w:noWrap w:val="0"/>
            <w:vAlign w:val="center"/>
          </w:tcPr>
          <w:p w14:paraId="047A85AD">
            <w:pPr>
              <w:spacing w:line="400" w:lineRule="exact"/>
              <w:jc w:val="center"/>
              <w:rPr>
                <w:rFonts w:hint="eastAsia" w:ascii="宋体" w:hAnsi="宋体" w:eastAsia="宋体" w:cs="宋体"/>
                <w:sz w:val="24"/>
              </w:rPr>
            </w:pPr>
          </w:p>
        </w:tc>
        <w:tc>
          <w:tcPr>
            <w:tcW w:w="586" w:type="dxa"/>
            <w:noWrap w:val="0"/>
            <w:vAlign w:val="center"/>
          </w:tcPr>
          <w:p w14:paraId="7F59FC6D">
            <w:pPr>
              <w:widowControl/>
              <w:spacing w:line="240" w:lineRule="atLeast"/>
              <w:jc w:val="center"/>
              <w:rPr>
                <w:rFonts w:hint="eastAsia" w:ascii="宋体" w:hAnsi="宋体" w:eastAsia="宋体" w:cs="宋体"/>
                <w:sz w:val="24"/>
              </w:rPr>
            </w:pPr>
            <w:r>
              <w:rPr>
                <w:rFonts w:hint="eastAsia" w:ascii="宋体" w:hAnsi="宋体" w:eastAsia="宋体" w:cs="宋体"/>
                <w:sz w:val="24"/>
              </w:rPr>
              <w:t>5</w:t>
            </w:r>
          </w:p>
        </w:tc>
        <w:tc>
          <w:tcPr>
            <w:tcW w:w="6281" w:type="dxa"/>
            <w:gridSpan w:val="2"/>
            <w:noWrap w:val="0"/>
            <w:vAlign w:val="center"/>
          </w:tcPr>
          <w:p w14:paraId="34373513">
            <w:pPr>
              <w:widowControl/>
              <w:spacing w:line="240" w:lineRule="atLeast"/>
              <w:jc w:val="left"/>
              <w:rPr>
                <w:rFonts w:hint="eastAsia" w:ascii="宋体" w:hAnsi="宋体" w:eastAsia="宋体" w:cs="宋体"/>
                <w:bCs/>
                <w:sz w:val="24"/>
                <w:lang w:val="zh-CN" w:eastAsia="zh-CN"/>
              </w:rPr>
            </w:pPr>
            <w:r>
              <w:rPr>
                <w:rFonts w:hint="eastAsia" w:ascii="宋体" w:hAnsi="宋体" w:eastAsia="宋体" w:cs="宋体"/>
                <w:bCs/>
                <w:sz w:val="24"/>
              </w:rPr>
              <w:t>根据</w:t>
            </w:r>
            <w:r>
              <w:rPr>
                <w:rFonts w:hint="eastAsia" w:ascii="宋体" w:hAnsi="宋体" w:eastAsia="宋体" w:cs="宋体"/>
                <w:bCs/>
                <w:sz w:val="24"/>
                <w:lang w:val="zh-CN"/>
              </w:rPr>
              <w:t>供应商</w:t>
            </w:r>
            <w:r>
              <w:rPr>
                <w:rFonts w:hint="eastAsia" w:ascii="宋体" w:hAnsi="宋体" w:eastAsia="宋体" w:cs="宋体"/>
                <w:bCs/>
                <w:sz w:val="24"/>
              </w:rPr>
              <w:t>提供的质量保障措施方案等情况，酌情打分。</w:t>
            </w:r>
            <w:r>
              <w:rPr>
                <w:rFonts w:hint="eastAsia" w:ascii="宋体" w:hAnsi="宋体" w:eastAsia="宋体" w:cs="宋体"/>
                <w:bCs/>
                <w:sz w:val="24"/>
                <w:lang w:val="en-US" w:eastAsia="zh-CN"/>
              </w:rPr>
              <w:t>（方案详细完善的得4.1-6分，方案较详细完善的得2.1-4分，方案不够详细完善的得0-2分）</w:t>
            </w:r>
          </w:p>
        </w:tc>
        <w:tc>
          <w:tcPr>
            <w:tcW w:w="729" w:type="dxa"/>
            <w:noWrap w:val="0"/>
            <w:vAlign w:val="center"/>
          </w:tcPr>
          <w:p w14:paraId="2A9E8654">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0-6</w:t>
            </w:r>
          </w:p>
        </w:tc>
        <w:tc>
          <w:tcPr>
            <w:tcW w:w="1014" w:type="dxa"/>
            <w:noWrap w:val="0"/>
            <w:vAlign w:val="center"/>
          </w:tcPr>
          <w:p w14:paraId="1A28E3B4">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主观分</w:t>
            </w:r>
          </w:p>
        </w:tc>
      </w:tr>
      <w:tr w14:paraId="6F87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220" w:type="dxa"/>
            <w:vMerge w:val="continue"/>
            <w:noWrap w:val="0"/>
            <w:vAlign w:val="center"/>
          </w:tcPr>
          <w:p w14:paraId="329D39FA">
            <w:pPr>
              <w:spacing w:line="400" w:lineRule="exact"/>
              <w:jc w:val="center"/>
              <w:rPr>
                <w:rFonts w:hint="eastAsia" w:ascii="宋体" w:hAnsi="宋体" w:eastAsia="宋体" w:cs="宋体"/>
                <w:sz w:val="24"/>
              </w:rPr>
            </w:pPr>
          </w:p>
        </w:tc>
        <w:tc>
          <w:tcPr>
            <w:tcW w:w="586" w:type="dxa"/>
            <w:noWrap w:val="0"/>
            <w:vAlign w:val="center"/>
          </w:tcPr>
          <w:p w14:paraId="367E383C">
            <w:pPr>
              <w:widowControl/>
              <w:spacing w:line="240" w:lineRule="atLeast"/>
              <w:jc w:val="center"/>
              <w:rPr>
                <w:rFonts w:hint="eastAsia" w:ascii="宋体" w:hAnsi="宋体" w:eastAsia="宋体" w:cs="宋体"/>
                <w:sz w:val="24"/>
                <w:lang w:val="en-US" w:eastAsia="zh-CN"/>
              </w:rPr>
            </w:pPr>
            <w:r>
              <w:rPr>
                <w:rFonts w:hint="eastAsia" w:ascii="宋体" w:hAnsi="宋体" w:eastAsia="宋体" w:cs="宋体"/>
                <w:sz w:val="24"/>
                <w:lang w:val="en-US" w:eastAsia="zh-CN"/>
              </w:rPr>
              <w:t>6</w:t>
            </w:r>
          </w:p>
        </w:tc>
        <w:tc>
          <w:tcPr>
            <w:tcW w:w="6281" w:type="dxa"/>
            <w:gridSpan w:val="2"/>
            <w:noWrap w:val="0"/>
            <w:vAlign w:val="center"/>
          </w:tcPr>
          <w:p w14:paraId="04C61ACD">
            <w:pPr>
              <w:widowControl/>
              <w:spacing w:line="240" w:lineRule="atLeast"/>
              <w:jc w:val="left"/>
              <w:rPr>
                <w:rFonts w:hint="eastAsia" w:ascii="宋体" w:hAnsi="宋体" w:eastAsia="宋体" w:cs="宋体"/>
                <w:bCs/>
                <w:sz w:val="24"/>
                <w:lang w:val="zh-CN" w:eastAsia="zh-CN"/>
              </w:rPr>
            </w:pPr>
            <w:r>
              <w:rPr>
                <w:rFonts w:hint="eastAsia" w:ascii="宋体" w:hAnsi="宋体" w:eastAsia="宋体" w:cs="宋体"/>
                <w:bCs/>
                <w:sz w:val="24"/>
              </w:rPr>
              <w:t>根据</w:t>
            </w:r>
            <w:r>
              <w:rPr>
                <w:rFonts w:hint="eastAsia" w:ascii="宋体" w:hAnsi="宋体" w:eastAsia="宋体" w:cs="宋体"/>
                <w:bCs/>
                <w:sz w:val="24"/>
                <w:lang w:val="zh-CN"/>
              </w:rPr>
              <w:t>供应商</w:t>
            </w:r>
            <w:r>
              <w:rPr>
                <w:rFonts w:hint="eastAsia" w:ascii="宋体" w:hAnsi="宋体" w:eastAsia="宋体" w:cs="宋体"/>
                <w:bCs/>
                <w:sz w:val="24"/>
              </w:rPr>
              <w:t>提供的</w:t>
            </w:r>
            <w:r>
              <w:rPr>
                <w:rFonts w:hint="eastAsia" w:ascii="宋体" w:hAnsi="宋体" w:eastAsia="宋体" w:cs="宋体"/>
                <w:bCs/>
                <w:sz w:val="24"/>
                <w:lang w:val="en-US" w:eastAsia="zh-CN"/>
              </w:rPr>
              <w:t>进度保证</w:t>
            </w:r>
            <w:r>
              <w:rPr>
                <w:rFonts w:hint="eastAsia" w:ascii="宋体" w:hAnsi="宋体" w:eastAsia="宋体" w:cs="宋体"/>
                <w:bCs/>
                <w:sz w:val="24"/>
              </w:rPr>
              <w:t>措施方案等情况，酌情打分。</w:t>
            </w:r>
            <w:r>
              <w:rPr>
                <w:rFonts w:hint="eastAsia" w:ascii="宋体" w:hAnsi="宋体" w:eastAsia="宋体" w:cs="宋体"/>
                <w:bCs/>
                <w:sz w:val="24"/>
                <w:lang w:val="en-US" w:eastAsia="zh-CN"/>
              </w:rPr>
              <w:t>（方案详细完善的得4.1-6分，方案较详细完善的得2.1-4分，方案不够详细完善的得0-2分）</w:t>
            </w:r>
          </w:p>
        </w:tc>
        <w:tc>
          <w:tcPr>
            <w:tcW w:w="729" w:type="dxa"/>
            <w:noWrap w:val="0"/>
            <w:vAlign w:val="center"/>
          </w:tcPr>
          <w:p w14:paraId="50C54801">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0-6</w:t>
            </w:r>
          </w:p>
        </w:tc>
        <w:tc>
          <w:tcPr>
            <w:tcW w:w="1014" w:type="dxa"/>
            <w:noWrap w:val="0"/>
            <w:vAlign w:val="center"/>
          </w:tcPr>
          <w:p w14:paraId="3F4971F3">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主观分</w:t>
            </w:r>
          </w:p>
        </w:tc>
      </w:tr>
      <w:tr w14:paraId="31AF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220" w:type="dxa"/>
            <w:vMerge w:val="continue"/>
            <w:noWrap w:val="0"/>
            <w:vAlign w:val="center"/>
          </w:tcPr>
          <w:p w14:paraId="5AAA653B">
            <w:pPr>
              <w:spacing w:line="400" w:lineRule="exact"/>
              <w:jc w:val="center"/>
              <w:rPr>
                <w:rFonts w:hint="eastAsia" w:ascii="宋体" w:hAnsi="宋体" w:eastAsia="宋体" w:cs="宋体"/>
                <w:sz w:val="24"/>
              </w:rPr>
            </w:pPr>
          </w:p>
        </w:tc>
        <w:tc>
          <w:tcPr>
            <w:tcW w:w="586" w:type="dxa"/>
            <w:noWrap w:val="0"/>
            <w:vAlign w:val="center"/>
          </w:tcPr>
          <w:p w14:paraId="3C0937CD">
            <w:pPr>
              <w:widowControl/>
              <w:spacing w:line="240" w:lineRule="atLeast"/>
              <w:jc w:val="center"/>
              <w:rPr>
                <w:rFonts w:hint="eastAsia" w:ascii="宋体" w:hAnsi="宋体" w:eastAsia="宋体" w:cs="宋体"/>
                <w:sz w:val="24"/>
                <w:lang w:val="en-US" w:eastAsia="zh-CN"/>
              </w:rPr>
            </w:pPr>
            <w:r>
              <w:rPr>
                <w:rFonts w:hint="eastAsia" w:ascii="宋体" w:hAnsi="宋体" w:eastAsia="宋体" w:cs="宋体"/>
                <w:sz w:val="24"/>
                <w:lang w:val="en-US" w:eastAsia="zh-CN"/>
              </w:rPr>
              <w:t>7</w:t>
            </w:r>
          </w:p>
        </w:tc>
        <w:tc>
          <w:tcPr>
            <w:tcW w:w="6281" w:type="dxa"/>
            <w:gridSpan w:val="2"/>
            <w:noWrap w:val="0"/>
            <w:vAlign w:val="center"/>
          </w:tcPr>
          <w:p w14:paraId="1FA709E8">
            <w:pPr>
              <w:widowControl/>
              <w:spacing w:line="240" w:lineRule="atLeast"/>
              <w:jc w:val="left"/>
              <w:rPr>
                <w:rFonts w:hint="eastAsia" w:ascii="宋体" w:hAnsi="宋体" w:eastAsia="宋体" w:cs="宋体"/>
                <w:bCs/>
                <w:sz w:val="24"/>
                <w:lang w:val="zh-CN" w:eastAsia="zh-CN"/>
              </w:rPr>
            </w:pPr>
            <w:r>
              <w:rPr>
                <w:rFonts w:hint="eastAsia" w:ascii="宋体" w:hAnsi="宋体" w:eastAsia="宋体" w:cs="宋体"/>
                <w:bCs/>
                <w:sz w:val="24"/>
              </w:rPr>
              <w:t>根据</w:t>
            </w:r>
            <w:r>
              <w:rPr>
                <w:rFonts w:hint="eastAsia" w:ascii="宋体" w:hAnsi="宋体" w:eastAsia="宋体" w:cs="宋体"/>
                <w:bCs/>
                <w:sz w:val="24"/>
                <w:lang w:val="zh-CN"/>
              </w:rPr>
              <w:t>供应商</w:t>
            </w:r>
            <w:r>
              <w:rPr>
                <w:rFonts w:hint="eastAsia" w:ascii="宋体" w:hAnsi="宋体" w:eastAsia="宋体" w:cs="宋体"/>
                <w:bCs/>
                <w:sz w:val="24"/>
              </w:rPr>
              <w:t>提供的</w:t>
            </w:r>
            <w:r>
              <w:rPr>
                <w:rFonts w:hint="eastAsia" w:ascii="宋体" w:hAnsi="宋体" w:eastAsia="宋体" w:cs="宋体"/>
                <w:bCs/>
                <w:sz w:val="24"/>
                <w:lang w:val="en-US" w:eastAsia="zh-CN"/>
              </w:rPr>
              <w:t>安全保证</w:t>
            </w:r>
            <w:r>
              <w:rPr>
                <w:rFonts w:hint="eastAsia" w:ascii="宋体" w:hAnsi="宋体" w:eastAsia="宋体" w:cs="宋体"/>
                <w:bCs/>
                <w:sz w:val="24"/>
              </w:rPr>
              <w:t>措施方案等情况，酌情打分。</w:t>
            </w:r>
            <w:r>
              <w:rPr>
                <w:rFonts w:hint="eastAsia" w:ascii="宋体" w:hAnsi="宋体" w:eastAsia="宋体" w:cs="宋体"/>
                <w:bCs/>
                <w:sz w:val="24"/>
                <w:lang w:val="en-US" w:eastAsia="zh-CN"/>
              </w:rPr>
              <w:t>（方案详细完善的得4.1-6分，方案较详细完善的得2.1-4分，方案不够详细完善的得0-2分）</w:t>
            </w:r>
          </w:p>
        </w:tc>
        <w:tc>
          <w:tcPr>
            <w:tcW w:w="729" w:type="dxa"/>
            <w:noWrap w:val="0"/>
            <w:vAlign w:val="center"/>
          </w:tcPr>
          <w:p w14:paraId="6F5F91DA">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0-6</w:t>
            </w:r>
          </w:p>
        </w:tc>
        <w:tc>
          <w:tcPr>
            <w:tcW w:w="1014" w:type="dxa"/>
            <w:noWrap w:val="0"/>
            <w:vAlign w:val="center"/>
          </w:tcPr>
          <w:p w14:paraId="5220717F">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主观分</w:t>
            </w:r>
          </w:p>
        </w:tc>
      </w:tr>
      <w:tr w14:paraId="3411B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220" w:type="dxa"/>
            <w:vMerge w:val="continue"/>
            <w:noWrap w:val="0"/>
            <w:vAlign w:val="center"/>
          </w:tcPr>
          <w:p w14:paraId="671A1B35">
            <w:pPr>
              <w:spacing w:line="400" w:lineRule="exact"/>
              <w:jc w:val="center"/>
              <w:rPr>
                <w:rFonts w:hint="eastAsia" w:ascii="宋体" w:hAnsi="宋体" w:eastAsia="宋体" w:cs="宋体"/>
                <w:sz w:val="24"/>
              </w:rPr>
            </w:pPr>
          </w:p>
        </w:tc>
        <w:tc>
          <w:tcPr>
            <w:tcW w:w="586" w:type="dxa"/>
            <w:noWrap w:val="0"/>
            <w:vAlign w:val="center"/>
          </w:tcPr>
          <w:p w14:paraId="3005AA4A">
            <w:pPr>
              <w:widowControl/>
              <w:spacing w:line="240" w:lineRule="atLeast"/>
              <w:jc w:val="center"/>
              <w:rPr>
                <w:rFonts w:hint="eastAsia" w:ascii="宋体" w:hAnsi="宋体" w:eastAsia="宋体" w:cs="宋体"/>
                <w:sz w:val="24"/>
                <w:lang w:val="en-US" w:eastAsia="zh-CN"/>
              </w:rPr>
            </w:pPr>
            <w:r>
              <w:rPr>
                <w:rFonts w:hint="eastAsia" w:ascii="宋体" w:hAnsi="宋体" w:eastAsia="宋体" w:cs="宋体"/>
                <w:sz w:val="24"/>
                <w:lang w:val="en-US" w:eastAsia="zh-CN"/>
              </w:rPr>
              <w:t>8</w:t>
            </w:r>
          </w:p>
        </w:tc>
        <w:tc>
          <w:tcPr>
            <w:tcW w:w="6281" w:type="dxa"/>
            <w:gridSpan w:val="2"/>
            <w:noWrap w:val="0"/>
            <w:vAlign w:val="center"/>
          </w:tcPr>
          <w:p w14:paraId="09CA0DA6">
            <w:pPr>
              <w:widowControl/>
              <w:spacing w:line="240" w:lineRule="atLeast"/>
              <w:jc w:val="left"/>
              <w:rPr>
                <w:rFonts w:hint="eastAsia" w:ascii="宋体" w:hAnsi="宋体" w:eastAsia="宋体" w:cs="宋体"/>
                <w:bCs/>
                <w:sz w:val="24"/>
              </w:rPr>
            </w:pPr>
            <w:r>
              <w:rPr>
                <w:rFonts w:hint="eastAsia" w:ascii="宋体" w:hAnsi="宋体" w:eastAsia="宋体" w:cs="宋体"/>
                <w:bCs/>
                <w:sz w:val="24"/>
              </w:rPr>
              <w:t>针对本项目特点、技术难点的分析及相应的措施（综合评定对比打分）</w:t>
            </w:r>
          </w:p>
          <w:p w14:paraId="1D35CCDA">
            <w:pPr>
              <w:widowControl/>
              <w:spacing w:line="240" w:lineRule="atLeast"/>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（方案详细完善的得4.1-6分，方案较详细完善的得2.1-4分，方案不够详细完善的得0-2分）</w:t>
            </w:r>
          </w:p>
        </w:tc>
        <w:tc>
          <w:tcPr>
            <w:tcW w:w="729" w:type="dxa"/>
            <w:noWrap w:val="0"/>
            <w:vAlign w:val="center"/>
          </w:tcPr>
          <w:p w14:paraId="109AD1F5">
            <w:pPr>
              <w:spacing w:line="240" w:lineRule="atLeast"/>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lang w:val="en-US" w:eastAsia="zh-CN"/>
              </w:rPr>
              <w:t>0-6</w:t>
            </w:r>
          </w:p>
        </w:tc>
        <w:tc>
          <w:tcPr>
            <w:tcW w:w="1014" w:type="dxa"/>
            <w:noWrap w:val="0"/>
            <w:vAlign w:val="center"/>
          </w:tcPr>
          <w:p w14:paraId="1B45FEA9">
            <w:pPr>
              <w:spacing w:line="240" w:lineRule="atLeast"/>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rPr>
              <w:t>主观分</w:t>
            </w:r>
          </w:p>
        </w:tc>
      </w:tr>
      <w:tr w14:paraId="5A0A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220" w:type="dxa"/>
            <w:vMerge w:val="continue"/>
            <w:noWrap w:val="0"/>
            <w:vAlign w:val="center"/>
          </w:tcPr>
          <w:p w14:paraId="75AA188D">
            <w:pPr>
              <w:spacing w:line="400" w:lineRule="exact"/>
              <w:jc w:val="center"/>
              <w:rPr>
                <w:rFonts w:hint="eastAsia" w:ascii="宋体" w:hAnsi="宋体" w:eastAsia="宋体" w:cs="宋体"/>
                <w:sz w:val="24"/>
              </w:rPr>
            </w:pPr>
          </w:p>
        </w:tc>
        <w:tc>
          <w:tcPr>
            <w:tcW w:w="586" w:type="dxa"/>
            <w:noWrap w:val="0"/>
            <w:vAlign w:val="center"/>
          </w:tcPr>
          <w:p w14:paraId="240CA235">
            <w:pPr>
              <w:widowControl/>
              <w:spacing w:line="240" w:lineRule="atLeast"/>
              <w:jc w:val="center"/>
              <w:rPr>
                <w:rFonts w:hint="eastAsia" w:ascii="宋体" w:hAnsi="宋体" w:eastAsia="宋体" w:cs="宋体"/>
                <w:lang w:eastAsia="zh-CN"/>
              </w:rPr>
            </w:pPr>
            <w:r>
              <w:rPr>
                <w:rFonts w:hint="eastAsia" w:ascii="宋体" w:hAnsi="宋体" w:eastAsia="宋体" w:cs="宋体"/>
                <w:lang w:val="en-US" w:eastAsia="zh-CN"/>
              </w:rPr>
              <w:t>9</w:t>
            </w:r>
          </w:p>
        </w:tc>
        <w:tc>
          <w:tcPr>
            <w:tcW w:w="6281" w:type="dxa"/>
            <w:gridSpan w:val="2"/>
            <w:noWrap w:val="0"/>
            <w:vAlign w:val="center"/>
          </w:tcPr>
          <w:p w14:paraId="7DB6386C">
            <w:pPr>
              <w:widowControl/>
              <w:spacing w:line="240" w:lineRule="atLeast"/>
              <w:jc w:val="left"/>
              <w:rPr>
                <w:rFonts w:hint="eastAsia" w:ascii="宋体" w:hAnsi="宋体" w:eastAsia="宋体" w:cs="宋体"/>
                <w:bCs/>
                <w:sz w:val="24"/>
                <w:lang w:val="zh-CN"/>
              </w:rPr>
            </w:pPr>
            <w:r>
              <w:rPr>
                <w:rFonts w:hint="eastAsia" w:ascii="宋体" w:hAnsi="宋体" w:eastAsia="宋体" w:cs="宋体"/>
                <w:bCs/>
                <w:sz w:val="24"/>
                <w:lang w:val="zh-CN"/>
              </w:rPr>
              <w:t>响应方案中提供或使用主要设备的优劣综合评定对比分。</w:t>
            </w:r>
          </w:p>
          <w:p w14:paraId="49D42467">
            <w:pPr>
              <w:widowControl/>
              <w:spacing w:line="240" w:lineRule="atLeast"/>
              <w:jc w:val="left"/>
              <w:rPr>
                <w:rFonts w:hint="eastAsia" w:ascii="宋体" w:hAnsi="宋体" w:eastAsia="宋体" w:cs="宋体"/>
                <w:bCs/>
                <w:sz w:val="24"/>
              </w:rPr>
            </w:pPr>
            <w:r>
              <w:rPr>
                <w:rFonts w:hint="eastAsia" w:ascii="宋体" w:hAnsi="宋体" w:eastAsia="宋体" w:cs="宋体"/>
                <w:bCs/>
                <w:sz w:val="24"/>
                <w:lang w:val="en-US" w:eastAsia="zh-CN"/>
              </w:rPr>
              <w:t>（方案详细完善的得4.1-6分，方案较详细完善的得2.1-4分，方案不够详细完善的得0-2分）</w:t>
            </w:r>
          </w:p>
        </w:tc>
        <w:tc>
          <w:tcPr>
            <w:tcW w:w="729" w:type="dxa"/>
            <w:noWrap w:val="0"/>
            <w:vAlign w:val="center"/>
          </w:tcPr>
          <w:p w14:paraId="35C11310">
            <w:pPr>
              <w:spacing w:line="240" w:lineRule="atLeast"/>
              <w:jc w:val="center"/>
              <w:rPr>
                <w:rFonts w:hint="eastAsia" w:ascii="宋体" w:hAnsi="宋体" w:eastAsia="宋体" w:cs="宋体"/>
                <w:bCs/>
                <w:smallCaps/>
                <w:sz w:val="24"/>
                <w:lang w:eastAsia="zh-CN"/>
              </w:rPr>
            </w:pPr>
            <w:r>
              <w:rPr>
                <w:rFonts w:hint="eastAsia" w:ascii="宋体" w:hAnsi="宋体" w:eastAsia="宋体" w:cs="宋体"/>
                <w:bCs/>
                <w:smallCaps/>
                <w:sz w:val="24"/>
                <w:lang w:val="en-US" w:eastAsia="zh-CN"/>
              </w:rPr>
              <w:t>0-6</w:t>
            </w:r>
          </w:p>
        </w:tc>
        <w:tc>
          <w:tcPr>
            <w:tcW w:w="1014" w:type="dxa"/>
            <w:noWrap w:val="0"/>
            <w:vAlign w:val="center"/>
          </w:tcPr>
          <w:p w14:paraId="241F3FD5">
            <w:pPr>
              <w:spacing w:line="240" w:lineRule="atLeast"/>
              <w:jc w:val="center"/>
              <w:rPr>
                <w:rFonts w:hint="eastAsia" w:ascii="宋体" w:hAnsi="宋体" w:eastAsia="宋体" w:cs="宋体"/>
                <w:bCs/>
                <w:smallCaps/>
                <w:sz w:val="24"/>
              </w:rPr>
            </w:pPr>
            <w:r>
              <w:rPr>
                <w:rFonts w:hint="eastAsia" w:ascii="宋体" w:hAnsi="宋体" w:eastAsia="宋体" w:cs="宋体"/>
                <w:bCs/>
                <w:sz w:val="24"/>
              </w:rPr>
              <w:t>主观分</w:t>
            </w:r>
          </w:p>
        </w:tc>
      </w:tr>
      <w:tr w14:paraId="3C91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20" w:type="dxa"/>
            <w:vMerge w:val="continue"/>
            <w:noWrap w:val="0"/>
            <w:vAlign w:val="top"/>
          </w:tcPr>
          <w:p w14:paraId="29D319D3">
            <w:pPr>
              <w:spacing w:line="400" w:lineRule="exact"/>
              <w:jc w:val="center"/>
              <w:rPr>
                <w:rFonts w:hint="eastAsia" w:ascii="宋体" w:hAnsi="宋体" w:eastAsia="宋体" w:cs="宋体"/>
                <w:sz w:val="24"/>
              </w:rPr>
            </w:pPr>
          </w:p>
        </w:tc>
        <w:tc>
          <w:tcPr>
            <w:tcW w:w="586" w:type="dxa"/>
            <w:vMerge w:val="restart"/>
            <w:noWrap w:val="0"/>
            <w:vAlign w:val="center"/>
          </w:tcPr>
          <w:p w14:paraId="48E24E72">
            <w:pPr>
              <w:spacing w:line="360" w:lineRule="auto"/>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10</w:t>
            </w:r>
          </w:p>
        </w:tc>
        <w:tc>
          <w:tcPr>
            <w:tcW w:w="445" w:type="dxa"/>
            <w:vMerge w:val="restart"/>
            <w:noWrap w:val="0"/>
            <w:vAlign w:val="center"/>
          </w:tcPr>
          <w:p w14:paraId="17B7BDE9">
            <w:pPr>
              <w:widowControl/>
              <w:spacing w:line="240" w:lineRule="atLeast"/>
              <w:jc w:val="left"/>
              <w:rPr>
                <w:rFonts w:hint="eastAsia" w:ascii="宋体" w:hAnsi="宋体" w:eastAsia="宋体" w:cs="宋体"/>
                <w:bCs/>
                <w:sz w:val="24"/>
              </w:rPr>
            </w:pPr>
            <w:bookmarkStart w:id="382" w:name="_Hlk117520758"/>
            <w:r>
              <w:rPr>
                <w:rFonts w:hint="eastAsia" w:ascii="宋体" w:hAnsi="宋体" w:eastAsia="宋体" w:cs="宋体"/>
                <w:bCs/>
                <w:sz w:val="24"/>
              </w:rPr>
              <w:t>团队技术力量</w:t>
            </w:r>
          </w:p>
        </w:tc>
        <w:tc>
          <w:tcPr>
            <w:tcW w:w="5836" w:type="dxa"/>
            <w:noWrap w:val="0"/>
            <w:vAlign w:val="center"/>
          </w:tcPr>
          <w:p w14:paraId="3F55ADB2">
            <w:pPr>
              <w:widowControl/>
              <w:spacing w:line="240" w:lineRule="atLeast"/>
              <w:jc w:val="left"/>
              <w:rPr>
                <w:rFonts w:hint="eastAsia" w:ascii="宋体" w:hAnsi="宋体" w:eastAsia="宋体" w:cs="宋体"/>
                <w:bCs/>
                <w:sz w:val="24"/>
              </w:rPr>
            </w:pPr>
            <w:r>
              <w:rPr>
                <w:rFonts w:hint="eastAsia" w:ascii="宋体" w:hAnsi="宋体" w:eastAsia="宋体" w:cs="宋体"/>
                <w:bCs/>
                <w:sz w:val="24"/>
              </w:rPr>
              <w:t>1、拟派项目负责人</w:t>
            </w:r>
            <w:bookmarkEnd w:id="382"/>
            <w:r>
              <w:rPr>
                <w:rFonts w:hint="eastAsia" w:ascii="宋体" w:hAnsi="宋体" w:eastAsia="宋体" w:cs="宋体"/>
                <w:bCs/>
                <w:sz w:val="24"/>
              </w:rPr>
              <w:t>具有高级及以上职称的得</w:t>
            </w:r>
            <w:r>
              <w:rPr>
                <w:rFonts w:hint="eastAsia" w:ascii="宋体" w:hAnsi="宋体" w:eastAsia="宋体" w:cs="宋体"/>
                <w:bCs/>
                <w:sz w:val="24"/>
                <w:lang w:val="en-US" w:eastAsia="zh-CN"/>
              </w:rPr>
              <w:t>2</w:t>
            </w:r>
            <w:r>
              <w:rPr>
                <w:rFonts w:hint="eastAsia" w:ascii="宋体" w:hAnsi="宋体" w:eastAsia="宋体" w:cs="宋体"/>
                <w:bCs/>
                <w:sz w:val="24"/>
              </w:rPr>
              <w:t>分，具有中级职称的得1分。</w:t>
            </w:r>
          </w:p>
          <w:p w14:paraId="5E36E248">
            <w:pPr>
              <w:widowControl/>
              <w:spacing w:line="240" w:lineRule="atLeast"/>
              <w:jc w:val="left"/>
              <w:rPr>
                <w:rFonts w:hint="eastAsia" w:ascii="宋体" w:hAnsi="宋体" w:eastAsia="宋体" w:cs="宋体"/>
                <w:bCs/>
                <w:sz w:val="24"/>
              </w:rPr>
            </w:pPr>
            <w:r>
              <w:rPr>
                <w:rFonts w:hint="eastAsia" w:ascii="宋体" w:hAnsi="宋体" w:eastAsia="宋体" w:cs="宋体"/>
                <w:bCs/>
                <w:sz w:val="24"/>
              </w:rPr>
              <w:t>2、拟派项目组成员中具有中级及以上职称的每个得</w:t>
            </w:r>
            <w:r>
              <w:rPr>
                <w:rFonts w:hint="eastAsia" w:ascii="宋体" w:hAnsi="宋体" w:eastAsia="宋体" w:cs="宋体"/>
                <w:bCs/>
                <w:sz w:val="24"/>
                <w:lang w:val="en-US" w:eastAsia="zh-CN"/>
              </w:rPr>
              <w:t>0.5</w:t>
            </w:r>
            <w:r>
              <w:rPr>
                <w:rFonts w:hint="eastAsia" w:ascii="宋体" w:hAnsi="宋体" w:eastAsia="宋体" w:cs="宋体"/>
                <w:bCs/>
                <w:sz w:val="24"/>
              </w:rPr>
              <w:t>分，最高得</w:t>
            </w:r>
            <w:r>
              <w:rPr>
                <w:rFonts w:hint="eastAsia" w:ascii="宋体" w:hAnsi="宋体" w:eastAsia="宋体" w:cs="宋体"/>
                <w:bCs/>
                <w:sz w:val="24"/>
                <w:lang w:val="en-US" w:eastAsia="zh-CN"/>
              </w:rPr>
              <w:t>2</w:t>
            </w:r>
            <w:r>
              <w:rPr>
                <w:rFonts w:hint="eastAsia" w:ascii="宋体" w:hAnsi="宋体" w:eastAsia="宋体" w:cs="宋体"/>
                <w:bCs/>
                <w:sz w:val="24"/>
              </w:rPr>
              <w:t>分。</w:t>
            </w:r>
          </w:p>
          <w:p w14:paraId="29DA408B">
            <w:pPr>
              <w:widowControl/>
              <w:spacing w:line="240" w:lineRule="atLeast"/>
              <w:jc w:val="left"/>
              <w:rPr>
                <w:rFonts w:hint="eastAsia" w:ascii="宋体" w:hAnsi="宋体" w:eastAsia="宋体" w:cs="宋体"/>
                <w:bCs/>
                <w:sz w:val="24"/>
              </w:rPr>
            </w:pPr>
            <w:r>
              <w:rPr>
                <w:rFonts w:hint="eastAsia" w:ascii="宋体" w:hAnsi="宋体" w:eastAsia="宋体" w:cs="宋体"/>
                <w:bCs/>
                <w:sz w:val="24"/>
              </w:rPr>
              <w:t>（提供以上人员的职称证书和近3个月</w:t>
            </w:r>
            <w:r>
              <w:rPr>
                <w:rFonts w:hint="eastAsia" w:ascii="宋体" w:hAnsi="宋体" w:eastAsia="宋体" w:cs="宋体"/>
                <w:bCs/>
                <w:sz w:val="24"/>
                <w:lang w:eastAsia="zh-CN"/>
              </w:rPr>
              <w:t>（</w:t>
            </w:r>
            <w:r>
              <w:rPr>
                <w:rFonts w:hint="eastAsia" w:ascii="宋体" w:hAnsi="宋体" w:eastAsia="宋体" w:cs="宋体"/>
                <w:bCs/>
                <w:sz w:val="24"/>
                <w:lang w:val="en-US" w:eastAsia="zh-CN"/>
              </w:rPr>
              <w:t>2024年2月、2024年3月、2024年4月</w:t>
            </w:r>
            <w:r>
              <w:rPr>
                <w:rFonts w:hint="eastAsia" w:ascii="宋体" w:hAnsi="宋体" w:eastAsia="宋体" w:cs="宋体"/>
                <w:bCs/>
                <w:sz w:val="24"/>
                <w:lang w:eastAsia="zh-CN"/>
              </w:rPr>
              <w:t>）</w:t>
            </w:r>
            <w:r>
              <w:rPr>
                <w:rFonts w:hint="eastAsia" w:ascii="宋体" w:hAnsi="宋体" w:eastAsia="宋体" w:cs="宋体"/>
                <w:bCs/>
                <w:sz w:val="24"/>
              </w:rPr>
              <w:t>的社保证</w:t>
            </w:r>
            <w:r>
              <w:rPr>
                <w:rFonts w:hint="eastAsia" w:ascii="宋体" w:hAnsi="宋体" w:eastAsia="宋体" w:cs="宋体"/>
                <w:bCs/>
                <w:sz w:val="24"/>
                <w:highlight w:val="none"/>
              </w:rPr>
              <w:t>明</w:t>
            </w:r>
            <w:r>
              <w:rPr>
                <w:rFonts w:hint="eastAsia" w:ascii="宋体" w:hAnsi="宋体" w:eastAsia="宋体" w:cs="宋体"/>
                <w:bCs/>
                <w:sz w:val="24"/>
                <w:highlight w:val="none"/>
                <w:lang w:val="en-US" w:eastAsia="zh-CN"/>
              </w:rPr>
              <w:t>或劳动合同</w:t>
            </w:r>
            <w:r>
              <w:rPr>
                <w:rFonts w:hint="eastAsia" w:ascii="宋体" w:hAnsi="宋体" w:eastAsia="宋体" w:cs="宋体"/>
                <w:bCs/>
                <w:sz w:val="24"/>
              </w:rPr>
              <w:t>扫描件加盖公章）</w:t>
            </w:r>
          </w:p>
        </w:tc>
        <w:tc>
          <w:tcPr>
            <w:tcW w:w="729" w:type="dxa"/>
            <w:noWrap w:val="0"/>
            <w:vAlign w:val="center"/>
          </w:tcPr>
          <w:p w14:paraId="46F15DCC">
            <w:pPr>
              <w:spacing w:before="120" w:after="120" w:line="240" w:lineRule="atLeast"/>
              <w:jc w:val="center"/>
              <w:rPr>
                <w:rFonts w:hint="eastAsia" w:ascii="宋体" w:hAnsi="宋体" w:eastAsia="宋体" w:cs="宋体"/>
                <w:bCs/>
                <w:sz w:val="24"/>
                <w:lang w:eastAsia="zh-CN"/>
              </w:rPr>
            </w:pPr>
            <w:r>
              <w:rPr>
                <w:rFonts w:hint="eastAsia" w:ascii="宋体" w:hAnsi="宋体" w:eastAsia="宋体" w:cs="宋体"/>
                <w:bCs/>
                <w:sz w:val="24"/>
                <w:lang w:val="en-US" w:eastAsia="zh-CN"/>
              </w:rPr>
              <w:t>0-4</w:t>
            </w:r>
          </w:p>
        </w:tc>
        <w:tc>
          <w:tcPr>
            <w:tcW w:w="1014" w:type="dxa"/>
            <w:noWrap w:val="0"/>
            <w:vAlign w:val="center"/>
          </w:tcPr>
          <w:p w14:paraId="66F69A39">
            <w:pPr>
              <w:spacing w:line="240" w:lineRule="atLeast"/>
              <w:jc w:val="center"/>
              <w:rPr>
                <w:rFonts w:hint="eastAsia" w:ascii="宋体" w:hAnsi="宋体" w:eastAsia="宋体" w:cs="宋体"/>
                <w:bCs/>
                <w:sz w:val="24"/>
              </w:rPr>
            </w:pPr>
            <w:r>
              <w:rPr>
                <w:rFonts w:hint="eastAsia" w:ascii="宋体" w:hAnsi="宋体" w:eastAsia="宋体" w:cs="宋体"/>
                <w:bCs/>
                <w:sz w:val="24"/>
              </w:rPr>
              <w:t>客观分</w:t>
            </w:r>
          </w:p>
        </w:tc>
      </w:tr>
      <w:tr w14:paraId="247E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20" w:type="dxa"/>
            <w:vMerge w:val="continue"/>
            <w:noWrap w:val="0"/>
            <w:vAlign w:val="top"/>
          </w:tcPr>
          <w:p w14:paraId="1769C41F">
            <w:pPr>
              <w:spacing w:line="400" w:lineRule="exact"/>
              <w:jc w:val="center"/>
              <w:rPr>
                <w:rFonts w:hint="eastAsia" w:ascii="宋体" w:hAnsi="宋体" w:eastAsia="宋体" w:cs="宋体"/>
                <w:sz w:val="24"/>
              </w:rPr>
            </w:pPr>
          </w:p>
        </w:tc>
        <w:tc>
          <w:tcPr>
            <w:tcW w:w="586" w:type="dxa"/>
            <w:vMerge w:val="continue"/>
            <w:noWrap w:val="0"/>
            <w:vAlign w:val="center"/>
          </w:tcPr>
          <w:p w14:paraId="0D1F2774">
            <w:pPr>
              <w:spacing w:line="360" w:lineRule="auto"/>
              <w:rPr>
                <w:rFonts w:hint="eastAsia" w:ascii="宋体" w:hAnsi="宋体" w:eastAsia="宋体" w:cs="宋体"/>
                <w:bCs/>
                <w:sz w:val="24"/>
              </w:rPr>
            </w:pPr>
          </w:p>
        </w:tc>
        <w:tc>
          <w:tcPr>
            <w:tcW w:w="445" w:type="dxa"/>
            <w:vMerge w:val="continue"/>
            <w:noWrap w:val="0"/>
            <w:vAlign w:val="center"/>
          </w:tcPr>
          <w:p w14:paraId="1264EB7A">
            <w:pPr>
              <w:widowControl/>
              <w:spacing w:line="240" w:lineRule="atLeast"/>
              <w:jc w:val="left"/>
              <w:rPr>
                <w:rFonts w:hint="eastAsia" w:ascii="宋体" w:hAnsi="宋体" w:eastAsia="宋体" w:cs="宋体"/>
                <w:bCs/>
                <w:sz w:val="24"/>
              </w:rPr>
            </w:pPr>
          </w:p>
        </w:tc>
        <w:tc>
          <w:tcPr>
            <w:tcW w:w="5836" w:type="dxa"/>
            <w:noWrap w:val="0"/>
            <w:vAlign w:val="center"/>
          </w:tcPr>
          <w:p w14:paraId="1D0B42E6">
            <w:pPr>
              <w:widowControl/>
              <w:spacing w:line="240" w:lineRule="atLeast"/>
              <w:jc w:val="left"/>
              <w:rPr>
                <w:rFonts w:hint="eastAsia" w:ascii="宋体" w:hAnsi="宋体" w:eastAsia="宋体" w:cs="宋体"/>
                <w:bCs/>
                <w:sz w:val="24"/>
              </w:rPr>
            </w:pPr>
            <w:r>
              <w:rPr>
                <w:rFonts w:hint="eastAsia" w:ascii="宋体" w:hAnsi="宋体" w:eastAsia="宋体" w:cs="宋体"/>
                <w:bCs/>
                <w:sz w:val="24"/>
              </w:rPr>
              <w:t>根据项目组成员的专业配备是否合理、人员数量投入是否充分、从业经验是否丰富等情况综合评定。</w:t>
            </w:r>
          </w:p>
        </w:tc>
        <w:tc>
          <w:tcPr>
            <w:tcW w:w="729" w:type="dxa"/>
            <w:noWrap w:val="0"/>
            <w:vAlign w:val="center"/>
          </w:tcPr>
          <w:p w14:paraId="3643CB71">
            <w:pPr>
              <w:spacing w:before="120" w:after="120" w:line="240" w:lineRule="atLeast"/>
              <w:jc w:val="center"/>
              <w:rPr>
                <w:rFonts w:hint="eastAsia" w:ascii="宋体" w:hAnsi="宋体" w:eastAsia="宋体" w:cs="宋体"/>
                <w:bCs/>
                <w:sz w:val="24"/>
              </w:rPr>
            </w:pPr>
            <w:r>
              <w:rPr>
                <w:rFonts w:hint="eastAsia" w:ascii="宋体" w:hAnsi="宋体" w:eastAsia="宋体" w:cs="宋体"/>
                <w:bCs/>
                <w:sz w:val="24"/>
                <w:lang w:val="en-US" w:eastAsia="zh-CN"/>
              </w:rPr>
              <w:t>0-</w:t>
            </w:r>
            <w:r>
              <w:rPr>
                <w:rFonts w:hint="eastAsia" w:ascii="宋体" w:hAnsi="宋体" w:eastAsia="宋体" w:cs="宋体"/>
                <w:bCs/>
                <w:sz w:val="24"/>
              </w:rPr>
              <w:t>5</w:t>
            </w:r>
          </w:p>
        </w:tc>
        <w:tc>
          <w:tcPr>
            <w:tcW w:w="1014" w:type="dxa"/>
            <w:noWrap w:val="0"/>
            <w:vAlign w:val="center"/>
          </w:tcPr>
          <w:p w14:paraId="16472315">
            <w:pPr>
              <w:spacing w:line="240" w:lineRule="atLeast"/>
              <w:jc w:val="center"/>
              <w:rPr>
                <w:rFonts w:hint="eastAsia" w:ascii="宋体" w:hAnsi="宋体" w:eastAsia="宋体" w:cs="宋体"/>
                <w:bCs/>
                <w:sz w:val="24"/>
              </w:rPr>
            </w:pPr>
            <w:r>
              <w:rPr>
                <w:rFonts w:hint="eastAsia" w:ascii="宋体" w:hAnsi="宋体" w:eastAsia="宋体" w:cs="宋体"/>
                <w:bCs/>
                <w:sz w:val="24"/>
              </w:rPr>
              <w:t>主观分</w:t>
            </w:r>
          </w:p>
        </w:tc>
      </w:tr>
      <w:tr w14:paraId="2603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1220" w:type="dxa"/>
            <w:vMerge w:val="continue"/>
            <w:noWrap w:val="0"/>
            <w:vAlign w:val="top"/>
          </w:tcPr>
          <w:p w14:paraId="3A45CFB5">
            <w:pPr>
              <w:spacing w:line="400" w:lineRule="exact"/>
              <w:jc w:val="center"/>
              <w:rPr>
                <w:rFonts w:hint="eastAsia" w:ascii="宋体" w:hAnsi="宋体" w:eastAsia="宋体" w:cs="宋体"/>
                <w:sz w:val="24"/>
              </w:rPr>
            </w:pPr>
          </w:p>
        </w:tc>
        <w:tc>
          <w:tcPr>
            <w:tcW w:w="586" w:type="dxa"/>
            <w:noWrap w:val="0"/>
            <w:vAlign w:val="center"/>
          </w:tcPr>
          <w:p w14:paraId="2F954FEC">
            <w:pPr>
              <w:spacing w:line="240" w:lineRule="atLeast"/>
              <w:jc w:val="center"/>
              <w:rPr>
                <w:rFonts w:hint="eastAsia" w:ascii="宋体" w:hAnsi="宋体" w:eastAsia="宋体" w:cs="宋体"/>
                <w:lang w:val="en-US" w:eastAsia="zh-CN"/>
              </w:rPr>
            </w:pPr>
            <w:r>
              <w:rPr>
                <w:rFonts w:hint="eastAsia" w:ascii="宋体" w:hAnsi="宋体" w:eastAsia="宋体" w:cs="宋体"/>
                <w:lang w:val="en-US" w:eastAsia="zh-CN"/>
              </w:rPr>
              <w:t>11</w:t>
            </w:r>
          </w:p>
        </w:tc>
        <w:tc>
          <w:tcPr>
            <w:tcW w:w="6281" w:type="dxa"/>
            <w:gridSpan w:val="2"/>
            <w:noWrap w:val="0"/>
            <w:vAlign w:val="center"/>
          </w:tcPr>
          <w:p w14:paraId="7A1EB109">
            <w:pPr>
              <w:widowControl/>
              <w:spacing w:line="240" w:lineRule="atLeast"/>
              <w:jc w:val="left"/>
              <w:rPr>
                <w:rFonts w:hint="eastAsia" w:ascii="宋体" w:hAnsi="宋体" w:eastAsia="宋体" w:cs="宋体"/>
                <w:bCs/>
                <w:sz w:val="24"/>
                <w:lang w:val="zh-CN" w:eastAsia="zh-CN"/>
              </w:rPr>
            </w:pPr>
            <w:r>
              <w:rPr>
                <w:rFonts w:hint="eastAsia" w:ascii="宋体" w:hAnsi="宋体" w:eastAsia="宋体" w:cs="宋体"/>
                <w:bCs/>
                <w:sz w:val="24"/>
                <w:lang w:val="en-US" w:eastAsia="zh-CN"/>
              </w:rPr>
              <w:t>突发事件应急保障及相应情况：</w:t>
            </w:r>
            <w:r>
              <w:rPr>
                <w:rFonts w:hint="eastAsia" w:ascii="宋体" w:hAnsi="宋体" w:eastAsia="宋体" w:cs="宋体"/>
                <w:bCs/>
                <w:sz w:val="24"/>
                <w:lang w:eastAsia="zh-CN"/>
              </w:rPr>
              <w:t>供应商</w:t>
            </w:r>
            <w:r>
              <w:rPr>
                <w:rFonts w:hint="eastAsia" w:ascii="宋体" w:hAnsi="宋体" w:eastAsia="宋体" w:cs="宋体"/>
                <w:bCs/>
                <w:sz w:val="24"/>
                <w:lang w:val="en-US" w:eastAsia="zh-CN"/>
              </w:rPr>
              <w:t>提供的相关应急预案，包含针对可能出现的各项突发情况</w:t>
            </w:r>
            <w:r>
              <w:rPr>
                <w:rFonts w:hint="eastAsia" w:ascii="宋体" w:hAnsi="宋体" w:eastAsia="宋体" w:cs="宋体"/>
                <w:bCs/>
                <w:sz w:val="24"/>
              </w:rPr>
              <w:t>（如人员变动）</w:t>
            </w:r>
            <w:r>
              <w:rPr>
                <w:rFonts w:hint="eastAsia" w:ascii="宋体" w:hAnsi="宋体" w:eastAsia="宋体" w:cs="宋体"/>
                <w:bCs/>
                <w:sz w:val="24"/>
                <w:lang w:val="en-US" w:eastAsia="zh-CN"/>
              </w:rPr>
              <w:t>）应对措施综合评定对比打分</w:t>
            </w:r>
            <w:r>
              <w:rPr>
                <w:rFonts w:hint="eastAsia" w:ascii="宋体" w:hAnsi="宋体" w:eastAsia="宋体" w:cs="宋体"/>
                <w:bCs/>
                <w:sz w:val="24"/>
              </w:rPr>
              <w:t>（方案详细完善的得</w:t>
            </w:r>
            <w:r>
              <w:rPr>
                <w:rFonts w:hint="eastAsia" w:ascii="宋体" w:hAnsi="宋体" w:eastAsia="宋体" w:cs="宋体"/>
                <w:bCs/>
                <w:sz w:val="24"/>
                <w:lang w:val="en-US" w:eastAsia="zh-CN"/>
              </w:rPr>
              <w:t>4.8-7</w:t>
            </w:r>
            <w:r>
              <w:rPr>
                <w:rFonts w:hint="eastAsia" w:ascii="宋体" w:hAnsi="宋体" w:eastAsia="宋体" w:cs="宋体"/>
                <w:bCs/>
                <w:sz w:val="24"/>
              </w:rPr>
              <w:t>分，方案较详细完善的得</w:t>
            </w:r>
            <w:r>
              <w:rPr>
                <w:rFonts w:hint="eastAsia" w:ascii="宋体" w:hAnsi="宋体" w:eastAsia="宋体" w:cs="宋体"/>
                <w:bCs/>
                <w:sz w:val="24"/>
                <w:lang w:val="en-US" w:eastAsia="zh-CN"/>
              </w:rPr>
              <w:t>2.4</w:t>
            </w:r>
            <w:r>
              <w:rPr>
                <w:rFonts w:hint="eastAsia" w:ascii="宋体" w:hAnsi="宋体" w:eastAsia="宋体" w:cs="宋体"/>
                <w:bCs/>
                <w:sz w:val="24"/>
              </w:rPr>
              <w:t>-</w:t>
            </w:r>
            <w:r>
              <w:rPr>
                <w:rFonts w:hint="eastAsia" w:ascii="宋体" w:hAnsi="宋体" w:eastAsia="宋体" w:cs="宋体"/>
                <w:bCs/>
                <w:sz w:val="24"/>
                <w:lang w:val="en-US" w:eastAsia="zh-CN"/>
              </w:rPr>
              <w:t>4.7</w:t>
            </w:r>
            <w:r>
              <w:rPr>
                <w:rFonts w:hint="eastAsia" w:ascii="宋体" w:hAnsi="宋体" w:eastAsia="宋体" w:cs="宋体"/>
                <w:bCs/>
                <w:sz w:val="24"/>
              </w:rPr>
              <w:t>分，方案不够详细完善的得0-</w:t>
            </w:r>
            <w:r>
              <w:rPr>
                <w:rFonts w:hint="eastAsia" w:ascii="宋体" w:hAnsi="宋体" w:eastAsia="宋体" w:cs="宋体"/>
                <w:bCs/>
                <w:sz w:val="24"/>
                <w:lang w:val="en-US" w:eastAsia="zh-CN"/>
              </w:rPr>
              <w:t>2.3</w:t>
            </w:r>
            <w:r>
              <w:rPr>
                <w:rFonts w:hint="eastAsia" w:ascii="宋体" w:hAnsi="宋体" w:eastAsia="宋体" w:cs="宋体"/>
                <w:bCs/>
                <w:sz w:val="24"/>
              </w:rPr>
              <w:t>分）</w:t>
            </w:r>
          </w:p>
        </w:tc>
        <w:tc>
          <w:tcPr>
            <w:tcW w:w="729" w:type="dxa"/>
            <w:noWrap w:val="0"/>
            <w:vAlign w:val="center"/>
          </w:tcPr>
          <w:p w14:paraId="19EEB4FD">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0-7</w:t>
            </w:r>
          </w:p>
        </w:tc>
        <w:tc>
          <w:tcPr>
            <w:tcW w:w="1014" w:type="dxa"/>
            <w:noWrap w:val="0"/>
            <w:vAlign w:val="center"/>
          </w:tcPr>
          <w:p w14:paraId="77787397">
            <w:pPr>
              <w:spacing w:line="240" w:lineRule="atLeast"/>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rPr>
              <w:t>主观分</w:t>
            </w:r>
          </w:p>
        </w:tc>
      </w:tr>
      <w:tr w14:paraId="588A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20" w:type="dxa"/>
            <w:vMerge w:val="continue"/>
            <w:noWrap w:val="0"/>
            <w:vAlign w:val="top"/>
          </w:tcPr>
          <w:p w14:paraId="19CDD70C">
            <w:pPr>
              <w:spacing w:line="400" w:lineRule="exact"/>
              <w:jc w:val="center"/>
              <w:rPr>
                <w:rFonts w:hint="eastAsia" w:ascii="宋体" w:hAnsi="宋体" w:eastAsia="宋体" w:cs="宋体"/>
                <w:sz w:val="24"/>
              </w:rPr>
            </w:pPr>
          </w:p>
        </w:tc>
        <w:tc>
          <w:tcPr>
            <w:tcW w:w="586" w:type="dxa"/>
            <w:noWrap w:val="0"/>
            <w:vAlign w:val="center"/>
          </w:tcPr>
          <w:p w14:paraId="773E6574">
            <w:pPr>
              <w:spacing w:line="240" w:lineRule="atLeast"/>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12</w:t>
            </w:r>
          </w:p>
        </w:tc>
        <w:tc>
          <w:tcPr>
            <w:tcW w:w="6281" w:type="dxa"/>
            <w:gridSpan w:val="2"/>
            <w:noWrap w:val="0"/>
            <w:vAlign w:val="center"/>
          </w:tcPr>
          <w:p w14:paraId="664318C5">
            <w:pPr>
              <w:widowControl/>
              <w:spacing w:line="240" w:lineRule="atLeast"/>
              <w:jc w:val="left"/>
              <w:rPr>
                <w:rFonts w:hint="eastAsia" w:ascii="宋体" w:hAnsi="宋体" w:eastAsia="宋体" w:cs="宋体"/>
                <w:bCs/>
                <w:sz w:val="24"/>
              </w:rPr>
            </w:pPr>
            <w:r>
              <w:rPr>
                <w:rFonts w:hint="eastAsia" w:ascii="宋体" w:hAnsi="宋体" w:eastAsia="宋体" w:cs="宋体"/>
                <w:bCs/>
                <w:sz w:val="24"/>
              </w:rPr>
              <w:t>根据供应商针对本项目提供的项目档案管理方案等情况综合评定。</w:t>
            </w:r>
          </w:p>
          <w:p w14:paraId="74CFB83F">
            <w:pPr>
              <w:widowControl/>
              <w:spacing w:line="240" w:lineRule="atLeast"/>
              <w:jc w:val="left"/>
              <w:rPr>
                <w:rFonts w:hint="eastAsia" w:ascii="宋体" w:hAnsi="宋体" w:eastAsia="宋体" w:cs="宋体"/>
                <w:bCs/>
                <w:sz w:val="24"/>
                <w:lang w:val="en-US" w:eastAsia="zh-CN"/>
              </w:rPr>
            </w:pPr>
            <w:r>
              <w:rPr>
                <w:rFonts w:hint="eastAsia" w:ascii="宋体" w:hAnsi="宋体" w:eastAsia="宋体" w:cs="宋体"/>
                <w:bCs/>
                <w:sz w:val="24"/>
              </w:rPr>
              <w:t>（方案详细完善的得3.4-5分，方案较详细完善的1.7-3.3分，方案不够详细完善的得0-1.6分）</w:t>
            </w:r>
          </w:p>
        </w:tc>
        <w:tc>
          <w:tcPr>
            <w:tcW w:w="729" w:type="dxa"/>
            <w:noWrap w:val="0"/>
            <w:vAlign w:val="center"/>
          </w:tcPr>
          <w:p w14:paraId="1E12A679">
            <w:pPr>
              <w:spacing w:line="240" w:lineRule="atLeast"/>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lang w:val="en-US" w:eastAsia="zh-CN"/>
              </w:rPr>
              <w:t>0-5</w:t>
            </w:r>
          </w:p>
        </w:tc>
        <w:tc>
          <w:tcPr>
            <w:tcW w:w="1014" w:type="dxa"/>
            <w:noWrap w:val="0"/>
            <w:vAlign w:val="center"/>
          </w:tcPr>
          <w:p w14:paraId="43F134B1">
            <w:pPr>
              <w:spacing w:line="240" w:lineRule="atLeast"/>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rPr>
              <w:t>主观分</w:t>
            </w:r>
          </w:p>
        </w:tc>
      </w:tr>
      <w:tr w14:paraId="684A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20" w:type="dxa"/>
            <w:vMerge w:val="continue"/>
            <w:noWrap w:val="0"/>
            <w:vAlign w:val="top"/>
          </w:tcPr>
          <w:p w14:paraId="62FC6F34">
            <w:pPr>
              <w:spacing w:line="400" w:lineRule="exact"/>
              <w:jc w:val="center"/>
              <w:rPr>
                <w:rFonts w:hint="eastAsia" w:ascii="宋体" w:hAnsi="宋体" w:eastAsia="宋体" w:cs="宋体"/>
                <w:sz w:val="24"/>
              </w:rPr>
            </w:pPr>
          </w:p>
        </w:tc>
        <w:tc>
          <w:tcPr>
            <w:tcW w:w="586" w:type="dxa"/>
            <w:noWrap w:val="0"/>
            <w:vAlign w:val="center"/>
          </w:tcPr>
          <w:p w14:paraId="7E2098A3">
            <w:pPr>
              <w:widowControl/>
              <w:spacing w:line="240" w:lineRule="atLeast"/>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13</w:t>
            </w:r>
          </w:p>
        </w:tc>
        <w:tc>
          <w:tcPr>
            <w:tcW w:w="6281" w:type="dxa"/>
            <w:gridSpan w:val="2"/>
            <w:noWrap w:val="0"/>
            <w:vAlign w:val="center"/>
          </w:tcPr>
          <w:p w14:paraId="15DA80BF">
            <w:pPr>
              <w:widowControl/>
              <w:spacing w:line="240" w:lineRule="atLeast"/>
              <w:jc w:val="left"/>
              <w:rPr>
                <w:rFonts w:hint="eastAsia" w:ascii="宋体" w:hAnsi="宋体" w:eastAsia="宋体" w:cs="宋体"/>
                <w:bCs/>
                <w:sz w:val="24"/>
                <w:lang w:val="zh-CN"/>
              </w:rPr>
            </w:pPr>
            <w:r>
              <w:rPr>
                <w:rFonts w:hint="eastAsia" w:ascii="宋体" w:hAnsi="宋体" w:eastAsia="宋体" w:cs="宋体"/>
                <w:bCs/>
                <w:sz w:val="24"/>
                <w:lang w:val="zh-CN"/>
              </w:rPr>
              <w:t>服务承诺：根据售后服务方案、措施、响应及本地化服务能力等情况综合评定</w:t>
            </w:r>
          </w:p>
          <w:p w14:paraId="55A919F9">
            <w:pPr>
              <w:widowControl/>
              <w:spacing w:line="240" w:lineRule="atLeast"/>
              <w:jc w:val="left"/>
              <w:rPr>
                <w:rFonts w:hint="eastAsia" w:ascii="宋体" w:hAnsi="宋体" w:eastAsia="宋体" w:cs="宋体"/>
                <w:bCs/>
                <w:sz w:val="24"/>
              </w:rPr>
            </w:pPr>
            <w:r>
              <w:rPr>
                <w:rFonts w:hint="eastAsia" w:ascii="宋体" w:hAnsi="宋体" w:eastAsia="宋体" w:cs="宋体"/>
                <w:bCs/>
                <w:sz w:val="24"/>
              </w:rPr>
              <w:t>（方案详细完善的得3.4-5分，方案较详细完善的1.7-3.3分，方案不够详细完善的得0-1.6分）</w:t>
            </w:r>
          </w:p>
        </w:tc>
        <w:tc>
          <w:tcPr>
            <w:tcW w:w="729" w:type="dxa"/>
            <w:noWrap w:val="0"/>
            <w:vAlign w:val="center"/>
          </w:tcPr>
          <w:p w14:paraId="3921B9A4">
            <w:pPr>
              <w:spacing w:line="240" w:lineRule="atLeast"/>
              <w:jc w:val="center"/>
              <w:rPr>
                <w:rFonts w:hint="eastAsia" w:ascii="宋体" w:hAnsi="宋体" w:eastAsia="宋体" w:cs="宋体"/>
                <w:bCs/>
                <w:smallCaps/>
                <w:sz w:val="24"/>
                <w:lang w:val="en-US" w:eastAsia="zh-CN"/>
              </w:rPr>
            </w:pPr>
            <w:r>
              <w:rPr>
                <w:rFonts w:hint="eastAsia" w:ascii="宋体" w:hAnsi="宋体" w:eastAsia="宋体" w:cs="宋体"/>
                <w:bCs/>
                <w:sz w:val="24"/>
                <w:lang w:val="en-US" w:eastAsia="zh-CN"/>
              </w:rPr>
              <w:t>0-5</w:t>
            </w:r>
          </w:p>
        </w:tc>
        <w:tc>
          <w:tcPr>
            <w:tcW w:w="1014" w:type="dxa"/>
            <w:noWrap w:val="0"/>
            <w:vAlign w:val="center"/>
          </w:tcPr>
          <w:p w14:paraId="40A4FF38">
            <w:pPr>
              <w:spacing w:line="240" w:lineRule="atLeast"/>
              <w:jc w:val="center"/>
              <w:rPr>
                <w:rFonts w:hint="eastAsia" w:ascii="宋体" w:hAnsi="宋体" w:eastAsia="宋体" w:cs="宋体"/>
                <w:bCs/>
                <w:smallCaps/>
                <w:sz w:val="24"/>
              </w:rPr>
            </w:pPr>
            <w:r>
              <w:rPr>
                <w:rFonts w:hint="eastAsia" w:ascii="宋体" w:hAnsi="宋体" w:eastAsia="宋体" w:cs="宋体"/>
                <w:bCs/>
                <w:sz w:val="24"/>
              </w:rPr>
              <w:t>主观分</w:t>
            </w:r>
          </w:p>
        </w:tc>
      </w:tr>
      <w:tr w14:paraId="74EF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20" w:type="dxa"/>
            <w:vMerge w:val="continue"/>
            <w:noWrap w:val="0"/>
            <w:vAlign w:val="top"/>
          </w:tcPr>
          <w:p w14:paraId="7B74889C">
            <w:pPr>
              <w:spacing w:line="400" w:lineRule="exact"/>
              <w:jc w:val="center"/>
              <w:rPr>
                <w:rFonts w:hint="eastAsia" w:ascii="宋体" w:hAnsi="宋体" w:eastAsia="宋体" w:cs="宋体"/>
                <w:sz w:val="24"/>
              </w:rPr>
            </w:pPr>
          </w:p>
        </w:tc>
        <w:tc>
          <w:tcPr>
            <w:tcW w:w="586" w:type="dxa"/>
            <w:noWrap w:val="0"/>
            <w:vAlign w:val="center"/>
          </w:tcPr>
          <w:p w14:paraId="638344C9">
            <w:pPr>
              <w:widowControl/>
              <w:spacing w:line="240" w:lineRule="atLeast"/>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14</w:t>
            </w:r>
          </w:p>
        </w:tc>
        <w:tc>
          <w:tcPr>
            <w:tcW w:w="6281" w:type="dxa"/>
            <w:gridSpan w:val="2"/>
            <w:noWrap w:val="0"/>
            <w:vAlign w:val="center"/>
          </w:tcPr>
          <w:p w14:paraId="2C01B4A4">
            <w:pPr>
              <w:widowControl/>
              <w:spacing w:line="240" w:lineRule="atLeast"/>
              <w:jc w:val="left"/>
              <w:rPr>
                <w:rFonts w:hint="eastAsia" w:ascii="宋体" w:hAnsi="宋体" w:eastAsia="宋体" w:cs="宋体"/>
                <w:bCs/>
                <w:sz w:val="24"/>
              </w:rPr>
            </w:pPr>
            <w:r>
              <w:rPr>
                <w:rFonts w:hint="eastAsia" w:ascii="宋体" w:hAnsi="宋体" w:eastAsia="宋体" w:cs="宋体"/>
                <w:bCs/>
                <w:sz w:val="24"/>
              </w:rPr>
              <w:t>服务质量保证情况：根据质保期限、可实现程度、提供优惠等情况综合评定。</w:t>
            </w:r>
          </w:p>
          <w:p w14:paraId="04666356">
            <w:pPr>
              <w:widowControl/>
              <w:spacing w:line="240" w:lineRule="atLeast"/>
              <w:jc w:val="left"/>
              <w:rPr>
                <w:rFonts w:hint="eastAsia" w:ascii="宋体" w:hAnsi="宋体" w:eastAsia="宋体" w:cs="宋体"/>
                <w:bCs/>
                <w:sz w:val="24"/>
                <w:lang w:val="zh-CN" w:eastAsia="zh-CN"/>
              </w:rPr>
            </w:pPr>
            <w:r>
              <w:rPr>
                <w:rFonts w:hint="eastAsia" w:ascii="宋体" w:hAnsi="宋体" w:eastAsia="宋体" w:cs="宋体"/>
                <w:bCs/>
                <w:sz w:val="24"/>
              </w:rPr>
              <w:t>（方案详细完善的得3.4-5分，方案较详细完善的1.7-3.3分，方案不够详细完善的得0-1.6分）</w:t>
            </w:r>
          </w:p>
        </w:tc>
        <w:tc>
          <w:tcPr>
            <w:tcW w:w="729" w:type="dxa"/>
            <w:noWrap w:val="0"/>
            <w:vAlign w:val="center"/>
          </w:tcPr>
          <w:p w14:paraId="2B873FEB">
            <w:pPr>
              <w:spacing w:line="240" w:lineRule="atLeast"/>
              <w:jc w:val="center"/>
              <w:rPr>
                <w:rFonts w:hint="eastAsia" w:ascii="宋体" w:hAnsi="宋体" w:eastAsia="宋体" w:cs="宋体"/>
                <w:bCs/>
                <w:smallCaps/>
                <w:kern w:val="2"/>
                <w:sz w:val="24"/>
                <w:szCs w:val="24"/>
                <w:lang w:val="en-US" w:eastAsia="zh-CN" w:bidi="ar-SA"/>
              </w:rPr>
            </w:pPr>
            <w:r>
              <w:rPr>
                <w:rFonts w:hint="eastAsia" w:ascii="宋体" w:hAnsi="宋体" w:eastAsia="宋体" w:cs="宋体"/>
                <w:bCs/>
                <w:sz w:val="24"/>
                <w:lang w:val="en-US" w:eastAsia="zh-CN"/>
              </w:rPr>
              <w:t>0-</w:t>
            </w:r>
            <w:r>
              <w:rPr>
                <w:rFonts w:hint="eastAsia" w:ascii="宋体" w:hAnsi="宋体" w:eastAsia="宋体" w:cs="宋体"/>
                <w:bCs/>
                <w:sz w:val="24"/>
              </w:rPr>
              <w:t>5</w:t>
            </w:r>
          </w:p>
        </w:tc>
        <w:tc>
          <w:tcPr>
            <w:tcW w:w="1014" w:type="dxa"/>
            <w:noWrap w:val="0"/>
            <w:vAlign w:val="center"/>
          </w:tcPr>
          <w:p w14:paraId="7874786E">
            <w:pPr>
              <w:spacing w:line="240" w:lineRule="atLeast"/>
              <w:jc w:val="center"/>
              <w:rPr>
                <w:rFonts w:hint="eastAsia" w:ascii="宋体" w:hAnsi="宋体" w:eastAsia="宋体" w:cs="宋体"/>
                <w:bCs/>
                <w:smallCaps/>
                <w:kern w:val="2"/>
                <w:sz w:val="24"/>
                <w:szCs w:val="24"/>
                <w:lang w:val="en-US" w:eastAsia="zh-CN" w:bidi="ar-SA"/>
              </w:rPr>
            </w:pPr>
            <w:r>
              <w:rPr>
                <w:rFonts w:hint="eastAsia" w:ascii="宋体" w:hAnsi="宋体" w:eastAsia="宋体" w:cs="宋体"/>
                <w:bCs/>
                <w:smallCaps/>
                <w:sz w:val="24"/>
              </w:rPr>
              <w:t>主观分</w:t>
            </w:r>
          </w:p>
        </w:tc>
      </w:tr>
      <w:tr w14:paraId="4822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0" w:type="dxa"/>
            <w:vMerge w:val="continue"/>
            <w:noWrap w:val="0"/>
            <w:vAlign w:val="top"/>
          </w:tcPr>
          <w:p w14:paraId="1DEF991C">
            <w:pPr>
              <w:spacing w:line="240" w:lineRule="atLeast"/>
              <w:rPr>
                <w:rFonts w:hint="eastAsia" w:ascii="宋体" w:hAnsi="宋体" w:eastAsia="宋体" w:cs="宋体"/>
                <w:bCs/>
                <w:sz w:val="24"/>
              </w:rPr>
            </w:pPr>
          </w:p>
        </w:tc>
        <w:tc>
          <w:tcPr>
            <w:tcW w:w="586" w:type="dxa"/>
            <w:noWrap w:val="0"/>
            <w:vAlign w:val="center"/>
          </w:tcPr>
          <w:p w14:paraId="23A091FE">
            <w:pPr>
              <w:spacing w:line="240" w:lineRule="atLeast"/>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15</w:t>
            </w:r>
          </w:p>
        </w:tc>
        <w:tc>
          <w:tcPr>
            <w:tcW w:w="6281" w:type="dxa"/>
            <w:gridSpan w:val="2"/>
            <w:noWrap w:val="0"/>
            <w:vAlign w:val="center"/>
          </w:tcPr>
          <w:p w14:paraId="59AF3F24">
            <w:pPr>
              <w:widowControl/>
              <w:spacing w:line="240" w:lineRule="atLeast"/>
              <w:jc w:val="left"/>
              <w:rPr>
                <w:rFonts w:hint="eastAsia" w:ascii="宋体" w:hAnsi="宋体" w:eastAsia="宋体" w:cs="宋体"/>
                <w:bCs/>
                <w:sz w:val="24"/>
              </w:rPr>
            </w:pPr>
            <w:r>
              <w:rPr>
                <w:rFonts w:hint="eastAsia" w:ascii="宋体" w:hAnsi="宋体" w:eastAsia="宋体" w:cs="宋体"/>
                <w:bCs/>
                <w:sz w:val="24"/>
              </w:rPr>
              <w:t>合理化建议：根据本项目情况提出合理化、优化的建议。</w:t>
            </w:r>
          </w:p>
          <w:p w14:paraId="3C3BB45D">
            <w:pPr>
              <w:widowControl/>
              <w:spacing w:line="240" w:lineRule="atLeast"/>
              <w:jc w:val="left"/>
              <w:rPr>
                <w:rFonts w:hint="eastAsia" w:ascii="宋体" w:hAnsi="宋体" w:eastAsia="宋体" w:cs="宋体"/>
                <w:bCs/>
                <w:sz w:val="24"/>
                <w:lang w:val="en-US" w:eastAsia="zh-CN"/>
              </w:rPr>
            </w:pPr>
            <w:r>
              <w:rPr>
                <w:rFonts w:hint="eastAsia" w:ascii="宋体" w:hAnsi="宋体" w:eastAsia="宋体" w:cs="宋体"/>
                <w:bCs/>
                <w:sz w:val="24"/>
              </w:rPr>
              <w:t>（方案详细完善的得3.4-5分，方案较详细完善的1.7-3.3分，方案不够详细完善的得0-1.6分）</w:t>
            </w:r>
          </w:p>
        </w:tc>
        <w:tc>
          <w:tcPr>
            <w:tcW w:w="729" w:type="dxa"/>
            <w:noWrap w:val="0"/>
            <w:vAlign w:val="center"/>
          </w:tcPr>
          <w:p w14:paraId="6981CF64">
            <w:pPr>
              <w:spacing w:line="240" w:lineRule="atLeast"/>
              <w:jc w:val="center"/>
              <w:rPr>
                <w:rFonts w:hint="eastAsia" w:ascii="宋体" w:hAnsi="宋体" w:eastAsia="宋体" w:cs="宋体"/>
                <w:bCs/>
                <w:smallCaps/>
                <w:kern w:val="2"/>
                <w:sz w:val="24"/>
                <w:szCs w:val="24"/>
                <w:lang w:val="en-US" w:eastAsia="zh-CN" w:bidi="ar-SA"/>
              </w:rPr>
            </w:pPr>
            <w:r>
              <w:rPr>
                <w:rFonts w:hint="eastAsia" w:ascii="宋体" w:hAnsi="宋体" w:eastAsia="宋体" w:cs="宋体"/>
                <w:bCs/>
                <w:sz w:val="24"/>
                <w:lang w:val="en-US" w:eastAsia="zh-CN"/>
              </w:rPr>
              <w:t>0-5</w:t>
            </w:r>
          </w:p>
        </w:tc>
        <w:tc>
          <w:tcPr>
            <w:tcW w:w="1014" w:type="dxa"/>
            <w:noWrap w:val="0"/>
            <w:vAlign w:val="center"/>
          </w:tcPr>
          <w:p w14:paraId="3B9E955E">
            <w:pPr>
              <w:spacing w:line="240" w:lineRule="atLeast"/>
              <w:jc w:val="center"/>
              <w:rPr>
                <w:rFonts w:hint="eastAsia" w:ascii="宋体" w:hAnsi="宋体" w:eastAsia="宋体" w:cs="宋体"/>
                <w:bCs/>
                <w:smallCaps/>
                <w:kern w:val="2"/>
                <w:sz w:val="24"/>
                <w:szCs w:val="24"/>
                <w:lang w:val="en-US" w:eastAsia="zh-CN" w:bidi="ar-SA"/>
              </w:rPr>
            </w:pPr>
            <w:r>
              <w:rPr>
                <w:rFonts w:hint="eastAsia" w:ascii="宋体" w:hAnsi="宋体" w:eastAsia="宋体" w:cs="宋体"/>
                <w:bCs/>
                <w:sz w:val="24"/>
              </w:rPr>
              <w:t>主观分</w:t>
            </w:r>
          </w:p>
        </w:tc>
      </w:tr>
    </w:tbl>
    <w:p w14:paraId="6AC929F4">
      <w:pPr>
        <w:keepNext w:val="0"/>
        <w:keepLines w:val="0"/>
        <w:pageBreakBefore w:val="0"/>
        <w:kinsoku/>
        <w:wordWrap/>
        <w:overflowPunct/>
        <w:topLinePunct w:val="0"/>
        <w:autoSpaceDE/>
        <w:autoSpaceDN/>
        <w:bidi w:val="0"/>
        <w:snapToGrid w:val="0"/>
        <w:spacing w:line="360" w:lineRule="atLeast"/>
        <w:textAlignment w:val="auto"/>
        <w:outlineLvl w:val="9"/>
        <w:rPr>
          <w:rFonts w:hint="eastAsia" w:ascii="宋体" w:hAnsi="宋体" w:eastAsia="宋体" w:cs="宋体"/>
          <w:color w:val="auto"/>
          <w:kern w:val="2"/>
          <w:sz w:val="24"/>
          <w:szCs w:val="24"/>
          <w:highlight w:val="none"/>
          <w:lang w:val="en-US" w:eastAsia="zh-CN" w:bidi="ar-SA"/>
        </w:rPr>
      </w:pPr>
    </w:p>
    <w:p w14:paraId="6505558B">
      <w:pPr>
        <w:keepNext w:val="0"/>
        <w:keepLines w:val="0"/>
        <w:pageBreakBefore w:val="0"/>
        <w:kinsoku/>
        <w:wordWrap/>
        <w:overflowPunct/>
        <w:topLinePunct w:val="0"/>
        <w:autoSpaceDE/>
        <w:autoSpaceDN/>
        <w:bidi w:val="0"/>
        <w:snapToGrid w:val="0"/>
        <w:spacing w:line="360" w:lineRule="atLeas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价格分（15分）</w:t>
      </w:r>
    </w:p>
    <w:tbl>
      <w:tblPr>
        <w:tblStyle w:val="64"/>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2126"/>
        <w:gridCol w:w="5953"/>
      </w:tblGrid>
      <w:tr w14:paraId="4A22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262" w:type="dxa"/>
            <w:vAlign w:val="center"/>
          </w:tcPr>
          <w:p w14:paraId="61F0820B">
            <w:pPr>
              <w:pStyle w:val="26"/>
              <w:keepNext w:val="0"/>
              <w:keepLines w:val="0"/>
              <w:pageBreakBefore w:val="0"/>
              <w:kinsoku/>
              <w:wordWrap/>
              <w:overflowPunct/>
              <w:topLinePunct w:val="0"/>
              <w:autoSpaceDE/>
              <w:autoSpaceDN/>
              <w:bidi w:val="0"/>
              <w:adjustRightInd w:val="0"/>
              <w:snapToGrid w:val="0"/>
              <w:spacing w:line="360" w:lineRule="atLeast"/>
              <w:ind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价格分（15分）</w:t>
            </w:r>
          </w:p>
        </w:tc>
        <w:tc>
          <w:tcPr>
            <w:tcW w:w="2126" w:type="dxa"/>
            <w:vAlign w:val="center"/>
          </w:tcPr>
          <w:p w14:paraId="1312AA82">
            <w:pPr>
              <w:pStyle w:val="26"/>
              <w:keepNext w:val="0"/>
              <w:keepLines w:val="0"/>
              <w:pageBreakBefore w:val="0"/>
              <w:kinsoku/>
              <w:wordWrap/>
              <w:overflowPunct/>
              <w:topLinePunct w:val="0"/>
              <w:autoSpaceDE/>
              <w:autoSpaceDN/>
              <w:bidi w:val="0"/>
              <w:adjustRightInd w:val="0"/>
              <w:snapToGrid w:val="0"/>
              <w:spacing w:line="360" w:lineRule="atLeast"/>
              <w:ind w:firstLine="0" w:firstLine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价格权值=0.15</w:t>
            </w:r>
          </w:p>
        </w:tc>
        <w:tc>
          <w:tcPr>
            <w:tcW w:w="5953" w:type="dxa"/>
            <w:vAlign w:val="center"/>
          </w:tcPr>
          <w:p w14:paraId="60E0BD2E">
            <w:pPr>
              <w:autoSpaceDE w:val="0"/>
              <w:autoSpaceDN w:val="0"/>
              <w:spacing w:line="360" w:lineRule="auto"/>
              <w:rPr>
                <w:rFonts w:hint="eastAsia" w:ascii="宋体" w:hAnsi="宋体" w:eastAsia="宋体" w:cs="宋体"/>
                <w:sz w:val="24"/>
              </w:rPr>
            </w:pPr>
            <w:r>
              <w:rPr>
                <w:rFonts w:hint="eastAsia" w:ascii="宋体" w:hAnsi="宋体" w:eastAsia="宋体" w:cs="宋体"/>
                <w:sz w:val="24"/>
              </w:rPr>
              <w:t>最低有效响应价格为评审基准价</w:t>
            </w:r>
          </w:p>
          <w:p w14:paraId="39EDD76C">
            <w:pPr>
              <w:autoSpaceDE w:val="0"/>
              <w:autoSpaceDN w:val="0"/>
              <w:spacing w:line="360" w:lineRule="auto"/>
              <w:rPr>
                <w:rFonts w:hint="eastAsia" w:ascii="宋体" w:hAnsi="宋体" w:eastAsia="宋体" w:cs="宋体"/>
                <w:sz w:val="24"/>
              </w:rPr>
            </w:pPr>
            <w:r>
              <w:rPr>
                <w:rFonts w:hint="eastAsia" w:ascii="宋体" w:hAnsi="宋体" w:eastAsia="宋体" w:cs="宋体"/>
                <w:sz w:val="24"/>
              </w:rPr>
              <w:t xml:space="preserve">响应报价得分=(评审基准价／响应报价)×价格权值×100 </w:t>
            </w:r>
          </w:p>
          <w:p w14:paraId="3500E9D6">
            <w:pPr>
              <w:keepNext w:val="0"/>
              <w:keepLines w:val="0"/>
              <w:pageBreakBefore w:val="0"/>
              <w:kinsoku/>
              <w:wordWrap/>
              <w:overflowPunct/>
              <w:topLinePunct w:val="0"/>
              <w:autoSpaceDE/>
              <w:autoSpaceDN/>
              <w:bidi w:val="0"/>
              <w:snapToGrid w:val="0"/>
              <w:spacing w:after="0" w:line="360" w:lineRule="atLeas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rPr>
              <w:t>（计算得分保留小数点后2位）</w:t>
            </w:r>
          </w:p>
        </w:tc>
      </w:tr>
    </w:tbl>
    <w:p w14:paraId="15A3DEB0">
      <w:pPr>
        <w:widowControl/>
        <w:numPr>
          <w:ilvl w:val="0"/>
          <w:numId w:val="0"/>
        </w:numPr>
        <w:spacing w:line="360" w:lineRule="auto"/>
        <w:ind w:left="753" w:leftChars="0"/>
        <w:rPr>
          <w:rFonts w:hint="eastAsia" w:ascii="宋体" w:hAnsi="宋体" w:eastAsia="宋体" w:cs="宋体"/>
          <w:sz w:val="24"/>
          <w:highlight w:val="none"/>
        </w:rPr>
      </w:pPr>
    </w:p>
    <w:p w14:paraId="1600B8F1">
      <w:pPr>
        <w:widowControl/>
        <w:numPr>
          <w:ilvl w:val="0"/>
          <w:numId w:val="2"/>
        </w:num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文件中如附有外文资料，必须逐一对应翻译成中文并加盖</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公章后附在相关外文资料后面，否则外文资料不予认可。翻译的中文资料与外文资料不符的，均不予认可。翻译严重错误的，将视同提供虚假资料。</w:t>
      </w:r>
    </w:p>
    <w:p w14:paraId="233A056B">
      <w:pPr>
        <w:pStyle w:val="18"/>
        <w:ind w:firstLine="0"/>
        <w:rPr>
          <w:rFonts w:hint="eastAsia" w:ascii="宋体" w:hAnsi="宋体" w:eastAsia="宋体" w:cs="宋体"/>
          <w:highlight w:val="none"/>
        </w:rPr>
      </w:pPr>
    </w:p>
    <w:p w14:paraId="7C52CAA3">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br w:type="page"/>
      </w:r>
    </w:p>
    <w:p w14:paraId="1544AEA0">
      <w:pPr>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22734CCF">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lang w:eastAsia="zh-CN"/>
        </w:rPr>
        <w:t>成交</w:t>
      </w:r>
      <w:r>
        <w:rPr>
          <w:rFonts w:hint="eastAsia" w:ascii="宋体" w:hAnsi="宋体" w:eastAsia="宋体" w:cs="宋体"/>
          <w:color w:val="auto"/>
          <w:kern w:val="0"/>
          <w:sz w:val="24"/>
          <w:highlight w:val="none"/>
        </w:rPr>
        <w:t>候选人的评标方法。</w:t>
      </w:r>
    </w:p>
    <w:p w14:paraId="15ACC687">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3F80A0DC">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4A74F694">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28CA2B2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进行符合性审查，以确定其是否满足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的实质性要求。不满足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的实质性要求的，</w:t>
      </w:r>
      <w:r>
        <w:rPr>
          <w:rFonts w:hint="eastAsia" w:ascii="宋体" w:hAnsi="宋体" w:eastAsia="宋体" w:cs="宋体"/>
          <w:color w:val="auto"/>
          <w:kern w:val="0"/>
          <w:sz w:val="24"/>
          <w:highlight w:val="none"/>
          <w:lang w:eastAsia="zh-CN"/>
        </w:rPr>
        <w:t>交易</w:t>
      </w:r>
      <w:r>
        <w:rPr>
          <w:rFonts w:hint="eastAsia" w:ascii="宋体" w:hAnsi="宋体" w:eastAsia="宋体" w:cs="宋体"/>
          <w:color w:val="auto"/>
          <w:kern w:val="0"/>
          <w:sz w:val="24"/>
          <w:highlight w:val="none"/>
        </w:rPr>
        <w:t>无效。</w:t>
      </w:r>
    </w:p>
    <w:p w14:paraId="5F20D8C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中规定的评标方法和标准，对符合性审查合格的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进行商务和技术评估，综合比较与评价。</w:t>
      </w:r>
    </w:p>
    <w:p w14:paraId="308F35AE">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的商务和技术文件进行评价，并汇总商务技术得分情况。</w:t>
      </w:r>
    </w:p>
    <w:p w14:paraId="0F53D169">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589F7DC9">
      <w:pPr>
        <w:pStyle w:val="131"/>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w:t>
      </w:r>
      <w:r>
        <w:rPr>
          <w:rFonts w:hint="eastAsia" w:ascii="宋体" w:hAnsi="宋体" w:eastAsia="宋体" w:cs="宋体"/>
          <w:color w:val="auto"/>
          <w:kern w:val="0"/>
          <w:highlight w:val="none"/>
          <w:lang w:eastAsia="zh-CN"/>
        </w:rPr>
        <w:t>响应文件</w:t>
      </w:r>
      <w:r>
        <w:rPr>
          <w:rFonts w:hint="eastAsia" w:ascii="宋体" w:hAnsi="宋体" w:eastAsia="宋体" w:cs="宋体"/>
          <w:color w:val="auto"/>
          <w:kern w:val="0"/>
          <w:highlight w:val="none"/>
        </w:rPr>
        <w:t>报价出现前后不一致的，按照下列规定修正：</w:t>
      </w:r>
    </w:p>
    <w:p w14:paraId="30F999B4">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w:t>
      </w:r>
      <w:r>
        <w:rPr>
          <w:rFonts w:hint="eastAsia" w:ascii="宋体" w:hAnsi="宋体" w:eastAsia="宋体" w:cs="宋体"/>
          <w:color w:val="auto"/>
          <w:kern w:val="0"/>
          <w:szCs w:val="24"/>
          <w:highlight w:val="none"/>
          <w:lang w:eastAsia="zh-CN"/>
        </w:rPr>
        <w:t>交易</w:t>
      </w:r>
      <w:r>
        <w:rPr>
          <w:rFonts w:hint="eastAsia" w:ascii="宋体" w:hAnsi="宋体" w:eastAsia="宋体" w:cs="宋体"/>
          <w:color w:val="auto"/>
          <w:kern w:val="0"/>
          <w:szCs w:val="24"/>
          <w:highlight w:val="none"/>
        </w:rPr>
        <w:t>一览表(报价表)内容与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中相应内容不一致的，以</w:t>
      </w:r>
      <w:r>
        <w:rPr>
          <w:rFonts w:hint="eastAsia" w:ascii="宋体" w:hAnsi="宋体" w:eastAsia="宋体" w:cs="宋体"/>
          <w:color w:val="auto"/>
          <w:kern w:val="0"/>
          <w:szCs w:val="24"/>
          <w:highlight w:val="none"/>
          <w:lang w:eastAsia="zh-CN"/>
        </w:rPr>
        <w:t>交易</w:t>
      </w:r>
      <w:r>
        <w:rPr>
          <w:rFonts w:hint="eastAsia" w:ascii="宋体" w:hAnsi="宋体" w:eastAsia="宋体" w:cs="宋体"/>
          <w:color w:val="auto"/>
          <w:kern w:val="0"/>
          <w:szCs w:val="24"/>
          <w:highlight w:val="none"/>
        </w:rPr>
        <w:t>一览表(报价表)为准;</w:t>
      </w:r>
    </w:p>
    <w:p w14:paraId="2F35B787">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4B1A67E6">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w:t>
      </w:r>
      <w:r>
        <w:rPr>
          <w:rFonts w:hint="eastAsia" w:ascii="宋体" w:hAnsi="宋体" w:eastAsia="宋体" w:cs="宋体"/>
          <w:color w:val="auto"/>
          <w:kern w:val="0"/>
          <w:szCs w:val="24"/>
          <w:highlight w:val="none"/>
          <w:lang w:eastAsia="zh-CN"/>
        </w:rPr>
        <w:t>交易</w:t>
      </w:r>
      <w:r>
        <w:rPr>
          <w:rFonts w:hint="eastAsia" w:ascii="宋体" w:hAnsi="宋体" w:eastAsia="宋体" w:cs="宋体"/>
          <w:color w:val="auto"/>
          <w:kern w:val="0"/>
          <w:szCs w:val="24"/>
          <w:highlight w:val="none"/>
        </w:rPr>
        <w:t>一览表的总价为准，并修改单价;</w:t>
      </w:r>
    </w:p>
    <w:p w14:paraId="45FFF233">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03715582">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确认后产生约束力。</w:t>
      </w:r>
    </w:p>
    <w:p w14:paraId="6F965FAA">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相应</w:t>
      </w:r>
      <w:r>
        <w:rPr>
          <w:rFonts w:hint="eastAsia" w:ascii="宋体" w:hAnsi="宋体" w:eastAsia="宋体" w:cs="宋体"/>
          <w:color w:val="auto"/>
          <w:kern w:val="0"/>
          <w:sz w:val="24"/>
          <w:highlight w:val="none"/>
        </w:rPr>
        <w:t>报价的，</w:t>
      </w:r>
      <w:r>
        <w:rPr>
          <w:rFonts w:hint="eastAsia" w:ascii="宋体" w:hAnsi="宋体" w:eastAsia="宋体" w:cs="宋体"/>
          <w:color w:val="auto"/>
          <w:kern w:val="0"/>
          <w:sz w:val="24"/>
          <w:highlight w:val="none"/>
          <w:lang w:eastAsia="zh-CN"/>
        </w:rPr>
        <w:t>交易</w:t>
      </w:r>
      <w:r>
        <w:rPr>
          <w:rFonts w:hint="eastAsia" w:ascii="宋体" w:hAnsi="宋体" w:eastAsia="宋体" w:cs="宋体"/>
          <w:color w:val="auto"/>
          <w:kern w:val="0"/>
          <w:sz w:val="24"/>
          <w:highlight w:val="none"/>
        </w:rPr>
        <w:t>无效。</w:t>
      </w:r>
    </w:p>
    <w:p w14:paraId="03FB698A">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报价超过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交易</w:t>
      </w:r>
      <w:r>
        <w:rPr>
          <w:rFonts w:hint="eastAsia" w:ascii="宋体" w:hAnsi="宋体" w:eastAsia="宋体" w:cs="宋体"/>
          <w:color w:val="auto"/>
          <w:kern w:val="0"/>
          <w:sz w:val="24"/>
          <w:highlight w:val="none"/>
        </w:rPr>
        <w:t>无效。</w:t>
      </w:r>
    </w:p>
    <w:p w14:paraId="4838C9DF">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的报价明显低于其他通过符合性审查</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不能证明其报价合理性的，评标委员会应当将其作为无效</w:t>
      </w:r>
      <w:r>
        <w:rPr>
          <w:rFonts w:hint="eastAsia" w:ascii="宋体" w:hAnsi="宋体" w:eastAsia="宋体" w:cs="宋体"/>
          <w:color w:val="auto"/>
          <w:kern w:val="0"/>
          <w:szCs w:val="24"/>
          <w:highlight w:val="none"/>
          <w:lang w:eastAsia="zh-CN"/>
        </w:rPr>
        <w:t>响应</w:t>
      </w:r>
      <w:r>
        <w:rPr>
          <w:rFonts w:hint="eastAsia" w:ascii="宋体" w:hAnsi="宋体" w:eastAsia="宋体" w:cs="宋体"/>
          <w:color w:val="auto"/>
          <w:kern w:val="0"/>
          <w:szCs w:val="24"/>
          <w:highlight w:val="none"/>
        </w:rPr>
        <w:t>处理。</w:t>
      </w:r>
    </w:p>
    <w:p w14:paraId="02420766">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报价由低到高顺序排列。得分且</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报价相同的并列。</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为排名第一的</w:t>
      </w:r>
      <w:r>
        <w:rPr>
          <w:rFonts w:hint="eastAsia" w:ascii="宋体" w:hAnsi="宋体" w:eastAsia="宋体" w:cs="宋体"/>
          <w:color w:val="auto"/>
          <w:kern w:val="0"/>
          <w:sz w:val="24"/>
          <w:highlight w:val="none"/>
          <w:lang w:eastAsia="zh-CN"/>
        </w:rPr>
        <w:t>成交</w:t>
      </w:r>
      <w:r>
        <w:rPr>
          <w:rFonts w:hint="eastAsia" w:ascii="宋体" w:hAnsi="宋体" w:eastAsia="宋体" w:cs="宋体"/>
          <w:color w:val="auto"/>
          <w:kern w:val="0"/>
          <w:sz w:val="24"/>
          <w:highlight w:val="none"/>
        </w:rPr>
        <w:t>候选人。</w:t>
      </w:r>
    </w:p>
    <w:p w14:paraId="307642A7">
      <w:pPr>
        <w:spacing w:line="360" w:lineRule="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参加同一合同项下</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的，按一家</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计算，评审后得分最高的同品牌</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获得</w:t>
      </w:r>
      <w:r>
        <w:rPr>
          <w:rFonts w:hint="eastAsia" w:ascii="宋体" w:hAnsi="宋体" w:eastAsia="宋体" w:cs="宋体"/>
          <w:color w:val="auto"/>
          <w:kern w:val="0"/>
          <w:sz w:val="24"/>
          <w:highlight w:val="none"/>
          <w:lang w:eastAsia="zh-CN"/>
        </w:rPr>
        <w:t>成交</w:t>
      </w:r>
      <w:r>
        <w:rPr>
          <w:rFonts w:hint="eastAsia" w:ascii="宋体" w:hAnsi="宋体" w:eastAsia="宋体" w:cs="宋体"/>
          <w:color w:val="auto"/>
          <w:kern w:val="0"/>
          <w:sz w:val="24"/>
          <w:highlight w:val="none"/>
        </w:rPr>
        <w:t>人推荐资格；评审得分相同的，采取随机抽取方式确定，其他同品牌</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不作为</w:t>
      </w:r>
      <w:r>
        <w:rPr>
          <w:rFonts w:hint="eastAsia" w:ascii="宋体" w:hAnsi="宋体" w:eastAsia="宋体" w:cs="宋体"/>
          <w:color w:val="auto"/>
          <w:kern w:val="0"/>
          <w:sz w:val="24"/>
          <w:highlight w:val="none"/>
          <w:lang w:eastAsia="zh-CN"/>
        </w:rPr>
        <w:t>成交</w:t>
      </w:r>
      <w:r>
        <w:rPr>
          <w:rFonts w:hint="eastAsia" w:ascii="宋体" w:hAnsi="宋体" w:eastAsia="宋体" w:cs="宋体"/>
          <w:color w:val="auto"/>
          <w:kern w:val="0"/>
          <w:sz w:val="24"/>
          <w:highlight w:val="none"/>
        </w:rPr>
        <w:t>候选人。</w:t>
      </w:r>
    </w:p>
    <w:p w14:paraId="681A87C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9ED7258">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6A9F1572">
      <w:pPr>
        <w:pStyle w:val="131"/>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w:t>
      </w:r>
      <w:r>
        <w:rPr>
          <w:rFonts w:hint="eastAsia" w:ascii="宋体" w:hAnsi="宋体" w:eastAsia="宋体" w:cs="宋体"/>
          <w:b/>
          <w:color w:val="auto"/>
          <w:kern w:val="0"/>
          <w:szCs w:val="24"/>
          <w:highlight w:val="none"/>
          <w:lang w:eastAsia="zh-CN"/>
        </w:rPr>
        <w:t>供应商</w:t>
      </w:r>
      <w:r>
        <w:rPr>
          <w:rFonts w:hint="eastAsia" w:ascii="宋体" w:hAnsi="宋体" w:eastAsia="宋体" w:cs="宋体"/>
          <w:b/>
          <w:color w:val="auto"/>
          <w:kern w:val="0"/>
          <w:szCs w:val="24"/>
          <w:highlight w:val="none"/>
        </w:rPr>
        <w:t>澄清、说明或者补正。</w:t>
      </w:r>
      <w:r>
        <w:rPr>
          <w:rFonts w:hint="eastAsia" w:ascii="宋体" w:hAnsi="宋体" w:eastAsia="宋体" w:cs="宋体"/>
          <w:color w:val="auto"/>
          <w:kern w:val="0"/>
          <w:szCs w:val="24"/>
          <w:highlight w:val="none"/>
        </w:rPr>
        <w:t>对于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中含义不明确、同类问题表述不一致或者有明显文字和计算错误的内容需要</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作出必要的澄清、说明或者补正的，评标委员会和</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通过电子交易平台交换数据电文，</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提交使用电子签名的相关数据电文或通过平台上传加盖公章的扫描件。给予</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提交澄清、说明或补正的时间不得少于半小时，</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已经明确表示澄清说明或补正完毕的除外。</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的澄清、说明或者补正不得超出</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的范围或者改变</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的实质性内容。</w:t>
      </w:r>
    </w:p>
    <w:p w14:paraId="2C77F3E1">
      <w:pPr>
        <w:pStyle w:val="2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w:t>
      </w:r>
      <w:r>
        <w:rPr>
          <w:rFonts w:hint="eastAsia" w:ascii="宋体" w:hAnsi="宋体" w:eastAsia="宋体" w:cs="宋体"/>
          <w:b/>
          <w:color w:val="auto"/>
          <w:kern w:val="0"/>
          <w:highlight w:val="none"/>
          <w:lang w:eastAsia="zh-CN"/>
        </w:rPr>
        <w:t>交易</w:t>
      </w:r>
      <w:r>
        <w:rPr>
          <w:rFonts w:hint="eastAsia" w:ascii="宋体" w:hAnsi="宋体" w:eastAsia="宋体" w:cs="宋体"/>
          <w:b/>
          <w:color w:val="auto"/>
          <w:kern w:val="0"/>
          <w:highlight w:val="none"/>
        </w:rPr>
        <w:t>无效。</w:t>
      </w:r>
      <w:r>
        <w:rPr>
          <w:rFonts w:hint="eastAsia" w:ascii="宋体" w:hAnsi="宋体" w:eastAsia="宋体" w:cs="宋体"/>
          <w:color w:val="auto"/>
          <w:szCs w:val="21"/>
          <w:highlight w:val="none"/>
        </w:rPr>
        <w:t>有下列情形之一的，</w:t>
      </w:r>
      <w:r>
        <w:rPr>
          <w:rFonts w:hint="eastAsia" w:ascii="宋体" w:hAnsi="宋体" w:eastAsia="宋体" w:cs="宋体"/>
          <w:color w:val="auto"/>
          <w:szCs w:val="21"/>
          <w:highlight w:val="none"/>
          <w:lang w:eastAsia="zh-CN"/>
        </w:rPr>
        <w:t>交易</w:t>
      </w:r>
      <w:r>
        <w:rPr>
          <w:rFonts w:hint="eastAsia" w:ascii="宋体" w:hAnsi="宋体" w:eastAsia="宋体" w:cs="宋体"/>
          <w:color w:val="auto"/>
          <w:szCs w:val="21"/>
          <w:highlight w:val="none"/>
        </w:rPr>
        <w:t>无效：</w:t>
      </w:r>
    </w:p>
    <w:p w14:paraId="6ED1A2F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中规定的资格要求的（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未提供有效的资格文件的，视为</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中规定的资格要求）；</w:t>
      </w:r>
    </w:p>
    <w:p w14:paraId="6F33F9E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未按照</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要求签署、盖章的；</w:t>
      </w:r>
    </w:p>
    <w:p w14:paraId="59B8ADC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含有采购人不能接受的附加条件的；</w:t>
      </w:r>
    </w:p>
    <w:p w14:paraId="799D26A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中承诺的</w:t>
      </w:r>
      <w:r>
        <w:rPr>
          <w:rFonts w:hint="eastAsia" w:ascii="宋体" w:hAnsi="宋体" w:eastAsia="宋体" w:cs="宋体"/>
          <w:color w:val="auto"/>
          <w:kern w:val="0"/>
          <w:sz w:val="24"/>
          <w:highlight w:val="none"/>
          <w:lang w:eastAsia="zh-CN"/>
        </w:rPr>
        <w:t>交易</w:t>
      </w:r>
      <w:r>
        <w:rPr>
          <w:rFonts w:hint="eastAsia" w:ascii="宋体" w:hAnsi="宋体" w:eastAsia="宋体" w:cs="宋体"/>
          <w:color w:val="auto"/>
          <w:kern w:val="0"/>
          <w:sz w:val="24"/>
          <w:highlight w:val="none"/>
        </w:rPr>
        <w:t>有效期少于</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中载明的</w:t>
      </w:r>
      <w:r>
        <w:rPr>
          <w:rFonts w:hint="eastAsia" w:ascii="宋体" w:hAnsi="宋体" w:eastAsia="宋体" w:cs="宋体"/>
          <w:color w:val="auto"/>
          <w:kern w:val="0"/>
          <w:sz w:val="24"/>
          <w:highlight w:val="none"/>
          <w:lang w:eastAsia="zh-CN"/>
        </w:rPr>
        <w:t>交易</w:t>
      </w:r>
      <w:r>
        <w:rPr>
          <w:rFonts w:hint="eastAsia" w:ascii="宋体" w:hAnsi="宋体" w:eastAsia="宋体" w:cs="宋体"/>
          <w:color w:val="auto"/>
          <w:kern w:val="0"/>
          <w:sz w:val="24"/>
          <w:highlight w:val="none"/>
        </w:rPr>
        <w:t>有效期的；</w:t>
      </w:r>
    </w:p>
    <w:p w14:paraId="4F36B37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报价的;</w:t>
      </w:r>
    </w:p>
    <w:p w14:paraId="5DBB2F0C">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报价超过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中规定的预算金额或者最高限价的;</w:t>
      </w:r>
    </w:p>
    <w:p w14:paraId="08794E0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4.2.7报价明显低于其他通过符合性审查</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的报价，有可能影响产品质量或者不能诚信履约的，未能按要求提供书面说明或者提交相关证明材料，不能证明其报价合理性的;</w:t>
      </w:r>
    </w:p>
    <w:p w14:paraId="10A5F03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对根据修正原则修正后的报价不确认的；</w:t>
      </w:r>
    </w:p>
    <w:p w14:paraId="16DD757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提供虚假材料</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的；</w:t>
      </w:r>
    </w:p>
    <w:p w14:paraId="6C36D5A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有恶意串通、妨碍其他</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的竞争行为、损害采购人或者其他</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的合法权益情形的；</w:t>
      </w:r>
    </w:p>
    <w:p w14:paraId="17E68688">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仅提交备份</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，未在电子交易平台传输递交</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w:t>
      </w:r>
      <w:r>
        <w:rPr>
          <w:rFonts w:hint="eastAsia" w:ascii="宋体" w:hAnsi="宋体" w:eastAsia="宋体" w:cs="宋体"/>
          <w:color w:val="auto"/>
          <w:kern w:val="0"/>
          <w:sz w:val="24"/>
          <w:highlight w:val="none"/>
        </w:rPr>
        <w:t>无效；</w:t>
      </w:r>
    </w:p>
    <w:p w14:paraId="0BE9CA9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w:t>
      </w:r>
      <w:r>
        <w:rPr>
          <w:rFonts w:hint="eastAsia" w:ascii="宋体" w:hAnsi="宋体" w:eastAsia="宋体" w:cs="宋体"/>
          <w:b w:val="0"/>
          <w:bCs w:val="0"/>
          <w:color w:val="auto"/>
          <w:kern w:val="0"/>
          <w:sz w:val="24"/>
          <w:szCs w:val="24"/>
          <w:highlight w:val="none"/>
          <w:lang w:val="en-US" w:eastAsia="zh-CN"/>
        </w:rPr>
        <w:t>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交易文件</w:t>
      </w:r>
      <w:r>
        <w:rPr>
          <w:rFonts w:hint="eastAsia" w:ascii="宋体" w:hAnsi="宋体" w:eastAsia="宋体" w:cs="宋体"/>
          <w:b w:val="0"/>
          <w:bCs w:val="0"/>
          <w:color w:val="auto"/>
          <w:kern w:val="0"/>
          <w:sz w:val="24"/>
          <w:szCs w:val="24"/>
          <w:highlight w:val="none"/>
          <w:lang w:val="en-US"/>
        </w:rPr>
        <w:t>的其它实质性要求的；</w:t>
      </w:r>
    </w:p>
    <w:p w14:paraId="54A36CB1">
      <w:pPr>
        <w:spacing w:line="360" w:lineRule="auto"/>
        <w:ind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法律、法规、规章（适用本市的）及省级以上规范性文件（适用本市的）规定的其他无效情形。</w:t>
      </w:r>
    </w:p>
    <w:p w14:paraId="3002C23B">
      <w:pPr>
        <w:pStyle w:val="2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在采购中，出现下列情形之一的，应予废标：</w:t>
      </w:r>
    </w:p>
    <w:p w14:paraId="2501EA7F">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作实质响应的供应商不足3家的；</w:t>
      </w:r>
    </w:p>
    <w:p w14:paraId="5E661E4C">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E9299C9">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的报价均超过了采购预算，采购人不能支付的；</w:t>
      </w:r>
    </w:p>
    <w:p w14:paraId="4B11E3C8">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01FFE4A3">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w:t>
      </w:r>
    </w:p>
    <w:p w14:paraId="6C8E0988">
      <w:pPr>
        <w:pStyle w:val="2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w:t>
      </w:r>
      <w:r>
        <w:rPr>
          <w:rFonts w:hint="eastAsia" w:ascii="宋体" w:hAnsi="宋体" w:eastAsia="宋体" w:cs="宋体"/>
          <w:b/>
          <w:color w:val="auto"/>
          <w:highlight w:val="none"/>
          <w:lang w:eastAsia="zh-CN"/>
        </w:rPr>
        <w:t>交易文件</w:t>
      </w:r>
      <w:r>
        <w:rPr>
          <w:rFonts w:hint="eastAsia" w:ascii="宋体" w:hAnsi="宋体" w:eastAsia="宋体" w:cs="宋体"/>
          <w:b/>
          <w:color w:val="auto"/>
          <w:highlight w:val="none"/>
        </w:rPr>
        <w:t>，重新组织采购活动。</w:t>
      </w:r>
      <w:r>
        <w:rPr>
          <w:rFonts w:hint="eastAsia" w:ascii="宋体" w:hAnsi="宋体" w:eastAsia="宋体" w:cs="宋体"/>
          <w:color w:val="auto"/>
          <w:highlight w:val="none"/>
        </w:rPr>
        <w:t>评标委员会发现</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存在歧义、重大缺陷导致评标工作无法进行，或者</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内容违反国家有关强制性规定的，将停止评标工作，并与采购人、采购机构沟通并作书面记录。采购人、采购机构确认后，将修改</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，重新组织采购活动。</w:t>
      </w:r>
    </w:p>
    <w:p w14:paraId="14BB42F5">
      <w:pPr>
        <w:pStyle w:val="2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有影响或者可能影响成交、成交结果的，依照下列规定处理：</w:t>
      </w:r>
    </w:p>
    <w:p w14:paraId="50F69835">
      <w:pPr>
        <w:pStyle w:val="26"/>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7.1未确定成交或者成交人的，终止本次采购活动，重新开展采购活动。</w:t>
      </w:r>
    </w:p>
    <w:p w14:paraId="4C30AD66">
      <w:pPr>
        <w:pStyle w:val="26"/>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7.2已确定成交或者成交人但尚未签订采购合同的，成交或者成交结果无效，从合格的成交或者成交候选人中另行确定成交或者成交人；没有合格的成交或者成交候选人的，重新开展采购活动。</w:t>
      </w:r>
    </w:p>
    <w:p w14:paraId="4A52DDAF">
      <w:pPr>
        <w:pStyle w:val="26"/>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7.3采购合同已签订但尚未履行的，撤销合同，从合格的成交或者成交候选人中另行确定成交或者成交人；没有合格的成交或者成交候选人的，重新开展采购活动。</w:t>
      </w:r>
    </w:p>
    <w:p w14:paraId="23F870C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7.4采购合同已经履行，给采购人、供应商造成损失的，由责任人承担赔偿责任。</w:t>
      </w:r>
    </w:p>
    <w:p w14:paraId="15B9704D">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7.5采购当事人有其他违反相关</w:t>
      </w:r>
      <w:r>
        <w:rPr>
          <w:rFonts w:hint="eastAsia" w:ascii="宋体" w:hAnsi="宋体" w:eastAsia="宋体" w:cs="宋体"/>
          <w:color w:val="auto"/>
          <w:kern w:val="0"/>
          <w:highlight w:val="none"/>
        </w:rPr>
        <w:t>法律法规规定</w:t>
      </w:r>
      <w:r>
        <w:rPr>
          <w:rFonts w:hint="eastAsia" w:ascii="宋体" w:hAnsi="宋体" w:eastAsia="宋体" w:cs="宋体"/>
          <w:color w:val="auto"/>
          <w:highlight w:val="none"/>
        </w:rPr>
        <w:t>的行为，经改正后仍然影响或者可能影响成交、成交结果或者依法被认定为成交、成交无效的，依照7.1-7.4规定处理。</w:t>
      </w:r>
    </w:p>
    <w:bookmarkEnd w:id="15"/>
    <w:p w14:paraId="4F369917">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83" w:name="第五部分"/>
      <w:bookmarkStart w:id="384" w:name="_Toc86217003"/>
    </w:p>
    <w:p w14:paraId="07720BA9">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6A24B0DF">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6D478AD6">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621C5C29">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62063D09">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26D15F79">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0960686">
      <w:pPr>
        <w:spacing w:line="360" w:lineRule="auto"/>
        <w:ind w:left="-420" w:leftChars="-200" w:right="-420" w:rightChars="-200" w:firstLine="723" w:firstLineChars="200"/>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36"/>
          <w:highlight w:val="none"/>
        </w:rPr>
        <w:t xml:space="preserve">第五部分 </w:t>
      </w:r>
      <w:bookmarkEnd w:id="383"/>
      <w:r>
        <w:rPr>
          <w:rFonts w:hint="eastAsia" w:ascii="宋体" w:hAnsi="宋体" w:eastAsia="宋体" w:cs="宋体"/>
          <w:b/>
          <w:color w:val="auto"/>
          <w:sz w:val="36"/>
          <w:szCs w:val="20"/>
          <w:highlight w:val="none"/>
        </w:rPr>
        <w:t xml:space="preserve"> </w:t>
      </w:r>
      <w:bookmarkEnd w:id="384"/>
      <w:r>
        <w:rPr>
          <w:rFonts w:hint="eastAsia" w:ascii="宋体" w:hAnsi="宋体" w:eastAsia="宋体" w:cs="宋体"/>
          <w:b/>
          <w:color w:val="auto"/>
          <w:sz w:val="36"/>
          <w:szCs w:val="20"/>
          <w:highlight w:val="none"/>
        </w:rPr>
        <w:t>应提交的有关格式范例</w:t>
      </w:r>
    </w:p>
    <w:p w14:paraId="7896AD4C">
      <w:pPr>
        <w:spacing w:line="360" w:lineRule="auto"/>
        <w:jc w:val="center"/>
        <w:outlineLvl w:val="0"/>
        <w:rPr>
          <w:rFonts w:hint="eastAsia" w:ascii="宋体" w:hAnsi="宋体" w:eastAsia="宋体" w:cs="宋体"/>
          <w:b/>
          <w:color w:val="auto"/>
          <w:kern w:val="0"/>
          <w:sz w:val="36"/>
          <w:szCs w:val="36"/>
          <w:highlight w:val="none"/>
        </w:rPr>
      </w:pPr>
    </w:p>
    <w:p w14:paraId="419741C3">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6BAEB21E">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3D5C5F24">
      <w:pPr>
        <w:spacing w:line="360" w:lineRule="auto"/>
        <w:jc w:val="center"/>
        <w:outlineLvl w:val="0"/>
        <w:rPr>
          <w:rFonts w:hint="eastAsia" w:ascii="宋体" w:hAnsi="宋体" w:eastAsia="宋体" w:cs="宋体"/>
          <w:b/>
          <w:color w:val="auto"/>
          <w:kern w:val="0"/>
          <w:sz w:val="36"/>
          <w:szCs w:val="36"/>
          <w:highlight w:val="none"/>
        </w:rPr>
      </w:pPr>
    </w:p>
    <w:p w14:paraId="7768039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（1）符合参加采购活动应当具备的一般条件的承诺函……………（页码）</w:t>
      </w:r>
    </w:p>
    <w:p w14:paraId="01D059D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（2）落实采购政策需满足的资格要求………………………………（页码）</w:t>
      </w:r>
    </w:p>
    <w:p w14:paraId="26D24F8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（3）本项目的特定资格要求…………………………………………（页码）</w:t>
      </w:r>
    </w:p>
    <w:p w14:paraId="7739A31D">
      <w:pPr>
        <w:pStyle w:val="8"/>
        <w:rPr>
          <w:rFonts w:hint="eastAsia" w:ascii="宋体" w:hAnsi="宋体" w:eastAsia="宋体" w:cs="宋体"/>
          <w:highlight w:val="none"/>
        </w:rPr>
      </w:pPr>
    </w:p>
    <w:p w14:paraId="7A95DABF">
      <w:pPr>
        <w:snapToGrid w:val="0"/>
        <w:spacing w:line="360" w:lineRule="auto"/>
        <w:ind w:right="480"/>
        <w:jc w:val="center"/>
        <w:rPr>
          <w:rFonts w:ascii="宋体" w:hAnsi="宋体" w:cs="宋体"/>
          <w:b/>
          <w:color w:val="auto"/>
          <w:kern w:val="0"/>
          <w:sz w:val="32"/>
          <w:szCs w:val="32"/>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w:t>
      </w:r>
      <w:r>
        <w:rPr>
          <w:rFonts w:hint="eastAsia" w:ascii="宋体" w:hAnsi="宋体" w:cs="宋体"/>
          <w:b/>
          <w:color w:val="auto"/>
          <w:kern w:val="0"/>
          <w:sz w:val="32"/>
          <w:szCs w:val="32"/>
        </w:rPr>
        <w:t xml:space="preserve"> 一、 符合参加政府采购活动应当具备的一般条件的承诺函</w:t>
      </w:r>
    </w:p>
    <w:p w14:paraId="02351684">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5D084F2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297952F0">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6B8B463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2F2C1D7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353AE8E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6EAE137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229E424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6D4A3A6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5BEEE4F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5B30189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70DBF4B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29DDCEC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020AF7C5">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2409D76B">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2FDFCB3">
      <w:pPr>
        <w:snapToGrid w:val="0"/>
        <w:spacing w:line="360" w:lineRule="auto"/>
        <w:ind w:right="480" w:firstLine="559" w:firstLineChars="233"/>
        <w:jc w:val="left"/>
        <w:rPr>
          <w:rFonts w:ascii="宋体" w:hAnsi="宋体" w:cs="宋体"/>
          <w:b/>
          <w:color w:val="auto"/>
          <w:kern w:val="0"/>
          <w:sz w:val="32"/>
          <w:szCs w:val="32"/>
        </w:rPr>
      </w:pPr>
      <w:r>
        <w:rPr>
          <w:rFonts w:hint="eastAsia" w:cs="仿宋_GB2312" w:asciiTheme="minorEastAsia" w:hAnsiTheme="minorEastAsia" w:eastAsiaTheme="minorEastAsia"/>
          <w:color w:val="auto"/>
          <w:sz w:val="24"/>
          <w:highlight w:val="cyan"/>
        </w:rPr>
        <w:t>注：根据《</w:t>
      </w:r>
      <w:r>
        <w:rPr>
          <w:rFonts w:cs="仿宋_GB2312" w:asciiTheme="minorEastAsia" w:hAnsiTheme="minorEastAsia" w:eastAsiaTheme="minorEastAsia"/>
          <w:color w:val="auto"/>
          <w:sz w:val="24"/>
          <w:highlight w:val="cyan"/>
        </w:rPr>
        <w:t>关于规范政府采购供应商资格设定及资格审查的通知</w:t>
      </w:r>
      <w:r>
        <w:rPr>
          <w:rFonts w:hint="eastAsia" w:cs="仿宋_GB2312" w:asciiTheme="minorEastAsia" w:hAnsiTheme="minorEastAsia" w:eastAsiaTheme="minorEastAsia"/>
          <w:color w:val="auto"/>
          <w:sz w:val="24"/>
          <w:highlight w:val="cyan"/>
        </w:rPr>
        <w:t>》（</w:t>
      </w:r>
      <w:r>
        <w:rPr>
          <w:rFonts w:cs="仿宋_GB2312" w:asciiTheme="minorEastAsia" w:hAnsiTheme="minorEastAsia" w:eastAsiaTheme="minorEastAsia"/>
          <w:color w:val="auto"/>
          <w:sz w:val="24"/>
          <w:highlight w:val="cyan"/>
        </w:rPr>
        <w:t>浙财采监[2013]24号</w:t>
      </w:r>
      <w:r>
        <w:rPr>
          <w:rFonts w:hint="eastAsia" w:cs="仿宋_GB2312" w:asciiTheme="minorEastAsia" w:hAnsiTheme="minorEastAsia" w:eastAsiaTheme="minorEastAsia"/>
          <w:color w:val="auto"/>
          <w:sz w:val="24"/>
          <w:highlight w:val="cyan"/>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cyan"/>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2580AED">
      <w:pPr>
        <w:rPr>
          <w:rFonts w:ascii="宋体" w:hAnsi="宋体" w:cs="宋体"/>
          <w:color w:val="auto"/>
        </w:rPr>
      </w:pPr>
    </w:p>
    <w:p w14:paraId="15A162AA">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98483A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二、落实采购政策需满足的资格要求</w:t>
      </w:r>
    </w:p>
    <w:p w14:paraId="599B1769">
      <w:pPr>
        <w:spacing w:line="360" w:lineRule="auto"/>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公告落实采购政策需满足的资格要求选择提供相应的材料；未要求的，无需提供）</w:t>
      </w:r>
    </w:p>
    <w:p w14:paraId="13A4C429">
      <w:pPr>
        <w:spacing w:line="360" w:lineRule="auto"/>
        <w:jc w:val="both"/>
        <w:rPr>
          <w:rFonts w:hint="eastAsia" w:ascii="宋体" w:hAnsi="宋体" w:eastAsia="宋体" w:cs="宋体"/>
          <w:b/>
          <w:color w:val="auto"/>
          <w:sz w:val="32"/>
          <w:szCs w:val="32"/>
          <w:highlight w:val="none"/>
        </w:rPr>
      </w:pPr>
    </w:p>
    <w:p w14:paraId="523AE148">
      <w:pPr>
        <w:widowControl/>
        <w:spacing w:line="360" w:lineRule="auto"/>
        <w:ind w:firstLine="2249" w:firstLineChars="700"/>
        <w:jc w:val="both"/>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三</w:t>
      </w:r>
      <w:r>
        <w:rPr>
          <w:rFonts w:hint="eastAsia" w:ascii="宋体" w:hAnsi="宋体" w:eastAsia="宋体" w:cs="宋体"/>
          <w:b/>
          <w:color w:val="auto"/>
          <w:kern w:val="0"/>
          <w:sz w:val="32"/>
          <w:szCs w:val="32"/>
          <w:highlight w:val="none"/>
        </w:rPr>
        <w:t>、本项目的特定资格要求</w:t>
      </w:r>
    </w:p>
    <w:p w14:paraId="207DCD7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公告本项目的特定资格要求提供相应的材料；未要求的，无需提供）</w:t>
      </w:r>
    </w:p>
    <w:p w14:paraId="71069280">
      <w:pPr>
        <w:pStyle w:val="2"/>
        <w:rPr>
          <w:rFonts w:hint="eastAsia" w:ascii="宋体" w:hAnsi="宋体" w:eastAsia="宋体" w:cs="宋体"/>
        </w:rPr>
      </w:pPr>
    </w:p>
    <w:p w14:paraId="795A67B2">
      <w:pPr>
        <w:rPr>
          <w:rFonts w:hint="eastAsia" w:ascii="宋体" w:hAnsi="宋体" w:eastAsia="宋体" w:cs="宋体"/>
          <w:color w:val="auto"/>
          <w:highlight w:val="none"/>
        </w:rPr>
      </w:pPr>
    </w:p>
    <w:p w14:paraId="6B447E6A">
      <w:pPr>
        <w:snapToGrid w:val="0"/>
        <w:spacing w:line="360" w:lineRule="auto"/>
        <w:ind w:right="480"/>
        <w:jc w:val="center"/>
        <w:rPr>
          <w:rFonts w:hint="eastAsia" w:ascii="宋体" w:hAnsi="宋体" w:eastAsia="宋体" w:cs="宋体"/>
          <w:b/>
          <w:color w:val="auto"/>
          <w:kern w:val="0"/>
          <w:sz w:val="32"/>
          <w:szCs w:val="32"/>
          <w:highlight w:val="none"/>
        </w:rPr>
      </w:pPr>
    </w:p>
    <w:p w14:paraId="01B123EE">
      <w:pPr>
        <w:rPr>
          <w:rFonts w:hint="eastAsia" w:ascii="宋体" w:hAnsi="宋体" w:eastAsia="宋体" w:cs="宋体"/>
          <w:color w:val="auto"/>
          <w:highlight w:val="none"/>
        </w:rPr>
      </w:pPr>
    </w:p>
    <w:p w14:paraId="321AA5CA">
      <w:pPr>
        <w:snapToGrid w:val="0"/>
        <w:spacing w:line="360" w:lineRule="auto"/>
        <w:ind w:right="480"/>
        <w:jc w:val="center"/>
        <w:rPr>
          <w:rFonts w:hint="eastAsia" w:ascii="宋体" w:hAnsi="宋体" w:eastAsia="宋体" w:cs="宋体"/>
          <w:b/>
          <w:color w:val="auto"/>
          <w:kern w:val="0"/>
          <w:sz w:val="32"/>
          <w:szCs w:val="32"/>
          <w:highlight w:val="none"/>
        </w:rPr>
      </w:pPr>
    </w:p>
    <w:p w14:paraId="33C6ABD8">
      <w:pPr>
        <w:snapToGrid w:val="0"/>
        <w:spacing w:line="360" w:lineRule="auto"/>
        <w:ind w:right="480"/>
        <w:jc w:val="center"/>
        <w:rPr>
          <w:rFonts w:hint="eastAsia" w:ascii="宋体" w:hAnsi="宋体" w:eastAsia="宋体" w:cs="宋体"/>
          <w:b/>
          <w:color w:val="auto"/>
          <w:kern w:val="0"/>
          <w:sz w:val="32"/>
          <w:szCs w:val="32"/>
          <w:highlight w:val="none"/>
        </w:rPr>
      </w:pPr>
    </w:p>
    <w:p w14:paraId="2E1678E1">
      <w:pPr>
        <w:snapToGrid w:val="0"/>
        <w:spacing w:line="360" w:lineRule="auto"/>
        <w:ind w:right="480"/>
        <w:jc w:val="center"/>
        <w:rPr>
          <w:rFonts w:hint="eastAsia" w:ascii="宋体" w:hAnsi="宋体" w:eastAsia="宋体" w:cs="宋体"/>
          <w:b/>
          <w:color w:val="auto"/>
          <w:kern w:val="0"/>
          <w:sz w:val="32"/>
          <w:szCs w:val="32"/>
          <w:highlight w:val="none"/>
        </w:rPr>
      </w:pPr>
    </w:p>
    <w:p w14:paraId="153D30DE">
      <w:pPr>
        <w:snapToGrid w:val="0"/>
        <w:spacing w:line="360" w:lineRule="auto"/>
        <w:ind w:right="480"/>
        <w:jc w:val="center"/>
        <w:rPr>
          <w:rFonts w:hint="eastAsia" w:ascii="宋体" w:hAnsi="宋体" w:eastAsia="宋体" w:cs="宋体"/>
          <w:b/>
          <w:color w:val="auto"/>
          <w:kern w:val="0"/>
          <w:sz w:val="32"/>
          <w:szCs w:val="32"/>
          <w:highlight w:val="none"/>
        </w:rPr>
      </w:pPr>
    </w:p>
    <w:p w14:paraId="46ABC8A2">
      <w:pPr>
        <w:snapToGrid w:val="0"/>
        <w:spacing w:line="360" w:lineRule="auto"/>
        <w:ind w:right="480"/>
        <w:jc w:val="center"/>
        <w:rPr>
          <w:rFonts w:hint="eastAsia" w:ascii="宋体" w:hAnsi="宋体" w:eastAsia="宋体" w:cs="宋体"/>
          <w:b/>
          <w:color w:val="auto"/>
          <w:kern w:val="0"/>
          <w:sz w:val="32"/>
          <w:szCs w:val="32"/>
          <w:highlight w:val="none"/>
        </w:rPr>
      </w:pPr>
    </w:p>
    <w:p w14:paraId="69A8C1FB">
      <w:pPr>
        <w:rPr>
          <w:rFonts w:hint="eastAsia" w:ascii="宋体" w:hAnsi="宋体" w:eastAsia="宋体" w:cs="宋体"/>
          <w:b/>
          <w:color w:val="auto"/>
          <w:kern w:val="0"/>
          <w:sz w:val="36"/>
          <w:szCs w:val="36"/>
          <w:highlight w:val="none"/>
        </w:rPr>
      </w:pPr>
    </w:p>
    <w:p w14:paraId="6AD805AA">
      <w:pPr>
        <w:spacing w:line="360" w:lineRule="auto"/>
        <w:ind w:right="420" w:firstLine="3614" w:firstLineChars="1000"/>
        <w:rPr>
          <w:rFonts w:hint="eastAsia" w:ascii="宋体" w:hAnsi="宋体" w:eastAsia="宋体" w:cs="宋体"/>
          <w:b/>
          <w:color w:val="auto"/>
          <w:kern w:val="0"/>
          <w:sz w:val="36"/>
          <w:szCs w:val="36"/>
          <w:highlight w:val="none"/>
        </w:rPr>
      </w:pPr>
    </w:p>
    <w:p w14:paraId="492DF004">
      <w:pPr>
        <w:spacing w:line="360" w:lineRule="auto"/>
        <w:ind w:right="420"/>
        <w:jc w:val="center"/>
        <w:rPr>
          <w:rFonts w:hint="eastAsia" w:ascii="宋体" w:hAnsi="宋体" w:eastAsia="宋体" w:cs="宋体"/>
          <w:b/>
          <w:color w:val="auto"/>
          <w:kern w:val="0"/>
          <w:sz w:val="36"/>
          <w:szCs w:val="36"/>
          <w:highlight w:val="none"/>
        </w:rPr>
      </w:pPr>
    </w:p>
    <w:p w14:paraId="67F26386">
      <w:pPr>
        <w:pStyle w:val="7"/>
        <w:rPr>
          <w:rFonts w:hint="eastAsia" w:ascii="宋体" w:hAnsi="宋体" w:eastAsia="宋体" w:cs="宋体"/>
          <w:b/>
          <w:color w:val="auto"/>
          <w:kern w:val="0"/>
          <w:sz w:val="36"/>
          <w:szCs w:val="36"/>
          <w:highlight w:val="none"/>
        </w:rPr>
      </w:pPr>
    </w:p>
    <w:p w14:paraId="112476E3">
      <w:pPr>
        <w:rPr>
          <w:rFonts w:hint="eastAsia" w:ascii="宋体" w:hAnsi="宋体" w:eastAsia="宋体" w:cs="宋体"/>
          <w:b/>
          <w:color w:val="auto"/>
          <w:kern w:val="0"/>
          <w:sz w:val="36"/>
          <w:szCs w:val="36"/>
          <w:highlight w:val="none"/>
        </w:rPr>
      </w:pPr>
    </w:p>
    <w:p w14:paraId="7852224F">
      <w:pPr>
        <w:pStyle w:val="7"/>
        <w:rPr>
          <w:rFonts w:hint="eastAsia" w:ascii="宋体" w:hAnsi="宋体" w:eastAsia="宋体" w:cs="宋体"/>
          <w:b/>
          <w:color w:val="auto"/>
          <w:kern w:val="0"/>
          <w:sz w:val="36"/>
          <w:szCs w:val="36"/>
          <w:highlight w:val="none"/>
        </w:rPr>
      </w:pPr>
    </w:p>
    <w:p w14:paraId="47213E8D">
      <w:pPr>
        <w:rPr>
          <w:rFonts w:hint="eastAsia" w:ascii="宋体" w:hAnsi="宋体" w:eastAsia="宋体" w:cs="宋体"/>
          <w:b/>
          <w:color w:val="auto"/>
          <w:kern w:val="0"/>
          <w:sz w:val="36"/>
          <w:szCs w:val="36"/>
          <w:highlight w:val="none"/>
        </w:rPr>
      </w:pPr>
    </w:p>
    <w:p w14:paraId="5C291535">
      <w:pPr>
        <w:pStyle w:val="7"/>
        <w:rPr>
          <w:rFonts w:hint="eastAsia" w:ascii="宋体" w:hAnsi="宋体" w:eastAsia="宋体" w:cs="宋体"/>
        </w:rPr>
      </w:pPr>
    </w:p>
    <w:p w14:paraId="29A19690">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34D1E022">
      <w:pPr>
        <w:spacing w:line="360" w:lineRule="auto"/>
        <w:jc w:val="center"/>
        <w:outlineLvl w:val="0"/>
        <w:rPr>
          <w:rFonts w:hint="eastAsia" w:ascii="宋体" w:hAnsi="宋体" w:eastAsia="宋体" w:cs="宋体"/>
          <w:b/>
          <w:color w:val="auto"/>
          <w:kern w:val="0"/>
          <w:sz w:val="24"/>
          <w:highlight w:val="none"/>
        </w:rPr>
      </w:pPr>
    </w:p>
    <w:p w14:paraId="16598AA7">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53449D28">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72480C6E">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（3）符合性审查资料</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highlight w:val="none"/>
        </w:rPr>
        <w:t>……………………………………………………………………（页码）</w:t>
      </w:r>
    </w:p>
    <w:p w14:paraId="5752B0D2">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评标标准相应的商务技术资料……………………………………………（页码）</w:t>
      </w:r>
    </w:p>
    <w:p w14:paraId="22AE8A19">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标的清单………………………………………………………………（页码）</w:t>
      </w:r>
    </w:p>
    <w:p w14:paraId="4CC12A63">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（6）商务技术偏离表……………………………………………………………（页码）</w:t>
      </w:r>
    </w:p>
    <w:p w14:paraId="4819700B">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采购供应商廉洁自律承诺书</w:t>
      </w:r>
      <w:r>
        <w:rPr>
          <w:rFonts w:hint="eastAsia" w:ascii="宋体" w:hAnsi="宋体" w:eastAsia="宋体" w:cs="宋体"/>
          <w:color w:val="auto"/>
          <w:sz w:val="24"/>
          <w:highlight w:val="none"/>
        </w:rPr>
        <w:t>………………………………………………（页码）</w:t>
      </w:r>
    </w:p>
    <w:p w14:paraId="3F68ECC5">
      <w:pPr>
        <w:snapToGrid w:val="0"/>
        <w:spacing w:line="360" w:lineRule="auto"/>
        <w:jc w:val="center"/>
        <w:rPr>
          <w:rFonts w:hint="eastAsia" w:ascii="宋体" w:hAnsi="宋体" w:eastAsia="宋体" w:cs="宋体"/>
          <w:b/>
          <w:color w:val="auto"/>
          <w:kern w:val="0"/>
          <w:sz w:val="32"/>
          <w:szCs w:val="32"/>
          <w:highlight w:val="none"/>
          <w:lang w:val="zh-CN"/>
        </w:rPr>
      </w:pPr>
    </w:p>
    <w:p w14:paraId="2F32E73F">
      <w:pPr>
        <w:snapToGrid w:val="0"/>
        <w:spacing w:line="360" w:lineRule="auto"/>
        <w:jc w:val="center"/>
        <w:rPr>
          <w:rFonts w:hint="eastAsia" w:ascii="宋体" w:hAnsi="宋体" w:eastAsia="宋体" w:cs="宋体"/>
          <w:b/>
          <w:color w:val="auto"/>
          <w:kern w:val="0"/>
          <w:sz w:val="32"/>
          <w:szCs w:val="32"/>
          <w:highlight w:val="none"/>
          <w:lang w:val="zh-CN"/>
        </w:rPr>
      </w:pPr>
    </w:p>
    <w:p w14:paraId="34958DB4">
      <w:pPr>
        <w:snapToGrid w:val="0"/>
        <w:spacing w:line="360" w:lineRule="auto"/>
        <w:jc w:val="center"/>
        <w:rPr>
          <w:rFonts w:hint="eastAsia" w:ascii="宋体" w:hAnsi="宋体" w:eastAsia="宋体" w:cs="宋体"/>
          <w:b/>
          <w:color w:val="auto"/>
          <w:kern w:val="0"/>
          <w:sz w:val="32"/>
          <w:szCs w:val="32"/>
          <w:highlight w:val="none"/>
          <w:lang w:val="zh-CN"/>
        </w:rPr>
      </w:pPr>
    </w:p>
    <w:p w14:paraId="4EE4D758">
      <w:pPr>
        <w:snapToGrid w:val="0"/>
        <w:spacing w:line="360" w:lineRule="auto"/>
        <w:jc w:val="center"/>
        <w:rPr>
          <w:rFonts w:hint="eastAsia" w:ascii="宋体" w:hAnsi="宋体" w:eastAsia="宋体" w:cs="宋体"/>
          <w:b/>
          <w:color w:val="auto"/>
          <w:kern w:val="0"/>
          <w:sz w:val="32"/>
          <w:szCs w:val="32"/>
          <w:highlight w:val="none"/>
          <w:lang w:val="zh-CN"/>
        </w:rPr>
      </w:pPr>
    </w:p>
    <w:p w14:paraId="6460BF40">
      <w:pPr>
        <w:snapToGrid w:val="0"/>
        <w:spacing w:line="360" w:lineRule="auto"/>
        <w:jc w:val="center"/>
        <w:rPr>
          <w:rFonts w:hint="eastAsia" w:ascii="宋体" w:hAnsi="宋体" w:eastAsia="宋体" w:cs="宋体"/>
          <w:b/>
          <w:color w:val="auto"/>
          <w:kern w:val="0"/>
          <w:sz w:val="32"/>
          <w:szCs w:val="32"/>
          <w:highlight w:val="none"/>
          <w:lang w:val="zh-CN"/>
        </w:rPr>
      </w:pPr>
    </w:p>
    <w:p w14:paraId="04E82514">
      <w:pPr>
        <w:snapToGrid w:val="0"/>
        <w:spacing w:line="360" w:lineRule="auto"/>
        <w:jc w:val="center"/>
        <w:outlineLvl w:val="0"/>
        <w:rPr>
          <w:rFonts w:hint="eastAsia" w:ascii="宋体" w:hAnsi="宋体" w:eastAsia="宋体" w:cs="宋体"/>
          <w:b/>
          <w:color w:val="auto"/>
          <w:kern w:val="0"/>
          <w:sz w:val="32"/>
          <w:szCs w:val="32"/>
          <w:highlight w:val="none"/>
        </w:rPr>
      </w:pPr>
    </w:p>
    <w:p w14:paraId="5D09B505">
      <w:pPr>
        <w:snapToGrid w:val="0"/>
        <w:spacing w:line="360" w:lineRule="auto"/>
        <w:jc w:val="center"/>
        <w:outlineLvl w:val="0"/>
        <w:rPr>
          <w:rFonts w:hint="eastAsia" w:ascii="宋体" w:hAnsi="宋体" w:eastAsia="宋体" w:cs="宋体"/>
          <w:b/>
          <w:color w:val="auto"/>
          <w:kern w:val="0"/>
          <w:sz w:val="32"/>
          <w:szCs w:val="32"/>
          <w:highlight w:val="none"/>
        </w:rPr>
      </w:pPr>
    </w:p>
    <w:p w14:paraId="38FE09AD">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2C90D9B">
      <w:pPr>
        <w:jc w:val="center"/>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eastAsia="zh-CN"/>
        </w:rPr>
        <w:t>响应</w:t>
      </w:r>
      <w:r>
        <w:rPr>
          <w:rFonts w:hint="eastAsia" w:ascii="宋体" w:hAnsi="宋体" w:eastAsia="宋体" w:cs="宋体"/>
          <w:b/>
          <w:color w:val="auto"/>
          <w:sz w:val="32"/>
          <w:szCs w:val="32"/>
          <w:highlight w:val="none"/>
        </w:rPr>
        <w:t>函</w:t>
      </w:r>
    </w:p>
    <w:p w14:paraId="302D14D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14:paraId="7F31F11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w:t>
      </w:r>
      <w:r>
        <w:rPr>
          <w:rFonts w:hint="eastAsia" w:ascii="宋体" w:hAnsi="宋体" w:eastAsia="宋体" w:cs="宋体"/>
          <w:color w:val="auto"/>
          <w:sz w:val="24"/>
          <w:highlight w:val="none"/>
          <w:u w:val="single"/>
        </w:rPr>
        <w:t>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的有关活动，并对此项目进行</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。为此：</w:t>
      </w:r>
    </w:p>
    <w:p w14:paraId="3D131BF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有效期从提交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有效期满之前均具有约束力。</w:t>
      </w:r>
    </w:p>
    <w:p w14:paraId="76DC5F6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包括以下内容：</w:t>
      </w:r>
    </w:p>
    <w:p w14:paraId="7E168F15">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5946ACC2">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2.1.1承诺函；</w:t>
      </w:r>
    </w:p>
    <w:p w14:paraId="5139DB1B">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2.1.2落实政府采购政策需满足的资格要求（如果有）</w:t>
      </w:r>
      <w:r>
        <w:rPr>
          <w:rFonts w:hint="eastAsia" w:ascii="宋体" w:hAnsi="宋体" w:eastAsia="宋体" w:cs="宋体"/>
          <w:color w:val="auto"/>
          <w:sz w:val="24"/>
          <w:highlight w:val="none"/>
        </w:rPr>
        <w:t>；</w:t>
      </w:r>
    </w:p>
    <w:p w14:paraId="60ABBE69">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2.1.3本项目的特定资格要求（如果有）；</w:t>
      </w:r>
    </w:p>
    <w:p w14:paraId="6E117997">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 xml:space="preserve"> </w:t>
      </w:r>
      <w:r>
        <w:rPr>
          <w:rFonts w:hint="eastAsia" w:ascii="宋体" w:hAnsi="宋体" w:eastAsia="宋体" w:cs="宋体"/>
          <w:color w:val="auto"/>
          <w:sz w:val="24"/>
          <w:highlight w:val="none"/>
          <w:lang w:val="en-US" w:eastAsia="zh-CN"/>
        </w:rPr>
        <w:t>商务技术</w:t>
      </w:r>
      <w:r>
        <w:rPr>
          <w:rFonts w:hint="eastAsia" w:ascii="宋体" w:hAnsi="宋体" w:eastAsia="宋体" w:cs="宋体"/>
          <w:color w:val="auto"/>
          <w:sz w:val="24"/>
          <w:highlight w:val="none"/>
          <w:lang w:val="zh-CN" w:eastAsia="zh-CN"/>
        </w:rPr>
        <w:t>文件：</w:t>
      </w:r>
    </w:p>
    <w:p w14:paraId="5AB01EF7">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函；</w:t>
      </w:r>
      <w:r>
        <w:rPr>
          <w:rFonts w:hint="eastAsia" w:ascii="宋体" w:hAnsi="宋体" w:eastAsia="宋体" w:cs="宋体"/>
          <w:color w:val="auto"/>
          <w:sz w:val="24"/>
          <w:highlight w:val="none"/>
          <w:lang w:val="zh-CN"/>
        </w:rPr>
        <w:t xml:space="preserve"> </w:t>
      </w:r>
    </w:p>
    <w:p w14:paraId="77949F48">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4DF40C19">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2.2.3符合性审查资料；</w:t>
      </w:r>
    </w:p>
    <w:p w14:paraId="3F161346">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2.2.4评标标准相应的商务技术资料；</w:t>
      </w:r>
    </w:p>
    <w:p w14:paraId="62449776">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2.2.5</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标的清单；</w:t>
      </w:r>
    </w:p>
    <w:p w14:paraId="749EE855">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1FE4ADA7">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采购供应商廉洁自律承诺书</w:t>
      </w:r>
      <w:r>
        <w:rPr>
          <w:rFonts w:hint="eastAsia" w:ascii="宋体" w:hAnsi="宋体" w:eastAsia="宋体" w:cs="宋体"/>
          <w:color w:val="auto"/>
          <w:sz w:val="24"/>
          <w:highlight w:val="none"/>
        </w:rPr>
        <w:t>；</w:t>
      </w:r>
    </w:p>
    <w:p w14:paraId="5E358B57">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39F2DC2A">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2.3.1</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一览表（报价表）；</w:t>
      </w:r>
    </w:p>
    <w:p w14:paraId="5029B83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的全部要求。</w:t>
      </w:r>
    </w:p>
    <w:p w14:paraId="5FA2B29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，我方承诺：</w:t>
      </w:r>
    </w:p>
    <w:p w14:paraId="4133FCD6">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4.1在收到</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通知书后，在</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 xml:space="preserve">通知书规定的期限内与你方签订合同； </w:t>
      </w:r>
    </w:p>
    <w:p w14:paraId="10D07FCD">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40DC34C1">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4.3按照</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 xml:space="preserve">要求提交履约保证金； </w:t>
      </w:r>
    </w:p>
    <w:p w14:paraId="70FAD854">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77F96517">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1B18E68">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 xml:space="preserve">名称（电子签名）：                          </w:t>
      </w:r>
    </w:p>
    <w:p w14:paraId="36D23B93">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  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日</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注：按本格式和要求提供。</w:t>
      </w:r>
    </w:p>
    <w:p w14:paraId="797C3793">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DA6E27F">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382CD72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A3F3509">
      <w:pPr>
        <w:snapToGrid w:val="0"/>
        <w:spacing w:line="360" w:lineRule="auto"/>
        <w:ind w:left="0" w:leftChars="0" w:firstLine="0" w:firstLineChars="0"/>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p>
    <w:p w14:paraId="3B42922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75293FD">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交易的一切事项，其法律后果由我方承担。</w:t>
      </w:r>
    </w:p>
    <w:p w14:paraId="466A8F3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42F878A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4E57A8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4D387B0D">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47CD763E">
      <w:pPr>
        <w:snapToGrid w:val="0"/>
        <w:spacing w:line="360" w:lineRule="auto"/>
        <w:rPr>
          <w:rFonts w:hint="eastAsia" w:ascii="宋体" w:hAnsi="宋体" w:eastAsia="宋体" w:cs="宋体"/>
          <w:color w:val="auto"/>
          <w:sz w:val="24"/>
          <w:highlight w:val="none"/>
        </w:rPr>
      </w:pPr>
    </w:p>
    <w:p w14:paraId="53E8CE63">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14:paraId="635266E4">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w:t>
      </w: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参加</w:t>
      </w:r>
      <w:r>
        <w:rPr>
          <w:rFonts w:hint="eastAsia" w:ascii="宋体" w:hAnsi="宋体" w:eastAsia="宋体" w:cs="宋体"/>
          <w:b/>
          <w:color w:val="auto"/>
          <w:sz w:val="30"/>
          <w:szCs w:val="30"/>
          <w:highlight w:val="none"/>
          <w:lang w:eastAsia="zh-CN"/>
        </w:rPr>
        <w:t>交易</w:t>
      </w:r>
      <w:r>
        <w:rPr>
          <w:rFonts w:hint="eastAsia" w:ascii="宋体" w:hAnsi="宋体" w:eastAsia="宋体" w:cs="宋体"/>
          <w:b/>
          <w:color w:val="auto"/>
          <w:sz w:val="30"/>
          <w:szCs w:val="30"/>
          <w:highlight w:val="none"/>
        </w:rPr>
        <w:t>）</w:t>
      </w:r>
    </w:p>
    <w:p w14:paraId="587812CB">
      <w:pPr>
        <w:pStyle w:val="14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703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14:paraId="0B7860DA">
            <w:pPr>
              <w:pStyle w:val="14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1D70BFD0">
            <w:pPr>
              <w:pStyle w:val="149"/>
              <w:adjustRightInd w:val="0"/>
              <w:spacing w:line="360" w:lineRule="auto"/>
              <w:rPr>
                <w:rFonts w:hint="eastAsia" w:ascii="宋体" w:hAnsi="宋体" w:eastAsia="宋体" w:cs="宋体"/>
                <w:bCs/>
                <w:color w:val="auto"/>
                <w:sz w:val="24"/>
                <w:highlight w:val="none"/>
              </w:rPr>
            </w:pPr>
          </w:p>
        </w:tc>
      </w:tr>
    </w:tbl>
    <w:p w14:paraId="1ED8266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3508B5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756A574A">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17B1D9B">
      <w:pPr>
        <w:jc w:val="center"/>
        <w:rPr>
          <w:rFonts w:hint="eastAsia" w:ascii="宋体" w:hAnsi="宋体" w:eastAsia="宋体" w:cs="宋体"/>
          <w:b/>
          <w:color w:val="auto"/>
          <w:kern w:val="0"/>
          <w:sz w:val="32"/>
          <w:szCs w:val="32"/>
          <w:highlight w:val="none"/>
        </w:rPr>
      </w:pPr>
    </w:p>
    <w:p w14:paraId="50D952D7">
      <w:pPr>
        <w:snapToGrid w:val="0"/>
        <w:spacing w:line="360" w:lineRule="auto"/>
        <w:rPr>
          <w:rFonts w:hint="eastAsia" w:ascii="宋体" w:hAnsi="宋体" w:eastAsia="宋体" w:cs="宋体"/>
          <w:color w:val="auto"/>
          <w:kern w:val="0"/>
          <w:sz w:val="24"/>
          <w:highlight w:val="none"/>
        </w:rPr>
      </w:pPr>
    </w:p>
    <w:p w14:paraId="5A5319EC">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三</w:t>
      </w:r>
      <w:r>
        <w:rPr>
          <w:rFonts w:hint="eastAsia" w:ascii="宋体" w:hAnsi="宋体" w:eastAsia="宋体" w:cs="宋体"/>
          <w:b/>
          <w:color w:val="auto"/>
          <w:kern w:val="0"/>
          <w:sz w:val="32"/>
          <w:szCs w:val="32"/>
          <w:highlight w:val="none"/>
        </w:rPr>
        <w:t>、符合性审查资料</w:t>
      </w:r>
    </w:p>
    <w:p w14:paraId="12BFFCDC">
      <w:pPr>
        <w:jc w:val="center"/>
        <w:rPr>
          <w:rFonts w:hint="eastAsia" w:ascii="宋体" w:hAnsi="宋体" w:eastAsia="宋体" w:cs="宋体"/>
          <w:b/>
          <w:color w:val="auto"/>
          <w:kern w:val="0"/>
          <w:sz w:val="32"/>
          <w:szCs w:val="32"/>
          <w:highlight w:val="none"/>
        </w:rPr>
      </w:pPr>
    </w:p>
    <w:tbl>
      <w:tblPr>
        <w:tblStyle w:val="6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1673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14BFFF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672" w:type="dxa"/>
            <w:vAlign w:val="center"/>
          </w:tcPr>
          <w:p w14:paraId="6C896A8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1681433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29CC155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中的</w:t>
            </w:r>
          </w:p>
          <w:p w14:paraId="36CAC53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371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2FC07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672" w:type="dxa"/>
            <w:vAlign w:val="center"/>
          </w:tcPr>
          <w:p w14:paraId="5558454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要求签署、盖章。</w:t>
            </w:r>
          </w:p>
        </w:tc>
        <w:tc>
          <w:tcPr>
            <w:tcW w:w="2551" w:type="dxa"/>
            <w:vAlign w:val="center"/>
          </w:tcPr>
          <w:p w14:paraId="639528D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的组成部分</w:t>
            </w:r>
          </w:p>
        </w:tc>
        <w:tc>
          <w:tcPr>
            <w:tcW w:w="1418" w:type="dxa"/>
            <w:vAlign w:val="center"/>
          </w:tcPr>
          <w:p w14:paraId="11518D61">
            <w:pPr>
              <w:jc w:val="center"/>
              <w:rPr>
                <w:rFonts w:hint="eastAsia" w:ascii="宋体" w:hAnsi="宋体" w:eastAsia="宋体" w:cs="宋体"/>
                <w:color w:val="auto"/>
                <w:sz w:val="24"/>
                <w:highlight w:val="none"/>
              </w:rPr>
            </w:pPr>
          </w:p>
          <w:p w14:paraId="2AEC7523">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p>
          <w:p w14:paraId="3CEF8508">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C1E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C063C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672" w:type="dxa"/>
            <w:vAlign w:val="center"/>
          </w:tcPr>
          <w:p w14:paraId="2E72C4E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中承诺的</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有效期不少于</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中载明的</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有效期。</w:t>
            </w:r>
          </w:p>
        </w:tc>
        <w:tc>
          <w:tcPr>
            <w:tcW w:w="2551" w:type="dxa"/>
            <w:vAlign w:val="center"/>
          </w:tcPr>
          <w:p w14:paraId="797DE96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函</w:t>
            </w:r>
          </w:p>
        </w:tc>
        <w:tc>
          <w:tcPr>
            <w:tcW w:w="1418" w:type="dxa"/>
            <w:vAlign w:val="center"/>
          </w:tcPr>
          <w:p w14:paraId="5FA1D970">
            <w:pPr>
              <w:jc w:val="center"/>
              <w:rPr>
                <w:rFonts w:hint="eastAsia" w:ascii="宋体" w:hAnsi="宋体" w:eastAsia="宋体" w:cs="宋体"/>
                <w:color w:val="auto"/>
                <w:highlight w:val="none"/>
                <w:lang w:val="en-US"/>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8CF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5CA35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672" w:type="dxa"/>
            <w:vAlign w:val="center"/>
          </w:tcPr>
          <w:p w14:paraId="1B3D898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满足</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的其它实质性要求。</w:t>
            </w:r>
          </w:p>
        </w:tc>
        <w:tc>
          <w:tcPr>
            <w:tcW w:w="2551" w:type="dxa"/>
            <w:vAlign w:val="center"/>
          </w:tcPr>
          <w:p w14:paraId="4BC5D9F8">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其它实质性要求相应的材料（“▲” 系指实质性要求条款，</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无其它实质性要求的，无需提供）</w:t>
            </w:r>
          </w:p>
        </w:tc>
        <w:tc>
          <w:tcPr>
            <w:tcW w:w="1418" w:type="dxa"/>
            <w:vAlign w:val="center"/>
          </w:tcPr>
          <w:p w14:paraId="3B48D0FC">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7516FCC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3759EBB">
      <w:pPr>
        <w:jc w:val="center"/>
        <w:rPr>
          <w:rFonts w:hint="eastAsia" w:ascii="宋体" w:hAnsi="宋体" w:eastAsia="宋体" w:cs="宋体"/>
          <w:b/>
          <w:color w:val="auto"/>
          <w:kern w:val="0"/>
          <w:sz w:val="32"/>
          <w:szCs w:val="32"/>
          <w:highlight w:val="none"/>
        </w:rPr>
      </w:pPr>
    </w:p>
    <w:p w14:paraId="7517D414">
      <w:pPr>
        <w:jc w:val="center"/>
        <w:rPr>
          <w:rFonts w:hint="eastAsia" w:ascii="宋体" w:hAnsi="宋体" w:eastAsia="宋体" w:cs="宋体"/>
          <w:b/>
          <w:color w:val="auto"/>
          <w:kern w:val="0"/>
          <w:sz w:val="32"/>
          <w:szCs w:val="32"/>
          <w:highlight w:val="none"/>
          <w:lang w:eastAsia="zh-CN"/>
        </w:rPr>
      </w:pPr>
    </w:p>
    <w:p w14:paraId="562A5084">
      <w:pPr>
        <w:jc w:val="center"/>
        <w:rPr>
          <w:rFonts w:hint="eastAsia" w:ascii="宋体" w:hAnsi="宋体" w:eastAsia="宋体" w:cs="宋体"/>
          <w:b/>
          <w:color w:val="auto"/>
          <w:kern w:val="0"/>
          <w:sz w:val="32"/>
          <w:szCs w:val="32"/>
          <w:highlight w:val="none"/>
          <w:lang w:eastAsia="zh-CN"/>
        </w:rPr>
      </w:pPr>
    </w:p>
    <w:p w14:paraId="680AC9F5">
      <w:pPr>
        <w:jc w:val="center"/>
        <w:rPr>
          <w:rFonts w:hint="eastAsia" w:ascii="宋体" w:hAnsi="宋体" w:eastAsia="宋体" w:cs="宋体"/>
          <w:b/>
          <w:color w:val="auto"/>
          <w:kern w:val="0"/>
          <w:sz w:val="32"/>
          <w:szCs w:val="32"/>
          <w:highlight w:val="none"/>
          <w:lang w:eastAsia="zh-CN"/>
        </w:rPr>
      </w:pPr>
    </w:p>
    <w:p w14:paraId="45FF08A1">
      <w:pPr>
        <w:jc w:val="center"/>
        <w:rPr>
          <w:rFonts w:hint="eastAsia" w:ascii="宋体" w:hAnsi="宋体" w:eastAsia="宋体" w:cs="宋体"/>
          <w:b/>
          <w:color w:val="auto"/>
          <w:kern w:val="0"/>
          <w:sz w:val="32"/>
          <w:szCs w:val="32"/>
          <w:highlight w:val="none"/>
          <w:lang w:eastAsia="zh-CN"/>
        </w:rPr>
      </w:pPr>
    </w:p>
    <w:p w14:paraId="4C0F0C84">
      <w:pPr>
        <w:jc w:val="center"/>
        <w:rPr>
          <w:rFonts w:hint="eastAsia" w:ascii="宋体" w:hAnsi="宋体" w:eastAsia="宋体" w:cs="宋体"/>
          <w:b/>
          <w:color w:val="auto"/>
          <w:kern w:val="0"/>
          <w:sz w:val="32"/>
          <w:szCs w:val="32"/>
          <w:highlight w:val="none"/>
          <w:lang w:eastAsia="zh-CN"/>
        </w:rPr>
      </w:pPr>
    </w:p>
    <w:p w14:paraId="2F15D568">
      <w:pPr>
        <w:jc w:val="center"/>
        <w:rPr>
          <w:rFonts w:hint="eastAsia" w:ascii="宋体" w:hAnsi="宋体" w:eastAsia="宋体" w:cs="宋体"/>
          <w:b/>
          <w:color w:val="auto"/>
          <w:kern w:val="0"/>
          <w:sz w:val="32"/>
          <w:szCs w:val="32"/>
          <w:highlight w:val="none"/>
          <w:lang w:eastAsia="zh-CN"/>
        </w:rPr>
      </w:pPr>
    </w:p>
    <w:p w14:paraId="204E380A">
      <w:pPr>
        <w:jc w:val="center"/>
        <w:rPr>
          <w:rFonts w:hint="eastAsia" w:ascii="宋体" w:hAnsi="宋体" w:eastAsia="宋体" w:cs="宋体"/>
          <w:b/>
          <w:color w:val="auto"/>
          <w:kern w:val="0"/>
          <w:sz w:val="32"/>
          <w:szCs w:val="32"/>
          <w:highlight w:val="none"/>
          <w:lang w:eastAsia="zh-CN"/>
        </w:rPr>
      </w:pPr>
    </w:p>
    <w:p w14:paraId="61B4F3B6">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、评标标准相应的商务技术资料</w:t>
      </w:r>
    </w:p>
    <w:p w14:paraId="7131CF1E">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w:t>
      </w:r>
      <w:r>
        <w:rPr>
          <w:rFonts w:hint="eastAsia" w:ascii="宋体" w:hAnsi="宋体" w:eastAsia="宋体" w:cs="宋体"/>
          <w:b/>
          <w:color w:val="auto"/>
          <w:sz w:val="24"/>
          <w:highlight w:val="none"/>
          <w:lang w:eastAsia="zh-CN"/>
        </w:rPr>
        <w:t>交易文件</w:t>
      </w:r>
      <w:r>
        <w:rPr>
          <w:rFonts w:hint="eastAsia" w:ascii="宋体" w:hAnsi="宋体" w:eastAsia="宋体" w:cs="宋体"/>
          <w:b/>
          <w:color w:val="auto"/>
          <w:sz w:val="24"/>
          <w:highlight w:val="none"/>
        </w:rPr>
        <w:t>第四部分评标办法前附表中“</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中评标标准相应的商务技术资料目录”提供资料。）</w:t>
      </w:r>
    </w:p>
    <w:p w14:paraId="445DA225">
      <w:pPr>
        <w:jc w:val="center"/>
        <w:rPr>
          <w:rFonts w:hint="eastAsia" w:ascii="宋体" w:hAnsi="宋体" w:eastAsia="宋体" w:cs="宋体"/>
          <w:b/>
          <w:color w:val="auto"/>
          <w:kern w:val="0"/>
          <w:sz w:val="32"/>
          <w:szCs w:val="32"/>
          <w:highlight w:val="none"/>
        </w:rPr>
      </w:pPr>
    </w:p>
    <w:p w14:paraId="6BA655B5">
      <w:pPr>
        <w:jc w:val="center"/>
        <w:rPr>
          <w:rFonts w:hint="eastAsia" w:ascii="宋体" w:hAnsi="宋体" w:eastAsia="宋体" w:cs="宋体"/>
          <w:b/>
          <w:color w:val="auto"/>
          <w:kern w:val="0"/>
          <w:sz w:val="32"/>
          <w:szCs w:val="32"/>
          <w:highlight w:val="none"/>
        </w:rPr>
      </w:pPr>
    </w:p>
    <w:p w14:paraId="45000632">
      <w:pPr>
        <w:jc w:val="center"/>
        <w:rPr>
          <w:rFonts w:hint="eastAsia" w:ascii="宋体" w:hAnsi="宋体" w:eastAsia="宋体" w:cs="宋体"/>
          <w:b/>
          <w:color w:val="auto"/>
          <w:kern w:val="0"/>
          <w:sz w:val="32"/>
          <w:szCs w:val="32"/>
          <w:highlight w:val="none"/>
        </w:rPr>
      </w:pPr>
    </w:p>
    <w:p w14:paraId="725C8267">
      <w:pPr>
        <w:jc w:val="center"/>
        <w:rPr>
          <w:rFonts w:hint="eastAsia" w:ascii="宋体" w:hAnsi="宋体" w:eastAsia="宋体" w:cs="宋体"/>
          <w:b/>
          <w:color w:val="auto"/>
          <w:kern w:val="0"/>
          <w:sz w:val="32"/>
          <w:szCs w:val="32"/>
          <w:highlight w:val="none"/>
        </w:rPr>
      </w:pPr>
    </w:p>
    <w:p w14:paraId="34355EA0">
      <w:pPr>
        <w:jc w:val="center"/>
        <w:rPr>
          <w:rFonts w:hint="eastAsia" w:ascii="宋体" w:hAnsi="宋体" w:eastAsia="宋体" w:cs="宋体"/>
          <w:b/>
          <w:color w:val="auto"/>
          <w:kern w:val="0"/>
          <w:sz w:val="32"/>
          <w:szCs w:val="32"/>
          <w:highlight w:val="none"/>
        </w:rPr>
      </w:pPr>
    </w:p>
    <w:p w14:paraId="0FA214DC">
      <w:pPr>
        <w:jc w:val="center"/>
        <w:rPr>
          <w:rFonts w:hint="eastAsia" w:ascii="宋体" w:hAnsi="宋体" w:eastAsia="宋体" w:cs="宋体"/>
          <w:b/>
          <w:color w:val="auto"/>
          <w:kern w:val="0"/>
          <w:sz w:val="32"/>
          <w:szCs w:val="32"/>
          <w:highlight w:val="none"/>
        </w:rPr>
      </w:pPr>
    </w:p>
    <w:p w14:paraId="6A956B44">
      <w:pPr>
        <w:jc w:val="center"/>
        <w:rPr>
          <w:rFonts w:hint="eastAsia" w:ascii="宋体" w:hAnsi="宋体" w:eastAsia="宋体" w:cs="宋体"/>
          <w:b/>
          <w:color w:val="auto"/>
          <w:kern w:val="0"/>
          <w:sz w:val="32"/>
          <w:szCs w:val="32"/>
          <w:highlight w:val="none"/>
        </w:rPr>
      </w:pPr>
    </w:p>
    <w:p w14:paraId="63B9F94A">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eastAsia="zh-CN"/>
        </w:rPr>
        <w:t>交易</w:t>
      </w:r>
      <w:r>
        <w:rPr>
          <w:rFonts w:hint="eastAsia" w:ascii="宋体" w:hAnsi="宋体" w:eastAsia="宋体" w:cs="宋体"/>
          <w:b/>
          <w:color w:val="auto"/>
          <w:kern w:val="0"/>
          <w:sz w:val="32"/>
          <w:szCs w:val="32"/>
          <w:highlight w:val="none"/>
        </w:rPr>
        <w:t>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557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A978E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34C6A7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3FC436E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3F5C87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5F4706E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4876BA0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203542F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60A0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A3377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2D44D36">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442791A">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968028F">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55C258B">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F931DAB">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B25EBA9">
            <w:pPr>
              <w:spacing w:line="360" w:lineRule="auto"/>
              <w:jc w:val="center"/>
              <w:rPr>
                <w:rFonts w:hint="eastAsia" w:ascii="宋体" w:hAnsi="宋体" w:eastAsia="宋体" w:cs="宋体"/>
                <w:color w:val="auto"/>
                <w:sz w:val="24"/>
                <w:highlight w:val="none"/>
              </w:rPr>
            </w:pPr>
          </w:p>
        </w:tc>
      </w:tr>
      <w:tr w14:paraId="2F75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47EBA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9A8524F">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8CE94D3">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468977C">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FDEF2B">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ABDB655">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ECFC19F">
            <w:pPr>
              <w:spacing w:line="360" w:lineRule="auto"/>
              <w:jc w:val="center"/>
              <w:rPr>
                <w:rFonts w:hint="eastAsia" w:ascii="宋体" w:hAnsi="宋体" w:eastAsia="宋体" w:cs="宋体"/>
                <w:color w:val="auto"/>
                <w:sz w:val="24"/>
                <w:highlight w:val="none"/>
              </w:rPr>
            </w:pPr>
          </w:p>
        </w:tc>
      </w:tr>
      <w:tr w14:paraId="7026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79F92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3C97E39">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E8D2F9B">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302EEAD">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458D6A9">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2030BAF">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D12B7E1">
            <w:pPr>
              <w:spacing w:line="360" w:lineRule="auto"/>
              <w:jc w:val="center"/>
              <w:rPr>
                <w:rFonts w:hint="eastAsia" w:ascii="宋体" w:hAnsi="宋体" w:eastAsia="宋体" w:cs="宋体"/>
                <w:color w:val="auto"/>
                <w:sz w:val="24"/>
                <w:highlight w:val="none"/>
              </w:rPr>
            </w:pPr>
          </w:p>
        </w:tc>
      </w:tr>
    </w:tbl>
    <w:p w14:paraId="08016E2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F724DB5">
      <w:pPr>
        <w:jc w:val="center"/>
        <w:rPr>
          <w:rFonts w:hint="eastAsia" w:ascii="宋体" w:hAnsi="宋体" w:eastAsia="宋体" w:cs="宋体"/>
          <w:b/>
          <w:color w:val="auto"/>
          <w:kern w:val="0"/>
          <w:sz w:val="32"/>
          <w:szCs w:val="32"/>
          <w:highlight w:val="none"/>
        </w:rPr>
      </w:pPr>
    </w:p>
    <w:p w14:paraId="6D3553F5">
      <w:pPr>
        <w:jc w:val="center"/>
        <w:rPr>
          <w:rFonts w:hint="eastAsia" w:ascii="宋体" w:hAnsi="宋体" w:eastAsia="宋体" w:cs="宋体"/>
          <w:b/>
          <w:color w:val="auto"/>
          <w:kern w:val="0"/>
          <w:sz w:val="32"/>
          <w:szCs w:val="32"/>
          <w:highlight w:val="none"/>
        </w:rPr>
      </w:pPr>
    </w:p>
    <w:p w14:paraId="2C1C8709">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六</w:t>
      </w:r>
      <w:r>
        <w:rPr>
          <w:rFonts w:hint="eastAsia" w:ascii="宋体" w:hAnsi="宋体" w:eastAsia="宋体" w:cs="宋体"/>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21E6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29EA7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3A03569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交易文件</w:t>
            </w:r>
            <w:r>
              <w:rPr>
                <w:rFonts w:hint="eastAsia" w:ascii="宋体" w:hAnsi="宋体" w:eastAsia="宋体" w:cs="宋体"/>
                <w:b/>
                <w:bCs/>
                <w:color w:val="auto"/>
                <w:sz w:val="24"/>
                <w:highlight w:val="none"/>
              </w:rPr>
              <w:t>章节及具体内容</w:t>
            </w:r>
          </w:p>
        </w:tc>
        <w:tc>
          <w:tcPr>
            <w:tcW w:w="3546" w:type="dxa"/>
          </w:tcPr>
          <w:p w14:paraId="6B951E4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章节及具体内容</w:t>
            </w:r>
          </w:p>
        </w:tc>
        <w:tc>
          <w:tcPr>
            <w:tcW w:w="1276" w:type="dxa"/>
          </w:tcPr>
          <w:p w14:paraId="18F1FD4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5AEF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4533B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02DDA04B">
            <w:pPr>
              <w:jc w:val="center"/>
              <w:rPr>
                <w:rFonts w:hint="eastAsia" w:ascii="宋体" w:hAnsi="宋体" w:eastAsia="宋体" w:cs="宋体"/>
                <w:b/>
                <w:color w:val="auto"/>
                <w:kern w:val="0"/>
                <w:sz w:val="32"/>
                <w:szCs w:val="32"/>
                <w:highlight w:val="none"/>
              </w:rPr>
            </w:pPr>
          </w:p>
        </w:tc>
        <w:tc>
          <w:tcPr>
            <w:tcW w:w="3546" w:type="dxa"/>
          </w:tcPr>
          <w:p w14:paraId="36010CBD">
            <w:pPr>
              <w:jc w:val="center"/>
              <w:rPr>
                <w:rFonts w:hint="eastAsia" w:ascii="宋体" w:hAnsi="宋体" w:eastAsia="宋体" w:cs="宋体"/>
                <w:b/>
                <w:color w:val="auto"/>
                <w:kern w:val="0"/>
                <w:sz w:val="32"/>
                <w:szCs w:val="32"/>
                <w:highlight w:val="none"/>
              </w:rPr>
            </w:pPr>
          </w:p>
        </w:tc>
        <w:tc>
          <w:tcPr>
            <w:tcW w:w="1276" w:type="dxa"/>
          </w:tcPr>
          <w:p w14:paraId="5727EACC">
            <w:pPr>
              <w:jc w:val="center"/>
              <w:rPr>
                <w:rFonts w:hint="eastAsia" w:ascii="宋体" w:hAnsi="宋体" w:eastAsia="宋体" w:cs="宋体"/>
                <w:b/>
                <w:color w:val="auto"/>
                <w:kern w:val="0"/>
                <w:sz w:val="32"/>
                <w:szCs w:val="32"/>
                <w:highlight w:val="none"/>
              </w:rPr>
            </w:pPr>
          </w:p>
        </w:tc>
      </w:tr>
      <w:tr w14:paraId="2E99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D1F6A4">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77DDE03E">
            <w:pPr>
              <w:jc w:val="center"/>
              <w:rPr>
                <w:rFonts w:hint="eastAsia" w:ascii="宋体" w:hAnsi="宋体" w:eastAsia="宋体" w:cs="宋体"/>
                <w:b/>
                <w:color w:val="auto"/>
                <w:kern w:val="0"/>
                <w:sz w:val="32"/>
                <w:szCs w:val="32"/>
                <w:highlight w:val="none"/>
              </w:rPr>
            </w:pPr>
          </w:p>
        </w:tc>
        <w:tc>
          <w:tcPr>
            <w:tcW w:w="3546" w:type="dxa"/>
          </w:tcPr>
          <w:p w14:paraId="75921E6E">
            <w:pPr>
              <w:jc w:val="center"/>
              <w:rPr>
                <w:rFonts w:hint="eastAsia" w:ascii="宋体" w:hAnsi="宋体" w:eastAsia="宋体" w:cs="宋体"/>
                <w:b/>
                <w:color w:val="auto"/>
                <w:kern w:val="0"/>
                <w:sz w:val="32"/>
                <w:szCs w:val="32"/>
                <w:highlight w:val="none"/>
              </w:rPr>
            </w:pPr>
          </w:p>
        </w:tc>
        <w:tc>
          <w:tcPr>
            <w:tcW w:w="1276" w:type="dxa"/>
          </w:tcPr>
          <w:p w14:paraId="358F430A">
            <w:pPr>
              <w:jc w:val="center"/>
              <w:rPr>
                <w:rFonts w:hint="eastAsia" w:ascii="宋体" w:hAnsi="宋体" w:eastAsia="宋体" w:cs="宋体"/>
                <w:b/>
                <w:color w:val="auto"/>
                <w:kern w:val="0"/>
                <w:sz w:val="32"/>
                <w:szCs w:val="32"/>
                <w:highlight w:val="none"/>
              </w:rPr>
            </w:pPr>
          </w:p>
        </w:tc>
      </w:tr>
      <w:tr w14:paraId="5BDB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6921B1">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0C725870">
            <w:pPr>
              <w:jc w:val="center"/>
              <w:rPr>
                <w:rFonts w:hint="eastAsia" w:ascii="宋体" w:hAnsi="宋体" w:eastAsia="宋体" w:cs="宋体"/>
                <w:b/>
                <w:color w:val="auto"/>
                <w:kern w:val="0"/>
                <w:sz w:val="32"/>
                <w:szCs w:val="32"/>
                <w:highlight w:val="none"/>
              </w:rPr>
            </w:pPr>
          </w:p>
        </w:tc>
        <w:tc>
          <w:tcPr>
            <w:tcW w:w="3546" w:type="dxa"/>
          </w:tcPr>
          <w:p w14:paraId="6182CEB1">
            <w:pPr>
              <w:jc w:val="center"/>
              <w:rPr>
                <w:rFonts w:hint="eastAsia" w:ascii="宋体" w:hAnsi="宋体" w:eastAsia="宋体" w:cs="宋体"/>
                <w:b/>
                <w:color w:val="auto"/>
                <w:kern w:val="0"/>
                <w:sz w:val="32"/>
                <w:szCs w:val="32"/>
                <w:highlight w:val="none"/>
              </w:rPr>
            </w:pPr>
          </w:p>
        </w:tc>
        <w:tc>
          <w:tcPr>
            <w:tcW w:w="1276" w:type="dxa"/>
          </w:tcPr>
          <w:p w14:paraId="444FC2BC">
            <w:pPr>
              <w:jc w:val="center"/>
              <w:rPr>
                <w:rFonts w:hint="eastAsia" w:ascii="宋体" w:hAnsi="宋体" w:eastAsia="宋体" w:cs="宋体"/>
                <w:b/>
                <w:color w:val="auto"/>
                <w:kern w:val="0"/>
                <w:sz w:val="32"/>
                <w:szCs w:val="32"/>
                <w:highlight w:val="none"/>
              </w:rPr>
            </w:pPr>
          </w:p>
        </w:tc>
      </w:tr>
    </w:tbl>
    <w:p w14:paraId="77F95C1B">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保证：除商务技术偏离表列出的偏离外，</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的全部要求</w:t>
      </w:r>
    </w:p>
    <w:p w14:paraId="1ACA999E">
      <w:pPr>
        <w:jc w:val="center"/>
        <w:rPr>
          <w:rFonts w:hint="eastAsia" w:ascii="宋体" w:hAnsi="宋体" w:eastAsia="宋体" w:cs="宋体"/>
          <w:b/>
          <w:color w:val="auto"/>
          <w:kern w:val="0"/>
          <w:sz w:val="32"/>
          <w:szCs w:val="32"/>
          <w:highlight w:val="none"/>
        </w:rPr>
      </w:pPr>
    </w:p>
    <w:p w14:paraId="719315C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3E15695">
      <w:pPr>
        <w:jc w:val="center"/>
        <w:rPr>
          <w:rFonts w:hint="eastAsia" w:ascii="宋体" w:hAnsi="宋体" w:eastAsia="宋体" w:cs="宋体"/>
          <w:b/>
          <w:color w:val="auto"/>
          <w:kern w:val="0"/>
          <w:sz w:val="32"/>
          <w:szCs w:val="32"/>
          <w:highlight w:val="none"/>
        </w:rPr>
      </w:pPr>
    </w:p>
    <w:p w14:paraId="321DB0EA">
      <w:pP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14:paraId="03DAD37F">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eastAsia="zh-CN"/>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采购供应商廉洁自律承诺书</w:t>
      </w:r>
    </w:p>
    <w:p w14:paraId="34806AAB">
      <w:pPr>
        <w:snapToGrid w:val="0"/>
        <w:spacing w:line="360" w:lineRule="auto"/>
        <w:rPr>
          <w:rFonts w:hint="eastAsia" w:ascii="宋体" w:hAnsi="宋体" w:eastAsia="宋体" w:cs="宋体"/>
          <w:color w:val="auto"/>
          <w:sz w:val="24"/>
          <w:highlight w:val="none"/>
        </w:rPr>
      </w:pPr>
    </w:p>
    <w:p w14:paraId="4D1441B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61B4594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项目交易要求参加响应。在这次响应过程中和成交后，我们将严格遵守国家法律法规要求，并郑重承诺：</w:t>
      </w:r>
    </w:p>
    <w:p w14:paraId="50EFB01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E962D4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168D6BD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1FE76A6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5289E317">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4BABE10C">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21F4A5D0">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14:paraId="0311EB8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有权立即取消我单位响应、成交或在建项目的建设资格，有权拒绝我单位在一定时期内进入你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4FC6568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C10087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DC868A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13E0017">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5614F92A">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w:t>
      </w:r>
    </w:p>
    <w:p w14:paraId="732B25D3">
      <w:pPr>
        <w:spacing w:line="360" w:lineRule="auto"/>
        <w:jc w:val="center"/>
        <w:rPr>
          <w:rFonts w:hint="eastAsia" w:ascii="宋体" w:hAnsi="宋体" w:eastAsia="宋体" w:cs="宋体"/>
          <w:b/>
          <w:bCs/>
          <w:color w:val="auto"/>
          <w:sz w:val="24"/>
          <w:highlight w:val="none"/>
        </w:rPr>
      </w:pPr>
    </w:p>
    <w:p w14:paraId="39C3F7B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BB1046D">
      <w:pPr>
        <w:spacing w:line="360" w:lineRule="auto"/>
        <w:jc w:val="center"/>
        <w:rPr>
          <w:rFonts w:hint="eastAsia" w:ascii="宋体" w:hAnsi="宋体" w:eastAsia="宋体" w:cs="宋体"/>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55B2D9B3">
      <w:pPr>
        <w:spacing w:line="360" w:lineRule="auto"/>
        <w:jc w:val="center"/>
        <w:outlineLvl w:val="0"/>
        <w:rPr>
          <w:rFonts w:hint="eastAsia" w:ascii="宋体" w:hAnsi="宋体" w:eastAsia="宋体" w:cs="宋体"/>
          <w:b/>
          <w:color w:val="auto"/>
          <w:kern w:val="0"/>
          <w:sz w:val="36"/>
          <w:szCs w:val="36"/>
          <w:highlight w:val="none"/>
        </w:rPr>
      </w:pPr>
    </w:p>
    <w:p w14:paraId="036432E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1842565D">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13BFA86">
      <w:pPr>
        <w:spacing w:line="360" w:lineRule="auto"/>
        <w:jc w:val="center"/>
        <w:outlineLvl w:val="0"/>
        <w:rPr>
          <w:rFonts w:hint="eastAsia" w:ascii="宋体" w:hAnsi="宋体" w:eastAsia="宋体" w:cs="宋体"/>
          <w:b/>
          <w:color w:val="auto"/>
          <w:kern w:val="0"/>
          <w:sz w:val="36"/>
          <w:szCs w:val="36"/>
          <w:highlight w:val="none"/>
        </w:rPr>
      </w:pPr>
    </w:p>
    <w:p w14:paraId="044C07E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一览表（报价表）………………………………………………………（页码）</w:t>
      </w:r>
    </w:p>
    <w:p w14:paraId="71FB6A36">
      <w:pPr>
        <w:snapToGrid w:val="0"/>
        <w:spacing w:line="360" w:lineRule="auto"/>
        <w:ind w:right="480"/>
        <w:jc w:val="center"/>
        <w:rPr>
          <w:rFonts w:hint="eastAsia" w:ascii="宋体" w:hAnsi="宋体" w:eastAsia="宋体" w:cs="宋体"/>
          <w:b/>
          <w:color w:val="auto"/>
          <w:kern w:val="0"/>
          <w:sz w:val="32"/>
          <w:szCs w:val="32"/>
          <w:highlight w:val="none"/>
        </w:rPr>
      </w:pPr>
    </w:p>
    <w:p w14:paraId="3FAF9068">
      <w:pPr>
        <w:snapToGrid w:val="0"/>
        <w:spacing w:line="360" w:lineRule="auto"/>
        <w:ind w:right="480"/>
        <w:jc w:val="center"/>
        <w:rPr>
          <w:rFonts w:hint="eastAsia" w:ascii="宋体" w:hAnsi="宋体" w:eastAsia="宋体" w:cs="宋体"/>
          <w:b/>
          <w:color w:val="auto"/>
          <w:kern w:val="0"/>
          <w:sz w:val="32"/>
          <w:szCs w:val="32"/>
          <w:highlight w:val="none"/>
        </w:rPr>
      </w:pPr>
    </w:p>
    <w:p w14:paraId="4D53E8C7">
      <w:pPr>
        <w:snapToGrid w:val="0"/>
        <w:spacing w:line="360" w:lineRule="auto"/>
        <w:ind w:right="480"/>
        <w:jc w:val="center"/>
        <w:rPr>
          <w:rFonts w:hint="eastAsia" w:ascii="宋体" w:hAnsi="宋体" w:eastAsia="宋体" w:cs="宋体"/>
          <w:b/>
          <w:color w:val="auto"/>
          <w:kern w:val="0"/>
          <w:sz w:val="32"/>
          <w:szCs w:val="32"/>
          <w:highlight w:val="none"/>
        </w:rPr>
      </w:pPr>
    </w:p>
    <w:p w14:paraId="7D82861E">
      <w:pPr>
        <w:snapToGrid w:val="0"/>
        <w:spacing w:line="360" w:lineRule="auto"/>
        <w:ind w:right="480"/>
        <w:jc w:val="center"/>
        <w:rPr>
          <w:rFonts w:hint="eastAsia" w:ascii="宋体" w:hAnsi="宋体" w:eastAsia="宋体" w:cs="宋体"/>
          <w:b/>
          <w:color w:val="auto"/>
          <w:kern w:val="0"/>
          <w:sz w:val="32"/>
          <w:szCs w:val="32"/>
          <w:highlight w:val="none"/>
        </w:rPr>
      </w:pPr>
    </w:p>
    <w:p w14:paraId="20D74FC0">
      <w:pPr>
        <w:snapToGrid w:val="0"/>
        <w:spacing w:line="360" w:lineRule="auto"/>
        <w:ind w:right="480"/>
        <w:jc w:val="center"/>
        <w:rPr>
          <w:rFonts w:hint="eastAsia" w:ascii="宋体" w:hAnsi="宋体" w:eastAsia="宋体" w:cs="宋体"/>
          <w:b/>
          <w:color w:val="auto"/>
          <w:kern w:val="0"/>
          <w:sz w:val="32"/>
          <w:szCs w:val="32"/>
          <w:highlight w:val="none"/>
        </w:rPr>
      </w:pPr>
    </w:p>
    <w:p w14:paraId="41C32C01">
      <w:pPr>
        <w:snapToGrid w:val="0"/>
        <w:spacing w:line="360" w:lineRule="auto"/>
        <w:ind w:right="480"/>
        <w:jc w:val="center"/>
        <w:rPr>
          <w:rFonts w:hint="eastAsia" w:ascii="宋体" w:hAnsi="宋体" w:eastAsia="宋体" w:cs="宋体"/>
          <w:b/>
          <w:color w:val="auto"/>
          <w:kern w:val="0"/>
          <w:sz w:val="32"/>
          <w:szCs w:val="32"/>
          <w:highlight w:val="none"/>
        </w:rPr>
      </w:pPr>
    </w:p>
    <w:p w14:paraId="5630992B">
      <w:pPr>
        <w:snapToGrid w:val="0"/>
        <w:spacing w:line="360" w:lineRule="auto"/>
        <w:ind w:right="480"/>
        <w:jc w:val="center"/>
        <w:rPr>
          <w:rFonts w:hint="eastAsia" w:ascii="宋体" w:hAnsi="宋体" w:eastAsia="宋体" w:cs="宋体"/>
          <w:b/>
          <w:color w:val="auto"/>
          <w:kern w:val="0"/>
          <w:sz w:val="32"/>
          <w:szCs w:val="32"/>
          <w:highlight w:val="none"/>
        </w:rPr>
      </w:pPr>
    </w:p>
    <w:p w14:paraId="7A136AC5">
      <w:pPr>
        <w:snapToGrid w:val="0"/>
        <w:spacing w:line="360" w:lineRule="auto"/>
        <w:ind w:right="480"/>
        <w:jc w:val="center"/>
        <w:rPr>
          <w:rFonts w:hint="eastAsia" w:ascii="宋体" w:hAnsi="宋体" w:eastAsia="宋体" w:cs="宋体"/>
          <w:b/>
          <w:color w:val="auto"/>
          <w:kern w:val="0"/>
          <w:sz w:val="32"/>
          <w:szCs w:val="32"/>
          <w:highlight w:val="none"/>
        </w:rPr>
      </w:pPr>
    </w:p>
    <w:p w14:paraId="2CC2915A">
      <w:pPr>
        <w:snapToGrid w:val="0"/>
        <w:spacing w:line="360" w:lineRule="auto"/>
        <w:ind w:right="480"/>
        <w:jc w:val="center"/>
        <w:rPr>
          <w:rFonts w:hint="eastAsia" w:ascii="宋体" w:hAnsi="宋体" w:eastAsia="宋体" w:cs="宋体"/>
          <w:b/>
          <w:color w:val="auto"/>
          <w:kern w:val="0"/>
          <w:sz w:val="32"/>
          <w:szCs w:val="32"/>
          <w:highlight w:val="none"/>
        </w:rPr>
      </w:pPr>
    </w:p>
    <w:p w14:paraId="361AF621">
      <w:pPr>
        <w:snapToGrid w:val="0"/>
        <w:spacing w:line="360" w:lineRule="auto"/>
        <w:ind w:right="480"/>
        <w:jc w:val="center"/>
        <w:rPr>
          <w:rFonts w:hint="eastAsia" w:ascii="宋体" w:hAnsi="宋体" w:eastAsia="宋体" w:cs="宋体"/>
          <w:b/>
          <w:color w:val="auto"/>
          <w:kern w:val="0"/>
          <w:sz w:val="32"/>
          <w:szCs w:val="32"/>
          <w:highlight w:val="none"/>
        </w:rPr>
      </w:pPr>
    </w:p>
    <w:p w14:paraId="5EA8EA41">
      <w:pPr>
        <w:snapToGrid w:val="0"/>
        <w:spacing w:line="360" w:lineRule="auto"/>
        <w:ind w:right="480"/>
        <w:jc w:val="center"/>
        <w:rPr>
          <w:rFonts w:hint="eastAsia" w:ascii="宋体" w:hAnsi="宋体" w:eastAsia="宋体" w:cs="宋体"/>
          <w:b/>
          <w:color w:val="auto"/>
          <w:kern w:val="0"/>
          <w:sz w:val="32"/>
          <w:szCs w:val="32"/>
          <w:highlight w:val="none"/>
        </w:rPr>
      </w:pPr>
    </w:p>
    <w:p w14:paraId="5DD958F4">
      <w:pPr>
        <w:snapToGrid w:val="0"/>
        <w:spacing w:line="360" w:lineRule="auto"/>
        <w:ind w:right="480"/>
        <w:jc w:val="center"/>
        <w:rPr>
          <w:rFonts w:hint="eastAsia" w:ascii="宋体" w:hAnsi="宋体" w:eastAsia="宋体" w:cs="宋体"/>
          <w:b/>
          <w:color w:val="auto"/>
          <w:kern w:val="0"/>
          <w:sz w:val="32"/>
          <w:szCs w:val="32"/>
          <w:highlight w:val="none"/>
        </w:rPr>
      </w:pPr>
    </w:p>
    <w:p w14:paraId="3D95EE2F">
      <w:pPr>
        <w:snapToGrid w:val="0"/>
        <w:spacing w:line="360" w:lineRule="auto"/>
        <w:ind w:right="480"/>
        <w:jc w:val="center"/>
        <w:rPr>
          <w:rFonts w:hint="eastAsia" w:ascii="宋体" w:hAnsi="宋体" w:eastAsia="宋体" w:cs="宋体"/>
          <w:b/>
          <w:color w:val="auto"/>
          <w:kern w:val="0"/>
          <w:sz w:val="32"/>
          <w:szCs w:val="32"/>
          <w:highlight w:val="none"/>
        </w:rPr>
      </w:pPr>
    </w:p>
    <w:p w14:paraId="31413714">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122B4EC8">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color w:val="auto"/>
          <w:kern w:val="2"/>
          <w:sz w:val="32"/>
          <w:szCs w:val="32"/>
          <w:highlight w:val="none"/>
          <w:lang w:eastAsia="zh-CN"/>
        </w:rPr>
        <w:t>交易</w:t>
      </w:r>
      <w:r>
        <w:rPr>
          <w:rFonts w:hint="eastAsia" w:ascii="宋体" w:hAnsi="宋体" w:eastAsia="宋体" w:cs="宋体"/>
          <w:color w:val="auto"/>
          <w:kern w:val="2"/>
          <w:sz w:val="32"/>
          <w:szCs w:val="32"/>
          <w:highlight w:val="none"/>
        </w:rPr>
        <w:t>一览表（报价表）</w:t>
      </w:r>
    </w:p>
    <w:p w14:paraId="26F31A6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70876258">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按你方交易文件要求，我们，本响应文件签字方，谨此向你方发出要约如下：如你方接受本响应，我方承诺按照如下交易一览表（报价表）的价格完成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2E7DB14C">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E18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A197B3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17" w:type="dxa"/>
            <w:vAlign w:val="center"/>
          </w:tcPr>
          <w:p w14:paraId="7CC07B8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43" w:type="dxa"/>
          </w:tcPr>
          <w:p w14:paraId="1EC64812">
            <w:pPr>
              <w:spacing w:line="360" w:lineRule="auto"/>
              <w:jc w:val="center"/>
              <w:rPr>
                <w:rFonts w:hint="eastAsia" w:ascii="宋体" w:hAnsi="宋体" w:eastAsia="宋体" w:cs="宋体"/>
                <w:b/>
                <w:color w:val="auto"/>
                <w:sz w:val="24"/>
                <w:highlight w:val="none"/>
              </w:rPr>
            </w:pPr>
          </w:p>
          <w:p w14:paraId="1C38B33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118" w:type="dxa"/>
            <w:vAlign w:val="center"/>
          </w:tcPr>
          <w:p w14:paraId="526234B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规格型号（或具体服务）</w:t>
            </w:r>
          </w:p>
        </w:tc>
        <w:tc>
          <w:tcPr>
            <w:tcW w:w="993" w:type="dxa"/>
            <w:vAlign w:val="center"/>
          </w:tcPr>
          <w:p w14:paraId="53FA174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59" w:type="dxa"/>
            <w:vAlign w:val="center"/>
          </w:tcPr>
          <w:p w14:paraId="15A4F1F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984" w:type="dxa"/>
            <w:vAlign w:val="center"/>
          </w:tcPr>
          <w:p w14:paraId="1FD5298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3119" w:type="dxa"/>
            <w:vAlign w:val="center"/>
          </w:tcPr>
          <w:p w14:paraId="49C587ED">
            <w:pPr>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备注</w:t>
            </w:r>
          </w:p>
        </w:tc>
      </w:tr>
      <w:tr w14:paraId="04D0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701E01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7" w:type="dxa"/>
            <w:vAlign w:val="center"/>
          </w:tcPr>
          <w:p w14:paraId="7FD1FE84">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4A47E487">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668243B2">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10A614E6">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0CA6DF9B">
            <w:pPr>
              <w:spacing w:line="360" w:lineRule="auto"/>
              <w:jc w:val="center"/>
              <w:rPr>
                <w:rFonts w:hint="eastAsia" w:ascii="宋体" w:hAnsi="宋体" w:eastAsia="宋体" w:cs="宋体"/>
                <w:color w:val="auto"/>
                <w:sz w:val="24"/>
                <w:highlight w:val="none"/>
              </w:rPr>
            </w:pPr>
          </w:p>
        </w:tc>
        <w:tc>
          <w:tcPr>
            <w:tcW w:w="1984" w:type="dxa"/>
            <w:vAlign w:val="center"/>
          </w:tcPr>
          <w:p w14:paraId="17C7CEC5">
            <w:pPr>
              <w:spacing w:line="360" w:lineRule="auto"/>
              <w:jc w:val="center"/>
              <w:rPr>
                <w:rFonts w:hint="eastAsia" w:ascii="宋体" w:hAnsi="宋体" w:eastAsia="宋体" w:cs="宋体"/>
                <w:color w:val="auto"/>
                <w:sz w:val="24"/>
                <w:highlight w:val="none"/>
              </w:rPr>
            </w:pPr>
          </w:p>
        </w:tc>
        <w:tc>
          <w:tcPr>
            <w:tcW w:w="3119" w:type="dxa"/>
            <w:vAlign w:val="center"/>
          </w:tcPr>
          <w:p w14:paraId="7859956A">
            <w:pPr>
              <w:spacing w:line="360" w:lineRule="auto"/>
              <w:jc w:val="center"/>
              <w:rPr>
                <w:rFonts w:hint="eastAsia" w:ascii="宋体" w:hAnsi="宋体" w:eastAsia="宋体" w:cs="宋体"/>
                <w:color w:val="auto"/>
                <w:sz w:val="24"/>
                <w:highlight w:val="none"/>
              </w:rPr>
            </w:pPr>
          </w:p>
        </w:tc>
      </w:tr>
      <w:tr w14:paraId="06F5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81816E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7" w:type="dxa"/>
            <w:vAlign w:val="center"/>
          </w:tcPr>
          <w:p w14:paraId="7794D752">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16ECAD3C">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314C4232">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0C65AC4A">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416147B7">
            <w:pPr>
              <w:spacing w:line="360" w:lineRule="auto"/>
              <w:jc w:val="center"/>
              <w:rPr>
                <w:rFonts w:hint="eastAsia" w:ascii="宋体" w:hAnsi="宋体" w:eastAsia="宋体" w:cs="宋体"/>
                <w:color w:val="auto"/>
                <w:sz w:val="24"/>
                <w:highlight w:val="none"/>
              </w:rPr>
            </w:pPr>
          </w:p>
        </w:tc>
        <w:tc>
          <w:tcPr>
            <w:tcW w:w="1984" w:type="dxa"/>
            <w:vAlign w:val="center"/>
          </w:tcPr>
          <w:p w14:paraId="7CEF2A0A">
            <w:pPr>
              <w:spacing w:line="360" w:lineRule="auto"/>
              <w:jc w:val="center"/>
              <w:rPr>
                <w:rFonts w:hint="eastAsia" w:ascii="宋体" w:hAnsi="宋体" w:eastAsia="宋体" w:cs="宋体"/>
                <w:color w:val="auto"/>
                <w:sz w:val="24"/>
                <w:highlight w:val="none"/>
              </w:rPr>
            </w:pPr>
          </w:p>
        </w:tc>
        <w:tc>
          <w:tcPr>
            <w:tcW w:w="3119" w:type="dxa"/>
            <w:vAlign w:val="center"/>
          </w:tcPr>
          <w:p w14:paraId="2F7188B7">
            <w:pPr>
              <w:spacing w:line="360" w:lineRule="auto"/>
              <w:jc w:val="center"/>
              <w:rPr>
                <w:rFonts w:hint="eastAsia" w:ascii="宋体" w:hAnsi="宋体" w:eastAsia="宋体" w:cs="宋体"/>
                <w:color w:val="auto"/>
                <w:sz w:val="24"/>
                <w:highlight w:val="none"/>
              </w:rPr>
            </w:pPr>
          </w:p>
        </w:tc>
      </w:tr>
      <w:tr w14:paraId="0696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F60949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17" w:type="dxa"/>
            <w:vAlign w:val="center"/>
          </w:tcPr>
          <w:p w14:paraId="7198C0C4">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78B2CF5F">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4B83BCC9">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41FCBF30">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4115F3FB">
            <w:pPr>
              <w:spacing w:line="360" w:lineRule="auto"/>
              <w:jc w:val="center"/>
              <w:rPr>
                <w:rFonts w:hint="eastAsia" w:ascii="宋体" w:hAnsi="宋体" w:eastAsia="宋体" w:cs="宋体"/>
                <w:color w:val="auto"/>
                <w:sz w:val="24"/>
                <w:highlight w:val="none"/>
              </w:rPr>
            </w:pPr>
          </w:p>
        </w:tc>
        <w:tc>
          <w:tcPr>
            <w:tcW w:w="1984" w:type="dxa"/>
            <w:vAlign w:val="center"/>
          </w:tcPr>
          <w:p w14:paraId="27387AC7">
            <w:pPr>
              <w:spacing w:line="360" w:lineRule="auto"/>
              <w:jc w:val="center"/>
              <w:rPr>
                <w:rFonts w:hint="eastAsia" w:ascii="宋体" w:hAnsi="宋体" w:eastAsia="宋体" w:cs="宋体"/>
                <w:color w:val="auto"/>
                <w:sz w:val="24"/>
                <w:highlight w:val="none"/>
              </w:rPr>
            </w:pPr>
          </w:p>
        </w:tc>
        <w:tc>
          <w:tcPr>
            <w:tcW w:w="3119" w:type="dxa"/>
            <w:vAlign w:val="center"/>
          </w:tcPr>
          <w:p w14:paraId="05414F56">
            <w:pPr>
              <w:spacing w:line="360" w:lineRule="auto"/>
              <w:jc w:val="center"/>
              <w:rPr>
                <w:rFonts w:hint="eastAsia" w:ascii="宋体" w:hAnsi="宋体" w:eastAsia="宋体" w:cs="宋体"/>
                <w:color w:val="auto"/>
                <w:sz w:val="24"/>
                <w:highlight w:val="none"/>
              </w:rPr>
            </w:pPr>
          </w:p>
        </w:tc>
      </w:tr>
      <w:tr w14:paraId="67B5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79DDE36">
            <w:pPr>
              <w:spacing w:line="360" w:lineRule="auto"/>
              <w:jc w:val="center"/>
              <w:rPr>
                <w:rFonts w:hint="eastAsia" w:ascii="宋体" w:hAnsi="宋体" w:eastAsia="宋体" w:cs="宋体"/>
                <w:color w:val="auto"/>
                <w:sz w:val="24"/>
                <w:highlight w:val="none"/>
              </w:rPr>
            </w:pPr>
          </w:p>
        </w:tc>
        <w:tc>
          <w:tcPr>
            <w:tcW w:w="1417" w:type="dxa"/>
            <w:vAlign w:val="center"/>
          </w:tcPr>
          <w:p w14:paraId="3468A66F">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20C5EF95">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2170F95B">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4166FB4F">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0C554F2A">
            <w:pPr>
              <w:spacing w:line="360" w:lineRule="auto"/>
              <w:jc w:val="center"/>
              <w:rPr>
                <w:rFonts w:hint="eastAsia" w:ascii="宋体" w:hAnsi="宋体" w:eastAsia="宋体" w:cs="宋体"/>
                <w:color w:val="auto"/>
                <w:sz w:val="24"/>
                <w:highlight w:val="none"/>
              </w:rPr>
            </w:pPr>
          </w:p>
        </w:tc>
        <w:tc>
          <w:tcPr>
            <w:tcW w:w="1984" w:type="dxa"/>
            <w:vAlign w:val="center"/>
          </w:tcPr>
          <w:p w14:paraId="5979E27D">
            <w:pPr>
              <w:spacing w:line="360" w:lineRule="auto"/>
              <w:jc w:val="center"/>
              <w:rPr>
                <w:rFonts w:hint="eastAsia" w:ascii="宋体" w:hAnsi="宋体" w:eastAsia="宋体" w:cs="宋体"/>
                <w:color w:val="auto"/>
                <w:sz w:val="24"/>
                <w:highlight w:val="none"/>
              </w:rPr>
            </w:pPr>
          </w:p>
        </w:tc>
        <w:tc>
          <w:tcPr>
            <w:tcW w:w="3119" w:type="dxa"/>
            <w:vAlign w:val="center"/>
          </w:tcPr>
          <w:p w14:paraId="2C955E27">
            <w:pPr>
              <w:spacing w:line="360" w:lineRule="auto"/>
              <w:jc w:val="center"/>
              <w:rPr>
                <w:rFonts w:hint="eastAsia" w:ascii="宋体" w:hAnsi="宋体" w:eastAsia="宋体" w:cs="宋体"/>
                <w:color w:val="auto"/>
                <w:sz w:val="24"/>
                <w:highlight w:val="none"/>
              </w:rPr>
            </w:pPr>
          </w:p>
        </w:tc>
      </w:tr>
      <w:tr w14:paraId="5D88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85E9935">
            <w:pPr>
              <w:spacing w:line="360" w:lineRule="auto"/>
              <w:jc w:val="center"/>
              <w:rPr>
                <w:rFonts w:hint="eastAsia" w:ascii="宋体" w:hAnsi="宋体" w:eastAsia="宋体" w:cs="宋体"/>
                <w:color w:val="auto"/>
                <w:sz w:val="24"/>
                <w:highlight w:val="none"/>
              </w:rPr>
            </w:pPr>
          </w:p>
        </w:tc>
        <w:tc>
          <w:tcPr>
            <w:tcW w:w="1417" w:type="dxa"/>
            <w:vAlign w:val="center"/>
          </w:tcPr>
          <w:p w14:paraId="20C24D37">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65B92282">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0DDB1BDB">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03ABD9F0">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6CFC551E">
            <w:pPr>
              <w:spacing w:line="360" w:lineRule="auto"/>
              <w:jc w:val="center"/>
              <w:rPr>
                <w:rFonts w:hint="eastAsia" w:ascii="宋体" w:hAnsi="宋体" w:eastAsia="宋体" w:cs="宋体"/>
                <w:color w:val="auto"/>
                <w:sz w:val="24"/>
                <w:highlight w:val="none"/>
              </w:rPr>
            </w:pPr>
          </w:p>
        </w:tc>
        <w:tc>
          <w:tcPr>
            <w:tcW w:w="1984" w:type="dxa"/>
            <w:vAlign w:val="center"/>
          </w:tcPr>
          <w:p w14:paraId="4C9FBCD8">
            <w:pPr>
              <w:spacing w:line="360" w:lineRule="auto"/>
              <w:jc w:val="center"/>
              <w:rPr>
                <w:rFonts w:hint="eastAsia" w:ascii="宋体" w:hAnsi="宋体" w:eastAsia="宋体" w:cs="宋体"/>
                <w:color w:val="auto"/>
                <w:sz w:val="24"/>
                <w:highlight w:val="none"/>
              </w:rPr>
            </w:pPr>
          </w:p>
        </w:tc>
        <w:tc>
          <w:tcPr>
            <w:tcW w:w="3119" w:type="dxa"/>
            <w:vAlign w:val="center"/>
          </w:tcPr>
          <w:p w14:paraId="09AFF4A3">
            <w:pPr>
              <w:spacing w:line="360" w:lineRule="auto"/>
              <w:jc w:val="center"/>
              <w:rPr>
                <w:rFonts w:hint="eastAsia" w:ascii="宋体" w:hAnsi="宋体" w:eastAsia="宋体" w:cs="宋体"/>
                <w:color w:val="auto"/>
                <w:sz w:val="24"/>
                <w:highlight w:val="none"/>
              </w:rPr>
            </w:pPr>
          </w:p>
        </w:tc>
      </w:tr>
      <w:tr w14:paraId="0D54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E04888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报价（小写）</w:t>
            </w:r>
          </w:p>
        </w:tc>
        <w:tc>
          <w:tcPr>
            <w:tcW w:w="7655" w:type="dxa"/>
            <w:gridSpan w:val="4"/>
            <w:vAlign w:val="center"/>
          </w:tcPr>
          <w:p w14:paraId="65B331EB">
            <w:pPr>
              <w:spacing w:line="360" w:lineRule="auto"/>
              <w:jc w:val="center"/>
              <w:rPr>
                <w:rFonts w:hint="eastAsia" w:ascii="宋体" w:hAnsi="宋体" w:eastAsia="宋体" w:cs="宋体"/>
                <w:color w:val="auto"/>
                <w:sz w:val="24"/>
                <w:highlight w:val="none"/>
              </w:rPr>
            </w:pPr>
          </w:p>
        </w:tc>
      </w:tr>
      <w:tr w14:paraId="463A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23FD7C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w:t>
            </w:r>
            <w:r>
              <w:rPr>
                <w:rFonts w:hint="eastAsia" w:ascii="宋体" w:hAnsi="宋体" w:eastAsia="宋体" w:cs="宋体"/>
                <w:b/>
                <w:color w:val="auto"/>
                <w:sz w:val="24"/>
                <w:highlight w:val="none"/>
              </w:rPr>
              <w:t>报价（大写）</w:t>
            </w:r>
          </w:p>
        </w:tc>
        <w:tc>
          <w:tcPr>
            <w:tcW w:w="7655" w:type="dxa"/>
            <w:gridSpan w:val="4"/>
            <w:vAlign w:val="center"/>
          </w:tcPr>
          <w:p w14:paraId="5AFC0A6F">
            <w:pPr>
              <w:spacing w:line="360" w:lineRule="auto"/>
              <w:jc w:val="center"/>
              <w:rPr>
                <w:rFonts w:hint="eastAsia" w:ascii="宋体" w:hAnsi="宋体" w:eastAsia="宋体" w:cs="宋体"/>
                <w:color w:val="auto"/>
                <w:sz w:val="24"/>
                <w:highlight w:val="none"/>
              </w:rPr>
            </w:pPr>
          </w:p>
        </w:tc>
      </w:tr>
    </w:tbl>
    <w:p w14:paraId="03DB4715">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471FD3A7">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7D2A2F84">
      <w:pPr>
        <w:spacing w:line="360" w:lineRule="auto"/>
        <w:ind w:firstLine="480" w:firstLineChars="200"/>
        <w:rPr>
          <w:rFonts w:ascii="宋体" w:hAnsi="宋体" w:cs="宋体"/>
          <w:b/>
          <w:color w:val="auto"/>
          <w:sz w:val="24"/>
        </w:rPr>
      </w:pPr>
      <w:r>
        <w:rPr>
          <w:rFonts w:hint="eastAsia" w:ascii="宋体" w:hAnsi="宋体" w:cs="宋体"/>
          <w:color w:val="auto"/>
          <w:kern w:val="0"/>
          <w:sz w:val="24"/>
          <w:highlight w:val="cyan"/>
          <w:lang w:val="zh-CN"/>
        </w:rPr>
        <w:t>2、有关本项目实施所涉及的一切费用均计入报价。</w:t>
      </w:r>
      <w:r>
        <w:rPr>
          <w:rFonts w:hint="eastAsia" w:ascii="宋体" w:hAnsi="宋体" w:cs="宋体"/>
          <w:b/>
          <w:color w:val="auto"/>
          <w:kern w:val="0"/>
          <w:sz w:val="24"/>
          <w:highlight w:val="cyan"/>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cyan"/>
        </w:rPr>
        <w:t>视为</w:t>
      </w:r>
      <w:r>
        <w:rPr>
          <w:rFonts w:hint="eastAsia" w:ascii="宋体" w:hAnsi="宋体" w:cs="宋体"/>
          <w:b/>
          <w:color w:val="auto"/>
          <w:sz w:val="24"/>
          <w:highlight w:val="cyan"/>
        </w:rPr>
        <w:t>投标文件含有采购人不能接受的附加条件的，投标无效。</w:t>
      </w:r>
    </w:p>
    <w:p w14:paraId="1306870D">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7DBEB5F0">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1617486">
      <w:pPr>
        <w:spacing w:line="360" w:lineRule="auto"/>
        <w:ind w:firstLine="482" w:firstLineChars="200"/>
        <w:rPr>
          <w:rFonts w:hint="default" w:ascii="宋体" w:hAnsi="宋体" w:eastAsia="宋体" w:cs="宋体"/>
          <w:b/>
          <w:color w:val="auto"/>
          <w:sz w:val="24"/>
          <w:highlight w:val="cyan"/>
          <w:lang w:val="en-US" w:eastAsia="zh-CN"/>
        </w:rPr>
      </w:pPr>
      <w:r>
        <w:rPr>
          <w:rFonts w:hint="eastAsia" w:ascii="宋体" w:hAnsi="宋体" w:cs="宋体"/>
          <w:b/>
          <w:color w:val="auto"/>
          <w:sz w:val="24"/>
          <w:highlight w:val="cyan"/>
        </w:rPr>
        <w:t>5、特别说明：</w:t>
      </w:r>
      <w:r>
        <w:rPr>
          <w:rFonts w:hint="eastAsia" w:ascii="宋体" w:hAnsi="宋体" w:cs="宋体"/>
          <w:b/>
          <w:color w:val="auto"/>
          <w:sz w:val="24"/>
          <w:highlight w:val="red"/>
        </w:rPr>
        <w:t>▲</w:t>
      </w:r>
      <w:r>
        <w:rPr>
          <w:rFonts w:hint="eastAsia" w:ascii="宋体" w:hAnsi="宋体" w:cs="宋体"/>
          <w:b/>
          <w:color w:val="auto"/>
          <w:sz w:val="24"/>
          <w:highlight w:val="cyan"/>
        </w:rPr>
        <w:t>供应商报价低于项目预算50%的，应当在报价文件中详细阐述不影响产品质量或者诚信履约的具体原因</w:t>
      </w:r>
      <w:r>
        <w:rPr>
          <w:rFonts w:hint="eastAsia" w:ascii="宋体" w:hAnsi="宋体" w:cs="宋体"/>
          <w:b/>
          <w:color w:val="auto"/>
          <w:sz w:val="24"/>
          <w:highlight w:val="cyan"/>
          <w:lang w:eastAsia="zh-CN"/>
        </w:rPr>
        <w:t>，</w:t>
      </w:r>
      <w:r>
        <w:rPr>
          <w:rFonts w:hint="eastAsia" w:ascii="宋体" w:hAnsi="宋体" w:cs="宋体"/>
          <w:b/>
          <w:color w:val="auto"/>
          <w:sz w:val="24"/>
          <w:highlight w:val="cyan"/>
          <w:lang w:val="en-US" w:eastAsia="zh-CN"/>
        </w:rPr>
        <w:t>未做阐述说明的，投标无效。</w:t>
      </w:r>
    </w:p>
    <w:p w14:paraId="4F423A0F">
      <w:pPr>
        <w:spacing w:line="360" w:lineRule="auto"/>
        <w:ind w:firstLine="482" w:firstLineChars="200"/>
        <w:rPr>
          <w:rFonts w:hint="eastAsia" w:ascii="宋体" w:hAnsi="宋体" w:eastAsia="宋体" w:cs="宋体"/>
          <w:b/>
          <w:color w:val="auto"/>
          <w:kern w:val="0"/>
          <w:sz w:val="24"/>
          <w:highlight w:val="none"/>
        </w:rPr>
      </w:pPr>
    </w:p>
    <w:p w14:paraId="53F79DEF">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7CD6453">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1C7258D">
      <w:pPr>
        <w:pStyle w:val="5"/>
        <w:keepNext w:val="0"/>
        <w:keepLines w:val="0"/>
        <w:pageBreakBefore/>
        <w:widowControl/>
        <w:spacing w:before="100" w:beforeAutospacing="1" w:after="100" w:afterAutospacing="1" w:line="360" w:lineRule="auto"/>
        <w:ind w:left="27" w:leftChars="0" w:hanging="27" w:hangingChars="6"/>
        <w:jc w:val="left"/>
        <w:rPr>
          <w:rFonts w:hint="eastAsia" w:ascii="宋体" w:hAnsi="宋体" w:eastAsia="宋体" w:cs="宋体"/>
          <w:b/>
          <w:color w:val="auto"/>
          <w:sz w:val="24"/>
          <w:highlight w:val="none"/>
        </w:rPr>
      </w:pPr>
      <w:bookmarkStart w:id="385" w:name="_Toc465665161"/>
      <w:r>
        <w:rPr>
          <w:rFonts w:hint="eastAsia" w:ascii="宋体" w:hAnsi="宋体" w:eastAsia="宋体" w:cs="宋体"/>
          <w:color w:val="auto"/>
          <w:highlight w:val="none"/>
        </w:rPr>
        <w:t>附件</w:t>
      </w:r>
      <w:bookmarkEnd w:id="385"/>
    </w:p>
    <w:p w14:paraId="02AC4D2B">
      <w:pPr>
        <w:pStyle w:val="6"/>
        <w:jc w:val="left"/>
        <w:rPr>
          <w:rFonts w:hint="eastAsia" w:ascii="宋体" w:hAnsi="宋体" w:eastAsia="宋体" w:cs="宋体"/>
          <w:sz w:val="24"/>
        </w:rPr>
      </w:pPr>
      <w:r>
        <w:rPr>
          <w:rFonts w:hint="eastAsia" w:ascii="宋体" w:hAnsi="宋体" w:eastAsia="宋体" w:cs="宋体"/>
          <w:highlight w:val="none"/>
        </w:rPr>
        <w:t>附件</w:t>
      </w:r>
      <w:r>
        <w:rPr>
          <w:rFonts w:hint="eastAsia" w:ascii="宋体" w:hAnsi="宋体" w:eastAsia="宋体" w:cs="宋体"/>
          <w:highlight w:val="none"/>
          <w:lang w:val="en-US" w:eastAsia="zh-CN"/>
        </w:rPr>
        <w:t>1：</w:t>
      </w:r>
      <w:r>
        <w:rPr>
          <w:rFonts w:hint="eastAsia" w:ascii="宋体" w:hAnsi="宋体" w:eastAsia="宋体" w:cs="宋体"/>
        </w:rPr>
        <w:t>样品（演示）授权委托书</w:t>
      </w:r>
    </w:p>
    <w:p w14:paraId="6E2E1902">
      <w:pPr>
        <w:jc w:val="center"/>
        <w:rPr>
          <w:rFonts w:hint="eastAsia" w:ascii="宋体" w:hAnsi="宋体" w:eastAsia="宋体" w:cs="宋体"/>
          <w:sz w:val="40"/>
        </w:rPr>
      </w:pPr>
      <w:r>
        <w:rPr>
          <w:rFonts w:hint="eastAsia" w:ascii="宋体" w:hAnsi="宋体" w:eastAsia="宋体" w:cs="宋体"/>
          <w:sz w:val="40"/>
        </w:rPr>
        <w:t>样品（演示）授权委托书</w:t>
      </w:r>
    </w:p>
    <w:p w14:paraId="631CBF33">
      <w:pPr>
        <w:jc w:val="center"/>
        <w:rPr>
          <w:rFonts w:hint="eastAsia" w:ascii="宋体" w:hAnsi="宋体" w:eastAsia="宋体" w:cs="宋体"/>
          <w:sz w:val="40"/>
        </w:rPr>
      </w:pPr>
    </w:p>
    <w:p w14:paraId="6B3AE179">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XXX（单位名称或采购机构名称）</w:t>
      </w:r>
      <w:r>
        <w:rPr>
          <w:rFonts w:hint="eastAsia" w:ascii="宋体" w:hAnsi="宋体" w:eastAsia="宋体" w:cs="宋体"/>
          <w:color w:val="000000"/>
          <w:sz w:val="24"/>
          <w:szCs w:val="24"/>
          <w:lang w:val="zh-CN"/>
        </w:rPr>
        <w:t>：</w:t>
      </w:r>
    </w:p>
    <w:p w14:paraId="2302F445">
      <w:pPr>
        <w:snapToGrid w:val="0"/>
        <w:spacing w:line="360" w:lineRule="auto"/>
        <w:ind w:left="254" w:leftChars="121" w:firstLine="480" w:firstLineChars="200"/>
        <w:rPr>
          <w:rFonts w:hint="eastAsia" w:ascii="宋体" w:hAnsi="宋体" w:eastAsia="宋体" w:cs="宋体"/>
          <w:color w:val="000000"/>
          <w:sz w:val="24"/>
          <w:szCs w:val="24"/>
          <w:u w:val="single"/>
          <w:lang w:val="zh-CN"/>
        </w:rPr>
      </w:pPr>
      <w:r>
        <w:rPr>
          <w:rFonts w:hint="eastAsia" w:ascii="宋体" w:hAnsi="宋体" w:eastAsia="宋体" w:cs="宋体"/>
          <w:color w:val="000000"/>
          <w:sz w:val="24"/>
          <w:szCs w:val="24"/>
          <w:lang w:val="zh-CN"/>
        </w:rPr>
        <w:t>兹委派</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先生/女士，身份证号：</w:t>
      </w:r>
      <w:r>
        <w:rPr>
          <w:rFonts w:hint="eastAsia" w:ascii="宋体" w:hAnsi="宋体" w:eastAsia="宋体" w:cs="宋体"/>
          <w:color w:val="000000"/>
          <w:sz w:val="24"/>
          <w:szCs w:val="24"/>
          <w:u w:val="single"/>
          <w:lang w:val="zh-CN"/>
        </w:rPr>
        <w:t xml:space="preserve">                   </w:t>
      </w:r>
    </w:p>
    <w:p w14:paraId="5783203E">
      <w:pPr>
        <w:snapToGrid w:val="0"/>
        <w:spacing w:line="360" w:lineRule="auto"/>
        <w:ind w:left="254" w:leftChars="121"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zh-CN"/>
        </w:rPr>
        <w:t>手机：</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，代表我公司前来递交</w:t>
      </w:r>
      <w:r>
        <w:rPr>
          <w:rFonts w:hint="eastAsia" w:ascii="宋体" w:hAnsi="宋体" w:eastAsia="宋体" w:cs="宋体"/>
          <w:color w:val="000000"/>
          <w:sz w:val="24"/>
          <w:szCs w:val="24"/>
          <w:u w:val="single"/>
          <w:lang w:val="zh-CN"/>
        </w:rPr>
        <w:t xml:space="preserve">                           采购项目</w:t>
      </w:r>
      <w:r>
        <w:rPr>
          <w:rFonts w:hint="eastAsia" w:ascii="宋体" w:hAnsi="宋体" w:eastAsia="宋体" w:cs="宋体"/>
          <w:color w:val="000000"/>
          <w:sz w:val="24"/>
          <w:szCs w:val="24"/>
          <w:lang w:val="zh-CN"/>
        </w:rPr>
        <w:t>【项目编号：              】（标项号：  ）</w:t>
      </w:r>
      <w:r>
        <w:rPr>
          <w:rFonts w:hint="eastAsia" w:ascii="宋体" w:hAnsi="宋体" w:eastAsia="宋体" w:cs="宋体"/>
          <w:color w:val="auto"/>
          <w:sz w:val="24"/>
          <w:szCs w:val="24"/>
          <w:lang w:val="zh-CN"/>
        </w:rPr>
        <w:t>投标样品或参加演示，</w:t>
      </w:r>
      <w:r>
        <w:rPr>
          <w:rFonts w:hint="eastAsia" w:ascii="宋体" w:hAnsi="宋体" w:eastAsia="宋体" w:cs="宋体"/>
          <w:color w:val="000000"/>
          <w:sz w:val="24"/>
          <w:szCs w:val="24"/>
          <w:lang w:val="zh-CN"/>
        </w:rPr>
        <w:t>并全权负责标后取回样品等其他处理事宜。</w:t>
      </w:r>
    </w:p>
    <w:p w14:paraId="76C7399D">
      <w:pPr>
        <w:snapToGrid w:val="0"/>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w:t>
      </w:r>
    </w:p>
    <w:p w14:paraId="1AEEA3B3">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zh-CN"/>
        </w:rPr>
        <w:t xml:space="preserve">    特此告知。</w:t>
      </w:r>
    </w:p>
    <w:p w14:paraId="32A9D910">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zh-CN"/>
        </w:rPr>
        <w:t xml:space="preserve">                                                  供应商名称(公章)：</w:t>
      </w:r>
    </w:p>
    <w:p w14:paraId="5EA23B69">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zh-CN"/>
        </w:rPr>
        <w:t xml:space="preserve">                                                  </w:t>
      </w:r>
    </w:p>
    <w:p w14:paraId="7E9F1E92">
      <w:pPr>
        <w:snapToGrid w:val="0"/>
        <w:spacing w:line="360" w:lineRule="auto"/>
        <w:ind w:right="240"/>
        <w:jc w:val="righ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签发日期：  年  月   日</w:t>
      </w:r>
    </w:p>
    <w:p w14:paraId="63671587">
      <w:pPr>
        <w:snapToGrid w:val="0"/>
        <w:spacing w:line="360" w:lineRule="auto"/>
        <w:ind w:right="240"/>
        <w:jc w:val="right"/>
        <w:rPr>
          <w:rFonts w:hint="eastAsia" w:ascii="宋体" w:hAnsi="宋体" w:eastAsia="宋体" w:cs="宋体"/>
          <w:color w:val="000000"/>
          <w:sz w:val="24"/>
          <w:szCs w:val="24"/>
          <w:lang w:val="zh-CN"/>
        </w:rPr>
      </w:pPr>
    </w:p>
    <w:p w14:paraId="23333AE8">
      <w:pPr>
        <w:snapToGrid w:val="0"/>
        <w:spacing w:line="360" w:lineRule="auto"/>
        <w:ind w:right="1920"/>
        <w:rPr>
          <w:rFonts w:hint="eastAsia" w:ascii="宋体" w:hAnsi="宋体" w:eastAsia="宋体" w:cs="宋体"/>
          <w:color w:val="000000"/>
          <w:sz w:val="24"/>
          <w:szCs w:val="24"/>
          <w:lang w:val="zh-CN"/>
        </w:rPr>
      </w:pPr>
    </w:p>
    <w:p w14:paraId="4FE5AD20">
      <w:pPr>
        <w:snapToGrid w:val="0"/>
        <w:spacing w:line="360" w:lineRule="auto"/>
        <w:ind w:right="240"/>
        <w:jc w:val="right"/>
        <w:rPr>
          <w:rFonts w:hint="eastAsia" w:ascii="宋体" w:hAnsi="宋体" w:eastAsia="宋体" w:cs="宋体"/>
          <w:color w:val="000000"/>
          <w:sz w:val="24"/>
          <w:szCs w:val="24"/>
          <w:lang w:val="zh-CN"/>
        </w:rPr>
      </w:pPr>
    </w:p>
    <w:p w14:paraId="5A9AF40B">
      <w:pPr>
        <w:snapToGrid w:val="0"/>
        <w:spacing w:line="360" w:lineRule="auto"/>
        <w:ind w:right="240"/>
        <w:rPr>
          <w:rFonts w:hint="eastAsia" w:ascii="宋体" w:hAnsi="宋体" w:eastAsia="宋体" w:cs="宋体"/>
          <w:color w:val="000000"/>
          <w:sz w:val="24"/>
          <w:szCs w:val="24"/>
          <w:lang w:val="zh-CN"/>
        </w:rPr>
      </w:pPr>
      <w:r>
        <w:rPr>
          <w:rFonts w:hint="eastAsia" w:ascii="宋体" w:hAnsi="宋体" w:eastAsia="宋体" w:cs="宋体"/>
          <w:color w:val="000000"/>
          <w:sz w:val="24"/>
          <w:szCs w:val="24"/>
        </w:rPr>
        <w:t>受委托人</w:t>
      </w:r>
      <w:r>
        <w:rPr>
          <w:rFonts w:hint="eastAsia" w:ascii="宋体" w:hAnsi="宋体" w:eastAsia="宋体" w:cs="宋体"/>
          <w:color w:val="000000"/>
          <w:sz w:val="24"/>
          <w:szCs w:val="24"/>
          <w:lang w:val="zh-CN"/>
        </w:rPr>
        <w:t>身份证复印件：</w:t>
      </w:r>
    </w:p>
    <w:p w14:paraId="692DF518">
      <w:pPr>
        <w:snapToGrid w:val="0"/>
        <w:spacing w:line="360" w:lineRule="auto"/>
        <w:ind w:right="240"/>
        <w:rPr>
          <w:rFonts w:hint="eastAsia" w:ascii="宋体" w:hAnsi="宋体" w:eastAsia="宋体" w:cs="宋体"/>
          <w:color w:val="000000"/>
          <w:sz w:val="24"/>
          <w:szCs w:val="24"/>
          <w:lang w:val="zh-CN"/>
        </w:rPr>
      </w:pPr>
    </w:p>
    <w:p w14:paraId="6FCA8E96">
      <w:pPr>
        <w:snapToGrid w:val="0"/>
        <w:spacing w:line="360" w:lineRule="auto"/>
        <w:ind w:right="24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说明：本委托书在有样品或演示时由受委托人携带至指定地点。</w:t>
      </w:r>
    </w:p>
    <w:p w14:paraId="6500304B">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同时有样品和演示的，可委托不同人员。</w:t>
      </w:r>
    </w:p>
    <w:p w14:paraId="0AF2514B">
      <w:pPr>
        <w:spacing w:line="360" w:lineRule="auto"/>
        <w:jc w:val="left"/>
        <w:rPr>
          <w:rFonts w:hint="eastAsia" w:ascii="宋体" w:hAnsi="宋体" w:eastAsia="宋体" w:cs="宋体"/>
          <w:b/>
          <w:color w:val="auto"/>
          <w:spacing w:val="6"/>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0C09A84D">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：质疑函范本及制作说明</w:t>
      </w:r>
    </w:p>
    <w:p w14:paraId="045F997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40CC5C57">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16E4103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782157F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89677B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A309D6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4575D56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3D3635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C11E328">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1B42444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35CF8C5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193DFA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1C07C9E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62E7F727">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2727B77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7522922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44E1E7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1777F0D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E14A68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5895AA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66B09F7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C45D4C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225A226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3471E8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4EFB7F9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2A90B5F">
      <w:pPr>
        <w:spacing w:line="360" w:lineRule="auto"/>
        <w:jc w:val="center"/>
        <w:rPr>
          <w:rFonts w:hint="eastAsia" w:ascii="宋体" w:hAnsi="宋体" w:eastAsia="宋体" w:cs="宋体"/>
          <w:b/>
          <w:bCs/>
          <w:color w:val="auto"/>
          <w:sz w:val="24"/>
          <w:highlight w:val="none"/>
        </w:rPr>
      </w:pPr>
    </w:p>
    <w:p w14:paraId="1192550B">
      <w:pPr>
        <w:spacing w:line="360" w:lineRule="auto"/>
        <w:rPr>
          <w:rFonts w:hint="eastAsia" w:ascii="宋体" w:hAnsi="宋体" w:eastAsia="宋体" w:cs="宋体"/>
          <w:b/>
          <w:color w:val="auto"/>
          <w:sz w:val="24"/>
          <w:highlight w:val="none"/>
        </w:rPr>
      </w:pPr>
    </w:p>
    <w:p w14:paraId="54496308">
      <w:pPr>
        <w:spacing w:line="360" w:lineRule="auto"/>
        <w:rPr>
          <w:rFonts w:hint="eastAsia" w:ascii="宋体" w:hAnsi="宋体" w:eastAsia="宋体" w:cs="宋体"/>
          <w:b/>
          <w:color w:val="auto"/>
          <w:sz w:val="24"/>
          <w:highlight w:val="none"/>
        </w:rPr>
      </w:pPr>
    </w:p>
    <w:p w14:paraId="63415E5F">
      <w:pPr>
        <w:spacing w:line="360" w:lineRule="auto"/>
        <w:rPr>
          <w:rFonts w:hint="eastAsia" w:ascii="宋体" w:hAnsi="宋体" w:eastAsia="宋体" w:cs="宋体"/>
          <w:b/>
          <w:color w:val="auto"/>
          <w:sz w:val="24"/>
          <w:highlight w:val="none"/>
        </w:rPr>
      </w:pPr>
    </w:p>
    <w:p w14:paraId="5CD6CA0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2AB4BAC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5A71F3D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6297DEE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33D7448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4BAE469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406C144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C506987">
      <w:pPr>
        <w:widowControl/>
        <w:spacing w:line="360" w:lineRule="auto"/>
        <w:ind w:firstLine="600" w:firstLineChars="200"/>
        <w:jc w:val="left"/>
        <w:rPr>
          <w:rFonts w:hint="eastAsia" w:ascii="宋体" w:hAnsi="宋体" w:eastAsia="宋体" w:cs="宋体"/>
          <w:color w:val="auto"/>
          <w:sz w:val="30"/>
          <w:szCs w:val="30"/>
          <w:highlight w:val="none"/>
        </w:rPr>
      </w:pPr>
    </w:p>
    <w:p w14:paraId="6719BA29">
      <w:pPr>
        <w:spacing w:line="360" w:lineRule="auto"/>
        <w:jc w:val="center"/>
        <w:rPr>
          <w:rFonts w:hint="eastAsia" w:ascii="宋体" w:hAnsi="宋体" w:eastAsia="宋体" w:cs="宋体"/>
          <w:b/>
          <w:color w:val="auto"/>
          <w:spacing w:val="6"/>
          <w:sz w:val="32"/>
          <w:szCs w:val="32"/>
          <w:highlight w:val="none"/>
        </w:rPr>
      </w:pPr>
    </w:p>
    <w:p w14:paraId="265F59A4">
      <w:pPr>
        <w:spacing w:line="360" w:lineRule="auto"/>
        <w:jc w:val="center"/>
        <w:rPr>
          <w:rFonts w:hint="eastAsia" w:ascii="宋体" w:hAnsi="宋体" w:eastAsia="宋体" w:cs="宋体"/>
          <w:b/>
          <w:color w:val="auto"/>
          <w:spacing w:val="6"/>
          <w:sz w:val="32"/>
          <w:szCs w:val="32"/>
          <w:highlight w:val="none"/>
        </w:rPr>
      </w:pPr>
    </w:p>
    <w:p w14:paraId="75D9B09D">
      <w:pPr>
        <w:spacing w:line="360" w:lineRule="auto"/>
        <w:jc w:val="center"/>
        <w:rPr>
          <w:rFonts w:hint="eastAsia" w:ascii="宋体" w:hAnsi="宋体" w:eastAsia="宋体" w:cs="宋体"/>
          <w:b/>
          <w:color w:val="auto"/>
          <w:spacing w:val="6"/>
          <w:sz w:val="32"/>
          <w:szCs w:val="32"/>
          <w:highlight w:val="none"/>
        </w:rPr>
      </w:pPr>
    </w:p>
    <w:p w14:paraId="5E8B7835">
      <w:pPr>
        <w:spacing w:line="360" w:lineRule="auto"/>
        <w:jc w:val="center"/>
        <w:rPr>
          <w:rFonts w:hint="eastAsia" w:ascii="宋体" w:hAnsi="宋体" w:eastAsia="宋体" w:cs="宋体"/>
          <w:b/>
          <w:color w:val="auto"/>
          <w:spacing w:val="6"/>
          <w:sz w:val="32"/>
          <w:szCs w:val="32"/>
          <w:highlight w:val="none"/>
        </w:rPr>
      </w:pPr>
    </w:p>
    <w:p w14:paraId="74CA6EAB">
      <w:pPr>
        <w:spacing w:line="360" w:lineRule="auto"/>
        <w:jc w:val="center"/>
        <w:rPr>
          <w:rFonts w:hint="eastAsia" w:ascii="宋体" w:hAnsi="宋体" w:eastAsia="宋体" w:cs="宋体"/>
          <w:b/>
          <w:color w:val="auto"/>
          <w:spacing w:val="6"/>
          <w:sz w:val="32"/>
          <w:szCs w:val="32"/>
          <w:highlight w:val="none"/>
        </w:rPr>
      </w:pPr>
    </w:p>
    <w:p w14:paraId="2CF23D37">
      <w:pPr>
        <w:spacing w:line="360" w:lineRule="auto"/>
        <w:jc w:val="center"/>
        <w:rPr>
          <w:rFonts w:hint="eastAsia" w:ascii="宋体" w:hAnsi="宋体" w:eastAsia="宋体" w:cs="宋体"/>
          <w:b/>
          <w:color w:val="auto"/>
          <w:spacing w:val="6"/>
          <w:sz w:val="32"/>
          <w:szCs w:val="32"/>
          <w:highlight w:val="none"/>
        </w:rPr>
      </w:pPr>
    </w:p>
    <w:p w14:paraId="3B8AC3C1">
      <w:pPr>
        <w:spacing w:line="360" w:lineRule="auto"/>
        <w:jc w:val="center"/>
        <w:rPr>
          <w:rFonts w:hint="eastAsia" w:ascii="宋体" w:hAnsi="宋体" w:eastAsia="宋体" w:cs="宋体"/>
          <w:b/>
          <w:color w:val="auto"/>
          <w:spacing w:val="6"/>
          <w:sz w:val="32"/>
          <w:szCs w:val="32"/>
          <w:highlight w:val="none"/>
        </w:rPr>
      </w:pPr>
    </w:p>
    <w:p w14:paraId="4B8C92DC">
      <w:pPr>
        <w:spacing w:line="360" w:lineRule="auto"/>
        <w:jc w:val="center"/>
        <w:rPr>
          <w:rFonts w:hint="eastAsia" w:ascii="宋体" w:hAnsi="宋体" w:eastAsia="宋体" w:cs="宋体"/>
          <w:b/>
          <w:color w:val="auto"/>
          <w:spacing w:val="6"/>
          <w:sz w:val="32"/>
          <w:szCs w:val="32"/>
          <w:highlight w:val="none"/>
        </w:rPr>
      </w:pPr>
    </w:p>
    <w:p w14:paraId="4B420C37">
      <w:pPr>
        <w:spacing w:line="360" w:lineRule="auto"/>
        <w:jc w:val="center"/>
        <w:rPr>
          <w:rFonts w:hint="eastAsia" w:ascii="宋体" w:hAnsi="宋体" w:eastAsia="宋体" w:cs="宋体"/>
          <w:b/>
          <w:color w:val="auto"/>
          <w:spacing w:val="6"/>
          <w:sz w:val="32"/>
          <w:szCs w:val="32"/>
          <w:highlight w:val="none"/>
        </w:rPr>
      </w:pPr>
    </w:p>
    <w:p w14:paraId="520B2B98">
      <w:pPr>
        <w:spacing w:line="360" w:lineRule="auto"/>
        <w:jc w:val="center"/>
        <w:rPr>
          <w:rFonts w:hint="eastAsia" w:ascii="宋体" w:hAnsi="宋体" w:eastAsia="宋体" w:cs="宋体"/>
          <w:b/>
          <w:color w:val="auto"/>
          <w:spacing w:val="6"/>
          <w:sz w:val="32"/>
          <w:szCs w:val="32"/>
          <w:highlight w:val="none"/>
        </w:rPr>
      </w:pPr>
    </w:p>
    <w:p w14:paraId="25B1023D">
      <w:pPr>
        <w:spacing w:line="360" w:lineRule="auto"/>
        <w:jc w:val="center"/>
        <w:rPr>
          <w:rFonts w:hint="eastAsia" w:ascii="宋体" w:hAnsi="宋体" w:eastAsia="宋体" w:cs="宋体"/>
          <w:b/>
          <w:color w:val="auto"/>
          <w:spacing w:val="6"/>
          <w:sz w:val="32"/>
          <w:szCs w:val="32"/>
          <w:highlight w:val="none"/>
        </w:rPr>
      </w:pPr>
    </w:p>
    <w:p w14:paraId="21105A21">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6BD96E3C">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：投诉书范本及制作说明</w:t>
      </w:r>
    </w:p>
    <w:p w14:paraId="48B2A5C0">
      <w:pPr>
        <w:spacing w:line="360" w:lineRule="auto"/>
        <w:jc w:val="center"/>
        <w:rPr>
          <w:rFonts w:hint="eastAsia" w:ascii="宋体" w:hAnsi="宋体" w:eastAsia="宋体" w:cs="宋体"/>
          <w:b/>
          <w:color w:val="auto"/>
          <w:sz w:val="24"/>
          <w:highlight w:val="none"/>
        </w:rPr>
      </w:pPr>
    </w:p>
    <w:p w14:paraId="5103E2DB">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3E60D4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1A2075F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78AC56B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5482ACC">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9D10C57">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A684C1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7075AD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4B1F5C5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EDB22F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264E06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969547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0EF4E4B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75227B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008812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476750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65C854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3D061CB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539D96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C6682F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E9E2A8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78010D0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E0D791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BF4594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74ABE175">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6FDD63B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FEC13DA">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lang w:eastAsia="zh-CN"/>
        </w:rPr>
        <w:t>月</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lang w:eastAsia="zh-CN"/>
        </w:rPr>
        <w:t>日</w:t>
      </w:r>
      <w:r>
        <w:rPr>
          <w:rFonts w:hint="eastAsia" w:ascii="宋体" w:hAnsi="宋体" w:eastAsia="宋体" w:cs="宋体"/>
          <w:color w:val="auto"/>
          <w:sz w:val="24"/>
          <w:highlight w:val="none"/>
        </w:rPr>
        <w:t>,就质疑事项作出了答复/没有在法定期限内作出答复。</w:t>
      </w:r>
    </w:p>
    <w:p w14:paraId="22759B0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4B53FDD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66D942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C6B7D8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981F85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92CD28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E43E7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1A6AD03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C09CC8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21AEF79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D293AF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487F85B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3D1859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1AD5BF1">
      <w:pPr>
        <w:spacing w:line="360" w:lineRule="auto"/>
        <w:rPr>
          <w:rFonts w:hint="eastAsia" w:ascii="宋体" w:hAnsi="宋体" w:eastAsia="宋体" w:cs="宋体"/>
          <w:b/>
          <w:color w:val="auto"/>
          <w:sz w:val="24"/>
          <w:highlight w:val="none"/>
        </w:rPr>
      </w:pPr>
    </w:p>
    <w:p w14:paraId="35CD55FD">
      <w:pPr>
        <w:spacing w:line="360" w:lineRule="auto"/>
        <w:rPr>
          <w:rFonts w:hint="eastAsia" w:ascii="宋体" w:hAnsi="宋体" w:eastAsia="宋体" w:cs="宋体"/>
          <w:b/>
          <w:color w:val="auto"/>
          <w:sz w:val="24"/>
          <w:highlight w:val="none"/>
        </w:rPr>
      </w:pPr>
    </w:p>
    <w:p w14:paraId="72F8101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337BA3A6">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3359DB4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DC0630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023524C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377CFC5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71515DA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40DCB9B9">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45ADB11">
      <w:pPr>
        <w:spacing w:line="360" w:lineRule="auto"/>
        <w:rPr>
          <w:rFonts w:hint="eastAsia" w:ascii="宋体" w:hAnsi="宋体" w:eastAsia="宋体" w:cs="宋体"/>
          <w:b/>
          <w:color w:val="auto"/>
          <w:sz w:val="24"/>
          <w:highlight w:val="none"/>
        </w:rPr>
      </w:pPr>
    </w:p>
    <w:p w14:paraId="4B3926CB">
      <w:pPr>
        <w:autoSpaceDE w:val="0"/>
        <w:autoSpaceDN w:val="0"/>
        <w:jc w:val="center"/>
        <w:rPr>
          <w:rFonts w:hint="eastAsia" w:ascii="宋体" w:hAnsi="宋体" w:eastAsia="宋体" w:cs="宋体"/>
          <w:b/>
          <w:color w:val="auto"/>
          <w:spacing w:val="6"/>
          <w:sz w:val="32"/>
          <w:szCs w:val="32"/>
          <w:highlight w:val="none"/>
        </w:rPr>
      </w:pPr>
    </w:p>
    <w:p w14:paraId="75D64275">
      <w:pPr>
        <w:autoSpaceDE w:val="0"/>
        <w:autoSpaceDN w:val="0"/>
        <w:jc w:val="center"/>
        <w:rPr>
          <w:rFonts w:hint="eastAsia" w:ascii="宋体" w:hAnsi="宋体" w:eastAsia="宋体" w:cs="宋体"/>
          <w:b/>
          <w:color w:val="auto"/>
          <w:spacing w:val="6"/>
          <w:sz w:val="32"/>
          <w:szCs w:val="32"/>
          <w:highlight w:val="none"/>
        </w:rPr>
      </w:pPr>
    </w:p>
    <w:p w14:paraId="5CDB860A">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265EEFB3">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4</w:t>
      </w:r>
      <w:r>
        <w:rPr>
          <w:rFonts w:hint="eastAsia" w:ascii="宋体" w:hAnsi="宋体" w:eastAsia="宋体" w:cs="宋体"/>
          <w:b/>
          <w:color w:val="auto"/>
          <w:spacing w:val="6"/>
          <w:sz w:val="32"/>
          <w:szCs w:val="32"/>
          <w:highlight w:val="none"/>
        </w:rPr>
        <w:t>：</w:t>
      </w:r>
      <w:r>
        <w:rPr>
          <w:rFonts w:hint="eastAsia" w:ascii="宋体" w:hAnsi="宋体" w:eastAsia="宋体" w:cs="宋体"/>
          <w:b/>
          <w:bCs/>
          <w:color w:val="auto"/>
          <w:sz w:val="32"/>
          <w:szCs w:val="32"/>
          <w:highlight w:val="none"/>
        </w:rPr>
        <w:t>业务专用章使用说明函</w:t>
      </w:r>
    </w:p>
    <w:p w14:paraId="5B9D07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3CC6BC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w:t>
      </w:r>
      <w:r>
        <w:rPr>
          <w:rFonts w:hint="eastAsia" w:ascii="宋体" w:hAnsi="宋体" w:eastAsia="宋体" w:cs="宋体"/>
          <w:color w:val="auto"/>
          <w:sz w:val="24"/>
          <w:highlight w:val="none"/>
          <w:u w:val="single"/>
          <w:lang w:eastAsia="zh-CN"/>
        </w:rPr>
        <w:t>交易</w:t>
      </w:r>
      <w:r>
        <w:rPr>
          <w:rFonts w:hint="eastAsia" w:ascii="宋体" w:hAnsi="宋体" w:eastAsia="宋体" w:cs="宋体"/>
          <w:color w:val="auto"/>
          <w:sz w:val="24"/>
          <w:highlight w:val="none"/>
          <w:u w:val="single"/>
        </w:rPr>
        <w:t>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bCs/>
          <w:color w:val="auto"/>
          <w:sz w:val="24"/>
          <w:highlight w:val="none"/>
          <w:lang w:eastAsia="zh-CN"/>
        </w:rPr>
        <w:t>交易</w:t>
      </w:r>
      <w:r>
        <w:rPr>
          <w:rFonts w:hint="eastAsia" w:ascii="宋体" w:hAnsi="宋体" w:eastAsia="宋体" w:cs="宋体"/>
          <w:bCs/>
          <w:color w:val="auto"/>
          <w:sz w:val="24"/>
          <w:highlight w:val="none"/>
        </w:rPr>
        <w:t>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2C4AA0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771D8A1D">
      <w:pPr>
        <w:spacing w:line="360" w:lineRule="auto"/>
        <w:ind w:firstLine="494"/>
        <w:rPr>
          <w:rFonts w:hint="eastAsia" w:ascii="宋体" w:hAnsi="宋体" w:eastAsia="宋体" w:cs="宋体"/>
          <w:color w:val="auto"/>
          <w:sz w:val="24"/>
          <w:highlight w:val="none"/>
        </w:rPr>
      </w:pPr>
    </w:p>
    <w:p w14:paraId="18883EE0">
      <w:pPr>
        <w:spacing w:line="360" w:lineRule="auto"/>
        <w:ind w:firstLine="494"/>
        <w:rPr>
          <w:rFonts w:hint="eastAsia" w:ascii="宋体" w:hAnsi="宋体" w:eastAsia="宋体" w:cs="宋体"/>
          <w:color w:val="auto"/>
          <w:sz w:val="24"/>
          <w:highlight w:val="none"/>
        </w:rPr>
      </w:pPr>
    </w:p>
    <w:p w14:paraId="262CD196">
      <w:pPr>
        <w:spacing w:line="360" w:lineRule="auto"/>
        <w:ind w:firstLine="494"/>
        <w:rPr>
          <w:rFonts w:hint="eastAsia" w:ascii="宋体" w:hAnsi="宋体" w:eastAsia="宋体" w:cs="宋体"/>
          <w:color w:val="auto"/>
          <w:sz w:val="24"/>
          <w:highlight w:val="none"/>
        </w:rPr>
      </w:pPr>
    </w:p>
    <w:p w14:paraId="4F7905A9">
      <w:pPr>
        <w:spacing w:line="360" w:lineRule="auto"/>
        <w:ind w:firstLine="494"/>
        <w:rPr>
          <w:rFonts w:hint="eastAsia" w:ascii="宋体" w:hAnsi="宋体" w:eastAsia="宋体" w:cs="宋体"/>
          <w:color w:val="auto"/>
          <w:sz w:val="24"/>
          <w:highlight w:val="none"/>
        </w:rPr>
      </w:pPr>
    </w:p>
    <w:p w14:paraId="2EEEAECB">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单位（法定名称章）：</w:t>
      </w:r>
    </w:p>
    <w:p w14:paraId="43FAD819">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CF92285">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附：</w:t>
      </w:r>
    </w:p>
    <w:p w14:paraId="237B8B91">
      <w:pPr>
        <w:spacing w:line="360" w:lineRule="auto"/>
        <w:rPr>
          <w:rFonts w:hint="eastAsia" w:ascii="宋体" w:hAnsi="宋体" w:eastAsia="宋体" w:cs="宋体"/>
          <w:bCs/>
          <w:color w:val="auto"/>
          <w:sz w:val="24"/>
          <w:highlight w:val="none"/>
        </w:rPr>
      </w:pPr>
      <w:r>
        <w:rPr>
          <w:rFonts w:hint="eastAsia" w:ascii="宋体" w:hAnsi="宋体" w:eastAsia="宋体" w:cs="宋体"/>
          <w:b w:val="0"/>
          <w:bCs w:val="0"/>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val="0"/>
          <w:bCs w:val="0"/>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val="0"/>
          <w:bCs w:val="0"/>
          <w:color w:val="auto"/>
          <w:sz w:val="24"/>
          <w:highlight w:val="none"/>
          <w:lang w:eastAsia="zh-CN"/>
        </w:rPr>
        <w:t>响应</w:t>
      </w:r>
      <w:r>
        <w:rPr>
          <w:rFonts w:hint="eastAsia" w:ascii="宋体" w:hAnsi="宋体" w:eastAsia="宋体" w:cs="宋体"/>
          <w:color w:val="auto"/>
          <w:sz w:val="24"/>
          <w:highlight w:val="none"/>
        </w:rPr>
        <w:t xml:space="preserve">单位法定名称章（印模）                </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单位“XX专用章”（印模）</w:t>
      </w:r>
    </w:p>
    <w:p w14:paraId="5C1EB316">
      <w:pPr>
        <w:autoSpaceDE w:val="0"/>
        <w:autoSpaceDN w:val="0"/>
        <w:jc w:val="center"/>
        <w:rPr>
          <w:rFonts w:hint="eastAsia" w:ascii="宋体" w:hAnsi="宋体" w:eastAsia="宋体" w:cs="宋体"/>
          <w:b/>
          <w:color w:val="auto"/>
          <w:spacing w:val="6"/>
          <w:sz w:val="32"/>
          <w:szCs w:val="32"/>
          <w:highlight w:val="none"/>
        </w:rPr>
      </w:pPr>
    </w:p>
    <w:p w14:paraId="1649ED6A">
      <w:pPr>
        <w:autoSpaceDE w:val="0"/>
        <w:autoSpaceDN w:val="0"/>
        <w:jc w:val="center"/>
        <w:rPr>
          <w:rFonts w:hint="eastAsia" w:ascii="宋体" w:hAnsi="宋体" w:eastAsia="宋体" w:cs="宋体"/>
          <w:b/>
          <w:color w:val="auto"/>
          <w:spacing w:val="6"/>
          <w:sz w:val="32"/>
          <w:szCs w:val="32"/>
          <w:highlight w:val="none"/>
        </w:rPr>
      </w:pPr>
    </w:p>
    <w:p w14:paraId="54B8BAA6">
      <w:pPr>
        <w:autoSpaceDE w:val="0"/>
        <w:autoSpaceDN w:val="0"/>
        <w:jc w:val="center"/>
        <w:rPr>
          <w:rFonts w:hint="eastAsia" w:ascii="宋体" w:hAnsi="宋体" w:eastAsia="宋体" w:cs="宋体"/>
          <w:b/>
          <w:color w:val="auto"/>
          <w:spacing w:val="6"/>
          <w:sz w:val="32"/>
          <w:szCs w:val="32"/>
          <w:highlight w:val="none"/>
        </w:rPr>
      </w:pPr>
    </w:p>
    <w:p w14:paraId="464E2C62">
      <w:pPr>
        <w:autoSpaceDE w:val="0"/>
        <w:autoSpaceDN w:val="0"/>
        <w:jc w:val="center"/>
        <w:rPr>
          <w:rFonts w:hint="eastAsia" w:ascii="宋体" w:hAnsi="宋体" w:eastAsia="宋体" w:cs="宋体"/>
          <w:b/>
          <w:color w:val="auto"/>
          <w:spacing w:val="6"/>
          <w:sz w:val="32"/>
          <w:szCs w:val="32"/>
          <w:highlight w:val="none"/>
        </w:rPr>
      </w:pPr>
    </w:p>
    <w:p w14:paraId="4BC61715">
      <w:pPr>
        <w:autoSpaceDE w:val="0"/>
        <w:autoSpaceDN w:val="0"/>
        <w:jc w:val="center"/>
        <w:rPr>
          <w:rFonts w:hint="eastAsia" w:ascii="宋体" w:hAnsi="宋体" w:eastAsia="宋体" w:cs="宋体"/>
          <w:b/>
          <w:color w:val="auto"/>
          <w:spacing w:val="6"/>
          <w:sz w:val="32"/>
          <w:szCs w:val="32"/>
          <w:highlight w:val="none"/>
        </w:rPr>
      </w:pPr>
    </w:p>
    <w:p w14:paraId="4ADE207F">
      <w:pPr>
        <w:autoSpaceDE w:val="0"/>
        <w:autoSpaceDN w:val="0"/>
        <w:jc w:val="center"/>
        <w:rPr>
          <w:rFonts w:hint="eastAsia" w:ascii="宋体" w:hAnsi="宋体" w:eastAsia="宋体" w:cs="宋体"/>
          <w:b/>
          <w:color w:val="auto"/>
          <w:spacing w:val="6"/>
          <w:sz w:val="32"/>
          <w:szCs w:val="32"/>
          <w:highlight w:val="none"/>
        </w:rPr>
      </w:pPr>
    </w:p>
    <w:p w14:paraId="4AA88E44">
      <w:pPr>
        <w:autoSpaceDE w:val="0"/>
        <w:autoSpaceDN w:val="0"/>
        <w:jc w:val="center"/>
        <w:rPr>
          <w:rFonts w:hint="eastAsia" w:ascii="宋体" w:hAnsi="宋体" w:eastAsia="宋体" w:cs="宋体"/>
          <w:b/>
          <w:color w:val="auto"/>
          <w:spacing w:val="6"/>
          <w:sz w:val="32"/>
          <w:szCs w:val="32"/>
          <w:highlight w:val="none"/>
        </w:rPr>
      </w:pPr>
    </w:p>
    <w:p w14:paraId="1CABF033">
      <w:pPr>
        <w:autoSpaceDE w:val="0"/>
        <w:autoSpaceDN w:val="0"/>
        <w:jc w:val="center"/>
        <w:rPr>
          <w:rFonts w:hint="eastAsia" w:ascii="宋体" w:hAnsi="宋体" w:eastAsia="宋体" w:cs="宋体"/>
          <w:b/>
          <w:color w:val="auto"/>
          <w:spacing w:val="6"/>
          <w:sz w:val="32"/>
          <w:szCs w:val="32"/>
          <w:highlight w:val="none"/>
        </w:rPr>
      </w:pPr>
    </w:p>
    <w:p w14:paraId="425E2743">
      <w:pPr>
        <w:autoSpaceDE w:val="0"/>
        <w:autoSpaceDN w:val="0"/>
        <w:jc w:val="center"/>
        <w:rPr>
          <w:rFonts w:hint="eastAsia" w:ascii="宋体" w:hAnsi="宋体" w:eastAsia="宋体" w:cs="宋体"/>
          <w:b/>
          <w:color w:val="auto"/>
          <w:spacing w:val="6"/>
          <w:sz w:val="32"/>
          <w:szCs w:val="32"/>
          <w:highlight w:val="none"/>
        </w:rPr>
      </w:pPr>
    </w:p>
    <w:p w14:paraId="248EB759">
      <w:pPr>
        <w:autoSpaceDE w:val="0"/>
        <w:autoSpaceDN w:val="0"/>
        <w:jc w:val="center"/>
        <w:rPr>
          <w:rFonts w:hint="eastAsia" w:ascii="宋体" w:hAnsi="宋体" w:eastAsia="宋体" w:cs="宋体"/>
          <w:b/>
          <w:color w:val="auto"/>
          <w:spacing w:val="6"/>
          <w:sz w:val="32"/>
          <w:szCs w:val="32"/>
          <w:highlight w:val="none"/>
        </w:rPr>
      </w:pPr>
    </w:p>
    <w:p w14:paraId="6F6B05B4">
      <w:pPr>
        <w:autoSpaceDE w:val="0"/>
        <w:autoSpaceDN w:val="0"/>
        <w:jc w:val="center"/>
        <w:rPr>
          <w:rFonts w:hint="eastAsia" w:ascii="宋体" w:hAnsi="宋体" w:eastAsia="宋体" w:cs="宋体"/>
          <w:b/>
          <w:color w:val="auto"/>
          <w:spacing w:val="6"/>
          <w:sz w:val="32"/>
          <w:szCs w:val="32"/>
          <w:highlight w:val="none"/>
        </w:rPr>
      </w:pPr>
    </w:p>
    <w:p w14:paraId="5530C7A0">
      <w:pPr>
        <w:autoSpaceDE w:val="0"/>
        <w:autoSpaceDN w:val="0"/>
        <w:jc w:val="center"/>
        <w:rPr>
          <w:rFonts w:hint="eastAsia" w:ascii="宋体" w:hAnsi="宋体" w:eastAsia="宋体" w:cs="宋体"/>
          <w:b/>
          <w:color w:val="auto"/>
          <w:spacing w:val="6"/>
          <w:sz w:val="32"/>
          <w:szCs w:val="32"/>
          <w:highlight w:val="none"/>
        </w:rPr>
      </w:pPr>
    </w:p>
    <w:p w14:paraId="0D8FF157">
      <w:pPr>
        <w:autoSpaceDE w:val="0"/>
        <w:autoSpaceDN w:val="0"/>
        <w:jc w:val="center"/>
        <w:rPr>
          <w:rFonts w:hint="eastAsia" w:ascii="宋体" w:hAnsi="宋体" w:eastAsia="宋体" w:cs="宋体"/>
          <w:b/>
          <w:color w:val="auto"/>
          <w:spacing w:val="6"/>
          <w:sz w:val="32"/>
          <w:szCs w:val="32"/>
          <w:highlight w:val="none"/>
        </w:rPr>
      </w:pPr>
    </w:p>
    <w:p w14:paraId="48CB9B94">
      <w:pPr>
        <w:pStyle w:val="62"/>
        <w:rPr>
          <w:rFonts w:hint="eastAsia" w:ascii="宋体" w:hAnsi="宋体" w:eastAsia="宋体" w:cs="宋体"/>
          <w:b/>
          <w:color w:val="auto"/>
          <w:spacing w:val="6"/>
          <w:sz w:val="32"/>
          <w:szCs w:val="32"/>
          <w:highlight w:val="none"/>
        </w:rPr>
      </w:pPr>
    </w:p>
    <w:p w14:paraId="4AC859CC">
      <w:pPr>
        <w:pStyle w:val="62"/>
        <w:rPr>
          <w:rFonts w:hint="eastAsia" w:ascii="宋体" w:hAnsi="宋体" w:eastAsia="宋体" w:cs="宋体"/>
          <w:b/>
          <w:color w:val="auto"/>
          <w:spacing w:val="6"/>
          <w:sz w:val="32"/>
          <w:szCs w:val="32"/>
          <w:highlight w:val="none"/>
        </w:rPr>
      </w:pPr>
    </w:p>
    <w:p w14:paraId="6390337A">
      <w:pPr>
        <w:pStyle w:val="62"/>
        <w:rPr>
          <w:rFonts w:hint="eastAsia" w:ascii="宋体" w:hAnsi="宋体" w:eastAsia="宋体" w:cs="宋体"/>
          <w:b/>
          <w:color w:val="auto"/>
          <w:spacing w:val="6"/>
          <w:sz w:val="32"/>
          <w:szCs w:val="32"/>
          <w:highlight w:val="none"/>
        </w:rPr>
      </w:pPr>
    </w:p>
    <w:p w14:paraId="7EF3DA92">
      <w:pPr>
        <w:autoSpaceDE w:val="0"/>
        <w:autoSpaceDN w:val="0"/>
        <w:jc w:val="center"/>
        <w:rPr>
          <w:rFonts w:hint="eastAsia" w:ascii="宋体" w:hAnsi="宋体" w:eastAsia="宋体" w:cs="宋体"/>
          <w:b/>
          <w:color w:val="auto"/>
          <w:spacing w:val="6"/>
          <w:sz w:val="32"/>
          <w:szCs w:val="32"/>
          <w:highlight w:val="none"/>
        </w:rPr>
      </w:pPr>
    </w:p>
    <w:p w14:paraId="64A9EC4C">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lang w:val="en-US" w:eastAsia="zh-CN"/>
        </w:rPr>
        <w:t xml:space="preserve">附件5         </w:t>
      </w:r>
      <w:r>
        <w:rPr>
          <w:rFonts w:hint="eastAsia" w:ascii="宋体" w:hAnsi="宋体" w:cs="宋体"/>
          <w:b/>
          <w:color w:val="auto"/>
          <w:sz w:val="36"/>
          <w:szCs w:val="20"/>
        </w:rPr>
        <w:t>中小企业声明函</w:t>
      </w:r>
    </w:p>
    <w:p w14:paraId="76214322">
      <w:pPr>
        <w:spacing w:line="360" w:lineRule="auto"/>
        <w:jc w:val="center"/>
        <w:rPr>
          <w:rFonts w:ascii="宋体" w:hAnsi="宋体" w:cs="宋体"/>
          <w:color w:val="auto"/>
          <w:sz w:val="24"/>
          <w:u w:val="single"/>
        </w:rPr>
      </w:pPr>
    </w:p>
    <w:p w14:paraId="2D416DE8">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4F01D364">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3C788656">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2BECC480">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6D5F7367">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565B1CBE">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4C0FC9A3">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63B4FD1A">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1D0DFAAC">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75BBA991">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42DF1BF5">
      <w:pPr>
        <w:spacing w:line="360" w:lineRule="auto"/>
        <w:ind w:right="420"/>
        <w:rPr>
          <w:rFonts w:ascii="宋体" w:hAnsi="宋体" w:cs="宋体"/>
          <w:color w:val="auto"/>
          <w:sz w:val="24"/>
        </w:rPr>
      </w:pPr>
    </w:p>
    <w:p w14:paraId="79CB37B0">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588ACD6E">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76F7BAF">
      <w:pPr>
        <w:spacing w:line="360" w:lineRule="auto"/>
        <w:ind w:right="420" w:firstLine="720" w:firstLineChars="300"/>
        <w:rPr>
          <w:rFonts w:hint="eastAsia" w:ascii="宋体" w:hAnsi="宋体" w:eastAsia="宋体" w:cs="宋体"/>
          <w:b/>
          <w:color w:val="auto"/>
          <w:spacing w:val="6"/>
          <w:sz w:val="32"/>
          <w:szCs w:val="32"/>
          <w:highlight w:val="none"/>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FangSong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CB35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60EE9D8">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6147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3C4A202E">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883C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7C593A81">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A478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51D26D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E919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05E91">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386" w:name="_Toc91899912"/>
    <w:bookmarkStart w:id="387" w:name="_Toc164085800"/>
    <w:bookmarkStart w:id="388" w:name="_Toc131845147"/>
    <w:bookmarkStart w:id="389" w:name="_Toc36110187"/>
    <w:r>
      <w:rPr>
        <w:rFonts w:hint="eastAsia" w:ascii="仿宋_GB2312" w:eastAsia="仿宋_GB2312"/>
        <w:kern w:val="0"/>
        <w:szCs w:val="21"/>
      </w:rPr>
      <w:t xml:space="preserve"> 页</w:t>
    </w:r>
    <w:bookmarkEnd w:id="386"/>
    <w:bookmarkEnd w:id="387"/>
    <w:bookmarkEnd w:id="388"/>
    <w:bookmarkEnd w:id="38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18209">
    <w:pPr>
      <w:pStyle w:val="43"/>
      <w:jc w:val="right"/>
      <w:rPr>
        <w:rFonts w:hint="eastAsia" w:ascii="仿宋_GB2312" w:eastAsia="宋体"/>
        <w:b/>
        <w:i/>
        <w:u w:val="single"/>
        <w:lang w:eastAsia="zh-CN"/>
      </w:rPr>
    </w:pPr>
    <w:r>
      <w:t></w:t>
    </w:r>
    <w:r>
      <w:rPr>
        <w:rFonts w:hint="eastAsia"/>
      </w:rPr>
      <w:t xml:space="preserve">                                                  </w:t>
    </w:r>
    <w:r>
      <w:t>公开</w:t>
    </w:r>
    <w:r>
      <w:rPr>
        <w:rFonts w:hint="eastAsia"/>
        <w:lang w:eastAsia="zh-CN"/>
      </w:rPr>
      <w:t>交易文件</w:t>
    </w:r>
  </w:p>
  <w:p w14:paraId="0A2EDE85">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6FC8D">
    <w:pPr>
      <w:pStyle w:val="43"/>
    </w:pPr>
    <w:r>
      <w:t></w:t>
    </w:r>
    <w:r>
      <w:rPr>
        <w:rFonts w:hint="eastAsia"/>
      </w:rPr>
      <w:t xml:space="preserve">         </w:t>
    </w:r>
  </w:p>
  <w:p w14:paraId="3C308C5C">
    <w:pPr>
      <w:pStyle w:val="43"/>
      <w:jc w:val="right"/>
      <w:rPr>
        <w:rFonts w:hint="eastAsia" w:eastAsia="宋体"/>
        <w:lang w:eastAsia="zh-CN"/>
      </w:rPr>
    </w:pPr>
    <w:r>
      <w:rPr>
        <w:rFonts w:hint="eastAsia"/>
      </w:rPr>
      <w:t xml:space="preserve">                                                                  </w:t>
    </w:r>
    <w:r>
      <w:rPr>
        <w:rFonts w:hint="eastAsia"/>
        <w:lang w:val="en-US" w:eastAsia="zh-CN"/>
      </w:rPr>
      <w:t xml:space="preserve"> </w:t>
    </w:r>
    <w:r>
      <w:t>公开</w:t>
    </w:r>
    <w:r>
      <w:rPr>
        <w:rFonts w:hint="eastAsia"/>
        <w:lang w:eastAsia="zh-CN"/>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76FAA">
    <w:pPr>
      <w:pStyle w:val="43"/>
      <w:jc w:val="right"/>
      <w:rPr>
        <w:rFonts w:hint="eastAsia" w:ascii="仿宋_GB2312" w:eastAsia="宋体"/>
        <w:b/>
        <w:i/>
        <w:u w:val="single"/>
        <w:lang w:eastAsia="zh-CN"/>
      </w:rPr>
    </w:pPr>
    <w:r>
      <w:rPr>
        <w:rFonts w:hint="eastAsia"/>
      </w:rPr>
      <w:t xml:space="preserve">                                 </w:t>
    </w:r>
    <w:r>
      <w:t>公开</w:t>
    </w:r>
    <w:r>
      <w:rPr>
        <w:rFonts w:hint="eastAsia"/>
        <w:lang w:eastAsia="zh-CN"/>
      </w:rPr>
      <w:t>交易文件</w:t>
    </w:r>
  </w:p>
  <w:p w14:paraId="329B73B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C7D4B">
    <w:pPr>
      <w:pStyle w:val="43"/>
      <w:jc w:val="right"/>
      <w:rPr>
        <w:rFonts w:hint="eastAsia" w:eastAsia="宋体"/>
        <w:lang w:eastAsia="zh-CN"/>
      </w:rPr>
    </w:pPr>
    <w:r>
      <w:rPr>
        <w:rFonts w:hint="eastAsia"/>
      </w:rPr>
      <w:t xml:space="preserve">                                                                                                        </w:t>
    </w:r>
    <w:r>
      <w:rPr>
        <w:rFonts w:hint="eastAsia"/>
        <w:lang w:val="en-US" w:eastAsia="zh-CN"/>
      </w:rPr>
      <w:t xml:space="preserve"> </w:t>
    </w:r>
    <w:r>
      <w:t>公开</w:t>
    </w:r>
    <w:r>
      <w:rPr>
        <w:rFonts w:hint="eastAsia"/>
        <w:lang w:eastAsia="zh-CN"/>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34F3C">
    <w:pPr>
      <w:pStyle w:val="43"/>
      <w:jc w:val="right"/>
      <w:rPr>
        <w:rFonts w:hint="eastAsia" w:ascii="仿宋_GB2312" w:eastAsia="宋体"/>
        <w:b/>
        <w:i/>
        <w:iCs/>
        <w:u w:val="single"/>
        <w:lang w:eastAsia="zh-CN"/>
      </w:rPr>
    </w:pPr>
    <w:r>
      <w:t>公开</w:t>
    </w:r>
    <w:r>
      <w:rPr>
        <w:rFonts w:hint="eastAsia"/>
        <w:lang w:eastAsia="zh-CN"/>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C1CC5">
    <w:pPr>
      <w:pStyle w:val="43"/>
      <w:jc w:val="right"/>
      <w:rPr>
        <w:rFonts w:hint="eastAsia" w:eastAsia="宋体"/>
        <w:lang w:eastAsia="zh-CN"/>
      </w:rPr>
    </w:pPr>
    <w:r>
      <w:t></w:t>
    </w:r>
    <w:r>
      <w:rPr>
        <w:rFonts w:hint="eastAsia"/>
      </w:rPr>
      <w:t xml:space="preserve">                                            </w:t>
    </w:r>
    <w:r>
      <w:t>公开</w:t>
    </w:r>
    <w:r>
      <w:rPr>
        <w:rFonts w:hint="eastAsia"/>
        <w:lang w:eastAsia="zh-CN"/>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51674"/>
    <w:multiLevelType w:val="singleLevel"/>
    <w:tmpl w:val="8C451674"/>
    <w:lvl w:ilvl="0" w:tentative="0">
      <w:start w:val="1"/>
      <w:numFmt w:val="decimal"/>
      <w:suff w:val="nothing"/>
      <w:lvlText w:val="%1）"/>
      <w:lvlJc w:val="left"/>
      <w:pPr>
        <w:ind w:left="273"/>
      </w:pPr>
    </w:lvl>
  </w:abstractNum>
  <w:abstractNum w:abstractNumId="1">
    <w:nsid w:val="4A4C61C0"/>
    <w:multiLevelType w:val="singleLevel"/>
    <w:tmpl w:val="4A4C61C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MTBiMzk1NzQ4YzY0NGJmNzMwNGZkNTVkZDc4MD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0637"/>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A5A"/>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5CF"/>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58D"/>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122A9"/>
    <w:rsid w:val="01236AFB"/>
    <w:rsid w:val="01272341"/>
    <w:rsid w:val="01525F9E"/>
    <w:rsid w:val="019F7441"/>
    <w:rsid w:val="01B37585"/>
    <w:rsid w:val="01B57CBA"/>
    <w:rsid w:val="01D17056"/>
    <w:rsid w:val="01D52B5B"/>
    <w:rsid w:val="01D55165"/>
    <w:rsid w:val="01D668BD"/>
    <w:rsid w:val="01DF6BF8"/>
    <w:rsid w:val="01EC2C57"/>
    <w:rsid w:val="025C7268"/>
    <w:rsid w:val="025F0711"/>
    <w:rsid w:val="026B2E25"/>
    <w:rsid w:val="02702D13"/>
    <w:rsid w:val="02824D4D"/>
    <w:rsid w:val="02DC4B10"/>
    <w:rsid w:val="02DD76CE"/>
    <w:rsid w:val="02F36323"/>
    <w:rsid w:val="02F5619C"/>
    <w:rsid w:val="03020BC6"/>
    <w:rsid w:val="0326446A"/>
    <w:rsid w:val="032D5555"/>
    <w:rsid w:val="03304250"/>
    <w:rsid w:val="03610680"/>
    <w:rsid w:val="036634D2"/>
    <w:rsid w:val="03DD35E4"/>
    <w:rsid w:val="040278D2"/>
    <w:rsid w:val="04076900"/>
    <w:rsid w:val="041A5A3B"/>
    <w:rsid w:val="0420019C"/>
    <w:rsid w:val="042311BA"/>
    <w:rsid w:val="042B157A"/>
    <w:rsid w:val="048F763B"/>
    <w:rsid w:val="049F330E"/>
    <w:rsid w:val="04AA775C"/>
    <w:rsid w:val="04AF1889"/>
    <w:rsid w:val="04F60E33"/>
    <w:rsid w:val="04F66F48"/>
    <w:rsid w:val="051E28A6"/>
    <w:rsid w:val="05251E14"/>
    <w:rsid w:val="05290F57"/>
    <w:rsid w:val="053F077B"/>
    <w:rsid w:val="05507636"/>
    <w:rsid w:val="055A7363"/>
    <w:rsid w:val="05770BD6"/>
    <w:rsid w:val="05A16594"/>
    <w:rsid w:val="05A7762D"/>
    <w:rsid w:val="05C04DC2"/>
    <w:rsid w:val="060D1DDE"/>
    <w:rsid w:val="060E5941"/>
    <w:rsid w:val="06110FAF"/>
    <w:rsid w:val="06493CA7"/>
    <w:rsid w:val="065A6178"/>
    <w:rsid w:val="065C072B"/>
    <w:rsid w:val="065F76C6"/>
    <w:rsid w:val="066F1CF3"/>
    <w:rsid w:val="06930BB8"/>
    <w:rsid w:val="06957190"/>
    <w:rsid w:val="06D47382"/>
    <w:rsid w:val="06E76F19"/>
    <w:rsid w:val="071F2612"/>
    <w:rsid w:val="07245D42"/>
    <w:rsid w:val="07264C62"/>
    <w:rsid w:val="0779354C"/>
    <w:rsid w:val="07A82607"/>
    <w:rsid w:val="07F62A32"/>
    <w:rsid w:val="08061376"/>
    <w:rsid w:val="080C2E93"/>
    <w:rsid w:val="08452D77"/>
    <w:rsid w:val="086401F8"/>
    <w:rsid w:val="086A1C95"/>
    <w:rsid w:val="08751CAA"/>
    <w:rsid w:val="087E4C40"/>
    <w:rsid w:val="088502C6"/>
    <w:rsid w:val="08A871D0"/>
    <w:rsid w:val="08AA0601"/>
    <w:rsid w:val="08D66AD6"/>
    <w:rsid w:val="08DA33A3"/>
    <w:rsid w:val="08E80F13"/>
    <w:rsid w:val="08FC641D"/>
    <w:rsid w:val="09335624"/>
    <w:rsid w:val="09416162"/>
    <w:rsid w:val="0944690F"/>
    <w:rsid w:val="09535675"/>
    <w:rsid w:val="095A5849"/>
    <w:rsid w:val="095F057D"/>
    <w:rsid w:val="09642282"/>
    <w:rsid w:val="09733572"/>
    <w:rsid w:val="09772C16"/>
    <w:rsid w:val="098353B5"/>
    <w:rsid w:val="0995305F"/>
    <w:rsid w:val="09A274F8"/>
    <w:rsid w:val="09A57F83"/>
    <w:rsid w:val="09A92330"/>
    <w:rsid w:val="09B06B87"/>
    <w:rsid w:val="09C13146"/>
    <w:rsid w:val="09DF2FD6"/>
    <w:rsid w:val="09E04166"/>
    <w:rsid w:val="0A1C0718"/>
    <w:rsid w:val="0A1C69D2"/>
    <w:rsid w:val="0A3E7710"/>
    <w:rsid w:val="0A5B7E63"/>
    <w:rsid w:val="0A876FC3"/>
    <w:rsid w:val="0AA367E0"/>
    <w:rsid w:val="0AA374A5"/>
    <w:rsid w:val="0AAB7649"/>
    <w:rsid w:val="0AB82EFB"/>
    <w:rsid w:val="0ABC5606"/>
    <w:rsid w:val="0AD70A79"/>
    <w:rsid w:val="0AFA761E"/>
    <w:rsid w:val="0B2428ED"/>
    <w:rsid w:val="0B30404E"/>
    <w:rsid w:val="0B41524D"/>
    <w:rsid w:val="0B4C6C14"/>
    <w:rsid w:val="0B521208"/>
    <w:rsid w:val="0B53513D"/>
    <w:rsid w:val="0B5722B0"/>
    <w:rsid w:val="0B631A88"/>
    <w:rsid w:val="0B683D45"/>
    <w:rsid w:val="0B7849E6"/>
    <w:rsid w:val="0B7F3F11"/>
    <w:rsid w:val="0B884417"/>
    <w:rsid w:val="0BBB1200"/>
    <w:rsid w:val="0BBD7CB7"/>
    <w:rsid w:val="0BF416C5"/>
    <w:rsid w:val="0BF6188C"/>
    <w:rsid w:val="0BF73C91"/>
    <w:rsid w:val="0C0532E2"/>
    <w:rsid w:val="0C120997"/>
    <w:rsid w:val="0C170175"/>
    <w:rsid w:val="0C344DB1"/>
    <w:rsid w:val="0C571A41"/>
    <w:rsid w:val="0C5C1171"/>
    <w:rsid w:val="0C5E1CBC"/>
    <w:rsid w:val="0C615B50"/>
    <w:rsid w:val="0C8445DA"/>
    <w:rsid w:val="0C87121B"/>
    <w:rsid w:val="0CC007F7"/>
    <w:rsid w:val="0CC617AC"/>
    <w:rsid w:val="0CFE707A"/>
    <w:rsid w:val="0D063BDA"/>
    <w:rsid w:val="0D08375F"/>
    <w:rsid w:val="0D184CFB"/>
    <w:rsid w:val="0D4A7419"/>
    <w:rsid w:val="0D4C612B"/>
    <w:rsid w:val="0D672770"/>
    <w:rsid w:val="0D827401"/>
    <w:rsid w:val="0D84094E"/>
    <w:rsid w:val="0D8A00E9"/>
    <w:rsid w:val="0D8D589E"/>
    <w:rsid w:val="0DA01C73"/>
    <w:rsid w:val="0DCD726B"/>
    <w:rsid w:val="0DD63300"/>
    <w:rsid w:val="0DF50604"/>
    <w:rsid w:val="0DF702FE"/>
    <w:rsid w:val="0E060E51"/>
    <w:rsid w:val="0E2A15BE"/>
    <w:rsid w:val="0E5604B2"/>
    <w:rsid w:val="0E6D5D79"/>
    <w:rsid w:val="0E88108E"/>
    <w:rsid w:val="0E9D0089"/>
    <w:rsid w:val="0EB803EE"/>
    <w:rsid w:val="0EF80A9B"/>
    <w:rsid w:val="0EF94D4B"/>
    <w:rsid w:val="0F0C3DC3"/>
    <w:rsid w:val="0F1D38DB"/>
    <w:rsid w:val="0F4958DC"/>
    <w:rsid w:val="0F515DF7"/>
    <w:rsid w:val="0F587009"/>
    <w:rsid w:val="0F593D84"/>
    <w:rsid w:val="0F596BA8"/>
    <w:rsid w:val="0F5A2940"/>
    <w:rsid w:val="0F6248D2"/>
    <w:rsid w:val="0F693536"/>
    <w:rsid w:val="0F7B0511"/>
    <w:rsid w:val="0F7B76D9"/>
    <w:rsid w:val="0F816ACD"/>
    <w:rsid w:val="0F8B6142"/>
    <w:rsid w:val="0F9832DB"/>
    <w:rsid w:val="0FBF3FD2"/>
    <w:rsid w:val="0FBF7FF3"/>
    <w:rsid w:val="0FD36B80"/>
    <w:rsid w:val="0FF46D31"/>
    <w:rsid w:val="0FF70D71"/>
    <w:rsid w:val="10646583"/>
    <w:rsid w:val="107D4B15"/>
    <w:rsid w:val="108A3C80"/>
    <w:rsid w:val="10C26171"/>
    <w:rsid w:val="10E10937"/>
    <w:rsid w:val="10F33360"/>
    <w:rsid w:val="10FC16EA"/>
    <w:rsid w:val="110F1D40"/>
    <w:rsid w:val="11266F33"/>
    <w:rsid w:val="113B2B03"/>
    <w:rsid w:val="115A518A"/>
    <w:rsid w:val="118963A1"/>
    <w:rsid w:val="11A2456B"/>
    <w:rsid w:val="11C6522A"/>
    <w:rsid w:val="11E104CC"/>
    <w:rsid w:val="11E20309"/>
    <w:rsid w:val="120A7D3D"/>
    <w:rsid w:val="122431D2"/>
    <w:rsid w:val="12255233"/>
    <w:rsid w:val="12530213"/>
    <w:rsid w:val="127723A9"/>
    <w:rsid w:val="12862074"/>
    <w:rsid w:val="12883966"/>
    <w:rsid w:val="129E45B4"/>
    <w:rsid w:val="12D21374"/>
    <w:rsid w:val="12D81596"/>
    <w:rsid w:val="12F31F88"/>
    <w:rsid w:val="13072A44"/>
    <w:rsid w:val="13165211"/>
    <w:rsid w:val="131A1B7F"/>
    <w:rsid w:val="135F4BE2"/>
    <w:rsid w:val="139B1A0A"/>
    <w:rsid w:val="139D25C7"/>
    <w:rsid w:val="13BF3CE4"/>
    <w:rsid w:val="13F76DF0"/>
    <w:rsid w:val="141008D8"/>
    <w:rsid w:val="14125FE6"/>
    <w:rsid w:val="142931B3"/>
    <w:rsid w:val="14500381"/>
    <w:rsid w:val="145215D1"/>
    <w:rsid w:val="1463333F"/>
    <w:rsid w:val="146D271E"/>
    <w:rsid w:val="147C10A3"/>
    <w:rsid w:val="14982588"/>
    <w:rsid w:val="149A5AD9"/>
    <w:rsid w:val="14A7619D"/>
    <w:rsid w:val="14C52A4A"/>
    <w:rsid w:val="14EA24B1"/>
    <w:rsid w:val="150536C3"/>
    <w:rsid w:val="150C1963"/>
    <w:rsid w:val="151447A0"/>
    <w:rsid w:val="151C08DA"/>
    <w:rsid w:val="1523335B"/>
    <w:rsid w:val="15402DF9"/>
    <w:rsid w:val="154A6454"/>
    <w:rsid w:val="15762120"/>
    <w:rsid w:val="157D0821"/>
    <w:rsid w:val="158E10A8"/>
    <w:rsid w:val="15FA336F"/>
    <w:rsid w:val="162B112F"/>
    <w:rsid w:val="16A8729C"/>
    <w:rsid w:val="16B33777"/>
    <w:rsid w:val="16BC70A7"/>
    <w:rsid w:val="16C6339E"/>
    <w:rsid w:val="16FE2244"/>
    <w:rsid w:val="172F2D79"/>
    <w:rsid w:val="17557BEF"/>
    <w:rsid w:val="17C3523B"/>
    <w:rsid w:val="17C533C5"/>
    <w:rsid w:val="17D349C1"/>
    <w:rsid w:val="18051945"/>
    <w:rsid w:val="1830729E"/>
    <w:rsid w:val="18361653"/>
    <w:rsid w:val="1870062C"/>
    <w:rsid w:val="18817102"/>
    <w:rsid w:val="18830A15"/>
    <w:rsid w:val="18852B28"/>
    <w:rsid w:val="188B5321"/>
    <w:rsid w:val="18DA0A8E"/>
    <w:rsid w:val="194039D9"/>
    <w:rsid w:val="19932372"/>
    <w:rsid w:val="19A20DD5"/>
    <w:rsid w:val="19AE03F1"/>
    <w:rsid w:val="1A071A03"/>
    <w:rsid w:val="1A1F16AE"/>
    <w:rsid w:val="1A23520E"/>
    <w:rsid w:val="1A2D437F"/>
    <w:rsid w:val="1A3A5C47"/>
    <w:rsid w:val="1A3B5C77"/>
    <w:rsid w:val="1A5F124B"/>
    <w:rsid w:val="1A984BAD"/>
    <w:rsid w:val="1AB8220E"/>
    <w:rsid w:val="1AC276F1"/>
    <w:rsid w:val="1AC86859"/>
    <w:rsid w:val="1AE4166C"/>
    <w:rsid w:val="1AF06CFB"/>
    <w:rsid w:val="1AF11B8D"/>
    <w:rsid w:val="1B11359C"/>
    <w:rsid w:val="1B13595F"/>
    <w:rsid w:val="1B2A271F"/>
    <w:rsid w:val="1B36319E"/>
    <w:rsid w:val="1B3C77DE"/>
    <w:rsid w:val="1B467B41"/>
    <w:rsid w:val="1B530544"/>
    <w:rsid w:val="1B713184"/>
    <w:rsid w:val="1B732CD8"/>
    <w:rsid w:val="1B851185"/>
    <w:rsid w:val="1B860F03"/>
    <w:rsid w:val="1BA209CF"/>
    <w:rsid w:val="1BA75909"/>
    <w:rsid w:val="1BB4777D"/>
    <w:rsid w:val="1BD75AB8"/>
    <w:rsid w:val="1BE22A26"/>
    <w:rsid w:val="1C0459C2"/>
    <w:rsid w:val="1C1B3B4A"/>
    <w:rsid w:val="1C427A2B"/>
    <w:rsid w:val="1C88086E"/>
    <w:rsid w:val="1C8F3687"/>
    <w:rsid w:val="1CD47A1C"/>
    <w:rsid w:val="1D1A1E76"/>
    <w:rsid w:val="1D266CE1"/>
    <w:rsid w:val="1D2A5578"/>
    <w:rsid w:val="1D3963AF"/>
    <w:rsid w:val="1D442C19"/>
    <w:rsid w:val="1D5B36CC"/>
    <w:rsid w:val="1D6A673C"/>
    <w:rsid w:val="1D9247AE"/>
    <w:rsid w:val="1DA45B44"/>
    <w:rsid w:val="1DB567EC"/>
    <w:rsid w:val="1DDB6BF4"/>
    <w:rsid w:val="1DE4221E"/>
    <w:rsid w:val="1DF51A98"/>
    <w:rsid w:val="1E29134E"/>
    <w:rsid w:val="1E3D060F"/>
    <w:rsid w:val="1E3F7D2E"/>
    <w:rsid w:val="1E4134E4"/>
    <w:rsid w:val="1E5062B3"/>
    <w:rsid w:val="1E523514"/>
    <w:rsid w:val="1E656CDF"/>
    <w:rsid w:val="1E6908EA"/>
    <w:rsid w:val="1E714A66"/>
    <w:rsid w:val="1E7C601F"/>
    <w:rsid w:val="1E802593"/>
    <w:rsid w:val="1E8B6156"/>
    <w:rsid w:val="1EA245E1"/>
    <w:rsid w:val="1EA703CC"/>
    <w:rsid w:val="1EB61656"/>
    <w:rsid w:val="1EB7330C"/>
    <w:rsid w:val="1EF36428"/>
    <w:rsid w:val="1F0A0FF3"/>
    <w:rsid w:val="1F0B1D9E"/>
    <w:rsid w:val="1F32168E"/>
    <w:rsid w:val="1F4153C3"/>
    <w:rsid w:val="1F5771FF"/>
    <w:rsid w:val="1F7C464D"/>
    <w:rsid w:val="1FD513B3"/>
    <w:rsid w:val="1FE521F3"/>
    <w:rsid w:val="1FE868A9"/>
    <w:rsid w:val="20034907"/>
    <w:rsid w:val="200D1749"/>
    <w:rsid w:val="20173E4B"/>
    <w:rsid w:val="20457135"/>
    <w:rsid w:val="204E48BC"/>
    <w:rsid w:val="208921B3"/>
    <w:rsid w:val="20973DEB"/>
    <w:rsid w:val="20B26522"/>
    <w:rsid w:val="20B44310"/>
    <w:rsid w:val="20DE0B6B"/>
    <w:rsid w:val="20DF30E6"/>
    <w:rsid w:val="211116EB"/>
    <w:rsid w:val="21582E98"/>
    <w:rsid w:val="216133FC"/>
    <w:rsid w:val="21705F43"/>
    <w:rsid w:val="21D56769"/>
    <w:rsid w:val="21E52EF3"/>
    <w:rsid w:val="21FB5D7B"/>
    <w:rsid w:val="21FD623B"/>
    <w:rsid w:val="220B1C3D"/>
    <w:rsid w:val="221D1D20"/>
    <w:rsid w:val="22334A87"/>
    <w:rsid w:val="223905D4"/>
    <w:rsid w:val="225100F7"/>
    <w:rsid w:val="22717D6E"/>
    <w:rsid w:val="22811C9E"/>
    <w:rsid w:val="22BE6801"/>
    <w:rsid w:val="22F72182"/>
    <w:rsid w:val="23005B17"/>
    <w:rsid w:val="23224A7F"/>
    <w:rsid w:val="23307C29"/>
    <w:rsid w:val="23337AB6"/>
    <w:rsid w:val="233500BF"/>
    <w:rsid w:val="23377FF7"/>
    <w:rsid w:val="234815AF"/>
    <w:rsid w:val="234E00AF"/>
    <w:rsid w:val="235A0180"/>
    <w:rsid w:val="236271B7"/>
    <w:rsid w:val="236B425F"/>
    <w:rsid w:val="23742141"/>
    <w:rsid w:val="23836192"/>
    <w:rsid w:val="23901F29"/>
    <w:rsid w:val="239C0061"/>
    <w:rsid w:val="23B70C60"/>
    <w:rsid w:val="23B908A4"/>
    <w:rsid w:val="23E95BEF"/>
    <w:rsid w:val="23FD0064"/>
    <w:rsid w:val="244C2BD2"/>
    <w:rsid w:val="245375B0"/>
    <w:rsid w:val="24642C0A"/>
    <w:rsid w:val="249307DC"/>
    <w:rsid w:val="24A81A41"/>
    <w:rsid w:val="24B22173"/>
    <w:rsid w:val="24B95AD9"/>
    <w:rsid w:val="24BE24DA"/>
    <w:rsid w:val="24CF5825"/>
    <w:rsid w:val="24D01598"/>
    <w:rsid w:val="24D663E6"/>
    <w:rsid w:val="24D77F2B"/>
    <w:rsid w:val="253820CF"/>
    <w:rsid w:val="2542313F"/>
    <w:rsid w:val="25755DC7"/>
    <w:rsid w:val="258B00E2"/>
    <w:rsid w:val="25A917A6"/>
    <w:rsid w:val="25BD1F10"/>
    <w:rsid w:val="25BE27CC"/>
    <w:rsid w:val="25D86356"/>
    <w:rsid w:val="25E814ED"/>
    <w:rsid w:val="25F74A5C"/>
    <w:rsid w:val="2628662C"/>
    <w:rsid w:val="262D45DE"/>
    <w:rsid w:val="267D5E81"/>
    <w:rsid w:val="267E6EFD"/>
    <w:rsid w:val="26871DC8"/>
    <w:rsid w:val="26A53EF9"/>
    <w:rsid w:val="26A94201"/>
    <w:rsid w:val="26AC274F"/>
    <w:rsid w:val="26B0113A"/>
    <w:rsid w:val="27044A29"/>
    <w:rsid w:val="271D34C8"/>
    <w:rsid w:val="27563AB9"/>
    <w:rsid w:val="276142BF"/>
    <w:rsid w:val="27783712"/>
    <w:rsid w:val="27907362"/>
    <w:rsid w:val="27AA712F"/>
    <w:rsid w:val="27BF4498"/>
    <w:rsid w:val="28333E1D"/>
    <w:rsid w:val="28454BD6"/>
    <w:rsid w:val="28455253"/>
    <w:rsid w:val="28551971"/>
    <w:rsid w:val="285B1C53"/>
    <w:rsid w:val="2873283E"/>
    <w:rsid w:val="28890B1A"/>
    <w:rsid w:val="289F7086"/>
    <w:rsid w:val="28AE2CE0"/>
    <w:rsid w:val="28C32028"/>
    <w:rsid w:val="28CC490F"/>
    <w:rsid w:val="28DE40AA"/>
    <w:rsid w:val="29345E48"/>
    <w:rsid w:val="29345E77"/>
    <w:rsid w:val="294C65AD"/>
    <w:rsid w:val="294D0665"/>
    <w:rsid w:val="29806583"/>
    <w:rsid w:val="298B3C4C"/>
    <w:rsid w:val="299254C6"/>
    <w:rsid w:val="29E65F16"/>
    <w:rsid w:val="29F26D24"/>
    <w:rsid w:val="2A15033F"/>
    <w:rsid w:val="2A1662C1"/>
    <w:rsid w:val="2A1C7367"/>
    <w:rsid w:val="2A2815FA"/>
    <w:rsid w:val="2A6D6092"/>
    <w:rsid w:val="2A7D76B4"/>
    <w:rsid w:val="2AD83D4B"/>
    <w:rsid w:val="2B437463"/>
    <w:rsid w:val="2B5D643F"/>
    <w:rsid w:val="2B7807EE"/>
    <w:rsid w:val="2B7F6F15"/>
    <w:rsid w:val="2B9B22FF"/>
    <w:rsid w:val="2BA50BF7"/>
    <w:rsid w:val="2BBF00EC"/>
    <w:rsid w:val="2BC37CFD"/>
    <w:rsid w:val="2BC90C1A"/>
    <w:rsid w:val="2BD5237F"/>
    <w:rsid w:val="2BE536CE"/>
    <w:rsid w:val="2BE758D9"/>
    <w:rsid w:val="2BEF473D"/>
    <w:rsid w:val="2C09049E"/>
    <w:rsid w:val="2C0A653C"/>
    <w:rsid w:val="2C1036F5"/>
    <w:rsid w:val="2C191F85"/>
    <w:rsid w:val="2C332538"/>
    <w:rsid w:val="2CAC4175"/>
    <w:rsid w:val="2CCE26A9"/>
    <w:rsid w:val="2CE82D6F"/>
    <w:rsid w:val="2D343236"/>
    <w:rsid w:val="2D502C75"/>
    <w:rsid w:val="2DCF44E2"/>
    <w:rsid w:val="2DD15014"/>
    <w:rsid w:val="2DF72DE4"/>
    <w:rsid w:val="2E0220AF"/>
    <w:rsid w:val="2E381D61"/>
    <w:rsid w:val="2E444588"/>
    <w:rsid w:val="2E4B082A"/>
    <w:rsid w:val="2E4E75EE"/>
    <w:rsid w:val="2E5D4E86"/>
    <w:rsid w:val="2E5D790B"/>
    <w:rsid w:val="2E642E71"/>
    <w:rsid w:val="2E661D51"/>
    <w:rsid w:val="2E6C10D4"/>
    <w:rsid w:val="2E7A7097"/>
    <w:rsid w:val="2E9A3C18"/>
    <w:rsid w:val="2EBB0FEE"/>
    <w:rsid w:val="2EBC2E8A"/>
    <w:rsid w:val="2EC5229A"/>
    <w:rsid w:val="2EC63002"/>
    <w:rsid w:val="2F0A6B38"/>
    <w:rsid w:val="2F2B6BEA"/>
    <w:rsid w:val="2F454689"/>
    <w:rsid w:val="2F946CCB"/>
    <w:rsid w:val="2FAD0853"/>
    <w:rsid w:val="2FD25781"/>
    <w:rsid w:val="2FFD7934"/>
    <w:rsid w:val="30733ACD"/>
    <w:rsid w:val="307F5BBB"/>
    <w:rsid w:val="308C3862"/>
    <w:rsid w:val="30911E1A"/>
    <w:rsid w:val="309379D8"/>
    <w:rsid w:val="30963095"/>
    <w:rsid w:val="309D61D2"/>
    <w:rsid w:val="30A270F7"/>
    <w:rsid w:val="30DF1478"/>
    <w:rsid w:val="30EC586F"/>
    <w:rsid w:val="31192539"/>
    <w:rsid w:val="314047C0"/>
    <w:rsid w:val="319475D5"/>
    <w:rsid w:val="319C6071"/>
    <w:rsid w:val="319D1839"/>
    <w:rsid w:val="31AC537E"/>
    <w:rsid w:val="31E3679B"/>
    <w:rsid w:val="31E732FD"/>
    <w:rsid w:val="3223097F"/>
    <w:rsid w:val="322D0B0C"/>
    <w:rsid w:val="32517576"/>
    <w:rsid w:val="32753675"/>
    <w:rsid w:val="32A13E65"/>
    <w:rsid w:val="32A64673"/>
    <w:rsid w:val="32BE5C2C"/>
    <w:rsid w:val="32FB6478"/>
    <w:rsid w:val="33140B61"/>
    <w:rsid w:val="33185AB9"/>
    <w:rsid w:val="33263B3F"/>
    <w:rsid w:val="336945FC"/>
    <w:rsid w:val="336963EB"/>
    <w:rsid w:val="337B3785"/>
    <w:rsid w:val="33816EEB"/>
    <w:rsid w:val="33EB55CD"/>
    <w:rsid w:val="33EC4C02"/>
    <w:rsid w:val="33F95E15"/>
    <w:rsid w:val="33FE7475"/>
    <w:rsid w:val="340D2360"/>
    <w:rsid w:val="3410665D"/>
    <w:rsid w:val="34211214"/>
    <w:rsid w:val="342E63AB"/>
    <w:rsid w:val="343427A6"/>
    <w:rsid w:val="34362864"/>
    <w:rsid w:val="343F2C99"/>
    <w:rsid w:val="34574761"/>
    <w:rsid w:val="345A3695"/>
    <w:rsid w:val="348F3810"/>
    <w:rsid w:val="34950E68"/>
    <w:rsid w:val="34986E94"/>
    <w:rsid w:val="34AF62C9"/>
    <w:rsid w:val="34CB4388"/>
    <w:rsid w:val="34FA6E12"/>
    <w:rsid w:val="35433A41"/>
    <w:rsid w:val="354D7158"/>
    <w:rsid w:val="355323A7"/>
    <w:rsid w:val="355928EA"/>
    <w:rsid w:val="35804674"/>
    <w:rsid w:val="358D5588"/>
    <w:rsid w:val="35A973C7"/>
    <w:rsid w:val="35AB313F"/>
    <w:rsid w:val="35CC57D4"/>
    <w:rsid w:val="36107446"/>
    <w:rsid w:val="362224E4"/>
    <w:rsid w:val="36314B8F"/>
    <w:rsid w:val="363A3B40"/>
    <w:rsid w:val="365302AE"/>
    <w:rsid w:val="365B7FF9"/>
    <w:rsid w:val="36607A0A"/>
    <w:rsid w:val="366E227C"/>
    <w:rsid w:val="366F2E0D"/>
    <w:rsid w:val="367B6A5C"/>
    <w:rsid w:val="36A74ADA"/>
    <w:rsid w:val="36AD60D5"/>
    <w:rsid w:val="36B224F9"/>
    <w:rsid w:val="36EC0CC9"/>
    <w:rsid w:val="370A2B55"/>
    <w:rsid w:val="371D1E1A"/>
    <w:rsid w:val="373F410B"/>
    <w:rsid w:val="375D3ED9"/>
    <w:rsid w:val="379A16BD"/>
    <w:rsid w:val="37EE7094"/>
    <w:rsid w:val="382930DA"/>
    <w:rsid w:val="38296C89"/>
    <w:rsid w:val="383002EB"/>
    <w:rsid w:val="38586797"/>
    <w:rsid w:val="389768D4"/>
    <w:rsid w:val="38BC0149"/>
    <w:rsid w:val="38C1305A"/>
    <w:rsid w:val="38D668D6"/>
    <w:rsid w:val="38D87D1C"/>
    <w:rsid w:val="3930052B"/>
    <w:rsid w:val="39300C05"/>
    <w:rsid w:val="39636459"/>
    <w:rsid w:val="396B7F6C"/>
    <w:rsid w:val="39B417A9"/>
    <w:rsid w:val="39E84962"/>
    <w:rsid w:val="39FC5695"/>
    <w:rsid w:val="3A006D8E"/>
    <w:rsid w:val="3A2B484E"/>
    <w:rsid w:val="3A3651E5"/>
    <w:rsid w:val="3A43603C"/>
    <w:rsid w:val="3A744481"/>
    <w:rsid w:val="3A7A7DC8"/>
    <w:rsid w:val="3A8C7BEF"/>
    <w:rsid w:val="3A906246"/>
    <w:rsid w:val="3AA27720"/>
    <w:rsid w:val="3AC21656"/>
    <w:rsid w:val="3B2349B7"/>
    <w:rsid w:val="3B5D137F"/>
    <w:rsid w:val="3B616CFF"/>
    <w:rsid w:val="3B6259F6"/>
    <w:rsid w:val="3B7751AF"/>
    <w:rsid w:val="3B787957"/>
    <w:rsid w:val="3B9558B0"/>
    <w:rsid w:val="3B976654"/>
    <w:rsid w:val="3BA51A6E"/>
    <w:rsid w:val="3BA60B3C"/>
    <w:rsid w:val="3BAA122E"/>
    <w:rsid w:val="3BC01EFC"/>
    <w:rsid w:val="3BC400A3"/>
    <w:rsid w:val="3BCA786A"/>
    <w:rsid w:val="3BD31E2F"/>
    <w:rsid w:val="3BE41159"/>
    <w:rsid w:val="3BEB0ADF"/>
    <w:rsid w:val="3BF15831"/>
    <w:rsid w:val="3C105946"/>
    <w:rsid w:val="3C471448"/>
    <w:rsid w:val="3C5F759A"/>
    <w:rsid w:val="3C6C525A"/>
    <w:rsid w:val="3CBD0327"/>
    <w:rsid w:val="3CCE23CB"/>
    <w:rsid w:val="3CD17D17"/>
    <w:rsid w:val="3D3C7F39"/>
    <w:rsid w:val="3D440F09"/>
    <w:rsid w:val="3D4504A0"/>
    <w:rsid w:val="3D574267"/>
    <w:rsid w:val="3D8734BB"/>
    <w:rsid w:val="3D9A11D4"/>
    <w:rsid w:val="3DA16D89"/>
    <w:rsid w:val="3DA364BE"/>
    <w:rsid w:val="3DE041CB"/>
    <w:rsid w:val="3E0D48F6"/>
    <w:rsid w:val="3E11220E"/>
    <w:rsid w:val="3E1868B4"/>
    <w:rsid w:val="3E366DDC"/>
    <w:rsid w:val="3E377251"/>
    <w:rsid w:val="3E42664B"/>
    <w:rsid w:val="3E5A7334"/>
    <w:rsid w:val="3E6755FB"/>
    <w:rsid w:val="3E7B5D6B"/>
    <w:rsid w:val="3E843E66"/>
    <w:rsid w:val="3E8F51FE"/>
    <w:rsid w:val="3E926F87"/>
    <w:rsid w:val="3E9543A6"/>
    <w:rsid w:val="3E9A59DE"/>
    <w:rsid w:val="3EAF4836"/>
    <w:rsid w:val="3EB57728"/>
    <w:rsid w:val="3EC33DFA"/>
    <w:rsid w:val="3EF1735D"/>
    <w:rsid w:val="3F060E16"/>
    <w:rsid w:val="3F1D1096"/>
    <w:rsid w:val="3F2C7A1F"/>
    <w:rsid w:val="3F2F0234"/>
    <w:rsid w:val="3F427891"/>
    <w:rsid w:val="3F6363FE"/>
    <w:rsid w:val="3F753E01"/>
    <w:rsid w:val="3F756B8F"/>
    <w:rsid w:val="3F95482B"/>
    <w:rsid w:val="3FB351D3"/>
    <w:rsid w:val="3FEC7218"/>
    <w:rsid w:val="3FEE61CF"/>
    <w:rsid w:val="401521B8"/>
    <w:rsid w:val="4019356B"/>
    <w:rsid w:val="403A613B"/>
    <w:rsid w:val="404C17AC"/>
    <w:rsid w:val="40592157"/>
    <w:rsid w:val="406E1CAE"/>
    <w:rsid w:val="40860A30"/>
    <w:rsid w:val="409B6431"/>
    <w:rsid w:val="40A0133A"/>
    <w:rsid w:val="40C31A53"/>
    <w:rsid w:val="40DE79E8"/>
    <w:rsid w:val="40FF545D"/>
    <w:rsid w:val="410067C8"/>
    <w:rsid w:val="411B386E"/>
    <w:rsid w:val="411C33B7"/>
    <w:rsid w:val="41232415"/>
    <w:rsid w:val="41870F04"/>
    <w:rsid w:val="418F0D2A"/>
    <w:rsid w:val="41D01505"/>
    <w:rsid w:val="41EE4ADF"/>
    <w:rsid w:val="41F81C66"/>
    <w:rsid w:val="42474939"/>
    <w:rsid w:val="424C3C57"/>
    <w:rsid w:val="42613FF3"/>
    <w:rsid w:val="42660D96"/>
    <w:rsid w:val="427C6FA2"/>
    <w:rsid w:val="428667D2"/>
    <w:rsid w:val="42CD1CE0"/>
    <w:rsid w:val="42E1381E"/>
    <w:rsid w:val="42ED6459"/>
    <w:rsid w:val="42FE58DD"/>
    <w:rsid w:val="43174B3D"/>
    <w:rsid w:val="433F009B"/>
    <w:rsid w:val="434B790E"/>
    <w:rsid w:val="4360274F"/>
    <w:rsid w:val="43800493"/>
    <w:rsid w:val="43977AB6"/>
    <w:rsid w:val="43A3342B"/>
    <w:rsid w:val="43C60B40"/>
    <w:rsid w:val="43C77C27"/>
    <w:rsid w:val="43DD40A0"/>
    <w:rsid w:val="43DE09EE"/>
    <w:rsid w:val="43F96C13"/>
    <w:rsid w:val="44002FAD"/>
    <w:rsid w:val="4430589B"/>
    <w:rsid w:val="449101DD"/>
    <w:rsid w:val="449D00C3"/>
    <w:rsid w:val="44CC4E82"/>
    <w:rsid w:val="44DE1391"/>
    <w:rsid w:val="44E95A32"/>
    <w:rsid w:val="45023CFE"/>
    <w:rsid w:val="450C4287"/>
    <w:rsid w:val="451B225C"/>
    <w:rsid w:val="452410C9"/>
    <w:rsid w:val="45255627"/>
    <w:rsid w:val="45317DFB"/>
    <w:rsid w:val="45410E65"/>
    <w:rsid w:val="45551365"/>
    <w:rsid w:val="456D3CE4"/>
    <w:rsid w:val="4579042C"/>
    <w:rsid w:val="457F0571"/>
    <w:rsid w:val="45851176"/>
    <w:rsid w:val="458F3E4A"/>
    <w:rsid w:val="45C63B94"/>
    <w:rsid w:val="460E7DA5"/>
    <w:rsid w:val="46422483"/>
    <w:rsid w:val="4659254A"/>
    <w:rsid w:val="465B0637"/>
    <w:rsid w:val="465E3F0D"/>
    <w:rsid w:val="466A16E6"/>
    <w:rsid w:val="46893F2B"/>
    <w:rsid w:val="46C4686E"/>
    <w:rsid w:val="4719118B"/>
    <w:rsid w:val="4729480B"/>
    <w:rsid w:val="475E7FB4"/>
    <w:rsid w:val="477B778F"/>
    <w:rsid w:val="478203EC"/>
    <w:rsid w:val="4792415F"/>
    <w:rsid w:val="47B025FA"/>
    <w:rsid w:val="47E26E94"/>
    <w:rsid w:val="4809698F"/>
    <w:rsid w:val="4811697D"/>
    <w:rsid w:val="485D72C5"/>
    <w:rsid w:val="486D24D6"/>
    <w:rsid w:val="487A3E25"/>
    <w:rsid w:val="488938F2"/>
    <w:rsid w:val="488B5503"/>
    <w:rsid w:val="48937E21"/>
    <w:rsid w:val="489A0361"/>
    <w:rsid w:val="48A759E8"/>
    <w:rsid w:val="48B94FF3"/>
    <w:rsid w:val="48E37AAB"/>
    <w:rsid w:val="48FD4B4C"/>
    <w:rsid w:val="490A68E0"/>
    <w:rsid w:val="491055FE"/>
    <w:rsid w:val="49331390"/>
    <w:rsid w:val="494A1634"/>
    <w:rsid w:val="495913D8"/>
    <w:rsid w:val="495F5B3E"/>
    <w:rsid w:val="49604EAF"/>
    <w:rsid w:val="496F77D7"/>
    <w:rsid w:val="497654FD"/>
    <w:rsid w:val="49B64211"/>
    <w:rsid w:val="49F6167F"/>
    <w:rsid w:val="4A064FA0"/>
    <w:rsid w:val="4A16615C"/>
    <w:rsid w:val="4A233794"/>
    <w:rsid w:val="4A4424D7"/>
    <w:rsid w:val="4AB82D0F"/>
    <w:rsid w:val="4ABF0B2E"/>
    <w:rsid w:val="4AEB7664"/>
    <w:rsid w:val="4AF943A4"/>
    <w:rsid w:val="4AFD7C19"/>
    <w:rsid w:val="4B0567D1"/>
    <w:rsid w:val="4B0C6D2F"/>
    <w:rsid w:val="4B236AAE"/>
    <w:rsid w:val="4B245A16"/>
    <w:rsid w:val="4B707271"/>
    <w:rsid w:val="4B9739F7"/>
    <w:rsid w:val="4BEC4A55"/>
    <w:rsid w:val="4BEE2503"/>
    <w:rsid w:val="4BEE5260"/>
    <w:rsid w:val="4BFD1EA5"/>
    <w:rsid w:val="4C245A30"/>
    <w:rsid w:val="4C251A45"/>
    <w:rsid w:val="4C257FA0"/>
    <w:rsid w:val="4C44192C"/>
    <w:rsid w:val="4C511A4C"/>
    <w:rsid w:val="4C676029"/>
    <w:rsid w:val="4C887E05"/>
    <w:rsid w:val="4C8C3872"/>
    <w:rsid w:val="4CB6685F"/>
    <w:rsid w:val="4CB72A04"/>
    <w:rsid w:val="4CC367FE"/>
    <w:rsid w:val="4D063591"/>
    <w:rsid w:val="4D077F3C"/>
    <w:rsid w:val="4D123355"/>
    <w:rsid w:val="4D2A3B31"/>
    <w:rsid w:val="4D312C52"/>
    <w:rsid w:val="4D4742B5"/>
    <w:rsid w:val="4D905305"/>
    <w:rsid w:val="4D964A72"/>
    <w:rsid w:val="4D9C1254"/>
    <w:rsid w:val="4E097A9E"/>
    <w:rsid w:val="4E1F570C"/>
    <w:rsid w:val="4E342292"/>
    <w:rsid w:val="4E43266E"/>
    <w:rsid w:val="4E793892"/>
    <w:rsid w:val="4E800872"/>
    <w:rsid w:val="4EC569ED"/>
    <w:rsid w:val="4EC63D9A"/>
    <w:rsid w:val="4ED50EA1"/>
    <w:rsid w:val="4EEC050C"/>
    <w:rsid w:val="4F104EC3"/>
    <w:rsid w:val="4F47354A"/>
    <w:rsid w:val="4F911C54"/>
    <w:rsid w:val="4F974A08"/>
    <w:rsid w:val="4F992C76"/>
    <w:rsid w:val="4FCE5F50"/>
    <w:rsid w:val="4FE13ED5"/>
    <w:rsid w:val="4FE625E0"/>
    <w:rsid w:val="4FE62AD6"/>
    <w:rsid w:val="4FE86EC8"/>
    <w:rsid w:val="5021480F"/>
    <w:rsid w:val="505B3546"/>
    <w:rsid w:val="50923907"/>
    <w:rsid w:val="5095420B"/>
    <w:rsid w:val="50962ECB"/>
    <w:rsid w:val="50A42E38"/>
    <w:rsid w:val="50A4577F"/>
    <w:rsid w:val="50A54F03"/>
    <w:rsid w:val="50B73D1F"/>
    <w:rsid w:val="50BD5BC9"/>
    <w:rsid w:val="50C11EEE"/>
    <w:rsid w:val="50E97CFC"/>
    <w:rsid w:val="50FA4028"/>
    <w:rsid w:val="510D65B7"/>
    <w:rsid w:val="511157AB"/>
    <w:rsid w:val="513308E8"/>
    <w:rsid w:val="5142540C"/>
    <w:rsid w:val="518832C8"/>
    <w:rsid w:val="51A0432A"/>
    <w:rsid w:val="51A86090"/>
    <w:rsid w:val="51B7396D"/>
    <w:rsid w:val="522E4CC3"/>
    <w:rsid w:val="523302EC"/>
    <w:rsid w:val="5244713B"/>
    <w:rsid w:val="52522E68"/>
    <w:rsid w:val="52615633"/>
    <w:rsid w:val="529673CF"/>
    <w:rsid w:val="52977FD4"/>
    <w:rsid w:val="52A25790"/>
    <w:rsid w:val="52A96B6F"/>
    <w:rsid w:val="52AA0717"/>
    <w:rsid w:val="52AC6214"/>
    <w:rsid w:val="52B45975"/>
    <w:rsid w:val="52D94AA4"/>
    <w:rsid w:val="52EA3A62"/>
    <w:rsid w:val="52F07710"/>
    <w:rsid w:val="52F50BB8"/>
    <w:rsid w:val="53097272"/>
    <w:rsid w:val="53544462"/>
    <w:rsid w:val="535A6478"/>
    <w:rsid w:val="5397158E"/>
    <w:rsid w:val="53DC50DF"/>
    <w:rsid w:val="53ED1CCF"/>
    <w:rsid w:val="53F32DCA"/>
    <w:rsid w:val="54013861"/>
    <w:rsid w:val="54014B46"/>
    <w:rsid w:val="543A44C4"/>
    <w:rsid w:val="54487265"/>
    <w:rsid w:val="544D6070"/>
    <w:rsid w:val="545B7466"/>
    <w:rsid w:val="54605E1E"/>
    <w:rsid w:val="54B3506A"/>
    <w:rsid w:val="54C4396E"/>
    <w:rsid w:val="54CA0D16"/>
    <w:rsid w:val="54DD4057"/>
    <w:rsid w:val="54E51D72"/>
    <w:rsid w:val="54E7490F"/>
    <w:rsid w:val="55061018"/>
    <w:rsid w:val="550764A4"/>
    <w:rsid w:val="550B2BF6"/>
    <w:rsid w:val="55214EB5"/>
    <w:rsid w:val="55364EFD"/>
    <w:rsid w:val="555D4828"/>
    <w:rsid w:val="557A4C8B"/>
    <w:rsid w:val="558931E1"/>
    <w:rsid w:val="558D53EF"/>
    <w:rsid w:val="55923347"/>
    <w:rsid w:val="55925180"/>
    <w:rsid w:val="55983B1B"/>
    <w:rsid w:val="55A8376B"/>
    <w:rsid w:val="55AA4D69"/>
    <w:rsid w:val="55B63C1A"/>
    <w:rsid w:val="55DC29B6"/>
    <w:rsid w:val="55DD4241"/>
    <w:rsid w:val="56004989"/>
    <w:rsid w:val="56431446"/>
    <w:rsid w:val="566B6D1E"/>
    <w:rsid w:val="56882019"/>
    <w:rsid w:val="569E129D"/>
    <w:rsid w:val="56E878F7"/>
    <w:rsid w:val="57032A2C"/>
    <w:rsid w:val="570E3CB2"/>
    <w:rsid w:val="570F5219"/>
    <w:rsid w:val="571B25E3"/>
    <w:rsid w:val="575D12B5"/>
    <w:rsid w:val="57610A87"/>
    <w:rsid w:val="577B1140"/>
    <w:rsid w:val="577B7F21"/>
    <w:rsid w:val="577F181B"/>
    <w:rsid w:val="578D049F"/>
    <w:rsid w:val="57921984"/>
    <w:rsid w:val="579737F0"/>
    <w:rsid w:val="57AB7B30"/>
    <w:rsid w:val="57AF5251"/>
    <w:rsid w:val="57B26373"/>
    <w:rsid w:val="57B63F04"/>
    <w:rsid w:val="57CD20C2"/>
    <w:rsid w:val="57D675AB"/>
    <w:rsid w:val="57D95FDD"/>
    <w:rsid w:val="58247055"/>
    <w:rsid w:val="58917D2F"/>
    <w:rsid w:val="5894085C"/>
    <w:rsid w:val="589B003E"/>
    <w:rsid w:val="589E4C5C"/>
    <w:rsid w:val="589F0489"/>
    <w:rsid w:val="58AE4F0C"/>
    <w:rsid w:val="58B85899"/>
    <w:rsid w:val="58E363A9"/>
    <w:rsid w:val="58EC1AFF"/>
    <w:rsid w:val="594927F9"/>
    <w:rsid w:val="59494470"/>
    <w:rsid w:val="595E1678"/>
    <w:rsid w:val="596D5BD4"/>
    <w:rsid w:val="597E3DD8"/>
    <w:rsid w:val="59965D30"/>
    <w:rsid w:val="59CB24B6"/>
    <w:rsid w:val="59F738EE"/>
    <w:rsid w:val="59F80043"/>
    <w:rsid w:val="5A09252F"/>
    <w:rsid w:val="5A0B2778"/>
    <w:rsid w:val="5A2A7C7B"/>
    <w:rsid w:val="5A3E2560"/>
    <w:rsid w:val="5A5D3B6E"/>
    <w:rsid w:val="5A637A76"/>
    <w:rsid w:val="5A6D33BA"/>
    <w:rsid w:val="5A792B1F"/>
    <w:rsid w:val="5A874767"/>
    <w:rsid w:val="5AA85BE2"/>
    <w:rsid w:val="5AAB580B"/>
    <w:rsid w:val="5AAD6F28"/>
    <w:rsid w:val="5AC02935"/>
    <w:rsid w:val="5AD63A24"/>
    <w:rsid w:val="5B2E1A1D"/>
    <w:rsid w:val="5B7F2C87"/>
    <w:rsid w:val="5B843A1C"/>
    <w:rsid w:val="5B873E3F"/>
    <w:rsid w:val="5BA5225B"/>
    <w:rsid w:val="5BA5633B"/>
    <w:rsid w:val="5BE268F4"/>
    <w:rsid w:val="5C0101D3"/>
    <w:rsid w:val="5C02690E"/>
    <w:rsid w:val="5C044ACF"/>
    <w:rsid w:val="5C196DA7"/>
    <w:rsid w:val="5C2A048C"/>
    <w:rsid w:val="5C4A6705"/>
    <w:rsid w:val="5C80234E"/>
    <w:rsid w:val="5C8A680C"/>
    <w:rsid w:val="5CFA2255"/>
    <w:rsid w:val="5D0C4701"/>
    <w:rsid w:val="5D0F0395"/>
    <w:rsid w:val="5D221076"/>
    <w:rsid w:val="5D397964"/>
    <w:rsid w:val="5D5A391C"/>
    <w:rsid w:val="5D5F10C0"/>
    <w:rsid w:val="5D891B7B"/>
    <w:rsid w:val="5DAD38EE"/>
    <w:rsid w:val="5DDE7CA6"/>
    <w:rsid w:val="5E006862"/>
    <w:rsid w:val="5E0207B9"/>
    <w:rsid w:val="5E1834A1"/>
    <w:rsid w:val="5E261785"/>
    <w:rsid w:val="5E4A7017"/>
    <w:rsid w:val="5E552BBA"/>
    <w:rsid w:val="5E611C10"/>
    <w:rsid w:val="5E7A0F3F"/>
    <w:rsid w:val="5EAD5F82"/>
    <w:rsid w:val="5EE6624D"/>
    <w:rsid w:val="5EFC7377"/>
    <w:rsid w:val="5F012A1A"/>
    <w:rsid w:val="5F06174D"/>
    <w:rsid w:val="5F3A3602"/>
    <w:rsid w:val="5F45733B"/>
    <w:rsid w:val="5F6277C6"/>
    <w:rsid w:val="5F6D0B1D"/>
    <w:rsid w:val="5F8D0B82"/>
    <w:rsid w:val="5F9C3975"/>
    <w:rsid w:val="5FA840C8"/>
    <w:rsid w:val="5FA92D57"/>
    <w:rsid w:val="5FC4337D"/>
    <w:rsid w:val="5FCC5339"/>
    <w:rsid w:val="5FCF3D4A"/>
    <w:rsid w:val="5FE34A5B"/>
    <w:rsid w:val="5FFE1E36"/>
    <w:rsid w:val="60232584"/>
    <w:rsid w:val="605864BB"/>
    <w:rsid w:val="607330CE"/>
    <w:rsid w:val="60747697"/>
    <w:rsid w:val="60825176"/>
    <w:rsid w:val="609F2AC4"/>
    <w:rsid w:val="60EA0710"/>
    <w:rsid w:val="60F36BE4"/>
    <w:rsid w:val="60FA2EE8"/>
    <w:rsid w:val="60FB46CB"/>
    <w:rsid w:val="61054A27"/>
    <w:rsid w:val="610A52BC"/>
    <w:rsid w:val="611D2366"/>
    <w:rsid w:val="61421856"/>
    <w:rsid w:val="61481491"/>
    <w:rsid w:val="615227C4"/>
    <w:rsid w:val="61654E3F"/>
    <w:rsid w:val="6182292A"/>
    <w:rsid w:val="619F7F92"/>
    <w:rsid w:val="61F94C26"/>
    <w:rsid w:val="62000E56"/>
    <w:rsid w:val="62244584"/>
    <w:rsid w:val="624F3E49"/>
    <w:rsid w:val="62632286"/>
    <w:rsid w:val="62885958"/>
    <w:rsid w:val="62B30ECF"/>
    <w:rsid w:val="62F40B65"/>
    <w:rsid w:val="62FC2CFE"/>
    <w:rsid w:val="63024505"/>
    <w:rsid w:val="630A2D68"/>
    <w:rsid w:val="630D181D"/>
    <w:rsid w:val="635B1DB5"/>
    <w:rsid w:val="63711FED"/>
    <w:rsid w:val="63880DDC"/>
    <w:rsid w:val="638D750D"/>
    <w:rsid w:val="63AC6CC0"/>
    <w:rsid w:val="63B37048"/>
    <w:rsid w:val="64055776"/>
    <w:rsid w:val="64240056"/>
    <w:rsid w:val="643C5726"/>
    <w:rsid w:val="643E143A"/>
    <w:rsid w:val="648B6EEF"/>
    <w:rsid w:val="64C158BF"/>
    <w:rsid w:val="64CE2EAA"/>
    <w:rsid w:val="65053D6A"/>
    <w:rsid w:val="653B5003"/>
    <w:rsid w:val="653C3090"/>
    <w:rsid w:val="653E498B"/>
    <w:rsid w:val="657E36D4"/>
    <w:rsid w:val="6582554A"/>
    <w:rsid w:val="65854376"/>
    <w:rsid w:val="658767BE"/>
    <w:rsid w:val="65892531"/>
    <w:rsid w:val="658B44C3"/>
    <w:rsid w:val="65937B1A"/>
    <w:rsid w:val="65E47E23"/>
    <w:rsid w:val="66195831"/>
    <w:rsid w:val="662841B4"/>
    <w:rsid w:val="662E75B1"/>
    <w:rsid w:val="663012BB"/>
    <w:rsid w:val="66342C2E"/>
    <w:rsid w:val="663E784C"/>
    <w:rsid w:val="66551A38"/>
    <w:rsid w:val="668B6A45"/>
    <w:rsid w:val="67003515"/>
    <w:rsid w:val="672F3F24"/>
    <w:rsid w:val="673E055F"/>
    <w:rsid w:val="675255B9"/>
    <w:rsid w:val="67551CE3"/>
    <w:rsid w:val="67A22552"/>
    <w:rsid w:val="67B15E48"/>
    <w:rsid w:val="67B22DCC"/>
    <w:rsid w:val="67BE71AA"/>
    <w:rsid w:val="67D1473A"/>
    <w:rsid w:val="67D90273"/>
    <w:rsid w:val="67DE5875"/>
    <w:rsid w:val="67E55852"/>
    <w:rsid w:val="67EB1AB4"/>
    <w:rsid w:val="67EB7230"/>
    <w:rsid w:val="67FA1285"/>
    <w:rsid w:val="6809591F"/>
    <w:rsid w:val="68551F4F"/>
    <w:rsid w:val="687C10C9"/>
    <w:rsid w:val="68840C16"/>
    <w:rsid w:val="68876EFB"/>
    <w:rsid w:val="68884654"/>
    <w:rsid w:val="6891230F"/>
    <w:rsid w:val="68953657"/>
    <w:rsid w:val="689F444F"/>
    <w:rsid w:val="68B13948"/>
    <w:rsid w:val="68B96DBB"/>
    <w:rsid w:val="68CA2805"/>
    <w:rsid w:val="68E937A3"/>
    <w:rsid w:val="69054339"/>
    <w:rsid w:val="6923492B"/>
    <w:rsid w:val="693E15D3"/>
    <w:rsid w:val="69627681"/>
    <w:rsid w:val="6977531D"/>
    <w:rsid w:val="699B6A4B"/>
    <w:rsid w:val="69CC2BFF"/>
    <w:rsid w:val="69EE301F"/>
    <w:rsid w:val="69FD55B8"/>
    <w:rsid w:val="6A0B1C62"/>
    <w:rsid w:val="6A170CA9"/>
    <w:rsid w:val="6A2406C8"/>
    <w:rsid w:val="6A876F10"/>
    <w:rsid w:val="6A8F2B46"/>
    <w:rsid w:val="6ADE0BD1"/>
    <w:rsid w:val="6AE96859"/>
    <w:rsid w:val="6AFC4937"/>
    <w:rsid w:val="6B147746"/>
    <w:rsid w:val="6B1B3BF9"/>
    <w:rsid w:val="6B24787C"/>
    <w:rsid w:val="6B3D5CD6"/>
    <w:rsid w:val="6B573233"/>
    <w:rsid w:val="6B5B6274"/>
    <w:rsid w:val="6B64707D"/>
    <w:rsid w:val="6B935D53"/>
    <w:rsid w:val="6BA45E0C"/>
    <w:rsid w:val="6BC90139"/>
    <w:rsid w:val="6BEB1F0C"/>
    <w:rsid w:val="6BF208AF"/>
    <w:rsid w:val="6C103649"/>
    <w:rsid w:val="6C196F71"/>
    <w:rsid w:val="6C226FCB"/>
    <w:rsid w:val="6C31226F"/>
    <w:rsid w:val="6C552F0B"/>
    <w:rsid w:val="6C5F0204"/>
    <w:rsid w:val="6C834915"/>
    <w:rsid w:val="6C8C67B7"/>
    <w:rsid w:val="6C8E2897"/>
    <w:rsid w:val="6C9C1458"/>
    <w:rsid w:val="6C9D744C"/>
    <w:rsid w:val="6CB00A5F"/>
    <w:rsid w:val="6CCA2A8D"/>
    <w:rsid w:val="6CCC0F65"/>
    <w:rsid w:val="6CE30E35"/>
    <w:rsid w:val="6CFE67A8"/>
    <w:rsid w:val="6D167928"/>
    <w:rsid w:val="6D1D5AB8"/>
    <w:rsid w:val="6D26299B"/>
    <w:rsid w:val="6D4772EC"/>
    <w:rsid w:val="6D5A1043"/>
    <w:rsid w:val="6D9078AF"/>
    <w:rsid w:val="6DAA3FEF"/>
    <w:rsid w:val="6DC0172B"/>
    <w:rsid w:val="6DCB690C"/>
    <w:rsid w:val="6DD41A5B"/>
    <w:rsid w:val="6DF43C2E"/>
    <w:rsid w:val="6DF51CA3"/>
    <w:rsid w:val="6E0F1B44"/>
    <w:rsid w:val="6E1E4A95"/>
    <w:rsid w:val="6E8335BD"/>
    <w:rsid w:val="6E8E12EF"/>
    <w:rsid w:val="6E972936"/>
    <w:rsid w:val="6E9F0639"/>
    <w:rsid w:val="6EAA1C6A"/>
    <w:rsid w:val="6EAF2826"/>
    <w:rsid w:val="6ED446C5"/>
    <w:rsid w:val="6EE92007"/>
    <w:rsid w:val="6F2A7D94"/>
    <w:rsid w:val="6F3A3400"/>
    <w:rsid w:val="6F604F77"/>
    <w:rsid w:val="6F8331F1"/>
    <w:rsid w:val="6FAE1A09"/>
    <w:rsid w:val="6FD75BF8"/>
    <w:rsid w:val="704A1E1E"/>
    <w:rsid w:val="705854AB"/>
    <w:rsid w:val="707723D0"/>
    <w:rsid w:val="70F5661B"/>
    <w:rsid w:val="71360107"/>
    <w:rsid w:val="713B688E"/>
    <w:rsid w:val="71A502EB"/>
    <w:rsid w:val="71BC6E55"/>
    <w:rsid w:val="71D236B7"/>
    <w:rsid w:val="71D43752"/>
    <w:rsid w:val="71DB18B1"/>
    <w:rsid w:val="71F1796A"/>
    <w:rsid w:val="71F63E6A"/>
    <w:rsid w:val="72154626"/>
    <w:rsid w:val="72225F5B"/>
    <w:rsid w:val="72262B5D"/>
    <w:rsid w:val="72274CE9"/>
    <w:rsid w:val="72283FF7"/>
    <w:rsid w:val="722E7212"/>
    <w:rsid w:val="723A0474"/>
    <w:rsid w:val="725923E4"/>
    <w:rsid w:val="726B5B54"/>
    <w:rsid w:val="72864BF7"/>
    <w:rsid w:val="729023FC"/>
    <w:rsid w:val="72B577E9"/>
    <w:rsid w:val="72B654DE"/>
    <w:rsid w:val="730A5D23"/>
    <w:rsid w:val="73A834D9"/>
    <w:rsid w:val="73C0646E"/>
    <w:rsid w:val="73DE21CB"/>
    <w:rsid w:val="73E32E5F"/>
    <w:rsid w:val="741A2DE7"/>
    <w:rsid w:val="741E2AB6"/>
    <w:rsid w:val="742222F5"/>
    <w:rsid w:val="74476126"/>
    <w:rsid w:val="74490107"/>
    <w:rsid w:val="745E5245"/>
    <w:rsid w:val="74706664"/>
    <w:rsid w:val="747F3682"/>
    <w:rsid w:val="749C4185"/>
    <w:rsid w:val="75067759"/>
    <w:rsid w:val="752E6DCD"/>
    <w:rsid w:val="7551380D"/>
    <w:rsid w:val="75600BE5"/>
    <w:rsid w:val="7564475C"/>
    <w:rsid w:val="7583797F"/>
    <w:rsid w:val="75CE1F56"/>
    <w:rsid w:val="75D20F1D"/>
    <w:rsid w:val="75DA2C18"/>
    <w:rsid w:val="75DC0727"/>
    <w:rsid w:val="75F54412"/>
    <w:rsid w:val="75FF0A9B"/>
    <w:rsid w:val="76061E68"/>
    <w:rsid w:val="761C7166"/>
    <w:rsid w:val="761D08E0"/>
    <w:rsid w:val="76381FD0"/>
    <w:rsid w:val="765D347C"/>
    <w:rsid w:val="767A4FF2"/>
    <w:rsid w:val="76826699"/>
    <w:rsid w:val="76B1006A"/>
    <w:rsid w:val="76C87133"/>
    <w:rsid w:val="76CD08D5"/>
    <w:rsid w:val="76DB4B92"/>
    <w:rsid w:val="76F35EB6"/>
    <w:rsid w:val="77026972"/>
    <w:rsid w:val="77052AA4"/>
    <w:rsid w:val="770B3029"/>
    <w:rsid w:val="77136511"/>
    <w:rsid w:val="771E7AA0"/>
    <w:rsid w:val="77340A39"/>
    <w:rsid w:val="77351FD0"/>
    <w:rsid w:val="77472422"/>
    <w:rsid w:val="777F31F2"/>
    <w:rsid w:val="778D20C9"/>
    <w:rsid w:val="77CF2D34"/>
    <w:rsid w:val="77D1700D"/>
    <w:rsid w:val="77DC4DFE"/>
    <w:rsid w:val="77EC04CC"/>
    <w:rsid w:val="78023808"/>
    <w:rsid w:val="78082ECE"/>
    <w:rsid w:val="78775729"/>
    <w:rsid w:val="78802ABA"/>
    <w:rsid w:val="78805038"/>
    <w:rsid w:val="78A42DB0"/>
    <w:rsid w:val="78A656AB"/>
    <w:rsid w:val="78B2245C"/>
    <w:rsid w:val="78E172CC"/>
    <w:rsid w:val="78EA1D1F"/>
    <w:rsid w:val="7904172F"/>
    <w:rsid w:val="790F7E27"/>
    <w:rsid w:val="79270BDC"/>
    <w:rsid w:val="792A231A"/>
    <w:rsid w:val="79316829"/>
    <w:rsid w:val="79640FB9"/>
    <w:rsid w:val="797E66A9"/>
    <w:rsid w:val="79A97383"/>
    <w:rsid w:val="79CD0EA3"/>
    <w:rsid w:val="79E27E8B"/>
    <w:rsid w:val="79F850CE"/>
    <w:rsid w:val="79FD443C"/>
    <w:rsid w:val="7A0F2D0C"/>
    <w:rsid w:val="7A1D1975"/>
    <w:rsid w:val="7A21450F"/>
    <w:rsid w:val="7A3E5150"/>
    <w:rsid w:val="7A4670D6"/>
    <w:rsid w:val="7A534B63"/>
    <w:rsid w:val="7A615382"/>
    <w:rsid w:val="7A67303B"/>
    <w:rsid w:val="7A705425"/>
    <w:rsid w:val="7A977274"/>
    <w:rsid w:val="7AAB1D04"/>
    <w:rsid w:val="7ABA4368"/>
    <w:rsid w:val="7AD05746"/>
    <w:rsid w:val="7ADB2FDA"/>
    <w:rsid w:val="7ADD2219"/>
    <w:rsid w:val="7B0F7DB0"/>
    <w:rsid w:val="7B1437F5"/>
    <w:rsid w:val="7B257FFD"/>
    <w:rsid w:val="7B343476"/>
    <w:rsid w:val="7B5A2978"/>
    <w:rsid w:val="7B5A7E4C"/>
    <w:rsid w:val="7B667AF9"/>
    <w:rsid w:val="7B7468F8"/>
    <w:rsid w:val="7BA46062"/>
    <w:rsid w:val="7BC8542A"/>
    <w:rsid w:val="7BE773EC"/>
    <w:rsid w:val="7BEE0103"/>
    <w:rsid w:val="7C0A0FE4"/>
    <w:rsid w:val="7C254906"/>
    <w:rsid w:val="7C392FCB"/>
    <w:rsid w:val="7C590818"/>
    <w:rsid w:val="7C5C4760"/>
    <w:rsid w:val="7C7436CF"/>
    <w:rsid w:val="7C7C10F6"/>
    <w:rsid w:val="7C853BEA"/>
    <w:rsid w:val="7C881368"/>
    <w:rsid w:val="7CE27788"/>
    <w:rsid w:val="7CE35773"/>
    <w:rsid w:val="7D0357E5"/>
    <w:rsid w:val="7D0C32F1"/>
    <w:rsid w:val="7D0F408D"/>
    <w:rsid w:val="7D180687"/>
    <w:rsid w:val="7D491C6C"/>
    <w:rsid w:val="7D5429C0"/>
    <w:rsid w:val="7D586EFA"/>
    <w:rsid w:val="7D6E6D43"/>
    <w:rsid w:val="7D7069D2"/>
    <w:rsid w:val="7DB57A34"/>
    <w:rsid w:val="7DD24CD9"/>
    <w:rsid w:val="7DE60973"/>
    <w:rsid w:val="7DE91D35"/>
    <w:rsid w:val="7DEF0916"/>
    <w:rsid w:val="7E1E5218"/>
    <w:rsid w:val="7E33329E"/>
    <w:rsid w:val="7E9A4E1F"/>
    <w:rsid w:val="7EA008B3"/>
    <w:rsid w:val="7EA7723A"/>
    <w:rsid w:val="7EB973D9"/>
    <w:rsid w:val="7EC871AE"/>
    <w:rsid w:val="7EF56FBB"/>
    <w:rsid w:val="7F0768EB"/>
    <w:rsid w:val="7F143BEC"/>
    <w:rsid w:val="7F6F70FC"/>
    <w:rsid w:val="7F715AF2"/>
    <w:rsid w:val="7F886E69"/>
    <w:rsid w:val="B8F5D19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70"/>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0"/>
    <w:autoRedefine/>
    <w:qFormat/>
    <w:uiPriority w:val="0"/>
    <w:pPr>
      <w:ind w:firstLine="420"/>
    </w:pPr>
    <w:rPr>
      <w:rFonts w:hAnsi="Calibri" w:cs="Times New Roman"/>
      <w:snapToGrid/>
      <w:szCs w:val="20"/>
    </w:rPr>
  </w:style>
  <w:style w:type="paragraph" w:styleId="3">
    <w:name w:val="Body Text"/>
    <w:basedOn w:val="1"/>
    <w:next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autoRedefine/>
    <w:qFormat/>
    <w:uiPriority w:val="0"/>
    <w:pPr>
      <w:ind w:left="2100" w:leftChars="1000"/>
    </w:p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9"/>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2"/>
    <w:autoRedefine/>
    <w:qFormat/>
    <w:uiPriority w:val="0"/>
    <w:pPr>
      <w:shd w:val="clear" w:color="auto" w:fill="000080"/>
    </w:pPr>
  </w:style>
  <w:style w:type="paragraph" w:styleId="22">
    <w:name w:val="annotation text"/>
    <w:basedOn w:val="1"/>
    <w:link w:val="343"/>
    <w:autoRedefine/>
    <w:qFormat/>
    <w:uiPriority w:val="99"/>
    <w:pPr>
      <w:jc w:val="left"/>
    </w:pPr>
  </w:style>
  <w:style w:type="paragraph" w:styleId="23">
    <w:name w:val="Salutation"/>
    <w:basedOn w:val="1"/>
    <w:next w:val="1"/>
    <w:link w:val="297"/>
    <w:autoRedefine/>
    <w:qFormat/>
    <w:uiPriority w:val="0"/>
    <w:rPr>
      <w:rFonts w:ascii="仿宋_GB2312" w:eastAsia="仿宋_GB2312"/>
      <w:sz w:val="28"/>
      <w:szCs w:val="20"/>
    </w:rPr>
  </w:style>
  <w:style w:type="paragraph" w:styleId="24">
    <w:name w:val="Body Text 3"/>
    <w:basedOn w:val="1"/>
    <w:link w:val="329"/>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1"/>
    <w:autoRedefine/>
    <w:qFormat/>
    <w:uiPriority w:val="0"/>
    <w:pPr>
      <w:ind w:left="100" w:leftChars="2500"/>
    </w:pPr>
    <w:rPr>
      <w:rFonts w:ascii="宋体"/>
      <w:sz w:val="24"/>
      <w:szCs w:val="21"/>
      <w:lang w:val="zh-CN"/>
    </w:rPr>
  </w:style>
  <w:style w:type="paragraph" w:styleId="38">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88"/>
    <w:autoRedefine/>
    <w:qFormat/>
    <w:uiPriority w:val="0"/>
    <w:rPr>
      <w:sz w:val="18"/>
      <w:szCs w:val="18"/>
    </w:rPr>
  </w:style>
  <w:style w:type="paragraph" w:styleId="41">
    <w:name w:val="footer"/>
    <w:basedOn w:val="1"/>
    <w:link w:val="382"/>
    <w:autoRedefine/>
    <w:qFormat/>
    <w:uiPriority w:val="99"/>
    <w:pPr>
      <w:tabs>
        <w:tab w:val="center" w:pos="4153"/>
        <w:tab w:val="right" w:pos="8306"/>
      </w:tabs>
      <w:snapToGrid w:val="0"/>
      <w:jc w:val="left"/>
    </w:pPr>
    <w:rPr>
      <w:sz w:val="18"/>
      <w:szCs w:val="18"/>
    </w:rPr>
  </w:style>
  <w:style w:type="paragraph" w:styleId="42">
    <w:name w:val="envelope return"/>
    <w:basedOn w:val="1"/>
    <w:autoRedefine/>
    <w:unhideWhenUsed/>
    <w:qFormat/>
    <w:uiPriority w:val="99"/>
    <w:pPr>
      <w:snapToGrid w:val="0"/>
    </w:pPr>
    <w:rPr>
      <w:rFonts w:ascii="Arial" w:hAnsi="Arial"/>
    </w:rPr>
  </w:style>
  <w:style w:type="paragraph" w:styleId="43">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8"/>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4"/>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1"/>
    <w:autoRedefine/>
    <w:qFormat/>
    <w:uiPriority w:val="0"/>
    <w:pPr>
      <w:spacing w:after="120" w:line="480" w:lineRule="auto"/>
    </w:pPr>
  </w:style>
  <w:style w:type="paragraph" w:styleId="58">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6"/>
    <w:autoRedefine/>
    <w:qFormat/>
    <w:uiPriority w:val="0"/>
    <w:rPr>
      <w:b/>
      <w:bCs/>
    </w:rPr>
  </w:style>
  <w:style w:type="paragraph" w:styleId="62">
    <w:name w:val="Body Text First Indent 2"/>
    <w:basedOn w:val="26"/>
    <w:link w:val="12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Default"/>
    <w:next w:val="81"/>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1"/>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9"/>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basedOn w:val="70"/>
    <w:autoRedefine/>
    <w:qFormat/>
    <w:uiPriority w:val="0"/>
    <w:rPr>
      <w:rFonts w:hint="eastAsia" w:ascii="仿宋_GB2312" w:eastAsia="仿宋_GB2312" w:cs="仿宋_GB2312"/>
      <w:color w:val="000000"/>
      <w:sz w:val="22"/>
      <w:szCs w:val="22"/>
      <w:u w:val="none"/>
    </w:rPr>
  </w:style>
  <w:style w:type="character" w:customStyle="1" w:styleId="147">
    <w:name w:val="标题 6 Char"/>
    <w:link w:val="10"/>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6"/>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7"/>
    <w:autoRedefine/>
    <w:qFormat/>
    <w:uiPriority w:val="0"/>
    <w:rPr>
      <w:rFonts w:ascii="宋体"/>
      <w:kern w:val="2"/>
      <w:sz w:val="24"/>
      <w:szCs w:val="21"/>
      <w:lang w:val="zh-CN"/>
    </w:rPr>
  </w:style>
  <w:style w:type="character" w:customStyle="1" w:styleId="182">
    <w:name w:val="标题 9 Char"/>
    <w:link w:val="13"/>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40"/>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8"/>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21"/>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1"/>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8"/>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9"/>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80"/>
    <w:autoRedefine/>
    <w:qFormat/>
    <w:uiPriority w:val="0"/>
    <w:rPr>
      <w:rFonts w:ascii="仿宋_GB2312"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6"/>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5"/>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60"/>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9"/>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3"/>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8"/>
    <w:autoRedefine/>
    <w:qFormat/>
    <w:uiPriority w:val="0"/>
    <w:rPr>
      <w:rFonts w:ascii="黑体" w:hAnsi="Courier New" w:eastAsia="黑体"/>
    </w:rPr>
  </w:style>
  <w:style w:type="character" w:customStyle="1" w:styleId="301">
    <w:name w:val="正文文本 2 Char1"/>
    <w:link w:val="57"/>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8"/>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1"/>
    <w:autoRedefine/>
    <w:qFormat/>
    <w:uiPriority w:val="0"/>
    <w:rPr>
      <w:b/>
      <w:bCs/>
      <w:kern w:val="2"/>
      <w:sz w:val="24"/>
      <w:szCs w:val="24"/>
    </w:rPr>
  </w:style>
  <w:style w:type="character" w:customStyle="1" w:styleId="307">
    <w:name w:val="正文文本缩进 2 Char"/>
    <w:link w:val="38"/>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2"/>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2"/>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8"/>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4"/>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2"/>
    <w:autoRedefine/>
    <w:qFormat/>
    <w:uiPriority w:val="0"/>
    <w:rPr>
      <w:kern w:val="2"/>
      <w:sz w:val="21"/>
      <w:szCs w:val="24"/>
    </w:rPr>
  </w:style>
  <w:style w:type="character" w:customStyle="1" w:styleId="344">
    <w:name w:val="签名 Char"/>
    <w:link w:val="44"/>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4"/>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1"/>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3"/>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8"/>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0"/>
    <w:autoRedefine/>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6"/>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6"/>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7"/>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9"/>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7"/>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8"/>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0"/>
    <w:next w:val="80"/>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0"/>
    <w:next w:val="80"/>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5"/>
    <w:autoRedefine/>
    <w:qFormat/>
    <w:uiPriority w:val="0"/>
    <w:pPr>
      <w:tabs>
        <w:tab w:val="left" w:pos="840"/>
      </w:tabs>
      <w:adjustRightInd/>
      <w:ind w:left="840" w:hanging="420"/>
    </w:pPr>
  </w:style>
  <w:style w:type="paragraph" w:customStyle="1" w:styleId="625">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7"/>
    <w:next w:val="54"/>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1"/>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autoRedefine/>
    <w:qFormat/>
    <w:uiPriority w:val="0"/>
    <w:pPr>
      <w:tabs>
        <w:tab w:val="left" w:pos="1080"/>
      </w:tabs>
      <w:ind w:left="1080" w:hanging="1080"/>
    </w:pPr>
  </w:style>
  <w:style w:type="paragraph" w:customStyle="1" w:styleId="896">
    <w:name w:val="数字标题1"/>
    <w:basedOn w:val="5"/>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9"/>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basedOn w:val="70"/>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character" w:customStyle="1" w:styleId="963">
    <w:name w:val="fontstyle01"/>
    <w:basedOn w:val="70"/>
    <w:autoRedefine/>
    <w:qFormat/>
    <w:uiPriority w:val="0"/>
    <w:rPr>
      <w:rFonts w:hint="eastAsia" w:ascii="宋体" w:hAnsi="宋体" w:eastAsia="宋体"/>
      <w:color w:val="000000"/>
      <w:sz w:val="24"/>
      <w:szCs w:val="24"/>
    </w:rPr>
  </w:style>
  <w:style w:type="table" w:customStyle="1" w:styleId="964">
    <w:name w:val="Table Normal"/>
    <w:autoRedefine/>
    <w:qFormat/>
    <w:uiPriority w:val="0"/>
    <w:rPr>
      <w:rFonts w:eastAsiaTheme="minorEastAsia"/>
    </w:rPr>
    <w:tblPr>
      <w:tblCellMar>
        <w:top w:w="0" w:type="dxa"/>
        <w:left w:w="0" w:type="dxa"/>
        <w:bottom w:w="0" w:type="dxa"/>
        <w:right w:w="0" w:type="dxa"/>
      </w:tblCellMar>
    </w:tblPr>
  </w:style>
  <w:style w:type="paragraph" w:customStyle="1" w:styleId="965">
    <w:name w:val="_Style 4"/>
    <w:basedOn w:val="1"/>
    <w:autoRedefine/>
    <w:qFormat/>
    <w:uiPriority w:val="34"/>
    <w:pPr>
      <w:ind w:firstLine="420" w:firstLineChars="200"/>
    </w:pPr>
    <w:rPr>
      <w:rFonts w:eastAsia="FangSong_GB2312"/>
      <w:sz w:val="28"/>
      <w:szCs w:val="22"/>
    </w:rPr>
  </w:style>
  <w:style w:type="paragraph" w:customStyle="1" w:styleId="966">
    <w:name w:val="封面编号"/>
    <w:basedOn w:val="1"/>
    <w:autoRedefine/>
    <w:qFormat/>
    <w:uiPriority w:val="99"/>
    <w:pPr>
      <w:spacing w:line="360" w:lineRule="auto"/>
      <w:jc w:val="center"/>
    </w:pPr>
    <w:rPr>
      <w:rFonts w:ascii="黑体" w:hAnsi="宋体" w:eastAsia="黑体" w:cs="宋体"/>
      <w:b/>
      <w:bCs/>
      <w:sz w:val="38"/>
    </w:rPr>
  </w:style>
  <w:style w:type="paragraph" w:customStyle="1" w:styleId="967">
    <w:name w:val="reader-word-layer reader-word-s2-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68">
    <w:name w:val="样式 样式 (中文) 仿宋_GB2312 小三 首行缩进:  2 字符 行距: 固定值 28 磅 + 首行缩进:  2 字符"/>
    <w:basedOn w:val="1"/>
    <w:autoRedefine/>
    <w:qFormat/>
    <w:uiPriority w:val="0"/>
    <w:pPr>
      <w:jc w:val="center"/>
    </w:pPr>
    <w:rPr>
      <w:b/>
      <w:sz w:val="24"/>
    </w:rPr>
  </w:style>
  <w:style w:type="paragraph" w:customStyle="1" w:styleId="969">
    <w:name w:val="Default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70">
    <w:name w:val="NormalCharacter"/>
    <w:link w:val="1"/>
    <w:autoRedefine/>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43</Pages>
  <Words>4961</Words>
  <Characters>5488</Characters>
  <Lines>293</Lines>
  <Paragraphs>82</Paragraphs>
  <TotalTime>35</TotalTime>
  <ScaleCrop>false</ScaleCrop>
  <LinksUpToDate>false</LinksUpToDate>
  <CharactersWithSpaces>5727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Administrator</dc:creator>
  <cp:lastModifiedBy>胡松华</cp:lastModifiedBy>
  <cp:lastPrinted>2024-05-23T17:50:00Z</cp:lastPrinted>
  <dcterms:modified xsi:type="dcterms:W3CDTF">2025-05-06T07:58:14Z</dcterms:modified>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C071CC93979B4C6591406674E363AFFA_13</vt:lpwstr>
  </property>
  <property fmtid="{D5CDD505-2E9C-101B-9397-08002B2CF9AE}" pid="5" name="KSOTemplateDocerSaveRecord">
    <vt:lpwstr>eyJoZGlkIjoiYjI4YWNmNGQ2ZjE4MmU5MzJkMmI4OWRjMWNhYzIyZTEiLCJ1c2VySWQiOiIxNTE4MjYxNDc5In0=</vt:lpwstr>
  </property>
</Properties>
</file>