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440607-2025-00647</w:t>
      </w:r>
    </w:p>
    <w:p>
      <w:pPr>
        <w:pStyle w:val="null3"/>
        <w:jc w:val="center"/>
        <w:outlineLvl w:val="3"/>
      </w:pPr>
      <w:r>
        <w:rPr>
          <w:sz w:val="24"/>
          <w:b/>
        </w:rPr>
        <w:t>采购项目编号：</w:t>
      </w:r>
      <w:r>
        <w:rPr>
          <w:sz w:val="24"/>
          <w:b/>
        </w:rPr>
        <w:t>ZT(SS04)2025</w:t>
      </w:r>
    </w:p>
    <w:p>
      <w:pPr>
        <w:pStyle w:val="null3"/>
        <w:jc w:val="center"/>
        <w:outlineLvl w:val="3"/>
      </w:pPr>
      <w:r>
        <w:rPr>
          <w:sz w:val="24"/>
          <w:b/>
        </w:rPr>
        <w:t>项目名称：</w:t>
      </w:r>
      <w:r>
        <w:rPr>
          <w:sz w:val="24"/>
          <w:b/>
        </w:rPr>
        <w:t>西南街道2025年病媒生物防制项目</w:t>
      </w:r>
    </w:p>
    <w:p>
      <w:pPr>
        <w:pStyle w:val="null3"/>
        <w:jc w:val="center"/>
        <w:outlineLvl w:val="3"/>
      </w:pPr>
      <w:r>
        <w:rPr>
          <w:sz w:val="24"/>
          <w:b/>
        </w:rPr>
        <w:t>采购人：</w:t>
      </w:r>
      <w:r>
        <w:rPr>
          <w:sz w:val="24"/>
          <w:b/>
        </w:rPr>
        <w:t>佛山市三水区西南街道卫生健康办公室</w:t>
      </w:r>
    </w:p>
    <w:p>
      <w:pPr>
        <w:pStyle w:val="null3"/>
        <w:jc w:val="center"/>
        <w:outlineLvl w:val="3"/>
      </w:pPr>
      <w:r>
        <w:rPr>
          <w:sz w:val="24"/>
          <w:b/>
        </w:rPr>
        <w:t>采购代理机构：</w:t>
      </w:r>
      <w:r>
        <w:rPr>
          <w:sz w:val="24"/>
          <w:b/>
        </w:rPr>
        <w:t>广东中腾招标有限公司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广东中腾招标有限公司</w:t>
      </w:r>
      <w:r>
        <w:rPr/>
        <w:t>受</w:t>
      </w:r>
      <w:r>
        <w:rPr/>
        <w:t>佛山市三水区西南街道卫生健康办公室</w:t>
      </w:r>
      <w:r>
        <w:rPr/>
        <w:t>的委托，采用</w:t>
      </w:r>
      <w:r>
        <w:rPr/>
        <w:t>公开招标</w:t>
      </w:r>
      <w:r>
        <w:rPr/>
        <w:t>方式组织采购</w:t>
      </w:r>
      <w:r>
        <w:rPr/>
        <w:t>西南街道2025年病媒生物防制项目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西南街道2025年病媒生物防制项目</w:t>
      </w:r>
    </w:p>
    <w:p>
      <w:pPr>
        <w:pStyle w:val="null3"/>
        <w:ind w:firstLine="480"/>
      </w:pPr>
      <w:r>
        <w:rPr/>
        <w:t>采购计划编号：</w:t>
      </w:r>
      <w:r>
        <w:rPr/>
        <w:t>440607-2025-00647</w:t>
      </w:r>
    </w:p>
    <w:p>
      <w:pPr>
        <w:pStyle w:val="null3"/>
        <w:ind w:firstLine="480"/>
      </w:pPr>
      <w:r>
        <w:rPr/>
        <w:t>采购项目编号：</w:t>
      </w:r>
      <w:r>
        <w:rPr/>
        <w:t>ZT(SS04)2025</w:t>
      </w:r>
    </w:p>
    <w:p>
      <w:pPr>
        <w:pStyle w:val="null3"/>
        <w:ind w:firstLine="480"/>
      </w:pPr>
      <w:r>
        <w:rPr/>
        <w:t>采购方式：</w:t>
      </w:r>
      <w:r>
        <w:rPr/>
        <w:t>公开招标</w:t>
      </w:r>
    </w:p>
    <w:p>
      <w:pPr>
        <w:pStyle w:val="null3"/>
        <w:ind w:firstLine="480"/>
      </w:pPr>
      <w:r>
        <w:rPr/>
        <w:t>预算金额：</w:t>
      </w:r>
      <w:r>
        <w:rPr/>
        <w:t>1,125,000.00</w:t>
      </w:r>
      <w:r>
        <w:rPr/>
        <w:t>元</w:t>
      </w:r>
    </w:p>
    <w:p>
      <w:pPr>
        <w:pStyle w:val="null3"/>
        <w:outlineLvl w:val="3"/>
      </w:pPr>
      <w:r>
        <w:rPr>
          <w:sz w:val="24"/>
          <w:b/>
        </w:rPr>
        <w:t>2.项目内容及需求情况（采购项目技术规格、参数及要求）</w:t>
      </w:r>
    </w:p>
    <w:p>
      <w:pPr>
        <w:pStyle w:val="null3"/>
      </w:pPr>
      <w:r>
        <w:rPr/>
        <w:t>采购包1(西南街道2025年病媒生物防制项目):</w:t>
      </w:r>
    </w:p>
    <w:p>
      <w:pPr>
        <w:pStyle w:val="null3"/>
      </w:pPr>
      <w:r>
        <w:rPr/>
        <w:t>采购包预算金额：1,125,000.00元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公共卫生事件防控服务</w:t>
            </w:r>
          </w:p>
        </w:tc>
        <w:tc>
          <w:tcPr>
            <w:tcW w:type="dxa" w:w="2136"/>
          </w:tcPr>
          <w:p>
            <w:pPr>
              <w:pStyle w:val="null3"/>
            </w:pPr>
            <w:r>
              <w:rPr/>
              <w:t>西南街道2025年病媒生物防制项目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合同履行期限：自合同签订之日起12个月</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提交有效的营业执照（或事业法人登记证或身份证等相关证明）扫描件。【这里所指“其他组织”不包括法人的分支机构，由于法人分支机构不能独立承担民事责任，不能以分支机构的身份参加政府采购，只能以法人身份参加。】</w:t>
      </w:r>
    </w:p>
    <w:p>
      <w:pPr>
        <w:pStyle w:val="null3"/>
      </w:pPr>
      <w:r>
        <w:rPr/>
        <w:t>2）有依法缴纳税收和社会保障资金的良好记录：2025年任意1个月依法缴纳税收和社会保障资金的相关材料扫描件（如依法免税或不需要缴纳社会保障资金的，提供相应证明材料扫描件）或《政府采购供应商资格信用承诺函》扫描件（详见公告附件）</w:t>
      </w:r>
    </w:p>
    <w:p>
      <w:pPr>
        <w:pStyle w:val="null3"/>
      </w:pPr>
      <w:r>
        <w:rPr/>
        <w:t>3）具有良好的商业信誉和健全的财务会计制度：2024年度经审计的财务报告扫描件或2025年任意1个月经审计的财务报告扫描件（上述财务报告须能清晰显示第三方会计师事务所的印章，并能反映审计结论）或基本户开户银行出具的资信证明扫描件【并同时提交开户（基本户）许可证扫描件，开户（基本户）许可证已取消的，应提供能体现基本开户银行的“基本存款账户编号”的相关证明】或《政府采购供应商资格信用承诺函》（详见公告附件）</w:t>
      </w:r>
    </w:p>
    <w:p>
      <w:pPr>
        <w:pStyle w:val="null3"/>
      </w:pPr>
      <w:r>
        <w:rPr/>
        <w:t>4）履行合同所必需的设备和专业技术能力：按投标（响应）文件格式填报设备及专业技术能力情况或提供承诺函（格式自拟）。</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采购包1（西南街道2025年病媒生物防制项目）：</w:t>
      </w:r>
      <w:r>
        <w:rPr/>
        <w:t>采购包整体专门面向中小企业。供应商提供服务的人员为中小企业依照《中华人民共和国劳动合同法》订立劳动合同的从业人员。小微企业须符合本项目采购标的对应行业（其他未列明行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采购包1（西南街道2025年病媒生物防制项目）：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3)本采购包不接受联合体投标。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广东省公共资源交易平台（佛山市）（https://ygp.gdzwfw.gov.cn/ggzy-portal/#/440600/jygg）及采购代理机构网站（https://www.zhongtengzb.cn）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佛山市三水区西南街道卫生健康办公室</w:t>
      </w:r>
    </w:p>
    <w:p>
      <w:pPr>
        <w:pStyle w:val="null3"/>
        <w:ind w:firstLine="480"/>
      </w:pPr>
      <w:r>
        <w:rPr/>
        <w:t xml:space="preserve"> 地址：</w:t>
      </w:r>
      <w:r>
        <w:rPr/>
        <w:t>佛山市三水区车仔路18号行政服务中心</w:t>
      </w:r>
    </w:p>
    <w:p>
      <w:pPr>
        <w:pStyle w:val="null3"/>
        <w:ind w:firstLine="480"/>
      </w:pPr>
      <w:r>
        <w:rPr/>
        <w:t xml:space="preserve"> 联系方式：</w:t>
      </w:r>
      <w:r>
        <w:rPr/>
        <w:t>0757-87618958</w:t>
      </w:r>
    </w:p>
    <w:p>
      <w:pPr>
        <w:pStyle w:val="null3"/>
        <w:outlineLvl w:val="3"/>
      </w:pPr>
      <w:r>
        <w:rPr>
          <w:sz w:val="24"/>
          <w:b/>
        </w:rPr>
        <w:t xml:space="preserve"> 2.采购代理机构信息</w:t>
      </w:r>
    </w:p>
    <w:p>
      <w:pPr>
        <w:pStyle w:val="null3"/>
        <w:ind w:firstLine="480"/>
      </w:pPr>
      <w:r>
        <w:rPr/>
        <w:t xml:space="preserve"> 名称：</w:t>
      </w:r>
      <w:r>
        <w:rPr/>
        <w:t>广东中腾招标有限公司</w:t>
      </w:r>
    </w:p>
    <w:p>
      <w:pPr>
        <w:pStyle w:val="null3"/>
        <w:ind w:firstLine="480"/>
      </w:pPr>
      <w:r>
        <w:rPr/>
        <w:t xml:space="preserve"> 地址：</w:t>
      </w:r>
      <w:r>
        <w:rPr/>
        <w:t>佛山市禅城区岭南大道北100号岭南大厦一座205</w:t>
      </w:r>
    </w:p>
    <w:p>
      <w:pPr>
        <w:pStyle w:val="null3"/>
        <w:ind w:firstLine="480"/>
      </w:pPr>
      <w:r>
        <w:rPr/>
        <w:t xml:space="preserve"> 联系方式：</w:t>
      </w:r>
      <w:r>
        <w:rPr/>
        <w:t>0757-82257037</w:t>
      </w:r>
    </w:p>
    <w:p>
      <w:pPr>
        <w:pStyle w:val="null3"/>
        <w:outlineLvl w:val="3"/>
      </w:pPr>
      <w:r>
        <w:rPr>
          <w:sz w:val="24"/>
          <w:b/>
        </w:rPr>
        <w:t xml:space="preserve"> 3.项目联系方式</w:t>
      </w:r>
    </w:p>
    <w:p>
      <w:pPr>
        <w:pStyle w:val="null3"/>
        <w:ind w:firstLine="480"/>
      </w:pPr>
      <w:r>
        <w:rPr/>
        <w:t xml:space="preserve"> 项目联系人：</w:t>
      </w:r>
      <w:r>
        <w:rPr/>
        <w:t>禤先生</w:t>
      </w:r>
    </w:p>
    <w:p>
      <w:pPr>
        <w:pStyle w:val="null3"/>
        <w:ind w:firstLine="480"/>
      </w:pPr>
      <w:r>
        <w:rPr/>
        <w:t xml:space="preserve"> 电话：</w:t>
      </w:r>
      <w:r>
        <w:rPr/>
        <w:t>0757-82257037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广东中腾招标有限公司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为深入推进爱国卫生工作，加强城乡病媒防制，有效降低四害密度，营造良好的生活、工作和投资环境，把</w:t>
      </w:r>
      <w:r>
        <w:rPr>
          <w:sz w:val="21"/>
        </w:rPr>
        <w:t>“四害”（即蚊子、苍蝇、蟑螂、老鼠，以下简称“四害”）密度控制在国家标准水平，有效预防登革热等病媒传染病流行，保障广大人民群众身体健康，现就</w:t>
      </w:r>
      <w:r>
        <w:rPr>
          <w:sz w:val="21"/>
        </w:rPr>
        <w:t>西南</w:t>
      </w:r>
      <w:r>
        <w:rPr>
          <w:sz w:val="21"/>
        </w:rPr>
        <w:t>街道街道</w:t>
      </w:r>
      <w:r>
        <w:rPr>
          <w:sz w:val="21"/>
        </w:rPr>
        <w:t>12个居委和8个村委公共区域范围2025年病媒生物防制服务进行采购。</w:t>
      </w:r>
    </w:p>
    <w:p>
      <w:pPr>
        <w:pStyle w:val="null3"/>
        <w:ind w:firstLine="420"/>
      </w:pPr>
      <w:r>
        <w:rPr>
          <w:sz w:val="21"/>
        </w:rPr>
        <w:t xml:space="preserve">12个居委会公共区域范围：文锋东1.3平方公里、文锋西1.7平方公里、云秀3.1平方公里、园林1.2平方公里、月桂1.2平方公里、沙头1.7平方公里，康华1.5平方公里、张边0.8平方公里、桥头2.2平方公里、布心3.7平方公里、北江1.6平方公里、河口（城区）0.3平方公总面积20.3平方公里。（不含布心居委新沙村、河口居委6条自然村)   </w:t>
      </w:r>
    </w:p>
    <w:p>
      <w:pPr>
        <w:pStyle w:val="null3"/>
        <w:ind w:firstLine="420"/>
      </w:pPr>
      <w:r>
        <w:rPr>
          <w:sz w:val="21"/>
        </w:rPr>
        <w:t>8个村委会自然村公共区域:南岸村委会15条村、洲边村委会10条村、江根村委会24条村、五顶岗村委会23条村、青岐村委会19条村、大塱山村委会3条村、木棉村委会11条村、董营村委会9条村，合共120条自然村。（含布心居委新沙村、河口居委6条自然村)</w:t>
      </w:r>
    </w:p>
    <w:p>
      <w:pPr>
        <w:pStyle w:val="null3"/>
      </w:pPr>
      <w:r>
        <w:rPr/>
        <w:t>采购包1（西南街道2025年病媒生物防制项目）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自合同签订之日起12个月</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第1期为(按考核情况支付)：支付比例100%，1、本项目的服务费，根据中标金额每六个月结算一次。 2、采购人每六个月对中标供应商进行考核。成绩为四个等次：优秀（90-100分）、良好（80-90分）、及格（70-80分）和不及格（70分以下），结合考核的情况按比例进行支付： 2.1综合考评为优秀，全额支付六个月服务费； 2.2综合考评为良好，按[（90分-当轮分数）×1000元]扣减当次考评服务费，举例：考评得分为88分，则扣减人民币（90分-88分）×1000元=2000元； 2.3综合考评为及格，按[（90分-80分）×1000元＋（80分-当轮分数）×2000元]扣减当次考评服务费。举例：考评得分为78分，则扣减人民币（90分-80分）×1000元＋（80分-78分）×2000元=12000元； 2.4综合考评为不及格的，需要对服务范围重新消杀，至重新考核总分满足90分或以上。 3、中标供应商当次考评应得的服务费，在采购人收到中标供应商提交的有效发票后，于考评结束之日起30日内以银行划款的方式划入供应商指定的账户。如遇特殊情况不能按时拨款，可双方协商处理。。</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1期：按采购人定制的考核制度进行服务验收。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1、最高限价：人民币1,125,000.00元。如报价有小数点，可取小数点后两位，采取四舍五入法。投标人的投标报价不得高于本项目最高限价，否则，其投标无效。 2、报价须包工、包料、包质量、包安全、包文明作业的方式承包管理；所有病媒生物防制专业队人员的医疗、养老、工伤、失业保险及一切劳工关系的经济纠纷、法律责任、全额含税发票及合同实施过程中的不可预见费用等均由中标供应商负责。 3、中标供应商须考虑在服务期间的一切可能产生的费用，若中标供应商在中标后或合同履行过程中，出现任何遗漏内容需产生额外费用，均由中标供应商承担，采购人将不再支付任何费用，在服务期限内中标结算金额不得因任何因素上调。</w:t>
            </w:r>
          </w:p>
        </w:tc>
      </w:tr>
      <w:tr>
        <w:tc>
          <w:tcPr>
            <w:tcW w:type="dxa" w:w="2076"/>
          </w:tcPr>
          <w:p/>
        </w:tc>
        <w:tc>
          <w:tcPr>
            <w:tcW w:type="dxa" w:w="2076"/>
          </w:tcPr>
          <w:p>
            <w:pPr>
              <w:pStyle w:val="null3"/>
              <w:jc w:val="center"/>
            </w:pPr>
            <w:r>
              <w:rPr/>
              <w:t>2</w:t>
            </w:r>
          </w:p>
        </w:tc>
        <w:tc>
          <w:tcPr>
            <w:tcW w:type="dxa" w:w="2076"/>
          </w:tcPr>
          <w:p>
            <w:pPr>
              <w:pStyle w:val="null3"/>
              <w:jc w:val="left"/>
            </w:pPr>
            <w:r>
              <w:rPr/>
              <w:t>考核制度</w:t>
            </w:r>
          </w:p>
        </w:tc>
        <w:tc>
          <w:tcPr>
            <w:tcW w:type="dxa" w:w="2076"/>
          </w:tcPr>
          <w:p>
            <w:pPr>
              <w:pStyle w:val="null3"/>
              <w:jc w:val="left"/>
            </w:pPr>
            <w:r>
              <w:rPr/>
              <w:t>1.采购人定时对供应商服务范围内的除“四害”工作质量进行综合考评，考评采用百分制。 2.考核内容根据《国家卫生城市评审标准》进行制定。 3.考核评分标准（详见附件内容）</w:t>
            </w:r>
          </w:p>
        </w:tc>
      </w:tr>
      <w:tr>
        <w:tc>
          <w:tcPr>
            <w:tcW w:type="dxa" w:w="2076"/>
          </w:tcPr>
          <w:p/>
        </w:tc>
        <w:tc>
          <w:tcPr>
            <w:tcW w:type="dxa" w:w="2076"/>
          </w:tcPr>
          <w:p>
            <w:pPr>
              <w:pStyle w:val="null3"/>
              <w:jc w:val="center"/>
            </w:pPr>
            <w:r>
              <w:rPr/>
              <w:t>3</w:t>
            </w:r>
          </w:p>
        </w:tc>
        <w:tc>
          <w:tcPr>
            <w:tcW w:type="dxa" w:w="2076"/>
          </w:tcPr>
          <w:p>
            <w:pPr>
              <w:pStyle w:val="null3"/>
              <w:jc w:val="left"/>
            </w:pPr>
            <w:r>
              <w:rPr/>
              <w:t>扣罚</w:t>
            </w:r>
          </w:p>
        </w:tc>
        <w:tc>
          <w:tcPr>
            <w:tcW w:type="dxa" w:w="2076"/>
          </w:tcPr>
          <w:p>
            <w:pPr>
              <w:pStyle w:val="null3"/>
              <w:jc w:val="left"/>
            </w:pPr>
            <w:r>
              <w:rPr/>
              <w:t>出现以下情形采购人有权对中标供应商作出相应处罚： 1、违反操作规程，严重影响工作质量者，经查实，每次扣发总合同金额的1%，且须及时做好补救措施； 2、不按规定施药，或施药弄虚作假，施药不足者，经查实，每次扣发总合同金额的2%，并及时做好补救措施； 3、未按要求配备工作人员和设备，采购人要求其整改后仍未达到合同要求的，采购人有权终止合同。 4、经市、区除“四害”检查组检查考核连续两期其中有二项不达到C级标准的，采购人可直接扣减期支付的服务费。视情节轻重，提前终止服务合同。 5、使用不符合规定的药物造成人畜伤亡的，供应商须承担直接责任，采购人有权提前终止服务合同。 6、不得以任何形式转包、分包本项目，一经查实，采购人有权扣减其总合同金额的3%，同时终止服务合同。 7、如发现有新闻媒介批评曝光的问题，经查证属供应商责任的，每次罚款人民币5000.00元/次。出现上级部门和疾控部门风险指数监测属于高风险情况的，每次罚款人民币3000.00元/次，并在三天内整改到安全范围。 8、因供应商原因造成西南街道病媒生物防制年度考核排名靠后的，以第四名为基准，每排后一名扣罚人民币1000元。 9、由于以上原因被采购人终止服务合同的，三年内不得参与在西南街道辖区范围内除“四害”管理项目的投标资格。</w:t>
            </w:r>
          </w:p>
        </w:tc>
      </w:tr>
      <w:tr>
        <w:tc>
          <w:tcPr>
            <w:tcW w:type="dxa" w:w="2076"/>
          </w:tcPr>
          <w:p/>
        </w:tc>
        <w:tc>
          <w:tcPr>
            <w:tcW w:type="dxa" w:w="2076"/>
          </w:tcPr>
          <w:p>
            <w:pPr>
              <w:pStyle w:val="null3"/>
              <w:jc w:val="center"/>
            </w:pPr>
            <w:r>
              <w:rPr/>
              <w:t>4</w:t>
            </w:r>
          </w:p>
        </w:tc>
        <w:tc>
          <w:tcPr>
            <w:tcW w:type="dxa" w:w="2076"/>
          </w:tcPr>
          <w:p>
            <w:pPr>
              <w:pStyle w:val="null3"/>
              <w:jc w:val="left"/>
            </w:pPr>
            <w:r>
              <w:rPr/>
              <w:t>违约责任与赔偿</w:t>
            </w:r>
          </w:p>
        </w:tc>
        <w:tc>
          <w:tcPr>
            <w:tcW w:type="dxa" w:w="2076"/>
          </w:tcPr>
          <w:p>
            <w:pPr>
              <w:pStyle w:val="null3"/>
              <w:jc w:val="left"/>
            </w:pPr>
            <w:r>
              <w:rPr/>
              <w:t>1、供应商对采购人应负担的总责任或赔偿金额，严格限制在年度合约价值内，或因合同、侵权（包括疏忽）、违反法律责任或因其他原因依据合同须负担责任的合同价值内。且供应商于任何情况下皆不须就下列任何项目负担责任： （1）因任何害虫而产生的损失、损害或成本； （2）利润损失、经济或财务损失、销售或业务损失、使用或营运中断损失、商誉损失； （3）间接或必然损失。 2、供应商未能按本合同规定的时间提供服务，从逾期之日起每日按本合同总价3‰的数额向采购人支付违约金；逾期半个月以上的，采购人有权终止合同，由此造成的采购人经济损失由供应商承担。 3、采购人无正当理由拒收接受服务，到期拒付服务款项的，采购人向供应商偿付本合同总的5%的违约金。采购人逾期付款，则每日按本合同总价的3‰向供应商偿付违约金。 4、其它违约责任按《中华人民共和国民法典》处理。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公共卫生事件防控服务</w:t>
            </w:r>
          </w:p>
        </w:tc>
        <w:tc>
          <w:tcPr>
            <w:tcW w:type="dxa" w:w="933"/>
          </w:tcPr>
          <w:p>
            <w:pPr>
              <w:pStyle w:val="null3"/>
              <w:jc w:val="left"/>
            </w:pPr>
            <w:r>
              <w:rPr/>
              <w:t>西南街道2025年病媒生物防制项目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1,125,000.00</w:t>
            </w:r>
          </w:p>
        </w:tc>
        <w:tc>
          <w:tcPr>
            <w:tcW w:type="dxa" w:w="933"/>
          </w:tcPr>
          <w:p>
            <w:pPr>
              <w:pStyle w:val="null3"/>
              <w:jc w:val="right"/>
            </w:pPr>
            <w:r>
              <w:rPr/>
              <w:t>1,125,000.00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西南街道2025年病媒生物防制项目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b/>
              </w:rPr>
              <w:t>服务要求：</w:t>
            </w:r>
          </w:p>
          <w:p>
            <w:pPr>
              <w:pStyle w:val="null3"/>
              <w:ind w:firstLine="400"/>
              <w:jc w:val="left"/>
            </w:pPr>
            <w:r>
              <w:rPr/>
              <w:t>中标</w:t>
            </w:r>
            <w:r>
              <w:rPr/>
              <w:t>供应商在服务范围内提供全年除</w:t>
            </w:r>
            <w:r>
              <w:rPr/>
              <w:t>“四害”服务，要求开展爱国卫生运动，巩固国家卫生城市成果，预防传染病流行。开展灭蚊、灭鼠、灭蝇、灭蟑螂及“四害”孳生地清理，各项工作均需达到国家标准水平，具体工作内容如下：</w:t>
            </w:r>
          </w:p>
          <w:p>
            <w:pPr>
              <w:pStyle w:val="null3"/>
              <w:jc w:val="left"/>
            </w:pPr>
            <w:r>
              <w:rPr/>
              <w:t>（一）服务范围</w:t>
            </w:r>
          </w:p>
          <w:p>
            <w:pPr>
              <w:pStyle w:val="null3"/>
              <w:ind w:firstLine="400"/>
              <w:jc w:val="left"/>
            </w:pPr>
            <w:r>
              <w:rPr/>
              <w:t>1</w:t>
            </w:r>
            <w:r>
              <w:rPr/>
              <w:t>、</w:t>
            </w:r>
            <w:r>
              <w:rPr/>
              <w:t>开放式居民住宅区、开放式内街公园、农贸市场周边、垃圾收集点及中转站、公厕、大街小巷、市政道路、下水道、公共停车场、绿化带、景观水池、污水河涌等重点场所孳生地。</w:t>
            </w:r>
          </w:p>
          <w:p>
            <w:pPr>
              <w:pStyle w:val="null3"/>
              <w:ind w:firstLine="400"/>
              <w:jc w:val="left"/>
            </w:pPr>
            <w:r>
              <w:rPr/>
              <w:t>2</w:t>
            </w:r>
            <w:r>
              <w:rPr/>
              <w:t>、</w:t>
            </w:r>
            <w:r>
              <w:rPr/>
              <w:t>西南街道管辖内机关事业单位：包括西南街道机关大院、西南控股公司大院、西南派出所、西南街道社区卫生服务中心及各站点、西南市政所、水利所、西南街道综合执法队及村（居）委会办公场所。</w:t>
            </w:r>
          </w:p>
          <w:p>
            <w:pPr>
              <w:pStyle w:val="null3"/>
              <w:ind w:firstLine="400"/>
              <w:jc w:val="left"/>
            </w:pPr>
            <w:r>
              <w:rPr/>
              <w:t>3</w:t>
            </w:r>
            <w:r>
              <w:rPr/>
              <w:t>、</w:t>
            </w:r>
            <w:r>
              <w:rPr/>
              <w:t>西南街道内河涌水体，包括西南涌、九腩洲、大棉涌等污水河涌蚊蝇孳生地及涌边（涌堤）鼠患控制。</w:t>
            </w:r>
          </w:p>
          <w:p>
            <w:pPr>
              <w:pStyle w:val="null3"/>
              <w:jc w:val="left"/>
            </w:pPr>
            <w:r>
              <w:rPr/>
              <w:t>（二）服务要求</w:t>
            </w:r>
          </w:p>
          <w:p>
            <w:pPr>
              <w:pStyle w:val="null3"/>
              <w:ind w:firstLine="400"/>
              <w:jc w:val="left"/>
            </w:pPr>
            <w:r>
              <w:rPr/>
              <w:t>开展除</w:t>
            </w:r>
            <w:r>
              <w:rPr/>
              <w:t>“四害”服务，每月对公共区域开展翻盆倒罐，清理蚊虫孳生地。每月开展鼠屋巡查，发现破损、缺失及时补充，并定时足量补充鼠谷。对公共区域进行药物投放与喷洒，中心城区每年不少于</w:t>
            </w:r>
            <w:r>
              <w:rPr/>
              <w:t>6</w:t>
            </w:r>
            <w:r>
              <w:rPr/>
              <w:t>次，农村每年不少于</w:t>
            </w:r>
            <w:r>
              <w:rPr/>
              <w:t>4</w:t>
            </w:r>
            <w:r>
              <w:rPr/>
              <w:t>次。采购人有权在不超出年度约定消杀总次数的前提下，根据“四害”的消长习性调整消杀频次。</w:t>
            </w:r>
          </w:p>
          <w:p>
            <w:pPr>
              <w:pStyle w:val="null3"/>
              <w:ind w:firstLine="400"/>
              <w:jc w:val="left"/>
            </w:pPr>
            <w:r>
              <w:rPr/>
              <w:t>1</w:t>
            </w:r>
            <w:r>
              <w:rPr/>
              <w:t>、</w:t>
            </w:r>
            <w:r>
              <w:rPr/>
              <w:t>必须做到服务范围内</w:t>
            </w:r>
            <w:r>
              <w:rPr/>
              <w:t>“四害”密度不超标，并达到国家标准。其中，灭蚊标准：用</w:t>
            </w:r>
            <w:r>
              <w:rPr/>
              <w:t>500ml</w:t>
            </w:r>
            <w:r>
              <w:rPr/>
              <w:t>收集勺采集大中型水体中蚊幼或蛹阳性率不超过</w:t>
            </w:r>
            <w:r>
              <w:rPr/>
              <w:t>3%</w:t>
            </w:r>
            <w:r>
              <w:rPr/>
              <w:t>，阳性勺内幼虫或蛹的平均数不超过</w:t>
            </w:r>
            <w:r>
              <w:rPr/>
              <w:t>5</w:t>
            </w:r>
            <w:r>
              <w:rPr/>
              <w:t>只，绿化地白天人诱蚊</w:t>
            </w:r>
            <w:r>
              <w:rPr/>
              <w:t>30</w:t>
            </w:r>
            <w:r>
              <w:rPr/>
              <w:t>分钟，平均每人次诱获成蚊不超过</w:t>
            </w:r>
            <w:r>
              <w:rPr/>
              <w:t>1</w:t>
            </w:r>
            <w:r>
              <w:rPr/>
              <w:t>只。灭鼠标准：防鼠设施不合格处不超过</w:t>
            </w:r>
            <w:r>
              <w:rPr/>
              <w:t>5%</w:t>
            </w:r>
            <w:r>
              <w:rPr/>
              <w:t>，不同类型的的外环境累计</w:t>
            </w:r>
            <w:r>
              <w:rPr/>
              <w:t>2000</w:t>
            </w:r>
            <w:r>
              <w:rPr/>
              <w:t>米，鼠迹不超过</w:t>
            </w:r>
            <w:r>
              <w:rPr/>
              <w:t>5</w:t>
            </w:r>
            <w:r>
              <w:rPr/>
              <w:t>处。灭蝇标准：蝇类孳生地得到有效控制，幼虫和蛹的检出率不超过</w:t>
            </w:r>
            <w:r>
              <w:rPr/>
              <w:t>3%</w:t>
            </w:r>
            <w:r>
              <w:rPr/>
              <w:t>。灭蟑标准：市政各类管井有成若虫不超</w:t>
            </w:r>
            <w:r>
              <w:rPr/>
              <w:t>20%</w:t>
            </w:r>
            <w:r>
              <w:rPr/>
              <w:t>，阳性井大蠊不超过</w:t>
            </w:r>
            <w:r>
              <w:rPr/>
              <w:t>5</w:t>
            </w:r>
            <w:r>
              <w:rPr/>
              <w:t>只。</w:t>
            </w:r>
          </w:p>
          <w:p>
            <w:pPr>
              <w:pStyle w:val="null3"/>
              <w:ind w:firstLine="400"/>
              <w:jc w:val="left"/>
            </w:pPr>
            <w:r>
              <w:rPr/>
              <w:t>2</w:t>
            </w:r>
            <w:r>
              <w:rPr/>
              <w:t>、</w:t>
            </w:r>
            <w:r>
              <w:rPr/>
              <w:t>除</w:t>
            </w:r>
            <w:r>
              <w:rPr/>
              <w:t>“四害”药械需选用符合国家规定要求的药械。</w:t>
            </w:r>
          </w:p>
          <w:p>
            <w:pPr>
              <w:pStyle w:val="null3"/>
              <w:ind w:firstLine="400"/>
              <w:jc w:val="left"/>
            </w:pPr>
            <w:r>
              <w:rPr/>
              <w:t>3</w:t>
            </w:r>
            <w:r>
              <w:rPr/>
              <w:t>、</w:t>
            </w:r>
            <w:r>
              <w:rPr/>
              <w:t>必须具备</w:t>
            </w:r>
            <w:r>
              <w:rPr/>
              <w:t>“四害”综合预防、治理技术以及防治器械，所有使用药物必须符合国家有关规定。</w:t>
            </w:r>
          </w:p>
          <w:p>
            <w:pPr>
              <w:pStyle w:val="null3"/>
              <w:ind w:firstLine="400"/>
              <w:jc w:val="left"/>
            </w:pPr>
            <w:r>
              <w:rPr/>
              <w:t>4</w:t>
            </w:r>
            <w:r>
              <w:rPr/>
              <w:t>、</w:t>
            </w:r>
            <w:r>
              <w:rPr/>
              <w:t>必须遵守采购人各项规定，接受和服从采购人的管理及考核，配合提供便利条件，及时根据采购人提出的整改意见进行整改。</w:t>
            </w:r>
          </w:p>
          <w:p>
            <w:pPr>
              <w:pStyle w:val="null3"/>
              <w:ind w:firstLine="400"/>
              <w:jc w:val="left"/>
            </w:pPr>
            <w:r>
              <w:rPr/>
              <w:t>5</w:t>
            </w:r>
            <w:r>
              <w:rPr/>
              <w:t>、</w:t>
            </w:r>
            <w:r>
              <w:rPr/>
              <w:t>积极配合采购人做好国家、省、市、区及街道各级政府部门组织的检查、验收及考评等活动的迎检工作。</w:t>
            </w:r>
          </w:p>
          <w:p>
            <w:pPr>
              <w:pStyle w:val="null3"/>
              <w:ind w:firstLine="400"/>
              <w:jc w:val="left"/>
            </w:pPr>
            <w:r>
              <w:rPr/>
              <w:t>6</w:t>
            </w:r>
            <w:r>
              <w:rPr/>
              <w:t>、</w:t>
            </w:r>
            <w:r>
              <w:rPr/>
              <w:t>无条件配合采购人做好政府及有关部门举办的一切活动及处理突发应急事件。</w:t>
            </w:r>
          </w:p>
          <w:p>
            <w:pPr>
              <w:pStyle w:val="null3"/>
              <w:ind w:firstLine="400"/>
              <w:jc w:val="left"/>
            </w:pPr>
            <w:r>
              <w:rPr/>
              <w:t>7</w:t>
            </w:r>
            <w:r>
              <w:rPr/>
              <w:t>、</w:t>
            </w:r>
            <w:r>
              <w:rPr/>
              <w:t>供应商必须及时制止影响项目管理质量的行为，并及时向采购人汇报情况及提供现场记录（图片、报告），超过</w:t>
            </w:r>
            <w:r>
              <w:rPr/>
              <w:t>24</w:t>
            </w:r>
            <w:r>
              <w:rPr/>
              <w:t>小时不报，则由供应商负责按原貌恢复。</w:t>
            </w:r>
          </w:p>
          <w:p>
            <w:pPr>
              <w:pStyle w:val="null3"/>
              <w:ind w:firstLine="400"/>
              <w:jc w:val="left"/>
            </w:pPr>
            <w:r>
              <w:rPr/>
              <w:t>8</w:t>
            </w:r>
            <w:r>
              <w:rPr/>
              <w:t>、</w:t>
            </w:r>
            <w:r>
              <w:rPr/>
              <w:t>供应商须将服务于本项目的人员分工方案、工作人员的名单、电话号码、身份证复印件、资格证复印件等资料交采购人备案，需要变更相关人员信息时须经采购人同意并更新备案资料。</w:t>
            </w:r>
          </w:p>
          <w:p>
            <w:pPr>
              <w:pStyle w:val="null3"/>
              <w:ind w:firstLine="400"/>
              <w:jc w:val="left"/>
            </w:pPr>
            <w:r>
              <w:rPr/>
              <w:t>9</w:t>
            </w:r>
            <w:r>
              <w:rPr/>
              <w:t>、</w:t>
            </w:r>
            <w:r>
              <w:rPr/>
              <w:t>按采购人要求做好各种规范的除</w:t>
            </w:r>
            <w:r>
              <w:rPr/>
              <w:t>“四害”监测记录，制定科学的年度、季度除“四害”工作计划，包括技术方案、工作方法、用药计划等，每季度</w:t>
            </w:r>
            <w:r>
              <w:rPr/>
              <w:t>10</w:t>
            </w:r>
            <w:r>
              <w:rPr/>
              <w:t>号前将上季度的施工质量和工作情况向采购人作书面汇报。</w:t>
            </w:r>
          </w:p>
          <w:p>
            <w:pPr>
              <w:pStyle w:val="null3"/>
              <w:ind w:firstLine="400"/>
              <w:jc w:val="left"/>
            </w:pPr>
            <w:r>
              <w:rPr/>
              <w:t>10</w:t>
            </w:r>
            <w:r>
              <w:rPr/>
              <w:t>、</w:t>
            </w:r>
            <w:r>
              <w:rPr/>
              <w:t>每月供应商向对服务范围内的环境卫生、卫生死角及</w:t>
            </w:r>
            <w:r>
              <w:rPr/>
              <w:t>“四害”孳生地情况进行排查登记，并及时反馈给采购人。</w:t>
            </w:r>
          </w:p>
          <w:p>
            <w:pPr>
              <w:pStyle w:val="null3"/>
              <w:ind w:firstLine="400"/>
              <w:jc w:val="left"/>
            </w:pPr>
            <w:r>
              <w:rPr/>
              <w:t>11</w:t>
            </w:r>
            <w:r>
              <w:rPr/>
              <w:t>、</w:t>
            </w:r>
            <w:r>
              <w:rPr/>
              <w:t>每年对服务范围内的毒鼠屋进行全面巡查，及时更新及维护，并定时足量补充鼠谷，做好毒鼠屋清点及台账整理。</w:t>
            </w:r>
          </w:p>
          <w:p>
            <w:pPr>
              <w:pStyle w:val="null3"/>
              <w:ind w:firstLine="400"/>
              <w:jc w:val="left"/>
            </w:pPr>
            <w:r>
              <w:rPr/>
              <w:t>12</w:t>
            </w:r>
            <w:r>
              <w:rPr/>
              <w:t>、</w:t>
            </w:r>
            <w:r>
              <w:rPr/>
              <w:t>按照上级考核标准，协助采购人完成辖区病媒生物防制工作考核，做好台账资料制作整理及汇编。</w:t>
            </w:r>
          </w:p>
          <w:p>
            <w:pPr>
              <w:pStyle w:val="null3"/>
              <w:ind w:firstLine="400"/>
              <w:jc w:val="left"/>
            </w:pPr>
            <w:r>
              <w:rPr/>
              <w:t>13</w:t>
            </w:r>
            <w:r>
              <w:rPr/>
              <w:t>、</w:t>
            </w:r>
            <w:r>
              <w:rPr/>
              <w:t>供应商除了按标准负责本合同范围公共区域病媒生物防制</w:t>
            </w:r>
            <w:r>
              <w:rPr/>
              <w:t>“四害”消杀服务外，还需对服务范围内的经营单位（学校、农贸市场、商场、酒店、餐饮经营单位、物管小区、建筑工地等）开展技术指导。</w:t>
            </w:r>
          </w:p>
          <w:p>
            <w:pPr>
              <w:pStyle w:val="null3"/>
              <w:ind w:firstLine="400"/>
              <w:jc w:val="left"/>
            </w:pPr>
            <w:r>
              <w:rPr/>
              <w:t>14</w:t>
            </w:r>
            <w:r>
              <w:rPr/>
              <w:t>、</w:t>
            </w:r>
            <w:r>
              <w:rPr/>
              <w:t>上级检查需要在本承包范围内开展应急消杀时，应无条件配合和服从指挥；如遇非本承包范围需要应急消杀支援时，要服从采购人安排。</w:t>
            </w:r>
          </w:p>
          <w:p>
            <w:pPr>
              <w:pStyle w:val="null3"/>
              <w:ind w:firstLine="400"/>
              <w:jc w:val="left"/>
            </w:pPr>
            <w:r>
              <w:rPr/>
              <w:t>15</w:t>
            </w:r>
            <w:r>
              <w:rPr/>
              <w:t>、</w:t>
            </w:r>
            <w:r>
              <w:rPr/>
              <w:t>根据《佛山市三水区登革热疫情应急预案（</w:t>
            </w:r>
            <w:r>
              <w:rPr/>
              <w:t>2024</w:t>
            </w:r>
            <w:r>
              <w:rPr/>
              <w:t>年）版》的通知，登革热疫情出现Ⅲ级以下事件时，供应商需无条件免费开展应急消杀。</w:t>
            </w:r>
          </w:p>
          <w:p>
            <w:pPr>
              <w:pStyle w:val="null3"/>
              <w:ind w:firstLine="400"/>
              <w:jc w:val="left"/>
            </w:pPr>
            <w:r>
              <w:rPr/>
              <w:t>16</w:t>
            </w:r>
            <w:r>
              <w:rPr/>
              <w:t>、</w:t>
            </w:r>
            <w:r>
              <w:rPr/>
              <w:t>如在服务期内，出现日常投诉，要求两天内处理完毕，处理率达</w:t>
            </w:r>
            <w:r>
              <w:rPr/>
              <w:t>100%</w:t>
            </w:r>
            <w:r>
              <w:rPr/>
              <w:t>；如出现上级部门和新闻媒介批评曝光的问题，经查证属供应商责任的，每次罚款</w:t>
            </w:r>
            <w:r>
              <w:rPr/>
              <w:t>5000</w:t>
            </w:r>
            <w:r>
              <w:rPr/>
              <w:t>元。</w:t>
            </w:r>
          </w:p>
          <w:p>
            <w:pPr>
              <w:pStyle w:val="null3"/>
              <w:ind w:firstLine="400"/>
              <w:jc w:val="left"/>
            </w:pPr>
            <w:r>
              <w:rPr/>
              <w:t>17</w:t>
            </w:r>
            <w:r>
              <w:rPr/>
              <w:t>、</w:t>
            </w:r>
            <w:r>
              <w:rPr/>
              <w:t>在服务期内，如遇重大疫情需应急响应，要无条件服从调动，需增加药物由供应商提供；应急响应要</w:t>
            </w:r>
            <w:r>
              <w:rPr/>
              <w:t>1</w:t>
            </w:r>
            <w:r>
              <w:rPr/>
              <w:t>小时内到达。</w:t>
            </w:r>
          </w:p>
          <w:p>
            <w:pPr>
              <w:pStyle w:val="null3"/>
              <w:jc w:val="both"/>
            </w:pPr>
            <w:r>
              <w:rPr>
                <w:sz w:val="21"/>
              </w:rPr>
              <w:t xml:space="preserve">       18</w:t>
            </w:r>
            <w:r>
              <w:rPr>
                <w:sz w:val="21"/>
              </w:rPr>
              <w:t>、</w:t>
            </w:r>
            <w:r>
              <w:rPr>
                <w:sz w:val="21"/>
              </w:rPr>
              <w:t>在服务期内采购人对供应商的服务效果进行定期或不定期的监督检查及考核。</w:t>
            </w:r>
          </w:p>
        </w:tc>
      </w:tr>
      <w:tr>
        <w:tc>
          <w:tcPr>
            <w:tcW w:type="dxa" w:w="2076"/>
          </w:tcPr>
          <w:p/>
        </w:tc>
        <w:tc>
          <w:tcPr>
            <w:tcW w:type="dxa" w:w="415"/>
          </w:tcPr>
          <w:p>
            <w:pPr>
              <w:pStyle w:val="null3"/>
            </w:pPr>
            <w:r>
              <w:rPr/>
              <w:t>2</w:t>
            </w:r>
          </w:p>
        </w:tc>
        <w:tc>
          <w:tcPr>
            <w:tcW w:type="dxa" w:w="5814"/>
          </w:tcPr>
          <w:p>
            <w:pPr>
              <w:pStyle w:val="null3"/>
              <w:jc w:val="left"/>
            </w:pPr>
            <w:r>
              <w:rPr>
                <w:b/>
              </w:rPr>
              <w:t>人员要求：</w:t>
            </w:r>
          </w:p>
          <w:p>
            <w:pPr>
              <w:pStyle w:val="null3"/>
              <w:ind w:firstLine="400"/>
              <w:jc w:val="left"/>
            </w:pPr>
            <w:r>
              <w:rPr/>
              <w:t>1</w:t>
            </w:r>
            <w:r>
              <w:rPr/>
              <w:t>、</w:t>
            </w:r>
            <w:r>
              <w:rPr/>
              <w:t>本项目投入服务人员不少于</w:t>
            </w:r>
            <w:r>
              <w:rPr/>
              <w:t>30</w:t>
            </w:r>
            <w:r>
              <w:rPr/>
              <w:t>人（含</w:t>
            </w:r>
            <w:r>
              <w:rPr/>
              <w:t>本数</w:t>
            </w:r>
            <w:r>
              <w:rPr/>
              <w:t>），且持有持有有效的有害生物防制</w:t>
            </w:r>
            <w:r>
              <w:rPr/>
              <w:t>等级</w:t>
            </w:r>
            <w:r>
              <w:rPr/>
              <w:t>证书。</w:t>
            </w:r>
          </w:p>
          <w:p>
            <w:pPr>
              <w:pStyle w:val="null3"/>
              <w:jc w:val="center"/>
            </w:pPr>
            <w:r>
              <w:rPr/>
              <w:t>人员基本配置要求</w:t>
            </w:r>
          </w:p>
          <w:tbl>
            <w:tblPr>
              <w:tblInd w:type="dxa" w:w="120"/>
              <w:tblBorders>
                <w:top w:val="none" w:color="000000" w:sz="4"/>
                <w:left w:val="none" w:color="000000" w:sz="4"/>
                <w:bottom w:val="none" w:color="000000" w:sz="4"/>
                <w:right w:val="none" w:color="000000" w:sz="4"/>
                <w:insideH w:val="none"/>
                <w:insideV w:val="none"/>
              </w:tblBorders>
            </w:tblPr>
            <w:tblGrid>
              <w:gridCol w:w="591"/>
              <w:gridCol w:w="994"/>
              <w:gridCol w:w="3246"/>
              <w:gridCol w:w="767"/>
            </w:tblGrid>
            <w:tr>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9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人员岗位</w:t>
                  </w:r>
                </w:p>
              </w:tc>
              <w:tc>
                <w:tcPr>
                  <w:tcW w:type="dxa" w:w="3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工作要求</w:t>
                  </w:r>
                </w:p>
              </w:tc>
              <w:tc>
                <w:tcPr>
                  <w:tcW w:type="dxa" w:w="7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管理人员</w:t>
                  </w:r>
                </w:p>
              </w:tc>
              <w:tc>
                <w:tcPr>
                  <w:tcW w:type="dxa" w:w="3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负责管理工作团队，并制定每次的除</w:t>
                  </w:r>
                  <w:r>
                    <w:rPr>
                      <w:sz w:val="21"/>
                    </w:rPr>
                    <w:t>“四害”工作方案及分配工作，具有“有害生物防制员中级（或以上）资格证，有除“四害”工作管理经验。</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不少于</w:t>
                  </w:r>
                  <w:r>
                    <w:rPr>
                      <w:sz w:val="21"/>
                    </w:rPr>
                    <w:t>1人</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除</w:t>
                  </w:r>
                  <w:r>
                    <w:rPr>
                      <w:sz w:val="21"/>
                    </w:rPr>
                    <w:t>“四害”专业人员</w:t>
                  </w:r>
                </w:p>
              </w:tc>
              <w:tc>
                <w:tcPr>
                  <w:tcW w:type="dxa" w:w="3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负责主要的除</w:t>
                  </w:r>
                  <w:r>
                    <w:rPr>
                      <w:sz w:val="21"/>
                    </w:rPr>
                    <w:t>“四害”工作及技术指导，具有“有效的有害生物防制等级证书”，有除“四害”工作经验，技术熟练，政治素质良好。</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不少于</w:t>
                  </w:r>
                  <w:r>
                    <w:rPr>
                      <w:sz w:val="21"/>
                    </w:rPr>
                    <w:t>28人</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质检人员</w:t>
                  </w:r>
                </w:p>
              </w:tc>
              <w:tc>
                <w:tcPr>
                  <w:tcW w:type="dxa" w:w="3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负责日常除</w:t>
                  </w:r>
                  <w:r>
                    <w:rPr>
                      <w:sz w:val="21"/>
                    </w:rPr>
                    <w:t>“四害”自我监督巡查工作，配合采购人和质量评估单位做好监督检查，完善各项“四害”防治、监测台账资料。</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不少于</w:t>
                  </w:r>
                  <w:r>
                    <w:rPr>
                      <w:sz w:val="21"/>
                    </w:rPr>
                    <w:t>1人</w:t>
                  </w:r>
                </w:p>
              </w:tc>
            </w:tr>
          </w:tbl>
          <w:p>
            <w:pPr>
              <w:pStyle w:val="null3"/>
              <w:jc w:val="left"/>
            </w:pPr>
            <w:r>
              <w:rPr/>
              <w:t>备注：上述人员不能兼任岗位。</w:t>
            </w:r>
          </w:p>
          <w:p>
            <w:pPr>
              <w:pStyle w:val="null3"/>
              <w:ind w:firstLine="400"/>
              <w:jc w:val="left"/>
            </w:pPr>
            <w:r>
              <w:rPr/>
              <w:t>2</w:t>
            </w:r>
            <w:r>
              <w:rPr/>
              <w:t>、</w:t>
            </w:r>
            <w:r>
              <w:rPr/>
              <w:t>供应商必须按</w:t>
            </w:r>
            <w:r>
              <w:rPr/>
              <w:t>“</w:t>
            </w:r>
            <w:r>
              <w:rPr/>
              <w:t>人员基本配置要求</w:t>
            </w:r>
            <w:r>
              <w:rPr/>
              <w:t>”</w:t>
            </w:r>
            <w:r>
              <w:rPr/>
              <w:t>聘请足额工作人员，人员数量必须满足采购人的实际工作要求，人员的年龄符合法定要求并具有完全民事行为能力及身体健全，身心健康。专业技术人员必须持证上岗。</w:t>
            </w:r>
          </w:p>
          <w:p>
            <w:pPr>
              <w:pStyle w:val="null3"/>
              <w:ind w:firstLine="400"/>
              <w:jc w:val="left"/>
            </w:pPr>
            <w:r>
              <w:rPr/>
              <w:t>3</w:t>
            </w:r>
            <w:r>
              <w:rPr/>
              <w:t>、</w:t>
            </w:r>
            <w:r>
              <w:rPr/>
              <w:t>工作人员上岗前须经过培训，理论基础扎实，熟练掌握设施设备的使用方法和操作技能。</w:t>
            </w:r>
          </w:p>
          <w:p>
            <w:pPr>
              <w:pStyle w:val="null3"/>
              <w:ind w:firstLine="400"/>
              <w:jc w:val="left"/>
            </w:pPr>
            <w:r>
              <w:rPr/>
              <w:t>4</w:t>
            </w:r>
            <w:r>
              <w:rPr/>
              <w:t>、</w:t>
            </w:r>
            <w:r>
              <w:rPr/>
              <w:t>作业人员必须统一穿着经过审定的图案、色泽及格式制作的工作服，保持衣冠整洁。</w:t>
            </w:r>
          </w:p>
          <w:p>
            <w:pPr>
              <w:pStyle w:val="null3"/>
              <w:ind w:firstLine="400"/>
              <w:jc w:val="left"/>
            </w:pPr>
            <w:r>
              <w:rPr/>
              <w:t>5</w:t>
            </w:r>
            <w:r>
              <w:rPr/>
              <w:t>、</w:t>
            </w:r>
            <w:r>
              <w:rPr/>
              <w:t>作业时间内，作业人员必须遵纪守法，文明作业，不得聚堆闲聊、瞌睡、执捡收集、挪用变卖垃圾废品及从事其它与作业无关的事项。</w:t>
            </w:r>
          </w:p>
          <w:p>
            <w:pPr>
              <w:pStyle w:val="null3"/>
              <w:ind w:firstLine="400"/>
              <w:jc w:val="left"/>
            </w:pPr>
            <w:r>
              <w:rPr/>
              <w:t>6</w:t>
            </w:r>
            <w:r>
              <w:rPr/>
              <w:t>、</w:t>
            </w:r>
            <w:r>
              <w:rPr/>
              <w:t>管理人员负责服务区域巡查管理工作，并按要求做好工作安排。管理人员必须</w:t>
            </w:r>
            <w:r>
              <w:rPr/>
              <w:t>24</w:t>
            </w:r>
            <w:r>
              <w:rPr/>
              <w:t>小时保证移动电话畅通。专业人员确定后不得随意更换，更换后需提供人员的资料给采购人备案；质检人员必须做好日常除</w:t>
            </w:r>
            <w:r>
              <w:rPr/>
              <w:t>“</w:t>
            </w:r>
            <w:r>
              <w:rPr/>
              <w:t>四害</w:t>
            </w:r>
            <w:r>
              <w:rPr/>
              <w:t>”</w:t>
            </w:r>
            <w:r>
              <w:rPr/>
              <w:t>自我监督巡查工作，每季度上报监督巡查报告和监测报告等资料。</w:t>
            </w:r>
          </w:p>
          <w:p>
            <w:pPr>
              <w:pStyle w:val="null3"/>
              <w:jc w:val="both"/>
            </w:pPr>
            <w:r>
              <w:rPr>
                <w:sz w:val="21"/>
              </w:rPr>
              <w:t xml:space="preserve">       7</w:t>
            </w:r>
            <w:r>
              <w:rPr>
                <w:sz w:val="21"/>
              </w:rPr>
              <w:t>、</w:t>
            </w:r>
            <w:r>
              <w:rPr>
                <w:sz w:val="21"/>
              </w:rPr>
              <w:t>供应商必须执行国家劳动法的相关规定。</w:t>
            </w:r>
          </w:p>
        </w:tc>
      </w:tr>
      <w:tr>
        <w:tc>
          <w:tcPr>
            <w:tcW w:type="dxa" w:w="2076"/>
          </w:tcPr>
          <w:p/>
        </w:tc>
        <w:tc>
          <w:tcPr>
            <w:tcW w:type="dxa" w:w="415"/>
          </w:tcPr>
          <w:p>
            <w:pPr>
              <w:pStyle w:val="null3"/>
            </w:pPr>
            <w:r>
              <w:rPr/>
              <w:t>3</w:t>
            </w:r>
          </w:p>
        </w:tc>
        <w:tc>
          <w:tcPr>
            <w:tcW w:type="dxa" w:w="5814"/>
          </w:tcPr>
          <w:p>
            <w:pPr>
              <w:pStyle w:val="null3"/>
              <w:jc w:val="left"/>
            </w:pPr>
            <w:r>
              <w:rPr>
                <w:b/>
              </w:rPr>
              <w:t>设备配置要求：</w:t>
            </w:r>
          </w:p>
          <w:tbl>
            <w:tblPr>
              <w:tblInd w:type="dxa" w:w="135"/>
              <w:tblBorders>
                <w:top w:val="none" w:color="000000" w:sz="4"/>
                <w:left w:val="none" w:color="000000" w:sz="4"/>
                <w:bottom w:val="none" w:color="000000" w:sz="4"/>
                <w:right w:val="none" w:color="000000" w:sz="4"/>
                <w:insideH w:val="none"/>
                <w:insideV w:val="none"/>
              </w:tblBorders>
            </w:tblPr>
            <w:tblGrid>
              <w:gridCol w:w="490"/>
              <w:gridCol w:w="591"/>
              <w:gridCol w:w="3849"/>
              <w:gridCol w:w="641"/>
            </w:tblGrid>
            <w:tr>
              <w:tc>
                <w:tcPr>
                  <w:tcW w:type="dxa" w:w="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38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4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超低容量喷雾机</w:t>
                  </w:r>
                </w:p>
              </w:tc>
              <w:tc>
                <w:tcPr>
                  <w:tcW w:type="dxa" w:w="3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背负式机动型要求：雾滴直径：</w:t>
                  </w:r>
                  <w:r>
                    <w:rPr>
                      <w:sz w:val="21"/>
                    </w:rPr>
                    <w:t>5-30微米。额定流量：1-6L/分钟。水平射程：＞8米。药箱容量：≥2.5L。</w:t>
                  </w:r>
                </w:p>
              </w:tc>
              <w:tc>
                <w:tcPr>
                  <w:tcW w:type="dxa" w:w="6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总数不少于</w:t>
                  </w:r>
                  <w:r>
                    <w:rPr>
                      <w:sz w:val="21"/>
                    </w:rPr>
                    <w:t>20台</w:t>
                  </w:r>
                </w:p>
              </w:tc>
            </w:tr>
            <w:tr>
              <w:tc>
                <w:tcPr>
                  <w:tcW w:type="dxa" w:w="490"/>
                  <w:vMerge/>
                  <w:tcBorders>
                    <w:top w:val="none" w:color="000000" w:sz="4"/>
                    <w:left w:val="single" w:color="000000" w:sz="4"/>
                    <w:bottom w:val="single" w:color="000000" w:sz="4"/>
                    <w:right w:val="single" w:color="000000" w:sz="4"/>
                  </w:tcBorders>
                </w:tcPr>
                <w:p/>
              </w:tc>
              <w:tc>
                <w:tcPr>
                  <w:tcW w:type="dxa" w:w="591"/>
                  <w:vMerge/>
                  <w:tcBorders>
                    <w:top w:val="none" w:color="000000" w:sz="4"/>
                    <w:left w:val="single" w:color="000000" w:sz="4"/>
                    <w:bottom w:val="single" w:color="000000" w:sz="4"/>
                    <w:right w:val="single" w:color="000000" w:sz="4"/>
                  </w:tcBorders>
                </w:tcPr>
                <w:p/>
              </w:tc>
              <w:tc>
                <w:tcPr>
                  <w:tcW w:type="dxa" w:w="3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背负式蓄电池型要求：直流无碳刷电机，雾滴直径：</w:t>
                  </w:r>
                  <w:r>
                    <w:rPr>
                      <w:sz w:val="21"/>
                    </w:rPr>
                    <w:t>10-30微米。药液输出量ml/min:0-330连续可调。药箱容量：5L。电池：配置2块锂电池。工作时间≥120min。</w:t>
                  </w:r>
                </w:p>
              </w:tc>
              <w:tc>
                <w:tcPr>
                  <w:tcW w:type="dxa" w:w="641"/>
                  <w:vMerge/>
                  <w:tcBorders>
                    <w:top w:val="none" w:color="000000" w:sz="4"/>
                    <w:left w:val="single" w:color="000000" w:sz="4"/>
                    <w:bottom w:val="single" w:color="000000" w:sz="4"/>
                    <w:right w:val="single" w:color="000000" w:sz="4"/>
                  </w:tcBorders>
                </w:tcPr>
                <w:p/>
              </w:tc>
            </w:tr>
            <w:tr>
              <w:tc>
                <w:tcPr>
                  <w:tcW w:type="dxa" w:w="4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常量喷雾机</w:t>
                  </w:r>
                </w:p>
              </w:tc>
              <w:tc>
                <w:tcPr>
                  <w:tcW w:type="dxa" w:w="3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机动式喷雾机：雾滴直径：</w:t>
                  </w:r>
                  <w:r>
                    <w:rPr>
                      <w:sz w:val="21"/>
                    </w:rPr>
                    <w:t>≥50-200微米。水平射程＞8米。</w:t>
                  </w:r>
                </w:p>
              </w:tc>
              <w:tc>
                <w:tcPr>
                  <w:tcW w:type="dxa" w:w="6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总数不少于</w:t>
                  </w:r>
                  <w:r>
                    <w:rPr>
                      <w:sz w:val="21"/>
                    </w:rPr>
                    <w:t>30台</w:t>
                  </w:r>
                </w:p>
              </w:tc>
            </w:tr>
            <w:tr>
              <w:tc>
                <w:tcPr>
                  <w:tcW w:type="dxa" w:w="490"/>
                  <w:vMerge/>
                  <w:tcBorders>
                    <w:top w:val="none" w:color="000000" w:sz="4"/>
                    <w:left w:val="single" w:color="000000" w:sz="4"/>
                    <w:bottom w:val="single" w:color="000000" w:sz="4"/>
                    <w:right w:val="single" w:color="000000" w:sz="4"/>
                  </w:tcBorders>
                </w:tcPr>
                <w:p/>
              </w:tc>
              <w:tc>
                <w:tcPr>
                  <w:tcW w:type="dxa" w:w="591"/>
                  <w:vMerge/>
                  <w:tcBorders>
                    <w:top w:val="none" w:color="000000" w:sz="4"/>
                    <w:left w:val="single" w:color="000000" w:sz="4"/>
                    <w:bottom w:val="single" w:color="000000" w:sz="4"/>
                    <w:right w:val="single" w:color="000000" w:sz="4"/>
                  </w:tcBorders>
                </w:tcPr>
                <w:p/>
              </w:tc>
              <w:tc>
                <w:tcPr>
                  <w:tcW w:type="dxa" w:w="3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电动式喷雾机：雾滴直径：</w:t>
                  </w:r>
                  <w:r>
                    <w:rPr>
                      <w:sz w:val="21"/>
                    </w:rPr>
                    <w:t>≥50-200微米。水平射程＞6米。</w:t>
                  </w:r>
                </w:p>
              </w:tc>
              <w:tc>
                <w:tcPr>
                  <w:tcW w:type="dxa" w:w="641"/>
                  <w:vMerge/>
                  <w:tcBorders>
                    <w:top w:val="none" w:color="000000" w:sz="4"/>
                    <w:left w:val="single" w:color="000000" w:sz="4"/>
                    <w:bottom w:val="single" w:color="000000" w:sz="4"/>
                    <w:right w:val="single" w:color="000000" w:sz="4"/>
                  </w:tcBorders>
                </w:tcPr>
                <w:p/>
              </w:tc>
            </w:tr>
            <w:tr>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热烟雾机</w:t>
                  </w:r>
                </w:p>
              </w:tc>
              <w:tc>
                <w:tcPr>
                  <w:tcW w:type="dxa" w:w="3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雾滴直径：</w:t>
                  </w:r>
                  <w:r>
                    <w:rPr>
                      <w:sz w:val="21"/>
                    </w:rPr>
                    <w:t>≤5微米。药液输出量：0-42L/小时。药箱容量：5L或以上。</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不少于</w:t>
                  </w:r>
                  <w:r>
                    <w:rPr>
                      <w:sz w:val="21"/>
                    </w:rPr>
                    <w:t>15台</w:t>
                  </w:r>
                </w:p>
              </w:tc>
            </w:tr>
            <w:tr>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小型汽车</w:t>
                  </w:r>
                </w:p>
              </w:tc>
              <w:tc>
                <w:tcPr>
                  <w:tcW w:type="dxa" w:w="3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四轮或以上，总质量不超过</w:t>
                  </w:r>
                  <w:r>
                    <w:rPr>
                      <w:sz w:val="21"/>
                    </w:rPr>
                    <w:t>4500kg</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不少于</w:t>
                  </w:r>
                  <w:r>
                    <w:rPr>
                      <w:sz w:val="21"/>
                    </w:rPr>
                    <w:t>2辆</w:t>
                  </w:r>
                </w:p>
              </w:tc>
            </w:tr>
          </w:tbl>
          <w:p>
            <w:pPr>
              <w:pStyle w:val="null3"/>
              <w:jc w:val="left"/>
            </w:pPr>
            <w:r>
              <w:rPr/>
              <w:t>备注：</w:t>
            </w:r>
          </w:p>
          <w:p>
            <w:pPr>
              <w:pStyle w:val="null3"/>
              <w:ind w:firstLine="400"/>
              <w:jc w:val="left"/>
            </w:pPr>
            <w:r>
              <w:rPr/>
              <w:t>1</w:t>
            </w:r>
            <w:r>
              <w:rPr/>
              <w:t>、</w:t>
            </w:r>
            <w:r>
              <w:rPr/>
              <w:t>供应商必须承诺上述人员和设备专用于本项目，否则采购人有权终止其中标资格。</w:t>
            </w:r>
          </w:p>
          <w:p>
            <w:pPr>
              <w:pStyle w:val="null3"/>
              <w:jc w:val="both"/>
            </w:pPr>
            <w:r>
              <w:rPr>
                <w:sz w:val="21"/>
              </w:rPr>
              <w:t xml:space="preserve">      </w:t>
            </w:r>
            <w:r>
              <w:rPr/>
              <w:t xml:space="preserve"> 2、工</w:t>
            </w:r>
            <w:r>
              <w:rPr>
                <w:sz w:val="21"/>
              </w:rPr>
              <w:t>作车辆必须为四轮或以上小型汽车，日常施工可增加电动三轮车作为辅助车辆。</w:t>
            </w:r>
          </w:p>
        </w:tc>
      </w:tr>
      <w:tr>
        <w:tc>
          <w:tcPr>
            <w:tcW w:type="dxa" w:w="2076"/>
          </w:tcPr>
          <w:p/>
        </w:tc>
        <w:tc>
          <w:tcPr>
            <w:tcW w:type="dxa" w:w="415"/>
          </w:tcPr>
          <w:p>
            <w:pPr>
              <w:pStyle w:val="null3"/>
            </w:pPr>
            <w:r>
              <w:rPr/>
              <w:t>4</w:t>
            </w:r>
          </w:p>
        </w:tc>
        <w:tc>
          <w:tcPr>
            <w:tcW w:type="dxa" w:w="5814"/>
          </w:tcPr>
          <w:p>
            <w:pPr>
              <w:pStyle w:val="null3"/>
              <w:jc w:val="both"/>
            </w:pPr>
            <w:r>
              <w:rPr>
                <w:b/>
              </w:rPr>
              <w:t>设置监督机制：</w:t>
            </w:r>
          </w:p>
          <w:p>
            <w:pPr>
              <w:pStyle w:val="null3"/>
              <w:jc w:val="both"/>
            </w:pPr>
            <w:r>
              <w:rPr>
                <w:sz w:val="21"/>
              </w:rPr>
              <w:t xml:space="preserve">     采购人</w:t>
            </w:r>
            <w:r>
              <w:rPr>
                <w:sz w:val="21"/>
              </w:rPr>
              <w:t>建立由卫生健康、市场监管、综合执法、村（居）委会等多部门联合监督检查机制，定期组织开展消杀质量监督检查，内容包括药物及器械储备、药物浓度配比、施工范围等。</w:t>
            </w:r>
          </w:p>
        </w:tc>
      </w:tr>
      <w:tr>
        <w:tc>
          <w:tcPr>
            <w:tcW w:type="dxa" w:w="2076"/>
          </w:tcPr>
          <w:p/>
        </w:tc>
        <w:tc>
          <w:tcPr>
            <w:tcW w:type="dxa" w:w="415"/>
          </w:tcPr>
          <w:p>
            <w:pPr>
              <w:pStyle w:val="null3"/>
            </w:pPr>
            <w:r>
              <w:rPr/>
              <w:t>5</w:t>
            </w:r>
          </w:p>
        </w:tc>
        <w:tc>
          <w:tcPr>
            <w:tcW w:type="dxa" w:w="5814"/>
          </w:tcPr>
          <w:p>
            <w:pPr>
              <w:pStyle w:val="null3"/>
              <w:jc w:val="left"/>
            </w:pPr>
            <w:r>
              <w:rPr>
                <w:b/>
              </w:rPr>
              <w:t>应急储备：</w:t>
            </w:r>
          </w:p>
          <w:p>
            <w:pPr>
              <w:pStyle w:val="null3"/>
              <w:ind w:firstLine="400"/>
              <w:jc w:val="left"/>
            </w:pPr>
            <w:r>
              <w:rPr/>
              <w:t>1</w:t>
            </w:r>
            <w:r>
              <w:rPr/>
              <w:t>、供应商做好在发生传染病疫情或其它突发公共卫生事件等时，对辖区范围内进行病媒生物防制应急处置的专业人员队伍配置和药物、器械的贮备。</w:t>
            </w:r>
          </w:p>
          <w:p>
            <w:pPr>
              <w:pStyle w:val="null3"/>
              <w:jc w:val="both"/>
            </w:pPr>
            <w:r>
              <w:rPr/>
              <w:t xml:space="preserve">       2、供</w:t>
            </w:r>
            <w:r>
              <w:rPr>
                <w:sz w:val="21"/>
              </w:rPr>
              <w:t>应商配合病媒生物应急处置工作。在有需要时根据采购人需求，迅速开展应急处置工作，抽调足够数量专业人员队伍、药物、器械参与。</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1.采购代理机构：本项目是指广东中腾招标有限公司，负责整个采购活动的组织，依法负责编制和发布招标文件，对招标文件拥有最终的解释权，不以任何身份出任评标委员会成员。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佛山市三水区西南街道卫生健康办公室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中标金额作为招标代理服务费的计算基数。招标代理服务费收费标准按中华人民共和国国家发展计划委员会颁发的计价格[2002]1980号、国家发改委[2003]857号及发改价格[2011]534号文规定的“服务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1、投标人须按招标文件要求提交与评审标准相关的各类有效资料，如未按要求提交的，该项评分为零分。</w:t>
            </w:r>
          </w:p>
          <w:p>
            <w:pPr>
              <w:pStyle w:val="null3"/>
              <w:jc w:val="left"/>
            </w:pPr>
            <w:r>
              <w:rPr/>
              <w:t>2、合同签订时间补充说明，按照佛山市政务服务数据管理局佛山市财政局关于进一步促进公平竞争优化政府采购营商环境的通知（佛政数函〔2021〕54号），采购人在中标（成交）通知书发出之日起原则上20日内与中标（成交）供应商签订政府采购合同。</w:t>
            </w:r>
          </w:p>
          <w:p>
            <w:pPr>
              <w:pStyle w:val="null3"/>
              <w:jc w:val="left"/>
            </w:pPr>
            <w:r>
              <w:rPr/>
              <w:t>3、政府采购合同融资，是指参与政府采购的中小微企业供应商（以下简称供应商），凭借中标（成交）通知书或政府采购合同向金融机构申请融资，金融机构以供应商信用审查和政府采购信誉为基础，按便捷贷款程序和优惠利率，为其发放无财产抵押贷款的一种融资模式。</w:t>
            </w:r>
          </w:p>
          <w:p>
            <w:pPr>
              <w:pStyle w:val="null3"/>
              <w:jc w:val="left"/>
            </w:pPr>
            <w:r>
              <w:rPr/>
              <w:t>4、政府采购合同融资相关政策，《广东省财政厅广东省地方金融监督管理局中国人民银行广州分行关于开展省级政府采购合同融资工作的通知》（粤财采购〔2020〕6 号）、《佛山市政务服务数据管理局 佛山市财政局 佛山市金融工作局 中国人民银行佛山市中心支行关于支持政府采购合同融资的通知》（佛政数函〔2021〕77号）等相关文件。</w:t>
            </w:r>
          </w:p>
          <w:p>
            <w:pPr>
              <w:pStyle w:val="null3"/>
              <w:jc w:val="left"/>
            </w:pPr>
            <w:r>
              <w:rPr/>
              <w:t>5、享受扶持政策获得政府采购合同的，小微企业不得将合同分包给大中型企业，中型企业不得将合同分包给大型企业。</w:t>
            </w:r>
          </w:p>
          <w:p>
            <w:pPr>
              <w:pStyle w:val="null3"/>
              <w:jc w:val="left"/>
            </w:pPr>
            <w:r>
              <w:rPr/>
              <w:t>6、本招标文件内要求的扫描件或复印件，可以是原件的扫描件，也可以是复印件的扫描件。扫描件性质上可视为复印件。本招标文件内要求的扫描件或复印件，可以是原件的扫描件，也可以是复印件的扫描件。扫描件性质上可视为复印件。</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广东中腾招标有限公司</w:t>
      </w:r>
      <w:r>
        <w:rPr/>
        <w:t>代收。具体操作要求详见</w:t>
      </w:r>
      <w:r>
        <w:rPr/>
        <w:t>广东中腾招标有限公司</w:t>
      </w:r>
      <w:r>
        <w:rPr/>
        <w:t>有关指引，递交事宜请自行咨询</w:t>
      </w:r>
      <w:r>
        <w:rPr/>
        <w:t>广东中腾招标有限公司</w:t>
      </w:r>
      <w:r>
        <w:rPr/>
        <w:t>；请各投标人在投标文件递交截止时间前按须知前附表规定的金额递交至</w:t>
      </w:r>
      <w:r>
        <w:rPr/>
        <w:t>广东中腾招标有限公司</w:t>
      </w:r>
      <w:r>
        <w:rPr/>
        <w:t>，到账情况以开标时</w:t>
      </w:r>
      <w:r>
        <w:rPr/>
        <w:t>广东中腾招标有限公司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广东省公共资源交易平台（佛山市）（https://ygp.gdzwfw.gov.cn/ggzy-portal/#/440600/jygg）及采购代理机构网站（https://www.zhongtengzb.cn）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广东省公共资源交易平台（佛山市）（https://ygp.gdzwfw.gov.cn/ggzy-portal/#/440600/jygg）及采购代理机构网站（https://www.zhongtengzb.cn）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禤先生</w:t>
      </w:r>
    </w:p>
    <w:p>
      <w:pPr>
        <w:pStyle w:val="null3"/>
        <w:ind w:firstLine="480"/>
      </w:pPr>
      <w:r>
        <w:rPr/>
        <w:t>电话：</w:t>
      </w:r>
      <w:r>
        <w:rPr/>
        <w:t>0757-82257037</w:t>
      </w:r>
    </w:p>
    <w:p>
      <w:pPr>
        <w:pStyle w:val="null3"/>
        <w:ind w:firstLine="480"/>
      </w:pPr>
      <w:r>
        <w:rPr/>
        <w:t>传真：</w:t>
      </w:r>
      <w:r>
        <w:rPr/>
        <w:t>/</w:t>
      </w:r>
    </w:p>
    <w:p>
      <w:pPr>
        <w:pStyle w:val="null3"/>
        <w:ind w:firstLine="480"/>
      </w:pPr>
      <w:r>
        <w:rPr/>
        <w:t>邮箱：</w:t>
      </w:r>
      <w:r>
        <w:rPr/>
        <w:t>zhongtengzb@126.com</w:t>
      </w:r>
    </w:p>
    <w:p>
      <w:pPr>
        <w:pStyle w:val="null3"/>
        <w:ind w:firstLine="480"/>
      </w:pPr>
      <w:r>
        <w:rPr/>
        <w:t>地址：</w:t>
      </w:r>
      <w:r>
        <w:rPr/>
        <w:t>佛山市禅城区岭南大道北100号岭南大厦一座205</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政府采购监督管理机构名称：佛山市三水区财政局</w:t>
      </w:r>
    </w:p>
    <w:p>
      <w:pPr>
        <w:pStyle w:val="null3"/>
      </w:pPr>
      <w:r>
        <w:rPr/>
        <w:t>地 址：佛山市三水区西南街道康乐路2号</w:t>
      </w:r>
    </w:p>
    <w:p>
      <w:pPr>
        <w:pStyle w:val="null3"/>
      </w:pPr>
      <w:r>
        <w:rPr/>
        <w:t>电 话：0757-86165825</w:t>
      </w:r>
    </w:p>
    <w:p>
      <w:pPr>
        <w:pStyle w:val="null3"/>
      </w:pPr>
      <w:r>
        <w:rPr/>
        <w:t>邮 编：528100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西南街道2025年病媒生物防制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广东中腾招标有限公司</w:t>
      </w:r>
      <w:r>
        <w:rPr/>
        <w:t>统一对外发布。</w:t>
      </w:r>
    </w:p>
    <w:p>
      <w:pPr>
        <w:pStyle w:val="null3"/>
        <w:ind w:firstLine="480"/>
      </w:pPr>
      <w:r>
        <w:rPr/>
        <w:t>（2）对</w:t>
      </w:r>
      <w:r>
        <w:rPr/>
        <w:t>广东中腾招标有限公司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采购包1（西南街道2025年病媒生物防制项目）：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采购包1（西南街道2025年病媒生物防制项目）：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提交有效的营业执照（或事业法人登记证或身份证等相关证明）扫描件。【这里所指“其他组织”不包括法人的分支机构，由于法人分支机构不能独立承担民事责任，不能以分支机构的身份参加政府采购，只能以法人身份参加。】</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2025年任意1个月依法缴纳税收和社会保障资金的相关材料扫描件（如依法免税或不需要缴纳社会保障资金的，提供相应证明材料扫描件）或《政府采购供应商资格信用承诺函》扫描件（详见公告附件）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2024年度经审计的财务报告扫描件或2025年任意1个月经审计的财务报告扫描件（上述财务报告须能清晰显示第三方会计师事务所的印章，并能反映审计结论）或基本户开户银行出具的资信证明扫描件【并同时提交开户（基本户）许可证扫描件，开户（基本户）许可证已取消的，应提供能体现基本开户银行的“基本存款账户编号”的相关证明】或《政府采购供应商资格信用承诺函》（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本采购包不接受联合体投标</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供应商提供服务的人员为中小企业依照《中华人民共和国劳动合同法》订立劳动合同的从业人员。小微企业须符合本项目采购标的对应行业（其他未列明行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采购包1（西南街道2025年病媒生物防制项目）：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投标函已提交并按招标文件填写、签署、盖章。</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报价未超过本项目最高限价。</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提供《投标函》且投标有效期为从提交投标（响应）文件的截止之日起90日历天。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5</w:t>
            </w:r>
          </w:p>
        </w:tc>
        <w:tc>
          <w:tcPr>
            <w:tcW w:type="dxa" w:w="3178"/>
          </w:tcPr>
          <w:p>
            <w:pPr>
              <w:pStyle w:val="null3"/>
            </w:pPr>
            <w:r>
              <w:rPr/>
              <w:t>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其他情况</w:t>
            </w:r>
          </w:p>
        </w:tc>
        <w:tc>
          <w:tcPr>
            <w:tcW w:type="dxa" w:w="4238"/>
          </w:tcPr>
          <w:p>
            <w:pPr>
              <w:pStyle w:val="null3"/>
            </w:pPr>
            <w:r>
              <w:rPr/>
              <w:t>投标人或投标文件没有招标文件中规定的其它无效投标条款的；按有关法律、法规、规章不属于投标无效的。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采购包1(西南街道2025年病媒生物防制项目):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技术部分45.0分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项目实施的重点、难点和解决方案 (10.0分)</w:t>
            </w:r>
          </w:p>
        </w:tc>
        <w:tc>
          <w:tcPr>
            <w:tcW w:type="dxa" w:w="5076"/>
          </w:tcPr>
          <w:p>
            <w:pPr>
              <w:pStyle w:val="null3"/>
              <w:jc w:val="left"/>
            </w:pPr>
            <w:r>
              <w:rPr/>
              <w:t>根据投标人对本项目的摸底调查、实施的重点、难点和解决方案分析进行评审： 1、针对本项目摸底调查全面、深入、细致，对项目的重点难点分析透彻，得10分； 2、针对本项目摸底数据有全面的调查，对重点难点情况基本了解，得6分； 3、针对本项目摸底数据有调查，对重点难点情况有一定的了解，得3分； 4、针对本项目摸底数据有调查，但不够全面和细致，重点难点情况不太了解，得1分 5、不提供方案的不得分。</w:t>
            </w:r>
          </w:p>
        </w:tc>
      </w:tr>
      <w:tr>
        <w:tc>
          <w:tcPr>
            <w:tcW w:type="dxa" w:w="922"/>
            <w:gridSpan w:val="2"/>
            <w:vMerge/>
          </w:tcPr>
          <w:p/>
        </w:tc>
        <w:tc>
          <w:tcPr>
            <w:tcW w:type="dxa" w:w="2307"/>
          </w:tcPr>
          <w:p>
            <w:pPr>
              <w:pStyle w:val="null3"/>
              <w:jc w:val="left"/>
            </w:pPr>
            <w:r>
              <w:rPr/>
              <w:t>个性化服务 (10.0分)</w:t>
            </w:r>
          </w:p>
        </w:tc>
        <w:tc>
          <w:tcPr>
            <w:tcW w:type="dxa" w:w="5076"/>
          </w:tcPr>
          <w:p>
            <w:pPr>
              <w:pStyle w:val="null3"/>
              <w:jc w:val="left"/>
            </w:pPr>
            <w:r>
              <w:rPr/>
              <w:t>根据投标人结合本地实际情况，针对本项目提供有别于基本要求的个性化服务进行评审： 1、个性化服务详细、具体，可行性高，得10分； 2、个性化服务较详细、具体，基本具有可行性，得6分； 3、个性化服务基本具体，可行性一般，得3分； 4、个性化服务不太详细、具体，可行性较差，得1分； 5、不提供方案的不得分。</w:t>
            </w:r>
          </w:p>
        </w:tc>
      </w:tr>
      <w:tr>
        <w:tc>
          <w:tcPr>
            <w:tcW w:type="dxa" w:w="922"/>
            <w:gridSpan w:val="2"/>
            <w:vMerge/>
          </w:tcPr>
          <w:p/>
        </w:tc>
        <w:tc>
          <w:tcPr>
            <w:tcW w:type="dxa" w:w="2307"/>
          </w:tcPr>
          <w:p>
            <w:pPr>
              <w:pStyle w:val="null3"/>
              <w:jc w:val="left"/>
            </w:pPr>
            <w:r>
              <w:rPr/>
              <w:t>药物投入计划及安全保证措施 (10.0分)</w:t>
            </w:r>
          </w:p>
        </w:tc>
        <w:tc>
          <w:tcPr>
            <w:tcW w:type="dxa" w:w="5076"/>
          </w:tcPr>
          <w:p>
            <w:pPr>
              <w:pStyle w:val="null3"/>
              <w:jc w:val="left"/>
            </w:pPr>
            <w:r>
              <w:rPr/>
              <w:t>根据投标人的药物投入计划及安全保证措施进行评审： 1、药物投入计划合理完善、安全保证措施具体详细，操作性强，得10分； 2、药物投入计划较合理完善、安全保证措施较详细，操作性较强，得6分； 3、药物投入计划基本完善、具有基本的安全保证措施，操作性一般，得3分； 4、药物投入计划不够完善、安全保证措施针对性不强，操作性较差，得1分； 5、不提供方案的不得分。</w:t>
            </w:r>
          </w:p>
        </w:tc>
      </w:tr>
      <w:tr>
        <w:tc>
          <w:tcPr>
            <w:tcW w:type="dxa" w:w="922"/>
            <w:gridSpan w:val="2"/>
            <w:vMerge/>
          </w:tcPr>
          <w:p/>
        </w:tc>
        <w:tc>
          <w:tcPr>
            <w:tcW w:type="dxa" w:w="2307"/>
          </w:tcPr>
          <w:p>
            <w:pPr>
              <w:pStyle w:val="null3"/>
              <w:jc w:val="left"/>
            </w:pPr>
            <w:r>
              <w:rPr/>
              <w:t>应急方案 (10.0分)</w:t>
            </w:r>
          </w:p>
        </w:tc>
        <w:tc>
          <w:tcPr>
            <w:tcW w:type="dxa" w:w="5076"/>
          </w:tcPr>
          <w:p>
            <w:pPr>
              <w:pStyle w:val="null3"/>
              <w:jc w:val="left"/>
            </w:pPr>
            <w:r>
              <w:rPr/>
              <w:t>根据投标人针对台风、暴风等天气或重大接待任务或重大节假日、活动或四害疫情等特殊情况所制定的应急方案（包括但不限于传达机制、人员和设备调配、责任分工）进行评审： 1、应急方案非常明确、清晰，传达机制十分完善、人员和设备调配非常明确、合理，责任分工十分明确、细化，得10分； 2、应急方案较明确、清晰，传达机制较完善、人员和设备调配较明确、合理，责任分工较明确、细化，得6分； 3、应急方案基本明晰，传达机制基本完善、人员和设备调配基本合理，责任分工明确、不太细化，得3分； 4、应急方案简单，传达机制简单、人员和设备调配不太合理，责任分工不明确的，得1分； 5、不提供方案的不得分。</w:t>
            </w:r>
          </w:p>
        </w:tc>
      </w:tr>
      <w:tr>
        <w:tc>
          <w:tcPr>
            <w:tcW w:type="dxa" w:w="922"/>
            <w:gridSpan w:val="2"/>
            <w:vMerge/>
          </w:tcPr>
          <w:p/>
        </w:tc>
        <w:tc>
          <w:tcPr>
            <w:tcW w:type="dxa" w:w="2307"/>
          </w:tcPr>
          <w:p>
            <w:pPr>
              <w:pStyle w:val="null3"/>
              <w:jc w:val="left"/>
            </w:pPr>
            <w:r>
              <w:rPr/>
              <w:t>服务便捷性 (5.0分)</w:t>
            </w:r>
          </w:p>
        </w:tc>
        <w:tc>
          <w:tcPr>
            <w:tcW w:type="dxa" w:w="5076"/>
          </w:tcPr>
          <w:p>
            <w:pPr>
              <w:pStyle w:val="null3"/>
              <w:jc w:val="left"/>
            </w:pPr>
            <w:r>
              <w:rPr/>
              <w:t>根据投标人的服务响应时间、售后服务机构的设立等情况进行评审： 1、响应迅速，便捷性好，得5分； 2、响应时间基本符合文件要求，便捷性一般，得3分； 3、响应时间缓慢，便捷性较差，得1分；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管理体系认证情况 (9.0分)</w:t>
            </w:r>
          </w:p>
        </w:tc>
        <w:tc>
          <w:tcPr>
            <w:tcW w:type="dxa" w:w="5076"/>
          </w:tcPr>
          <w:p>
            <w:pPr>
              <w:pStyle w:val="null3"/>
              <w:jc w:val="left"/>
            </w:pPr>
            <w:r>
              <w:rPr/>
              <w:t>投标人具有有效的： 1、质量管理体系认证证书； 2、职业健康安全管理体系认证证书； 3、环境管理体系认证证书的； 每具备一项得3分；本项最高得9分。 须同时提供证明材料： ①相关证书复印件。 ②在中国国家认证认可监督管理委员会官方网站（www.cnca.gov.cn）查证网页截图打印件，查询状态为有效方可计分。</w:t>
            </w:r>
          </w:p>
        </w:tc>
      </w:tr>
      <w:tr>
        <w:tc>
          <w:tcPr>
            <w:tcW w:type="dxa" w:w="922"/>
            <w:gridSpan w:val="2"/>
            <w:vMerge/>
          </w:tcPr>
          <w:p/>
        </w:tc>
        <w:tc>
          <w:tcPr>
            <w:tcW w:type="dxa" w:w="2307"/>
          </w:tcPr>
          <w:p>
            <w:pPr>
              <w:pStyle w:val="null3"/>
              <w:jc w:val="left"/>
            </w:pPr>
            <w:r>
              <w:rPr/>
              <w:t>拟投入车辆情况 (10.0分)</w:t>
            </w:r>
          </w:p>
        </w:tc>
        <w:tc>
          <w:tcPr>
            <w:tcW w:type="dxa" w:w="5076"/>
          </w:tcPr>
          <w:p>
            <w:pPr>
              <w:pStyle w:val="null3"/>
              <w:jc w:val="left"/>
            </w:pPr>
            <w:r>
              <w:rPr/>
              <w:t>根据投标人在满足本项目要求的基础上（工作车辆：2辆），对增加车辆的数量进行评审： 每增加一台车辆，得5分，最高得10分。 备注： ①投标人自有车辆：同时提供有效的机动车行驶证复印件及车辆购买发票复印件（自有是指机动车行驶证上所有人及发票购买方须为投标人）。 ②投标人租赁车辆：同时提供有效的车辆租赁协议复印件及车辆出租方有效的机动车行驶证复印件（车辆租赁协议的承租方须为投标人）。 ③承诺函原件（承诺须包含合同签订之日起提供本项目需投入的车辆等内容，格式自定） ④如提供材料无法证明车辆所属关系，该项为0分。</w:t>
            </w:r>
          </w:p>
        </w:tc>
      </w:tr>
      <w:tr>
        <w:tc>
          <w:tcPr>
            <w:tcW w:type="dxa" w:w="922"/>
            <w:gridSpan w:val="2"/>
            <w:vMerge/>
          </w:tcPr>
          <w:p/>
        </w:tc>
        <w:tc>
          <w:tcPr>
            <w:tcW w:type="dxa" w:w="2307"/>
          </w:tcPr>
          <w:p>
            <w:pPr>
              <w:pStyle w:val="null3"/>
              <w:jc w:val="left"/>
            </w:pPr>
            <w:r>
              <w:rPr/>
              <w:t>拟投入设备情况 (6.0分)</w:t>
            </w:r>
          </w:p>
        </w:tc>
        <w:tc>
          <w:tcPr>
            <w:tcW w:type="dxa" w:w="5076"/>
          </w:tcPr>
          <w:p>
            <w:pPr>
              <w:pStyle w:val="null3"/>
              <w:jc w:val="left"/>
            </w:pPr>
            <w:r>
              <w:rPr/>
              <w:t>根据投标人在满足本项目设备配置要求的基础上，对增加设备的数量进行评审： 每增加一台设备，得1分，最高得6分。 备注： ① 投标人自有设备：提供设备购买发票复印件（发票购买方须为投标人）。 ② 投标人租赁设备：提供有效的设备租赁协议复印件（设备租赁协议的承租方须为投标人）。 ③ 如提供材料无法证明设备所属关系，该项为0分。</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根据投标人独立完成过合同期不少于1年的公共环境的除“四害”项目，每提供一个得2分，本项最高得10分。 须同时提供的证明材料： ① 相关合同关键页的复印件（须包括项目名称、签约时间、服务期限、服务范围、项目主要内容和双方盖章页）。 ② 用户评价复印件。</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sz w:val="54"/>
        </w:rPr>
        <w:t>佛山市政府采购项目</w:t>
      </w:r>
    </w:p>
    <w:p>
      <w:pPr>
        <w:pStyle w:val="null3"/>
        <w:spacing w:before="150" w:after="150"/>
        <w:ind w:left="0" w:right="0"/>
        <w:jc w:val="both"/>
      </w:pPr>
      <w:r>
        <w:rPr>
          <w:sz w:val="27"/>
          <w:color w:val="222222"/>
        </w:rPr>
        <w:t xml:space="preserve"> </w:t>
      </w:r>
    </w:p>
    <w:p>
      <w:pPr>
        <w:pStyle w:val="null3"/>
        <w:spacing w:before="150" w:after="150"/>
        <w:ind w:left="0" w:right="0"/>
        <w:jc w:val="both"/>
      </w:pPr>
      <w:r>
        <w:rPr/>
        <w:t xml:space="preserve"> </w:t>
      </w:r>
    </w:p>
    <w:p>
      <w:pPr>
        <w:pStyle w:val="null3"/>
        <w:spacing w:before="150" w:after="150"/>
        <w:ind w:left="0" w:right="0"/>
        <w:jc w:val="both"/>
      </w:pPr>
      <w:r>
        <w:rPr/>
        <w:t xml:space="preserve"> </w:t>
      </w:r>
    </w:p>
    <w:p>
      <w:pPr>
        <w:pStyle w:val="null3"/>
        <w:spacing w:before="0" w:after="0"/>
        <w:ind w:left="0" w:right="0"/>
        <w:jc w:val="center"/>
      </w:pPr>
      <w:r>
        <w:rPr>
          <w:sz w:val="54"/>
        </w:rPr>
        <w:t>合同书</w:t>
      </w:r>
    </w:p>
    <w:p>
      <w:pPr>
        <w:pStyle w:val="null3"/>
        <w:spacing w:before="0" w:after="0"/>
        <w:ind w:left="0" w:right="0"/>
        <w:jc w:val="center"/>
      </w:pPr>
      <w:r>
        <w:br/>
      </w:r>
      <w:r>
        <w:br/>
      </w:r>
      <w:r>
        <w:br/>
      </w:r>
      <w:r>
        <w:br/>
      </w:r>
      <w:r>
        <w:br/>
      </w:r>
      <w:r>
        <w:br/>
      </w:r>
      <w:r>
        <w:br/>
      </w:r>
      <w:r>
        <w:rPr/>
        <w:t xml:space="preserve">  </w:t>
      </w:r>
    </w:p>
    <w:p>
      <w:pPr>
        <w:pStyle w:val="null3"/>
        <w:spacing w:before="0" w:after="0"/>
        <w:ind w:left="0" w:right="0"/>
      </w:pPr>
      <w:r>
        <w:rPr>
          <w:sz w:val="28"/>
        </w:rPr>
        <w:t xml:space="preserve">                          项目编号：</w:t>
      </w:r>
      <w:r>
        <w:rPr>
          <w:sz w:val="28"/>
        </w:rPr>
        <w:t>ZT(SS04)2025</w:t>
      </w:r>
    </w:p>
    <w:p>
      <w:pPr>
        <w:pStyle w:val="null3"/>
        <w:spacing w:before="150" w:after="150"/>
        <w:ind w:left="0" w:right="0"/>
        <w:jc w:val="both"/>
      </w:pPr>
      <w:r>
        <w:rPr>
          <w:sz w:val="27"/>
          <w:color w:val="222222"/>
        </w:rPr>
        <w:t xml:space="preserve">                           </w:t>
      </w:r>
      <w:r>
        <w:rPr>
          <w:sz w:val="28"/>
          <w:color w:val="222222"/>
        </w:rPr>
        <w:t>项目名称：</w:t>
      </w:r>
      <w:r>
        <w:rPr>
          <w:sz w:val="28"/>
          <w:color w:val="222222"/>
        </w:rPr>
        <w:t>西南街道</w:t>
      </w:r>
      <w:r>
        <w:rPr>
          <w:sz w:val="28"/>
          <w:color w:val="222222"/>
        </w:rPr>
        <w:t>2025</w:t>
      </w:r>
      <w:r>
        <w:rPr>
          <w:sz w:val="28"/>
          <w:color w:val="222222"/>
        </w:rPr>
        <w:t>年病媒生物防制项目</w:t>
      </w:r>
    </w:p>
    <w:p>
      <w:pPr>
        <w:pStyle w:val="null3"/>
        <w:spacing w:before="150" w:after="150"/>
        <w:ind w:left="0" w:right="0"/>
        <w:jc w:val="both"/>
      </w:pPr>
      <w:r>
        <w:rPr>
          <w:sz w:val="27"/>
          <w:color w:val="222222"/>
        </w:rPr>
        <w:t xml:space="preserve"> </w:t>
      </w:r>
    </w:p>
    <w:p>
      <w:pPr>
        <w:pStyle w:val="null3"/>
        <w:spacing w:before="0" w:after="0"/>
        <w:ind w:left="0" w:right="0"/>
      </w:pPr>
      <w:r>
        <w:rPr>
          <w:sz w:val="28"/>
        </w:rPr>
        <w:t xml:space="preserve">                         甲</w:t>
      </w:r>
      <w:r>
        <w:rPr>
          <w:sz w:val="21"/>
        </w:rPr>
        <w:t xml:space="preserve">         </w:t>
      </w:r>
      <w:r>
        <w:rPr>
          <w:sz w:val="28"/>
        </w:rPr>
        <w:t>方：</w:t>
      </w:r>
      <w:r>
        <w:rPr>
          <w:sz w:val="28"/>
          <w:u w:val="single"/>
        </w:rPr>
        <w:t>佛山市三水区西南街道卫生健康办公室</w:t>
      </w:r>
    </w:p>
    <w:p>
      <w:pPr>
        <w:pStyle w:val="null3"/>
        <w:spacing w:before="0" w:after="0"/>
        <w:ind w:left="0" w:right="0"/>
        <w:jc w:val="center"/>
      </w:pPr>
      <w:r>
        <w:rPr/>
        <w:t xml:space="preserve"> </w:t>
      </w:r>
    </w:p>
    <w:p>
      <w:pPr>
        <w:pStyle w:val="null3"/>
        <w:spacing w:before="0" w:after="0"/>
        <w:ind w:left="0" w:right="0"/>
      </w:pPr>
      <w:r>
        <w:rPr/>
        <w:t xml:space="preserve">                                     </w:t>
      </w:r>
      <w:r>
        <w:rPr>
          <w:sz w:val="28"/>
        </w:rPr>
        <w:t>乙</w:t>
      </w:r>
      <w:r>
        <w:rPr>
          <w:sz w:val="28"/>
        </w:rPr>
        <w:t xml:space="preserve">       </w:t>
      </w:r>
      <w:r>
        <w:rPr>
          <w:sz w:val="28"/>
        </w:rPr>
        <w:t>方：</w:t>
      </w:r>
      <w:r>
        <w:rPr>
          <w:sz w:val="28"/>
          <w:u w:val="single"/>
        </w:rPr>
        <w:t xml:space="preserve">  </w:t>
      </w:r>
      <w:r>
        <w:rPr>
          <w:sz w:val="28"/>
          <w:u w:val="single"/>
        </w:rPr>
        <w:t>（中标供应商名称）</w:t>
      </w:r>
      <w:r>
        <w:rPr>
          <w:sz w:val="28"/>
          <w:u w:val="single"/>
        </w:rPr>
        <w:t xml:space="preserve">     </w:t>
      </w:r>
    </w:p>
    <w:p>
      <w:pPr>
        <w:pStyle w:val="null3"/>
        <w:spacing w:before="0" w:after="0"/>
        <w:ind w:left="0" w:right="0"/>
        <w:jc w:val="center"/>
      </w:pPr>
      <w:r>
        <w:rPr/>
        <w:t xml:space="preserve"> </w:t>
      </w:r>
    </w:p>
    <w:p>
      <w:pPr>
        <w:pStyle w:val="null3"/>
        <w:spacing w:before="0" w:after="0"/>
        <w:ind w:left="0" w:right="0"/>
      </w:pPr>
      <w:r>
        <w:rPr>
          <w:sz w:val="28"/>
        </w:rPr>
        <w:t xml:space="preserve">                          签</w:t>
      </w:r>
      <w:r>
        <w:rPr>
          <w:sz w:val="21"/>
        </w:rPr>
        <w:t xml:space="preserve"> </w:t>
      </w:r>
      <w:r>
        <w:rPr>
          <w:sz w:val="28"/>
        </w:rPr>
        <w:t>订</w:t>
      </w:r>
      <w:r>
        <w:rPr>
          <w:sz w:val="21"/>
        </w:rPr>
        <w:t xml:space="preserve"> </w:t>
      </w:r>
      <w:r>
        <w:rPr>
          <w:sz w:val="28"/>
        </w:rPr>
        <w:t>日</w:t>
      </w:r>
      <w:r>
        <w:rPr>
          <w:sz w:val="21"/>
        </w:rPr>
        <w:t xml:space="preserve"> </w:t>
      </w:r>
      <w:r>
        <w:rPr>
          <w:sz w:val="28"/>
        </w:rPr>
        <w:t>期：</w:t>
      </w:r>
      <w:r>
        <w:rPr>
          <w:sz w:val="21"/>
          <w:u w:val="single"/>
        </w:rPr>
        <w:t xml:space="preserve">       </w:t>
      </w:r>
      <w:r>
        <w:rPr>
          <w:sz w:val="28"/>
          <w:u w:val="single"/>
        </w:rPr>
        <w:t>年</w:t>
      </w:r>
      <w:r>
        <w:rPr>
          <w:sz w:val="21"/>
          <w:u w:val="single"/>
        </w:rPr>
        <w:t xml:space="preserve">   </w:t>
      </w:r>
      <w:r>
        <w:rPr>
          <w:sz w:val="28"/>
          <w:u w:val="single"/>
        </w:rPr>
        <w:t>月</w:t>
      </w:r>
      <w:r>
        <w:rPr>
          <w:sz w:val="21"/>
          <w:u w:val="single"/>
        </w:rPr>
        <w:t xml:space="preserve">    </w:t>
      </w:r>
      <w:r>
        <w:rPr>
          <w:sz w:val="28"/>
          <w:u w:val="single"/>
        </w:rPr>
        <w:t>日</w:t>
      </w:r>
      <w:r>
        <w:rPr>
          <w:sz w:val="28"/>
          <w:u w:val="single"/>
        </w:rPr>
        <w:t xml:space="preserve">    </w:t>
      </w:r>
    </w:p>
    <w:p>
      <w:pPr>
        <w:pStyle w:val="null3"/>
        <w:spacing w:before="0" w:after="0"/>
        <w:ind w:left="0" w:right="0"/>
      </w:pPr>
      <w:r>
        <w:rPr>
          <w:sz w:val="27"/>
          <w:color w:val="222222"/>
        </w:rPr>
        <w:t xml:space="preserve"> </w:t>
      </w:r>
    </w:p>
    <w:p>
      <w:pPr>
        <w:pStyle w:val="null3"/>
        <w:spacing w:before="0" w:after="0"/>
        <w:ind w:left="0" w:right="0"/>
        <w:jc w:val="center"/>
      </w:pPr>
      <w:r>
        <w:rPr>
          <w:sz w:val="27"/>
          <w:color w:val="222222"/>
        </w:rPr>
        <w:t xml:space="preserve"> </w:t>
      </w:r>
      <w:r>
        <w:rPr>
          <w:sz w:val="21"/>
          <w:color w:val="222222"/>
        </w:rPr>
        <w:t>注：本合同仅为合同的参考文本，可根据项目的具体要求进行修订。</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center"/>
      </w:pPr>
      <w:r>
        <w:br/>
      </w:r>
      <w:r>
        <w:rPr>
          <w:sz w:val="27"/>
          <w:color w:val="222222"/>
        </w:rPr>
        <w:t xml:space="preserve"> </w:t>
      </w:r>
      <w:r>
        <w:rPr>
          <w:sz w:val="44"/>
          <w:b/>
          <w:color w:val="222222"/>
        </w:rPr>
        <w:t>佛山市政府采购项目合同书</w:t>
      </w:r>
    </w:p>
    <w:p>
      <w:pPr>
        <w:pStyle w:val="null3"/>
        <w:spacing w:before="0" w:after="0"/>
        <w:ind w:left="0" w:right="0"/>
        <w:jc w:val="center"/>
      </w:pPr>
      <w:r>
        <w:rPr/>
        <w:t xml:space="preserve"> </w:t>
      </w:r>
    </w:p>
    <w:p>
      <w:pPr>
        <w:pStyle w:val="null3"/>
        <w:jc w:val="both"/>
      </w:pPr>
      <w:r>
        <w:rPr>
          <w:sz w:val="24"/>
        </w:rPr>
        <w:t>项目名称：</w:t>
      </w:r>
      <w:r>
        <w:rPr>
          <w:sz w:val="24"/>
          <w:u w:val="single"/>
        </w:rPr>
        <w:t>西南街道</w:t>
      </w:r>
      <w:r>
        <w:rPr>
          <w:sz w:val="24"/>
          <w:u w:val="single"/>
        </w:rPr>
        <w:t>2025</w:t>
      </w:r>
      <w:r>
        <w:rPr>
          <w:sz w:val="24"/>
          <w:u w:val="single"/>
        </w:rPr>
        <w:t>年病媒生物防制项目</w:t>
      </w:r>
    </w:p>
    <w:p>
      <w:pPr>
        <w:pStyle w:val="null3"/>
        <w:jc w:val="both"/>
      </w:pPr>
      <w:r>
        <w:rPr>
          <w:sz w:val="24"/>
        </w:rPr>
        <w:t>项目编号：</w:t>
      </w:r>
      <w:r>
        <w:rPr>
          <w:sz w:val="24"/>
          <w:u w:val="single"/>
        </w:rPr>
        <w:t>ZT(SS04)2025</w:t>
      </w:r>
    </w:p>
    <w:p>
      <w:pPr>
        <w:pStyle w:val="null3"/>
        <w:jc w:val="both"/>
      </w:pPr>
      <w:r>
        <w:rPr>
          <w:sz w:val="24"/>
        </w:rPr>
        <w:t>甲</w:t>
      </w:r>
      <w:r>
        <w:rPr>
          <w:sz w:val="24"/>
        </w:rPr>
        <w:t xml:space="preserve">  </w:t>
      </w:r>
      <w:r>
        <w:rPr>
          <w:sz w:val="24"/>
        </w:rPr>
        <w:t>方：</w:t>
      </w:r>
      <w:r>
        <w:rPr>
          <w:sz w:val="24"/>
          <w:u w:val="single"/>
        </w:rPr>
        <w:t>佛山市三水区西南街道卫生健康办公室</w:t>
      </w:r>
    </w:p>
    <w:p>
      <w:pPr>
        <w:pStyle w:val="null3"/>
        <w:jc w:val="both"/>
      </w:pPr>
      <w:r>
        <w:rPr>
          <w:sz w:val="24"/>
        </w:rPr>
        <w:t>乙</w:t>
      </w:r>
      <w:r>
        <w:rPr>
          <w:sz w:val="24"/>
        </w:rPr>
        <w:t xml:space="preserve">  </w:t>
      </w:r>
      <w:r>
        <w:rPr>
          <w:sz w:val="24"/>
        </w:rPr>
        <w:t>方：</w:t>
      </w:r>
      <w:r>
        <w:rPr>
          <w:sz w:val="24"/>
          <w:u w:val="single"/>
        </w:rPr>
        <w:t>（中标供应商）</w:t>
      </w:r>
    </w:p>
    <w:p>
      <w:pPr>
        <w:pStyle w:val="null3"/>
        <w:spacing w:before="150" w:after="150"/>
        <w:ind w:left="0" w:right="0"/>
        <w:jc w:val="both"/>
      </w:pPr>
      <w:r>
        <w:rPr>
          <w:sz w:val="27"/>
          <w:color w:val="222222"/>
        </w:rPr>
        <w:t xml:space="preserve"> </w:t>
      </w:r>
    </w:p>
    <w:p>
      <w:pPr>
        <w:pStyle w:val="null3"/>
        <w:ind w:firstLine="480"/>
        <w:jc w:val="both"/>
      </w:pPr>
      <w:r>
        <w:rPr>
          <w:sz w:val="24"/>
        </w:rPr>
        <w:t>根据《中华人民共和国政府采购法》《中华人民共和国民法典》和本项目采购文件的要求，经双方协商，本着平等互利和诚实信用的原则，一致同意签订本合同如下。</w:t>
      </w:r>
    </w:p>
    <w:p>
      <w:pPr>
        <w:pStyle w:val="null3"/>
        <w:jc w:val="both"/>
      </w:pPr>
      <w:r>
        <w:rPr>
          <w:sz w:val="24"/>
          <w:b/>
        </w:rPr>
        <w:t>一、</w:t>
      </w:r>
      <w:r>
        <w:rPr>
          <w:sz w:val="24"/>
          <w:b/>
        </w:rPr>
        <w:t>项目概况</w:t>
      </w:r>
    </w:p>
    <w:p>
      <w:pPr>
        <w:pStyle w:val="null3"/>
        <w:jc w:val="both"/>
      </w:pPr>
      <w:r>
        <w:rPr>
          <w:sz w:val="24"/>
          <w:b/>
        </w:rPr>
        <w:t>二、服务清单：</w:t>
      </w:r>
      <w:r>
        <w:rPr>
          <w:sz w:val="24"/>
        </w:rPr>
        <w:t>见附件一《报价清单明细表》。</w:t>
      </w:r>
    </w:p>
    <w:p>
      <w:pPr>
        <w:pStyle w:val="null3"/>
        <w:jc w:val="both"/>
      </w:pPr>
      <w:r>
        <w:rPr>
          <w:sz w:val="24"/>
          <w:b/>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846"/>
        <w:gridCol w:w="1389"/>
        <w:gridCol w:w="6071"/>
      </w:tblGrid>
      <w:tr>
        <w:tc>
          <w:tcPr>
            <w:tcW w:type="dxa" w:w="8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3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合同条款</w:t>
            </w:r>
          </w:p>
        </w:tc>
        <w:tc>
          <w:tcPr>
            <w:tcW w:type="dxa" w:w="60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b/>
              </w:rPr>
              <w:t>内容</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合同总额</w:t>
            </w:r>
          </w:p>
        </w:tc>
        <w:tc>
          <w:tcPr>
            <w:tcW w:type="dxa" w:w="6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人民币小写：</w:t>
            </w:r>
            <w:r>
              <w:rPr>
                <w:sz w:val="19"/>
                <w:u w:val="single"/>
              </w:rPr>
              <w:t xml:space="preserve">                                                       </w:t>
            </w:r>
            <w:r>
              <w:rPr>
                <w:sz w:val="19"/>
              </w:rPr>
              <w:t xml:space="preserve">   </w:t>
            </w:r>
          </w:p>
          <w:p>
            <w:pPr>
              <w:pStyle w:val="null3"/>
              <w:jc w:val="both"/>
            </w:pPr>
            <w:r>
              <w:rPr>
                <w:sz w:val="24"/>
              </w:rPr>
              <w:t>大写：</w:t>
            </w:r>
            <w:r>
              <w:rPr>
                <w:sz w:val="19"/>
                <w:u w:val="single"/>
              </w:rPr>
              <w:t xml:space="preserve">                                                                 </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合同总额内容</w:t>
            </w:r>
          </w:p>
        </w:tc>
        <w:tc>
          <w:tcPr>
            <w:tcW w:type="dxa" w:w="6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报价须包工、包料、包质量、包安全、包文明作业的方式承包管理；所有病媒生物防制专业队人员的医疗、养老、工伤、失业保险及一切劳工关系的经济纠纷、法律责任、全额含税发票及合同实施过程中的不可预见费用等均由</w:t>
            </w:r>
            <w:r>
              <w:rPr>
                <w:sz w:val="24"/>
              </w:rPr>
              <w:t>乙方</w:t>
            </w:r>
            <w:r>
              <w:rPr>
                <w:sz w:val="24"/>
              </w:rPr>
              <w:t>负责</w:t>
            </w:r>
            <w:r>
              <w:rPr>
                <w:sz w:val="24"/>
              </w:rPr>
              <w:t>。</w:t>
            </w:r>
          </w:p>
          <w:p>
            <w:pPr>
              <w:pStyle w:val="null3"/>
              <w:jc w:val="both"/>
            </w:pPr>
            <w:r>
              <w:rPr>
                <w:sz w:val="24"/>
              </w:rPr>
              <w:t>2.乙方</w:t>
            </w:r>
            <w:r>
              <w:rPr>
                <w:sz w:val="24"/>
              </w:rPr>
              <w:t>在合同履行过程中，出现任何遗漏内容需产生额外费用，均由</w:t>
            </w:r>
            <w:r>
              <w:rPr>
                <w:sz w:val="24"/>
              </w:rPr>
              <w:t>乙方</w:t>
            </w:r>
            <w:r>
              <w:rPr>
                <w:sz w:val="24"/>
              </w:rPr>
              <w:t>承担，</w:t>
            </w:r>
            <w:r>
              <w:rPr>
                <w:sz w:val="24"/>
              </w:rPr>
              <w:t>甲方</w:t>
            </w:r>
            <w:r>
              <w:rPr>
                <w:sz w:val="24"/>
              </w:rPr>
              <w:t>将不再支付任何费用，在服务期限内</w:t>
            </w:r>
            <w:r>
              <w:rPr>
                <w:sz w:val="24"/>
              </w:rPr>
              <w:t>合同</w:t>
            </w:r>
            <w:r>
              <w:rPr>
                <w:sz w:val="24"/>
              </w:rPr>
              <w:t>结算金额不得因任何因素上调</w:t>
            </w:r>
            <w:r>
              <w:rPr>
                <w:sz w:val="24"/>
              </w:rPr>
              <w:t>。</w:t>
            </w:r>
          </w:p>
          <w:p>
            <w:pPr>
              <w:pStyle w:val="null3"/>
              <w:jc w:val="both"/>
            </w:pPr>
            <w:r>
              <w:rPr>
                <w:sz w:val="24"/>
              </w:rPr>
              <w:t>3.</w:t>
            </w:r>
            <w:r>
              <w:rPr>
                <w:sz w:val="24"/>
              </w:rPr>
              <w:t>价格为固定不变价。</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项目服务地点</w:t>
            </w:r>
          </w:p>
        </w:tc>
        <w:tc>
          <w:tcPr>
            <w:tcW w:type="dxa" w:w="6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甲方（用户）指定地点。</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服务期</w:t>
            </w:r>
          </w:p>
        </w:tc>
        <w:tc>
          <w:tcPr>
            <w:tcW w:type="dxa" w:w="6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自合同签订之日起</w:t>
            </w:r>
            <w:r>
              <w:rPr>
                <w:sz w:val="24"/>
              </w:rPr>
              <w:t>12</w:t>
            </w:r>
            <w:r>
              <w:rPr>
                <w:sz w:val="24"/>
              </w:rPr>
              <w:t>个月</w:t>
            </w:r>
            <w:r>
              <w:rPr>
                <w:sz w:val="24"/>
              </w:rPr>
              <w:t>（即</w:t>
            </w:r>
            <w:r>
              <w:rPr>
                <w:sz w:val="24"/>
              </w:rPr>
              <w:t>2025</w:t>
            </w:r>
            <w:r>
              <w:rPr>
                <w:sz w:val="24"/>
              </w:rPr>
              <w:t>年</w:t>
            </w:r>
            <w:r>
              <w:rPr>
                <w:sz w:val="24"/>
              </w:rPr>
              <w:t xml:space="preserve">  </w:t>
            </w:r>
            <w:r>
              <w:rPr>
                <w:sz w:val="24"/>
              </w:rPr>
              <w:t>月</w:t>
            </w:r>
            <w:r>
              <w:rPr>
                <w:sz w:val="24"/>
              </w:rPr>
              <w:t xml:space="preserve">  </w:t>
            </w:r>
            <w:r>
              <w:rPr>
                <w:sz w:val="24"/>
              </w:rPr>
              <w:t>日至</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合同签订方式及情况</w:t>
            </w:r>
          </w:p>
        </w:tc>
        <w:tc>
          <w:tcPr>
            <w:tcW w:type="dxa" w:w="6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7"/>
              </w:rPr>
              <w:t>▢</w:t>
            </w:r>
            <w:r>
              <w:rPr>
                <w:sz w:val="24"/>
              </w:rPr>
              <w:t>一次性签订本项目采购合同。</w:t>
            </w:r>
          </w:p>
          <w:p>
            <w:pPr>
              <w:pStyle w:val="null3"/>
            </w:pPr>
            <w:r>
              <w:rPr>
                <w:sz w:val="27"/>
              </w:rPr>
              <w:t>▢</w:t>
            </w:r>
            <w:r>
              <w:rPr>
                <w:sz w:val="24"/>
              </w:rPr>
              <w:t>本项目分</w:t>
            </w:r>
            <w:r>
              <w:rPr>
                <w:sz w:val="19"/>
                <w:u w:val="single"/>
              </w:rPr>
              <w:t xml:space="preserve">   </w:t>
            </w:r>
            <w:r>
              <w:rPr>
                <w:sz w:val="24"/>
              </w:rPr>
              <w:t>次签订合同，每次合同服务期为一年。本次情况如下：</w:t>
            </w:r>
          </w:p>
          <w:p>
            <w:pPr>
              <w:pStyle w:val="null3"/>
            </w:pPr>
            <w:r>
              <w:rPr>
                <w:sz w:val="24"/>
              </w:rPr>
              <w:t>（</w:t>
            </w:r>
            <w:r>
              <w:rPr>
                <w:sz w:val="24"/>
              </w:rPr>
              <w:t>1</w:t>
            </w:r>
            <w:r>
              <w:rPr>
                <w:sz w:val="24"/>
              </w:rPr>
              <w:t>）本次签订为第</w:t>
            </w:r>
            <w:r>
              <w:rPr>
                <w:sz w:val="19"/>
                <w:u w:val="single"/>
              </w:rPr>
              <w:t xml:space="preserve">   </w:t>
            </w:r>
            <w:r>
              <w:rPr>
                <w:sz w:val="24"/>
              </w:rPr>
              <w:t>次；</w:t>
            </w:r>
          </w:p>
          <w:p>
            <w:pPr>
              <w:pStyle w:val="null3"/>
            </w:pPr>
            <w:r>
              <w:rPr>
                <w:sz w:val="24"/>
              </w:rPr>
              <w:t>（</w:t>
            </w:r>
            <w:r>
              <w:rPr>
                <w:sz w:val="24"/>
              </w:rPr>
              <w:t>2</w:t>
            </w:r>
            <w:r>
              <w:rPr>
                <w:sz w:val="24"/>
              </w:rPr>
              <w:t>）本次合同金额为（大写）：</w:t>
            </w:r>
            <w:r>
              <w:rPr>
                <w:sz w:val="19"/>
                <w:u w:val="single"/>
              </w:rPr>
              <w:t xml:space="preserve">       </w:t>
            </w:r>
            <w:r>
              <w:rPr>
                <w:sz w:val="24"/>
              </w:rPr>
              <w:t>元，</w:t>
            </w:r>
            <w:r>
              <w:rPr>
                <w:sz w:val="24"/>
                <w:u w:val="single"/>
              </w:rPr>
              <w:t>（￥</w:t>
            </w:r>
            <w:r>
              <w:rPr>
                <w:sz w:val="24"/>
                <w:u w:val="single"/>
              </w:rPr>
              <w:t xml:space="preserve">        </w:t>
            </w:r>
            <w:r>
              <w:rPr>
                <w:sz w:val="24"/>
                <w:u w:val="single"/>
              </w:rPr>
              <w:t>元）；</w:t>
            </w:r>
          </w:p>
          <w:p>
            <w:pPr>
              <w:pStyle w:val="null3"/>
            </w:pPr>
            <w:r>
              <w:rPr>
                <w:sz w:val="24"/>
              </w:rPr>
              <w:t>（</w:t>
            </w:r>
            <w:r>
              <w:rPr>
                <w:sz w:val="24"/>
              </w:rPr>
              <w:t>3</w:t>
            </w:r>
            <w:r>
              <w:rPr>
                <w:sz w:val="24"/>
              </w:rPr>
              <w:t>）本次服务期起止时间：</w:t>
            </w:r>
            <w:r>
              <w:rPr>
                <w:sz w:val="19"/>
                <w:u w:val="single"/>
              </w:rPr>
              <w:t xml:space="preserve">   </w:t>
            </w:r>
            <w:r>
              <w:rPr>
                <w:sz w:val="24"/>
              </w:rPr>
              <w:t>年</w:t>
            </w:r>
            <w:r>
              <w:rPr>
                <w:sz w:val="19"/>
                <w:u w:val="single"/>
              </w:rPr>
              <w:t xml:space="preserve">   </w:t>
            </w:r>
            <w:r>
              <w:rPr>
                <w:sz w:val="24"/>
              </w:rPr>
              <w:t>月</w:t>
            </w:r>
            <w:r>
              <w:rPr>
                <w:sz w:val="19"/>
                <w:u w:val="single"/>
              </w:rPr>
              <w:t xml:space="preserve">   </w:t>
            </w:r>
            <w:r>
              <w:rPr>
                <w:sz w:val="24"/>
              </w:rPr>
              <w:t>日至</w:t>
            </w:r>
            <w:r>
              <w:rPr>
                <w:sz w:val="19"/>
                <w:u w:val="single"/>
              </w:rPr>
              <w:t xml:space="preserve">    </w:t>
            </w:r>
            <w:r>
              <w:rPr>
                <w:sz w:val="24"/>
              </w:rPr>
              <w:t>年</w:t>
            </w:r>
            <w:r>
              <w:rPr>
                <w:sz w:val="19"/>
                <w:u w:val="single"/>
              </w:rPr>
              <w:t xml:space="preserve">  </w:t>
            </w:r>
            <w:r>
              <w:rPr>
                <w:sz w:val="24"/>
              </w:rPr>
              <w:t>月</w:t>
            </w:r>
            <w:r>
              <w:rPr>
                <w:sz w:val="19"/>
                <w:u w:val="single"/>
              </w:rPr>
              <w:t xml:space="preserve">  </w:t>
            </w:r>
            <w:r>
              <w:rPr>
                <w:sz w:val="24"/>
              </w:rPr>
              <w:t>日</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付款方式</w:t>
            </w:r>
          </w:p>
        </w:tc>
        <w:tc>
          <w:tcPr>
            <w:tcW w:type="dxa" w:w="6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r>
              <w:rPr>
                <w:sz w:val="24"/>
              </w:rPr>
              <w:t>、</w:t>
            </w:r>
            <w:r>
              <w:rPr>
                <w:sz w:val="24"/>
              </w:rPr>
              <w:t>本项目的服务费，根据</w:t>
            </w:r>
            <w:r>
              <w:rPr>
                <w:sz w:val="24"/>
              </w:rPr>
              <w:t>合同</w:t>
            </w:r>
            <w:r>
              <w:rPr>
                <w:sz w:val="24"/>
              </w:rPr>
              <w:t>金额每</w:t>
            </w:r>
            <w:r>
              <w:rPr>
                <w:sz w:val="24"/>
              </w:rPr>
              <w:t>六个月</w:t>
            </w:r>
            <w:r>
              <w:rPr>
                <w:sz w:val="24"/>
              </w:rPr>
              <w:t>结算一次。</w:t>
            </w:r>
          </w:p>
          <w:p>
            <w:pPr>
              <w:pStyle w:val="null3"/>
              <w:jc w:val="both"/>
            </w:pPr>
            <w:r>
              <w:rPr>
                <w:sz w:val="24"/>
              </w:rPr>
              <w:t>2</w:t>
            </w:r>
            <w:r>
              <w:rPr>
                <w:sz w:val="24"/>
              </w:rPr>
              <w:t>、</w:t>
            </w:r>
            <w:r>
              <w:rPr>
                <w:sz w:val="24"/>
              </w:rPr>
              <w:t>甲方</w:t>
            </w:r>
            <w:r>
              <w:rPr>
                <w:sz w:val="24"/>
              </w:rPr>
              <w:t>每</w:t>
            </w:r>
            <w:r>
              <w:rPr>
                <w:sz w:val="24"/>
              </w:rPr>
              <w:t>六个月</w:t>
            </w:r>
            <w:r>
              <w:rPr>
                <w:sz w:val="24"/>
              </w:rPr>
              <w:t>对</w:t>
            </w:r>
            <w:r>
              <w:rPr>
                <w:sz w:val="24"/>
              </w:rPr>
              <w:t>乙方</w:t>
            </w:r>
            <w:r>
              <w:rPr>
                <w:sz w:val="24"/>
              </w:rPr>
              <w:t>进行考核。成绩为四个等次：优秀（</w:t>
            </w:r>
            <w:r>
              <w:rPr>
                <w:sz w:val="24"/>
              </w:rPr>
              <w:t>90-100</w:t>
            </w:r>
            <w:r>
              <w:rPr>
                <w:sz w:val="24"/>
              </w:rPr>
              <w:t>分）、良好（</w:t>
            </w:r>
            <w:r>
              <w:rPr>
                <w:sz w:val="24"/>
              </w:rPr>
              <w:t>80-90</w:t>
            </w:r>
            <w:r>
              <w:rPr>
                <w:sz w:val="24"/>
              </w:rPr>
              <w:t>分）、及格（</w:t>
            </w:r>
            <w:r>
              <w:rPr>
                <w:sz w:val="24"/>
              </w:rPr>
              <w:t>70-80</w:t>
            </w:r>
            <w:r>
              <w:rPr>
                <w:sz w:val="24"/>
              </w:rPr>
              <w:t>分）和不及格（</w:t>
            </w:r>
            <w:r>
              <w:rPr>
                <w:sz w:val="24"/>
              </w:rPr>
              <w:t>70</w:t>
            </w:r>
            <w:r>
              <w:rPr>
                <w:sz w:val="24"/>
              </w:rPr>
              <w:t>分以下），结合考核的情况按比例进行支付：</w:t>
            </w:r>
          </w:p>
          <w:p>
            <w:pPr>
              <w:pStyle w:val="null3"/>
              <w:jc w:val="both"/>
            </w:pPr>
            <w:r>
              <w:rPr>
                <w:sz w:val="24"/>
              </w:rPr>
              <w:t>2.1</w:t>
            </w:r>
            <w:r>
              <w:rPr>
                <w:sz w:val="24"/>
              </w:rPr>
              <w:t>综合考评为优秀，全额支付</w:t>
            </w:r>
            <w:r>
              <w:rPr>
                <w:sz w:val="24"/>
              </w:rPr>
              <w:t>六个月</w:t>
            </w:r>
            <w:r>
              <w:rPr>
                <w:sz w:val="24"/>
              </w:rPr>
              <w:t>服务费；</w:t>
            </w:r>
          </w:p>
          <w:p>
            <w:pPr>
              <w:pStyle w:val="null3"/>
              <w:jc w:val="both"/>
            </w:pPr>
            <w:r>
              <w:rPr>
                <w:sz w:val="24"/>
              </w:rPr>
              <w:t>2.2</w:t>
            </w:r>
            <w:r>
              <w:rPr>
                <w:sz w:val="24"/>
              </w:rPr>
              <w:t>综合考评为良好，按</w:t>
            </w:r>
            <w:r>
              <w:rPr>
                <w:sz w:val="24"/>
              </w:rPr>
              <w:t>[</w:t>
            </w:r>
            <w:r>
              <w:rPr>
                <w:sz w:val="24"/>
              </w:rPr>
              <w:t>（</w:t>
            </w:r>
            <w:r>
              <w:rPr>
                <w:sz w:val="24"/>
              </w:rPr>
              <w:t>90</w:t>
            </w:r>
            <w:r>
              <w:rPr>
                <w:sz w:val="24"/>
              </w:rPr>
              <w:t>分</w:t>
            </w:r>
            <w:r>
              <w:rPr>
                <w:sz w:val="24"/>
              </w:rPr>
              <w:t>-</w:t>
            </w:r>
            <w:r>
              <w:rPr>
                <w:sz w:val="24"/>
              </w:rPr>
              <w:t>当轮分数）×</w:t>
            </w:r>
            <w:r>
              <w:rPr>
                <w:sz w:val="24"/>
              </w:rPr>
              <w:t>1000</w:t>
            </w:r>
            <w:r>
              <w:rPr>
                <w:sz w:val="24"/>
              </w:rPr>
              <w:t>元</w:t>
            </w:r>
            <w:r>
              <w:rPr>
                <w:sz w:val="24"/>
              </w:rPr>
              <w:t>]</w:t>
            </w:r>
            <w:r>
              <w:rPr>
                <w:sz w:val="24"/>
              </w:rPr>
              <w:t>扣减当次考评服务费，举例：考评得分为</w:t>
            </w:r>
            <w:r>
              <w:rPr>
                <w:sz w:val="24"/>
              </w:rPr>
              <w:t>88</w:t>
            </w:r>
            <w:r>
              <w:rPr>
                <w:sz w:val="24"/>
              </w:rPr>
              <w:t>分，则扣减人民币（</w:t>
            </w:r>
            <w:r>
              <w:rPr>
                <w:sz w:val="24"/>
              </w:rPr>
              <w:t>90</w:t>
            </w:r>
            <w:r>
              <w:rPr>
                <w:sz w:val="24"/>
              </w:rPr>
              <w:t>分</w:t>
            </w:r>
            <w:r>
              <w:rPr>
                <w:sz w:val="24"/>
              </w:rPr>
              <w:t>-88</w:t>
            </w:r>
            <w:r>
              <w:rPr>
                <w:sz w:val="24"/>
              </w:rPr>
              <w:t>分）×</w:t>
            </w:r>
            <w:r>
              <w:rPr>
                <w:sz w:val="24"/>
              </w:rPr>
              <w:t>1000</w:t>
            </w:r>
            <w:r>
              <w:rPr>
                <w:sz w:val="24"/>
              </w:rPr>
              <w:t>元</w:t>
            </w:r>
            <w:r>
              <w:rPr>
                <w:sz w:val="24"/>
              </w:rPr>
              <w:t>=2000</w:t>
            </w:r>
            <w:r>
              <w:rPr>
                <w:sz w:val="24"/>
              </w:rPr>
              <w:t>元；</w:t>
            </w:r>
          </w:p>
          <w:p>
            <w:pPr>
              <w:pStyle w:val="null3"/>
              <w:jc w:val="both"/>
            </w:pPr>
            <w:r>
              <w:rPr>
                <w:sz w:val="24"/>
              </w:rPr>
              <w:t>2.3</w:t>
            </w:r>
            <w:r>
              <w:rPr>
                <w:sz w:val="24"/>
              </w:rPr>
              <w:t>综合考</w:t>
            </w:r>
            <w:r>
              <w:rPr>
                <w:sz w:val="24"/>
              </w:rPr>
              <w:t>a</w:t>
            </w:r>
            <w:r>
              <w:rPr>
                <w:sz w:val="24"/>
              </w:rPr>
              <w:t>评为及格，按</w:t>
            </w:r>
            <w:r>
              <w:rPr>
                <w:sz w:val="24"/>
              </w:rPr>
              <w:t>[</w:t>
            </w:r>
            <w:r>
              <w:rPr>
                <w:sz w:val="24"/>
              </w:rPr>
              <w:t>（</w:t>
            </w:r>
            <w:r>
              <w:rPr>
                <w:sz w:val="24"/>
              </w:rPr>
              <w:t>90</w:t>
            </w:r>
            <w:r>
              <w:rPr>
                <w:sz w:val="24"/>
              </w:rPr>
              <w:t>分</w:t>
            </w:r>
            <w:r>
              <w:rPr>
                <w:sz w:val="24"/>
              </w:rPr>
              <w:t>-80</w:t>
            </w:r>
            <w:r>
              <w:rPr>
                <w:sz w:val="24"/>
              </w:rPr>
              <w:t>分）×</w:t>
            </w:r>
            <w:r>
              <w:rPr>
                <w:sz w:val="24"/>
              </w:rPr>
              <w:t>1000</w:t>
            </w:r>
            <w:r>
              <w:rPr>
                <w:sz w:val="24"/>
              </w:rPr>
              <w:t>元＋（</w:t>
            </w:r>
            <w:r>
              <w:rPr>
                <w:sz w:val="24"/>
              </w:rPr>
              <w:t>80</w:t>
            </w:r>
            <w:r>
              <w:rPr>
                <w:sz w:val="24"/>
              </w:rPr>
              <w:t>分</w:t>
            </w:r>
            <w:r>
              <w:rPr>
                <w:sz w:val="24"/>
              </w:rPr>
              <w:t>-</w:t>
            </w:r>
            <w:r>
              <w:rPr>
                <w:sz w:val="24"/>
              </w:rPr>
              <w:t>当轮分数）×</w:t>
            </w:r>
            <w:r>
              <w:rPr>
                <w:sz w:val="24"/>
              </w:rPr>
              <w:t>2000</w:t>
            </w:r>
            <w:r>
              <w:rPr>
                <w:sz w:val="24"/>
              </w:rPr>
              <w:t>元</w:t>
            </w:r>
            <w:r>
              <w:rPr>
                <w:sz w:val="24"/>
              </w:rPr>
              <w:t>]</w:t>
            </w:r>
            <w:r>
              <w:rPr>
                <w:sz w:val="24"/>
              </w:rPr>
              <w:t>扣减当次考评服务费。举例：考评得分为</w:t>
            </w:r>
            <w:r>
              <w:rPr>
                <w:sz w:val="24"/>
              </w:rPr>
              <w:t>78</w:t>
            </w:r>
            <w:r>
              <w:rPr>
                <w:sz w:val="24"/>
              </w:rPr>
              <w:t>分，则扣减人民币（</w:t>
            </w:r>
            <w:r>
              <w:rPr>
                <w:sz w:val="24"/>
              </w:rPr>
              <w:t>90</w:t>
            </w:r>
            <w:r>
              <w:rPr>
                <w:sz w:val="24"/>
              </w:rPr>
              <w:t>分</w:t>
            </w:r>
            <w:r>
              <w:rPr>
                <w:sz w:val="24"/>
              </w:rPr>
              <w:t>-80</w:t>
            </w:r>
            <w:r>
              <w:rPr>
                <w:sz w:val="24"/>
              </w:rPr>
              <w:t>分）×</w:t>
            </w:r>
            <w:r>
              <w:rPr>
                <w:sz w:val="24"/>
              </w:rPr>
              <w:t>1000</w:t>
            </w:r>
            <w:r>
              <w:rPr>
                <w:sz w:val="24"/>
              </w:rPr>
              <w:t>元＋（</w:t>
            </w:r>
            <w:r>
              <w:rPr>
                <w:sz w:val="24"/>
              </w:rPr>
              <w:t>80</w:t>
            </w:r>
            <w:r>
              <w:rPr>
                <w:sz w:val="24"/>
              </w:rPr>
              <w:t>分</w:t>
            </w:r>
            <w:r>
              <w:rPr>
                <w:sz w:val="24"/>
              </w:rPr>
              <w:t>-78</w:t>
            </w:r>
            <w:r>
              <w:rPr>
                <w:sz w:val="24"/>
              </w:rPr>
              <w:t>分）×</w:t>
            </w:r>
            <w:r>
              <w:rPr>
                <w:sz w:val="24"/>
              </w:rPr>
              <w:t>2000</w:t>
            </w:r>
            <w:r>
              <w:rPr>
                <w:sz w:val="24"/>
              </w:rPr>
              <w:t>元</w:t>
            </w:r>
            <w:r>
              <w:rPr>
                <w:sz w:val="24"/>
              </w:rPr>
              <w:t>=12000</w:t>
            </w:r>
            <w:r>
              <w:rPr>
                <w:sz w:val="24"/>
              </w:rPr>
              <w:t>元；</w:t>
            </w:r>
          </w:p>
          <w:p>
            <w:pPr>
              <w:pStyle w:val="null3"/>
              <w:jc w:val="both"/>
            </w:pPr>
            <w:r>
              <w:rPr>
                <w:sz w:val="24"/>
              </w:rPr>
              <w:t>2.4</w:t>
            </w:r>
            <w:r>
              <w:rPr>
                <w:sz w:val="24"/>
              </w:rPr>
              <w:t>综合考评为不及格的，需要对服务范围重新消杀，至重新考核总分满足</w:t>
            </w:r>
            <w:r>
              <w:rPr>
                <w:sz w:val="24"/>
              </w:rPr>
              <w:t>90</w:t>
            </w:r>
            <w:r>
              <w:rPr>
                <w:sz w:val="24"/>
              </w:rPr>
              <w:t>分或以上。</w:t>
            </w:r>
          </w:p>
          <w:p>
            <w:pPr>
              <w:pStyle w:val="null3"/>
              <w:jc w:val="both"/>
            </w:pPr>
            <w:r>
              <w:rPr>
                <w:sz w:val="24"/>
              </w:rPr>
              <w:t>3</w:t>
            </w:r>
            <w:r>
              <w:rPr>
                <w:sz w:val="24"/>
              </w:rPr>
              <w:t>、</w:t>
            </w:r>
            <w:r>
              <w:rPr>
                <w:sz w:val="24"/>
              </w:rPr>
              <w:t>乙方</w:t>
            </w:r>
            <w:r>
              <w:rPr>
                <w:sz w:val="24"/>
              </w:rPr>
              <w:t>当次考评应得的服务费，在</w:t>
            </w:r>
            <w:r>
              <w:rPr>
                <w:sz w:val="24"/>
              </w:rPr>
              <w:t>甲方</w:t>
            </w:r>
            <w:r>
              <w:rPr>
                <w:sz w:val="24"/>
              </w:rPr>
              <w:t>收到</w:t>
            </w:r>
            <w:r>
              <w:rPr>
                <w:sz w:val="24"/>
              </w:rPr>
              <w:t>乙方</w:t>
            </w:r>
            <w:r>
              <w:rPr>
                <w:sz w:val="24"/>
              </w:rPr>
              <w:t>提交的有效发票后，于考评结束之日起</w:t>
            </w:r>
            <w:r>
              <w:rPr>
                <w:sz w:val="24"/>
              </w:rPr>
              <w:t>30</w:t>
            </w:r>
            <w:r>
              <w:rPr>
                <w:sz w:val="24"/>
              </w:rPr>
              <w:t>日内以银行划款的方式划入供应商指定的账户。如遇特殊情况不能按时拨款，可双方协商处理。</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验收要求</w:t>
            </w:r>
          </w:p>
        </w:tc>
        <w:tc>
          <w:tcPr>
            <w:tcW w:type="dxa" w:w="6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按</w:t>
            </w:r>
            <w:r>
              <w:rPr>
                <w:sz w:val="24"/>
              </w:rPr>
              <w:t>甲方</w:t>
            </w:r>
            <w:r>
              <w:rPr>
                <w:sz w:val="24"/>
              </w:rPr>
              <w:t>定制的考核制度进行服务验收。</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履约保证金</w:t>
            </w:r>
          </w:p>
        </w:tc>
        <w:tc>
          <w:tcPr>
            <w:tcW w:type="dxa" w:w="6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无</w:t>
            </w:r>
          </w:p>
        </w:tc>
      </w:tr>
    </w:tbl>
    <w:p>
      <w:pPr>
        <w:pStyle w:val="null3"/>
        <w:jc w:val="both"/>
      </w:pPr>
      <w:r>
        <w:rPr>
          <w:sz w:val="24"/>
          <w:b/>
        </w:rPr>
        <w:t>四、</w:t>
      </w:r>
      <w:r>
        <w:rPr>
          <w:sz w:val="24"/>
          <w:b/>
        </w:rPr>
        <w:t>服务要求</w:t>
      </w:r>
    </w:p>
    <w:p>
      <w:pPr>
        <w:pStyle w:val="null3"/>
        <w:ind w:firstLine="480"/>
        <w:jc w:val="both"/>
      </w:pPr>
      <w:r>
        <w:rPr>
          <w:sz w:val="24"/>
        </w:rPr>
        <w:t>乙方</w:t>
      </w:r>
      <w:r>
        <w:rPr>
          <w:sz w:val="24"/>
        </w:rPr>
        <w:t>在服务范围内提供全年除</w:t>
      </w:r>
      <w:r>
        <w:rPr>
          <w:sz w:val="24"/>
        </w:rPr>
        <w:t>“四害”服务，要求开展爱国卫生运动，巩固国家卫生城市成果，预防传染病流行。开展灭蚊、灭鼠、灭蝇、灭蟑螂及“四害”孳生地清理，各项工作均需达到国家标准水平，具体工作内容如下：</w:t>
      </w:r>
    </w:p>
    <w:p>
      <w:pPr>
        <w:pStyle w:val="null3"/>
        <w:jc w:val="both"/>
      </w:pPr>
      <w:r>
        <w:rPr>
          <w:sz w:val="24"/>
        </w:rPr>
        <w:t>（一）服务范围</w:t>
      </w:r>
    </w:p>
    <w:p>
      <w:pPr>
        <w:pStyle w:val="null3"/>
        <w:ind w:firstLine="480"/>
        <w:jc w:val="both"/>
      </w:pPr>
      <w:r>
        <w:rPr>
          <w:sz w:val="24"/>
        </w:rPr>
        <w:t>1</w:t>
      </w:r>
      <w:r>
        <w:rPr>
          <w:sz w:val="24"/>
        </w:rPr>
        <w:t>、</w:t>
      </w:r>
      <w:r>
        <w:rPr>
          <w:sz w:val="24"/>
        </w:rPr>
        <w:t>开放式居民住宅区、开放式内街公园、农贸市场周边、垃圾收集点及中转站、公厕、大街小巷、市政道路、下水道、公共停车场、绿化带、景观水池、污水河涌等重点场所孳生地。</w:t>
      </w:r>
    </w:p>
    <w:p>
      <w:pPr>
        <w:pStyle w:val="null3"/>
        <w:ind w:firstLine="480"/>
        <w:jc w:val="both"/>
      </w:pPr>
      <w:r>
        <w:rPr>
          <w:sz w:val="24"/>
        </w:rPr>
        <w:t>2</w:t>
      </w:r>
      <w:r>
        <w:rPr>
          <w:sz w:val="24"/>
        </w:rPr>
        <w:t>、</w:t>
      </w:r>
      <w:r>
        <w:rPr>
          <w:sz w:val="24"/>
        </w:rPr>
        <w:t>西南街道管辖内机关事业单位：包括西南街道机关大院、西南控股公司大院、西南派出所、西南街道社区卫生服务中心及各站点、西南市政所、水利所、西南街道综合执法队及村（居）委会办公场所。</w:t>
      </w:r>
    </w:p>
    <w:p>
      <w:pPr>
        <w:pStyle w:val="null3"/>
        <w:ind w:firstLine="480"/>
        <w:jc w:val="both"/>
      </w:pPr>
      <w:r>
        <w:rPr>
          <w:sz w:val="24"/>
        </w:rPr>
        <w:t>3</w:t>
      </w:r>
      <w:r>
        <w:rPr>
          <w:sz w:val="24"/>
        </w:rPr>
        <w:t>、</w:t>
      </w:r>
      <w:r>
        <w:rPr>
          <w:sz w:val="24"/>
        </w:rPr>
        <w:t>西南街道内河涌水体，包括西南涌、九腩洲、大棉涌等污水河涌蚊蝇孳生地及涌边（涌堤）鼠患控制。</w:t>
      </w:r>
    </w:p>
    <w:p>
      <w:pPr>
        <w:pStyle w:val="null3"/>
        <w:jc w:val="both"/>
      </w:pPr>
      <w:r>
        <w:rPr>
          <w:sz w:val="24"/>
        </w:rPr>
        <w:t>（二）服务要求</w:t>
      </w:r>
    </w:p>
    <w:p>
      <w:pPr>
        <w:pStyle w:val="null3"/>
        <w:ind w:firstLine="480"/>
        <w:jc w:val="both"/>
      </w:pPr>
      <w:r>
        <w:rPr>
          <w:sz w:val="24"/>
        </w:rPr>
        <w:t>开展除</w:t>
      </w:r>
      <w:r>
        <w:rPr>
          <w:sz w:val="24"/>
        </w:rPr>
        <w:t>“四害”服务，每月对公共区域开展翻盆倒罐，清理蚊虫孳生地。每月开展鼠屋巡查，发现破损、缺失及时补充，并定时足量补充鼠谷。对公共区域进行药物投放与喷洒，中心城区每年不少于</w:t>
      </w:r>
      <w:r>
        <w:rPr>
          <w:sz w:val="24"/>
        </w:rPr>
        <w:t>6</w:t>
      </w:r>
      <w:r>
        <w:rPr>
          <w:sz w:val="24"/>
        </w:rPr>
        <w:t>次，农村每年不少于</w:t>
      </w:r>
      <w:r>
        <w:rPr>
          <w:sz w:val="24"/>
        </w:rPr>
        <w:t>4</w:t>
      </w:r>
      <w:r>
        <w:rPr>
          <w:sz w:val="24"/>
        </w:rPr>
        <w:t>次。</w:t>
      </w:r>
      <w:r>
        <w:rPr>
          <w:sz w:val="24"/>
        </w:rPr>
        <w:t>甲方</w:t>
      </w:r>
      <w:r>
        <w:rPr>
          <w:sz w:val="24"/>
        </w:rPr>
        <w:t>有权在不超出年度约定消杀总次数的前提下，根据</w:t>
      </w:r>
      <w:r>
        <w:rPr>
          <w:sz w:val="24"/>
        </w:rPr>
        <w:t>“四害”的消长习性调整消杀频次。</w:t>
      </w:r>
    </w:p>
    <w:p>
      <w:pPr>
        <w:pStyle w:val="null3"/>
        <w:ind w:firstLine="480"/>
        <w:jc w:val="both"/>
      </w:pPr>
      <w:r>
        <w:rPr>
          <w:sz w:val="24"/>
        </w:rPr>
        <w:t>1</w:t>
      </w:r>
      <w:r>
        <w:rPr>
          <w:sz w:val="24"/>
        </w:rPr>
        <w:t>、必须做到服务范围内“四害”密度不超标，并达到国家标准。其中，灭蚊标准：用</w:t>
      </w:r>
      <w:r>
        <w:rPr>
          <w:sz w:val="24"/>
        </w:rPr>
        <w:t>500ml</w:t>
      </w:r>
      <w:r>
        <w:rPr>
          <w:sz w:val="24"/>
        </w:rPr>
        <w:t>收集勺采集大中型水体中蚊幼或蛹阳性率不超过</w:t>
      </w:r>
      <w:r>
        <w:rPr>
          <w:sz w:val="24"/>
        </w:rPr>
        <w:t>3%</w:t>
      </w:r>
      <w:r>
        <w:rPr>
          <w:sz w:val="24"/>
        </w:rPr>
        <w:t>，阳性勺内幼虫或蛹的平均数不超过</w:t>
      </w:r>
      <w:r>
        <w:rPr>
          <w:sz w:val="24"/>
        </w:rPr>
        <w:t>5</w:t>
      </w:r>
      <w:r>
        <w:rPr>
          <w:sz w:val="24"/>
        </w:rPr>
        <w:t>只，绿化地白天人诱蚊</w:t>
      </w:r>
      <w:r>
        <w:rPr>
          <w:sz w:val="24"/>
        </w:rPr>
        <w:t>30</w:t>
      </w:r>
      <w:r>
        <w:rPr>
          <w:sz w:val="24"/>
        </w:rPr>
        <w:t>分钟，平均每人次诱获成蚊不超过</w:t>
      </w:r>
      <w:r>
        <w:rPr>
          <w:sz w:val="24"/>
        </w:rPr>
        <w:t>1</w:t>
      </w:r>
      <w:r>
        <w:rPr>
          <w:sz w:val="24"/>
        </w:rPr>
        <w:t>只。灭鼠标准：防鼠设施不合格处不超过</w:t>
      </w:r>
      <w:r>
        <w:rPr>
          <w:sz w:val="24"/>
        </w:rPr>
        <w:t>5%</w:t>
      </w:r>
      <w:r>
        <w:rPr>
          <w:sz w:val="24"/>
        </w:rPr>
        <w:t>，不同类型的的外环境累计</w:t>
      </w:r>
      <w:r>
        <w:rPr>
          <w:sz w:val="24"/>
        </w:rPr>
        <w:t>2000</w:t>
      </w:r>
      <w:r>
        <w:rPr>
          <w:sz w:val="24"/>
        </w:rPr>
        <w:t>米，鼠迹不超过</w:t>
      </w:r>
      <w:r>
        <w:rPr>
          <w:sz w:val="24"/>
        </w:rPr>
        <w:t>5</w:t>
      </w:r>
      <w:r>
        <w:rPr>
          <w:sz w:val="24"/>
        </w:rPr>
        <w:t>处。灭蝇标准：蝇类孳生地得到有效控制，幼虫和蛹的检出率不超过</w:t>
      </w:r>
      <w:r>
        <w:rPr>
          <w:sz w:val="24"/>
        </w:rPr>
        <w:t>3%</w:t>
      </w:r>
      <w:r>
        <w:rPr>
          <w:sz w:val="24"/>
        </w:rPr>
        <w:t>。灭蟑标准：市政各类管井有成若虫不超</w:t>
      </w:r>
      <w:r>
        <w:rPr>
          <w:sz w:val="24"/>
        </w:rPr>
        <w:t>20%</w:t>
      </w:r>
      <w:r>
        <w:rPr>
          <w:sz w:val="24"/>
        </w:rPr>
        <w:t>，阳性井大蠊不超过</w:t>
      </w:r>
      <w:r>
        <w:rPr>
          <w:sz w:val="24"/>
        </w:rPr>
        <w:t>5</w:t>
      </w:r>
      <w:r>
        <w:rPr>
          <w:sz w:val="24"/>
        </w:rPr>
        <w:t>只。</w:t>
      </w:r>
    </w:p>
    <w:p>
      <w:pPr>
        <w:pStyle w:val="null3"/>
        <w:ind w:firstLine="480"/>
        <w:jc w:val="both"/>
      </w:pPr>
      <w:r>
        <w:rPr>
          <w:sz w:val="24"/>
        </w:rPr>
        <w:t>2</w:t>
      </w:r>
      <w:r>
        <w:rPr>
          <w:sz w:val="24"/>
        </w:rPr>
        <w:t>、除“四害”药械需选用符合国家规定要求的药械。</w:t>
      </w:r>
    </w:p>
    <w:p>
      <w:pPr>
        <w:pStyle w:val="null3"/>
        <w:ind w:firstLine="480"/>
        <w:jc w:val="both"/>
      </w:pPr>
      <w:r>
        <w:rPr>
          <w:sz w:val="24"/>
        </w:rPr>
        <w:t>3</w:t>
      </w:r>
      <w:r>
        <w:rPr>
          <w:sz w:val="24"/>
        </w:rPr>
        <w:t>、必须具备“四害”综合预防、治理技术以及防治器械，所有使用药物必须符合国家有关规定。</w:t>
      </w:r>
    </w:p>
    <w:p>
      <w:pPr>
        <w:pStyle w:val="null3"/>
        <w:ind w:firstLine="480"/>
        <w:jc w:val="both"/>
      </w:pPr>
      <w:r>
        <w:rPr>
          <w:sz w:val="24"/>
        </w:rPr>
        <w:t>4</w:t>
      </w:r>
      <w:r>
        <w:rPr>
          <w:sz w:val="24"/>
        </w:rPr>
        <w:t>、必须遵守</w:t>
      </w:r>
      <w:r>
        <w:rPr>
          <w:sz w:val="24"/>
        </w:rPr>
        <w:t>甲方</w:t>
      </w:r>
      <w:r>
        <w:rPr>
          <w:sz w:val="24"/>
        </w:rPr>
        <w:t>各项规定，接受和服从</w:t>
      </w:r>
      <w:r>
        <w:rPr>
          <w:sz w:val="24"/>
        </w:rPr>
        <w:t>甲方</w:t>
      </w:r>
      <w:r>
        <w:rPr>
          <w:sz w:val="24"/>
        </w:rPr>
        <w:t>的管理及考核，配合提供便利条件，及时根据</w:t>
      </w:r>
      <w:r>
        <w:rPr>
          <w:sz w:val="24"/>
        </w:rPr>
        <w:t>甲方</w:t>
      </w:r>
      <w:r>
        <w:rPr>
          <w:sz w:val="24"/>
        </w:rPr>
        <w:t>提出的整改意见进行整改。</w:t>
      </w:r>
    </w:p>
    <w:p>
      <w:pPr>
        <w:pStyle w:val="null3"/>
        <w:ind w:firstLine="480"/>
        <w:jc w:val="both"/>
      </w:pPr>
      <w:r>
        <w:rPr>
          <w:sz w:val="24"/>
        </w:rPr>
        <w:t>5</w:t>
      </w:r>
      <w:r>
        <w:rPr>
          <w:sz w:val="24"/>
        </w:rPr>
        <w:t>、积极配合</w:t>
      </w:r>
      <w:r>
        <w:rPr>
          <w:sz w:val="24"/>
        </w:rPr>
        <w:t>甲方</w:t>
      </w:r>
      <w:r>
        <w:rPr>
          <w:sz w:val="24"/>
        </w:rPr>
        <w:t>做好国家、省、市、区及街道各级政府部门组织的检查、验收及考评等活动的迎检工作。</w:t>
      </w:r>
    </w:p>
    <w:p>
      <w:pPr>
        <w:pStyle w:val="null3"/>
        <w:ind w:firstLine="480"/>
        <w:jc w:val="both"/>
      </w:pPr>
      <w:r>
        <w:rPr>
          <w:sz w:val="24"/>
        </w:rPr>
        <w:t>6</w:t>
      </w:r>
      <w:r>
        <w:rPr>
          <w:sz w:val="24"/>
        </w:rPr>
        <w:t>、无条件配合</w:t>
      </w:r>
      <w:r>
        <w:rPr>
          <w:sz w:val="24"/>
        </w:rPr>
        <w:t>甲方</w:t>
      </w:r>
      <w:r>
        <w:rPr>
          <w:sz w:val="24"/>
        </w:rPr>
        <w:t>做好政府及有关部门举办的一切活动及处理突发应急事件。</w:t>
      </w:r>
    </w:p>
    <w:p>
      <w:pPr>
        <w:pStyle w:val="null3"/>
        <w:ind w:firstLine="480"/>
        <w:jc w:val="both"/>
      </w:pPr>
      <w:r>
        <w:rPr>
          <w:sz w:val="24"/>
        </w:rPr>
        <w:t>7</w:t>
      </w:r>
      <w:r>
        <w:rPr>
          <w:sz w:val="24"/>
        </w:rPr>
        <w:t>、</w:t>
      </w:r>
      <w:r>
        <w:rPr>
          <w:sz w:val="24"/>
        </w:rPr>
        <w:t>乙方</w:t>
      </w:r>
      <w:r>
        <w:rPr>
          <w:sz w:val="24"/>
        </w:rPr>
        <w:t>必须及时制止影响项目管理质量的行为，并及时向</w:t>
      </w:r>
      <w:r>
        <w:rPr>
          <w:sz w:val="24"/>
        </w:rPr>
        <w:t>甲方</w:t>
      </w:r>
      <w:r>
        <w:rPr>
          <w:sz w:val="24"/>
        </w:rPr>
        <w:t>汇报情况及提供现场记录（图片、报告），超过</w:t>
      </w:r>
      <w:r>
        <w:rPr>
          <w:sz w:val="24"/>
        </w:rPr>
        <w:t>24</w:t>
      </w:r>
      <w:r>
        <w:rPr>
          <w:sz w:val="24"/>
        </w:rPr>
        <w:t>小时不报，则由</w:t>
      </w:r>
      <w:r>
        <w:rPr>
          <w:sz w:val="24"/>
        </w:rPr>
        <w:t>乙方</w:t>
      </w:r>
      <w:r>
        <w:rPr>
          <w:sz w:val="24"/>
        </w:rPr>
        <w:t>负责按原貌恢复。</w:t>
      </w:r>
    </w:p>
    <w:p>
      <w:pPr>
        <w:pStyle w:val="null3"/>
        <w:ind w:firstLine="480"/>
        <w:jc w:val="both"/>
      </w:pPr>
      <w:r>
        <w:rPr>
          <w:sz w:val="24"/>
        </w:rPr>
        <w:t>8</w:t>
      </w:r>
      <w:r>
        <w:rPr>
          <w:sz w:val="24"/>
        </w:rPr>
        <w:t>、</w:t>
      </w:r>
      <w:r>
        <w:rPr>
          <w:sz w:val="24"/>
        </w:rPr>
        <w:t>乙方</w:t>
      </w:r>
      <w:r>
        <w:rPr>
          <w:sz w:val="24"/>
        </w:rPr>
        <w:t>须将服务于本项目的人员分工方案、工作人员的名单、电话号码、身份证复印件、资格证复印件等资料交</w:t>
      </w:r>
      <w:r>
        <w:rPr>
          <w:sz w:val="24"/>
        </w:rPr>
        <w:t>甲方</w:t>
      </w:r>
      <w:r>
        <w:rPr>
          <w:sz w:val="24"/>
        </w:rPr>
        <w:t>备案，需要变更相关人员信息时须经</w:t>
      </w:r>
      <w:r>
        <w:rPr>
          <w:sz w:val="24"/>
        </w:rPr>
        <w:t>甲方</w:t>
      </w:r>
      <w:r>
        <w:rPr>
          <w:sz w:val="24"/>
        </w:rPr>
        <w:t>同意并更新备案资料。</w:t>
      </w:r>
    </w:p>
    <w:p>
      <w:pPr>
        <w:pStyle w:val="null3"/>
        <w:ind w:firstLine="480"/>
        <w:jc w:val="both"/>
      </w:pPr>
      <w:r>
        <w:rPr>
          <w:sz w:val="24"/>
        </w:rPr>
        <w:t>9</w:t>
      </w:r>
      <w:r>
        <w:rPr>
          <w:sz w:val="24"/>
        </w:rPr>
        <w:t>、按</w:t>
      </w:r>
      <w:r>
        <w:rPr>
          <w:sz w:val="24"/>
        </w:rPr>
        <w:t>甲方</w:t>
      </w:r>
      <w:r>
        <w:rPr>
          <w:sz w:val="24"/>
        </w:rPr>
        <w:t>要求做好各种规范的除</w:t>
      </w:r>
      <w:r>
        <w:rPr>
          <w:sz w:val="24"/>
        </w:rPr>
        <w:t>“四害”监测记录，制定科学的年度、季度除“四害”工作计划，包括技术方案、工作方法、用药计划等，每季度</w:t>
      </w:r>
      <w:r>
        <w:rPr>
          <w:sz w:val="24"/>
        </w:rPr>
        <w:t>10</w:t>
      </w:r>
      <w:r>
        <w:rPr>
          <w:sz w:val="24"/>
        </w:rPr>
        <w:t>号前将上季度的施工质量和工作情况向</w:t>
      </w:r>
      <w:r>
        <w:rPr>
          <w:sz w:val="24"/>
        </w:rPr>
        <w:t>甲方</w:t>
      </w:r>
      <w:r>
        <w:rPr>
          <w:sz w:val="24"/>
        </w:rPr>
        <w:t>作书面汇报。</w:t>
      </w:r>
    </w:p>
    <w:p>
      <w:pPr>
        <w:pStyle w:val="null3"/>
        <w:ind w:firstLine="480"/>
        <w:jc w:val="both"/>
      </w:pPr>
      <w:r>
        <w:rPr>
          <w:sz w:val="24"/>
        </w:rPr>
        <w:t>10</w:t>
      </w:r>
      <w:r>
        <w:rPr>
          <w:sz w:val="24"/>
        </w:rPr>
        <w:t>、每月</w:t>
      </w:r>
      <w:r>
        <w:rPr>
          <w:sz w:val="24"/>
        </w:rPr>
        <w:t>乙方</w:t>
      </w:r>
      <w:r>
        <w:rPr>
          <w:sz w:val="24"/>
        </w:rPr>
        <w:t>向对服务范围内的环境卫生、卫生死角及</w:t>
      </w:r>
      <w:r>
        <w:rPr>
          <w:sz w:val="24"/>
        </w:rPr>
        <w:t>“四害”孳生地情况进行排查登记，并及时反馈给</w:t>
      </w:r>
      <w:r>
        <w:rPr>
          <w:sz w:val="24"/>
        </w:rPr>
        <w:t>甲方</w:t>
      </w:r>
      <w:r>
        <w:rPr>
          <w:sz w:val="24"/>
        </w:rPr>
        <w:t>。</w:t>
      </w:r>
    </w:p>
    <w:p>
      <w:pPr>
        <w:pStyle w:val="null3"/>
        <w:ind w:firstLine="480"/>
        <w:jc w:val="both"/>
      </w:pPr>
      <w:r>
        <w:rPr>
          <w:sz w:val="24"/>
        </w:rPr>
        <w:t>11</w:t>
      </w:r>
      <w:r>
        <w:rPr>
          <w:sz w:val="24"/>
        </w:rPr>
        <w:t>、每年对服务范围内的毒鼠屋进行全面巡查，及时更新及维护，并定时足量补充鼠谷，做好毒鼠屋清点及台账整理。</w:t>
      </w:r>
    </w:p>
    <w:p>
      <w:pPr>
        <w:pStyle w:val="null3"/>
        <w:ind w:firstLine="480"/>
        <w:jc w:val="both"/>
      </w:pPr>
      <w:r>
        <w:rPr>
          <w:sz w:val="24"/>
        </w:rPr>
        <w:t>12</w:t>
      </w:r>
      <w:r>
        <w:rPr>
          <w:sz w:val="24"/>
        </w:rPr>
        <w:t>、按照上级考核标准，协助</w:t>
      </w:r>
      <w:r>
        <w:rPr>
          <w:sz w:val="24"/>
        </w:rPr>
        <w:t>甲方</w:t>
      </w:r>
      <w:r>
        <w:rPr>
          <w:sz w:val="24"/>
        </w:rPr>
        <w:t>完成辖区病媒生物防制工作考核，做好台账资料制作整理及汇编。</w:t>
      </w:r>
    </w:p>
    <w:p>
      <w:pPr>
        <w:pStyle w:val="null3"/>
        <w:ind w:firstLine="480"/>
        <w:jc w:val="both"/>
      </w:pPr>
      <w:r>
        <w:rPr>
          <w:sz w:val="24"/>
        </w:rPr>
        <w:t>13</w:t>
      </w:r>
      <w:r>
        <w:rPr>
          <w:sz w:val="24"/>
        </w:rPr>
        <w:t>、</w:t>
      </w:r>
      <w:r>
        <w:rPr>
          <w:sz w:val="24"/>
        </w:rPr>
        <w:t>乙方</w:t>
      </w:r>
      <w:r>
        <w:rPr>
          <w:sz w:val="24"/>
        </w:rPr>
        <w:t>除了按标准负责本合同范围公共区域病媒生物防制</w:t>
      </w:r>
      <w:r>
        <w:rPr>
          <w:sz w:val="24"/>
        </w:rPr>
        <w:t>“四害”消杀服务外，还需对服务范围内的经营单位（学校、农贸市场、商场、酒店、餐饮经营单位、物管小区、建筑工地等）开展技术指导。</w:t>
      </w:r>
    </w:p>
    <w:p>
      <w:pPr>
        <w:pStyle w:val="null3"/>
        <w:ind w:firstLine="480"/>
        <w:jc w:val="both"/>
      </w:pPr>
      <w:r>
        <w:rPr>
          <w:sz w:val="24"/>
        </w:rPr>
        <w:t>14</w:t>
      </w:r>
      <w:r>
        <w:rPr>
          <w:sz w:val="24"/>
        </w:rPr>
        <w:t>、上级检查需要在本承包范围内开展应急消杀时，应无条件配合和服从指挥；如遇非本承包范围需要应急消杀支援时，要服从</w:t>
      </w:r>
      <w:r>
        <w:rPr>
          <w:sz w:val="24"/>
        </w:rPr>
        <w:t>甲方</w:t>
      </w:r>
      <w:r>
        <w:rPr>
          <w:sz w:val="24"/>
        </w:rPr>
        <w:t>安排。</w:t>
      </w:r>
    </w:p>
    <w:p>
      <w:pPr>
        <w:pStyle w:val="null3"/>
        <w:ind w:firstLine="480"/>
        <w:jc w:val="both"/>
      </w:pPr>
      <w:r>
        <w:rPr>
          <w:sz w:val="24"/>
        </w:rPr>
        <w:t>15</w:t>
      </w:r>
      <w:r>
        <w:rPr>
          <w:sz w:val="24"/>
        </w:rPr>
        <w:t>、根据《佛山市三水区登革热疫情应急预案（</w:t>
      </w:r>
      <w:r>
        <w:rPr>
          <w:sz w:val="24"/>
        </w:rPr>
        <w:t>2024</w:t>
      </w:r>
      <w:r>
        <w:rPr>
          <w:sz w:val="24"/>
        </w:rPr>
        <w:t>年）版》的通知，登革热疫情出现Ⅲ级以下事件时，</w:t>
      </w:r>
      <w:r>
        <w:rPr>
          <w:sz w:val="24"/>
        </w:rPr>
        <w:t>乙方</w:t>
      </w:r>
      <w:r>
        <w:rPr>
          <w:sz w:val="24"/>
        </w:rPr>
        <w:t>需无条件免费开展应急消杀。</w:t>
      </w:r>
    </w:p>
    <w:p>
      <w:pPr>
        <w:pStyle w:val="null3"/>
        <w:ind w:firstLine="480"/>
        <w:jc w:val="both"/>
      </w:pPr>
      <w:r>
        <w:rPr>
          <w:sz w:val="24"/>
        </w:rPr>
        <w:t>16</w:t>
      </w:r>
      <w:r>
        <w:rPr>
          <w:sz w:val="24"/>
        </w:rPr>
        <w:t>、如在服务期内，出现日常投诉，要求两天内处理完毕，处理率达</w:t>
      </w:r>
      <w:r>
        <w:rPr>
          <w:sz w:val="24"/>
        </w:rPr>
        <w:t>100%</w:t>
      </w:r>
      <w:r>
        <w:rPr>
          <w:sz w:val="24"/>
        </w:rPr>
        <w:t>；如出现上级部门和新闻媒介批评曝光的问题，经查证属</w:t>
      </w:r>
      <w:r>
        <w:rPr>
          <w:sz w:val="24"/>
        </w:rPr>
        <w:t>乙方</w:t>
      </w:r>
      <w:r>
        <w:rPr>
          <w:sz w:val="24"/>
        </w:rPr>
        <w:t>责任的，每次罚款</w:t>
      </w:r>
      <w:r>
        <w:rPr>
          <w:sz w:val="24"/>
        </w:rPr>
        <w:t>5000</w:t>
      </w:r>
      <w:r>
        <w:rPr>
          <w:sz w:val="24"/>
        </w:rPr>
        <w:t>元。</w:t>
      </w:r>
    </w:p>
    <w:p>
      <w:pPr>
        <w:pStyle w:val="null3"/>
        <w:ind w:firstLine="480"/>
        <w:jc w:val="both"/>
      </w:pPr>
      <w:r>
        <w:rPr>
          <w:sz w:val="24"/>
        </w:rPr>
        <w:t>17</w:t>
      </w:r>
      <w:r>
        <w:rPr>
          <w:sz w:val="24"/>
        </w:rPr>
        <w:t>、在服务期内，如遇重大疫情需应急响应，要无条件服从调动，需增加药物由</w:t>
      </w:r>
      <w:r>
        <w:rPr>
          <w:sz w:val="24"/>
        </w:rPr>
        <w:t>乙方</w:t>
      </w:r>
      <w:r>
        <w:rPr>
          <w:sz w:val="24"/>
        </w:rPr>
        <w:t>提供；应急响应要</w:t>
      </w:r>
      <w:r>
        <w:rPr>
          <w:sz w:val="24"/>
        </w:rPr>
        <w:t>1</w:t>
      </w:r>
      <w:r>
        <w:rPr>
          <w:sz w:val="24"/>
        </w:rPr>
        <w:t>小时内到达。</w:t>
      </w:r>
    </w:p>
    <w:p>
      <w:pPr>
        <w:pStyle w:val="null3"/>
        <w:ind w:firstLine="480"/>
        <w:jc w:val="both"/>
      </w:pPr>
      <w:r>
        <w:rPr>
          <w:sz w:val="24"/>
        </w:rPr>
        <w:t>18</w:t>
      </w:r>
      <w:r>
        <w:rPr>
          <w:sz w:val="24"/>
        </w:rPr>
        <w:t>、在服务期内</w:t>
      </w:r>
      <w:r>
        <w:rPr>
          <w:sz w:val="24"/>
        </w:rPr>
        <w:t>甲方</w:t>
      </w:r>
      <w:r>
        <w:rPr>
          <w:sz w:val="24"/>
        </w:rPr>
        <w:t>对</w:t>
      </w:r>
      <w:r>
        <w:rPr>
          <w:sz w:val="24"/>
        </w:rPr>
        <w:t>乙方</w:t>
      </w:r>
      <w:r>
        <w:rPr>
          <w:sz w:val="24"/>
        </w:rPr>
        <w:t>的服务效果进行定期或不定期的监督检查及考核。</w:t>
      </w:r>
    </w:p>
    <w:p>
      <w:pPr>
        <w:pStyle w:val="null3"/>
        <w:jc w:val="both"/>
      </w:pPr>
      <w:r>
        <w:rPr>
          <w:sz w:val="24"/>
          <w:b/>
        </w:rPr>
        <w:t>五、人员要求</w:t>
      </w:r>
    </w:p>
    <w:p>
      <w:pPr>
        <w:pStyle w:val="null3"/>
        <w:ind w:firstLine="480"/>
        <w:jc w:val="both"/>
      </w:pPr>
      <w:r>
        <w:rPr>
          <w:sz w:val="24"/>
        </w:rPr>
        <w:t>1</w:t>
      </w:r>
      <w:r>
        <w:rPr>
          <w:sz w:val="24"/>
        </w:rPr>
        <w:t>、</w:t>
      </w:r>
      <w:r>
        <w:rPr>
          <w:sz w:val="24"/>
        </w:rPr>
        <w:t>本项目投入服务人员不少于</w:t>
      </w:r>
      <w:r>
        <w:rPr>
          <w:sz w:val="24"/>
        </w:rPr>
        <w:t>30</w:t>
      </w:r>
      <w:r>
        <w:rPr>
          <w:sz w:val="24"/>
        </w:rPr>
        <w:t>人（含</w:t>
      </w:r>
      <w:r>
        <w:rPr>
          <w:sz w:val="24"/>
        </w:rPr>
        <w:t>本数</w:t>
      </w:r>
      <w:r>
        <w:rPr>
          <w:sz w:val="24"/>
        </w:rPr>
        <w:t>），且持有持有有效的有害生物防制</w:t>
      </w:r>
      <w:r>
        <w:rPr>
          <w:sz w:val="24"/>
        </w:rPr>
        <w:t>等级</w:t>
      </w:r>
      <w:r>
        <w:rPr>
          <w:sz w:val="24"/>
        </w:rPr>
        <w:t>证书。</w:t>
      </w:r>
    </w:p>
    <w:p>
      <w:pPr>
        <w:pStyle w:val="null3"/>
        <w:jc w:val="center"/>
      </w:pPr>
      <w:r>
        <w:rPr>
          <w:sz w:val="24"/>
        </w:rPr>
        <w:t>人员基本配置要求</w:t>
      </w:r>
    </w:p>
    <w:tbl>
      <w:tblPr>
        <w:tblW w:w="0" w:type="auto"/>
        <w:tblBorders>
          <w:top w:val="none" w:color="000000" w:sz="4"/>
          <w:left w:val="none" w:color="000000" w:sz="4"/>
          <w:bottom w:val="none" w:color="000000" w:sz="4"/>
          <w:right w:val="none" w:color="000000" w:sz="4"/>
          <w:insideH w:val="none"/>
          <w:insideV w:val="none"/>
        </w:tblBorders>
      </w:tblPr>
      <w:tblGrid>
        <w:gridCol w:w="877"/>
        <w:gridCol w:w="1471"/>
        <w:gridCol w:w="4814"/>
        <w:gridCol w:w="1144"/>
      </w:tblGrid>
      <w:tr>
        <w:tc>
          <w:tcPr>
            <w:tcW w:type="dxa" w:w="8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4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人员岗位</w:t>
            </w:r>
          </w:p>
        </w:tc>
        <w:tc>
          <w:tcPr>
            <w:tcW w:type="dxa" w:w="4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工作要求</w:t>
            </w:r>
          </w:p>
        </w:tc>
        <w:tc>
          <w:tcPr>
            <w:tcW w:type="dxa" w:w="11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r>
      <w:tr>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管理人员</w:t>
            </w:r>
          </w:p>
        </w:tc>
        <w:tc>
          <w:tcPr>
            <w:tcW w:type="dxa" w:w="4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负责管理工作团队，并制定每次的除</w:t>
            </w:r>
            <w:r>
              <w:rPr>
                <w:sz w:val="24"/>
              </w:rPr>
              <w:t>“四害”工作方案及分配工作，具有“有害生物防制员中级（或以上）资格证，有除“四害”工作管理经验。</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不少于</w:t>
            </w:r>
            <w:r>
              <w:rPr>
                <w:sz w:val="24"/>
              </w:rPr>
              <w:t>1人</w:t>
            </w:r>
          </w:p>
        </w:tc>
      </w:tr>
      <w:tr>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除</w:t>
            </w:r>
            <w:r>
              <w:rPr>
                <w:sz w:val="24"/>
              </w:rPr>
              <w:t>“四害”专业人员</w:t>
            </w:r>
          </w:p>
        </w:tc>
        <w:tc>
          <w:tcPr>
            <w:tcW w:type="dxa" w:w="4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负责主要的除</w:t>
            </w:r>
            <w:r>
              <w:rPr>
                <w:sz w:val="24"/>
              </w:rPr>
              <w:t>“四害”工作及技术指导，具有“有效的有害生物防制等级证书”，有除“四害”工作经验，技术熟练，政治素质良好。</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不少于</w:t>
            </w:r>
            <w:r>
              <w:rPr>
                <w:sz w:val="24"/>
              </w:rPr>
              <w:t>28人</w:t>
            </w:r>
          </w:p>
        </w:tc>
      </w:tr>
      <w:tr>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质检人员</w:t>
            </w:r>
          </w:p>
        </w:tc>
        <w:tc>
          <w:tcPr>
            <w:tcW w:type="dxa" w:w="4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负责日常除</w:t>
            </w:r>
            <w:r>
              <w:rPr>
                <w:sz w:val="24"/>
              </w:rPr>
              <w:t>“四害”自我监督巡查工作，配合甲方和质量评估单位做好监督检查，完善各项“四害”防治、监测台账资料。</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不少于</w:t>
            </w:r>
            <w:r>
              <w:rPr>
                <w:sz w:val="24"/>
              </w:rPr>
              <w:t>1人</w:t>
            </w:r>
          </w:p>
        </w:tc>
      </w:tr>
    </w:tbl>
    <w:p>
      <w:pPr>
        <w:pStyle w:val="null3"/>
        <w:ind w:firstLine="480"/>
        <w:jc w:val="both"/>
      </w:pPr>
      <w:r>
        <w:rPr>
          <w:sz w:val="24"/>
        </w:rPr>
        <w:t>备注：上述人员不能兼任岗位。</w:t>
      </w:r>
    </w:p>
    <w:p>
      <w:pPr>
        <w:pStyle w:val="null3"/>
        <w:ind w:firstLine="480"/>
        <w:jc w:val="both"/>
      </w:pPr>
      <w:r>
        <w:rPr>
          <w:sz w:val="24"/>
        </w:rPr>
        <w:t>2</w:t>
      </w:r>
      <w:r>
        <w:rPr>
          <w:sz w:val="24"/>
        </w:rPr>
        <w:t>、乙方</w:t>
      </w:r>
      <w:r>
        <w:rPr>
          <w:sz w:val="24"/>
        </w:rPr>
        <w:t>必须按</w:t>
      </w:r>
      <w:r>
        <w:rPr>
          <w:sz w:val="24"/>
        </w:rPr>
        <w:t>“</w:t>
      </w:r>
      <w:r>
        <w:rPr>
          <w:sz w:val="24"/>
        </w:rPr>
        <w:t>人员基本配置要求</w:t>
      </w:r>
      <w:r>
        <w:rPr>
          <w:sz w:val="24"/>
        </w:rPr>
        <w:t>”</w:t>
      </w:r>
      <w:r>
        <w:rPr>
          <w:sz w:val="24"/>
        </w:rPr>
        <w:t>聘请足额工作人员，人员数量必须满足</w:t>
      </w:r>
      <w:r>
        <w:rPr>
          <w:sz w:val="24"/>
        </w:rPr>
        <w:t>甲方</w:t>
      </w:r>
      <w:r>
        <w:rPr>
          <w:sz w:val="24"/>
        </w:rPr>
        <w:t>的实际工作要求，人员的年龄符合法定要求并具有完全民事行为能力及身体健全，身心健康。专业技术人员必须持证上岗。</w:t>
      </w:r>
    </w:p>
    <w:p>
      <w:pPr>
        <w:pStyle w:val="null3"/>
        <w:ind w:firstLine="480"/>
        <w:jc w:val="both"/>
      </w:pPr>
      <w:r>
        <w:rPr>
          <w:sz w:val="24"/>
        </w:rPr>
        <w:t>3</w:t>
      </w:r>
      <w:r>
        <w:rPr>
          <w:sz w:val="24"/>
        </w:rPr>
        <w:t>、</w:t>
      </w:r>
      <w:r>
        <w:rPr>
          <w:sz w:val="24"/>
        </w:rPr>
        <w:t>工作人员上岗前须经过培训，理论基础扎实，熟练掌握设施设备的使用方法和操作技能。</w:t>
      </w:r>
    </w:p>
    <w:p>
      <w:pPr>
        <w:pStyle w:val="null3"/>
        <w:ind w:firstLine="480"/>
        <w:jc w:val="both"/>
      </w:pPr>
      <w:r>
        <w:rPr>
          <w:sz w:val="24"/>
        </w:rPr>
        <w:t>4</w:t>
      </w:r>
      <w:r>
        <w:rPr>
          <w:sz w:val="24"/>
        </w:rPr>
        <w:t>、</w:t>
      </w:r>
      <w:r>
        <w:rPr>
          <w:sz w:val="24"/>
        </w:rPr>
        <w:t>作业人员必须统一穿着经过审定的图案、色泽及格式制作的工作服，保持衣冠整洁。</w:t>
      </w:r>
    </w:p>
    <w:p>
      <w:pPr>
        <w:pStyle w:val="null3"/>
        <w:ind w:firstLine="480"/>
        <w:jc w:val="both"/>
      </w:pPr>
      <w:r>
        <w:rPr>
          <w:sz w:val="24"/>
        </w:rPr>
        <w:t>5</w:t>
      </w:r>
      <w:r>
        <w:rPr>
          <w:sz w:val="24"/>
        </w:rPr>
        <w:t>、</w:t>
      </w:r>
      <w:r>
        <w:rPr>
          <w:sz w:val="24"/>
        </w:rPr>
        <w:t>作业时间内，作业人员必须遵纪守法，文明作业，不得聚堆闲聊、瞌睡、执捡收集、挪用变卖垃圾废品及从事其它与作业无关的事项。</w:t>
      </w:r>
    </w:p>
    <w:p>
      <w:pPr>
        <w:pStyle w:val="null3"/>
        <w:ind w:firstLine="480"/>
        <w:jc w:val="both"/>
      </w:pPr>
      <w:r>
        <w:rPr>
          <w:sz w:val="24"/>
        </w:rPr>
        <w:t>6</w:t>
      </w:r>
      <w:r>
        <w:rPr>
          <w:sz w:val="24"/>
        </w:rPr>
        <w:t>、</w:t>
      </w:r>
      <w:r>
        <w:rPr>
          <w:sz w:val="24"/>
        </w:rPr>
        <w:t>管理人员负责服务区域巡查管理工作，并按要求做好工作安排。管理人员必须</w:t>
      </w:r>
      <w:r>
        <w:rPr>
          <w:sz w:val="24"/>
        </w:rPr>
        <w:t>24</w:t>
      </w:r>
      <w:r>
        <w:rPr>
          <w:sz w:val="24"/>
        </w:rPr>
        <w:t>小时保证移动电话畅通。专业人员确定后不得随意更换，更换后需提供人员的资料给采购人备案；质检人员必须做好日常除</w:t>
      </w:r>
      <w:r>
        <w:rPr>
          <w:sz w:val="24"/>
        </w:rPr>
        <w:t>“</w:t>
      </w:r>
      <w:r>
        <w:rPr>
          <w:sz w:val="24"/>
        </w:rPr>
        <w:t>四害</w:t>
      </w:r>
      <w:r>
        <w:rPr>
          <w:sz w:val="24"/>
        </w:rPr>
        <w:t>”</w:t>
      </w:r>
      <w:r>
        <w:rPr>
          <w:sz w:val="24"/>
        </w:rPr>
        <w:t>自我监督巡查工作，每季度上报监督巡查报告和监测报告等资料。</w:t>
      </w:r>
    </w:p>
    <w:p>
      <w:pPr>
        <w:pStyle w:val="null3"/>
        <w:ind w:firstLine="480"/>
        <w:jc w:val="both"/>
      </w:pPr>
      <w:r>
        <w:rPr>
          <w:sz w:val="24"/>
        </w:rPr>
        <w:t>7</w:t>
      </w:r>
      <w:r>
        <w:rPr>
          <w:sz w:val="24"/>
        </w:rPr>
        <w:t>、乙方</w:t>
      </w:r>
      <w:r>
        <w:rPr>
          <w:sz w:val="24"/>
        </w:rPr>
        <w:t>必须执行国家劳动法的相关规定。</w:t>
      </w:r>
    </w:p>
    <w:p>
      <w:pPr>
        <w:pStyle w:val="null3"/>
        <w:jc w:val="both"/>
      </w:pPr>
      <w:r>
        <w:rPr>
          <w:sz w:val="24"/>
          <w:b/>
        </w:rPr>
        <w:t>六</w:t>
      </w:r>
      <w:r>
        <w:rPr>
          <w:sz w:val="24"/>
          <w:b/>
        </w:rPr>
        <w:t>、</w:t>
      </w:r>
      <w:r>
        <w:rPr>
          <w:sz w:val="24"/>
          <w:b/>
        </w:rPr>
        <w:t>设备配置要求</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808"/>
        <w:gridCol w:w="1123"/>
        <w:gridCol w:w="5098"/>
        <w:gridCol w:w="1260"/>
      </w:tblGrid>
      <w:tr>
        <w:tc>
          <w:tcPr>
            <w:tcW w:type="dxa" w:w="8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1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设备名称</w:t>
            </w:r>
          </w:p>
        </w:tc>
        <w:tc>
          <w:tcPr>
            <w:tcW w:type="dxa" w:w="50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参数要求</w:t>
            </w:r>
          </w:p>
        </w:tc>
        <w:tc>
          <w:tcPr>
            <w:tcW w:type="dxa" w:w="1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r>
      <w:tr>
        <w:tc>
          <w:tcPr>
            <w:tcW w:type="dxa" w:w="8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1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超低容量喷雾机</w:t>
            </w:r>
          </w:p>
        </w:tc>
        <w:tc>
          <w:tcPr>
            <w:tcW w:type="dxa" w:w="5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背负式机动型要求：雾滴直径：</w:t>
            </w:r>
            <w:r>
              <w:rPr>
                <w:sz w:val="24"/>
              </w:rPr>
              <w:t>5-30微米。额定流量：1-6L/分钟。水平射程：＞8米。药箱容量：≥2.5L。</w:t>
            </w:r>
          </w:p>
        </w:tc>
        <w:tc>
          <w:tcPr>
            <w:tcW w:type="dxa" w:w="12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总数不少于</w:t>
            </w:r>
            <w:r>
              <w:rPr>
                <w:sz w:val="24"/>
              </w:rPr>
              <w:t>20台</w:t>
            </w:r>
          </w:p>
        </w:tc>
      </w:tr>
      <w:tr>
        <w:tc>
          <w:tcPr>
            <w:tcW w:type="dxa" w:w="808"/>
            <w:vMerge/>
            <w:tcBorders>
              <w:top w:val="none" w:color="000000" w:sz="4"/>
              <w:left w:val="single" w:color="000000" w:sz="4"/>
              <w:bottom w:val="single" w:color="000000" w:sz="4"/>
              <w:right w:val="single" w:color="000000" w:sz="4"/>
            </w:tcBorders>
          </w:tcPr>
          <w:p/>
        </w:tc>
        <w:tc>
          <w:tcPr>
            <w:tcW w:type="dxa" w:w="1123"/>
            <w:vMerge/>
            <w:tcBorders>
              <w:top w:val="none" w:color="000000" w:sz="4"/>
              <w:left w:val="single" w:color="000000" w:sz="4"/>
              <w:bottom w:val="single" w:color="000000" w:sz="4"/>
              <w:right w:val="single" w:color="000000" w:sz="4"/>
            </w:tcBorders>
          </w:tcPr>
          <w:p/>
        </w:tc>
        <w:tc>
          <w:tcPr>
            <w:tcW w:type="dxa" w:w="5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背负式蓄电池型要求：直流无碳刷电机，雾滴直径：</w:t>
            </w:r>
            <w:r>
              <w:rPr>
                <w:sz w:val="24"/>
              </w:rPr>
              <w:t>10-30微米。药液输出量ml/min:0-330连续可调。药箱容量：5L。电池：配置2块锂电池。工作时间≥120min。</w:t>
            </w:r>
          </w:p>
        </w:tc>
        <w:tc>
          <w:tcPr>
            <w:tcW w:type="dxa" w:w="1260"/>
            <w:vMerge/>
            <w:tcBorders>
              <w:top w:val="none" w:color="000000" w:sz="4"/>
              <w:left w:val="single" w:color="000000" w:sz="4"/>
              <w:bottom w:val="single" w:color="000000" w:sz="4"/>
              <w:right w:val="single" w:color="000000" w:sz="4"/>
            </w:tcBorders>
          </w:tcPr>
          <w:p/>
        </w:tc>
      </w:tr>
      <w:tr>
        <w:tc>
          <w:tcPr>
            <w:tcW w:type="dxa" w:w="8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1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常量喷雾机</w:t>
            </w:r>
          </w:p>
        </w:tc>
        <w:tc>
          <w:tcPr>
            <w:tcW w:type="dxa" w:w="5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机动式喷雾机：雾滴直径：</w:t>
            </w:r>
            <w:r>
              <w:rPr>
                <w:sz w:val="24"/>
              </w:rPr>
              <w:t>≥50-200微米。水平射程＞8米。</w:t>
            </w:r>
          </w:p>
        </w:tc>
        <w:tc>
          <w:tcPr>
            <w:tcW w:type="dxa" w:w="12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总数不少于</w:t>
            </w:r>
            <w:r>
              <w:rPr>
                <w:sz w:val="24"/>
              </w:rPr>
              <w:t>30台</w:t>
            </w:r>
          </w:p>
        </w:tc>
      </w:tr>
      <w:tr>
        <w:tc>
          <w:tcPr>
            <w:tcW w:type="dxa" w:w="808"/>
            <w:vMerge/>
            <w:tcBorders>
              <w:top w:val="none" w:color="000000" w:sz="4"/>
              <w:left w:val="single" w:color="000000" w:sz="4"/>
              <w:bottom w:val="single" w:color="000000" w:sz="4"/>
              <w:right w:val="single" w:color="000000" w:sz="4"/>
            </w:tcBorders>
          </w:tcPr>
          <w:p/>
        </w:tc>
        <w:tc>
          <w:tcPr>
            <w:tcW w:type="dxa" w:w="1123"/>
            <w:vMerge/>
            <w:tcBorders>
              <w:top w:val="none" w:color="000000" w:sz="4"/>
              <w:left w:val="single" w:color="000000" w:sz="4"/>
              <w:bottom w:val="single" w:color="000000" w:sz="4"/>
              <w:right w:val="single" w:color="000000" w:sz="4"/>
            </w:tcBorders>
          </w:tcPr>
          <w:p/>
        </w:tc>
        <w:tc>
          <w:tcPr>
            <w:tcW w:type="dxa" w:w="5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电动式喷雾机：雾滴直径：</w:t>
            </w:r>
            <w:r>
              <w:rPr>
                <w:sz w:val="24"/>
              </w:rPr>
              <w:t>≥50-200微米。水平射程＞6米。</w:t>
            </w:r>
          </w:p>
        </w:tc>
        <w:tc>
          <w:tcPr>
            <w:tcW w:type="dxa" w:w="1260"/>
            <w:vMerge/>
            <w:tcBorders>
              <w:top w:val="none" w:color="000000" w:sz="4"/>
              <w:left w:val="single" w:color="000000" w:sz="4"/>
              <w:bottom w:val="single" w:color="000000" w:sz="4"/>
              <w:right w:val="single" w:color="000000" w:sz="4"/>
            </w:tcBorders>
          </w:tcPr>
          <w:p/>
        </w:tc>
      </w:tr>
      <w:tr>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热烟雾机</w:t>
            </w:r>
          </w:p>
        </w:tc>
        <w:tc>
          <w:tcPr>
            <w:tcW w:type="dxa" w:w="5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雾滴直径：</w:t>
            </w:r>
            <w:r>
              <w:rPr>
                <w:sz w:val="24"/>
              </w:rPr>
              <w:t>≤5微米。药液输出量：0-42L/小时。药箱容量：5L或以上。</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不少于</w:t>
            </w:r>
            <w:r>
              <w:rPr>
                <w:sz w:val="24"/>
              </w:rPr>
              <w:t>15台</w:t>
            </w:r>
          </w:p>
        </w:tc>
      </w:tr>
      <w:tr>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小型汽车</w:t>
            </w:r>
          </w:p>
        </w:tc>
        <w:tc>
          <w:tcPr>
            <w:tcW w:type="dxa" w:w="5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四轮或以上，总质量不超过</w:t>
            </w:r>
            <w:r>
              <w:rPr>
                <w:sz w:val="24"/>
              </w:rPr>
              <w:t>4500kg</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不少于</w:t>
            </w:r>
            <w:r>
              <w:rPr>
                <w:sz w:val="24"/>
              </w:rPr>
              <w:t>2辆</w:t>
            </w:r>
          </w:p>
        </w:tc>
      </w:tr>
    </w:tbl>
    <w:p>
      <w:pPr>
        <w:pStyle w:val="null3"/>
        <w:ind w:firstLine="480"/>
        <w:jc w:val="both"/>
      </w:pPr>
      <w:r>
        <w:rPr>
          <w:sz w:val="24"/>
        </w:rPr>
        <w:t>备注：</w:t>
      </w:r>
    </w:p>
    <w:p>
      <w:pPr>
        <w:pStyle w:val="null3"/>
        <w:ind w:right="-510" w:firstLine="480"/>
        <w:jc w:val="both"/>
      </w:pPr>
      <w:r>
        <w:rPr>
          <w:sz w:val="24"/>
        </w:rPr>
        <w:t>1</w:t>
      </w:r>
      <w:r>
        <w:rPr>
          <w:sz w:val="24"/>
        </w:rPr>
        <w:t>、乙方必须承诺上述人员和设备专用于本项目，否则甲方有权终止其服务资格。</w:t>
      </w:r>
    </w:p>
    <w:p>
      <w:pPr>
        <w:pStyle w:val="null3"/>
        <w:ind w:right="-510" w:firstLine="480"/>
        <w:jc w:val="both"/>
      </w:pPr>
      <w:r>
        <w:rPr>
          <w:sz w:val="24"/>
        </w:rPr>
        <w:t>2</w:t>
      </w:r>
      <w:r>
        <w:rPr>
          <w:sz w:val="24"/>
        </w:rPr>
        <w:t>、工作车辆必须为四轮或以上小型汽车，日常施工可增加电动三轮车作为辅助车辆。</w:t>
      </w:r>
    </w:p>
    <w:p>
      <w:pPr>
        <w:pStyle w:val="null3"/>
        <w:jc w:val="both"/>
      </w:pPr>
      <w:r>
        <w:rPr>
          <w:sz w:val="24"/>
          <w:b/>
        </w:rPr>
        <w:t>七</w:t>
      </w:r>
      <w:r>
        <w:rPr>
          <w:sz w:val="24"/>
          <w:b/>
        </w:rPr>
        <w:t>、</w:t>
      </w:r>
      <w:r>
        <w:rPr>
          <w:sz w:val="24"/>
          <w:b/>
        </w:rPr>
        <w:t>设置监督机制</w:t>
      </w:r>
    </w:p>
    <w:p>
      <w:pPr>
        <w:pStyle w:val="null3"/>
        <w:ind w:right="-510" w:firstLine="480"/>
        <w:jc w:val="both"/>
      </w:pPr>
      <w:r>
        <w:rPr>
          <w:sz w:val="24"/>
        </w:rPr>
        <w:t>甲方</w:t>
      </w:r>
      <w:r>
        <w:rPr>
          <w:sz w:val="24"/>
        </w:rPr>
        <w:t>建立由卫生健康、市场监管、综合执法、村（居）委会等多部门联合监督检查机制，定期组织开展消杀质量监督检查，内容包括药物及器械储备、药物浓度配比、施工范围等。</w:t>
      </w:r>
    </w:p>
    <w:p>
      <w:pPr>
        <w:pStyle w:val="null3"/>
        <w:jc w:val="both"/>
      </w:pPr>
      <w:r>
        <w:rPr>
          <w:sz w:val="24"/>
          <w:b/>
        </w:rPr>
        <w:t>八</w:t>
      </w:r>
      <w:r>
        <w:rPr>
          <w:sz w:val="24"/>
          <w:b/>
        </w:rPr>
        <w:t>、</w:t>
      </w:r>
      <w:r>
        <w:rPr>
          <w:sz w:val="24"/>
          <w:b/>
        </w:rPr>
        <w:t>应急储备</w:t>
      </w:r>
    </w:p>
    <w:p>
      <w:pPr>
        <w:pStyle w:val="null3"/>
        <w:ind w:right="-510" w:firstLine="480"/>
        <w:jc w:val="both"/>
      </w:pPr>
      <w:r>
        <w:rPr>
          <w:sz w:val="24"/>
        </w:rPr>
        <w:t>1</w:t>
      </w:r>
      <w:r>
        <w:rPr>
          <w:sz w:val="24"/>
        </w:rPr>
        <w:t>、乙方做好在发生传染病疫情或其它突发公共卫生事件等时，对辖区范围内进行病媒生物防制应急处置的专业人员队伍配置和药物、器械的贮备。</w:t>
      </w:r>
    </w:p>
    <w:p>
      <w:pPr>
        <w:pStyle w:val="null3"/>
        <w:ind w:right="-510" w:firstLine="480"/>
        <w:jc w:val="both"/>
      </w:pPr>
      <w:r>
        <w:rPr>
          <w:sz w:val="24"/>
        </w:rPr>
        <w:t>2</w:t>
      </w:r>
      <w:r>
        <w:rPr>
          <w:sz w:val="24"/>
        </w:rPr>
        <w:t>、乙方配合病媒生物应急处置工作。在有需要时根据甲方需求，迅速开展应急处置工作，抽调足够数量专业人员队伍、药物、器械参与。</w:t>
      </w:r>
    </w:p>
    <w:p>
      <w:pPr>
        <w:pStyle w:val="null3"/>
      </w:pPr>
      <w:r>
        <w:rPr>
          <w:sz w:val="24"/>
          <w:b/>
        </w:rPr>
        <w:t>九</w:t>
      </w:r>
      <w:r>
        <w:rPr>
          <w:sz w:val="24"/>
          <w:b/>
        </w:rPr>
        <w:t>、</w:t>
      </w:r>
      <w:r>
        <w:rPr>
          <w:sz w:val="24"/>
          <w:b/>
        </w:rPr>
        <w:t>考核制度</w:t>
      </w:r>
    </w:p>
    <w:p>
      <w:pPr>
        <w:pStyle w:val="null3"/>
        <w:ind w:right="-510" w:firstLine="480"/>
        <w:jc w:val="both"/>
      </w:pPr>
      <w:r>
        <w:rPr>
          <w:sz w:val="24"/>
        </w:rPr>
        <w:t>1.</w:t>
      </w:r>
      <w:r>
        <w:rPr>
          <w:sz w:val="24"/>
        </w:rPr>
        <w:t>采购人定时对</w:t>
      </w:r>
      <w:r>
        <w:rPr>
          <w:sz w:val="24"/>
        </w:rPr>
        <w:t>乙方</w:t>
      </w:r>
      <w:r>
        <w:rPr>
          <w:sz w:val="24"/>
        </w:rPr>
        <w:t>服务范围内的除</w:t>
      </w:r>
      <w:r>
        <w:rPr>
          <w:sz w:val="24"/>
        </w:rPr>
        <w:t>“</w:t>
      </w:r>
      <w:r>
        <w:rPr>
          <w:sz w:val="24"/>
        </w:rPr>
        <w:t>四害</w:t>
      </w:r>
      <w:r>
        <w:rPr>
          <w:sz w:val="24"/>
        </w:rPr>
        <w:t>”</w:t>
      </w:r>
      <w:r>
        <w:rPr>
          <w:sz w:val="24"/>
        </w:rPr>
        <w:t>工作质量进行综合考评，考评采用百分制。</w:t>
      </w:r>
    </w:p>
    <w:p>
      <w:pPr>
        <w:pStyle w:val="null3"/>
        <w:ind w:right="-510" w:firstLine="480"/>
        <w:jc w:val="both"/>
      </w:pPr>
      <w:r>
        <w:rPr>
          <w:sz w:val="24"/>
        </w:rPr>
        <w:t>2.</w:t>
      </w:r>
      <w:r>
        <w:rPr>
          <w:sz w:val="24"/>
        </w:rPr>
        <w:t>考核内容根据《国家卫生城市评审标准》进行制定。</w:t>
      </w:r>
    </w:p>
    <w:p>
      <w:pPr>
        <w:pStyle w:val="null3"/>
        <w:ind w:right="-510" w:firstLine="480"/>
        <w:jc w:val="both"/>
      </w:pPr>
      <w:r>
        <w:rPr>
          <w:sz w:val="24"/>
        </w:rPr>
        <w:t>3.</w:t>
      </w:r>
      <w:r>
        <w:rPr>
          <w:sz w:val="24"/>
        </w:rPr>
        <w:t>考核评分标准</w:t>
      </w:r>
    </w:p>
    <w:tbl>
      <w:tblPr>
        <w:tblW w:w="0" w:type="auto"/>
        <w:tblBorders>
          <w:top w:val="none" w:color="000000" w:sz="4"/>
          <w:left w:val="none" w:color="000000" w:sz="4"/>
          <w:bottom w:val="none" w:color="000000" w:sz="4"/>
          <w:right w:val="none" w:color="000000" w:sz="4"/>
          <w:insideH w:val="none"/>
          <w:insideV w:val="none"/>
        </w:tblBorders>
      </w:tblPr>
      <w:tblGrid>
        <w:gridCol w:w="795"/>
        <w:gridCol w:w="2939"/>
        <w:gridCol w:w="660"/>
        <w:gridCol w:w="3236"/>
        <w:gridCol w:w="647"/>
      </w:tblGrid>
      <w:tr>
        <w:tc>
          <w:tcPr>
            <w:tcW w:type="dxa" w:w="8277"/>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一、操作（</w:t>
            </w:r>
            <w:r>
              <w:rPr>
                <w:sz w:val="24"/>
              </w:rPr>
              <w:t>16分）</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基本标准要求</w:t>
            </w:r>
          </w:p>
        </w:tc>
        <w:tc>
          <w:tcPr>
            <w:tcW w:type="dxa" w:w="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分值</w:t>
            </w:r>
          </w:p>
        </w:tc>
        <w:tc>
          <w:tcPr>
            <w:tcW w:type="dxa" w:w="3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考核扣分</w:t>
            </w:r>
          </w:p>
        </w:tc>
        <w:tc>
          <w:tcPr>
            <w:tcW w:type="dxa" w:w="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得分情况</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2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不使用国家禁用的</w:t>
            </w:r>
            <w:r>
              <w:rPr>
                <w:sz w:val="24"/>
              </w:rPr>
              <w:t>灭</w:t>
            </w:r>
            <w:r>
              <w:rPr>
                <w:sz w:val="24"/>
              </w:rPr>
              <w:t>鼠剂</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发现使用国家禁用</w:t>
            </w:r>
            <w:r>
              <w:rPr>
                <w:sz w:val="24"/>
              </w:rPr>
              <w:t>灭</w:t>
            </w:r>
            <w:r>
              <w:rPr>
                <w:sz w:val="24"/>
              </w:rPr>
              <w:t>鼠剂扣</w:t>
            </w:r>
            <w:r>
              <w:rPr>
                <w:sz w:val="24"/>
              </w:rPr>
              <w:t>1分</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2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灭鼠药物保管完善，不遗失</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遗失</w:t>
            </w:r>
            <w:r>
              <w:rPr>
                <w:sz w:val="24"/>
              </w:rPr>
              <w:t>灭</w:t>
            </w:r>
            <w:r>
              <w:rPr>
                <w:sz w:val="24"/>
              </w:rPr>
              <w:t>鼠剂或者毒饵，扣</w:t>
            </w:r>
            <w:r>
              <w:rPr>
                <w:sz w:val="24"/>
              </w:rPr>
              <w:t>0.5-1分</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2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灭鼠毒饵靠边和隐蔽处投放，每堆</w:t>
            </w:r>
            <w:r>
              <w:rPr>
                <w:sz w:val="24"/>
              </w:rPr>
              <w:t>15-25克,点多、量饱和</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灭鼠毒饵多数投放不到位，每堆过多或过少，扣</w:t>
            </w:r>
            <w:r>
              <w:rPr>
                <w:sz w:val="24"/>
              </w:rPr>
              <w:t>0.5-1分</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2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灭鼠毒饵投放三天后要勤检查</w:t>
            </w:r>
            <w:r>
              <w:rPr>
                <w:sz w:val="24"/>
              </w:rPr>
              <w:t>,发现损耗立即补投,直至药量饱和</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灭鼠毒饵消耗不及时补投</w:t>
            </w:r>
            <w:r>
              <w:rPr>
                <w:sz w:val="24"/>
              </w:rPr>
              <w:t>,药量不饱和,扣0.5-1分</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2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可能孳生蚊虫的水体</w:t>
            </w:r>
            <w:r>
              <w:rPr>
                <w:sz w:val="24"/>
              </w:rPr>
              <w:t>,5-7日检查一次,有记录</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未按照规定检查蚊虫孳生地或无检查记录</w:t>
            </w:r>
            <w:r>
              <w:rPr>
                <w:sz w:val="24"/>
              </w:rPr>
              <w:t>,扣0.5-1分</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2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蚊虫孳生地控制措施落实</w:t>
            </w:r>
            <w:r>
              <w:rPr>
                <w:sz w:val="24"/>
              </w:rPr>
              <w:t>,不漏网；</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蚊虫孳生地控制漏网</w:t>
            </w:r>
            <w:r>
              <w:rPr>
                <w:sz w:val="24"/>
              </w:rPr>
              <w:t>,每处扣0.2分。</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2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对密封式下水道</w:t>
            </w:r>
            <w:r>
              <w:rPr>
                <w:sz w:val="24"/>
              </w:rPr>
              <w:t>定期使用</w:t>
            </w:r>
            <w:r>
              <w:rPr>
                <w:sz w:val="24"/>
              </w:rPr>
              <w:t>热烟雾处理</w:t>
            </w:r>
            <w:r>
              <w:rPr>
                <w:sz w:val="24"/>
              </w:rPr>
              <w:t>,熏杀成蚊和蟑螂</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未按规定</w:t>
            </w:r>
            <w:r>
              <w:rPr>
                <w:sz w:val="24"/>
              </w:rPr>
              <w:t>定期</w:t>
            </w:r>
            <w:r>
              <w:rPr>
                <w:sz w:val="24"/>
              </w:rPr>
              <w:t>对密封式下水道进行热烟雾处理或处理不全面</w:t>
            </w:r>
            <w:r>
              <w:rPr>
                <w:sz w:val="24"/>
              </w:rPr>
              <w:t>,扣1-2分</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2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公园、丛林、建筑工地、废品站和其他成蚊栖息场所，</w:t>
            </w:r>
            <w:r>
              <w:rPr>
                <w:sz w:val="24"/>
              </w:rPr>
              <w:t>定期开展</w:t>
            </w:r>
            <w:r>
              <w:rPr>
                <w:sz w:val="24"/>
              </w:rPr>
              <w:t>滞留或空间喷洒灭成蚊</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未按规定</w:t>
            </w:r>
            <w:r>
              <w:rPr>
                <w:sz w:val="24"/>
              </w:rPr>
              <w:t>定期</w:t>
            </w:r>
            <w:r>
              <w:rPr>
                <w:sz w:val="24"/>
              </w:rPr>
              <w:t>对重点场所喷药灭成蚊，扣</w:t>
            </w:r>
            <w:r>
              <w:rPr>
                <w:sz w:val="24"/>
              </w:rPr>
              <w:t>0.5-1分</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2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垃圾收集点、中转站和垃圾堆，每天喷药灭蝇灭蛆</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对垃圾收集点、中转站等，不坚持每天喷药灭蝇灭蛆，扣</w:t>
            </w:r>
            <w:r>
              <w:rPr>
                <w:sz w:val="24"/>
              </w:rPr>
              <w:t>0.5-1分</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w:t>
            </w:r>
          </w:p>
        </w:tc>
        <w:tc>
          <w:tcPr>
            <w:tcW w:type="dxa" w:w="2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在居民区、单位喷药除虫，要做好防污染</w:t>
            </w:r>
            <w:r>
              <w:rPr>
                <w:sz w:val="24"/>
              </w:rPr>
              <w:t>措施</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0.5</w:t>
            </w:r>
          </w:p>
        </w:tc>
        <w:tc>
          <w:tcPr>
            <w:tcW w:type="dxa" w:w="3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未做好防污染</w:t>
            </w:r>
            <w:r>
              <w:rPr>
                <w:sz w:val="24"/>
              </w:rPr>
              <w:t>措施</w:t>
            </w:r>
            <w:r>
              <w:rPr>
                <w:sz w:val="24"/>
              </w:rPr>
              <w:t>，扣</w:t>
            </w:r>
            <w:r>
              <w:rPr>
                <w:sz w:val="24"/>
              </w:rPr>
              <w:t>0.3-0.5分</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1.11</w:t>
            </w:r>
          </w:p>
        </w:tc>
        <w:tc>
          <w:tcPr>
            <w:tcW w:type="dxa" w:w="2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除虫施药注意个人防护，穿工作服，戴口罩和手套</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0.5</w:t>
            </w:r>
          </w:p>
        </w:tc>
        <w:tc>
          <w:tcPr>
            <w:tcW w:type="dxa" w:w="3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除虫施药不做好个人防护，扣</w:t>
            </w:r>
            <w:r>
              <w:rPr>
                <w:sz w:val="24"/>
              </w:rPr>
              <w:t>0.3-0.5分</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w:t>
            </w:r>
          </w:p>
        </w:tc>
        <w:tc>
          <w:tcPr>
            <w:tcW w:type="dxa" w:w="2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施药除虫剩余的药物和药物包装容器（材料），回收集中处理，不随地遗弃</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0.5</w:t>
            </w:r>
          </w:p>
        </w:tc>
        <w:tc>
          <w:tcPr>
            <w:tcW w:type="dxa" w:w="3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随处遗弃杀虫药物或药物包装容器（材料）扣</w:t>
            </w:r>
            <w:r>
              <w:rPr>
                <w:sz w:val="24"/>
              </w:rPr>
              <w:t>0.5分</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1.13</w:t>
            </w:r>
          </w:p>
        </w:tc>
        <w:tc>
          <w:tcPr>
            <w:tcW w:type="dxa" w:w="2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不在鱼塘和与养鱼有关的水体喷洒、倾倒杀虫剂和清洗喷雾工具、用具</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0.5</w:t>
            </w:r>
          </w:p>
        </w:tc>
        <w:tc>
          <w:tcPr>
            <w:tcW w:type="dxa" w:w="3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在鱼塘或与养鱼直接有关的水体喷洒、倾倒杀虫剂或清洗喷雾工具、用具，扣</w:t>
            </w:r>
            <w:r>
              <w:rPr>
                <w:sz w:val="24"/>
              </w:rPr>
              <w:t>0.5分</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1.14</w:t>
            </w:r>
          </w:p>
        </w:tc>
        <w:tc>
          <w:tcPr>
            <w:tcW w:type="dxa" w:w="2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服务范围全覆盖，无发生漏网现象</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抽查中发现服务范围有漏网的，或无按要求服务的，一次一项扣</w:t>
            </w:r>
            <w:r>
              <w:rPr>
                <w:sz w:val="24"/>
              </w:rPr>
              <w:t>1分。</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63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小计：</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27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二、防制效果（</w:t>
            </w:r>
            <w:r>
              <w:rPr>
                <w:sz w:val="24"/>
              </w:rPr>
              <w:t>55分）</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基本标准要求</w:t>
            </w:r>
          </w:p>
        </w:tc>
        <w:tc>
          <w:tcPr>
            <w:tcW w:type="dxa" w:w="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分值</w:t>
            </w:r>
          </w:p>
        </w:tc>
        <w:tc>
          <w:tcPr>
            <w:tcW w:type="dxa" w:w="3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考核扣分</w:t>
            </w:r>
          </w:p>
        </w:tc>
        <w:tc>
          <w:tcPr>
            <w:tcW w:type="dxa" w:w="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得分情况</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2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外环境每</w:t>
            </w:r>
            <w:r>
              <w:rPr>
                <w:sz w:val="24"/>
              </w:rPr>
              <w:t>2000米延长</w:t>
            </w:r>
            <w:r>
              <w:rPr>
                <w:sz w:val="24"/>
              </w:rPr>
              <w:t>线</w:t>
            </w:r>
            <w:r>
              <w:rPr>
                <w:sz w:val="24"/>
              </w:rPr>
              <w:t>有鼠迹不超过</w:t>
            </w:r>
            <w:r>
              <w:rPr>
                <w:sz w:val="24"/>
              </w:rPr>
              <w:t>5处</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3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鼠迹超过</w:t>
            </w:r>
            <w:r>
              <w:rPr>
                <w:sz w:val="24"/>
              </w:rPr>
              <w:t>5处,每超1处扣1分，扣完为止</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2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室内目测鼠迹阳性房间不超过</w:t>
            </w:r>
            <w:r>
              <w:rPr>
                <w:sz w:val="24"/>
              </w:rPr>
              <w:t>2%</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室内鼠迹阳性房间每超过</w:t>
            </w:r>
            <w:r>
              <w:rPr>
                <w:sz w:val="24"/>
              </w:rPr>
              <w:t>1%，扣1分，扣完为止</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2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粉迹法监测鼠密度，阳性率不超过</w:t>
            </w:r>
            <w:r>
              <w:rPr>
                <w:sz w:val="24"/>
              </w:rPr>
              <w:t>3%</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3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粉迹法监测鼠迹阳性率每超过</w:t>
            </w:r>
            <w:r>
              <w:rPr>
                <w:sz w:val="24"/>
              </w:rPr>
              <w:t>1%，扣1分，扣完为止</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2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检查蝇类孳生物，蝇幼虫或蛹检出率不超过</w:t>
            </w:r>
            <w:r>
              <w:rPr>
                <w:sz w:val="24"/>
              </w:rPr>
              <w:t>3%</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检出率超过</w:t>
            </w:r>
            <w:r>
              <w:rPr>
                <w:sz w:val="24"/>
              </w:rPr>
              <w:t>3%，每超1%扣1分，扣完为止</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2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垃圾收集点、中转站、堆放处，平均每平方米有蝇不超过</w:t>
            </w:r>
            <w:r>
              <w:rPr>
                <w:sz w:val="24"/>
              </w:rPr>
              <w:t>2只</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3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每平方米超过</w:t>
            </w:r>
            <w:r>
              <w:rPr>
                <w:sz w:val="24"/>
              </w:rPr>
              <w:t>2只,每超1只扣0.5分，扣完为止</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2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下水道、沉沙井及各类型积水，有蚊幼虫或蛹孳生不超过</w:t>
            </w:r>
            <w:r>
              <w:rPr>
                <w:sz w:val="24"/>
              </w:rPr>
              <w:t>3%</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3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蚊幼虫（蛹）检出率超过</w:t>
            </w:r>
            <w:r>
              <w:rPr>
                <w:sz w:val="24"/>
              </w:rPr>
              <w:t>3%，每超过1%扣1分，扣完为止</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2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污水沟（塘）、洼地等大中型水体，用</w:t>
            </w:r>
            <w:r>
              <w:rPr>
                <w:sz w:val="24"/>
              </w:rPr>
              <w:t>500毫升勺检查，有蚊幼虫（蛹）阳性勺不超过3%，每阳性勺有幼虫或蛹不超过5只</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3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大、中型水体有蚊幼虫或蛹的阳性勺超过</w:t>
            </w:r>
            <w:r>
              <w:rPr>
                <w:sz w:val="24"/>
              </w:rPr>
              <w:t>3%，每超过1%扣1分，扣完为止</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2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白天在公园、丛林、工地、废品站等场所人诱蚊</w:t>
            </w:r>
            <w:r>
              <w:rPr>
                <w:sz w:val="24"/>
              </w:rPr>
              <w:t>30分钟，平均每人次诱获成蚊不超过1只</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平均每人次诱获成蚊超过</w:t>
            </w:r>
            <w:r>
              <w:rPr>
                <w:sz w:val="24"/>
              </w:rPr>
              <w:t>1只，每超过1只扣1分，扣完为止</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2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平均每个下水道口和化粪池口有蟑螂成（若）虫不超过</w:t>
            </w:r>
            <w:r>
              <w:rPr>
                <w:sz w:val="24"/>
              </w:rPr>
              <w:t>2 只</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3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平均每处有蟑螂成（若）虫超过</w:t>
            </w:r>
            <w:r>
              <w:rPr>
                <w:sz w:val="24"/>
              </w:rPr>
              <w:t>2 只，每超1只扣0.5分，扣完为止</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w:t>
            </w:r>
          </w:p>
        </w:tc>
        <w:tc>
          <w:tcPr>
            <w:tcW w:type="dxa" w:w="2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区疾控中心组织开展相关病媒生物监测工作，结果符合标准要求</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3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区疾控中心的监测评价结果，每超标一项扣</w:t>
            </w:r>
            <w:r>
              <w:rPr>
                <w:sz w:val="24"/>
              </w:rPr>
              <w:t>4分。</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63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小计：</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27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三、消杀登记确认工作（</w:t>
            </w:r>
            <w:r>
              <w:rPr>
                <w:sz w:val="24"/>
              </w:rPr>
              <w:t>6分）</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基本标准要求</w:t>
            </w:r>
          </w:p>
        </w:tc>
        <w:tc>
          <w:tcPr>
            <w:tcW w:type="dxa" w:w="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分值</w:t>
            </w:r>
          </w:p>
        </w:tc>
        <w:tc>
          <w:tcPr>
            <w:tcW w:type="dxa" w:w="3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考核扣分</w:t>
            </w:r>
          </w:p>
        </w:tc>
        <w:tc>
          <w:tcPr>
            <w:tcW w:type="dxa" w:w="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得分情况</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2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由接受服务的单位值班人员或辖区</w:t>
            </w:r>
            <w:r>
              <w:rPr>
                <w:sz w:val="24"/>
              </w:rPr>
              <w:t>村</w:t>
            </w:r>
            <w:r>
              <w:rPr>
                <w:sz w:val="24"/>
              </w:rPr>
              <w:t>居委会卫生专干签名确认</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3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投药消杀后不按规定做好签名确认的，每漏一个扣</w:t>
            </w:r>
            <w:r>
              <w:rPr>
                <w:sz w:val="24"/>
              </w:rPr>
              <w:t>0.2分，扣完为止</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63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小计</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27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四、密度监测和资料档案管理（</w:t>
            </w:r>
            <w:r>
              <w:rPr>
                <w:sz w:val="24"/>
              </w:rPr>
              <w:t>8分）</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基本标准要求</w:t>
            </w:r>
          </w:p>
        </w:tc>
        <w:tc>
          <w:tcPr>
            <w:tcW w:type="dxa" w:w="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分值</w:t>
            </w:r>
          </w:p>
        </w:tc>
        <w:tc>
          <w:tcPr>
            <w:tcW w:type="dxa" w:w="3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考核扣分</w:t>
            </w:r>
          </w:p>
        </w:tc>
        <w:tc>
          <w:tcPr>
            <w:tcW w:type="dxa" w:w="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得分情况</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w:t>
            </w:r>
          </w:p>
        </w:tc>
        <w:tc>
          <w:tcPr>
            <w:tcW w:type="dxa" w:w="2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按要求开展鼠、蝇、蚊、蟑螂监测工作，做好监测记录和统计</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不按要求进行监测，或没有完整的监测记录的，扣</w:t>
            </w:r>
            <w:r>
              <w:rPr>
                <w:sz w:val="24"/>
              </w:rPr>
              <w:t>0.5-1分</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w:t>
            </w:r>
          </w:p>
        </w:tc>
        <w:tc>
          <w:tcPr>
            <w:tcW w:type="dxa" w:w="2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蚊、蝇孳生地每</w:t>
            </w:r>
            <w:r>
              <w:rPr>
                <w:sz w:val="24"/>
              </w:rPr>
              <w:t>5</w:t>
            </w:r>
            <w:r>
              <w:rPr>
                <w:sz w:val="24"/>
              </w:rPr>
              <w:t>-</w:t>
            </w:r>
            <w:r>
              <w:rPr>
                <w:sz w:val="24"/>
              </w:rPr>
              <w:t>7日检查处理一次，有蚊蝇孳生地检查处理记录</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不按规定时间检查或没有填报蚊蝇孳生地检查记录表的，扣</w:t>
            </w:r>
            <w:r>
              <w:rPr>
                <w:sz w:val="24"/>
              </w:rPr>
              <w:t>0.5-1分</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w:t>
            </w:r>
          </w:p>
        </w:tc>
        <w:tc>
          <w:tcPr>
            <w:tcW w:type="dxa" w:w="2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建立污水塘、污水涌等大中型蚊孳生地工作档案，每</w:t>
            </w:r>
            <w:r>
              <w:rPr>
                <w:sz w:val="24"/>
              </w:rPr>
              <w:t>7</w:t>
            </w:r>
            <w:r>
              <w:rPr>
                <w:sz w:val="24"/>
              </w:rPr>
              <w:t>天检查处理一次，有检查处理工作记录</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没有建立档案或没有完整的检查处理工作记录，扣</w:t>
            </w:r>
            <w:r>
              <w:rPr>
                <w:sz w:val="24"/>
              </w:rPr>
              <w:t>0.5-1分</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w:t>
            </w:r>
          </w:p>
        </w:tc>
        <w:tc>
          <w:tcPr>
            <w:tcW w:type="dxa" w:w="2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每季度</w:t>
            </w:r>
            <w:r>
              <w:rPr>
                <w:sz w:val="24"/>
              </w:rPr>
              <w:t>10号前将上一季度的“四害”密度监测资料（包括监测记录表、统计表、除“四害”工作总结等）报</w:t>
            </w:r>
            <w:r>
              <w:rPr>
                <w:sz w:val="24"/>
              </w:rPr>
              <w:t>采购人</w:t>
            </w:r>
            <w:r>
              <w:rPr>
                <w:sz w:val="24"/>
              </w:rPr>
              <w:t>。施工登记确认表要按</w:t>
            </w:r>
            <w:r>
              <w:rPr>
                <w:sz w:val="24"/>
              </w:rPr>
              <w:t>次</w:t>
            </w:r>
            <w:r>
              <w:rPr>
                <w:sz w:val="24"/>
              </w:rPr>
              <w:t>装订成册，以备检查。</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不按时将资料上报或上报资料不真实、不完整的，扣</w:t>
            </w:r>
            <w:r>
              <w:rPr>
                <w:sz w:val="24"/>
              </w:rPr>
              <w:t>0.5-1分；施工登记确认表没有</w:t>
            </w:r>
            <w:r>
              <w:rPr>
                <w:sz w:val="24"/>
              </w:rPr>
              <w:t>按要求</w:t>
            </w:r>
            <w:r>
              <w:rPr>
                <w:sz w:val="24"/>
              </w:rPr>
              <w:t>装订成册的，扣</w:t>
            </w:r>
            <w:r>
              <w:rPr>
                <w:sz w:val="24"/>
              </w:rPr>
              <w:t>0.5-1分</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r>
              <w:rPr>
                <w:sz w:val="24"/>
              </w:rPr>
              <w:t>5</w:t>
            </w:r>
          </w:p>
        </w:tc>
        <w:tc>
          <w:tcPr>
            <w:tcW w:type="dxa" w:w="2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除</w:t>
            </w:r>
            <w:r>
              <w:rPr>
                <w:sz w:val="24"/>
              </w:rPr>
              <w:t>“四害”各项资料档案规范、科学、可靠，有专柜保存</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除</w:t>
            </w:r>
            <w:r>
              <w:rPr>
                <w:sz w:val="24"/>
              </w:rPr>
              <w:t>“四害”资料不规范、不科学或弄虚作假，扣0.5分；没有用专柜保存，扣0.5分</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63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小计：</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27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五、群众满意度（</w:t>
            </w:r>
            <w:r>
              <w:rPr>
                <w:sz w:val="24"/>
              </w:rPr>
              <w:t>10分）</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基本标准要求</w:t>
            </w:r>
          </w:p>
        </w:tc>
        <w:tc>
          <w:tcPr>
            <w:tcW w:type="dxa" w:w="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分值</w:t>
            </w:r>
          </w:p>
        </w:tc>
        <w:tc>
          <w:tcPr>
            <w:tcW w:type="dxa" w:w="3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考核扣分</w:t>
            </w:r>
          </w:p>
        </w:tc>
        <w:tc>
          <w:tcPr>
            <w:tcW w:type="dxa" w:w="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得分情况</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w:t>
            </w:r>
          </w:p>
        </w:tc>
        <w:tc>
          <w:tcPr>
            <w:tcW w:type="dxa" w:w="2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定期</w:t>
            </w:r>
            <w:r>
              <w:rPr>
                <w:sz w:val="24"/>
              </w:rPr>
              <w:t>随机访问居民群众</w:t>
            </w:r>
            <w:r>
              <w:rPr>
                <w:sz w:val="24"/>
              </w:rPr>
              <w:t>20人，反映良好</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3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如受访者反映消杀质量差或</w:t>
            </w:r>
            <w:r>
              <w:rPr>
                <w:sz w:val="24"/>
              </w:rPr>
              <w:t>“四害”密度高的区域，经查属承包者责任的，每反映人次扣0.5分</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63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小计：</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63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六、日常群众投诉（</w:t>
            </w:r>
            <w:r>
              <w:rPr>
                <w:sz w:val="24"/>
              </w:rPr>
              <w:t>5分）</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基本标准要求</w:t>
            </w:r>
          </w:p>
        </w:tc>
        <w:tc>
          <w:tcPr>
            <w:tcW w:type="dxa" w:w="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分值</w:t>
            </w:r>
          </w:p>
        </w:tc>
        <w:tc>
          <w:tcPr>
            <w:tcW w:type="dxa" w:w="3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考核扣分</w:t>
            </w:r>
          </w:p>
        </w:tc>
        <w:tc>
          <w:tcPr>
            <w:tcW w:type="dxa" w:w="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得分情况</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w:t>
            </w:r>
          </w:p>
        </w:tc>
        <w:tc>
          <w:tcPr>
            <w:tcW w:type="dxa" w:w="2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经查实，日常无群众投诉</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日常群众来人、来电、来信、网上投诉消杀质量差或</w:t>
            </w:r>
            <w:r>
              <w:rPr>
                <w:sz w:val="24"/>
              </w:rPr>
              <w:t>“</w:t>
            </w:r>
            <w:r>
              <w:rPr>
                <w:sz w:val="24"/>
              </w:rPr>
              <w:t>四害</w:t>
            </w:r>
            <w:r>
              <w:rPr>
                <w:sz w:val="24"/>
              </w:rPr>
              <w:t>”</w:t>
            </w:r>
            <w:r>
              <w:rPr>
                <w:sz w:val="24"/>
              </w:rPr>
              <w:t>密度高的情况，经查属实的，每投诉人次扣</w:t>
            </w:r>
            <w:r>
              <w:rPr>
                <w:sz w:val="24"/>
              </w:rPr>
              <w:t>0.5分</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63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合计：</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27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评分人：</w:t>
            </w:r>
            <w:r>
              <w:rPr>
                <w:sz w:val="24"/>
              </w:rPr>
              <w:t xml:space="preserve">                       </w:t>
            </w:r>
            <w:r>
              <w:rPr>
                <w:sz w:val="24"/>
              </w:rPr>
              <w:t>复核人：</w:t>
            </w:r>
          </w:p>
        </w:tc>
      </w:tr>
      <w:tr>
        <w:tc>
          <w:tcPr>
            <w:tcW w:type="dxa" w:w="827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评审时间：</w:t>
            </w:r>
          </w:p>
        </w:tc>
      </w:tr>
    </w:tbl>
    <w:p>
      <w:pPr>
        <w:pStyle w:val="null3"/>
        <w:ind w:right="-510" w:firstLine="480"/>
        <w:jc w:val="both"/>
      </w:pPr>
      <w:r>
        <w:rPr>
          <w:sz w:val="24"/>
          <w:b/>
        </w:rPr>
        <w:t>十、扣罚</w:t>
      </w:r>
    </w:p>
    <w:p>
      <w:pPr>
        <w:pStyle w:val="null3"/>
        <w:ind w:right="-510" w:firstLine="480"/>
        <w:jc w:val="both"/>
      </w:pPr>
      <w:r>
        <w:rPr>
          <w:sz w:val="24"/>
        </w:rPr>
        <w:t>出现以下情形甲方有权对乙方作出相应处罚：</w:t>
      </w:r>
    </w:p>
    <w:p>
      <w:pPr>
        <w:pStyle w:val="null3"/>
        <w:ind w:right="-510" w:firstLine="480"/>
        <w:jc w:val="both"/>
      </w:pPr>
      <w:r>
        <w:rPr>
          <w:sz w:val="24"/>
        </w:rPr>
        <w:t>1</w:t>
      </w:r>
      <w:r>
        <w:rPr>
          <w:sz w:val="24"/>
        </w:rPr>
        <w:t>、违反操作规程，严重影响工作质量者，经查实，每次扣发总合同金额的</w:t>
      </w:r>
      <w:r>
        <w:rPr>
          <w:sz w:val="24"/>
        </w:rPr>
        <w:t>1%</w:t>
      </w:r>
      <w:r>
        <w:rPr>
          <w:sz w:val="24"/>
        </w:rPr>
        <w:t>，且须及时做好补救措施；</w:t>
      </w:r>
    </w:p>
    <w:p>
      <w:pPr>
        <w:pStyle w:val="null3"/>
        <w:ind w:right="-510" w:firstLine="480"/>
        <w:jc w:val="both"/>
      </w:pPr>
      <w:r>
        <w:rPr>
          <w:sz w:val="24"/>
        </w:rPr>
        <w:t>2</w:t>
      </w:r>
      <w:r>
        <w:rPr>
          <w:sz w:val="24"/>
        </w:rPr>
        <w:t>、不按规定施药，或施药弄虚作假，施药不足者，经查实，每次扣发总合同金额的</w:t>
      </w:r>
      <w:r>
        <w:rPr>
          <w:sz w:val="24"/>
        </w:rPr>
        <w:t>2%</w:t>
      </w:r>
      <w:r>
        <w:rPr>
          <w:sz w:val="24"/>
        </w:rPr>
        <w:t>，并及时做好补救措施；</w:t>
      </w:r>
    </w:p>
    <w:p>
      <w:pPr>
        <w:pStyle w:val="null3"/>
        <w:ind w:right="-510" w:firstLine="480"/>
        <w:jc w:val="both"/>
      </w:pPr>
      <w:r>
        <w:rPr>
          <w:sz w:val="24"/>
        </w:rPr>
        <w:t>3</w:t>
      </w:r>
      <w:r>
        <w:rPr>
          <w:sz w:val="24"/>
        </w:rPr>
        <w:t>、未按要求配备工作人员和设备，甲方要求其整改后仍未达到合同要求的，甲方有权终止合同。</w:t>
      </w:r>
    </w:p>
    <w:p>
      <w:pPr>
        <w:pStyle w:val="null3"/>
        <w:ind w:right="-510" w:firstLine="480"/>
        <w:jc w:val="both"/>
      </w:pPr>
      <w:r>
        <w:rPr>
          <w:sz w:val="24"/>
        </w:rPr>
        <w:t>4</w:t>
      </w:r>
      <w:r>
        <w:rPr>
          <w:sz w:val="24"/>
        </w:rPr>
        <w:t>、经市、区除“四害”检查组检查考核连续两期其中有二项不达到</w:t>
      </w:r>
      <w:r>
        <w:rPr>
          <w:sz w:val="24"/>
        </w:rPr>
        <w:t>C</w:t>
      </w:r>
      <w:r>
        <w:rPr>
          <w:sz w:val="24"/>
        </w:rPr>
        <w:t>级标准的，甲方可直接扣减期支付的服务费。视情节轻重，提前终止服务合同。</w:t>
      </w:r>
    </w:p>
    <w:p>
      <w:pPr>
        <w:pStyle w:val="null3"/>
        <w:ind w:right="-510" w:firstLine="480"/>
        <w:jc w:val="both"/>
      </w:pPr>
      <w:r>
        <w:rPr>
          <w:sz w:val="24"/>
        </w:rPr>
        <w:t>5</w:t>
      </w:r>
      <w:r>
        <w:rPr>
          <w:sz w:val="24"/>
        </w:rPr>
        <w:t>、使用不符合规定的药物造成人畜伤亡的，乙方须承担直接责任，甲方有权提前终止服务合同。</w:t>
      </w:r>
    </w:p>
    <w:p>
      <w:pPr>
        <w:pStyle w:val="null3"/>
        <w:ind w:right="-510" w:firstLine="480"/>
        <w:jc w:val="both"/>
      </w:pPr>
      <w:r>
        <w:rPr>
          <w:sz w:val="24"/>
        </w:rPr>
        <w:t>6</w:t>
      </w:r>
      <w:r>
        <w:rPr>
          <w:sz w:val="24"/>
        </w:rPr>
        <w:t>、不得以任何形式转包、分包本项目，一经查实，甲方有权扣减其总合同金额的</w:t>
      </w:r>
      <w:r>
        <w:rPr>
          <w:sz w:val="24"/>
        </w:rPr>
        <w:t>3%</w:t>
      </w:r>
      <w:r>
        <w:rPr>
          <w:sz w:val="24"/>
        </w:rPr>
        <w:t>，同时终止服务合同。</w:t>
      </w:r>
    </w:p>
    <w:p>
      <w:pPr>
        <w:pStyle w:val="null3"/>
        <w:ind w:right="-510" w:firstLine="480"/>
        <w:jc w:val="both"/>
      </w:pPr>
      <w:r>
        <w:rPr>
          <w:sz w:val="24"/>
        </w:rPr>
        <w:t>7</w:t>
      </w:r>
      <w:r>
        <w:rPr>
          <w:sz w:val="24"/>
        </w:rPr>
        <w:t>、如发现有新闻媒介批评曝光的问题，经查证属乙方责任的，每次罚款人民币</w:t>
      </w:r>
      <w:r>
        <w:rPr>
          <w:sz w:val="24"/>
        </w:rPr>
        <w:t>5000.00</w:t>
      </w:r>
      <w:r>
        <w:rPr>
          <w:sz w:val="24"/>
        </w:rPr>
        <w:t>元</w:t>
      </w:r>
      <w:r>
        <w:rPr>
          <w:sz w:val="24"/>
        </w:rPr>
        <w:t>/</w:t>
      </w:r>
      <w:r>
        <w:rPr>
          <w:sz w:val="24"/>
        </w:rPr>
        <w:t>次。出现上级部门和疾控部门风险指数监测属于高风险情况的，每次罚款人民币</w:t>
      </w:r>
      <w:r>
        <w:rPr>
          <w:sz w:val="24"/>
        </w:rPr>
        <w:t>3000.00</w:t>
      </w:r>
      <w:r>
        <w:rPr>
          <w:sz w:val="24"/>
        </w:rPr>
        <w:t>元</w:t>
      </w:r>
      <w:r>
        <w:rPr>
          <w:sz w:val="24"/>
        </w:rPr>
        <w:t>/</w:t>
      </w:r>
      <w:r>
        <w:rPr>
          <w:sz w:val="24"/>
        </w:rPr>
        <w:t>次，并在三天内整改到安全范围。</w:t>
      </w:r>
    </w:p>
    <w:p>
      <w:pPr>
        <w:pStyle w:val="null3"/>
        <w:ind w:right="-510" w:firstLine="480"/>
        <w:jc w:val="both"/>
      </w:pPr>
      <w:r>
        <w:rPr>
          <w:sz w:val="24"/>
        </w:rPr>
        <w:t>8</w:t>
      </w:r>
      <w:r>
        <w:rPr>
          <w:sz w:val="24"/>
        </w:rPr>
        <w:t>、因乙方原因造成西南街道病媒生物防制年度考核排名靠后的，以第四名为基准，每排后一名扣罚人民币</w:t>
      </w:r>
      <w:r>
        <w:rPr>
          <w:sz w:val="24"/>
        </w:rPr>
        <w:t>1000</w:t>
      </w:r>
      <w:r>
        <w:rPr>
          <w:sz w:val="24"/>
        </w:rPr>
        <w:t>元。</w:t>
      </w:r>
    </w:p>
    <w:p>
      <w:pPr>
        <w:pStyle w:val="null3"/>
        <w:ind w:right="-510" w:firstLine="480"/>
        <w:jc w:val="both"/>
      </w:pPr>
      <w:r>
        <w:rPr>
          <w:sz w:val="24"/>
        </w:rPr>
        <w:t>9</w:t>
      </w:r>
      <w:r>
        <w:rPr>
          <w:sz w:val="24"/>
        </w:rPr>
        <w:t>、由于以上原因被甲方终止服务合同的，三年内不得参与在西南街道辖区范围内除“四害”管理项目的投标资格。</w:t>
      </w:r>
    </w:p>
    <w:p>
      <w:pPr>
        <w:pStyle w:val="null3"/>
        <w:jc w:val="both"/>
      </w:pPr>
      <w:r>
        <w:rPr>
          <w:sz w:val="24"/>
          <w:b/>
        </w:rPr>
        <w:t>十一、违约责任与赔偿损失</w:t>
      </w:r>
    </w:p>
    <w:p>
      <w:pPr>
        <w:pStyle w:val="null3"/>
        <w:ind w:right="-510" w:firstLine="480"/>
        <w:jc w:val="both"/>
      </w:pPr>
      <w:r>
        <w:rPr>
          <w:sz w:val="24"/>
        </w:rPr>
        <w:t>1</w:t>
      </w:r>
      <w:r>
        <w:rPr>
          <w:sz w:val="24"/>
        </w:rPr>
        <w:t>、乙方对甲方应负担的总责任或赔偿金额，严格限制在年度合约价值内，或因合同、侵权（包括疏忽）、违反法律责任或因其他原因依据合同须负担责任的合同价值内。且供应商于任何情况下皆不须就下列任何项目负担责任：</w:t>
      </w:r>
    </w:p>
    <w:p>
      <w:pPr>
        <w:pStyle w:val="null3"/>
        <w:ind w:right="-510" w:firstLine="480"/>
        <w:jc w:val="both"/>
      </w:pPr>
      <w:r>
        <w:rPr>
          <w:sz w:val="24"/>
        </w:rPr>
        <w:t>（</w:t>
      </w:r>
      <w:r>
        <w:rPr>
          <w:sz w:val="24"/>
        </w:rPr>
        <w:t>1</w:t>
      </w:r>
      <w:r>
        <w:rPr>
          <w:sz w:val="24"/>
        </w:rPr>
        <w:t>）因任何害虫而产生的损失、损害或成本；</w:t>
      </w:r>
    </w:p>
    <w:p>
      <w:pPr>
        <w:pStyle w:val="null3"/>
        <w:ind w:right="-510" w:firstLine="480"/>
        <w:jc w:val="both"/>
      </w:pPr>
      <w:r>
        <w:rPr>
          <w:sz w:val="24"/>
        </w:rPr>
        <w:t>（</w:t>
      </w:r>
      <w:r>
        <w:rPr>
          <w:sz w:val="24"/>
        </w:rPr>
        <w:t>2</w:t>
      </w:r>
      <w:r>
        <w:rPr>
          <w:sz w:val="24"/>
        </w:rPr>
        <w:t>）利润损失、经济或财务损失、销售或业务损失、使用或营运中断损失、商誉损失；</w:t>
      </w:r>
    </w:p>
    <w:p>
      <w:pPr>
        <w:pStyle w:val="null3"/>
        <w:ind w:right="-510" w:firstLine="480"/>
        <w:jc w:val="both"/>
      </w:pPr>
      <w:r>
        <w:rPr>
          <w:sz w:val="24"/>
        </w:rPr>
        <w:t>（</w:t>
      </w:r>
      <w:r>
        <w:rPr>
          <w:sz w:val="24"/>
        </w:rPr>
        <w:t>3</w:t>
      </w:r>
      <w:r>
        <w:rPr>
          <w:sz w:val="24"/>
        </w:rPr>
        <w:t>）间接或必然损失。</w:t>
      </w:r>
    </w:p>
    <w:p>
      <w:pPr>
        <w:pStyle w:val="null3"/>
        <w:ind w:right="-510" w:firstLine="480"/>
        <w:jc w:val="both"/>
      </w:pPr>
      <w:r>
        <w:rPr>
          <w:sz w:val="24"/>
        </w:rPr>
        <w:t>2</w:t>
      </w:r>
      <w:r>
        <w:rPr>
          <w:sz w:val="24"/>
        </w:rPr>
        <w:t>、乙方未能按本合同规定的时间提供服务，从逾期之日起每日按本合同总价</w:t>
      </w:r>
      <w:r>
        <w:rPr>
          <w:sz w:val="24"/>
        </w:rPr>
        <w:t>3</w:t>
      </w:r>
      <w:r>
        <w:rPr>
          <w:sz w:val="24"/>
        </w:rPr>
        <w:t>‰的数额向甲方支付违约金；逾期半个月以上的，甲方有权终止合同，由此造成的甲方经济损失由乙方承担。</w:t>
      </w:r>
    </w:p>
    <w:p>
      <w:pPr>
        <w:pStyle w:val="null3"/>
        <w:ind w:right="-510" w:firstLine="480"/>
        <w:jc w:val="both"/>
      </w:pPr>
      <w:r>
        <w:rPr>
          <w:sz w:val="24"/>
        </w:rPr>
        <w:t>3</w:t>
      </w:r>
      <w:r>
        <w:rPr>
          <w:sz w:val="24"/>
        </w:rPr>
        <w:t>、甲方无正当理由拒收接受服务，到期拒付服务款项的，甲方向乙方偿付本合同总的</w:t>
      </w:r>
      <w:r>
        <w:rPr>
          <w:sz w:val="24"/>
        </w:rPr>
        <w:t>5%</w:t>
      </w:r>
      <w:r>
        <w:rPr>
          <w:sz w:val="24"/>
        </w:rPr>
        <w:t>的违约金。甲方逾期付款，则每日按本合同总价的</w:t>
      </w:r>
      <w:r>
        <w:rPr>
          <w:sz w:val="24"/>
        </w:rPr>
        <w:t>3</w:t>
      </w:r>
      <w:r>
        <w:rPr>
          <w:sz w:val="24"/>
        </w:rPr>
        <w:t>‰向供应商偿付违约金。</w:t>
      </w:r>
    </w:p>
    <w:p>
      <w:pPr>
        <w:pStyle w:val="null3"/>
        <w:ind w:right="-510" w:firstLine="480"/>
        <w:jc w:val="both"/>
      </w:pPr>
      <w:r>
        <w:rPr>
          <w:sz w:val="24"/>
        </w:rPr>
        <w:t>4</w:t>
      </w:r>
      <w:r>
        <w:rPr>
          <w:sz w:val="24"/>
        </w:rPr>
        <w:t>、其它违约责任按《中华人民共和国民法典》处理。</w:t>
      </w:r>
    </w:p>
    <w:p>
      <w:pPr>
        <w:pStyle w:val="null3"/>
        <w:jc w:val="both"/>
      </w:pPr>
      <w:r>
        <w:rPr>
          <w:sz w:val="24"/>
          <w:b/>
        </w:rPr>
        <w:t>十二、提出异议的时间和方法</w:t>
      </w:r>
    </w:p>
    <w:p>
      <w:pPr>
        <w:pStyle w:val="null3"/>
        <w:ind w:right="-510" w:firstLine="480"/>
        <w:jc w:val="both"/>
      </w:pPr>
      <w:r>
        <w:rPr>
          <w:sz w:val="24"/>
        </w:rPr>
        <w:t>1</w:t>
      </w:r>
      <w:r>
        <w:rPr>
          <w:sz w:val="24"/>
        </w:rPr>
        <w:t>、甲方有异议时，应</w:t>
      </w:r>
      <w:r>
        <w:rPr>
          <w:sz w:val="24"/>
        </w:rPr>
        <w:t>3</w:t>
      </w:r>
      <w:r>
        <w:rPr>
          <w:sz w:val="24"/>
        </w:rPr>
        <w:t>天内向乙方提出书面异议。</w:t>
      </w:r>
    </w:p>
    <w:p>
      <w:pPr>
        <w:pStyle w:val="null3"/>
        <w:ind w:right="-510" w:firstLine="480"/>
        <w:jc w:val="both"/>
      </w:pPr>
      <w:r>
        <w:rPr>
          <w:sz w:val="24"/>
        </w:rPr>
        <w:t>2</w:t>
      </w:r>
      <w:r>
        <w:rPr>
          <w:sz w:val="24"/>
        </w:rPr>
        <w:t>、乙方在接到甲方书面异议后，应在</w:t>
      </w:r>
      <w:r>
        <w:rPr>
          <w:sz w:val="24"/>
        </w:rPr>
        <w:t>3</w:t>
      </w:r>
      <w:r>
        <w:rPr>
          <w:sz w:val="24"/>
        </w:rPr>
        <w:t>天内负责处理并函复甲方处理情况，否则，即视为默认甲方提出的异议和处理意见。</w:t>
      </w:r>
    </w:p>
    <w:p>
      <w:pPr>
        <w:pStyle w:val="null3"/>
        <w:ind w:right="-510" w:firstLine="480"/>
        <w:jc w:val="both"/>
      </w:pPr>
      <w:r>
        <w:rPr>
          <w:sz w:val="24"/>
        </w:rPr>
        <w:t>3</w:t>
      </w:r>
      <w:r>
        <w:rPr>
          <w:sz w:val="24"/>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jc w:val="both"/>
      </w:pPr>
      <w:r>
        <w:rPr>
          <w:sz w:val="24"/>
          <w:b/>
        </w:rPr>
        <w:t>十</w:t>
      </w:r>
      <w:r>
        <w:rPr>
          <w:sz w:val="24"/>
          <w:b/>
        </w:rPr>
        <w:t>三</w:t>
      </w:r>
      <w:r>
        <w:rPr>
          <w:sz w:val="24"/>
          <w:b/>
        </w:rPr>
        <w:t>、反贿赂与贪污</w:t>
      </w:r>
    </w:p>
    <w:p>
      <w:pPr>
        <w:pStyle w:val="null3"/>
        <w:ind w:right="-510" w:firstLine="480"/>
        <w:jc w:val="both"/>
      </w:pPr>
      <w:r>
        <w:rPr>
          <w:sz w:val="24"/>
        </w:rPr>
        <w:t>甲乙双方兹此保证：</w:t>
      </w:r>
    </w:p>
    <w:p>
      <w:pPr>
        <w:pStyle w:val="null3"/>
        <w:ind w:right="-510" w:firstLine="480"/>
        <w:jc w:val="both"/>
      </w:pPr>
      <w:r>
        <w:rPr>
          <w:sz w:val="24"/>
        </w:rPr>
        <w:t>1</w:t>
      </w:r>
      <w:r>
        <w:rPr>
          <w:sz w:val="24"/>
        </w:rPr>
        <w:t>、无论签约方或代表签约方的任何他方，皆未因签署本合约而以任何方式提供、给予、要求或接受任何种类的不当财务或其他利益；</w:t>
      </w:r>
    </w:p>
    <w:p>
      <w:pPr>
        <w:pStyle w:val="null3"/>
        <w:ind w:right="-510" w:firstLine="480"/>
        <w:jc w:val="both"/>
      </w:pPr>
      <w:r>
        <w:rPr>
          <w:sz w:val="24"/>
        </w:rPr>
        <w:t>2</w:t>
      </w:r>
      <w:r>
        <w:rPr>
          <w:sz w:val="24"/>
        </w:rPr>
        <w:t>、于本合约有效期间内将遵循，且将采取合理措施确保代表签约方的任何他方遵循与反贿赂及反贪污有关的所有适用法律、条例与法规（相关规定）；</w:t>
      </w:r>
    </w:p>
    <w:p>
      <w:pPr>
        <w:pStyle w:val="null3"/>
        <w:ind w:right="-510" w:firstLine="480"/>
        <w:jc w:val="both"/>
      </w:pPr>
      <w:r>
        <w:rPr>
          <w:sz w:val="24"/>
        </w:rPr>
        <w:t>3</w:t>
      </w:r>
      <w:r>
        <w:rPr>
          <w:sz w:val="24"/>
        </w:rPr>
        <w:t>、其已制订，且于本合约有效期间内将维持自有政策与程序，以确保遵循相关规定且于适当时将执行该等规定；</w:t>
      </w:r>
    </w:p>
    <w:p>
      <w:pPr>
        <w:pStyle w:val="null3"/>
        <w:ind w:right="-510" w:firstLine="480"/>
        <w:jc w:val="both"/>
      </w:pPr>
      <w:r>
        <w:rPr>
          <w:sz w:val="24"/>
        </w:rPr>
        <w:t>4</w:t>
      </w:r>
      <w:r>
        <w:rPr>
          <w:sz w:val="24"/>
        </w:rPr>
        <w:t>、其应于自另一方或代表另一方履行本合约的任何他方，在收到与任何种类任何不当财务或其他利益有关的任何提议、请求或要求时立即通报另一方；</w:t>
      </w:r>
    </w:p>
    <w:p>
      <w:pPr>
        <w:pStyle w:val="null3"/>
        <w:ind w:right="-510" w:firstLine="480"/>
        <w:jc w:val="both"/>
      </w:pPr>
      <w:r>
        <w:rPr>
          <w:sz w:val="24"/>
        </w:rPr>
        <w:t>5</w:t>
      </w:r>
      <w:r>
        <w:rPr>
          <w:sz w:val="24"/>
        </w:rPr>
        <w:t>、若于本合约开始时明显可知（例如客户为公开组织），则应于公职人员成为该方经理人或员工或取得该方直接或间接利益时，立即（以书面）通知另一方。</w:t>
      </w:r>
    </w:p>
    <w:p>
      <w:pPr>
        <w:pStyle w:val="null3"/>
        <w:jc w:val="both"/>
      </w:pPr>
      <w:r>
        <w:rPr>
          <w:sz w:val="24"/>
          <w:b/>
        </w:rPr>
        <w:t>十</w:t>
      </w:r>
      <w:r>
        <w:rPr>
          <w:sz w:val="24"/>
          <w:b/>
        </w:rPr>
        <w:t>四</w:t>
      </w:r>
      <w:r>
        <w:rPr>
          <w:sz w:val="24"/>
          <w:b/>
        </w:rPr>
        <w:t>、争议的解决</w:t>
      </w:r>
    </w:p>
    <w:p>
      <w:pPr>
        <w:pStyle w:val="null3"/>
        <w:ind w:right="-510" w:firstLine="480"/>
        <w:jc w:val="both"/>
      </w:pPr>
      <w:r>
        <w:rPr>
          <w:sz w:val="24"/>
        </w:rPr>
        <w:t>1</w:t>
      </w:r>
      <w:r>
        <w:rPr>
          <w:sz w:val="24"/>
        </w:rPr>
        <w:t>、合同履行过程中发生的任何争议，如双方未能通过友好协商解决，应向佛山市有管辖权的人民法院提起诉讼。</w:t>
      </w:r>
    </w:p>
    <w:p>
      <w:pPr>
        <w:pStyle w:val="null3"/>
        <w:ind w:right="-510" w:firstLine="480"/>
        <w:jc w:val="both"/>
      </w:pPr>
      <w:r>
        <w:rPr>
          <w:sz w:val="24"/>
        </w:rPr>
        <w:t>2</w:t>
      </w:r>
      <w:r>
        <w:rPr>
          <w:sz w:val="24"/>
        </w:rPr>
        <w:t>、法院审理期间，除提交法院审理的事项外，其它无争议的事项和条款仍应继续履行。</w:t>
      </w:r>
    </w:p>
    <w:p>
      <w:pPr>
        <w:pStyle w:val="null3"/>
        <w:jc w:val="both"/>
      </w:pPr>
      <w:r>
        <w:rPr>
          <w:sz w:val="24"/>
          <w:b/>
        </w:rPr>
        <w:t>十</w:t>
      </w:r>
      <w:r>
        <w:rPr>
          <w:sz w:val="24"/>
          <w:b/>
        </w:rPr>
        <w:t>五</w:t>
      </w:r>
      <w:r>
        <w:rPr>
          <w:sz w:val="24"/>
          <w:b/>
        </w:rPr>
        <w:t>、不可抗力</w:t>
      </w:r>
    </w:p>
    <w:p>
      <w:pPr>
        <w:pStyle w:val="null3"/>
        <w:jc w:val="both"/>
      </w:pPr>
      <w:r>
        <w:rPr>
          <w:sz w:val="24"/>
        </w:rPr>
        <w:t xml:space="preserve">      任何一方由于不可抗力原因不能履行合同时，应在不可抗力事件结束后</w:t>
      </w:r>
      <w:r>
        <w:rPr>
          <w:sz w:val="24"/>
        </w:rPr>
        <w:t>24</w:t>
      </w:r>
      <w:r>
        <w:rPr>
          <w:sz w:val="24"/>
        </w:rPr>
        <w:t>小时内向对方通报，以减轻可能给对方造成的损失，在取得有关机构的不可抗力证明或双方谅解确认后，允许延期履行或修订合同，并根据情况可部分或全部免于承担违约责任。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w:t>
      </w:r>
      <w:r>
        <w:rPr>
          <w:sz w:val="24"/>
          <w:b/>
        </w:rPr>
        <w:t>六</w:t>
      </w:r>
      <w:r>
        <w:rPr>
          <w:sz w:val="24"/>
          <w:b/>
        </w:rPr>
        <w:t>、税费</w:t>
      </w:r>
    </w:p>
    <w:p>
      <w:pPr>
        <w:pStyle w:val="null3"/>
        <w:ind w:right="-510" w:firstLine="480"/>
        <w:jc w:val="both"/>
      </w:pPr>
      <w:r>
        <w:rPr>
          <w:sz w:val="24"/>
        </w:rPr>
        <w:t>1</w:t>
      </w:r>
      <w:r>
        <w:rPr>
          <w:sz w:val="24"/>
        </w:rPr>
        <w:t>、本合同实施过程中所发生的一切税费及不可预见费均由乙方承担。</w:t>
      </w:r>
    </w:p>
    <w:p>
      <w:pPr>
        <w:pStyle w:val="null3"/>
        <w:ind w:right="-510" w:firstLine="480"/>
        <w:jc w:val="both"/>
      </w:pPr>
      <w:r>
        <w:rPr>
          <w:sz w:val="24"/>
        </w:rPr>
        <w:t>2</w:t>
      </w:r>
      <w:r>
        <w:rPr>
          <w:sz w:val="24"/>
        </w:rPr>
        <w:t>、乙方依照税务规章优先在合同履约地开具发票及纳税，咨询：</w:t>
      </w:r>
      <w:r>
        <w:rPr>
          <w:sz w:val="24"/>
        </w:rPr>
        <w:t>0757-12366</w:t>
      </w:r>
      <w:r>
        <w:rPr>
          <w:sz w:val="24"/>
        </w:rPr>
        <w:t>。</w:t>
      </w:r>
    </w:p>
    <w:p>
      <w:pPr>
        <w:pStyle w:val="null3"/>
        <w:jc w:val="both"/>
      </w:pPr>
      <w:r>
        <w:rPr>
          <w:sz w:val="24"/>
          <w:b/>
        </w:rPr>
        <w:t>十</w:t>
      </w:r>
      <w:r>
        <w:rPr>
          <w:sz w:val="24"/>
          <w:b/>
        </w:rPr>
        <w:t>七</w:t>
      </w:r>
      <w:r>
        <w:rPr>
          <w:sz w:val="24"/>
          <w:b/>
        </w:rPr>
        <w:t>、合同生效</w:t>
      </w:r>
    </w:p>
    <w:p>
      <w:pPr>
        <w:pStyle w:val="null3"/>
        <w:ind w:right="-510" w:firstLine="480"/>
        <w:jc w:val="both"/>
      </w:pPr>
      <w:r>
        <w:rPr>
          <w:sz w:val="24"/>
        </w:rPr>
        <w:t>本</w:t>
      </w:r>
      <w:r>
        <w:rPr>
          <w:sz w:val="24"/>
        </w:rPr>
        <w:t>合同在甲乙双方法人代表或其授权代表签字盖章后生效。</w:t>
      </w:r>
    </w:p>
    <w:p>
      <w:pPr>
        <w:pStyle w:val="null3"/>
        <w:jc w:val="both"/>
      </w:pPr>
      <w:r>
        <w:rPr>
          <w:sz w:val="24"/>
          <w:b/>
        </w:rPr>
        <w:t>十</w:t>
      </w:r>
      <w:r>
        <w:rPr>
          <w:sz w:val="24"/>
          <w:b/>
        </w:rPr>
        <w:t>八</w:t>
      </w:r>
      <w:r>
        <w:rPr>
          <w:sz w:val="24"/>
          <w:b/>
        </w:rPr>
        <w:t>、乙方应提供的资料内容</w:t>
      </w:r>
    </w:p>
    <w:p>
      <w:pPr>
        <w:pStyle w:val="null3"/>
        <w:jc w:val="both"/>
      </w:pPr>
      <w:r>
        <w:rPr>
          <w:b/>
          <w:u w:val="single"/>
        </w:rPr>
        <w:t xml:space="preserve">                                                                                       </w:t>
      </w:r>
      <w:r>
        <w:rPr>
          <w:sz w:val="21"/>
        </w:rPr>
        <w:t>。</w:t>
      </w:r>
    </w:p>
    <w:p>
      <w:pPr>
        <w:pStyle w:val="null3"/>
        <w:jc w:val="both"/>
      </w:pPr>
      <w:r>
        <w:rPr>
          <w:sz w:val="24"/>
          <w:b/>
        </w:rPr>
        <w:t>十</w:t>
      </w:r>
      <w:r>
        <w:rPr>
          <w:sz w:val="24"/>
          <w:b/>
        </w:rPr>
        <w:t>九</w:t>
      </w:r>
      <w:r>
        <w:rPr>
          <w:sz w:val="24"/>
          <w:b/>
        </w:rPr>
        <w:t>、关于政府采购合同融资</w:t>
      </w:r>
    </w:p>
    <w:p>
      <w:pPr>
        <w:pStyle w:val="null3"/>
        <w:ind w:right="-510" w:firstLine="480"/>
        <w:jc w:val="both"/>
      </w:pPr>
      <w:r>
        <w:rPr>
          <w:sz w:val="24"/>
        </w:rPr>
        <w:t>1</w:t>
      </w:r>
      <w:r>
        <w:rPr>
          <w:sz w:val="24"/>
        </w:rPr>
        <w:t>、乙方是否已申请政府采购合同融资：</w:t>
      </w:r>
      <w:r>
        <w:rPr>
          <w:sz w:val="24"/>
          <w:u w:val="single"/>
        </w:rPr>
        <w:t xml:space="preserve">  </w:t>
      </w:r>
      <w:r>
        <w:rPr>
          <w:sz w:val="24"/>
          <w:u w:val="single"/>
        </w:rPr>
        <w:t>是</w:t>
      </w:r>
      <w:r>
        <w:rPr>
          <w:sz w:val="24"/>
          <w:u w:val="single"/>
        </w:rPr>
        <w:t>/</w:t>
      </w:r>
      <w:r>
        <w:rPr>
          <w:sz w:val="24"/>
          <w:u w:val="single"/>
        </w:rPr>
        <w:t xml:space="preserve">否  </w:t>
      </w:r>
      <w:r>
        <w:rPr>
          <w:sz w:val="24"/>
        </w:rPr>
        <w:t>；</w:t>
      </w:r>
    </w:p>
    <w:p>
      <w:pPr>
        <w:pStyle w:val="null3"/>
        <w:ind w:right="-510" w:firstLine="480"/>
        <w:jc w:val="both"/>
      </w:pPr>
      <w:r>
        <w:rPr>
          <w:sz w:val="24"/>
        </w:rPr>
        <w:t>2</w:t>
      </w:r>
      <w:r>
        <w:rPr>
          <w:sz w:val="24"/>
        </w:rPr>
        <w:t>、融资银行及联系方式：</w:t>
      </w:r>
      <w:r>
        <w:rPr>
          <w:u w:val="single"/>
        </w:rPr>
        <w:t xml:space="preserve">                                          </w:t>
      </w:r>
      <w:r>
        <w:rPr>
          <w:sz w:val="24"/>
        </w:rPr>
        <w:t xml:space="preserve"> </w:t>
      </w:r>
      <w:r>
        <w:rPr>
          <w:sz w:val="24"/>
        </w:rPr>
        <w:t>。</w:t>
      </w:r>
    </w:p>
    <w:p>
      <w:pPr>
        <w:pStyle w:val="null3"/>
      </w:pPr>
      <w:r>
        <w:rPr>
          <w:sz w:val="24"/>
          <w:b/>
        </w:rPr>
        <w:t>二十</w:t>
      </w:r>
      <w:r>
        <w:rPr>
          <w:sz w:val="24"/>
          <w:b/>
        </w:rPr>
        <w:t>、其它</w:t>
      </w:r>
    </w:p>
    <w:p>
      <w:pPr>
        <w:pStyle w:val="null3"/>
        <w:ind w:right="-510" w:firstLine="480"/>
        <w:jc w:val="both"/>
      </w:pPr>
      <w:r>
        <w:rPr>
          <w:sz w:val="24"/>
        </w:rPr>
        <w:t>1</w:t>
      </w:r>
      <w:r>
        <w:rPr>
          <w:sz w:val="24"/>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ind w:right="-510" w:firstLine="480"/>
        <w:jc w:val="both"/>
      </w:pPr>
      <w:r>
        <w:rPr>
          <w:sz w:val="24"/>
        </w:rPr>
        <w:t>2</w:t>
      </w:r>
      <w:r>
        <w:rPr>
          <w:sz w:val="24"/>
        </w:rPr>
        <w:t>、如一方（包括联系人）地址、电话、传真号码有变更，应在变更后</w:t>
      </w:r>
      <w:r>
        <w:rPr>
          <w:sz w:val="24"/>
        </w:rPr>
        <w:t>3</w:t>
      </w:r>
      <w:r>
        <w:rPr>
          <w:sz w:val="24"/>
        </w:rPr>
        <w:t>个工作日内书面通知对方联系人或负责人，否则，因此造成的损失由未履行通知义务方承担相应责任。</w:t>
      </w:r>
    </w:p>
    <w:p>
      <w:pPr>
        <w:pStyle w:val="null3"/>
        <w:ind w:right="-510" w:firstLine="480"/>
        <w:jc w:val="both"/>
      </w:pPr>
      <w:r>
        <w:rPr>
          <w:sz w:val="24"/>
        </w:rPr>
        <w:t>3</w:t>
      </w:r>
      <w:r>
        <w:rPr>
          <w:sz w:val="24"/>
        </w:rPr>
        <w:t>、未经甲方书面同意，乙方不得擅自向第三方转让其主体性和关键性合同义务。</w:t>
      </w:r>
    </w:p>
    <w:p>
      <w:pPr>
        <w:pStyle w:val="null3"/>
        <w:ind w:right="-510" w:firstLine="480"/>
        <w:jc w:val="both"/>
      </w:pPr>
      <w:r>
        <w:rPr>
          <w:sz w:val="24"/>
        </w:rPr>
        <w:t>4</w:t>
      </w:r>
      <w:r>
        <w:rPr>
          <w:sz w:val="24"/>
        </w:rPr>
        <w:t>、本合同一式</w:t>
      </w:r>
      <w:r>
        <w:rPr>
          <w:u w:val="single"/>
        </w:rPr>
        <w:t xml:space="preserve">    </w:t>
      </w:r>
      <w:r>
        <w:rPr>
          <w:sz w:val="24"/>
        </w:rPr>
        <w:t>份，甲方执</w:t>
      </w:r>
      <w:r>
        <w:rPr>
          <w:u w:val="single"/>
        </w:rPr>
        <w:t xml:space="preserve">   </w:t>
      </w:r>
      <w:r>
        <w:rPr>
          <w:sz w:val="24"/>
        </w:rPr>
        <w:t>份，乙方执</w:t>
      </w:r>
      <w:r>
        <w:rPr>
          <w:u w:val="single"/>
        </w:rPr>
        <w:t xml:space="preserve">   </w:t>
      </w:r>
      <w:r>
        <w:rPr>
          <w:sz w:val="24"/>
        </w:rPr>
        <w:t>份。</w:t>
      </w:r>
    </w:p>
    <w:p>
      <w:pPr>
        <w:pStyle w:val="null3"/>
        <w:ind w:right="-510" w:firstLine="480"/>
        <w:jc w:val="both"/>
      </w:pPr>
      <w:r>
        <w:rPr>
          <w:sz w:val="24"/>
        </w:rPr>
        <w:t>5</w:t>
      </w:r>
      <w:r>
        <w:rPr>
          <w:sz w:val="24"/>
        </w:rPr>
        <w:t>、本合同（含附件）共计</w:t>
      </w:r>
      <w:r>
        <w:rPr>
          <w:u w:val="single"/>
        </w:rPr>
        <w:t xml:space="preserve">    </w:t>
      </w:r>
      <w:r>
        <w:rPr>
          <w:sz w:val="24"/>
        </w:rPr>
        <w:t>页，缺页之合同为无效合同。</w:t>
      </w:r>
    </w:p>
    <w:p>
      <w:pPr>
        <w:pStyle w:val="null3"/>
        <w:ind w:right="-510" w:firstLine="480"/>
        <w:jc w:val="both"/>
      </w:pPr>
      <w:r>
        <w:rPr>
          <w:sz w:val="24"/>
        </w:rPr>
        <w:t>6</w:t>
      </w:r>
      <w:r>
        <w:rPr>
          <w:sz w:val="24"/>
        </w:rPr>
        <w:t>、本合同签约履约地点：广东省佛山市。</w:t>
      </w:r>
    </w:p>
    <w:p>
      <w:pPr>
        <w:pStyle w:val="null3"/>
        <w:ind w:right="-510" w:firstLine="480"/>
        <w:jc w:val="both"/>
      </w:pPr>
      <w:r>
        <w:rPr>
          <w:sz w:val="24"/>
        </w:rPr>
        <w:t>7</w:t>
      </w:r>
      <w:r>
        <w:rPr>
          <w:sz w:val="24"/>
        </w:rPr>
        <w:t>、本合同所指“书面通知”包括但不限于短信、电子邮件等数据电文的通知形式，到达时间以民事诉讼法的规定为准，但进行书面通知前后，通知方均有义务电话确认通知事项。</w:t>
      </w:r>
    </w:p>
    <w:p>
      <w:pPr>
        <w:pStyle w:val="null3"/>
        <w:ind w:right="-510" w:firstLine="480"/>
        <w:jc w:val="both"/>
      </w:pPr>
      <w:r>
        <w:rPr>
          <w:sz w:val="24"/>
        </w:rPr>
        <w:t>8</w:t>
      </w:r>
      <w:r>
        <w:rPr>
          <w:sz w:val="24"/>
        </w:rPr>
        <w:t>、双方均已对以上各条款及附件作充分了解，并明确理解由此而产生的相关权责。</w:t>
      </w:r>
    </w:p>
    <w:p>
      <w:pPr>
        <w:pStyle w:val="null3"/>
      </w:pPr>
      <w:r>
        <w:rPr>
          <w:sz w:val="24"/>
        </w:rPr>
        <w:t>（以下无正文，仅为签署页）</w:t>
      </w:r>
    </w:p>
    <w:tbl>
      <w:tblPr>
        <w:tblW w:w="0" w:type="auto"/>
        <w:tblBorders>
          <w:top w:val="none" w:color="000000" w:sz="4"/>
          <w:left w:val="none" w:color="000000" w:sz="4"/>
          <w:bottom w:val="none" w:color="000000" w:sz="4"/>
          <w:right w:val="none" w:color="000000" w:sz="4"/>
          <w:insideH w:val="none"/>
          <w:insideV w:val="none"/>
        </w:tblBorders>
      </w:tblPr>
      <w:tblGrid>
        <w:gridCol w:w="3987"/>
        <w:gridCol w:w="4078"/>
        <w:gridCol w:w="241"/>
      </w:tblGrid>
      <w:tr>
        <w:tc>
          <w:tcPr>
            <w:tcW w:type="dxa" w:w="3987"/>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ind w:firstLine="380"/>
            </w:pPr>
            <w:r>
              <w:rPr>
                <w:sz w:val="24"/>
                <w:b/>
              </w:rPr>
              <w:t>甲方（盖章）：</w:t>
            </w:r>
          </w:p>
          <w:p>
            <w:pPr>
              <w:pStyle w:val="null3"/>
              <w:ind w:firstLine="380"/>
              <w:jc w:val="both"/>
            </w:pPr>
            <w:r>
              <w:rPr>
                <w:sz w:val="24"/>
              </w:rPr>
              <w:t>代表：</w:t>
            </w:r>
            <w:r>
              <w:rPr>
                <w:sz w:val="19"/>
                <w:u w:val="single"/>
              </w:rPr>
              <w:t xml:space="preserve">                              </w:t>
            </w:r>
            <w:r>
              <w:rPr>
                <w:sz w:val="19"/>
              </w:rPr>
              <w:t xml:space="preserve"> </w:t>
            </w:r>
          </w:p>
          <w:p>
            <w:pPr>
              <w:pStyle w:val="null3"/>
              <w:ind w:firstLine="380"/>
              <w:jc w:val="both"/>
            </w:pPr>
            <w:r>
              <w:rPr>
                <w:sz w:val="24"/>
              </w:rPr>
              <w:t>地址：</w:t>
            </w:r>
          </w:p>
          <w:p>
            <w:pPr>
              <w:pStyle w:val="null3"/>
              <w:ind w:firstLine="380"/>
              <w:jc w:val="both"/>
            </w:pPr>
            <w:r>
              <w:rPr>
                <w:sz w:val="24"/>
              </w:rPr>
              <w:t>电话：</w:t>
            </w:r>
          </w:p>
          <w:p>
            <w:pPr>
              <w:pStyle w:val="null3"/>
              <w:ind w:firstLine="380"/>
              <w:jc w:val="both"/>
            </w:pPr>
            <w:r>
              <w:rPr>
                <w:sz w:val="24"/>
              </w:rPr>
              <w:t>传真：</w:t>
            </w:r>
          </w:p>
          <w:p>
            <w:pPr>
              <w:pStyle w:val="null3"/>
              <w:ind w:firstLine="380"/>
              <w:jc w:val="both"/>
            </w:pPr>
            <w:r>
              <w:rPr>
                <w:sz w:val="24"/>
              </w:rPr>
              <w:t>日期：</w:t>
            </w:r>
            <w:r>
              <w:rPr>
                <w:sz w:val="24"/>
              </w:rPr>
              <w:t xml:space="preserve">       </w:t>
            </w:r>
            <w:r>
              <w:rPr>
                <w:sz w:val="24"/>
              </w:rPr>
              <w:t>年</w:t>
            </w:r>
            <w:r>
              <w:rPr>
                <w:sz w:val="24"/>
              </w:rPr>
              <w:t>月日</w:t>
            </w:r>
          </w:p>
        </w:tc>
        <w:tc>
          <w:tcPr>
            <w:tcW w:type="dxa" w:w="40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4"/>
                <w:b/>
              </w:rPr>
              <w:t>乙方（盖章）：</w:t>
            </w:r>
          </w:p>
          <w:p>
            <w:pPr>
              <w:pStyle w:val="null3"/>
              <w:ind w:firstLine="380"/>
              <w:jc w:val="both"/>
            </w:pPr>
            <w:r>
              <w:rPr>
                <w:sz w:val="24"/>
              </w:rPr>
              <w:t>代表：</w:t>
            </w:r>
            <w:r>
              <w:rPr>
                <w:sz w:val="19"/>
                <w:u w:val="single"/>
              </w:rPr>
              <w:t xml:space="preserve">                           </w:t>
            </w:r>
          </w:p>
          <w:p>
            <w:pPr>
              <w:pStyle w:val="null3"/>
              <w:ind w:firstLine="380"/>
              <w:jc w:val="both"/>
            </w:pPr>
            <w:r>
              <w:rPr>
                <w:sz w:val="24"/>
              </w:rPr>
              <w:t>地址：</w:t>
            </w:r>
          </w:p>
          <w:p>
            <w:pPr>
              <w:pStyle w:val="null3"/>
              <w:ind w:firstLine="380"/>
              <w:jc w:val="both"/>
            </w:pPr>
            <w:r>
              <w:rPr>
                <w:sz w:val="24"/>
              </w:rPr>
              <w:t>电话：</w:t>
            </w:r>
          </w:p>
          <w:p>
            <w:pPr>
              <w:pStyle w:val="null3"/>
              <w:ind w:firstLine="380"/>
              <w:jc w:val="both"/>
            </w:pPr>
            <w:r>
              <w:rPr>
                <w:sz w:val="24"/>
              </w:rPr>
              <w:t>传真：</w:t>
            </w:r>
          </w:p>
          <w:p>
            <w:pPr>
              <w:pStyle w:val="null3"/>
              <w:ind w:firstLine="380"/>
              <w:jc w:val="both"/>
            </w:pPr>
            <w:r>
              <w:rPr>
                <w:sz w:val="24"/>
              </w:rPr>
              <w:t>日期：</w:t>
            </w:r>
            <w:r>
              <w:rPr>
                <w:sz w:val="24"/>
              </w:rPr>
              <w:t xml:space="preserve">    </w:t>
            </w:r>
            <w:r>
              <w:rPr>
                <w:sz w:val="24"/>
              </w:rPr>
              <w:t>年</w:t>
            </w:r>
            <w:r>
              <w:rPr>
                <w:sz w:val="24"/>
              </w:rPr>
              <w:t>月</w:t>
            </w:r>
            <w:r>
              <w:rPr>
                <w:sz w:val="24"/>
              </w:rPr>
              <w:t>日</w:t>
            </w:r>
          </w:p>
        </w:tc>
        <w:tc>
          <w:tcPr>
            <w:tcW w:type="dxa" w:w="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19"/>
              </w:rPr>
              <w:t xml:space="preserve"> </w:t>
            </w:r>
          </w:p>
        </w:tc>
      </w:tr>
      <w:tr>
        <w:tc>
          <w:tcPr>
            <w:tcW w:type="dxa" w:w="3987"/>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ind w:firstLine="380"/>
              <w:jc w:val="both"/>
            </w:pPr>
          </w:p>
        </w:tc>
        <w:tc>
          <w:tcPr>
            <w:tcW w:type="dxa" w:w="4319"/>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4"/>
                <w:b/>
              </w:rPr>
              <w:t>收款方、开票方须与乙方一致，专户为：</w:t>
            </w:r>
          </w:p>
          <w:p>
            <w:pPr>
              <w:pStyle w:val="null3"/>
              <w:ind w:firstLine="380"/>
              <w:jc w:val="both"/>
            </w:pPr>
            <w:r>
              <w:rPr>
                <w:sz w:val="24"/>
              </w:rPr>
              <w:t>开户名称：</w:t>
            </w:r>
          </w:p>
          <w:p>
            <w:pPr>
              <w:pStyle w:val="null3"/>
              <w:ind w:firstLine="380"/>
              <w:jc w:val="both"/>
            </w:pPr>
            <w:r>
              <w:rPr>
                <w:sz w:val="24"/>
              </w:rPr>
              <w:t>银行账号：</w:t>
            </w:r>
          </w:p>
          <w:p>
            <w:pPr>
              <w:pStyle w:val="null3"/>
              <w:ind w:firstLine="380"/>
              <w:jc w:val="both"/>
            </w:pPr>
            <w:r>
              <w:rPr>
                <w:sz w:val="24"/>
              </w:rPr>
              <w:t>开户行：</w:t>
            </w:r>
          </w:p>
        </w:tc>
      </w:tr>
    </w:tbl>
    <w:p>
      <w:pPr>
        <w:pStyle w:val="null3"/>
        <w:spacing w:before="0" w:after="0"/>
        <w:ind w:left="0" w:right="0"/>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440607-2025-00647</w:t>
      </w:r>
    </w:p>
    <w:p>
      <w:pPr>
        <w:pStyle w:val="null3"/>
        <w:jc w:val="center"/>
        <w:outlineLvl w:val="3"/>
      </w:pPr>
      <w:r>
        <w:rPr>
          <w:sz w:val="24"/>
          <w:b/>
        </w:rPr>
        <w:t>采购项目编号：</w:t>
      </w:r>
      <w:r>
        <w:rPr>
          <w:sz w:val="24"/>
          <w:b/>
        </w:rPr>
        <w:t>ZT(SS04)2025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广东中腾招标有限公司</w:t>
      </w:r>
    </w:p>
    <w:p>
      <w:pPr>
        <w:pStyle w:val="null3"/>
        <w:ind w:firstLine="480"/>
      </w:pPr>
      <w:r>
        <w:rPr/>
        <w:t xml:space="preserve"> 你方组织的</w:t>
      </w:r>
      <w:r>
        <w:rPr>
          <w:u w:val="single"/>
        </w:rPr>
        <w:t>“</w:t>
      </w:r>
      <w:r>
        <w:rPr>
          <w:u w:val="single"/>
        </w:rPr>
        <w:t>西南街道2025年病媒生物防制项目</w:t>
      </w:r>
      <w:r>
        <w:rPr>
          <w:u w:val="single"/>
        </w:rPr>
        <w:t>”</w:t>
      </w:r>
      <w:r>
        <w:rPr/>
        <w:t>项目的招标[采购项目编号为：</w:t>
      </w:r>
      <w:r>
        <w:rPr>
          <w:u w:val="single"/>
        </w:rPr>
        <w:t>ZT(SS04)2025</w:t>
      </w:r>
      <w:r>
        <w:rPr/>
        <w:t>]，我方愿参与投标。</w:t>
      </w:r>
    </w:p>
    <w:p>
      <w:pPr>
        <w:pStyle w:val="null3"/>
        <w:ind w:firstLine="480"/>
      </w:pPr>
      <w:r>
        <w:rPr/>
        <w:t>我方确认收到贵方提供的</w:t>
      </w:r>
      <w:r>
        <w:rPr>
          <w:u w:val="single"/>
        </w:rPr>
        <w:t>“</w:t>
      </w:r>
      <w:r>
        <w:rPr>
          <w:u w:val="single"/>
        </w:rPr>
        <w:t>西南街道2025年病媒生物防制项目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广东中腾招标有限公司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西南街道2025年病媒生物防制项目</w:t>
      </w:r>
      <w:r>
        <w:rPr/>
        <w:t>”项目采购[采购项目编号为</w:t>
      </w:r>
      <w:r>
        <w:rPr/>
        <w:t>ZT(SS04)2025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佛山市三水区西南街道卫生健康办公室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广东中腾招标有限公司</w:t>
      </w:r>
    </w:p>
    <w:p>
      <w:pPr>
        <w:pStyle w:val="null3"/>
        <w:ind w:firstLine="480"/>
      </w:pPr>
      <w:r>
        <w:rPr/>
        <w:t xml:space="preserve"> 如果我方在贵采购代理机构组织的</w:t>
      </w:r>
      <w:r>
        <w:rPr/>
        <w:t>西南街道2025年病媒生物防制项目</w:t>
      </w:r>
      <w:r>
        <w:rPr/>
        <w:t>招标中获中标（采购项目编号：</w:t>
      </w:r>
      <w:r>
        <w:rPr/>
        <w:t>ZT(SS04)2025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广东中腾招标有限公司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广东中腾招标有限公司</w:t>
      </w:r>
    </w:p>
    <w:p>
      <w:pPr>
        <w:pStyle w:val="null3"/>
        <w:ind w:firstLine="480"/>
      </w:pPr>
      <w:r>
        <w:rPr/>
        <w:t>我单位已登记并准备参与“</w:t>
      </w:r>
      <w:r>
        <w:rPr/>
        <w:t>西南街道2025年病媒生物防制项目</w:t>
      </w:r>
      <w:r>
        <w:rPr/>
        <w:t>”项目（采购项目编号：</w:t>
      </w:r>
      <w:r>
        <w:rPr/>
        <w:t>ZT(SS04)2025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