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440204-2025-00320</w:t>
      </w:r>
    </w:p>
    <w:p>
      <w:pPr>
        <w:pStyle w:val="null3"/>
        <w:jc w:val="center"/>
        <w:outlineLvl w:val="3"/>
      </w:pPr>
      <w:r>
        <w:rPr>
          <w:sz w:val="24"/>
          <w:b/>
        </w:rPr>
        <w:t>采购项目编号：</w:t>
      </w:r>
      <w:r>
        <w:rPr>
          <w:sz w:val="24"/>
          <w:b/>
        </w:rPr>
        <w:t>SGDH2025008</w:t>
      </w:r>
    </w:p>
    <w:p>
      <w:pPr>
        <w:pStyle w:val="null3"/>
        <w:jc w:val="center"/>
        <w:outlineLvl w:val="3"/>
      </w:pPr>
      <w:r>
        <w:rPr>
          <w:sz w:val="24"/>
          <w:b/>
        </w:rPr>
        <w:t>项目名称：</w:t>
      </w:r>
      <w:r>
        <w:rPr>
          <w:sz w:val="24"/>
          <w:b/>
        </w:rPr>
        <w:t>2025年韶关市浈江区松材线虫病等林业有害生物防治与除治项目</w:t>
      </w:r>
    </w:p>
    <w:p>
      <w:pPr>
        <w:pStyle w:val="null3"/>
        <w:jc w:val="center"/>
        <w:outlineLvl w:val="3"/>
      </w:pPr>
      <w:r>
        <w:rPr>
          <w:sz w:val="24"/>
          <w:b/>
        </w:rPr>
        <w:t>采购人：</w:t>
      </w:r>
      <w:r>
        <w:rPr>
          <w:sz w:val="24"/>
          <w:b/>
        </w:rPr>
        <w:t>韶关市浈江区自然资源局</w:t>
      </w:r>
    </w:p>
    <w:p>
      <w:pPr>
        <w:pStyle w:val="null3"/>
        <w:jc w:val="center"/>
        <w:outlineLvl w:val="3"/>
      </w:pPr>
      <w:r>
        <w:rPr>
          <w:sz w:val="24"/>
          <w:b/>
        </w:rPr>
        <w:t>采购代理机构：</w:t>
      </w:r>
      <w:r>
        <w:rPr>
          <w:sz w:val="24"/>
          <w:b/>
        </w:rPr>
        <w:t>广东东弘工程咨询有限公司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广东东弘工程咨询有限公司</w:t>
      </w:r>
      <w:r>
        <w:rPr/>
        <w:t>受</w:t>
      </w:r>
      <w:r>
        <w:rPr/>
        <w:t>韶关市浈江区自然资源局</w:t>
      </w:r>
      <w:r>
        <w:rPr/>
        <w:t>的委托，采用</w:t>
      </w:r>
      <w:r>
        <w:rPr/>
        <w:t>公开招标</w:t>
      </w:r>
      <w:r>
        <w:rPr/>
        <w:t>方式组织采购</w:t>
      </w:r>
      <w:r>
        <w:rPr/>
        <w:t>2025年韶关市浈江区松材线虫病等林业有害生物防治与除治项目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2025年韶关市浈江区松材线虫病等林业有害生物防治与除治项目</w:t>
      </w:r>
    </w:p>
    <w:p>
      <w:pPr>
        <w:pStyle w:val="null3"/>
        <w:ind w:firstLine="480"/>
      </w:pPr>
      <w:r>
        <w:rPr/>
        <w:t>采购计划编号：</w:t>
      </w:r>
      <w:r>
        <w:rPr/>
        <w:t>440204-2025-00320</w:t>
      </w:r>
    </w:p>
    <w:p>
      <w:pPr>
        <w:pStyle w:val="null3"/>
        <w:ind w:firstLine="480"/>
      </w:pPr>
      <w:r>
        <w:rPr/>
        <w:t>采购项目编号：</w:t>
      </w:r>
      <w:r>
        <w:rPr/>
        <w:t>SGDH2025008</w:t>
      </w:r>
    </w:p>
    <w:p>
      <w:pPr>
        <w:pStyle w:val="null3"/>
        <w:ind w:firstLine="480"/>
      </w:pPr>
      <w:r>
        <w:rPr/>
        <w:t>采购方式：</w:t>
      </w:r>
      <w:r>
        <w:rPr/>
        <w:t>公开招标</w:t>
      </w:r>
    </w:p>
    <w:p>
      <w:pPr>
        <w:pStyle w:val="null3"/>
        <w:ind w:firstLine="480"/>
      </w:pPr>
      <w:r>
        <w:rPr/>
        <w:t>预算金额：</w:t>
      </w:r>
      <w:r>
        <w:rPr/>
        <w:t>1,970,000.00</w:t>
      </w:r>
      <w:r>
        <w:rPr/>
        <w:t>元</w:t>
      </w:r>
    </w:p>
    <w:p>
      <w:pPr>
        <w:pStyle w:val="null3"/>
        <w:outlineLvl w:val="3"/>
      </w:pPr>
      <w:r>
        <w:rPr>
          <w:sz w:val="24"/>
          <w:b/>
        </w:rPr>
        <w:t>2.项目内容及需求情况（采购项目技术规格、参数及要求）</w:t>
      </w:r>
    </w:p>
    <w:p>
      <w:pPr>
        <w:pStyle w:val="null3"/>
      </w:pPr>
      <w:r>
        <w:rPr/>
        <w:t>采购包1(2025年韶关市浈江区松材线虫病等林业有害生物防治与除治项目):</w:t>
      </w:r>
    </w:p>
    <w:p>
      <w:pPr>
        <w:pStyle w:val="null3"/>
      </w:pPr>
      <w:r>
        <w:rPr/>
        <w:t>采购包预算金额：1,970,000.00元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2025年韶关市浈江区松材线虫病等林业有害生物防治与除治项目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合同履行期限：合同签订之日起至2026年4月30日。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2）有依法缴纳税收和社会保障资金的良好记录：投标文件中提供《资格条件承诺函》。（《资格条件承诺函》格式详见招标公告附件）</w:t>
      </w:r>
    </w:p>
    <w:p>
      <w:pPr>
        <w:pStyle w:val="null3"/>
      </w:pPr>
      <w:r>
        <w:rPr/>
        <w:t>3）具有良好的商业信誉和健全的财务会计制度：投标文件中提供《资格条件承诺函》。（《资格条件承诺函》格式详见招标公告附件）</w:t>
      </w:r>
    </w:p>
    <w:p>
      <w:pPr>
        <w:pStyle w:val="null3"/>
      </w:pPr>
      <w:r>
        <w:rPr/>
        <w:t>4）履行合同所必需的设备和专业技术能力：投标文件中提供《资格条件承诺函》。（《资格条件承诺函》格式详见招标公告附件）</w:t>
      </w:r>
    </w:p>
    <w:p>
      <w:pPr>
        <w:pStyle w:val="null3"/>
      </w:pPr>
      <w:r>
        <w:rPr/>
        <w:t>5）参加采购活动前3年内，在经营活动中没有重大违法记录：投标文件中提供《资格条件承诺函》。（《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采购包1（2025年韶关市浈江区松材线虫病等林业有害生物防治与除治项目）：</w:t>
      </w:r>
      <w:r>
        <w:rPr/>
        <w:t xml:space="preserve">本项目属于专门面向中小企业采购项目，须提供《中小企业声明函》。供应商须符合本项目采购标的对应行业（本项目划分行业为：农、林、牧、渔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 </w:t>
      </w:r>
    </w:p>
    <w:p>
      <w:pPr>
        <w:pStyle w:val="null3"/>
        <w:outlineLvl w:val="3"/>
      </w:pPr>
      <w:r>
        <w:rPr>
          <w:sz w:val="24"/>
          <w:b/>
        </w:rPr>
        <w:t>3.本项目特定的资格要求：</w:t>
      </w:r>
    </w:p>
    <w:p>
      <w:pPr>
        <w:pStyle w:val="null3"/>
      </w:pPr>
      <w:r>
        <w:rPr/>
        <w:t>采购包1（2025年韶关市浈江区松材线虫病等林业有害生物防治与除治项目）：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代理机构人员于投标（响应）截止时间当天在“信用中国”网站（www.creditchina.gov.cn）及中国政府采购网。（http://www.ccgp.gov.cn/）查询结果为准，如相关失信记录已失效，投标人需提供相关证明资料）。 如“信用中国”网站查询结果显示“没有找到您搜索的企业”或“没有找到您搜索数据”，视为没有上述三类不良信用记录。</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韶关市浈江区自然资源局</w:t>
      </w:r>
    </w:p>
    <w:p>
      <w:pPr>
        <w:pStyle w:val="null3"/>
        <w:ind w:firstLine="480"/>
      </w:pPr>
      <w:r>
        <w:rPr/>
        <w:t xml:space="preserve"> 地址：</w:t>
      </w:r>
      <w:r>
        <w:rPr/>
        <w:t>韶关市浈江区席前路1号</w:t>
      </w:r>
    </w:p>
    <w:p>
      <w:pPr>
        <w:pStyle w:val="null3"/>
        <w:ind w:firstLine="480"/>
      </w:pPr>
      <w:r>
        <w:rPr/>
        <w:t xml:space="preserve"> 联系方式：</w:t>
      </w:r>
      <w:r>
        <w:rPr/>
        <w:t>0751-8932621</w:t>
      </w:r>
    </w:p>
    <w:p>
      <w:pPr>
        <w:pStyle w:val="null3"/>
        <w:outlineLvl w:val="3"/>
      </w:pPr>
      <w:r>
        <w:rPr>
          <w:sz w:val="24"/>
          <w:b/>
        </w:rPr>
        <w:t xml:space="preserve"> 2.采购代理机构信息</w:t>
      </w:r>
    </w:p>
    <w:p>
      <w:pPr>
        <w:pStyle w:val="null3"/>
        <w:ind w:firstLine="480"/>
      </w:pPr>
      <w:r>
        <w:rPr/>
        <w:t xml:space="preserve"> 名称：</w:t>
      </w:r>
      <w:r>
        <w:rPr/>
        <w:t>广东东弘工程咨询有限公司</w:t>
      </w:r>
    </w:p>
    <w:p>
      <w:pPr>
        <w:pStyle w:val="null3"/>
        <w:ind w:firstLine="480"/>
      </w:pPr>
      <w:r>
        <w:rPr/>
        <w:t xml:space="preserve"> 地址：</w:t>
      </w:r>
      <w:r>
        <w:rPr/>
        <w:t>韶关市浈江区教场村莲花农贸市场Q区42号</w:t>
      </w:r>
    </w:p>
    <w:p>
      <w:pPr>
        <w:pStyle w:val="null3"/>
        <w:ind w:firstLine="480"/>
      </w:pPr>
      <w:r>
        <w:rPr/>
        <w:t xml:space="preserve"> 联系方式：</w:t>
      </w:r>
      <w:r>
        <w:rPr/>
        <w:t>0751-8961206</w:t>
      </w:r>
    </w:p>
    <w:p>
      <w:pPr>
        <w:pStyle w:val="null3"/>
        <w:outlineLvl w:val="3"/>
      </w:pPr>
      <w:r>
        <w:rPr>
          <w:sz w:val="24"/>
          <w:b/>
        </w:rPr>
        <w:t xml:space="preserve"> 3.项目联系方式</w:t>
      </w:r>
    </w:p>
    <w:p>
      <w:pPr>
        <w:pStyle w:val="null3"/>
        <w:ind w:firstLine="480"/>
      </w:pPr>
      <w:r>
        <w:rPr/>
        <w:t xml:space="preserve"> 项目联系人：</w:t>
      </w:r>
      <w:r>
        <w:rPr/>
        <w:t>刘工</w:t>
      </w:r>
    </w:p>
    <w:p>
      <w:pPr>
        <w:pStyle w:val="null3"/>
        <w:ind w:firstLine="480"/>
      </w:pPr>
      <w:r>
        <w:rPr/>
        <w:t xml:space="preserve"> 电话：</w:t>
      </w:r>
      <w:r>
        <w:rPr/>
        <w:t>0751-8961206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广东东弘工程咨询有限公司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2021年至2024年，</w:t>
      </w:r>
      <w:r>
        <w:rPr>
          <w:sz w:val="28"/>
        </w:rPr>
        <w:t>浈江区</w:t>
      </w:r>
      <w:r>
        <w:rPr>
          <w:sz w:val="28"/>
        </w:rPr>
        <w:t>通过防控攻坚，松材线虫病疫情面积从</w:t>
      </w:r>
      <w:r>
        <w:rPr>
          <w:sz w:val="28"/>
        </w:rPr>
        <w:t>1.63万亩减少至1.11万亩，疫情小班从128个降至78个。其中，花坪镇在2024年秋季普查时已实现无疫情，防控成效显著。</w:t>
      </w:r>
    </w:p>
    <w:p>
      <w:pPr>
        <w:pStyle w:val="null3"/>
        <w:ind w:firstLine="560"/>
        <w:jc w:val="both"/>
      </w:pPr>
      <w:r>
        <w:rPr>
          <w:sz w:val="28"/>
        </w:rPr>
        <w:t>2024年秋季普查，共发现松材线虫病疫木3495株，疫情范围为犁市、十里亭、新韶3镇8个村78个小班，疫情小班面积11087.74亩。疫情小班发生面积在逐年减小，疫情防控形势正在逐步好转。</w:t>
      </w:r>
    </w:p>
    <w:p>
      <w:pPr>
        <w:pStyle w:val="null3"/>
      </w:pPr>
      <w:r>
        <w:rPr/>
        <w:t>采购包1（2025年韶关市浈江区松材线虫病等林业有害生物防治与除治项目）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合同签订之日起至2026年4月30日。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第1期为(预付款)：支付比例30%，签订合同后5个工作日内，采购人向中标人支付合同金额的30%作为预付款。</w:t>
            </w:r>
          </w:p>
          <w:p>
            <w:pPr>
              <w:pStyle w:val="null3"/>
            </w:pPr>
            <w:r>
              <w:rPr/>
              <w:t>第2期为(进度款)：支付比例60%，2025年11月，完成3次日常监测、2025年秋季专项普查任务、2025年松材线虫病疫木“即死即清”除治任务、古松树加压式注药预防、2个监测点的设置，经阶段性验收合格后支付合同款的60%。</w:t>
            </w:r>
          </w:p>
          <w:p>
            <w:pPr>
              <w:pStyle w:val="null3"/>
            </w:pPr>
            <w:r>
              <w:rPr/>
              <w:t>第3期为(尾款)：支付比例10%，2026年4月底，完成所有工作，经外业质量检查验收、内业质量检查验收合格后，将项目尾款10%一次性支付给中标人。 注： ①每次按合同支付款项前，中标人应向采购人提供与支付金额相符的有效发票。 ②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1期：由韶关市浈江区自然资源局组织相关单位及专业技术人员在2026年4月下旬前完成验收。验收内容包括2025年度除治任务完成情况，除治作业区病死（濒死、枯死）松树情况,疫木清理和除害处理情况。 （一）验收依据和方式 1.验收依据：省、市、区相关文件；松材线虫病防治和疫木处理相关技术规范；作业设计文件（包括作业设计文字说明、作业设计表、作业设计图）。 2.验收方式:采取常规检查、竣工验收相结合的方式，包括外业和内业验收。 （二）外业质量检查验收 2026年4月下旬，由项目建设单位组织验收，外业检查验收合格要求如下： 1.疫木清理验收：病枯死松树清除率100%；清理迹地不残留直径1厘米以上的病枯死松树枝桠。 2.疫木处理验收：位于高山陡坡、林密或林下草灌丰富、通行困难，且使用粉碎（削片）、烧毁措施难度较大区域的病死树，采取套袋消杀的方法，套袋消杀不能堆放在“四旁”(水旁、路旁、村旁、宅旁)和“五边”(山边、水边、路边、镇村边、景区边)。在交通条件较好的地方，将枯死木伐倒截段后，转运到就近有松材线虫病疫木处理条件的定点加工厂进行疫木变性利用、生物发电及烧毁等处理；伐桩高度如果大于5厘米，需规范施药覆膜处理。 （三）内业质量检查验收 1.检查验收内容：内业验收包括日常监测、专项普查、古松树预防、松墨天牛监测、病枯死树防治日记（提供原始记录、所有小班需有对应的记录）、防治情况统计表、照片（标准为像素在1200万以上，规格大小为6寸照片，且有拍摄时间、地点、明显参照物）、工作总结等。上述资料一式三份，两份给建设单位，施工单位留一份存档。 2.检查验收合格要求：以上资料齐全，内容填写真实、规范。对于未达到验收标准的要求进行整改，达标后再次进行验收，直到合格。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投标报价应为投标人完成本项目全部内容所需费用的含税价，包括但不限于人工费、管理费、验收、检测、利润、保险等各类税费及采购合同包含的所有风险、责任等在合同实施过程中应预见或不可预见费用等。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安全文明施工要求</w:t>
            </w:r>
          </w:p>
        </w:tc>
        <w:tc>
          <w:tcPr>
            <w:tcW w:type="dxa" w:w="2076"/>
          </w:tcPr>
          <w:p>
            <w:pPr>
              <w:pStyle w:val="null3"/>
              <w:jc w:val="left"/>
            </w:pPr>
            <w:r>
              <w:rPr/>
              <w:t>安全生产保障项目作业过程中，要确保安全文明施工，须注意如下事项： （1）告示施工范围、技术、措施。施工前应告知当地林业站、林场、采购人等，施工过程中如遇阻挠，中标人应及时与当地政府职能部门沟通，并按管理部门意见作出相应调整；因强行施工造成赔偿纠纷的，后果由中标人负责。 （2）在松材线虫病等林业有害生物防治作业中，所有用到的药剂必须严格按照农药使用说明书和对应的操作规定使用；对药剂的购买、保管、使用按照相关部门的要求办理手续，严格管控，安全使用。 （3）作业过程中采伐放倒病(枯)死疫木时，要注意安全，对于旁边有房屋、电线的病(枯)死树，要求套绳分段截取，防止压到房屋、电线或其他树木。 （4）施工过程中必须做好防护措施，做到防伤、防毒、防蛇咬、防蜂和红火蚁蜇，不吃毒磨菇，确保无各类人员伤亡事故发生。 （5）不准在防火区域抽烟，不准在喷药时抽烟。 （6）为确保做到安全文明施工，避免纠纷，中标人要与采购人签订安全生产责任书；如果中标人没有遵守责任书或安全文明施工的规定，一切后果由中标人负责。 （7）为确保做到安全文明施工，中标人进场前必须为现场全部作业工人购买人身意外保险。</w:t>
            </w:r>
          </w:p>
        </w:tc>
      </w:tr>
      <w:tr>
        <w:tc>
          <w:tcPr>
            <w:tcW w:type="dxa" w:w="2076"/>
          </w:tcPr>
          <w:p/>
        </w:tc>
        <w:tc>
          <w:tcPr>
            <w:tcW w:type="dxa" w:w="2076"/>
          </w:tcPr>
          <w:p>
            <w:pPr>
              <w:pStyle w:val="null3"/>
              <w:jc w:val="center"/>
            </w:pPr>
            <w:r>
              <w:rPr/>
              <w:t>3</w:t>
            </w:r>
          </w:p>
        </w:tc>
        <w:tc>
          <w:tcPr>
            <w:tcW w:type="dxa" w:w="2076"/>
          </w:tcPr>
          <w:p>
            <w:pPr>
              <w:pStyle w:val="null3"/>
              <w:jc w:val="left"/>
            </w:pPr>
            <w:r>
              <w:rPr/>
              <w:t>现场踏勘</w:t>
            </w:r>
          </w:p>
        </w:tc>
        <w:tc>
          <w:tcPr>
            <w:tcW w:type="dxa" w:w="2076"/>
          </w:tcPr>
          <w:p>
            <w:pPr>
              <w:pStyle w:val="null3"/>
              <w:jc w:val="left"/>
            </w:pPr>
            <w:r>
              <w:rPr/>
              <w:t>（1）投标前，采购人不组织现场踏勘。为确保投标的准确性和措施的可行性，投标人可自行对工程现场及周围环境进行踏勘，以便投标人获取有关编制投标文件和签署合同所需的所有资料。采购人对投标人做出的推论、理解和结论概不负责。 （2）投标人在现场勘察过程中，投标人应注意自身安全，如发生意外、财物或其他损失，不论任何原因所造成，采购人均不负责。 （3）现场勘察期间的交通、食宿由投标人自行安排，费用自理。</w:t>
            </w:r>
          </w:p>
        </w:tc>
      </w:tr>
      <w:tr>
        <w:tc>
          <w:tcPr>
            <w:tcW w:type="dxa" w:w="2076"/>
          </w:tcPr>
          <w:p/>
        </w:tc>
        <w:tc>
          <w:tcPr>
            <w:tcW w:type="dxa" w:w="2076"/>
          </w:tcPr>
          <w:p>
            <w:pPr>
              <w:pStyle w:val="null3"/>
              <w:jc w:val="center"/>
            </w:pPr>
            <w:r>
              <w:rPr/>
              <w:t>4</w:t>
            </w:r>
          </w:p>
        </w:tc>
        <w:tc>
          <w:tcPr>
            <w:tcW w:type="dxa" w:w="2076"/>
          </w:tcPr>
          <w:p>
            <w:pPr>
              <w:pStyle w:val="null3"/>
              <w:jc w:val="left"/>
            </w:pPr>
            <w:r>
              <w:rPr/>
              <w:t>未尽事项</w:t>
            </w:r>
          </w:p>
        </w:tc>
        <w:tc>
          <w:tcPr>
            <w:tcW w:type="dxa" w:w="2076"/>
          </w:tcPr>
          <w:p>
            <w:pPr>
              <w:pStyle w:val="null3"/>
              <w:jc w:val="left"/>
            </w:pPr>
            <w:r>
              <w:rPr/>
              <w:t>其余未尽事项由采购人和中标人在签订合同时商定补充。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2025年韶关市浈江区松材线虫病等林业有害生物防治与除治项目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1,970,000.00</w:t>
            </w:r>
          </w:p>
        </w:tc>
        <w:tc>
          <w:tcPr>
            <w:tcW w:type="dxa" w:w="933"/>
          </w:tcPr>
          <w:p>
            <w:pPr>
              <w:pStyle w:val="null3"/>
              <w:jc w:val="right"/>
            </w:pPr>
            <w:r>
              <w:rPr/>
              <w:t>1,970,000.00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2025年韶关市浈江区松材线虫病等林业有害生物防治与除治项目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510"/>
              <w:jc w:val="both"/>
            </w:pPr>
            <w:r>
              <w:rPr>
                <w:sz w:val="28"/>
                <w:b/>
              </w:rPr>
              <w:t>一、</w:t>
            </w:r>
            <w:r>
              <w:rPr>
                <w:sz w:val="28"/>
                <w:b/>
              </w:rPr>
              <w:t>设计依据</w:t>
            </w:r>
          </w:p>
          <w:p>
            <w:pPr>
              <w:pStyle w:val="null3"/>
              <w:ind w:firstLine="560"/>
              <w:jc w:val="both"/>
            </w:pPr>
            <w:r>
              <w:rPr>
                <w:sz w:val="28"/>
              </w:rPr>
              <w:t>1</w:t>
            </w:r>
            <w:r>
              <w:rPr>
                <w:sz w:val="28"/>
              </w:rPr>
              <w:t>.广东省财政厅文件《广东省财政厅关于下达2024 年中央林业草原改革发 展资金(第二批)的通知》（粤财资环[2024]85 号）；</w:t>
            </w:r>
          </w:p>
          <w:p>
            <w:pPr>
              <w:pStyle w:val="null3"/>
              <w:ind w:firstLine="560"/>
              <w:jc w:val="both"/>
            </w:pPr>
            <w:r>
              <w:rPr>
                <w:sz w:val="28"/>
              </w:rPr>
              <w:t>2</w:t>
            </w:r>
            <w:r>
              <w:rPr>
                <w:sz w:val="28"/>
              </w:rPr>
              <w:t>.广东省财政厅文件《广东省财政厅关于提前下达2025 年中央林业草原改革发展资金的通知》（粤财资环[2024]203 号）；</w:t>
            </w:r>
          </w:p>
          <w:p>
            <w:pPr>
              <w:pStyle w:val="null3"/>
              <w:ind w:firstLine="560"/>
              <w:jc w:val="both"/>
            </w:pPr>
            <w:r>
              <w:rPr>
                <w:sz w:val="28"/>
              </w:rPr>
              <w:t>3</w:t>
            </w:r>
            <w:r>
              <w:rPr>
                <w:sz w:val="28"/>
              </w:rPr>
              <w:t>.《广东省财政厅关于下达森林灾害防控资金的通知》（粤财资环[2024]168 号）；</w:t>
            </w:r>
          </w:p>
          <w:p>
            <w:pPr>
              <w:pStyle w:val="null3"/>
              <w:ind w:firstLine="560"/>
              <w:jc w:val="both"/>
            </w:pPr>
            <w:r>
              <w:rPr>
                <w:sz w:val="28"/>
              </w:rPr>
              <w:t>4</w:t>
            </w:r>
            <w:r>
              <w:rPr>
                <w:sz w:val="28"/>
              </w:rPr>
              <w:t>.广东省财政厅文件《广东省财政厅关于提前下达2025年绿美广东六大提升行动专项资金的通知》（粤财资环[2024]193 号）；</w:t>
            </w:r>
          </w:p>
          <w:p>
            <w:pPr>
              <w:pStyle w:val="null3"/>
              <w:ind w:firstLine="560"/>
              <w:jc w:val="both"/>
            </w:pPr>
            <w:r>
              <w:rPr>
                <w:sz w:val="28"/>
              </w:rPr>
              <w:t>5</w:t>
            </w:r>
            <w:r>
              <w:rPr>
                <w:sz w:val="28"/>
              </w:rPr>
              <w:t>.国家林业和草原局关于印发《松材线虫病防治技术方案（2024 年版）》的通知（林生发[2024]78 号）；</w:t>
            </w:r>
          </w:p>
          <w:p>
            <w:pPr>
              <w:pStyle w:val="null3"/>
              <w:ind w:firstLine="560"/>
              <w:jc w:val="both"/>
            </w:pPr>
            <w:r>
              <w:rPr>
                <w:sz w:val="28"/>
              </w:rPr>
              <w:t>6</w:t>
            </w:r>
            <w:r>
              <w:rPr>
                <w:sz w:val="28"/>
              </w:rPr>
              <w:t>.韶关市人民政府文件《韶关市松材线虫病防治办法》（韶府规[2024]14 号）；</w:t>
            </w:r>
          </w:p>
          <w:p>
            <w:pPr>
              <w:pStyle w:val="null3"/>
              <w:ind w:firstLine="560"/>
              <w:jc w:val="both"/>
            </w:pPr>
            <w:r>
              <w:rPr>
                <w:sz w:val="28"/>
              </w:rPr>
              <w:t>7</w:t>
            </w:r>
            <w:r>
              <w:rPr>
                <w:sz w:val="28"/>
              </w:rPr>
              <w:t>.国家林业和草原局关于重新印发《松材线虫病疫区和疫木管理办法》的通知（林生规〔2023〕7 号）；</w:t>
            </w:r>
          </w:p>
          <w:p>
            <w:pPr>
              <w:pStyle w:val="null3"/>
              <w:ind w:firstLine="560"/>
              <w:jc w:val="both"/>
            </w:pPr>
            <w:r>
              <w:rPr>
                <w:sz w:val="28"/>
              </w:rPr>
              <w:t>8</w:t>
            </w:r>
            <w:r>
              <w:rPr>
                <w:sz w:val="28"/>
              </w:rPr>
              <w:t>.国家林业和草原局关于印发《全国松材线虫病疫情防控五年攻坚行动计划 (2021-2025)》的通知（林生发〔2021〕56 号）；</w:t>
            </w:r>
          </w:p>
          <w:p>
            <w:pPr>
              <w:pStyle w:val="null3"/>
              <w:ind w:firstLine="560"/>
              <w:jc w:val="both"/>
            </w:pPr>
            <w:r>
              <w:rPr>
                <w:sz w:val="28"/>
              </w:rPr>
              <w:t>9</w:t>
            </w:r>
            <w:r>
              <w:rPr>
                <w:sz w:val="28"/>
              </w:rPr>
              <w:t>.《广东省松材线虫病疫情防控五年攻坚行动实施方案（2021-2025年</w:t>
            </w:r>
            <w:r>
              <w:rPr>
                <w:sz w:val="28"/>
              </w:rPr>
              <w:t>）》；</w:t>
            </w:r>
          </w:p>
          <w:p>
            <w:pPr>
              <w:pStyle w:val="null3"/>
              <w:ind w:firstLine="560"/>
              <w:jc w:val="both"/>
            </w:pPr>
            <w:r>
              <w:rPr>
                <w:sz w:val="28"/>
              </w:rPr>
              <w:t>10</w:t>
            </w:r>
            <w:r>
              <w:rPr>
                <w:sz w:val="28"/>
              </w:rPr>
              <w:t>.《韶关市松材线虫病疫情防控五年攻坚行动实施方案（2021-2025 年）》；</w:t>
            </w:r>
          </w:p>
          <w:p>
            <w:pPr>
              <w:pStyle w:val="null3"/>
              <w:ind w:firstLine="560"/>
              <w:jc w:val="both"/>
            </w:pPr>
            <w:r>
              <w:rPr>
                <w:sz w:val="28"/>
              </w:rPr>
              <w:t>11</w:t>
            </w:r>
            <w:r>
              <w:rPr>
                <w:sz w:val="28"/>
              </w:rPr>
              <w:t>.《浈江区松材线虫病疫情防控五年攻坚行动实施方案（2021-2025 年）》；</w:t>
            </w:r>
          </w:p>
          <w:p>
            <w:pPr>
              <w:pStyle w:val="null3"/>
              <w:ind w:firstLine="560"/>
              <w:jc w:val="both"/>
            </w:pPr>
            <w:r>
              <w:rPr>
                <w:sz w:val="28"/>
              </w:rPr>
              <w:t>12</w:t>
            </w:r>
            <w:r>
              <w:rPr>
                <w:sz w:val="28"/>
              </w:rPr>
              <w:t>.《广东省林业局关于松材线虫病疫区和疫木的管理办法》（粤林规〔2020〕3 号）；</w:t>
            </w:r>
          </w:p>
          <w:p>
            <w:pPr>
              <w:pStyle w:val="null3"/>
              <w:ind w:firstLine="560"/>
              <w:jc w:val="both"/>
            </w:pPr>
            <w:r>
              <w:rPr>
                <w:sz w:val="28"/>
              </w:rPr>
              <w:t>13</w:t>
            </w:r>
            <w:r>
              <w:rPr>
                <w:sz w:val="28"/>
              </w:rPr>
              <w:t>.《广东省林业局办公室关于印发广东省松材线虫病疫木除治技术等工作指引（试行）的通知》（粤林办函〔2020〕54 号）；</w:t>
            </w:r>
          </w:p>
          <w:p>
            <w:pPr>
              <w:pStyle w:val="null3"/>
              <w:ind w:firstLine="560"/>
              <w:jc w:val="both"/>
            </w:pPr>
            <w:r>
              <w:rPr>
                <w:sz w:val="28"/>
              </w:rPr>
              <w:t>14</w:t>
            </w:r>
            <w:r>
              <w:rPr>
                <w:sz w:val="28"/>
              </w:rPr>
              <w:t>.《松材线虫病疫木处理技术规范》GB/T 23477-2009</w:t>
            </w:r>
            <w:r>
              <w:rPr>
                <w:sz w:val="28"/>
              </w:rPr>
              <w:t>；</w:t>
            </w:r>
          </w:p>
          <w:p>
            <w:pPr>
              <w:pStyle w:val="null3"/>
              <w:ind w:firstLine="560"/>
              <w:jc w:val="both"/>
            </w:pPr>
            <w:r>
              <w:rPr>
                <w:sz w:val="28"/>
              </w:rPr>
              <w:t>15</w:t>
            </w:r>
            <w:r>
              <w:rPr>
                <w:sz w:val="28"/>
              </w:rPr>
              <w:t>.《松材线虫病防治项目计价指引》（T/GDFS 11-2022）；</w:t>
            </w:r>
          </w:p>
          <w:p>
            <w:pPr>
              <w:pStyle w:val="null3"/>
              <w:ind w:firstLine="560"/>
              <w:jc w:val="both"/>
            </w:pPr>
            <w:r>
              <w:rPr>
                <w:sz w:val="28"/>
              </w:rPr>
              <w:t>16</w:t>
            </w:r>
            <w:r>
              <w:rPr>
                <w:sz w:val="28"/>
              </w:rPr>
              <w:t>.《韶关市浈江区2024 年秋季松材线虫病疫情普查技术报告》</w:t>
            </w:r>
            <w:r>
              <w:rPr>
                <w:sz w:val="28"/>
              </w:rPr>
              <w:t>；</w:t>
            </w:r>
          </w:p>
          <w:p>
            <w:pPr>
              <w:pStyle w:val="null3"/>
              <w:ind w:firstLine="560"/>
              <w:jc w:val="both"/>
            </w:pPr>
            <w:r>
              <w:rPr>
                <w:sz w:val="28"/>
              </w:rPr>
              <w:t>17</w:t>
            </w:r>
            <w:r>
              <w:rPr>
                <w:sz w:val="28"/>
              </w:rPr>
              <w:t>.《广东省2025 年林业有害生物防治工作要点》</w:t>
            </w:r>
            <w:r>
              <w:rPr>
                <w:sz w:val="28"/>
              </w:rPr>
              <w:t>；</w:t>
            </w:r>
          </w:p>
          <w:p>
            <w:pPr>
              <w:pStyle w:val="null3"/>
              <w:ind w:firstLine="560"/>
              <w:jc w:val="both"/>
            </w:pPr>
            <w:r>
              <w:rPr>
                <w:sz w:val="28"/>
              </w:rPr>
              <w:t>18</w:t>
            </w:r>
            <w:r>
              <w:rPr>
                <w:sz w:val="28"/>
              </w:rPr>
              <w:t>.《韶关市2025年林业有害生物防治工作要点》</w:t>
            </w:r>
            <w:r>
              <w:rPr>
                <w:sz w:val="28"/>
              </w:rPr>
              <w:t>；</w:t>
            </w:r>
          </w:p>
          <w:p>
            <w:pPr>
              <w:pStyle w:val="null3"/>
              <w:ind w:firstLine="560"/>
              <w:jc w:val="both"/>
            </w:pPr>
            <w:r>
              <w:rPr>
                <w:sz w:val="28"/>
              </w:rPr>
              <w:t>19</w:t>
            </w:r>
            <w:r>
              <w:rPr>
                <w:sz w:val="28"/>
              </w:rPr>
              <w:t>.《广东省“十四五”林业有害生物防治规划》</w:t>
            </w:r>
            <w:r>
              <w:rPr>
                <w:sz w:val="28"/>
              </w:rPr>
              <w:t>。</w:t>
            </w:r>
          </w:p>
          <w:p>
            <w:pPr>
              <w:pStyle w:val="null3"/>
              <w:ind w:firstLine="562"/>
              <w:jc w:val="both"/>
            </w:pPr>
            <w:r>
              <w:rPr>
                <w:sz w:val="28"/>
                <w:b/>
              </w:rPr>
              <w:t>二、防治区划</w:t>
            </w:r>
          </w:p>
          <w:p>
            <w:pPr>
              <w:pStyle w:val="null3"/>
              <w:ind w:firstLine="560"/>
              <w:jc w:val="both"/>
            </w:pPr>
            <w:r>
              <w:rPr>
                <w:sz w:val="28"/>
              </w:rPr>
              <w:t>浈江区现有松林面积</w:t>
            </w:r>
            <w:r>
              <w:rPr>
                <w:sz w:val="28"/>
              </w:rPr>
              <w:t>161664.6亩：其中花坪镇松林面积23641.6亩，已实现无疫情，2025年作为无疫情监测区；犁市镇、十里亭镇和新韶镇为疫情防治区，松林面积分别为89438.3亩、21961.0亩和23098.3亩；乐园镇松林面积3525.4亩，为疫情预防区。</w:t>
            </w:r>
          </w:p>
          <w:p>
            <w:pPr>
              <w:pStyle w:val="null3"/>
              <w:ind w:firstLine="562"/>
              <w:jc w:val="both"/>
            </w:pPr>
            <w:r>
              <w:rPr>
                <w:sz w:val="28"/>
                <w:b/>
              </w:rPr>
              <w:t>三、防治目标和任务</w:t>
            </w:r>
          </w:p>
          <w:p>
            <w:pPr>
              <w:pStyle w:val="null3"/>
              <w:ind w:firstLine="562"/>
              <w:jc w:val="both"/>
            </w:pPr>
            <w:r>
              <w:rPr>
                <w:sz w:val="28"/>
                <w:b/>
              </w:rPr>
              <w:t>（一）防治目标</w:t>
            </w:r>
          </w:p>
          <w:p>
            <w:pPr>
              <w:pStyle w:val="null3"/>
              <w:ind w:firstLine="560"/>
              <w:jc w:val="both"/>
            </w:pPr>
            <w:r>
              <w:rPr>
                <w:sz w:val="28"/>
              </w:rPr>
              <w:t>1.采取“即死即清”（4月-10月）和“集中除治”（11月-翌年3月）的原则清除病（枯）死松树，验收时全区无病（枯）死松树。</w:t>
            </w:r>
          </w:p>
          <w:p>
            <w:pPr>
              <w:pStyle w:val="null3"/>
              <w:ind w:firstLine="560"/>
              <w:jc w:val="both"/>
            </w:pPr>
            <w:r>
              <w:rPr>
                <w:sz w:val="28"/>
              </w:rPr>
              <w:t>2.病（枯）死松树伐除和除害处理率100%，伐桩高度不超过5厘米，如果伐桩高度超过5cm,需使用覆膜处理或钢丝网罩处理(没有漏洞或缝隙)、伐桩处理率100%，病（枯）死松树主干和直径1厘米以上的枝桠除害率100%。</w:t>
            </w:r>
          </w:p>
          <w:p>
            <w:pPr>
              <w:pStyle w:val="null3"/>
              <w:ind w:firstLine="562"/>
              <w:jc w:val="both"/>
            </w:pPr>
            <w:r>
              <w:rPr>
                <w:sz w:val="28"/>
                <w:b/>
              </w:rPr>
              <w:t>（二）防治任务</w:t>
            </w:r>
          </w:p>
          <w:p>
            <w:pPr>
              <w:pStyle w:val="null3"/>
              <w:ind w:firstLine="560"/>
              <w:jc w:val="both"/>
            </w:pPr>
            <w:r>
              <w:rPr>
                <w:sz w:val="28"/>
              </w:rPr>
              <w:t>1.日常监测：对辖区内161664.6亩松林面积进行监测，每3个月1次，共监测3次，总监测松林面积484993.8亩次。</w:t>
            </w:r>
          </w:p>
          <w:p>
            <w:pPr>
              <w:pStyle w:val="null3"/>
              <w:ind w:firstLine="560"/>
              <w:jc w:val="both"/>
            </w:pPr>
            <w:r>
              <w:rPr>
                <w:sz w:val="28"/>
              </w:rPr>
              <w:t>2.专项普查：对辖区内161664.6亩松林面积进行专项普查一次。在专项普查中，在预防区及未发生疫情小班一旦发现病株，需迅速组织专业技术人员取样送检鉴定。</w:t>
            </w:r>
          </w:p>
          <w:p>
            <w:pPr>
              <w:pStyle w:val="null3"/>
              <w:ind w:firstLine="560"/>
              <w:jc w:val="both"/>
            </w:pPr>
            <w:r>
              <w:rPr>
                <w:sz w:val="28"/>
              </w:rPr>
              <w:t>3.松材线虫病防治：松材线虫病防治面积11087.74亩，对辖区内病（枯、死）松树（含伐桩处理）进行除害处理，位于高山陡坡、林密或林下草灌丰富、通行困难，且使用粉碎（削片）、烧毁措施难度较大区域的病死树，采取套袋消杀的方法，套袋消杀不能堆放在“四旁”(水旁、路旁、村旁、宅旁)和“五边”(山边、水边、路边、镇村边、景区边)。在交通条件较好的地方，将枯死木伐倒截段后，转运到就近有松材线虫病疫木处理条件的定点加工厂进行疫木变性利用、生物发电及烧毁等处理。</w:t>
            </w:r>
          </w:p>
          <w:p>
            <w:pPr>
              <w:pStyle w:val="null3"/>
              <w:ind w:firstLine="560"/>
              <w:jc w:val="both"/>
            </w:pPr>
            <w:r>
              <w:rPr>
                <w:sz w:val="28"/>
              </w:rPr>
              <w:t>4.古松树预防：对辖区内1株古松树进行树干注药保护，使用树干注药专用药剂，采用高压注射或微创注射的方式。</w:t>
            </w:r>
          </w:p>
          <w:p>
            <w:pPr>
              <w:pStyle w:val="null3"/>
              <w:ind w:firstLine="560"/>
              <w:jc w:val="both"/>
            </w:pPr>
            <w:r>
              <w:rPr>
                <w:sz w:val="28"/>
              </w:rPr>
              <w:t>5.已实现无疫情乡镇的媒介昆虫监测：在浈江区花坪镇长地头村委和花坪林场的松林中，分别选择相对开阔、通风良好的区域各设置一套松材线虫病媒介昆虫诱捕器。每月定期将收集诱集到的媒介昆虫虫体（如松墨天牛），及时进行虫种鉴定及松材线虫携带情况检测，确保疫情监测常态化、规范化。</w:t>
            </w:r>
          </w:p>
          <w:p>
            <w:pPr>
              <w:pStyle w:val="null3"/>
              <w:ind w:firstLine="562"/>
              <w:jc w:val="both"/>
            </w:pPr>
            <w:r>
              <w:rPr>
                <w:sz w:val="28"/>
                <w:b/>
              </w:rPr>
              <w:t>四、主要防治措施</w:t>
            </w:r>
          </w:p>
          <w:p>
            <w:pPr>
              <w:pStyle w:val="null3"/>
              <w:ind w:firstLine="562"/>
              <w:jc w:val="both"/>
            </w:pPr>
            <w:r>
              <w:rPr>
                <w:sz w:val="28"/>
                <w:b/>
              </w:rPr>
              <w:t>（一）</w:t>
            </w:r>
            <w:r>
              <w:rPr>
                <w:sz w:val="28"/>
                <w:b/>
              </w:rPr>
              <w:t>日常监测</w:t>
            </w:r>
          </w:p>
          <w:p>
            <w:pPr>
              <w:pStyle w:val="null3"/>
              <w:ind w:firstLine="560"/>
              <w:jc w:val="both"/>
            </w:pPr>
            <w:r>
              <w:rPr>
                <w:sz w:val="28"/>
              </w:rPr>
              <w:t>1.监测任务：主要任务是及时发现、准确鉴定、及时报告疫情。</w:t>
            </w:r>
          </w:p>
          <w:p>
            <w:pPr>
              <w:pStyle w:val="null3"/>
              <w:ind w:firstLine="560"/>
              <w:jc w:val="both"/>
            </w:pPr>
            <w:r>
              <w:rPr>
                <w:sz w:val="28"/>
              </w:rPr>
              <w:t>2.监测范围：全区松林监测，重点监测未发生疫情的松林（小班松林、散生松树），同时监测2024年除治后的松林（小班松林、散生松树）。</w:t>
            </w:r>
          </w:p>
          <w:p>
            <w:pPr>
              <w:pStyle w:val="null3"/>
              <w:ind w:firstLine="560"/>
              <w:jc w:val="both"/>
            </w:pPr>
            <w:r>
              <w:rPr>
                <w:sz w:val="28"/>
              </w:rPr>
              <w:t>3.监测时间：常态化巡查，按3个月各巡查1次，全年巡查3次。其中，视情况对重点区域可加大巡查频次。</w:t>
            </w:r>
          </w:p>
          <w:p>
            <w:pPr>
              <w:pStyle w:val="null3"/>
              <w:ind w:firstLine="560"/>
              <w:jc w:val="both"/>
            </w:pPr>
            <w:r>
              <w:rPr>
                <w:sz w:val="28"/>
              </w:rPr>
              <w:t>4.监测内容：调查是否出现松树枯死、松针变色等异常情况。</w:t>
            </w:r>
          </w:p>
          <w:p>
            <w:pPr>
              <w:pStyle w:val="null3"/>
              <w:ind w:firstLine="560"/>
              <w:jc w:val="both"/>
            </w:pPr>
            <w:r>
              <w:rPr>
                <w:sz w:val="28"/>
              </w:rPr>
              <w:t>5.监测方法</w:t>
            </w:r>
          </w:p>
          <w:p>
            <w:pPr>
              <w:pStyle w:val="null3"/>
              <w:ind w:firstLine="560"/>
              <w:jc w:val="both"/>
            </w:pPr>
            <w:r>
              <w:rPr>
                <w:sz w:val="28"/>
              </w:rPr>
              <w:t>（</w:t>
            </w:r>
            <w:r>
              <w:rPr>
                <w:sz w:val="28"/>
              </w:rPr>
              <w:t>1）地面巡查。根据松林分布状况，设计出可观察全部林分的踏查路线。采取目测方法，结合使用望远镜和无人机等设备，沿踏查路线调查有无枯死松树，或是否出现针叶褪色、黄化、枯萎、呈红褐色等症状的松树，并记录松树异常情况。非疫点镇和已实现无疫情乡镇发现松树枯死、松针变色等异常情况，应当立即取样鉴定，确认是否感染松材线虫病。已是疫点镇的松林中出现松树枯死、松针变色等异常情况，可以不用再取样鉴定。</w:t>
            </w:r>
          </w:p>
          <w:p>
            <w:pPr>
              <w:pStyle w:val="null3"/>
              <w:ind w:firstLine="560"/>
              <w:jc w:val="both"/>
            </w:pPr>
            <w:r>
              <w:rPr>
                <w:sz w:val="28"/>
              </w:rPr>
              <w:t>（</w:t>
            </w:r>
            <w:r>
              <w:rPr>
                <w:sz w:val="28"/>
              </w:rPr>
              <w:t>2）航天航空遥感调查。应用无人机遥感监测数据分析松树异常情况。遥感监测发现松树异常后，应立即开展地面核实核查。</w:t>
            </w:r>
          </w:p>
          <w:p>
            <w:pPr>
              <w:pStyle w:val="null3"/>
              <w:ind w:firstLine="560"/>
              <w:jc w:val="both"/>
            </w:pPr>
            <w:r>
              <w:rPr>
                <w:sz w:val="28"/>
              </w:rPr>
              <w:t>（</w:t>
            </w:r>
            <w:r>
              <w:rPr>
                <w:sz w:val="28"/>
              </w:rPr>
              <w:t>3）监测数据上传至松材线虫病疫情防控监管平台。</w:t>
            </w:r>
          </w:p>
          <w:p>
            <w:pPr>
              <w:pStyle w:val="null3"/>
              <w:ind w:firstLine="562"/>
              <w:jc w:val="both"/>
            </w:pPr>
            <w:r>
              <w:rPr>
                <w:sz w:val="28"/>
                <w:b/>
              </w:rPr>
              <w:t>（</w:t>
            </w:r>
            <w:r>
              <w:rPr>
                <w:sz w:val="28"/>
                <w:b/>
              </w:rPr>
              <w:t>二</w:t>
            </w:r>
            <w:r>
              <w:rPr>
                <w:sz w:val="28"/>
                <w:b/>
              </w:rPr>
              <w:t>）</w:t>
            </w:r>
            <w:r>
              <w:rPr>
                <w:sz w:val="28"/>
                <w:b/>
              </w:rPr>
              <w:t>专项普查</w:t>
            </w:r>
          </w:p>
          <w:p>
            <w:pPr>
              <w:pStyle w:val="null3"/>
              <w:ind w:firstLine="560"/>
              <w:jc w:val="both"/>
            </w:pPr>
            <w:r>
              <w:rPr>
                <w:sz w:val="28"/>
              </w:rPr>
              <w:t>1.普查任务：主要任务是全面掌握疫情发生情况和防控成效，为科学决策和制定下一年度防控工作方案提供支撑。</w:t>
            </w:r>
          </w:p>
          <w:p>
            <w:pPr>
              <w:pStyle w:val="null3"/>
              <w:ind w:firstLine="560"/>
              <w:jc w:val="both"/>
            </w:pPr>
            <w:r>
              <w:rPr>
                <w:sz w:val="28"/>
              </w:rPr>
              <w:t>2.普查范围：全区松林分布区域。</w:t>
            </w:r>
          </w:p>
          <w:p>
            <w:pPr>
              <w:pStyle w:val="null3"/>
              <w:ind w:firstLine="560"/>
              <w:jc w:val="both"/>
            </w:pPr>
            <w:r>
              <w:rPr>
                <w:sz w:val="28"/>
              </w:rPr>
              <w:t>3.普查时间：于2025年秋季9～11月对全区松树进行专项普查。</w:t>
            </w:r>
          </w:p>
          <w:p>
            <w:pPr>
              <w:pStyle w:val="null3"/>
              <w:ind w:firstLine="560"/>
              <w:jc w:val="both"/>
            </w:pPr>
            <w:r>
              <w:rPr>
                <w:sz w:val="28"/>
              </w:rPr>
              <w:t>4.普查内容：结合日常监测，查清本辖区内病死（濒死、枯死、因致灾死）松树数量和疫情发生面积等疫情信息。</w:t>
            </w:r>
          </w:p>
          <w:p>
            <w:pPr>
              <w:pStyle w:val="null3"/>
              <w:ind w:firstLine="560"/>
              <w:jc w:val="both"/>
            </w:pPr>
            <w:r>
              <w:rPr>
                <w:sz w:val="28"/>
              </w:rPr>
              <w:t>5.普查方法：同日常监测，普查数据上传至松材线虫病疫情防控监管平台。</w:t>
            </w:r>
          </w:p>
          <w:p>
            <w:pPr>
              <w:pStyle w:val="null3"/>
              <w:ind w:firstLine="562"/>
              <w:jc w:val="both"/>
            </w:pPr>
            <w:r>
              <w:rPr>
                <w:sz w:val="28"/>
                <w:b/>
              </w:rPr>
              <w:t>（</w:t>
            </w:r>
            <w:r>
              <w:rPr>
                <w:sz w:val="28"/>
                <w:b/>
              </w:rPr>
              <w:t>三</w:t>
            </w:r>
            <w:r>
              <w:rPr>
                <w:sz w:val="28"/>
                <w:b/>
              </w:rPr>
              <w:t>）</w:t>
            </w:r>
            <w:r>
              <w:rPr>
                <w:sz w:val="28"/>
                <w:b/>
              </w:rPr>
              <w:t>疫木除治</w:t>
            </w:r>
          </w:p>
          <w:p>
            <w:pPr>
              <w:pStyle w:val="null3"/>
              <w:ind w:firstLine="562"/>
              <w:jc w:val="both"/>
            </w:pPr>
            <w:r>
              <w:rPr>
                <w:sz w:val="28"/>
                <w:b/>
              </w:rPr>
              <w:t>1.</w:t>
            </w:r>
            <w:r>
              <w:rPr>
                <w:sz w:val="28"/>
                <w:b/>
              </w:rPr>
              <w:t>除治基本原则</w:t>
            </w:r>
          </w:p>
          <w:p>
            <w:pPr>
              <w:pStyle w:val="null3"/>
              <w:ind w:firstLine="560"/>
              <w:jc w:val="both"/>
            </w:pPr>
            <w:r>
              <w:rPr>
                <w:sz w:val="28"/>
              </w:rPr>
              <w:t>（</w:t>
            </w:r>
            <w:r>
              <w:rPr>
                <w:sz w:val="28"/>
              </w:rPr>
              <w:t>1</w:t>
            </w:r>
            <w:r>
              <w:rPr>
                <w:sz w:val="28"/>
              </w:rPr>
              <w:t>）</w:t>
            </w:r>
            <w:r>
              <w:rPr>
                <w:sz w:val="28"/>
              </w:rPr>
              <w:t>坚持政府主导、属地管理的原则</w:t>
            </w:r>
          </w:p>
          <w:p>
            <w:pPr>
              <w:pStyle w:val="null3"/>
              <w:ind w:firstLine="560"/>
              <w:jc w:val="both"/>
            </w:pPr>
            <w:r>
              <w:rPr>
                <w:sz w:val="28"/>
              </w:rPr>
              <w:t>按照区级林长统筹协调、镇级林长分村落实、村级林长具体负责、护林员按网格巡护的松材线虫病疫情防控要求，全面做好松材线虫病等重大林业有害生物防治工作。</w:t>
            </w:r>
          </w:p>
          <w:p>
            <w:pPr>
              <w:pStyle w:val="null3"/>
              <w:ind w:firstLine="560"/>
              <w:jc w:val="both"/>
            </w:pPr>
            <w:r>
              <w:rPr>
                <w:sz w:val="28"/>
              </w:rPr>
              <w:t>（</w:t>
            </w:r>
            <w:r>
              <w:rPr>
                <w:sz w:val="28"/>
              </w:rPr>
              <w:t>2</w:t>
            </w:r>
            <w:r>
              <w:rPr>
                <w:sz w:val="28"/>
              </w:rPr>
              <w:t>）</w:t>
            </w:r>
            <w:r>
              <w:rPr>
                <w:sz w:val="28"/>
              </w:rPr>
              <w:t>坚持以清理病（枯）死松树为核心的原则</w:t>
            </w:r>
          </w:p>
          <w:p>
            <w:pPr>
              <w:pStyle w:val="null3"/>
              <w:ind w:firstLine="560"/>
              <w:jc w:val="both"/>
            </w:pPr>
            <w:r>
              <w:rPr>
                <w:sz w:val="28"/>
              </w:rPr>
              <w:t>在全面监测浈江区松材线虫病疫情动态，明确分布情况、发生范围的前提下，采取以松材线虫病病（枯）死树</w:t>
            </w:r>
            <w:r>
              <w:rPr>
                <w:sz w:val="28"/>
              </w:rPr>
              <w:t>“即死即清”和“集中除治”防控措施。</w:t>
            </w:r>
          </w:p>
          <w:p>
            <w:pPr>
              <w:pStyle w:val="null3"/>
              <w:ind w:firstLine="562"/>
              <w:jc w:val="both"/>
            </w:pPr>
            <w:r>
              <w:rPr>
                <w:sz w:val="28"/>
                <w:b/>
              </w:rPr>
              <w:t>2.</w:t>
            </w:r>
            <w:r>
              <w:rPr>
                <w:sz w:val="28"/>
                <w:b/>
              </w:rPr>
              <w:t>疫木清除</w:t>
            </w:r>
          </w:p>
          <w:p>
            <w:pPr>
              <w:pStyle w:val="null3"/>
              <w:ind w:firstLine="560"/>
              <w:jc w:val="both"/>
            </w:pPr>
            <w:r>
              <w:rPr>
                <w:sz w:val="28"/>
              </w:rPr>
              <w:t>（</w:t>
            </w:r>
            <w:r>
              <w:rPr>
                <w:sz w:val="28"/>
              </w:rPr>
              <w:t>1</w:t>
            </w:r>
            <w:r>
              <w:rPr>
                <w:sz w:val="28"/>
              </w:rPr>
              <w:t>）</w:t>
            </w:r>
            <w:r>
              <w:rPr>
                <w:sz w:val="28"/>
              </w:rPr>
              <w:t>清除方式</w:t>
            </w:r>
          </w:p>
          <w:p>
            <w:pPr>
              <w:pStyle w:val="null3"/>
              <w:ind w:firstLine="560"/>
              <w:jc w:val="both"/>
            </w:pPr>
            <w:r>
              <w:rPr>
                <w:sz w:val="28"/>
              </w:rPr>
              <w:t>1）</w:t>
            </w:r>
            <w:r>
              <w:rPr>
                <w:sz w:val="28"/>
              </w:rPr>
              <w:t>择伐清理。对松材线虫病疫情小班及其周边松林中的死亡（病死、其他原因致死）松树进行清理。</w:t>
            </w:r>
          </w:p>
          <w:p>
            <w:pPr>
              <w:pStyle w:val="null3"/>
              <w:ind w:firstLine="560"/>
              <w:jc w:val="both"/>
            </w:pPr>
            <w:r>
              <w:rPr>
                <w:sz w:val="28"/>
              </w:rPr>
              <w:t>2）</w:t>
            </w:r>
            <w:r>
              <w:rPr>
                <w:sz w:val="28"/>
              </w:rPr>
              <w:t>皆伐清理。对松材线虫病疫情小班及周边有感染疫情风险的小班中的松科寄主植物进行全面清理。松科古树名木采取预防性保护措施。</w:t>
            </w:r>
          </w:p>
          <w:p>
            <w:pPr>
              <w:pStyle w:val="null3"/>
              <w:ind w:firstLine="560"/>
              <w:jc w:val="both"/>
            </w:pPr>
            <w:r>
              <w:rPr>
                <w:sz w:val="28"/>
              </w:rPr>
              <w:t>（</w:t>
            </w:r>
            <w:r>
              <w:rPr>
                <w:sz w:val="28"/>
              </w:rPr>
              <w:t>2</w:t>
            </w:r>
            <w:r>
              <w:rPr>
                <w:sz w:val="28"/>
              </w:rPr>
              <w:t>）</w:t>
            </w:r>
            <w:r>
              <w:rPr>
                <w:sz w:val="28"/>
              </w:rPr>
              <w:t>清除时间和作业要求</w:t>
            </w:r>
          </w:p>
          <w:p>
            <w:pPr>
              <w:pStyle w:val="null3"/>
              <w:ind w:firstLine="560"/>
              <w:jc w:val="both"/>
            </w:pPr>
            <w:r>
              <w:rPr>
                <w:sz w:val="28"/>
              </w:rPr>
              <w:t>1）</w:t>
            </w:r>
            <w:r>
              <w:rPr>
                <w:sz w:val="28"/>
              </w:rPr>
              <w:t>集中除治。在冬春季媒介昆虫非羽化期（</w:t>
            </w:r>
            <w:r>
              <w:rPr>
                <w:sz w:val="28"/>
              </w:rPr>
              <w:t>11月-翌年3月）采伐清理死亡（病死、其他原因致死）松树并进行除害处理。</w:t>
            </w:r>
          </w:p>
          <w:p>
            <w:pPr>
              <w:pStyle w:val="null3"/>
              <w:ind w:firstLine="560"/>
              <w:jc w:val="both"/>
            </w:pPr>
            <w:r>
              <w:rPr>
                <w:sz w:val="28"/>
              </w:rPr>
              <w:t>作业要求：对采伐的松木及采伐迹地上直径超过</w:t>
            </w:r>
            <w:r>
              <w:rPr>
                <w:sz w:val="28"/>
              </w:rPr>
              <w:t>1厘米的枝丫进行全面清理，并实行全过程现场监管。采伐的松木和直径超过1厘米的枝丫应在疫区内就地就近及时进行除害处理，并确保在媒介昆虫进入羽化期前全部处置完毕。</w:t>
            </w:r>
          </w:p>
          <w:p>
            <w:pPr>
              <w:pStyle w:val="null3"/>
              <w:ind w:firstLine="560"/>
              <w:jc w:val="both"/>
            </w:pPr>
            <w:r>
              <w:rPr>
                <w:sz w:val="28"/>
              </w:rPr>
              <w:t>2）</w:t>
            </w:r>
            <w:r>
              <w:rPr>
                <w:sz w:val="28"/>
              </w:rPr>
              <w:t>即死即清。在媒介昆虫羽化期内（</w:t>
            </w:r>
            <w:r>
              <w:rPr>
                <w:sz w:val="28"/>
              </w:rPr>
              <w:t>4月-10月）发现死亡松树时，及时采伐并进行除害处理。</w:t>
            </w:r>
          </w:p>
          <w:p>
            <w:pPr>
              <w:pStyle w:val="null3"/>
              <w:ind w:firstLine="560"/>
              <w:jc w:val="both"/>
            </w:pPr>
            <w:r>
              <w:rPr>
                <w:sz w:val="28"/>
              </w:rPr>
              <w:t>作业要求</w:t>
            </w:r>
            <w:r>
              <w:rPr>
                <w:sz w:val="28"/>
              </w:rPr>
              <w:t>:对采伐的松木和采伐迹地上直径超过1厘米的枝丫进行全部清理，并按照当日采伐当日就地粉碎(削片)、烧毁或钢丝网罩处理的要求进行处置，实行全过程现场监管，除治后及时完成除治质量调查。即死即清数据要同步上传松材线虫病疫情防控监管平台，平台将自动统计到当年秋季普查结果中。</w:t>
            </w:r>
          </w:p>
          <w:p>
            <w:pPr>
              <w:pStyle w:val="null3"/>
              <w:ind w:firstLine="562"/>
              <w:jc w:val="both"/>
            </w:pPr>
            <w:r>
              <w:rPr>
                <w:sz w:val="28"/>
                <w:b/>
              </w:rPr>
              <w:t>3.</w:t>
            </w:r>
            <w:r>
              <w:rPr>
                <w:sz w:val="28"/>
                <w:b/>
              </w:rPr>
              <w:t>疫木处理</w:t>
            </w:r>
          </w:p>
          <w:p>
            <w:pPr>
              <w:pStyle w:val="null3"/>
              <w:ind w:firstLine="560"/>
              <w:jc w:val="both"/>
            </w:pPr>
            <w:r>
              <w:rPr>
                <w:sz w:val="28"/>
              </w:rPr>
              <w:t>设计采用套袋消杀和变性利用两种处理方式。其中：对位于高山陡坡、林密或林下草灌丰富、通行困难，且使用粉碎（削片）、烧毁措施难度较大区域的病枯死树，采取套袋消杀的方法，套袋消杀不能堆放在</w:t>
            </w:r>
            <w:r>
              <w:rPr>
                <w:sz w:val="28"/>
              </w:rPr>
              <w:t>“四旁”(水旁、路旁、村旁、宅旁)和“五边”(山边、水边、路边、镇村边、景区边)。在交通条件较好的地方，将病枯死树伐倒截段后，转运到就近有松材线虫病疫木处理条件的定点加工厂进行疫木变性利用，生物发电或烧毁等处理。</w:t>
            </w:r>
          </w:p>
          <w:p>
            <w:pPr>
              <w:pStyle w:val="null3"/>
              <w:ind w:firstLine="560"/>
              <w:jc w:val="both"/>
            </w:pPr>
            <w:r>
              <w:rPr>
                <w:sz w:val="28"/>
              </w:rPr>
              <w:t>套袋消杀处理材料及要求如下：</w:t>
            </w:r>
          </w:p>
          <w:p>
            <w:pPr>
              <w:pStyle w:val="null3"/>
              <w:ind w:firstLine="560"/>
              <w:jc w:val="both"/>
            </w:pPr>
            <w:r>
              <w:rPr>
                <w:sz w:val="28"/>
              </w:rPr>
              <w:t>（</w:t>
            </w:r>
            <w:r>
              <w:rPr>
                <w:sz w:val="28"/>
              </w:rPr>
              <w:t>1</w:t>
            </w:r>
            <w:r>
              <w:rPr>
                <w:sz w:val="28"/>
              </w:rPr>
              <w:t>）</w:t>
            </w:r>
            <w:r>
              <w:rPr>
                <w:sz w:val="28"/>
              </w:rPr>
              <w:t>消杀处理材料</w:t>
            </w:r>
          </w:p>
          <w:p>
            <w:pPr>
              <w:pStyle w:val="null3"/>
              <w:ind w:firstLine="560"/>
              <w:jc w:val="both"/>
            </w:pPr>
            <w:r>
              <w:rPr>
                <w:sz w:val="28"/>
              </w:rPr>
              <w:t>1）</w:t>
            </w:r>
            <w:r>
              <w:rPr>
                <w:sz w:val="28"/>
              </w:rPr>
              <w:t>消杀药剂。</w:t>
            </w:r>
            <w:r>
              <w:rPr>
                <w:sz w:val="28"/>
              </w:rPr>
              <w:t>56%磷化铝片剂等。</w:t>
            </w:r>
          </w:p>
          <w:p>
            <w:pPr>
              <w:pStyle w:val="null3"/>
              <w:ind w:firstLine="560"/>
              <w:jc w:val="both"/>
            </w:pPr>
            <w:r>
              <w:rPr>
                <w:sz w:val="28"/>
              </w:rPr>
              <w:t>2）</w:t>
            </w:r>
            <w:r>
              <w:rPr>
                <w:sz w:val="28"/>
              </w:rPr>
              <w:t>消杀袋。总体要求：密封性好不透气、韧性好不易破、较环保能降解。质量要求：牢固度</w:t>
            </w:r>
            <w:r>
              <w:rPr>
                <w:sz w:val="28"/>
              </w:rPr>
              <w:t>≥6个月。样式：桶形或长方体型。尺寸要求：长度≤180厘米、宽度≤150厘米、高度≤100厘米。材质：聚乙烯、聚丙烯（可内覆薄膜）等。参考样式如下：</w:t>
            </w:r>
          </w:p>
          <w:p>
            <w:pPr>
              <w:pStyle w:val="null3"/>
              <w:ind w:firstLine="560"/>
              <w:jc w:val="both"/>
            </w:pPr>
            <w:r>
              <w:rPr>
                <w:sz w:val="28"/>
              </w:rPr>
              <w:t>A.桶形消杀袋。样式：桶形，卷状连续缠绕包装，用时可用剪刀剪成适当长度。尺寸：宽度100～150厘米，最后成包的长度≤180厘米。膜厚度≥0.08毫米（8丝）。颜色：白色、透明色或黑色等。</w:t>
            </w:r>
          </w:p>
          <w:p>
            <w:pPr>
              <w:pStyle w:val="null3"/>
              <w:ind w:firstLine="560"/>
              <w:jc w:val="both"/>
            </w:pPr>
            <w:r>
              <w:rPr>
                <w:sz w:val="28"/>
              </w:rPr>
              <w:t>B.长方形消杀袋。样式：长方体型，顶面开口。长、宽、高为100×80×60厘米。颜色：白色、透明色或黑色等。其它要求：表面印记套袋消杀公司、日期、编码等标识。</w:t>
            </w:r>
          </w:p>
          <w:p>
            <w:pPr>
              <w:pStyle w:val="null3"/>
              <w:ind w:firstLine="560"/>
              <w:jc w:val="both"/>
            </w:pPr>
            <w:r>
              <w:rPr>
                <w:sz w:val="28"/>
              </w:rPr>
              <w:t>3）</w:t>
            </w:r>
            <w:r>
              <w:rPr>
                <w:sz w:val="28"/>
              </w:rPr>
              <w:t>封口材料。尼龙扎带（要求：耐腐蚀、耐高温、不易老化等）、封口胶带（要求：防水、不易老化、耐高温、耐腐蚀等）等。</w:t>
            </w:r>
          </w:p>
          <w:p>
            <w:pPr>
              <w:pStyle w:val="null3"/>
              <w:ind w:firstLine="560"/>
              <w:jc w:val="both"/>
            </w:pPr>
            <w:r>
              <w:rPr>
                <w:sz w:val="28"/>
              </w:rPr>
              <w:t>4）</w:t>
            </w:r>
            <w:r>
              <w:rPr>
                <w:sz w:val="28"/>
              </w:rPr>
              <w:t>消杀处理工具。油锯、砍刀、剪刀、裁纸刀等，有毒有害警示标贴</w:t>
            </w:r>
            <w:r>
              <w:rPr>
                <w:sz w:val="28"/>
              </w:rPr>
              <w:t>(要求：粘性好、耐腐蚀、耐高温等）。</w:t>
            </w:r>
          </w:p>
          <w:p>
            <w:pPr>
              <w:pStyle w:val="null3"/>
              <w:ind w:firstLine="560"/>
              <w:jc w:val="both"/>
            </w:pPr>
            <w:r>
              <w:rPr>
                <w:sz w:val="28"/>
              </w:rPr>
              <w:t>（</w:t>
            </w:r>
            <w:r>
              <w:rPr>
                <w:sz w:val="28"/>
              </w:rPr>
              <w:t>2</w:t>
            </w:r>
            <w:r>
              <w:rPr>
                <w:sz w:val="28"/>
              </w:rPr>
              <w:t>）</w:t>
            </w:r>
            <w:r>
              <w:rPr>
                <w:sz w:val="28"/>
              </w:rPr>
              <w:t>消杀处理温度要求。作业时，当地日平均气温要高于</w:t>
            </w:r>
            <w:r>
              <w:rPr>
                <w:sz w:val="28"/>
              </w:rPr>
              <w:t>10℃。</w:t>
            </w:r>
          </w:p>
          <w:p>
            <w:pPr>
              <w:pStyle w:val="null3"/>
              <w:ind w:firstLine="560"/>
              <w:jc w:val="both"/>
            </w:pPr>
            <w:r>
              <w:rPr>
                <w:sz w:val="28"/>
              </w:rPr>
              <w:t>（</w:t>
            </w:r>
            <w:r>
              <w:rPr>
                <w:sz w:val="28"/>
              </w:rPr>
              <w:t>3</w:t>
            </w:r>
            <w:r>
              <w:rPr>
                <w:sz w:val="28"/>
              </w:rPr>
              <w:t>）</w:t>
            </w:r>
            <w:r>
              <w:rPr>
                <w:sz w:val="28"/>
              </w:rPr>
              <w:t>消杀作业步骤</w:t>
            </w:r>
          </w:p>
          <w:p>
            <w:pPr>
              <w:pStyle w:val="null3"/>
              <w:ind w:firstLine="560"/>
              <w:jc w:val="both"/>
            </w:pPr>
            <w:r>
              <w:rPr>
                <w:sz w:val="28"/>
              </w:rPr>
              <w:t>1）</w:t>
            </w:r>
            <w:r>
              <w:rPr>
                <w:sz w:val="28"/>
              </w:rPr>
              <w:t>整理</w:t>
            </w:r>
            <w:r>
              <w:rPr>
                <w:sz w:val="28"/>
              </w:rPr>
              <w:t>:使用油锯、砍刀等清理病枯死树主干和枝桠，截成小于60厘米的木段。收集整理直径1厘米以上的枝桠和木段，做好装袋准备。</w:t>
            </w:r>
          </w:p>
          <w:p>
            <w:pPr>
              <w:pStyle w:val="null3"/>
              <w:ind w:firstLine="560"/>
              <w:jc w:val="both"/>
            </w:pPr>
            <w:r>
              <w:rPr>
                <w:sz w:val="28"/>
              </w:rPr>
              <w:t>2）</w:t>
            </w:r>
            <w:r>
              <w:rPr>
                <w:sz w:val="28"/>
              </w:rPr>
              <w:t>装袋</w:t>
            </w:r>
            <w:r>
              <w:rPr>
                <w:sz w:val="28"/>
              </w:rPr>
              <w:t>:判断树干和枝桠体积，选择（或裁剪成）合适的消杀袋和选择(或清理出）地势较平、地下没有尖锐物的区域作为堆放区，将消杀袋平铺放置，依次将木段、枝桠放入袋中。装袋过程中要小心轻放，防止消杀袋弄破漏气。</w:t>
            </w:r>
          </w:p>
          <w:p>
            <w:pPr>
              <w:pStyle w:val="null3"/>
              <w:ind w:firstLine="560"/>
              <w:jc w:val="both"/>
            </w:pPr>
            <w:r>
              <w:rPr>
                <w:sz w:val="28"/>
              </w:rPr>
              <w:t>3）</w:t>
            </w:r>
            <w:r>
              <w:rPr>
                <w:sz w:val="28"/>
              </w:rPr>
              <w:t>检查密封性</w:t>
            </w:r>
            <w:r>
              <w:rPr>
                <w:sz w:val="28"/>
              </w:rPr>
              <w:t>:木段和枝桠装好后要仔细检查消杀袋密封性，发现有孔洞，要用胶带或其它粘合剂补好。桶形消杀袋用尼龙带双扎封两端口后检查密封性(或先封闭一端后扭紧另一端封口检查密封性），长方体形消杀袋扭紧上端封口后检查密封性。发现不密封或密封性较差的，要查明原因，堵塞孔洞。</w:t>
            </w:r>
          </w:p>
          <w:p>
            <w:pPr>
              <w:pStyle w:val="null3"/>
              <w:ind w:firstLine="560"/>
              <w:jc w:val="both"/>
            </w:pPr>
            <w:r>
              <w:rPr>
                <w:sz w:val="28"/>
              </w:rPr>
              <w:t>4）</w:t>
            </w:r>
            <w:r>
              <w:rPr>
                <w:sz w:val="28"/>
              </w:rPr>
              <w:t>投药。</w:t>
            </w:r>
            <w:r>
              <w:rPr>
                <w:sz w:val="28"/>
              </w:rPr>
              <w:t>①</w:t>
            </w:r>
            <w:r>
              <w:rPr>
                <w:sz w:val="28"/>
              </w:rPr>
              <w:t>、</w:t>
            </w:r>
            <w:r>
              <w:rPr>
                <w:sz w:val="28"/>
              </w:rPr>
              <w:t>桶形消杀袋可采用</w:t>
            </w:r>
            <w:r>
              <w:rPr>
                <w:sz w:val="28"/>
              </w:rPr>
              <w:t>2种投药方式。一是封口前投药，先扎紧消杀袋一侧，确定消杀袋密封后，从另一侧迅速放入足量的消杀药剂后迅速双扎紧口。二是封口后投药，确定密封后，在桶形消杀袋顶端用裁纸刀割10～15厘米封隙，迅速放入足量的消杀药剂（磷化铝按照20～30克/立方米投放，下同）后立即用胶带密封，并用警示标识覆盖在胶带封口处再次密封。</w:t>
            </w:r>
            <w:r>
              <w:rPr>
                <w:sz w:val="28"/>
              </w:rPr>
              <w:t>②</w:t>
            </w:r>
            <w:r>
              <w:rPr>
                <w:sz w:val="28"/>
              </w:rPr>
              <w:t>、</w:t>
            </w:r>
            <w:r>
              <w:rPr>
                <w:sz w:val="28"/>
              </w:rPr>
              <w:t>长方体形消杀袋从顶面投入消杀药剂后迅速扭紧并用尼龙扎带双扎封口。</w:t>
            </w:r>
          </w:p>
          <w:p>
            <w:pPr>
              <w:pStyle w:val="null3"/>
              <w:ind w:firstLine="560"/>
              <w:jc w:val="both"/>
            </w:pPr>
            <w:r>
              <w:rPr>
                <w:sz w:val="28"/>
              </w:rPr>
              <w:t>5）</w:t>
            </w:r>
            <w:r>
              <w:rPr>
                <w:sz w:val="28"/>
              </w:rPr>
              <w:t>收尾</w:t>
            </w:r>
            <w:r>
              <w:rPr>
                <w:sz w:val="28"/>
              </w:rPr>
              <w:t>:检查防治现场是否有遗漏枝桠或木段，再次检查消杀袋密封性，如有不符合要求的要重新进行处理。同时对伐桩、消杀袋等进行拍照（建议使用手机的“水印相机APP”，要在照片上显示时间、天气、地点、海拔、经纬度等信息）；数据和佐证上传至松材线虫病疫情防控监管平台。</w:t>
            </w:r>
          </w:p>
          <w:p>
            <w:pPr>
              <w:pStyle w:val="null3"/>
              <w:ind w:firstLine="562"/>
              <w:jc w:val="both"/>
            </w:pPr>
            <w:r>
              <w:rPr>
                <w:sz w:val="28"/>
                <w:b/>
              </w:rPr>
              <w:t>4.</w:t>
            </w:r>
            <w:r>
              <w:rPr>
                <w:sz w:val="28"/>
                <w:b/>
              </w:rPr>
              <w:t>伐桩处理</w:t>
            </w:r>
          </w:p>
          <w:p>
            <w:pPr>
              <w:pStyle w:val="null3"/>
              <w:ind w:firstLine="560"/>
              <w:jc w:val="both"/>
            </w:pPr>
            <w:r>
              <w:rPr>
                <w:sz w:val="28"/>
              </w:rPr>
              <w:t>病死树伐倒后，伐桩高度如大于</w:t>
            </w:r>
            <w:r>
              <w:rPr>
                <w:sz w:val="28"/>
              </w:rPr>
              <w:t>5cm，需进行伐桩处理。首先进行伐桩剥皮，然后在伐桩上打纵横线后喷内吸性杀虫剂至伐桩湿透，用塑料薄膜（厚度≥0.1毫米）覆盖，塑料薄膜四周用土压实。</w:t>
            </w:r>
          </w:p>
          <w:p>
            <w:pPr>
              <w:pStyle w:val="null3"/>
              <w:ind w:firstLine="562"/>
              <w:jc w:val="both"/>
            </w:pPr>
            <w:r>
              <w:rPr>
                <w:sz w:val="28"/>
                <w:b/>
              </w:rPr>
              <w:t>（</w:t>
            </w:r>
            <w:r>
              <w:rPr>
                <w:sz w:val="28"/>
                <w:b/>
              </w:rPr>
              <w:t>四</w:t>
            </w:r>
            <w:r>
              <w:rPr>
                <w:sz w:val="28"/>
                <w:b/>
              </w:rPr>
              <w:t>）</w:t>
            </w:r>
            <w:r>
              <w:rPr>
                <w:sz w:val="28"/>
                <w:b/>
              </w:rPr>
              <w:t>古松树预防</w:t>
            </w:r>
          </w:p>
          <w:p>
            <w:pPr>
              <w:pStyle w:val="null3"/>
              <w:ind w:firstLine="560"/>
              <w:jc w:val="both"/>
            </w:pPr>
            <w:r>
              <w:rPr>
                <w:sz w:val="28"/>
              </w:rPr>
              <w:t>浈江区古松树有</w:t>
            </w:r>
            <w:r>
              <w:rPr>
                <w:sz w:val="28"/>
              </w:rPr>
              <w:t>1株，位于浈江区十里亭镇金凤坪村村委会，经度为113.561611，纬度为24.848934，树龄约110年，胸径50公分，编号44020410220200042，为国家三级古树。通过对古松树加压式注药进行预防，加压式树干注药防治通过杠杆的器械把药液加压注入松树维束管内，药剂主要是2.3%甲氨基阿维菌素苯甲酸盐（2%甲氨基阿维菌素），剂型为乳油。</w:t>
            </w:r>
          </w:p>
          <w:p>
            <w:pPr>
              <w:pStyle w:val="null3"/>
              <w:ind w:firstLine="562"/>
              <w:jc w:val="both"/>
            </w:pPr>
            <w:r>
              <w:rPr>
                <w:sz w:val="28"/>
                <w:b/>
              </w:rPr>
              <w:t>（</w:t>
            </w:r>
            <w:r>
              <w:rPr>
                <w:sz w:val="28"/>
                <w:b/>
              </w:rPr>
              <w:t>五</w:t>
            </w:r>
            <w:r>
              <w:rPr>
                <w:sz w:val="28"/>
                <w:b/>
              </w:rPr>
              <w:t>）设置监测点</w:t>
            </w:r>
          </w:p>
          <w:p>
            <w:pPr>
              <w:pStyle w:val="null3"/>
              <w:ind w:firstLine="560"/>
              <w:jc w:val="both"/>
            </w:pPr>
            <w:r>
              <w:rPr>
                <w:sz w:val="28"/>
              </w:rPr>
              <w:t>在浈江区花坪镇长地头村委和花坪林场的松林中，分别选择相对开阔、通风良好的区域各设置</w:t>
            </w:r>
            <w:r>
              <w:rPr>
                <w:sz w:val="28"/>
              </w:rPr>
              <w:t>1个监测点。诱捕器使用塑料绳悬挂于树枝或捆绑于树干上，悬挂高度以集虫罐基部距地面1.3米为宜。</w:t>
            </w:r>
          </w:p>
          <w:p>
            <w:pPr>
              <w:pStyle w:val="null3"/>
              <w:ind w:firstLine="560"/>
              <w:jc w:val="both"/>
            </w:pPr>
            <w:r>
              <w:rPr>
                <w:sz w:val="28"/>
              </w:rPr>
              <w:t>在</w:t>
            </w:r>
            <w:r>
              <w:rPr>
                <w:sz w:val="28"/>
              </w:rPr>
              <w:t>6月至10月期间，每月定期收集诱集到的媒介昆虫虫体（如松墨天牛）样本及时送鉴定及松材线虫携带情况检测。同时，在日常监测中，如发现松树枯死、松针变色等异常情况，应立即取样鉴定，确认是否感染松材线虫病。此外，需做好松墨天牛监测记录表，表格样式可参考表</w:t>
            </w:r>
            <w:r>
              <w:rPr>
                <w:sz w:val="28"/>
              </w:rPr>
              <w:t>1</w:t>
            </w:r>
            <w:r>
              <w:rPr>
                <w:sz w:val="28"/>
              </w:rPr>
              <w:t>：</w:t>
            </w:r>
          </w:p>
          <w:p>
            <w:pPr>
              <w:pStyle w:val="null3"/>
              <w:spacing w:before="120"/>
              <w:ind w:left="1920"/>
              <w:jc w:val="both"/>
            </w:pPr>
            <w:r>
              <w:drawing>
                <wp:inline distT="0" distR="0" distB="0" distL="0">
                  <wp:extent cx="3554730" cy="228972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289726"/>
                          </a:xfrm>
                          <a:prstGeom prst="rect">
                            <a:avLst/>
                          </a:prstGeom>
                        </pic:spPr>
                      </pic:pic>
                    </a:graphicData>
                  </a:graphic>
                </wp:inline>
              </w:drawing>
            </w:r>
          </w:p>
          <w:p>
            <w:pPr>
              <w:pStyle w:val="null3"/>
              <w:jc w:val="both"/>
            </w:pPr>
            <w:r>
              <w:rPr>
                <w:sz w:val="28"/>
                <w:b/>
              </w:rPr>
              <w:t>五、实施进度和工程量</w:t>
            </w:r>
          </w:p>
          <w:p>
            <w:pPr>
              <w:pStyle w:val="null3"/>
              <w:ind w:firstLine="562"/>
              <w:jc w:val="both"/>
            </w:pPr>
            <w:r>
              <w:rPr>
                <w:sz w:val="28"/>
                <w:b/>
              </w:rPr>
              <w:t>（</w:t>
            </w:r>
            <w:r>
              <w:rPr>
                <w:sz w:val="28"/>
                <w:b/>
              </w:rPr>
              <w:t>一</w:t>
            </w:r>
            <w:r>
              <w:rPr>
                <w:sz w:val="28"/>
                <w:b/>
              </w:rPr>
              <w:t>）</w:t>
            </w:r>
            <w:r>
              <w:rPr>
                <w:sz w:val="28"/>
                <w:b/>
              </w:rPr>
              <w:t>疫情防治实施进度</w:t>
            </w:r>
          </w:p>
          <w:p>
            <w:pPr>
              <w:pStyle w:val="null3"/>
              <w:ind w:firstLine="560"/>
              <w:jc w:val="both"/>
            </w:pPr>
            <w:r>
              <w:rPr>
                <w:sz w:val="28"/>
              </w:rPr>
              <w:t>1、</w:t>
            </w:r>
            <w:r>
              <w:rPr>
                <w:sz w:val="28"/>
              </w:rPr>
              <w:t>日常监测</w:t>
            </w:r>
          </w:p>
          <w:p>
            <w:pPr>
              <w:pStyle w:val="null3"/>
              <w:ind w:firstLine="560"/>
              <w:jc w:val="both"/>
            </w:pPr>
            <w:r>
              <w:rPr>
                <w:sz w:val="28"/>
              </w:rPr>
              <w:t>（</w:t>
            </w:r>
            <w:r>
              <w:rPr>
                <w:sz w:val="28"/>
              </w:rPr>
              <w:t>1</w:t>
            </w:r>
            <w:r>
              <w:rPr>
                <w:sz w:val="28"/>
              </w:rPr>
              <w:t>）</w:t>
            </w:r>
            <w:r>
              <w:rPr>
                <w:sz w:val="28"/>
              </w:rPr>
              <w:t>2025年</w:t>
            </w:r>
            <w:r>
              <w:rPr>
                <w:sz w:val="28"/>
              </w:rPr>
              <w:t>4</w:t>
            </w:r>
            <w:r>
              <w:rPr>
                <w:sz w:val="28"/>
              </w:rPr>
              <w:t>月，完成第</w:t>
            </w:r>
            <w:r>
              <w:rPr>
                <w:sz w:val="28"/>
              </w:rPr>
              <w:t>1次巡查监测。</w:t>
            </w:r>
          </w:p>
          <w:p>
            <w:pPr>
              <w:pStyle w:val="null3"/>
              <w:ind w:firstLine="560"/>
              <w:jc w:val="both"/>
            </w:pPr>
            <w:r>
              <w:rPr>
                <w:sz w:val="28"/>
              </w:rPr>
              <w:t>（</w:t>
            </w:r>
            <w:r>
              <w:rPr>
                <w:sz w:val="28"/>
              </w:rPr>
              <w:t>2</w:t>
            </w:r>
            <w:r>
              <w:rPr>
                <w:sz w:val="28"/>
              </w:rPr>
              <w:t>）</w:t>
            </w:r>
            <w:r>
              <w:rPr>
                <w:sz w:val="28"/>
              </w:rPr>
              <w:t>2025年6～7月，完成第2次巡查监测。</w:t>
            </w:r>
          </w:p>
          <w:p>
            <w:pPr>
              <w:pStyle w:val="null3"/>
              <w:ind w:firstLine="560"/>
              <w:jc w:val="both"/>
            </w:pPr>
            <w:r>
              <w:rPr>
                <w:sz w:val="28"/>
              </w:rPr>
              <w:t>（</w:t>
            </w:r>
            <w:r>
              <w:rPr>
                <w:sz w:val="28"/>
              </w:rPr>
              <w:t>3</w:t>
            </w:r>
            <w:r>
              <w:rPr>
                <w:sz w:val="28"/>
              </w:rPr>
              <w:t>）</w:t>
            </w:r>
            <w:r>
              <w:rPr>
                <w:sz w:val="28"/>
              </w:rPr>
              <w:t>2025年8～9月，完成第3次巡查监测。</w:t>
            </w:r>
          </w:p>
          <w:p>
            <w:pPr>
              <w:pStyle w:val="null3"/>
              <w:ind w:firstLine="560"/>
              <w:jc w:val="both"/>
            </w:pPr>
            <w:r>
              <w:rPr>
                <w:sz w:val="28"/>
              </w:rPr>
              <w:t>2、</w:t>
            </w:r>
            <w:r>
              <w:rPr>
                <w:sz w:val="28"/>
              </w:rPr>
              <w:t>专项普查</w:t>
            </w:r>
          </w:p>
          <w:p>
            <w:pPr>
              <w:pStyle w:val="null3"/>
              <w:ind w:firstLine="560"/>
              <w:jc w:val="both"/>
            </w:pPr>
            <w:r>
              <w:rPr>
                <w:sz w:val="28"/>
              </w:rPr>
              <w:t>于</w:t>
            </w:r>
            <w:r>
              <w:rPr>
                <w:sz w:val="28"/>
              </w:rPr>
              <w:t>2025年9～11月，完成2025年秋季专项普查任务。</w:t>
            </w:r>
          </w:p>
          <w:p>
            <w:pPr>
              <w:pStyle w:val="null3"/>
              <w:ind w:firstLine="560"/>
              <w:jc w:val="both"/>
            </w:pPr>
            <w:r>
              <w:rPr>
                <w:sz w:val="28"/>
              </w:rPr>
              <w:t>3、</w:t>
            </w:r>
            <w:r>
              <w:rPr>
                <w:sz w:val="28"/>
              </w:rPr>
              <w:t>疫木除治</w:t>
            </w:r>
          </w:p>
          <w:p>
            <w:pPr>
              <w:pStyle w:val="null3"/>
              <w:ind w:firstLine="560"/>
              <w:jc w:val="both"/>
            </w:pPr>
            <w:r>
              <w:rPr>
                <w:sz w:val="28"/>
              </w:rPr>
              <w:t>（</w:t>
            </w:r>
            <w:r>
              <w:rPr>
                <w:sz w:val="28"/>
              </w:rPr>
              <w:t>1</w:t>
            </w:r>
            <w:r>
              <w:rPr>
                <w:sz w:val="28"/>
              </w:rPr>
              <w:t>）</w:t>
            </w:r>
            <w:r>
              <w:rPr>
                <w:sz w:val="28"/>
              </w:rPr>
              <w:t>2025年5～10月，完成2025年松材线虫病疫木“即死即清”除治任务。</w:t>
            </w:r>
          </w:p>
          <w:p>
            <w:pPr>
              <w:pStyle w:val="null3"/>
              <w:ind w:firstLine="560"/>
              <w:jc w:val="both"/>
            </w:pPr>
            <w:r>
              <w:rPr>
                <w:sz w:val="28"/>
              </w:rPr>
              <w:t>（</w:t>
            </w:r>
            <w:r>
              <w:rPr>
                <w:sz w:val="28"/>
              </w:rPr>
              <w:t>2</w:t>
            </w:r>
            <w:r>
              <w:rPr>
                <w:sz w:val="28"/>
              </w:rPr>
              <w:t>）</w:t>
            </w:r>
            <w:r>
              <w:rPr>
                <w:sz w:val="28"/>
              </w:rPr>
              <w:t>2025年11月～2026年4月中旬，完成2025年松材线虫病疫木“集中除治”任务。</w:t>
            </w:r>
          </w:p>
          <w:p>
            <w:pPr>
              <w:pStyle w:val="null3"/>
              <w:ind w:firstLine="560"/>
              <w:jc w:val="both"/>
            </w:pPr>
            <w:r>
              <w:rPr>
                <w:sz w:val="28"/>
              </w:rPr>
              <w:t>（</w:t>
            </w:r>
            <w:r>
              <w:rPr>
                <w:sz w:val="28"/>
              </w:rPr>
              <w:t>3</w:t>
            </w:r>
            <w:r>
              <w:rPr>
                <w:sz w:val="28"/>
              </w:rPr>
              <w:t>）</w:t>
            </w:r>
            <w:r>
              <w:rPr>
                <w:sz w:val="28"/>
              </w:rPr>
              <w:t>2026年4月下旬，完成2025年松材线虫病疫木除治项目验收。</w:t>
            </w:r>
          </w:p>
          <w:p>
            <w:pPr>
              <w:pStyle w:val="null3"/>
              <w:ind w:firstLine="560"/>
              <w:jc w:val="both"/>
            </w:pPr>
            <w:r>
              <w:rPr>
                <w:sz w:val="28"/>
              </w:rPr>
              <w:t>4、</w:t>
            </w:r>
            <w:r>
              <w:rPr>
                <w:sz w:val="28"/>
              </w:rPr>
              <w:t>古松树预防</w:t>
            </w:r>
          </w:p>
          <w:p>
            <w:pPr>
              <w:pStyle w:val="null3"/>
              <w:ind w:firstLine="560"/>
              <w:jc w:val="both"/>
            </w:pPr>
            <w:r>
              <w:rPr>
                <w:sz w:val="28"/>
              </w:rPr>
              <w:t>于</w:t>
            </w:r>
            <w:r>
              <w:rPr>
                <w:sz w:val="28"/>
              </w:rPr>
              <w:t>2025年5月上旬～5月下旬，完成古松树加压式注药预防。</w:t>
            </w:r>
          </w:p>
          <w:p>
            <w:pPr>
              <w:pStyle w:val="null3"/>
              <w:ind w:firstLine="560"/>
              <w:jc w:val="both"/>
            </w:pPr>
            <w:r>
              <w:rPr>
                <w:sz w:val="28"/>
              </w:rPr>
              <w:t>5、</w:t>
            </w:r>
            <w:r>
              <w:rPr>
                <w:sz w:val="28"/>
              </w:rPr>
              <w:t>设置</w:t>
            </w:r>
            <w:r>
              <w:rPr>
                <w:sz w:val="28"/>
              </w:rPr>
              <w:t>2个监测点</w:t>
            </w:r>
          </w:p>
          <w:p>
            <w:pPr>
              <w:pStyle w:val="null3"/>
              <w:ind w:firstLine="560"/>
              <w:jc w:val="both"/>
            </w:pPr>
            <w:r>
              <w:rPr>
                <w:sz w:val="28"/>
              </w:rPr>
              <w:t>（</w:t>
            </w:r>
            <w:r>
              <w:rPr>
                <w:sz w:val="28"/>
              </w:rPr>
              <w:t>1</w:t>
            </w:r>
            <w:r>
              <w:rPr>
                <w:sz w:val="28"/>
              </w:rPr>
              <w:t>）</w:t>
            </w:r>
            <w:r>
              <w:rPr>
                <w:sz w:val="28"/>
              </w:rPr>
              <w:t>2025年5月上旬，完成花坪镇诱捕器挂设。</w:t>
            </w:r>
          </w:p>
          <w:p>
            <w:pPr>
              <w:pStyle w:val="null3"/>
              <w:ind w:firstLine="560"/>
              <w:jc w:val="both"/>
            </w:pPr>
            <w:r>
              <w:rPr>
                <w:sz w:val="28"/>
              </w:rPr>
              <w:t>（</w:t>
            </w:r>
            <w:r>
              <w:rPr>
                <w:sz w:val="28"/>
              </w:rPr>
              <w:t>2</w:t>
            </w:r>
            <w:r>
              <w:rPr>
                <w:sz w:val="28"/>
              </w:rPr>
              <w:t>）</w:t>
            </w:r>
            <w:r>
              <w:rPr>
                <w:sz w:val="28"/>
              </w:rPr>
              <w:t>0</w:t>
            </w:r>
            <w:r>
              <w:rPr>
                <w:sz w:val="28"/>
              </w:rPr>
              <w:t>2025年6月上旬～10月上旬，完成每月1次的媒介昆虫收集和送检。</w:t>
            </w:r>
          </w:p>
          <w:p>
            <w:pPr>
              <w:pStyle w:val="null3"/>
              <w:ind w:firstLine="562"/>
              <w:jc w:val="both"/>
            </w:pPr>
            <w:r>
              <w:rPr>
                <w:sz w:val="28"/>
                <w:b/>
              </w:rPr>
              <w:t>（</w:t>
            </w:r>
            <w:r>
              <w:rPr>
                <w:sz w:val="28"/>
                <w:b/>
              </w:rPr>
              <w:t>二</w:t>
            </w:r>
            <w:r>
              <w:rPr>
                <w:sz w:val="28"/>
                <w:b/>
              </w:rPr>
              <w:t>）</w:t>
            </w:r>
            <w:r>
              <w:rPr>
                <w:sz w:val="28"/>
                <w:b/>
              </w:rPr>
              <w:t>疫情防治工程量</w:t>
            </w:r>
          </w:p>
          <w:p>
            <w:pPr>
              <w:pStyle w:val="null3"/>
              <w:ind w:firstLine="560"/>
              <w:jc w:val="both"/>
            </w:pPr>
            <w:r>
              <w:rPr>
                <w:sz w:val="28"/>
              </w:rPr>
              <w:t>1、</w:t>
            </w:r>
            <w:r>
              <w:rPr>
                <w:sz w:val="28"/>
              </w:rPr>
              <w:t>监测普查</w:t>
            </w:r>
          </w:p>
          <w:p>
            <w:pPr>
              <w:pStyle w:val="null3"/>
              <w:ind w:firstLine="560"/>
              <w:jc w:val="both"/>
            </w:pPr>
            <w:r>
              <w:rPr>
                <w:sz w:val="28"/>
              </w:rPr>
              <w:t>（</w:t>
            </w:r>
            <w:r>
              <w:rPr>
                <w:sz w:val="28"/>
              </w:rPr>
              <w:t>1</w:t>
            </w:r>
            <w:r>
              <w:rPr>
                <w:sz w:val="28"/>
              </w:rPr>
              <w:t>）</w:t>
            </w:r>
            <w:r>
              <w:rPr>
                <w:sz w:val="28"/>
              </w:rPr>
              <w:t>日常监测：监测全区松林面积</w:t>
            </w:r>
            <w:r>
              <w:rPr>
                <w:sz w:val="28"/>
              </w:rPr>
              <w:t>161664.6亩，全年监测3次，共监测484993.8亩次。</w:t>
            </w:r>
          </w:p>
          <w:p>
            <w:pPr>
              <w:pStyle w:val="null3"/>
              <w:ind w:firstLine="560"/>
              <w:jc w:val="both"/>
            </w:pPr>
            <w:r>
              <w:rPr>
                <w:sz w:val="28"/>
              </w:rPr>
              <w:t>（</w:t>
            </w:r>
            <w:r>
              <w:rPr>
                <w:sz w:val="28"/>
              </w:rPr>
              <w:t>2</w:t>
            </w:r>
            <w:r>
              <w:rPr>
                <w:sz w:val="28"/>
              </w:rPr>
              <w:t>）</w:t>
            </w:r>
            <w:r>
              <w:rPr>
                <w:sz w:val="28"/>
              </w:rPr>
              <w:t>专项普查：普查全区松林面积</w:t>
            </w:r>
            <w:r>
              <w:rPr>
                <w:sz w:val="28"/>
              </w:rPr>
              <w:t>161664.6亩，全年普查1次。</w:t>
            </w:r>
          </w:p>
          <w:p>
            <w:pPr>
              <w:pStyle w:val="null3"/>
              <w:ind w:firstLine="560"/>
              <w:jc w:val="both"/>
            </w:pPr>
            <w:r>
              <w:rPr>
                <w:sz w:val="28"/>
              </w:rPr>
              <w:t>2、</w:t>
            </w:r>
            <w:r>
              <w:rPr>
                <w:sz w:val="28"/>
              </w:rPr>
              <w:t>疫木除治</w:t>
            </w:r>
          </w:p>
          <w:p>
            <w:pPr>
              <w:pStyle w:val="null3"/>
              <w:ind w:firstLine="560"/>
              <w:jc w:val="both"/>
            </w:pPr>
            <w:r>
              <w:rPr>
                <w:sz w:val="28"/>
              </w:rPr>
              <w:t>疫木除治面积</w:t>
            </w:r>
            <w:r>
              <w:rPr>
                <w:sz w:val="28"/>
              </w:rPr>
              <w:t>11087.74亩，采取全域清理。清理方式为：位于高山陡坡、林密或林下草灌丰富、通行困难，且使用粉碎（削片）、烧毁措施难度较大区域的病死树，采取套袋消杀的方法，套袋消杀不能堆放在“四旁”(水旁、路旁、村旁、宅旁)和“五边”(山边、水边、路边、镇村边、景区边)。在交通条件较好的地方，将枯死木伐倒截段后，转运到就近有松材线虫病疫木处理条件的定点加工厂进行疫木变性利用，生物发电或烧毁等处理。</w:t>
            </w:r>
          </w:p>
          <w:p>
            <w:pPr>
              <w:pStyle w:val="null3"/>
              <w:ind w:firstLine="560"/>
              <w:jc w:val="both"/>
            </w:pPr>
            <w:r>
              <w:rPr>
                <w:sz w:val="28"/>
              </w:rPr>
              <w:t>3、</w:t>
            </w:r>
            <w:r>
              <w:rPr>
                <w:sz w:val="28"/>
              </w:rPr>
              <w:t>古松树预防</w:t>
            </w:r>
          </w:p>
          <w:p>
            <w:pPr>
              <w:pStyle w:val="null3"/>
              <w:ind w:firstLine="560"/>
              <w:jc w:val="both"/>
            </w:pPr>
            <w:r>
              <w:rPr>
                <w:sz w:val="28"/>
              </w:rPr>
              <w:t>浈江区古松树</w:t>
            </w:r>
            <w:r>
              <w:rPr>
                <w:sz w:val="28"/>
              </w:rPr>
              <w:t>1株，通过对古松树加压式注药保护，从而降低古松树感染松材线虫病的机率。</w:t>
            </w:r>
          </w:p>
          <w:p>
            <w:pPr>
              <w:pStyle w:val="null3"/>
              <w:ind w:firstLine="560"/>
              <w:jc w:val="both"/>
            </w:pPr>
            <w:r>
              <w:rPr>
                <w:sz w:val="28"/>
              </w:rPr>
              <w:t>4、</w:t>
            </w:r>
            <w:r>
              <w:rPr>
                <w:sz w:val="28"/>
              </w:rPr>
              <w:t>设置</w:t>
            </w:r>
            <w:r>
              <w:rPr>
                <w:sz w:val="28"/>
              </w:rPr>
              <w:t>2个监测点</w:t>
            </w:r>
          </w:p>
          <w:p>
            <w:pPr>
              <w:pStyle w:val="null3"/>
              <w:ind w:firstLine="560"/>
              <w:jc w:val="both"/>
            </w:pPr>
            <w:r>
              <w:rPr>
                <w:sz w:val="28"/>
              </w:rPr>
              <w:t>在浈江区花坪镇长地头村委和花坪林场的松林中，分别选择相对开阔、通风良好的区域各设置</w:t>
            </w:r>
            <w:r>
              <w:rPr>
                <w:sz w:val="28"/>
              </w:rPr>
              <w:t>1个监测点，并每月将收集诱集到的媒介昆虫松墨天牛样本送检。</w:t>
            </w:r>
          </w:p>
          <w:p>
            <w:pPr>
              <w:pStyle w:val="null3"/>
              <w:ind w:firstLine="562"/>
              <w:jc w:val="both"/>
            </w:pPr>
            <w:r>
              <w:rPr>
                <w:sz w:val="28"/>
                <w:b/>
              </w:rPr>
              <w:t>六、投标人能力要求</w:t>
            </w:r>
          </w:p>
          <w:p>
            <w:pPr>
              <w:pStyle w:val="null3"/>
              <w:ind w:firstLine="560"/>
              <w:jc w:val="both"/>
            </w:pPr>
            <w:r>
              <w:rPr>
                <w:sz w:val="28"/>
              </w:rPr>
              <w:t>1、</w:t>
            </w:r>
            <w:r>
              <w:rPr>
                <w:sz w:val="28"/>
              </w:rPr>
              <w:t>项目实施要求：</w:t>
            </w:r>
            <w:r>
              <w:rPr>
                <w:sz w:val="28"/>
              </w:rPr>
              <w:t>为保证本项目的顺利实施，投标人需针对本项目制定项目实施方案</w:t>
            </w:r>
            <w:r>
              <w:rPr>
                <w:sz w:val="28"/>
              </w:rPr>
              <w:t>（包括</w:t>
            </w:r>
            <w:r>
              <w:rPr>
                <w:sz w:val="28"/>
              </w:rPr>
              <w:t>①承诺的技术指标，②设备、劳动力投入计划，③有针对性的保障措施）</w:t>
            </w:r>
            <w:r>
              <w:rPr>
                <w:sz w:val="28"/>
              </w:rPr>
              <w:t>。</w:t>
            </w:r>
            <w:r>
              <w:rPr>
                <w:sz w:val="28"/>
              </w:rPr>
              <w:t>2、工期进度计划和保证措施：</w:t>
            </w:r>
            <w:r>
              <w:rPr>
                <w:sz w:val="28"/>
              </w:rPr>
              <w:t>为保证本项目的顺利实施，投标人需针对本项目制定</w:t>
            </w:r>
            <w:r>
              <w:rPr>
                <w:sz w:val="28"/>
              </w:rPr>
              <w:t>工期进度计划和保证措施（包括</w:t>
            </w:r>
            <w:r>
              <w:rPr>
                <w:sz w:val="28"/>
              </w:rPr>
              <w:t>①工期目标，②工期承诺，③工期安排计划，④工期保障）</w:t>
            </w:r>
            <w:r>
              <w:rPr>
                <w:sz w:val="28"/>
              </w:rPr>
              <w:t>。</w:t>
            </w:r>
            <w:r>
              <w:rPr>
                <w:sz w:val="28"/>
              </w:rPr>
              <w:t>3</w:t>
            </w:r>
            <w:r>
              <w:rPr>
                <w:sz w:val="28"/>
              </w:rPr>
              <w:t>、质量保证措施：</w:t>
            </w:r>
            <w:r>
              <w:rPr>
                <w:sz w:val="28"/>
              </w:rPr>
              <w:t>为保证本项目的顺利实施，投标人需针对本项目制定质量保证措施（包括</w:t>
            </w:r>
            <w:r>
              <w:rPr>
                <w:sz w:val="28"/>
              </w:rPr>
              <w:t>①质量目标，②质量管理体系，</w:t>
            </w:r>
            <w:r>
              <w:rPr>
                <w:sz w:val="28"/>
              </w:rPr>
              <w:t>③</w:t>
            </w:r>
            <w:r>
              <w:rPr>
                <w:sz w:val="28"/>
              </w:rPr>
              <w:t>质量保证措施）。</w:t>
            </w:r>
            <w:r>
              <w:rPr>
                <w:sz w:val="28"/>
              </w:rPr>
              <w:t>4</w:t>
            </w:r>
            <w:r>
              <w:rPr>
                <w:sz w:val="28"/>
              </w:rPr>
              <w:t>、安全生产管理保障措施：</w:t>
            </w:r>
            <w:r>
              <w:rPr>
                <w:sz w:val="28"/>
              </w:rPr>
              <w:t>为保证本项目的顺利实施，投标人需针对本项目制定安全生产管理保障措施（包括</w:t>
            </w:r>
            <w:r>
              <w:rPr>
                <w:sz w:val="28"/>
              </w:rPr>
              <w:t xml:space="preserve">①安全生产制度，②安全生产管理体系，③保障措施）。 </w:t>
            </w:r>
            <w:r>
              <w:rPr>
                <w:sz w:val="28"/>
              </w:rPr>
              <w:t>5</w:t>
            </w:r>
            <w:r>
              <w:rPr>
                <w:sz w:val="28"/>
              </w:rPr>
              <w:t>、应急方案：</w:t>
            </w:r>
            <w:r>
              <w:rPr>
                <w:sz w:val="28"/>
              </w:rPr>
              <w:t>为保证本项目的顺利实施，投标人需针对本项目制定应急方案（包括</w:t>
            </w:r>
            <w:r>
              <w:rPr>
                <w:sz w:val="28"/>
              </w:rPr>
              <w:t>①应急组织机构，②针对台风、暴雨、高温天气影响制定的应急措施）。</w:t>
            </w:r>
            <w:r>
              <w:rPr>
                <w:sz w:val="28"/>
              </w:rPr>
              <w:t>6</w:t>
            </w:r>
            <w:r>
              <w:rPr>
                <w:sz w:val="28"/>
              </w:rPr>
              <w:t>、服务及时性：</w:t>
            </w:r>
            <w:r>
              <w:rPr>
                <w:sz w:val="28"/>
              </w:rPr>
              <w:t>为保证本项目的顺利实施，投标人需在接到采购人通知后</w:t>
            </w:r>
            <w:r>
              <w:rPr>
                <w:sz w:val="28"/>
              </w:rPr>
              <w:t>120分钟内响应。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1.采购代理机构：本项目是指广东东弘工程咨询有限公司，负责整个采购活动的组织，依法负责编制和发布招标文件，对招标文件拥有最终的解释权，不以任何身份出任评标委员会成员。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韶关市浈江区自然资源局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采购机构代理服务收费标准：参考《招标代理服务收费管理暂行办法》计价格[2002]1980号文，《国家发展改革委关于进一步放开建设项目专业服务价格的通知发改价格[2015] 299号》收取招标代理服务费，本项目招标代理服务费不低于7000元。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广东东弘工程咨询有限公司</w:t>
      </w:r>
      <w:r>
        <w:rPr/>
        <w:t>代收。具体操作要求详见</w:t>
      </w:r>
      <w:r>
        <w:rPr/>
        <w:t>广东东弘工程咨询有限公司</w:t>
      </w:r>
      <w:r>
        <w:rPr/>
        <w:t>有关指引，递交事宜请自行咨询</w:t>
      </w:r>
      <w:r>
        <w:rPr/>
        <w:t>广东东弘工程咨询有限公司</w:t>
      </w:r>
      <w:r>
        <w:rPr/>
        <w:t>；请各投标人在投标文件递交截止时间前按须知前附表规定的金额递交至</w:t>
      </w:r>
      <w:r>
        <w:rPr/>
        <w:t>广东东弘工程咨询有限公司</w:t>
      </w:r>
      <w:r>
        <w:rPr/>
        <w:t>，到账情况以开标时</w:t>
      </w:r>
      <w:r>
        <w:rPr/>
        <w:t>广东东弘工程咨询有限公司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0751-8961206</w:t>
      </w:r>
    </w:p>
    <w:p>
      <w:pPr>
        <w:pStyle w:val="null3"/>
        <w:ind w:firstLine="480"/>
      </w:pPr>
      <w:r>
        <w:rPr/>
        <w:t>传真：</w:t>
      </w:r>
      <w:r>
        <w:rPr/>
        <w:t>/</w:t>
      </w:r>
    </w:p>
    <w:p>
      <w:pPr>
        <w:pStyle w:val="null3"/>
        <w:ind w:firstLine="480"/>
      </w:pPr>
      <w:r>
        <w:rPr/>
        <w:t>邮箱：</w:t>
      </w:r>
      <w:r>
        <w:rPr/>
        <w:t>dhsg8961206@139.com</w:t>
      </w:r>
    </w:p>
    <w:p>
      <w:pPr>
        <w:pStyle w:val="null3"/>
        <w:ind w:firstLine="480"/>
      </w:pPr>
      <w:r>
        <w:rPr/>
        <w:t>地址：</w:t>
      </w:r>
      <w:r>
        <w:rPr/>
        <w:t>韶关市浈江区教场村莲花农贸市场Q区42号</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政府采购监督管理机构名称：韶关市浈江区财政局</w:t>
      </w:r>
    </w:p>
    <w:p>
      <w:pPr>
        <w:pStyle w:val="null3"/>
      </w:pPr>
      <w:r>
        <w:rPr/>
        <w:t>地 址：韶关市园前东路19号浈江区财政局</w:t>
      </w:r>
    </w:p>
    <w:p>
      <w:pPr>
        <w:pStyle w:val="null3"/>
      </w:pPr>
      <w:r>
        <w:rPr/>
        <w:t>电 话：0751-8874371</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韶关市浈江区松材线虫病等林业有害生物防治与除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广东东弘工程咨询有限公司</w:t>
      </w:r>
      <w:r>
        <w:rPr/>
        <w:t>统一对外发布。</w:t>
      </w:r>
    </w:p>
    <w:p>
      <w:pPr>
        <w:pStyle w:val="null3"/>
        <w:ind w:firstLine="480"/>
      </w:pPr>
      <w:r>
        <w:rPr/>
        <w:t>（2）对</w:t>
      </w:r>
      <w:r>
        <w:rPr/>
        <w:t>广东东弘工程咨询有限公司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采购包1（2025年韶关市浈江区松材线虫病等林业有害生物防治与除治项目）：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采购包1（2025年韶关市浈江区松材线虫病等林业有害生物防治与除治项目）：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代理机构人员于投标（响应）截止时间当天在“信用中国”网站（www.creditchina.gov.cn）及中国政府采购网。（http://www.ccgp.gov.cn/）查询结果为准，如相关失信记录已失效，投标人需提供相关证明资料）。 如“信用中国”网站查询结果显示“没有找到您搜索的企业”或“没有找到您搜索数据”，视为没有上述三类不良信用记录。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 xml:space="preserve">本项目属于专门面向中小企业采购项目，须提供《中小企业声明函》。供应商须符合本项目采购标的对应行业（本项目划分行业为：农、林、牧、渔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 </w:t>
            </w:r>
          </w:p>
        </w:tc>
      </w:tr>
    </w:tbl>
    <w:p>
      <w:pPr>
        <w:pStyle w:val="null3"/>
        <w:ind w:firstLine="480"/>
      </w:pPr>
      <w:r>
        <w:rPr/>
        <w:t>表二符合性审查表：</w:t>
      </w:r>
    </w:p>
    <w:p>
      <w:pPr>
        <w:pStyle w:val="null3"/>
      </w:pPr>
      <w:r>
        <w:rPr/>
        <w:t>采购包1（2025年韶关市浈江区松材线虫病等林业有害生物防治与除治项目）：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投标函按对应格式文件填写、签署、盖章。</w:t>
            </w:r>
          </w:p>
        </w:tc>
        <w:tc>
          <w:tcPr>
            <w:tcW w:type="dxa" w:w="4238"/>
          </w:tcPr>
          <w:p>
            <w:pPr>
              <w:pStyle w:val="null3"/>
            </w:pPr>
            <w:r>
              <w:rPr/>
              <w:t>投标函按对应格式文件填写、签署、盖章。</w:t>
            </w:r>
          </w:p>
        </w:tc>
      </w:tr>
      <w:tr>
        <w:tc>
          <w:tcPr>
            <w:tcW w:type="dxa" w:w="890"/>
          </w:tcPr>
          <w:p>
            <w:pPr>
              <w:pStyle w:val="null3"/>
            </w:pPr>
            <w:r>
              <w:rPr/>
              <w:t>2</w:t>
            </w:r>
          </w:p>
        </w:tc>
        <w:tc>
          <w:tcPr>
            <w:tcW w:type="dxa" w:w="3178"/>
          </w:tcPr>
          <w:p>
            <w:pPr>
              <w:pStyle w:val="null3"/>
            </w:pPr>
            <w:r>
              <w:rPr/>
              <w:t>法定代表人证明书及授权书，按对应格式文件签署、盖章。</w:t>
            </w:r>
          </w:p>
        </w:tc>
        <w:tc>
          <w:tcPr>
            <w:tcW w:type="dxa" w:w="4238"/>
          </w:tcPr>
          <w:p>
            <w:pPr>
              <w:pStyle w:val="null3"/>
            </w:pPr>
            <w:r>
              <w:rPr/>
              <w:t>法定代表人证明书及授权书，按对应格式文件签署、盖章。</w:t>
            </w:r>
          </w:p>
        </w:tc>
      </w:tr>
      <w:tr>
        <w:tc>
          <w:tcPr>
            <w:tcW w:type="dxa" w:w="890"/>
          </w:tcPr>
          <w:p>
            <w:pPr>
              <w:pStyle w:val="null3"/>
            </w:pPr>
            <w:r>
              <w:rPr/>
              <w:t>3</w:t>
            </w:r>
          </w:p>
        </w:tc>
        <w:tc>
          <w:tcPr>
            <w:tcW w:type="dxa" w:w="3178"/>
          </w:tcPr>
          <w:p>
            <w:pPr>
              <w:pStyle w:val="null3"/>
            </w:pPr>
            <w:r>
              <w:rPr/>
              <w:t>在经营范围内报价，投标总金额是固定价且是唯一的，未超过本项目预算金额或最高限价；如果评审委员会认为投标人的报价明显低于其他通过符合性审查投标人的报价，有可能影响服务质量或者不能诚信履约的，将要求其在评标现场合理的时间内提供书面说明，必要时提交相关证明材料；投标人应能证明其报价合理性。</w:t>
            </w:r>
          </w:p>
        </w:tc>
        <w:tc>
          <w:tcPr>
            <w:tcW w:type="dxa" w:w="4238"/>
          </w:tcPr>
          <w:p>
            <w:pPr>
              <w:pStyle w:val="null3"/>
            </w:pPr>
            <w:r>
              <w:rPr/>
              <w:t>在经营范围内报价，投标总金额是固定价且是唯一的，未超过本项目预算金额或最高限价；如果评审委员会认为投标人的报价明显低于其他通过符合性审查投标人的报价，有可能影响服务质量或者不能诚信履约的，将要求其在评标现场合理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有效期为递交投标文件之日起90天。</w:t>
            </w:r>
          </w:p>
        </w:tc>
        <w:tc>
          <w:tcPr>
            <w:tcW w:type="dxa" w:w="4238"/>
          </w:tcPr>
          <w:p>
            <w:pPr>
              <w:pStyle w:val="null3"/>
            </w:pPr>
            <w:r>
              <w:rPr/>
              <w:t>有效期为递交投标文件之日起90天。</w:t>
            </w:r>
          </w:p>
        </w:tc>
      </w:tr>
      <w:tr>
        <w:tc>
          <w:tcPr>
            <w:tcW w:type="dxa" w:w="890"/>
          </w:tcPr>
          <w:p>
            <w:pPr>
              <w:pStyle w:val="null3"/>
            </w:pPr>
            <w:r>
              <w:rPr/>
              <w:t>5</w:t>
            </w:r>
          </w:p>
        </w:tc>
        <w:tc>
          <w:tcPr>
            <w:tcW w:type="dxa" w:w="3178"/>
          </w:tcPr>
          <w:p>
            <w:pPr>
              <w:pStyle w:val="null3"/>
            </w:pPr>
            <w:r>
              <w:rPr/>
              <w:t>投标文件符合招标文件规定要求签署、盖章。</w:t>
            </w:r>
          </w:p>
        </w:tc>
        <w:tc>
          <w:tcPr>
            <w:tcW w:type="dxa" w:w="4238"/>
          </w:tcPr>
          <w:p>
            <w:pPr>
              <w:pStyle w:val="null3"/>
            </w:pPr>
            <w:r>
              <w:rPr/>
              <w:t>投标文件符合招标文件规定要求签署、盖章。</w:t>
            </w:r>
          </w:p>
        </w:tc>
      </w:tr>
      <w:tr>
        <w:tc>
          <w:tcPr>
            <w:tcW w:type="dxa" w:w="890"/>
          </w:tcPr>
          <w:p>
            <w:pPr>
              <w:pStyle w:val="null3"/>
            </w:pPr>
            <w:r>
              <w:rPr/>
              <w:t>6</w:t>
            </w:r>
          </w:p>
        </w:tc>
        <w:tc>
          <w:tcPr>
            <w:tcW w:type="dxa" w:w="3178"/>
          </w:tcPr>
          <w:p>
            <w:pPr>
              <w:pStyle w:val="null3"/>
            </w:pPr>
            <w:r>
              <w:rPr/>
              <w:t>未出现招标文件所列的视为串通投标的情形。</w:t>
            </w:r>
          </w:p>
        </w:tc>
        <w:tc>
          <w:tcPr>
            <w:tcW w:type="dxa" w:w="4238"/>
          </w:tcPr>
          <w:p>
            <w:pPr>
              <w:pStyle w:val="null3"/>
            </w:pPr>
            <w:r>
              <w:rPr/>
              <w:t>未出现招标文件所列的视为串通投标的情形。</w:t>
            </w:r>
          </w:p>
        </w:tc>
      </w:tr>
      <w:tr>
        <w:tc>
          <w:tcPr>
            <w:tcW w:type="dxa" w:w="890"/>
          </w:tcPr>
          <w:p>
            <w:pPr>
              <w:pStyle w:val="null3"/>
            </w:pPr>
            <w:r>
              <w:rPr/>
              <w:t>7</w:t>
            </w:r>
          </w:p>
        </w:tc>
        <w:tc>
          <w:tcPr>
            <w:tcW w:type="dxa" w:w="3178"/>
          </w:tcPr>
          <w:p>
            <w:pPr>
              <w:pStyle w:val="null3"/>
            </w:pPr>
            <w:r>
              <w:rPr/>
              <w:t>技术要求实质性响应采购文件中“★”号参数的技术要求。</w:t>
            </w:r>
          </w:p>
        </w:tc>
        <w:tc>
          <w:tcPr>
            <w:tcW w:type="dxa" w:w="4238"/>
          </w:tcPr>
          <w:p>
            <w:pPr>
              <w:pStyle w:val="null3"/>
            </w:pPr>
            <w:r>
              <w:rPr/>
              <w:t>技术要求实质性响应采购文件中“★”号参数的技术要求。</w:t>
            </w:r>
          </w:p>
        </w:tc>
      </w:tr>
      <w:tr>
        <w:tc>
          <w:tcPr>
            <w:tcW w:type="dxa" w:w="890"/>
          </w:tcPr>
          <w:p>
            <w:pPr>
              <w:pStyle w:val="null3"/>
            </w:pPr>
            <w:r>
              <w:rPr/>
              <w:t>8</w:t>
            </w:r>
          </w:p>
        </w:tc>
        <w:tc>
          <w:tcPr>
            <w:tcW w:type="dxa" w:w="3178"/>
          </w:tcPr>
          <w:p>
            <w:pPr>
              <w:pStyle w:val="null3"/>
            </w:pPr>
            <w:r>
              <w:rPr/>
              <w:t>商务要求实质性响应采购文件中“★”号参数的商务要求。</w:t>
            </w:r>
          </w:p>
        </w:tc>
        <w:tc>
          <w:tcPr>
            <w:tcW w:type="dxa" w:w="4238"/>
          </w:tcPr>
          <w:p>
            <w:pPr>
              <w:pStyle w:val="null3"/>
            </w:pPr>
            <w:r>
              <w:rPr/>
              <w:t>商务要求实质性响应采购文件中“★”号参数的商务要求。</w:t>
            </w:r>
          </w:p>
        </w:tc>
      </w:tr>
      <w:tr>
        <w:tc>
          <w:tcPr>
            <w:tcW w:type="dxa" w:w="890"/>
          </w:tcPr>
          <w:p>
            <w:pPr>
              <w:pStyle w:val="null3"/>
            </w:pPr>
            <w:r>
              <w:rPr/>
              <w:t>9</w:t>
            </w:r>
          </w:p>
        </w:tc>
        <w:tc>
          <w:tcPr>
            <w:tcW w:type="dxa" w:w="3178"/>
          </w:tcPr>
          <w:p>
            <w:pPr>
              <w:pStyle w:val="null3"/>
            </w:pPr>
            <w:r>
              <w:rPr/>
              <w:t>按有关法律、法规、规章、招标文件不属于投标无效的 。</w:t>
            </w:r>
          </w:p>
        </w:tc>
        <w:tc>
          <w:tcPr>
            <w:tcW w:type="dxa" w:w="4238"/>
          </w:tcPr>
          <w:p>
            <w:pPr>
              <w:pStyle w:val="null3"/>
            </w:pPr>
            <w:r>
              <w:rPr/>
              <w:t>按有关法律、法规、规章、招标文件不属于投标无效的 。</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采购包1(2025年韶关市浈江区松材线虫病等林业有害生物防治与除治项目):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根据投标人提供的项目实施方案（包括①承诺的技术指标，②设备、劳动力投入计划，③有针对性的保障措施）进行评审： （一）方案包含上述3项内容的，得2分；其他不得分。 （二）在满足（一）的基础上： 1、实施方案技术可行，思路清晰，目标明确，措施到位，针对性到位，得8分； 2、实施方案基本科学，技术基本可行，思路基本清晰，目标基本明确，措施基本到位，针对性基本到位，得5分； 3、实施方案不够科学，技术不够可行，思路不够清晰，目标不够明确，措施不够到位，针对性不够到位的，得3分； 4、实施方案不科学，技术不可行，思路不清晰，目标不明确，措施不到位，针对性不到位的，得1分； 5、未提供方案不得分。</w:t>
            </w:r>
          </w:p>
        </w:tc>
      </w:tr>
      <w:tr>
        <w:tc>
          <w:tcPr>
            <w:tcW w:type="dxa" w:w="922"/>
            <w:gridSpan w:val="2"/>
            <w:vMerge/>
          </w:tcPr>
          <w:p/>
        </w:tc>
        <w:tc>
          <w:tcPr>
            <w:tcW w:type="dxa" w:w="2307"/>
          </w:tcPr>
          <w:p>
            <w:pPr>
              <w:pStyle w:val="null3"/>
              <w:jc w:val="left"/>
            </w:pPr>
            <w:r>
              <w:rPr/>
              <w:t>工期进度计划和保证措施 (10.0分)</w:t>
            </w:r>
          </w:p>
        </w:tc>
        <w:tc>
          <w:tcPr>
            <w:tcW w:type="dxa" w:w="5076"/>
          </w:tcPr>
          <w:p>
            <w:pPr>
              <w:pStyle w:val="null3"/>
              <w:jc w:val="left"/>
            </w:pPr>
            <w:r>
              <w:rPr/>
              <w:t>根据投标人提供的工期进度计划和保证措施（包括①工期目标，②工期承诺，③工期安排计划，④工期保障）进行评审： （一）方案包含上述4项内容的，得2分；其他不得分。 （二）在满足（一）的基础上： 1、工期目标合理，工期承诺满足招标文件工期要求，工期安排计划全面，工期保障完善，得8分； 2、工期目标基本合理，工期承诺基本满足招标文件工期要求，工期安排计划基本全面，工期保障基本完善，得5分； 3、工期目标不够合理，工期承诺不够满足招标文件工期要求，工期安排计划不够全面，工期保障不够完善，得3分； 4、工期目标不合理，工期承诺不满足招标文件工期要求，工期安排计划不全面，工期保障不完善，得1分； 5、未提供方案不得分。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根据投标人提供的质量保证措施（包括①质量目标，②质量管理体系，③质量保证措施）进行评审： （一）方案包含上述3项内容的，得2分；其他不得分。（二）在满足（一）的基础上： 1、质量管理体系完善，具备可实施性；质量保证措施具体全面细致、切实可行，得8分； 2、质量管理体系基本完善，具备可实施性；质量保证措施基本具体全面、切实可行，得5分； 3、质量管理体系不够完善，具备可实施性；质量保证措施不够具体全面、切实，得3分； 4、质量管理体系不完善，可实施性差；质量保证措施不具体全面、切实，得1分； 5、未提供方案不得分。</w:t>
            </w:r>
          </w:p>
        </w:tc>
      </w:tr>
      <w:tr>
        <w:tc>
          <w:tcPr>
            <w:tcW w:type="dxa" w:w="922"/>
            <w:gridSpan w:val="2"/>
            <w:vMerge/>
          </w:tcPr>
          <w:p/>
        </w:tc>
        <w:tc>
          <w:tcPr>
            <w:tcW w:type="dxa" w:w="2307"/>
          </w:tcPr>
          <w:p>
            <w:pPr>
              <w:pStyle w:val="null3"/>
              <w:jc w:val="left"/>
            </w:pPr>
            <w:r>
              <w:rPr/>
              <w:t>安全生产管理保障措施 (10.0分)</w:t>
            </w:r>
          </w:p>
        </w:tc>
        <w:tc>
          <w:tcPr>
            <w:tcW w:type="dxa" w:w="5076"/>
          </w:tcPr>
          <w:p>
            <w:pPr>
              <w:pStyle w:val="null3"/>
              <w:jc w:val="left"/>
            </w:pPr>
            <w:r>
              <w:rPr/>
              <w:t>根据投标人提供的安全生产管理保障措施（包括①安全生产制度，②安全生产管理体系，③保障措施）进行综合评审： （一）方案包含上述3项内容的，得2分；其他不得分。 （二）在满足（一）的基础上： 1、安全生产制度、保障措施、安全生产管理体系完善，具备可实施性，责任落实到位，得8分； 2、安全生产制度、保障措施、安全生产管理体系基本完善，基本具备可实施性，责任落实基本到位的，得5分； 3、安全生产制度、保障错施、安全生产管理体系不够完善，不够具备可实施性，责任落实不够到位的，得3分； 4、安全生产制度、保障措施、安全生产管理体系表述不完善，不具备可实施性，责任落实不到位的，得1分； 5、未提供方案不得分。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根据投标人提供的应急方案（包括①应急组织机构，②针对台风、暴雨、高温天气影响制定的应急措施）进行评审： （一）方案包含上述2项内容的，得2分；其他不得分。（二）在满足（一）的基础上： 1、应急组织机构完整，应急措施内容全面完善，实用性与可实施性强，得8分； 2、应急组织机构完整，应急措施内容基本全面完善，有实用性与可实施性的，得5分； 3、应急组织机构完整，应急措施内容不够全面完善，实用性与可实施性一般的，得3分； 4、应急组织机构不够完整，应急措施内容不够全面完善，实用性与可实施性差的，得1分； 5、其他或未提供方案不得分。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(15.0分)</w:t>
            </w:r>
          </w:p>
        </w:tc>
        <w:tc>
          <w:tcPr>
            <w:tcW w:type="dxa" w:w="5076"/>
          </w:tcPr>
          <w:p>
            <w:pPr>
              <w:pStyle w:val="null3"/>
              <w:jc w:val="left"/>
            </w:pPr>
            <w:r>
              <w:rPr/>
              <w:t>投标人2021年1月1日至今（以合同签订时间为准）承接过类似项目，每提供一项业绩得5分，本项最高15分。 注：须提供合同关键页（含签订合同双方的单位名称、合同项目名称与含签订合同双方的落款盖章、签订日期的关键页）复印件，未提供或提供不全不得分。</w:t>
            </w:r>
          </w:p>
        </w:tc>
      </w:tr>
      <w:tr>
        <w:tc>
          <w:tcPr>
            <w:tcW w:type="dxa" w:w="922"/>
            <w:gridSpan w:val="2"/>
            <w:vMerge/>
          </w:tcPr>
          <w:p/>
        </w:tc>
        <w:tc>
          <w:tcPr>
            <w:tcW w:type="dxa" w:w="2307"/>
          </w:tcPr>
          <w:p>
            <w:pPr>
              <w:pStyle w:val="null3"/>
              <w:jc w:val="left"/>
            </w:pPr>
            <w:r>
              <w:rPr/>
              <w:t>项目负责人实力情况 (5.0分)</w:t>
            </w:r>
          </w:p>
        </w:tc>
        <w:tc>
          <w:tcPr>
            <w:tcW w:type="dxa" w:w="5076"/>
          </w:tcPr>
          <w:p>
            <w:pPr>
              <w:pStyle w:val="null3"/>
              <w:jc w:val="left"/>
            </w:pPr>
            <w:r>
              <w:rPr/>
              <w:t>（1）具有林业类专业高级工程师或以上职称的，得5分； （2）具有林业类专业工程师职称的，得3分； （3）具有林业类专业助理工程师职称的，得1分； 本项最高得5分。 注：须提供上述人员相关职称证书复印件及投标截止日前6个月内任意1个月在投标单位缴纳社保的证明材料（如退休人员须提供退休证及劳动合同复印件）作为评审依据，未提供或提供不全不得分。同一人同时具有多个职称，按最高等级职称计算，不重复计算。</w:t>
            </w:r>
          </w:p>
        </w:tc>
      </w:tr>
      <w:tr>
        <w:tc>
          <w:tcPr>
            <w:tcW w:type="dxa" w:w="922"/>
            <w:gridSpan w:val="2"/>
            <w:vMerge/>
          </w:tcPr>
          <w:p/>
        </w:tc>
        <w:tc>
          <w:tcPr>
            <w:tcW w:type="dxa" w:w="2307"/>
          </w:tcPr>
          <w:p>
            <w:pPr>
              <w:pStyle w:val="null3"/>
              <w:jc w:val="left"/>
            </w:pPr>
            <w:r>
              <w:rPr/>
              <w:t>拟投入本项目的技术人员（项目负责人除外） (10.0分)</w:t>
            </w:r>
          </w:p>
        </w:tc>
        <w:tc>
          <w:tcPr>
            <w:tcW w:type="dxa" w:w="5076"/>
          </w:tcPr>
          <w:p>
            <w:pPr>
              <w:pStyle w:val="null3"/>
              <w:jc w:val="left"/>
            </w:pPr>
            <w:r>
              <w:rPr/>
              <w:t>（1）拟派人员中具有林业类专业工程师或以上职称的，得2.5分； 具有林业类专业助理工程师职称的，得1分。 本小项最高得分5分。 （2）拟派人员中具有林业有害生物防治员证书的，每提供一个得2.5分。 本小项最高得分5分。 注：须提供上述人员相关证书复印件及投标截止日前6个月内任意1个月在投标单位缴纳社保的证明材料（如退休人员须提供退休证及劳动合同复印件）作为评审依据，未提供或提供不全不得分。同一人具有多种证书，按分值高的一种计算，不重复计算。</w:t>
            </w:r>
          </w:p>
        </w:tc>
      </w:tr>
      <w:tr>
        <w:tc>
          <w:tcPr>
            <w:tcW w:type="dxa" w:w="922"/>
            <w:gridSpan w:val="2"/>
            <w:vMerge/>
          </w:tcPr>
          <w:p/>
        </w:tc>
        <w:tc>
          <w:tcPr>
            <w:tcW w:type="dxa" w:w="2307"/>
          </w:tcPr>
          <w:p>
            <w:pPr>
              <w:pStyle w:val="null3"/>
              <w:jc w:val="left"/>
            </w:pPr>
            <w:r>
              <w:rPr/>
              <w:t>服务及时性承诺 (5.0分)</w:t>
            </w:r>
          </w:p>
        </w:tc>
        <w:tc>
          <w:tcPr>
            <w:tcW w:type="dxa" w:w="5076"/>
          </w:tcPr>
          <w:p>
            <w:pPr>
              <w:pStyle w:val="null3"/>
              <w:jc w:val="left"/>
            </w:pPr>
            <w:r>
              <w:rPr/>
              <w:t>根据投标人承诺在接到采购人通知后的响应程度进行评分： （1）承诺在30分钟（含）内响应的，得5分； （2）承诺在30分钟（不含）-60分钟（含）响应的，得3分； （3）承诺在60分钟（不含）-120分钟（含）响应的，得1分； （4）承诺超出120分钟响应的，不得分。 注：投标人须提供承诺函（格式自拟）并加盖投标人公章，不提供不得分。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得分排名第一的供应商为第一中标候选人，排名第二的供应商为第二中标候选人，排名第三的供应商为第三中标候选人。评审得分相同的，按最终报价由低到高顺序排列。得分且最终报价相同的，由评审小组按技术部分得分由高到低的顺序排列确定。技术部分得分相同的，由评审小组按商务部分得分由高到低的顺序排列确定。均相同时，由评审小组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440204-2025-00320</w:t>
      </w:r>
    </w:p>
    <w:p>
      <w:pPr>
        <w:pStyle w:val="null3"/>
        <w:jc w:val="center"/>
        <w:outlineLvl w:val="3"/>
      </w:pPr>
      <w:r>
        <w:rPr>
          <w:sz w:val="24"/>
          <w:b/>
        </w:rPr>
        <w:t>采购项目编号：</w:t>
      </w:r>
      <w:r>
        <w:rPr>
          <w:sz w:val="24"/>
          <w:b/>
        </w:rPr>
        <w:t>SGDH2025008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广东东弘工程咨询有限公司</w:t>
      </w:r>
    </w:p>
    <w:p>
      <w:pPr>
        <w:pStyle w:val="null3"/>
        <w:ind w:firstLine="480"/>
      </w:pPr>
      <w:r>
        <w:rPr/>
        <w:t xml:space="preserve"> 你方组织的</w:t>
      </w:r>
      <w:r>
        <w:rPr>
          <w:u w:val="single"/>
        </w:rPr>
        <w:t>“</w:t>
      </w:r>
      <w:r>
        <w:rPr>
          <w:u w:val="single"/>
        </w:rPr>
        <w:t>2025年韶关市浈江区松材线虫病等林业有害生物防治与除治项目</w:t>
      </w:r>
      <w:r>
        <w:rPr>
          <w:u w:val="single"/>
        </w:rPr>
        <w:t>”</w:t>
      </w:r>
      <w:r>
        <w:rPr/>
        <w:t>项目的招标[采购项目编号为：</w:t>
      </w:r>
      <w:r>
        <w:rPr>
          <w:u w:val="single"/>
        </w:rPr>
        <w:t>SGDH2025008</w:t>
      </w:r>
      <w:r>
        <w:rPr/>
        <w:t>]，我方愿参与投标。</w:t>
      </w:r>
    </w:p>
    <w:p>
      <w:pPr>
        <w:pStyle w:val="null3"/>
        <w:ind w:firstLine="480"/>
      </w:pPr>
      <w:r>
        <w:rPr/>
        <w:t>我方确认收到贵方提供的</w:t>
      </w:r>
      <w:r>
        <w:rPr>
          <w:u w:val="single"/>
        </w:rPr>
        <w:t>“</w:t>
      </w:r>
      <w:r>
        <w:rPr>
          <w:u w:val="single"/>
        </w:rPr>
        <w:t>2025年韶关市浈江区松材线虫病等林业有害生物防治与除治项目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广东东弘工程咨询有限公司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2025年韶关市浈江区松材线虫病等林业有害生物防治与除治项目</w:t>
      </w:r>
      <w:r>
        <w:rPr/>
        <w:t>”项目采购[采购项目编号为</w:t>
      </w:r>
      <w:r>
        <w:rPr/>
        <w:t>SGDH2025008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韶关市浈江区自然资源局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广东东弘工程咨询有限公司</w:t>
      </w:r>
    </w:p>
    <w:p>
      <w:pPr>
        <w:pStyle w:val="null3"/>
        <w:ind w:firstLine="480"/>
      </w:pPr>
      <w:r>
        <w:rPr/>
        <w:t xml:space="preserve"> 如果我方在贵采购代理机构组织的</w:t>
      </w:r>
      <w:r>
        <w:rPr/>
        <w:t>2025年韶关市浈江区松材线虫病等林业有害生物防治与除治项目</w:t>
      </w:r>
      <w:r>
        <w:rPr/>
        <w:t>招标中获中标（采购项目编号：</w:t>
      </w:r>
      <w:r>
        <w:rPr/>
        <w:t>SGDH2025008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广东东弘工程咨询有限公司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广东东弘工程咨询有限公司</w:t>
      </w:r>
    </w:p>
    <w:p>
      <w:pPr>
        <w:pStyle w:val="null3"/>
        <w:ind w:firstLine="480"/>
      </w:pPr>
      <w:r>
        <w:rPr/>
        <w:t>我单位已登记并准备参与“</w:t>
      </w:r>
      <w:r>
        <w:rPr/>
        <w:t>2025年韶关市浈江区松材线虫病等林业有害生物防治与除治项目</w:t>
      </w:r>
      <w:r>
        <w:rPr/>
        <w:t>”项目（采购项目编号：</w:t>
      </w:r>
      <w:r>
        <w:rPr/>
        <w:t>SGDH2025008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