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w:t>
      </w:r>
      <w:r>
        <w:rPr>
          <w:rFonts w:hint="default" w:asciiTheme="majorEastAsia" w:hAnsiTheme="majorEastAsia" w:eastAsiaTheme="majorEastAsia" w:cstheme="majorEastAsia"/>
          <w:b/>
          <w:bCs/>
          <w:sz w:val="44"/>
          <w:szCs w:val="44"/>
          <w:lang w:eastAsia="zh-CN"/>
          <w:woUserID w:val="1"/>
        </w:rPr>
        <w:t>5</w:t>
      </w:r>
      <w:r>
        <w:rPr>
          <w:rFonts w:hint="eastAsia" w:asciiTheme="majorEastAsia" w:hAnsiTheme="majorEastAsia" w:eastAsiaTheme="majorEastAsia" w:cstheme="majorEastAsia"/>
          <w:b/>
          <w:bCs/>
          <w:sz w:val="44"/>
          <w:szCs w:val="44"/>
          <w:lang w:val="en-US" w:eastAsia="zh-CN"/>
        </w:rPr>
        <w:t>年椒江区病媒生物监测竞争性</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bCs/>
          <w:sz w:val="44"/>
          <w:szCs w:val="44"/>
          <w:lang w:val="en-US" w:eastAsia="zh-CN"/>
        </w:rPr>
        <w:t>磋商方案</w:t>
      </w:r>
    </w:p>
    <w:p>
      <w:pPr>
        <w:numPr>
          <w:ilvl w:val="0"/>
          <w:numId w:val="1"/>
        </w:num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项目</w:t>
      </w:r>
      <w:r>
        <w:rPr>
          <w:rFonts w:hint="eastAsia" w:asciiTheme="minorEastAsia" w:hAnsiTheme="minorEastAsia" w:cstheme="minorEastAsia"/>
          <w:b/>
          <w:bCs/>
          <w:sz w:val="28"/>
          <w:szCs w:val="28"/>
          <w:lang w:val="en-US" w:eastAsia="zh-CN"/>
        </w:rPr>
        <w:t>背景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病媒生物监测是疾病预防控制中的一项重要的系统性工作。在我国法定报告的传染病中有许多属于病媒生物性传染病，病媒生物性传染病是人类面临的严峻挑战之一。因此，科学、规范、系统地开展监测工作能够给病媒生物性传染病的流行趋势提供预警信息，从而能够积极地预防和控制病媒生物性传染病的传播。</w:t>
      </w:r>
    </w:p>
    <w:p>
      <w:pPr>
        <w:numPr>
          <w:ilvl w:val="0"/>
          <w:numId w:val="1"/>
        </w:numPr>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监测说明及要求</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监测目的</w:t>
      </w:r>
    </w:p>
    <w:p>
      <w:pPr>
        <w:keepNext w:val="0"/>
        <w:keepLines w:val="0"/>
        <w:pageBreakBefore w:val="0"/>
        <w:widowControl w:val="0"/>
        <w:numPr>
          <w:ilvl w:val="0"/>
          <w:numId w:val="3"/>
        </w:numPr>
        <w:kinsoku/>
        <w:wordWrap/>
        <w:overflowPunct/>
        <w:topLinePunct w:val="0"/>
        <w:autoSpaceDE/>
        <w:autoSpaceDN/>
        <w:bidi w:val="0"/>
        <w:adjustRightInd/>
        <w:snapToGrid/>
        <w:ind w:left="562" w:leftChars="0" w:firstLine="0" w:firstLineChars="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掌握监测对象的种类、数量、分布及季节变化，为预测预报和处理应急事件积累数据基础。</w:t>
      </w:r>
    </w:p>
    <w:p>
      <w:pPr>
        <w:keepNext w:val="0"/>
        <w:keepLines w:val="0"/>
        <w:pageBreakBefore w:val="0"/>
        <w:widowControl w:val="0"/>
        <w:numPr>
          <w:ilvl w:val="0"/>
          <w:numId w:val="3"/>
        </w:numPr>
        <w:kinsoku/>
        <w:wordWrap/>
        <w:overflowPunct/>
        <w:topLinePunct w:val="0"/>
        <w:autoSpaceDE/>
        <w:autoSpaceDN/>
        <w:bidi w:val="0"/>
        <w:adjustRightInd/>
        <w:snapToGrid/>
        <w:ind w:left="562" w:leftChars="0" w:firstLine="0" w:firstLineChars="0"/>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分析病媒生物的长期变化及辖区内传染性疾病的相关性，为病媒生物性传染病的预防控制提供技术保证。</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sz w:val="28"/>
          <w:szCs w:val="28"/>
          <w:lang w:val="en-US" w:eastAsia="zh-CN"/>
        </w:rPr>
        <w:t>监测依据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《浙江省病媒生物监测方案》（浙卫办【2016】15号）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《台州市疾病预防控制中心关于调整台州市病媒生物监测方案的通知》（台疾控发【2016】34号）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《2023年台州市鼠传病原监测工作实施方案》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（三）监测要求</w:t>
      </w:r>
    </w:p>
    <w:p>
      <w:pPr>
        <w:adjustRightInd w:val="0"/>
        <w:spacing w:line="360" w:lineRule="auto"/>
        <w:jc w:val="center"/>
        <w:rPr>
          <w:rFonts w:hint="eastAsia" w:asciiTheme="minorEastAsia" w:hAnsiTheme="minorEastAsia" w:cstheme="minorEastAsia"/>
          <w:b/>
          <w:bCs/>
          <w:sz w:val="28"/>
          <w:szCs w:val="28"/>
          <w:lang w:val="en-US" w:eastAsia="zh-CN"/>
        </w:rPr>
      </w:pPr>
    </w:p>
    <w:p>
      <w:pPr>
        <w:adjustRightInd w:val="0"/>
        <w:spacing w:line="360" w:lineRule="auto"/>
        <w:jc w:val="center"/>
        <w:rPr>
          <w:rFonts w:hint="eastAsia" w:asciiTheme="minorEastAsia" w:hAnsiTheme="minorEastAsia" w:cstheme="minorEastAsia"/>
          <w:b/>
          <w:bCs/>
          <w:sz w:val="28"/>
          <w:szCs w:val="28"/>
          <w:lang w:val="en-US" w:eastAsia="zh-CN"/>
        </w:rPr>
      </w:pPr>
    </w:p>
    <w:p>
      <w:pPr>
        <w:adjustRightInd w:val="0"/>
        <w:spacing w:line="360" w:lineRule="auto"/>
        <w:jc w:val="center"/>
        <w:rPr>
          <w:rFonts w:hint="eastAsia" w:asciiTheme="minorEastAsia" w:hAnsiTheme="minorEastAsia" w:cstheme="minorEastAsia"/>
          <w:b/>
          <w:bCs/>
          <w:sz w:val="28"/>
          <w:szCs w:val="28"/>
          <w:lang w:val="en-US" w:eastAsia="zh-CN"/>
        </w:rPr>
        <w:sectPr>
          <w:pgSz w:w="11906" w:h="16838"/>
          <w:pgMar w:top="1440" w:right="1800" w:bottom="1440" w:left="1800" w:header="851" w:footer="992" w:gutter="0"/>
          <w:cols w:space="425" w:num="1"/>
          <w:docGrid w:type="lines" w:linePitch="312" w:charSpace="0"/>
        </w:sectPr>
      </w:pPr>
    </w:p>
    <w:p>
      <w:pPr>
        <w:adjustRightInd w:val="0"/>
        <w:spacing w:line="360" w:lineRule="auto"/>
        <w:ind w:firstLine="560" w:firstLineChars="200"/>
        <w:jc w:val="left"/>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rPr>
        <w:t>202</w:t>
      </w:r>
      <w:r>
        <w:rPr>
          <w:rFonts w:hint="default" w:asciiTheme="minorEastAsia" w:hAnsiTheme="minorEastAsia" w:cstheme="minorEastAsia"/>
          <w:b w:val="0"/>
          <w:bCs w:val="0"/>
          <w:sz w:val="28"/>
          <w:woUserID w:val="1"/>
        </w:rPr>
        <w:t>5</w:t>
      </w:r>
      <w:r>
        <w:rPr>
          <w:rFonts w:hint="eastAsia" w:asciiTheme="minorEastAsia" w:hAnsiTheme="minorEastAsia" w:eastAsiaTheme="minorEastAsia" w:cstheme="minorEastAsia"/>
          <w:b w:val="0"/>
          <w:bCs w:val="0"/>
          <w:sz w:val="28"/>
        </w:rPr>
        <w:t>年病媒监测任务与要求</w:t>
      </w:r>
    </w:p>
    <w:tbl>
      <w:tblPr>
        <w:tblStyle w:val="2"/>
        <w:tblW w:w="15593" w:type="dxa"/>
        <w:jc w:val="center"/>
        <w:tblInd w:w="0" w:type="dxa"/>
        <w:tblLayout w:type="fixed"/>
        <w:tblCellMar>
          <w:top w:w="0" w:type="dxa"/>
          <w:left w:w="108" w:type="dxa"/>
          <w:bottom w:w="0" w:type="dxa"/>
          <w:right w:w="108" w:type="dxa"/>
        </w:tblCellMar>
      </w:tblPr>
      <w:tblGrid>
        <w:gridCol w:w="1433"/>
        <w:gridCol w:w="4540"/>
        <w:gridCol w:w="3680"/>
        <w:gridCol w:w="3100"/>
        <w:gridCol w:w="2840"/>
      </w:tblGrid>
      <w:tr>
        <w:tblPrEx>
          <w:tblLayout w:type="fixed"/>
          <w:tblCellMar>
            <w:top w:w="0" w:type="dxa"/>
            <w:left w:w="108" w:type="dxa"/>
            <w:bottom w:w="0" w:type="dxa"/>
            <w:right w:w="108" w:type="dxa"/>
          </w:tblCellMar>
        </w:tblPrEx>
        <w:trPr>
          <w:trHeight w:val="9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45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老鼠</w:t>
            </w:r>
          </w:p>
        </w:tc>
        <w:tc>
          <w:tcPr>
            <w:tcW w:w="36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蟑螂</w:t>
            </w: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蚊子</w:t>
            </w:r>
          </w:p>
        </w:tc>
        <w:tc>
          <w:tcPr>
            <w:tcW w:w="28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苍蝇</w:t>
            </w:r>
          </w:p>
        </w:tc>
      </w:tr>
      <w:tr>
        <w:tblPrEx>
          <w:tblLayout w:type="fixed"/>
          <w:tblCellMar>
            <w:top w:w="0" w:type="dxa"/>
            <w:left w:w="108" w:type="dxa"/>
            <w:bottom w:w="0" w:type="dxa"/>
            <w:right w:w="108" w:type="dxa"/>
          </w:tblCellMar>
        </w:tblPrEx>
        <w:trPr>
          <w:trHeight w:val="1260" w:hRule="atLeast"/>
          <w:jc w:val="center"/>
        </w:trPr>
        <w:tc>
          <w:tcPr>
            <w:tcW w:w="143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监测生境</w:t>
            </w:r>
          </w:p>
        </w:tc>
        <w:tc>
          <w:tcPr>
            <w:tcW w:w="45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在城镇居民区、重点行业（餐饮、食品制售、建筑工地、屠宰场、酿造厂等）、农村居民区3个类型的监测生境各1个。具体场所三个月内不得在同一区域实施监测，不同月份选取的监测区域之间距离应大于250m。</w:t>
            </w:r>
          </w:p>
        </w:tc>
        <w:tc>
          <w:tcPr>
            <w:tcW w:w="368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农贸市场、超市、宾馆、餐饮环境、医院、居民区各不少于2处</w:t>
            </w:r>
          </w:p>
        </w:tc>
        <w:tc>
          <w:tcPr>
            <w:tcW w:w="31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城镇居民区、公园、医院。农村选择民房和牲畜棚各不少于 2 处。除牲畜棚外，其它均在外环境中进行。</w:t>
            </w:r>
          </w:p>
        </w:tc>
        <w:tc>
          <w:tcPr>
            <w:tcW w:w="28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随机选择农贸市场、餐饮外环境、绿化带和居民区各不少于 2 处，各个监测地点相对固定。</w:t>
            </w:r>
          </w:p>
        </w:tc>
      </w:tr>
      <w:tr>
        <w:tblPrEx>
          <w:tblLayout w:type="fixed"/>
          <w:tblCellMar>
            <w:top w:w="0" w:type="dxa"/>
            <w:left w:w="108" w:type="dxa"/>
            <w:bottom w:w="0" w:type="dxa"/>
            <w:right w:w="108" w:type="dxa"/>
          </w:tblCellMar>
        </w:tblPrEx>
        <w:trPr>
          <w:trHeight w:val="990" w:hRule="atLeast"/>
          <w:jc w:val="center"/>
        </w:trPr>
        <w:tc>
          <w:tcPr>
            <w:tcW w:w="143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监测方法</w:t>
            </w:r>
          </w:p>
        </w:tc>
        <w:tc>
          <w:tcPr>
            <w:tcW w:w="45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夹夜法、粘鼠板法（粘鼠板法监测作为夹夜法监测的替代方法，主要用于城镇和农村居民室内的鼠密度监测）</w:t>
            </w:r>
          </w:p>
        </w:tc>
        <w:tc>
          <w:tcPr>
            <w:tcW w:w="368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粘捕法:市场和超市布放在食品加工销售柜台，餐饮环境和宾馆布放在操作间及餐厅，</w:t>
            </w:r>
            <w:r>
              <w:rPr>
                <w:rFonts w:hint="eastAsia" w:asciiTheme="minorEastAsia" w:hAnsiTheme="minorEastAsia" w:eastAsiaTheme="minorEastAsia" w:cstheme="minorEastAsia"/>
                <w:kern w:val="0"/>
                <w:sz w:val="21"/>
                <w:szCs w:val="21"/>
              </w:rPr>
              <w:t>医院布放在病房，</w:t>
            </w:r>
            <w:r>
              <w:rPr>
                <w:rFonts w:hint="eastAsia" w:asciiTheme="minorEastAsia" w:hAnsiTheme="minorEastAsia" w:eastAsiaTheme="minorEastAsia" w:cstheme="minorEastAsia"/>
                <w:color w:val="000000"/>
                <w:kern w:val="0"/>
                <w:sz w:val="21"/>
                <w:szCs w:val="21"/>
              </w:rPr>
              <w:t>居民区布放在厨房。</w:t>
            </w:r>
          </w:p>
        </w:tc>
        <w:tc>
          <w:tcPr>
            <w:tcW w:w="31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（一）成蚊监测：诱蚊灯法。（二）幼蚊监测：布雷图指数法</w:t>
            </w:r>
          </w:p>
        </w:tc>
        <w:tc>
          <w:tcPr>
            <w:tcW w:w="28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笼诱法:于第一天9:00前（各地可根据当地作息情况适当调整）布放，次日9:00左右收回。</w:t>
            </w:r>
          </w:p>
        </w:tc>
      </w:tr>
      <w:tr>
        <w:tblPrEx>
          <w:tblLayout w:type="fixed"/>
          <w:tblCellMar>
            <w:top w:w="0" w:type="dxa"/>
            <w:left w:w="108" w:type="dxa"/>
            <w:bottom w:w="0" w:type="dxa"/>
            <w:right w:w="108" w:type="dxa"/>
          </w:tblCellMar>
        </w:tblPrEx>
        <w:trPr>
          <w:trHeight w:val="1035" w:hRule="atLeast"/>
          <w:jc w:val="center"/>
        </w:trPr>
        <w:tc>
          <w:tcPr>
            <w:tcW w:w="143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监测工具</w:t>
            </w:r>
          </w:p>
        </w:tc>
        <w:tc>
          <w:tcPr>
            <w:tcW w:w="45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中型钢板鼠夹:中号钢板夹(12cm×6.5cm)，粘鼠板胶面 15cm×20cm</w:t>
            </w:r>
          </w:p>
        </w:tc>
        <w:tc>
          <w:tcPr>
            <w:tcW w:w="368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粘蟑纸（规格：170mm×100mm）</w:t>
            </w:r>
          </w:p>
        </w:tc>
        <w:tc>
          <w:tcPr>
            <w:tcW w:w="31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成蚊监测诱蚊灯性能要求：波长：2537Å  功率：8W  。蚊幼监测 手电筒、捞勺、吸管、蚊虫收集装置、标签纸等。</w:t>
            </w:r>
          </w:p>
        </w:tc>
        <w:tc>
          <w:tcPr>
            <w:tcW w:w="28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为锥形芯圆形诱蝇笼，笼高 40cm，直径 25cm，圆锥形芯高 35cm，顶口直径 2cm</w:t>
            </w:r>
          </w:p>
        </w:tc>
      </w:tr>
      <w:tr>
        <w:tblPrEx>
          <w:tblLayout w:type="fixed"/>
          <w:tblCellMar>
            <w:top w:w="0" w:type="dxa"/>
            <w:left w:w="108" w:type="dxa"/>
            <w:bottom w:w="0" w:type="dxa"/>
            <w:right w:w="108" w:type="dxa"/>
          </w:tblCellMar>
        </w:tblPrEx>
        <w:trPr>
          <w:trHeight w:val="495" w:hRule="atLeast"/>
          <w:jc w:val="center"/>
        </w:trPr>
        <w:tc>
          <w:tcPr>
            <w:tcW w:w="143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监测时间和频次</w:t>
            </w:r>
          </w:p>
        </w:tc>
        <w:tc>
          <w:tcPr>
            <w:tcW w:w="45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每年单月中旬监测，频次为1次／2个月</w:t>
            </w:r>
          </w:p>
        </w:tc>
        <w:tc>
          <w:tcPr>
            <w:tcW w:w="368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每年单月中旬监测，频次为1次／2个月</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4-11月中旬，频次为1次/月</w:t>
            </w:r>
          </w:p>
        </w:tc>
        <w:tc>
          <w:tcPr>
            <w:tcW w:w="28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4-11月中旬，频次为1次/月</w:t>
            </w:r>
          </w:p>
        </w:tc>
      </w:tr>
      <w:tr>
        <w:tblPrEx>
          <w:tblLayout w:type="fixed"/>
          <w:tblCellMar>
            <w:top w:w="0" w:type="dxa"/>
            <w:left w:w="108" w:type="dxa"/>
            <w:bottom w:w="0" w:type="dxa"/>
            <w:right w:w="108" w:type="dxa"/>
          </w:tblCellMar>
        </w:tblPrEx>
        <w:trPr>
          <w:trHeight w:val="2296" w:hRule="atLeast"/>
          <w:jc w:val="center"/>
        </w:trPr>
        <w:tc>
          <w:tcPr>
            <w:tcW w:w="143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计算公式</w:t>
            </w:r>
          </w:p>
        </w:tc>
        <w:tc>
          <w:tcPr>
            <w:tcW w:w="45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捕获率（%）=捕鼠总数（只）÷有效夹总数（只）×100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有效夹数=布夹总数-无效夹数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捕获率（%）=捕鼠总数（只）÷有效粘鼠板数（张）×100</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kern w:val="0"/>
                <w:sz w:val="21"/>
                <w:szCs w:val="21"/>
              </w:rPr>
              <w:t>捕获鼠数要求同夹夜法。</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有效板数=布放粘鼠板总数-无效粘鼠板数</w:t>
            </w:r>
          </w:p>
        </w:tc>
        <w:tc>
          <w:tcPr>
            <w:tcW w:w="368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蟑螂粘捕率（%）=粘捕到蟑螂的粘蟑纸数/有效粘蟑纸数×100</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蟑螂侵害率（%）=监测蟑螂的房间数/监测总房间数×100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蟑螂密度（只/张）=捕获蟑螂总数（只）/有效粘蟑纸数（张）</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蟑螂密度指数（只/张）=捕获蟑螂总数（只）/粘捕到蟑螂的粘蟑纸数（张）</w:t>
            </w:r>
          </w:p>
        </w:tc>
        <w:tc>
          <w:tcPr>
            <w:tcW w:w="31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蚊密度[只/（灯.夜）]=捕获雌蚊数（只）÷[布放灯数（灯）×诱蚊夜数（夜）]。布雷图指数（BI）=伊蚊阳性容器数÷调查户数×100</w:t>
            </w:r>
          </w:p>
        </w:tc>
        <w:tc>
          <w:tcPr>
            <w:tcW w:w="28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成蝇密度（只/笼）=捕蝇总数/捕蝇笼数 </w:t>
            </w:r>
          </w:p>
        </w:tc>
      </w:tr>
    </w:tbl>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bCs/>
          <w:sz w:val="21"/>
          <w:szCs w:val="21"/>
          <w:lang w:val="en-US" w:eastAsia="zh-CN"/>
        </w:rPr>
        <w:sectPr>
          <w:pgSz w:w="16838" w:h="11906" w:orient="landscape"/>
          <w:pgMar w:top="1800" w:right="1440" w:bottom="1800" w:left="1440" w:header="851" w:footer="992" w:gutter="0"/>
          <w:cols w:space="425" w:num="1"/>
          <w:docGrid w:type="lines" w:linePitch="312" w:charSpace="0"/>
        </w:sectPr>
      </w:pPr>
    </w:p>
    <w:p>
      <w:pPr>
        <w:adjustRightInd w:val="0"/>
        <w:spacing w:line="360" w:lineRule="auto"/>
        <w:ind w:firstLine="560" w:firstLineChars="200"/>
        <w:jc w:val="left"/>
        <w:rPr>
          <w:rFonts w:hint="eastAsia" w:asciiTheme="minorEastAsia" w:hAnsiTheme="minorEastAsia" w:cstheme="minorEastAsia"/>
          <w:b w:val="0"/>
          <w:bCs w:val="0"/>
          <w:sz w:val="28"/>
          <w:lang w:val="en-US" w:eastAsia="zh-CN"/>
        </w:rPr>
      </w:pPr>
      <w:r>
        <w:rPr>
          <w:rFonts w:hint="eastAsia" w:asciiTheme="minorEastAsia" w:hAnsiTheme="minorEastAsia" w:cstheme="minorEastAsia"/>
          <w:b w:val="0"/>
          <w:bCs w:val="0"/>
          <w:sz w:val="28"/>
          <w:lang w:val="en-US" w:eastAsia="zh-CN"/>
        </w:rPr>
        <w:t>2、202</w:t>
      </w:r>
      <w:r>
        <w:rPr>
          <w:rFonts w:hint="default" w:asciiTheme="minorEastAsia" w:hAnsiTheme="minorEastAsia" w:cstheme="minorEastAsia"/>
          <w:b w:val="0"/>
          <w:bCs w:val="0"/>
          <w:sz w:val="28"/>
          <w:lang w:eastAsia="zh-CN"/>
          <w:woUserID w:val="1"/>
        </w:rPr>
        <w:t>5</w:t>
      </w:r>
      <w:r>
        <w:rPr>
          <w:rFonts w:hint="eastAsia" w:asciiTheme="minorEastAsia" w:hAnsiTheme="minorEastAsia" w:cstheme="minorEastAsia"/>
          <w:b w:val="0"/>
          <w:bCs w:val="0"/>
          <w:sz w:val="28"/>
          <w:lang w:val="en-US" w:eastAsia="zh-CN"/>
        </w:rPr>
        <w:t>年鼠传病原监测任务</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560" w:firstLineChars="200"/>
        <w:jc w:val="left"/>
        <w:textAlignment w:val="auto"/>
        <w:rPr>
          <w:rFonts w:hint="eastAsia" w:asciiTheme="minorEastAsia" w:hAnsiTheme="minorEastAsia" w:cstheme="minorEastAsia"/>
          <w:b w:val="0"/>
          <w:bCs w:val="0"/>
          <w:sz w:val="28"/>
          <w:lang w:val="en-US" w:eastAsia="zh-CN"/>
        </w:rPr>
      </w:pPr>
      <w:r>
        <w:rPr>
          <w:rFonts w:hint="eastAsia" w:asciiTheme="minorEastAsia" w:hAnsiTheme="minorEastAsia" w:cstheme="minorEastAsia"/>
          <w:b w:val="0"/>
          <w:bCs w:val="0"/>
          <w:sz w:val="28"/>
          <w:lang w:val="en-US" w:eastAsia="zh-CN"/>
        </w:rPr>
        <w:t>监测点要求：章安、洪家、葭沚街道范围内。捕鼠生境主要主要包括城镇居民区、重点行业(餐饮、食品制售、建筑工地、屠宰场和酿造厂等)、农村居民区、农田和林地等。</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560" w:firstLineChars="200"/>
        <w:jc w:val="left"/>
        <w:textAlignment w:val="auto"/>
        <w:rPr>
          <w:rFonts w:hint="default" w:asciiTheme="minorEastAsia" w:hAnsiTheme="minorEastAsia" w:cstheme="minorEastAsia"/>
          <w:b w:val="0"/>
          <w:bCs w:val="0"/>
          <w:sz w:val="28"/>
          <w:lang w:val="en-US" w:eastAsia="zh-CN"/>
        </w:rPr>
      </w:pPr>
      <w:r>
        <w:rPr>
          <w:rFonts w:hint="eastAsia" w:asciiTheme="minorEastAsia" w:hAnsiTheme="minorEastAsia" w:cstheme="minorEastAsia"/>
          <w:b w:val="0"/>
          <w:bCs w:val="0"/>
          <w:sz w:val="28"/>
          <w:lang w:val="en-US" w:eastAsia="zh-CN"/>
        </w:rPr>
        <w:t>捕获鼠数量及时间要求：监测的3个街道各25只。时间为3月至9月，9月底前完成既定数量要求，包括臭鼩鼱在内鼠类品种不限，合计标本数量不少于75只，监测时按照鼠夹（黏鼠板）晚放晨收要求。</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560" w:firstLineChars="200"/>
        <w:jc w:val="left"/>
        <w:textAlignment w:val="auto"/>
        <w:rPr>
          <w:rFonts w:hint="default" w:asciiTheme="minorEastAsia" w:hAnsiTheme="minorEastAsia" w:cstheme="minorEastAsia"/>
          <w:b w:val="0"/>
          <w:bCs w:val="0"/>
          <w:sz w:val="28"/>
          <w:lang w:val="en-US" w:eastAsia="zh-CN"/>
        </w:rPr>
      </w:pPr>
      <w:r>
        <w:rPr>
          <w:rFonts w:hint="eastAsia" w:asciiTheme="minorEastAsia" w:hAnsiTheme="minorEastAsia" w:cstheme="minorEastAsia"/>
          <w:b w:val="0"/>
          <w:bCs w:val="0"/>
          <w:sz w:val="28"/>
          <w:lang w:val="en-US" w:eastAsia="zh-CN"/>
        </w:rPr>
        <w:t>标本上送时间：标本应于24小时内上送区疾控中心。若上送标本为死鼠，应于-70℃保存上送，无法具备该条件，4℃冷藏上送。</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病媒公司方在开始监测前需预先将监测实施方案或计划安排递交至疾控中心，并在监测期间无条件接受疾控中心指派工作人员的监督。保存每次监测前后的详细过程性资料（如现场记录、照片等）备查，按月、终期出具纸质和电子监测报告给委托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4、监测过程中捕获的病媒生物由病媒公司负责病媒生物种群分类鉴定工作，并将鉴定后部分特殊（依甲方需求）标本交疾控中心处。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监测方要在监测工作中做好安全工作并独自承担因安全工作疏忽导致的责任。在涉及投放有毒饵工作时，监测方在监测前要做好宣传告知，竖立明显警示标识，防止误伤儿童和宠物。监测中应使用鼠布袋并用麻醉剂处理，防止死鼠的体外寄生虫游离而叮咬监测人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6、病媒公司方需向疾控中心提供至少一次以上的病媒生物监测培训的证明和记录。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（三）项目服务期限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202</w:t>
      </w:r>
      <w:r>
        <w:rPr>
          <w:rFonts w:hint="default" w:asciiTheme="minorEastAsia" w:hAnsiTheme="minorEastAsia" w:cstheme="minorEastAsia"/>
          <w:b w:val="0"/>
          <w:bCs w:val="0"/>
          <w:sz w:val="28"/>
          <w:szCs w:val="28"/>
          <w:lang w:eastAsia="zh-CN"/>
          <w:woUserID w:val="1"/>
        </w:rPr>
        <w:t>5</w:t>
      </w:r>
      <w:r>
        <w:rPr>
          <w:rFonts w:hint="eastAsia" w:asciiTheme="minorEastAsia" w:hAnsiTheme="minorEastAsia" w:cstheme="minorEastAsia"/>
          <w:b w:val="0"/>
          <w:bCs w:val="0"/>
          <w:sz w:val="28"/>
          <w:szCs w:val="28"/>
          <w:lang w:val="en-US" w:eastAsia="zh-CN"/>
        </w:rPr>
        <w:t>年3月-202</w:t>
      </w:r>
      <w:r>
        <w:rPr>
          <w:rFonts w:hint="default" w:asciiTheme="minorEastAsia" w:hAnsiTheme="minorEastAsia" w:cstheme="minorEastAsia"/>
          <w:b w:val="0"/>
          <w:bCs w:val="0"/>
          <w:sz w:val="28"/>
          <w:szCs w:val="28"/>
          <w:lang w:eastAsia="zh-CN"/>
          <w:woUserID w:val="1"/>
        </w:rPr>
        <w:t>6</w:t>
      </w:r>
      <w:r>
        <w:rPr>
          <w:rFonts w:hint="eastAsia" w:asciiTheme="minorEastAsia" w:hAnsiTheme="minorEastAsia" w:cstheme="minorEastAsia"/>
          <w:b w:val="0"/>
          <w:bCs w:val="0"/>
          <w:sz w:val="28"/>
          <w:szCs w:val="28"/>
          <w:lang w:val="en-US" w:eastAsia="zh-CN"/>
        </w:rPr>
        <w:t>年3月</w:t>
      </w:r>
    </w:p>
    <w:p>
      <w:pPr>
        <w:numPr>
          <w:ilvl w:val="0"/>
          <w:numId w:val="1"/>
        </w:numPr>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评分细则</w:t>
      </w:r>
    </w:p>
    <w:p>
      <w:pPr>
        <w:numPr>
          <w:ilvl w:val="0"/>
          <w:numId w:val="0"/>
        </w:num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1、本次竞争性谈判采用100分制进行评判。（详见评分表）</w:t>
      </w:r>
    </w:p>
    <w:p>
      <w:pPr>
        <w:widowControl w:val="0"/>
        <w:numPr>
          <w:ilvl w:val="0"/>
          <w:numId w:val="0"/>
        </w:num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2、评分去掉一个最高分和一个最低分，所得平均分为该公司的最终得分。若得分相同，由专家组商量后另行投票决定。</w:t>
      </w:r>
    </w:p>
    <w:p>
      <w:pPr>
        <w:widowControl w:val="0"/>
        <w:numPr>
          <w:ilvl w:val="0"/>
          <w:numId w:val="0"/>
        </w:numPr>
        <w:ind w:leftChars="0" w:firstLine="560" w:firstLineChars="200"/>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3、专家组打分保留小数点后两位。最终得分也保留小数点后两位。</w:t>
      </w:r>
    </w:p>
    <w:tbl>
      <w:tblPr>
        <w:tblStyle w:val="2"/>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1620"/>
        <w:gridCol w:w="1620"/>
        <w:gridCol w:w="602"/>
        <w:gridCol w:w="2957"/>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936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36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1620" w:type="dxa"/>
            <w:tcBorders>
              <w:top w:val="nil"/>
              <w:left w:val="single" w:color="000000" w:sz="8" w:space="0"/>
              <w:bottom w:val="single" w:color="000000" w:sz="8" w:space="0"/>
              <w:right w:val="single" w:color="000000" w:sz="8"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1620" w:type="dxa"/>
            <w:tcBorders>
              <w:top w:val="single" w:color="000000" w:sz="8" w:space="0"/>
              <w:left w:val="nil"/>
              <w:bottom w:val="single" w:color="000000" w:sz="8" w:space="0"/>
              <w:right w:val="single" w:color="000000" w:sz="8"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分值权重</w:t>
            </w:r>
          </w:p>
        </w:tc>
        <w:tc>
          <w:tcPr>
            <w:tcW w:w="2222" w:type="dxa"/>
            <w:gridSpan w:val="2"/>
            <w:tcBorders>
              <w:top w:val="single" w:color="000000" w:sz="8" w:space="0"/>
              <w:left w:val="nil"/>
              <w:bottom w:val="single" w:color="000000" w:sz="8" w:space="0"/>
              <w:right w:val="single" w:color="000000" w:sz="8"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评分细则及分值</w:t>
            </w:r>
          </w:p>
        </w:tc>
        <w:tc>
          <w:tcPr>
            <w:tcW w:w="2957" w:type="dxa"/>
            <w:tcBorders>
              <w:top w:val="single" w:color="000000" w:sz="8" w:space="0"/>
              <w:left w:val="nil"/>
              <w:bottom w:val="single" w:color="000000" w:sz="8" w:space="0"/>
              <w:right w:val="single" w:color="000000" w:sz="8"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评分标准</w:t>
            </w:r>
          </w:p>
        </w:tc>
        <w:tc>
          <w:tcPr>
            <w:tcW w:w="941" w:type="dxa"/>
            <w:tcBorders>
              <w:top w:val="single" w:color="000000" w:sz="8" w:space="0"/>
              <w:left w:val="nil"/>
              <w:bottom w:val="single" w:color="000000" w:sz="8" w:space="0"/>
              <w:right w:val="single" w:color="000000" w:sz="8"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0" w:hRule="atLeast"/>
        </w:trPr>
        <w:tc>
          <w:tcPr>
            <w:tcW w:w="16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价格部分</w:t>
            </w:r>
          </w:p>
        </w:tc>
        <w:tc>
          <w:tcPr>
            <w:tcW w:w="16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woUserID w:val="1"/>
              </w:rPr>
            </w:pPr>
            <w:r>
              <w:rPr>
                <w:rFonts w:hint="eastAsia" w:ascii="宋体" w:hAnsi="宋体" w:eastAsia="宋体" w:cs="宋体"/>
                <w:i w:val="0"/>
                <w:iCs w:val="0"/>
                <w:color w:val="000000"/>
                <w:kern w:val="0"/>
                <w:sz w:val="28"/>
                <w:szCs w:val="28"/>
                <w:u w:val="none"/>
                <w:lang w:val="en-US" w:eastAsia="zh-CN" w:bidi="ar"/>
              </w:rPr>
              <w:t>0.</w:t>
            </w:r>
            <w:r>
              <w:rPr>
                <w:rFonts w:hint="default" w:ascii="宋体" w:hAnsi="宋体" w:eastAsia="宋体" w:cs="宋体"/>
                <w:i w:val="0"/>
                <w:iCs w:val="0"/>
                <w:color w:val="000000"/>
                <w:kern w:val="0"/>
                <w:sz w:val="28"/>
                <w:szCs w:val="28"/>
                <w:u w:val="none"/>
                <w:lang w:eastAsia="zh-CN" w:bidi="ar"/>
                <w:woUserID w:val="1"/>
              </w:rPr>
              <w:t>2</w:t>
            </w:r>
          </w:p>
        </w:tc>
        <w:tc>
          <w:tcPr>
            <w:tcW w:w="16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w:t>
            </w:r>
          </w:p>
        </w:tc>
        <w:tc>
          <w:tcPr>
            <w:tcW w:w="60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woUserID w:val="1"/>
              </w:rPr>
            </w:pPr>
            <w:r>
              <w:rPr>
                <w:rFonts w:hint="default" w:ascii="宋体" w:hAnsi="宋体" w:eastAsia="宋体" w:cs="宋体"/>
                <w:i w:val="0"/>
                <w:iCs w:val="0"/>
                <w:color w:val="000000"/>
                <w:sz w:val="28"/>
                <w:szCs w:val="28"/>
                <w:u w:val="none"/>
                <w:woUserID w:val="1"/>
              </w:rPr>
              <w:t>20</w:t>
            </w:r>
          </w:p>
        </w:tc>
        <w:tc>
          <w:tcPr>
            <w:tcW w:w="2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报价得分采用低价优先法计算，即满足磋商文件要求且最终价格最低的报价为评标基准价，其价格分为满分。其他供应商报价得分统一按照下列公式计算：报价得分：（评标基准价/最终报价）*分值权重*100</w:t>
            </w:r>
          </w:p>
        </w:tc>
        <w:tc>
          <w:tcPr>
            <w:tcW w:w="941"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60" w:hRule="atLeast"/>
        </w:trPr>
        <w:tc>
          <w:tcPr>
            <w:tcW w:w="1620" w:type="dxa"/>
            <w:vMerge w:val="restart"/>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技术部分</w:t>
            </w:r>
          </w:p>
        </w:tc>
        <w:tc>
          <w:tcPr>
            <w:tcW w:w="16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w:t>
            </w:r>
          </w:p>
        </w:tc>
        <w:tc>
          <w:tcPr>
            <w:tcW w:w="16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服务方案</w:t>
            </w:r>
          </w:p>
        </w:tc>
        <w:tc>
          <w:tcPr>
            <w:tcW w:w="60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2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磋商小组根据各供应商的服务方案以及日常工作照片进行综合评审。能满足本次监测需求得满分。每出现一处相对弱势项减1分。</w:t>
            </w:r>
          </w:p>
        </w:tc>
        <w:tc>
          <w:tcPr>
            <w:tcW w:w="94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00" w:hRule="atLeast"/>
        </w:trPr>
        <w:tc>
          <w:tcPr>
            <w:tcW w:w="1620" w:type="dxa"/>
            <w:vMerge w:val="continue"/>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w:t>
            </w:r>
          </w:p>
        </w:tc>
        <w:tc>
          <w:tcPr>
            <w:tcW w:w="16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标本鉴定</w:t>
            </w:r>
          </w:p>
        </w:tc>
        <w:tc>
          <w:tcPr>
            <w:tcW w:w="60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2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能够熟练鉴定鼠类、蚊类、蝇类、蟑螂标本。现场提供10种标本图片，每一种鉴定正确得2分。</w:t>
            </w:r>
          </w:p>
        </w:tc>
        <w:tc>
          <w:tcPr>
            <w:tcW w:w="94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40" w:hRule="atLeast"/>
        </w:trPr>
        <w:tc>
          <w:tcPr>
            <w:tcW w:w="1620" w:type="dxa"/>
            <w:vMerge w:val="continue"/>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w:t>
            </w:r>
          </w:p>
        </w:tc>
        <w:tc>
          <w:tcPr>
            <w:tcW w:w="16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现场操作</w:t>
            </w:r>
          </w:p>
        </w:tc>
        <w:tc>
          <w:tcPr>
            <w:tcW w:w="60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2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能够正确布放鼠夹、苍蝇笼、蟑螂纸、诱蚊灯。每种正确得10分。</w:t>
            </w:r>
          </w:p>
        </w:tc>
        <w:tc>
          <w:tcPr>
            <w:tcW w:w="94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20" w:hRule="atLeast"/>
        </w:trPr>
        <w:tc>
          <w:tcPr>
            <w:tcW w:w="162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人员配备</w:t>
            </w:r>
          </w:p>
        </w:tc>
        <w:tc>
          <w:tcPr>
            <w:tcW w:w="162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woUserID w:val="1"/>
              </w:rPr>
            </w:pPr>
            <w:r>
              <w:rPr>
                <w:rFonts w:hint="eastAsia" w:ascii="宋体" w:hAnsi="宋体" w:eastAsia="宋体" w:cs="宋体"/>
                <w:i w:val="0"/>
                <w:iCs w:val="0"/>
                <w:color w:val="000000"/>
                <w:kern w:val="0"/>
                <w:sz w:val="28"/>
                <w:szCs w:val="28"/>
                <w:u w:val="none"/>
                <w:lang w:val="en-US" w:eastAsia="zh-CN" w:bidi="ar"/>
              </w:rPr>
              <w:t>0.</w:t>
            </w:r>
            <w:r>
              <w:rPr>
                <w:rFonts w:hint="default" w:ascii="宋体" w:hAnsi="宋体" w:eastAsia="宋体" w:cs="宋体"/>
                <w:i w:val="0"/>
                <w:iCs w:val="0"/>
                <w:color w:val="000000"/>
                <w:kern w:val="0"/>
                <w:sz w:val="28"/>
                <w:szCs w:val="28"/>
                <w:u w:val="none"/>
                <w:lang w:eastAsia="zh-CN" w:bidi="ar"/>
                <w:woUserID w:val="1"/>
              </w:rPr>
              <w:t>2</w:t>
            </w:r>
          </w:p>
        </w:tc>
        <w:tc>
          <w:tcPr>
            <w:tcW w:w="162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服务人员</w:t>
            </w:r>
          </w:p>
        </w:tc>
        <w:tc>
          <w:tcPr>
            <w:tcW w:w="602"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woUserID w:val="1"/>
              </w:rPr>
            </w:pPr>
            <w:r>
              <w:rPr>
                <w:rFonts w:hint="default" w:ascii="宋体" w:hAnsi="宋体" w:eastAsia="宋体" w:cs="宋体"/>
                <w:i w:val="0"/>
                <w:iCs w:val="0"/>
                <w:color w:val="000000"/>
                <w:sz w:val="28"/>
                <w:szCs w:val="28"/>
                <w:u w:val="none"/>
                <w:woUserID w:val="1"/>
              </w:rPr>
              <w:t>20</w:t>
            </w:r>
          </w:p>
        </w:tc>
        <w:tc>
          <w:tcPr>
            <w:tcW w:w="2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磋商小组根据各供应商的所配人员进行综合评审。人员配备专业全面，人员资质经验较强，分工合理，能有效及时完成服务内容得</w:t>
            </w:r>
            <w:r>
              <w:rPr>
                <w:rFonts w:hint="default" w:ascii="宋体" w:hAnsi="宋体" w:eastAsia="宋体" w:cs="宋体"/>
                <w:i w:val="0"/>
                <w:iCs w:val="0"/>
                <w:color w:val="000000"/>
                <w:kern w:val="0"/>
                <w:sz w:val="28"/>
                <w:szCs w:val="28"/>
                <w:u w:val="none"/>
                <w:lang w:eastAsia="zh-CN" w:bidi="ar"/>
                <w:woUserID w:val="1"/>
              </w:rPr>
              <w:t>1</w:t>
            </w:r>
            <w:bookmarkStart w:id="1" w:name="_GoBack"/>
            <w:bookmarkEnd w:id="1"/>
            <w:r>
              <w:rPr>
                <w:rFonts w:hint="eastAsia" w:ascii="宋体" w:hAnsi="宋体" w:eastAsia="宋体" w:cs="宋体"/>
                <w:i w:val="0"/>
                <w:iCs w:val="0"/>
                <w:color w:val="000000"/>
                <w:kern w:val="0"/>
                <w:sz w:val="28"/>
                <w:szCs w:val="28"/>
                <w:u w:val="none"/>
                <w:lang w:val="en-US" w:eastAsia="zh-CN" w:bidi="ar"/>
              </w:rPr>
              <w:t>0分。</w:t>
            </w:r>
          </w:p>
        </w:tc>
        <w:tc>
          <w:tcPr>
            <w:tcW w:w="94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trPr>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2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60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bookmarkStart w:id="0" w:name="OLE_LINK1"/>
            <w:r>
              <w:rPr>
                <w:rFonts w:hint="eastAsia" w:ascii="宋体" w:hAnsi="宋体" w:eastAsia="宋体" w:cs="宋体"/>
                <w:i w:val="0"/>
                <w:iCs w:val="0"/>
                <w:color w:val="000000"/>
                <w:kern w:val="0"/>
                <w:sz w:val="28"/>
                <w:szCs w:val="28"/>
                <w:u w:val="none"/>
                <w:lang w:val="en-US" w:eastAsia="zh-CN" w:bidi="ar"/>
              </w:rPr>
              <w:t>供应商在监测过程中能及时与疾控工作人员进行对接、改进、及地理位置上的便捷得10分</w:t>
            </w:r>
            <w:bookmarkEnd w:id="0"/>
          </w:p>
        </w:tc>
        <w:tc>
          <w:tcPr>
            <w:tcW w:w="94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3240"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综合得分</w:t>
            </w:r>
          </w:p>
        </w:tc>
        <w:tc>
          <w:tcPr>
            <w:tcW w:w="2222"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2957"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94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5462" w:type="dxa"/>
            <w:gridSpan w:val="4"/>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排名</w:t>
            </w:r>
          </w:p>
        </w:tc>
        <w:tc>
          <w:tcPr>
            <w:tcW w:w="2957"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94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36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备注：竞标单位至少携带业务技术人员一名。</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heme="minorEastAsia" w:hAnsiTheme="minorEastAsia" w:cstheme="minorEastAsia"/>
          <w:b w:val="0"/>
          <w:bCs w:val="0"/>
          <w:sz w:val="28"/>
          <w:szCs w:val="28"/>
          <w:lang w:val="en-US" w:eastAsia="zh-CN"/>
        </w:rPr>
      </w:pPr>
    </w:p>
    <w:p>
      <w:pPr>
        <w:numPr>
          <w:ilvl w:val="0"/>
          <w:numId w:val="1"/>
        </w:num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sz w:val="28"/>
          <w:szCs w:val="28"/>
          <w:lang w:val="en-US" w:eastAsia="zh-CN"/>
        </w:rPr>
        <w:t>评选程序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1、成立谈判小组。参加本次谈判包括专家组成员：徐放、陈欢、</w:t>
      </w:r>
      <w:r>
        <w:rPr>
          <w:rFonts w:hint="default" w:asciiTheme="minorEastAsia" w:hAnsiTheme="minorEastAsia" w:cstheme="minorEastAsia"/>
          <w:b w:val="0"/>
          <w:bCs w:val="0"/>
          <w:sz w:val="28"/>
          <w:szCs w:val="28"/>
          <w:lang w:eastAsia="zh-CN"/>
          <w:woUserID w:val="1"/>
        </w:rPr>
        <w:t>马春娩、</w:t>
      </w:r>
      <w:r>
        <w:rPr>
          <w:rFonts w:hint="default" w:asciiTheme="minorEastAsia" w:hAnsiTheme="minorEastAsia" w:cstheme="minorEastAsia"/>
          <w:b w:val="0"/>
          <w:bCs w:val="0"/>
          <w:sz w:val="28"/>
          <w:szCs w:val="28"/>
          <w:lang w:eastAsia="zh-CN"/>
          <w:woUserID w:val="1"/>
        </w:rPr>
        <w:t>郭聪聪</w:t>
      </w:r>
      <w:r>
        <w:rPr>
          <w:rFonts w:hint="eastAsia" w:asciiTheme="minorEastAsia" w:hAnsiTheme="minorEastAsia" w:cstheme="minorEastAsia"/>
          <w:b w:val="0"/>
          <w:bCs w:val="0"/>
          <w:sz w:val="28"/>
          <w:szCs w:val="28"/>
          <w:lang w:val="en-US" w:eastAsia="zh-CN"/>
        </w:rPr>
        <w:t>、张丽丽、</w:t>
      </w:r>
      <w:r>
        <w:rPr>
          <w:rFonts w:hint="default" w:asciiTheme="minorEastAsia" w:hAnsiTheme="minorEastAsia" w:cstheme="minorEastAsia"/>
          <w:b w:val="0"/>
          <w:bCs w:val="0"/>
          <w:sz w:val="28"/>
          <w:szCs w:val="28"/>
          <w:lang w:eastAsia="zh-CN"/>
          <w:woUserID w:val="1"/>
        </w:rPr>
        <w:t>张瑞、梁嘉显、吴怜恒、叶博闻</w:t>
      </w:r>
      <w:r>
        <w:rPr>
          <w:rFonts w:hint="eastAsia" w:asciiTheme="minorEastAsia" w:hAnsiTheme="minorEastAsia" w:cstheme="minorEastAsia"/>
          <w:b w:val="0"/>
          <w:bCs w:val="0"/>
          <w:sz w:val="28"/>
          <w:szCs w:val="28"/>
          <w:lang w:val="en-US" w:eastAsia="zh-CN"/>
        </w:rPr>
        <w:t>；病媒公司代表及熟悉业务操作的工作人员至少一名。确保专家组人数不少于谈判小组总人数2/3。</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2、资格性检查。依据法律法规和竞争性谈判文件规定，对参加竞争性谈判的病媒公司资格进行审查。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3、技术性检查。参加竞争性谈判的病媒公司从报价部分以及技术层面轮流进行展示，专家组根据其服务方案、人员配备的专业性及是否能够满足本次监测需求等方面进行评分。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b/>
          <w:bCs/>
          <w:sz w:val="28"/>
          <w:szCs w:val="28"/>
          <w:lang w:val="en-US" w:eastAsia="zh-CN"/>
        </w:rPr>
      </w:pPr>
      <w:r>
        <w:rPr>
          <w:rFonts w:hint="eastAsia" w:asciiTheme="minorEastAsia" w:hAnsiTheme="minorEastAsia" w:cstheme="minorEastAsia"/>
          <w:b w:val="0"/>
          <w:bCs w:val="0"/>
          <w:sz w:val="28"/>
          <w:szCs w:val="28"/>
          <w:lang w:val="en-US" w:eastAsia="zh-CN"/>
        </w:rPr>
        <w:t>4、操作性检查。本模块分为标本鉴定及现场操作两部分。由专家组现场提供</w:t>
      </w:r>
      <w:r>
        <w:rPr>
          <w:rFonts w:hint="default" w:asciiTheme="minorEastAsia" w:hAnsiTheme="minorEastAsia" w:cstheme="minorEastAsia"/>
          <w:b w:val="0"/>
          <w:bCs w:val="0"/>
          <w:sz w:val="28"/>
          <w:szCs w:val="28"/>
          <w:lang w:eastAsia="zh-CN"/>
          <w:woUserID w:val="1"/>
        </w:rPr>
        <w:t>20</w:t>
      </w:r>
      <w:r>
        <w:rPr>
          <w:rFonts w:hint="eastAsia" w:asciiTheme="minorEastAsia" w:hAnsiTheme="minorEastAsia" w:cstheme="minorEastAsia"/>
          <w:b w:val="0"/>
          <w:bCs w:val="0"/>
          <w:sz w:val="28"/>
          <w:szCs w:val="28"/>
          <w:lang w:val="en-US" w:eastAsia="zh-CN"/>
        </w:rPr>
        <w:t>种标本图片，能够熟练鉴定。能够正确布放鼠夹、苍蝇笼、蟑螂纸、诱蚊灯，由现场专家提问问题，业务人员能够正确回答并操作。</w:t>
      </w:r>
    </w:p>
    <w:p>
      <w:pPr>
        <w:numPr>
          <w:ilvl w:val="0"/>
          <w:numId w:val="1"/>
        </w:numPr>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合同签订</w:t>
      </w:r>
    </w:p>
    <w:p>
      <w:pPr>
        <w:numPr>
          <w:ilvl w:val="0"/>
          <w:numId w:val="0"/>
        </w:numPr>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val="0"/>
          <w:bCs w:val="0"/>
          <w:sz w:val="28"/>
          <w:szCs w:val="28"/>
          <w:lang w:val="en-US" w:eastAsia="zh-CN"/>
        </w:rPr>
        <w:t>本次磋商最终以综合平均得分高者为本次合同签订对象。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汉仪君黑KW">
    <w:panose1 w:val="00020600040101010101"/>
    <w:charset w:val="86"/>
    <w:family w:val="auto"/>
    <w:pitch w:val="default"/>
    <w:sig w:usb0="A00002BF" w:usb1="0A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25619"/>
    <w:multiLevelType w:val="singleLevel"/>
    <w:tmpl w:val="BE925619"/>
    <w:lvl w:ilvl="0" w:tentative="0">
      <w:start w:val="1"/>
      <w:numFmt w:val="decimal"/>
      <w:suff w:val="nothing"/>
      <w:lvlText w:val="（%1）"/>
      <w:lvlJc w:val="left"/>
    </w:lvl>
  </w:abstractNum>
  <w:abstractNum w:abstractNumId="1">
    <w:nsid w:val="D104EF6D"/>
    <w:multiLevelType w:val="singleLevel"/>
    <w:tmpl w:val="D104EF6D"/>
    <w:lvl w:ilvl="0" w:tentative="0">
      <w:start w:val="1"/>
      <w:numFmt w:val="chineseCounting"/>
      <w:suff w:val="nothing"/>
      <w:lvlText w:val="%1、"/>
      <w:lvlJc w:val="left"/>
      <w:rPr>
        <w:rFonts w:hint="eastAsia"/>
      </w:rPr>
    </w:lvl>
  </w:abstractNum>
  <w:abstractNum w:abstractNumId="2">
    <w:nsid w:val="69E2DB63"/>
    <w:multiLevelType w:val="singleLevel"/>
    <w:tmpl w:val="69E2DB63"/>
    <w:lvl w:ilvl="0" w:tentative="0">
      <w:start w:val="1"/>
      <w:numFmt w:val="decimal"/>
      <w:suff w:val="nothing"/>
      <w:lvlText w:val="%1、"/>
      <w:lvlJc w:val="left"/>
      <w:pPr>
        <w:ind w:left="562" w:leftChars="0" w:firstLine="0" w:firstLineChars="0"/>
      </w:pPr>
    </w:lvl>
  </w:abstractNum>
  <w:abstractNum w:abstractNumId="3">
    <w:nsid w:val="7172B335"/>
    <w:multiLevelType w:val="singleLevel"/>
    <w:tmpl w:val="7172B335"/>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4C0C7693"/>
    <w:rsid w:val="00F216A7"/>
    <w:rsid w:val="02F13AA3"/>
    <w:rsid w:val="08931509"/>
    <w:rsid w:val="0B0C55A3"/>
    <w:rsid w:val="13A670CA"/>
    <w:rsid w:val="13DF2350"/>
    <w:rsid w:val="21260977"/>
    <w:rsid w:val="21A8001C"/>
    <w:rsid w:val="282D4273"/>
    <w:rsid w:val="299B7DC6"/>
    <w:rsid w:val="2AAB6AC6"/>
    <w:rsid w:val="2D652BC5"/>
    <w:rsid w:val="30D55774"/>
    <w:rsid w:val="32FA363E"/>
    <w:rsid w:val="3519719F"/>
    <w:rsid w:val="39505B25"/>
    <w:rsid w:val="3EBD06E7"/>
    <w:rsid w:val="3F8A051C"/>
    <w:rsid w:val="47173C65"/>
    <w:rsid w:val="472D60AA"/>
    <w:rsid w:val="47A5419A"/>
    <w:rsid w:val="49A26223"/>
    <w:rsid w:val="4C0C7693"/>
    <w:rsid w:val="645A30B9"/>
    <w:rsid w:val="68CA518F"/>
    <w:rsid w:val="68CB65F9"/>
    <w:rsid w:val="737A6705"/>
    <w:rsid w:val="7ADD9A5E"/>
    <w:rsid w:val="7D27687A"/>
    <w:rsid w:val="F6DBC54C"/>
    <w:rsid w:val="FB5EFBBA"/>
    <w:rsid w:val="FDBD91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2021-01-27T17:23:00Z</dcterms:created>
  <dc:creator>年度宝。哒哒。</dc:creator>
  <cp:lastModifiedBy>年度宝。哒哒。</cp:lastModifiedBy>
  <dcterms:modified xsi:type="dcterms:W3CDTF">2025-03-05T11:23:22Z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A6E688C6479248CF951CDA26DCBC5335_13</vt:lpwstr>
  </property>
</Properties>
</file>