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E246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0"/>
          <w:szCs w:val="40"/>
          <w:u w:val="none"/>
        </w:rPr>
      </w:pPr>
      <w:r>
        <w:rPr>
          <w:rFonts w:hint="eastAsia" w:ascii="方正小标宋简体" w:hAnsi="方正小标宋简体" w:eastAsia="方正小标宋简体" w:cs="方正小标宋简体"/>
          <w:b w:val="0"/>
          <w:bCs w:val="0"/>
          <w:sz w:val="40"/>
          <w:szCs w:val="40"/>
          <w:u w:val="none"/>
          <w:lang w:val="en-US" w:eastAsia="zh-CN"/>
        </w:rPr>
        <w:t>吉安县城区公共外环境病媒生物防制服务项目</w:t>
      </w:r>
      <w:r>
        <w:rPr>
          <w:rFonts w:hint="eastAsia" w:ascii="方正小标宋简体" w:hAnsi="方正小标宋简体" w:eastAsia="方正小标宋简体" w:cs="方正小标宋简体"/>
          <w:b w:val="0"/>
          <w:bCs w:val="0"/>
          <w:sz w:val="40"/>
          <w:szCs w:val="40"/>
          <w:u w:val="none"/>
        </w:rPr>
        <w:t>邀请公</w:t>
      </w:r>
      <w:r>
        <w:rPr>
          <w:rFonts w:hint="eastAsia" w:ascii="方正小标宋简体" w:hAnsi="方正小标宋简体" w:eastAsia="方正小标宋简体" w:cs="方正小标宋简体"/>
          <w:b w:val="0"/>
          <w:bCs w:val="0"/>
          <w:sz w:val="40"/>
          <w:szCs w:val="40"/>
          <w:u w:val="none"/>
          <w:lang w:val="en-US" w:eastAsia="zh-CN"/>
        </w:rPr>
        <w:t xml:space="preserve">   </w:t>
      </w:r>
      <w:r>
        <w:rPr>
          <w:rFonts w:hint="eastAsia" w:ascii="方正小标宋简体" w:hAnsi="方正小标宋简体" w:eastAsia="方正小标宋简体" w:cs="方正小标宋简体"/>
          <w:b w:val="0"/>
          <w:bCs w:val="0"/>
          <w:sz w:val="40"/>
          <w:szCs w:val="40"/>
          <w:u w:val="none"/>
        </w:rPr>
        <w:t>告</w:t>
      </w:r>
    </w:p>
    <w:p w14:paraId="7DB7707F">
      <w:pPr>
        <w:keepNext w:val="0"/>
        <w:keepLines w:val="0"/>
        <w:pageBreakBefore w:val="0"/>
        <w:widowControl w:val="0"/>
        <w:kinsoku/>
        <w:wordWrap/>
        <w:overflowPunct/>
        <w:topLinePunct w:val="0"/>
        <w:autoSpaceDE w:val="0"/>
        <w:autoSpaceDN w:val="0"/>
        <w:bidi w:val="0"/>
        <w:adjustRightInd/>
        <w:snapToGrid/>
        <w:spacing w:line="560" w:lineRule="exact"/>
        <w:ind w:left="0" w:firstLine="482" w:firstLineChars="200"/>
        <w:textAlignment w:val="auto"/>
        <w:rPr>
          <w:rFonts w:hint="eastAsia" w:ascii="宋体" w:hAnsi="宋体" w:eastAsia="宋体" w:cs="宋体"/>
          <w:b/>
          <w:bCs/>
          <w:sz w:val="24"/>
          <w:szCs w:val="24"/>
          <w:u w:val="single"/>
          <w:lang w:val="en-US" w:eastAsia="zh-CN"/>
        </w:rPr>
      </w:pPr>
    </w:p>
    <w:p w14:paraId="310417E1">
      <w:pPr>
        <w:keepNext w:val="0"/>
        <w:keepLines w:val="0"/>
        <w:pageBreakBefore w:val="0"/>
        <w:widowControl w:val="0"/>
        <w:wordWrap/>
        <w:overflowPunct/>
        <w:topLinePunct w:val="0"/>
        <w:autoSpaceDE w:val="0"/>
        <w:autoSpaceDN w:val="0"/>
        <w:bidi w:val="0"/>
        <w:spacing w:line="500" w:lineRule="exact"/>
        <w:ind w:left="0" w:firstLine="643" w:firstLineChars="200"/>
        <w:jc w:val="both"/>
        <w:rPr>
          <w:rFonts w:hint="eastAsia" w:ascii="仿宋" w:hAnsi="仿宋" w:eastAsia="仿宋" w:cs="仿宋"/>
          <w:spacing w:val="-2"/>
          <w:sz w:val="32"/>
          <w:szCs w:val="32"/>
          <w:lang w:eastAsia="zh-CN"/>
        </w:rPr>
      </w:pPr>
      <w:r>
        <w:rPr>
          <w:rFonts w:hint="eastAsia" w:ascii="仿宋" w:hAnsi="仿宋" w:eastAsia="仿宋" w:cs="仿宋"/>
          <w:b/>
          <w:bCs/>
          <w:sz w:val="32"/>
          <w:szCs w:val="32"/>
          <w:u w:val="single"/>
          <w:lang w:val="en-US" w:eastAsia="zh-CN"/>
        </w:rPr>
        <w:t>病媒生物防制服务项目</w:t>
      </w:r>
      <w:r>
        <w:rPr>
          <w:rFonts w:hint="eastAsia" w:ascii="仿宋" w:hAnsi="仿宋" w:eastAsia="仿宋" w:cs="仿宋"/>
          <w:spacing w:val="-4"/>
          <w:sz w:val="32"/>
          <w:szCs w:val="32"/>
          <w:lang w:eastAsia="zh-CN"/>
        </w:rPr>
        <w:t>，现就该项目进行竞价，</w:t>
      </w:r>
      <w:r>
        <w:rPr>
          <w:rFonts w:hint="eastAsia" w:ascii="仿宋" w:hAnsi="仿宋" w:eastAsia="仿宋" w:cs="仿宋"/>
          <w:spacing w:val="-5"/>
          <w:sz w:val="32"/>
          <w:szCs w:val="32"/>
          <w:lang w:eastAsia="zh-CN"/>
        </w:rPr>
        <w:t>欢迎符合条件的</w:t>
      </w:r>
      <w:r>
        <w:rPr>
          <w:rFonts w:hint="eastAsia" w:ascii="仿宋" w:hAnsi="仿宋" w:eastAsia="仿宋" w:cs="仿宋"/>
          <w:spacing w:val="-2"/>
          <w:sz w:val="32"/>
          <w:szCs w:val="32"/>
          <w:lang w:eastAsia="zh-CN"/>
        </w:rPr>
        <w:t>服务商前来参加报价。</w:t>
      </w:r>
    </w:p>
    <w:p w14:paraId="6E308BF2">
      <w:pPr>
        <w:keepNext w:val="0"/>
        <w:keepLines w:val="0"/>
        <w:pageBreakBefore w:val="0"/>
        <w:numPr>
          <w:ilvl w:val="0"/>
          <w:numId w:val="1"/>
        </w:numPr>
        <w:kinsoku w:val="0"/>
        <w:wordWrap/>
        <w:overflowPunct/>
        <w:topLinePunct w:val="0"/>
        <w:autoSpaceDE w:val="0"/>
        <w:autoSpaceDN w:val="0"/>
        <w:bidi w:val="0"/>
        <w:adjustRightInd w:val="0"/>
        <w:snapToGrid w:val="0"/>
        <w:spacing w:line="500" w:lineRule="exact"/>
        <w:ind w:left="0" w:firstLine="624" w:firstLineChars="200"/>
        <w:jc w:val="both"/>
        <w:textAlignment w:val="baseline"/>
        <w:rPr>
          <w:rFonts w:hint="eastAsia" w:ascii="黑体" w:hAnsi="黑体" w:eastAsia="黑体" w:cs="黑体"/>
          <w:b w:val="0"/>
          <w:bCs w:val="0"/>
          <w:spacing w:val="-4"/>
          <w:sz w:val="32"/>
          <w:szCs w:val="32"/>
        </w:rPr>
      </w:pPr>
      <w:r>
        <w:rPr>
          <w:rFonts w:hint="eastAsia" w:ascii="黑体" w:hAnsi="黑体" w:eastAsia="黑体" w:cs="黑体"/>
          <w:b w:val="0"/>
          <w:bCs w:val="0"/>
          <w:spacing w:val="-4"/>
          <w:sz w:val="32"/>
          <w:szCs w:val="32"/>
        </w:rPr>
        <w:t>项目基本信息</w:t>
      </w:r>
    </w:p>
    <w:p w14:paraId="2ADEA85F">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after="0" w:afterLines="0" w:line="500" w:lineRule="exact"/>
        <w:ind w:left="0" w:right="0" w:rightChars="0" w:firstLine="632" w:firstLineChars="200"/>
        <w:jc w:val="both"/>
        <w:textAlignment w:val="baseline"/>
        <w:rPr>
          <w:rFonts w:hint="eastAsia" w:ascii="仿宋" w:hAnsi="仿宋" w:eastAsia="仿宋" w:cs="仿宋"/>
          <w:b w:val="0"/>
          <w:bCs w:val="0"/>
          <w:sz w:val="32"/>
          <w:szCs w:val="32"/>
          <w:lang w:eastAsia="zh-CN"/>
        </w:rPr>
      </w:pPr>
      <w:r>
        <w:rPr>
          <w:rFonts w:hint="eastAsia" w:ascii="仿宋" w:hAnsi="仿宋" w:eastAsia="仿宋" w:cs="仿宋"/>
          <w:spacing w:val="-2"/>
          <w:sz w:val="32"/>
          <w:szCs w:val="32"/>
          <w:lang w:val="en-US" w:eastAsia="zh-CN"/>
        </w:rPr>
        <w:t>1、</w:t>
      </w:r>
      <w:r>
        <w:rPr>
          <w:rFonts w:hint="eastAsia" w:ascii="仿宋" w:hAnsi="仿宋" w:eastAsia="仿宋" w:cs="仿宋"/>
          <w:spacing w:val="-2"/>
          <w:sz w:val="32"/>
          <w:szCs w:val="32"/>
          <w:lang w:eastAsia="zh-CN"/>
        </w:rPr>
        <w:t>项目名称：</w:t>
      </w:r>
      <w:r>
        <w:rPr>
          <w:rFonts w:hint="eastAsia" w:ascii="仿宋" w:hAnsi="仿宋" w:eastAsia="仿宋" w:cs="仿宋"/>
          <w:b w:val="0"/>
          <w:bCs w:val="0"/>
          <w:sz w:val="32"/>
          <w:szCs w:val="32"/>
          <w:u w:val="single"/>
          <w:lang w:val="en-US" w:eastAsia="zh-CN"/>
        </w:rPr>
        <w:t>病媒生物防制服务项目</w:t>
      </w:r>
    </w:p>
    <w:p w14:paraId="0EE58132">
      <w:pPr>
        <w:pStyle w:val="5"/>
        <w:keepNext w:val="0"/>
        <w:keepLines w:val="0"/>
        <w:pageBreakBefore w:val="0"/>
        <w:widowControl/>
        <w:wordWrap/>
        <w:overflowPunct/>
        <w:topLinePunct w:val="0"/>
        <w:bidi w:val="0"/>
        <w:spacing w:after="0" w:afterLines="0" w:line="500" w:lineRule="exact"/>
        <w:ind w:left="0"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2、期望总价：</w:t>
      </w:r>
      <w:r>
        <w:rPr>
          <w:rFonts w:hint="eastAsia" w:ascii="仿宋" w:hAnsi="仿宋" w:eastAsia="仿宋" w:cs="仿宋"/>
          <w:color w:val="auto"/>
          <w:sz w:val="32"/>
          <w:szCs w:val="32"/>
          <w:lang w:val="en-US" w:eastAsia="zh-CN"/>
        </w:rPr>
        <w:t>35万</w:t>
      </w:r>
      <w:r>
        <w:rPr>
          <w:rFonts w:hint="eastAsia" w:ascii="仿宋" w:hAnsi="仿宋" w:eastAsia="仿宋" w:cs="仿宋"/>
          <w:color w:val="auto"/>
          <w:sz w:val="32"/>
          <w:szCs w:val="32"/>
          <w:lang w:eastAsia="zh-CN"/>
        </w:rPr>
        <w:t>元</w:t>
      </w:r>
    </w:p>
    <w:p w14:paraId="45F1575C">
      <w:pPr>
        <w:pStyle w:val="5"/>
        <w:keepNext w:val="0"/>
        <w:keepLines w:val="0"/>
        <w:pageBreakBefore w:val="0"/>
        <w:widowControl/>
        <w:wordWrap/>
        <w:overflowPunct/>
        <w:topLinePunct w:val="0"/>
        <w:bidi w:val="0"/>
        <w:spacing w:after="0" w:afterLines="0" w:line="500" w:lineRule="exact"/>
        <w:ind w:left="0"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3、采购方式：竞价</w:t>
      </w:r>
    </w:p>
    <w:p w14:paraId="72123602">
      <w:pPr>
        <w:keepNext w:val="0"/>
        <w:keepLines w:val="0"/>
        <w:pageBreakBefore w:val="0"/>
        <w:wordWrap/>
        <w:overflowPunct/>
        <w:topLinePunct w:val="0"/>
        <w:bidi w:val="0"/>
        <w:spacing w:line="500" w:lineRule="exact"/>
        <w:ind w:left="0" w:firstLine="624" w:firstLineChars="200"/>
        <w:jc w:val="both"/>
        <w:rPr>
          <w:rFonts w:hint="eastAsia" w:ascii="仿宋" w:hAnsi="仿宋" w:eastAsia="仿宋" w:cs="仿宋"/>
          <w:b/>
          <w:bCs/>
          <w:spacing w:val="-4"/>
          <w:sz w:val="32"/>
          <w:szCs w:val="32"/>
          <w:lang w:eastAsia="zh-CN"/>
        </w:rPr>
      </w:pPr>
      <w:r>
        <w:rPr>
          <w:rFonts w:hint="eastAsia" w:ascii="黑体" w:hAnsi="黑体" w:eastAsia="黑体" w:cs="黑体"/>
          <w:b w:val="0"/>
          <w:bCs w:val="0"/>
          <w:spacing w:val="-4"/>
          <w:sz w:val="32"/>
          <w:szCs w:val="32"/>
          <w:lang w:eastAsia="zh-CN"/>
        </w:rPr>
        <w:t>二、项目采购需求</w:t>
      </w:r>
    </w:p>
    <w:p w14:paraId="57D477C0">
      <w:pPr>
        <w:pageBreakBefore w:val="0"/>
        <w:widowControl w:val="0"/>
        <w:kinsoku/>
        <w:wordWrap/>
        <w:overflowPunct/>
        <w:topLinePunct w:val="0"/>
        <w:autoSpaceDE/>
        <w:autoSpaceDN/>
        <w:bidi w:val="0"/>
        <w:adjustRightInd/>
        <w:snapToGrid/>
        <w:spacing w:line="500" w:lineRule="exact"/>
        <w:ind w:firstLine="643" w:firstLineChars="200"/>
        <w:jc w:val="both"/>
        <w:textAlignment w:val="auto"/>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基本情况</w:t>
      </w:r>
      <w:r>
        <w:rPr>
          <w:rFonts w:hint="eastAsia" w:ascii="仿宋" w:hAnsi="仿宋" w:eastAsia="仿宋" w:cs="仿宋"/>
          <w:b/>
          <w:color w:val="000000"/>
          <w:sz w:val="32"/>
          <w:szCs w:val="32"/>
          <w:lang w:eastAsia="zh-CN"/>
        </w:rPr>
        <w:t>内容</w:t>
      </w:r>
    </w:p>
    <w:p w14:paraId="7E5DAB4F">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rPr>
        <w:t>1</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000000"/>
          <w:sz w:val="32"/>
          <w:szCs w:val="32"/>
        </w:rPr>
        <w:t>基本情况：</w:t>
      </w:r>
    </w:p>
    <w:p w14:paraId="1BB280FB">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吉安县</w:t>
      </w:r>
      <w:r>
        <w:rPr>
          <w:rFonts w:hint="eastAsia" w:ascii="仿宋" w:hAnsi="仿宋" w:eastAsia="仿宋" w:cs="仿宋"/>
          <w:color w:val="000000"/>
          <w:kern w:val="0"/>
          <w:sz w:val="32"/>
          <w:szCs w:val="32"/>
        </w:rPr>
        <w:t>公共外环境开展病媒生物</w:t>
      </w:r>
      <w:r>
        <w:rPr>
          <w:rFonts w:hint="eastAsia" w:ascii="仿宋" w:hAnsi="仿宋" w:eastAsia="仿宋" w:cs="仿宋"/>
          <w:color w:val="000000"/>
          <w:kern w:val="0"/>
          <w:sz w:val="32"/>
          <w:szCs w:val="32"/>
          <w:lang w:eastAsia="zh-CN"/>
        </w:rPr>
        <w:t>防制</w:t>
      </w:r>
      <w:r>
        <w:rPr>
          <w:rFonts w:hint="eastAsia" w:ascii="仿宋" w:hAnsi="仿宋" w:eastAsia="仿宋" w:cs="仿宋"/>
          <w:color w:val="000000"/>
          <w:kern w:val="0"/>
          <w:sz w:val="32"/>
          <w:szCs w:val="32"/>
        </w:rPr>
        <w:t>服务。</w:t>
      </w:r>
    </w:p>
    <w:p w14:paraId="2F82DC4E">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目标：</w:t>
      </w:r>
    </w:p>
    <w:p w14:paraId="59A0183F">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拟对范围</w:t>
      </w:r>
      <w:r>
        <w:rPr>
          <w:rFonts w:hint="eastAsia" w:ascii="仿宋" w:hAnsi="仿宋" w:eastAsia="仿宋" w:cs="仿宋"/>
          <w:color w:val="000000"/>
          <w:sz w:val="32"/>
          <w:szCs w:val="32"/>
          <w:lang w:val="en-US" w:eastAsia="zh-CN"/>
        </w:rPr>
        <w:t>内</w:t>
      </w:r>
      <w:r>
        <w:rPr>
          <w:rFonts w:hint="eastAsia" w:ascii="仿宋" w:hAnsi="仿宋" w:eastAsia="仿宋" w:cs="仿宋"/>
          <w:color w:val="000000"/>
          <w:sz w:val="32"/>
          <w:szCs w:val="32"/>
          <w:lang w:eastAsia="zh-CN"/>
        </w:rPr>
        <w:t>的病媒生物进行防制工作，通过专业病媒</w:t>
      </w:r>
      <w:r>
        <w:rPr>
          <w:rFonts w:hint="eastAsia" w:ascii="仿宋" w:hAnsi="仿宋" w:eastAsia="仿宋" w:cs="仿宋"/>
          <w:color w:val="000000"/>
          <w:sz w:val="32"/>
          <w:szCs w:val="32"/>
          <w:lang w:val="en-US" w:eastAsia="zh-CN"/>
        </w:rPr>
        <w:t>生物</w:t>
      </w:r>
      <w:r>
        <w:rPr>
          <w:rFonts w:hint="eastAsia" w:ascii="仿宋" w:hAnsi="仿宋" w:eastAsia="仿宋" w:cs="仿宋"/>
          <w:color w:val="000000"/>
          <w:sz w:val="32"/>
          <w:szCs w:val="32"/>
          <w:lang w:eastAsia="zh-CN"/>
        </w:rPr>
        <w:t>防制服务的开展，切实降低鼠、蟑、蚊、蝇等病媒生物密度，预防病媒生物传播疾病，保障群众身体健康和群众满意度；</w:t>
      </w:r>
      <w:r>
        <w:rPr>
          <w:rFonts w:hint="eastAsia" w:ascii="仿宋" w:hAnsi="仿宋" w:eastAsia="仿宋" w:cs="仿宋"/>
          <w:color w:val="000000"/>
          <w:sz w:val="32"/>
          <w:szCs w:val="32"/>
        </w:rPr>
        <w:t>确保</w:t>
      </w:r>
      <w:r>
        <w:rPr>
          <w:rFonts w:hint="eastAsia" w:ascii="仿宋" w:hAnsi="仿宋" w:eastAsia="仿宋" w:cs="仿宋"/>
          <w:color w:val="000000"/>
          <w:sz w:val="32"/>
          <w:szCs w:val="32"/>
          <w:lang w:eastAsia="zh-CN"/>
        </w:rPr>
        <w:t>公共外环境</w:t>
      </w:r>
      <w:r>
        <w:rPr>
          <w:rFonts w:hint="eastAsia" w:ascii="仿宋" w:hAnsi="仿宋" w:eastAsia="仿宋" w:cs="仿宋"/>
          <w:color w:val="000000"/>
          <w:sz w:val="32"/>
          <w:szCs w:val="32"/>
        </w:rPr>
        <w:t>范围内的病媒生物密度标准达到国家标准</w:t>
      </w:r>
      <w:r>
        <w:rPr>
          <w:rFonts w:hint="eastAsia" w:ascii="仿宋" w:hAnsi="仿宋" w:eastAsia="仿宋" w:cs="仿宋"/>
          <w:color w:val="000000"/>
          <w:sz w:val="32"/>
          <w:szCs w:val="32"/>
          <w:lang w:val="en-US" w:eastAsia="zh-CN"/>
        </w:rPr>
        <w:t>C级或以上</w:t>
      </w:r>
      <w:r>
        <w:rPr>
          <w:rFonts w:hint="eastAsia" w:ascii="仿宋" w:hAnsi="仿宋" w:eastAsia="仿宋" w:cs="仿宋"/>
          <w:color w:val="000000"/>
          <w:sz w:val="32"/>
          <w:szCs w:val="32"/>
        </w:rPr>
        <w:t>。</w:t>
      </w:r>
    </w:p>
    <w:p w14:paraId="0718A05B">
      <w:pPr>
        <w:pageBreakBefore w:val="0"/>
        <w:kinsoku/>
        <w:wordWrap/>
        <w:overflowPunct/>
        <w:topLinePunct w:val="0"/>
        <w:autoSpaceDE/>
        <w:autoSpaceDN/>
        <w:bidi w:val="0"/>
        <w:spacing w:line="50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lang w:val="en-US" w:eastAsia="zh-CN"/>
        </w:rPr>
        <w:t>二</w:t>
      </w:r>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rPr>
        <w:t>项目实施计划：</w:t>
      </w:r>
    </w:p>
    <w:p w14:paraId="3EE68EAC">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
          <w:color w:val="000000"/>
          <w:sz w:val="32"/>
          <w:szCs w:val="32"/>
        </w:rPr>
      </w:pPr>
      <w:r>
        <w:rPr>
          <w:rFonts w:hint="eastAsia" w:ascii="仿宋" w:hAnsi="仿宋" w:eastAsia="仿宋" w:cs="仿宋"/>
          <w:b w:val="0"/>
          <w:bCs/>
          <w:color w:val="000000"/>
          <w:sz w:val="32"/>
          <w:szCs w:val="32"/>
          <w:lang w:val="en-US" w:eastAsia="zh-CN"/>
        </w:rPr>
        <w:t>1、</w:t>
      </w:r>
      <w:r>
        <w:rPr>
          <w:rFonts w:hint="eastAsia" w:ascii="仿宋" w:hAnsi="仿宋" w:eastAsia="仿宋" w:cs="仿宋"/>
          <w:b w:val="0"/>
          <w:bCs/>
          <w:color w:val="000000"/>
          <w:sz w:val="32"/>
          <w:szCs w:val="32"/>
        </w:rPr>
        <w:t>本</w:t>
      </w:r>
      <w:r>
        <w:rPr>
          <w:rFonts w:hint="eastAsia" w:ascii="仿宋" w:hAnsi="仿宋" w:eastAsia="仿宋" w:cs="仿宋"/>
          <w:b w:val="0"/>
          <w:bCs/>
          <w:color w:val="000000"/>
          <w:sz w:val="32"/>
          <w:szCs w:val="32"/>
          <w:lang w:val="en-US" w:eastAsia="zh-CN"/>
        </w:rPr>
        <w:t>地</w:t>
      </w:r>
      <w:r>
        <w:rPr>
          <w:rFonts w:hint="eastAsia" w:ascii="仿宋" w:hAnsi="仿宋" w:eastAsia="仿宋" w:cs="仿宋"/>
          <w:b w:val="0"/>
          <w:bCs/>
          <w:color w:val="000000"/>
          <w:sz w:val="32"/>
          <w:szCs w:val="32"/>
        </w:rPr>
        <w:t>和孳生地调查：</w:t>
      </w:r>
    </w:p>
    <w:p w14:paraId="68B7AB10">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为科学有效制订病媒生物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工作计划，切合实际有效展开相关综合防</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工作，在开始病媒生物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服务消杀工作之前</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必须先开展以上范围病媒生物密度和孳生地调查，在消杀过程中自评防</w:t>
      </w:r>
      <w:r>
        <w:rPr>
          <w:rFonts w:hint="eastAsia" w:ascii="仿宋" w:hAnsi="仿宋" w:eastAsia="仿宋" w:cs="仿宋"/>
          <w:color w:val="000000"/>
          <w:sz w:val="32"/>
          <w:szCs w:val="32"/>
          <w:lang w:eastAsia="zh-CN"/>
        </w:rPr>
        <w:t>制</w:t>
      </w:r>
      <w:r>
        <w:rPr>
          <w:rFonts w:hint="eastAsia" w:ascii="仿宋" w:hAnsi="仿宋" w:eastAsia="仿宋" w:cs="仿宋"/>
          <w:color w:val="000000"/>
          <w:sz w:val="32"/>
          <w:szCs w:val="32"/>
        </w:rPr>
        <w:t>效果，并依据评估情况进行及时纠偏，确保综合</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效果。同时形成病媒生物</w:t>
      </w:r>
      <w:r>
        <w:rPr>
          <w:rFonts w:hint="eastAsia" w:ascii="仿宋" w:hAnsi="仿宋" w:eastAsia="仿宋" w:cs="仿宋"/>
          <w:color w:val="000000"/>
          <w:sz w:val="32"/>
          <w:szCs w:val="32"/>
          <w:lang w:eastAsia="zh-CN"/>
        </w:rPr>
        <w:t>防制</w:t>
      </w:r>
      <w:r>
        <w:rPr>
          <w:rFonts w:hint="eastAsia" w:ascii="仿宋" w:hAnsi="仿宋" w:eastAsia="仿宋" w:cs="仿宋"/>
          <w:color w:val="000000"/>
          <w:sz w:val="32"/>
          <w:szCs w:val="32"/>
        </w:rPr>
        <w:t>台账资料，收集归档。</w:t>
      </w:r>
    </w:p>
    <w:p w14:paraId="251C7302">
      <w:pPr>
        <w:pageBreakBefore w:val="0"/>
        <w:kinsoku/>
        <w:wordWrap/>
        <w:overflowPunct/>
        <w:topLinePunct w:val="0"/>
        <w:autoSpaceDE/>
        <w:autoSpaceDN/>
        <w:bidi w:val="0"/>
        <w:spacing w:line="500" w:lineRule="exact"/>
        <w:ind w:firstLine="640" w:firstLineChars="200"/>
        <w:jc w:val="both"/>
        <w:textAlignment w:val="auto"/>
        <w:rPr>
          <w:rFonts w:hint="eastAsia" w:ascii="仿宋" w:hAnsi="仿宋" w:eastAsia="仿宋" w:cs="仿宋"/>
          <w:b w:val="0"/>
          <w:bCs/>
          <w:color w:val="000000"/>
          <w:sz w:val="32"/>
          <w:szCs w:val="32"/>
        </w:rPr>
      </w:pP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sz w:val="32"/>
          <w:szCs w:val="32"/>
        </w:rPr>
        <w:t>消杀范围</w:t>
      </w:r>
      <w:r>
        <w:rPr>
          <w:rFonts w:hint="eastAsia" w:ascii="仿宋" w:hAnsi="仿宋" w:eastAsia="仿宋" w:cs="仿宋"/>
          <w:b w:val="0"/>
          <w:bCs/>
          <w:color w:val="000000"/>
          <w:sz w:val="32"/>
          <w:szCs w:val="32"/>
          <w:lang w:eastAsia="zh-CN"/>
        </w:rPr>
        <w:t>、</w:t>
      </w:r>
      <w:r>
        <w:rPr>
          <w:rFonts w:hint="eastAsia" w:ascii="仿宋" w:hAnsi="仿宋" w:eastAsia="仿宋" w:cs="仿宋"/>
          <w:b w:val="0"/>
          <w:bCs/>
          <w:color w:val="FF0000"/>
          <w:sz w:val="32"/>
          <w:szCs w:val="32"/>
          <w:lang w:val="en-US" w:eastAsia="zh-CN"/>
        </w:rPr>
        <w:t>规模</w:t>
      </w:r>
      <w:r>
        <w:rPr>
          <w:rFonts w:hint="eastAsia" w:ascii="仿宋" w:hAnsi="仿宋" w:eastAsia="仿宋" w:cs="仿宋"/>
          <w:b w:val="0"/>
          <w:bCs/>
          <w:color w:val="000000"/>
          <w:sz w:val="32"/>
          <w:szCs w:val="32"/>
          <w:lang w:val="en-US" w:eastAsia="zh-CN"/>
        </w:rPr>
        <w:t>及对象</w:t>
      </w:r>
      <w:r>
        <w:rPr>
          <w:rFonts w:hint="eastAsia" w:ascii="仿宋" w:hAnsi="仿宋" w:eastAsia="仿宋" w:cs="仿宋"/>
          <w:b w:val="0"/>
          <w:bCs/>
          <w:color w:val="000000"/>
          <w:sz w:val="32"/>
          <w:szCs w:val="32"/>
        </w:rPr>
        <w:t>：</w:t>
      </w:r>
    </w:p>
    <w:p w14:paraId="52F8ADFB">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_GB2312" w:hAnsi="仿宋_GB2312" w:eastAsia="仿宋_GB2312" w:cs="仿宋_GB2312"/>
          <w:color w:val="auto"/>
          <w:w w:val="95"/>
          <w:sz w:val="32"/>
          <w:szCs w:val="32"/>
          <w:lang w:eastAsia="zh-CN"/>
        </w:rPr>
      </w:pPr>
      <w:r>
        <w:rPr>
          <w:rFonts w:hint="eastAsia" w:ascii="仿宋" w:hAnsi="仿宋" w:eastAsia="仿宋" w:cs="仿宋"/>
          <w:color w:val="000000"/>
          <w:kern w:val="0"/>
          <w:sz w:val="32"/>
          <w:szCs w:val="32"/>
          <w:lang w:val="en-US" w:eastAsia="zh-CN"/>
        </w:rPr>
        <w:t>消杀范围：</w:t>
      </w:r>
      <w:r>
        <w:rPr>
          <w:rFonts w:hint="eastAsia" w:ascii="仿宋_GB2312" w:hAnsi="仿宋_GB2312" w:eastAsia="仿宋_GB2312" w:cs="仿宋_GB2312"/>
          <w:color w:val="auto"/>
          <w:w w:val="95"/>
          <w:sz w:val="32"/>
          <w:szCs w:val="32"/>
        </w:rPr>
        <w:t>城区范围内的</w:t>
      </w:r>
      <w:r>
        <w:rPr>
          <w:rFonts w:hint="eastAsia" w:ascii="仿宋_GB2312" w:hAnsi="仿宋_GB2312" w:eastAsia="仿宋_GB2312" w:cs="仿宋_GB2312"/>
          <w:color w:val="auto"/>
          <w:w w:val="95"/>
          <w:sz w:val="32"/>
          <w:szCs w:val="32"/>
          <w:lang w:eastAsia="zh-CN"/>
        </w:rPr>
        <w:t>各级道路（含水体堤岸道路）、下水道、城中村、城乡结合部、背街小巷、公园、广场、汽车站、农贸市场、公共绿化带、蚊虫孳生水体、苍蝇孳生地、无物业管理居民小区以及县卫健委指定的其他公共外环境。</w:t>
      </w:r>
    </w:p>
    <w:p w14:paraId="23B8A8B7">
      <w:pPr>
        <w:keepNext w:val="0"/>
        <w:keepLines w:val="0"/>
        <w:pageBreakBefore w:val="0"/>
        <w:widowControl w:val="0"/>
        <w:kinsoku/>
        <w:wordWrap/>
        <w:overflowPunct/>
        <w:topLinePunct w:val="0"/>
        <w:autoSpaceDE/>
        <w:autoSpaceDN/>
        <w:bidi w:val="0"/>
        <w:adjustRightInd/>
        <w:snapToGrid/>
        <w:spacing w:line="500" w:lineRule="exact"/>
        <w:ind w:right="0" w:firstLine="608" w:firstLineChars="200"/>
        <w:jc w:val="both"/>
        <w:textAlignment w:val="auto"/>
        <w:rPr>
          <w:rFonts w:hint="default" w:ascii="仿宋_GB2312" w:hAnsi="仿宋_GB2312" w:eastAsia="仿宋_GB2312" w:cs="仿宋_GB2312"/>
          <w:color w:val="auto"/>
          <w:w w:val="95"/>
          <w:sz w:val="32"/>
          <w:szCs w:val="32"/>
          <w:lang w:val="en-US" w:eastAsia="zh-CN"/>
        </w:rPr>
      </w:pPr>
      <w:r>
        <w:rPr>
          <w:rFonts w:hint="eastAsia" w:ascii="仿宋_GB2312" w:hAnsi="仿宋_GB2312" w:eastAsia="仿宋_GB2312" w:cs="仿宋_GB2312"/>
          <w:color w:val="FF0000"/>
          <w:w w:val="95"/>
          <w:sz w:val="32"/>
          <w:szCs w:val="32"/>
          <w:lang w:val="en-US" w:eastAsia="zh-CN"/>
        </w:rPr>
        <w:t>消杀规模：约13平方公里</w:t>
      </w:r>
      <w:r>
        <w:rPr>
          <w:rFonts w:hint="eastAsia" w:ascii="仿宋_GB2312" w:hAnsi="仿宋_GB2312" w:eastAsia="仿宋_GB2312" w:cs="仿宋_GB2312"/>
          <w:color w:val="auto"/>
          <w:w w:val="95"/>
          <w:sz w:val="32"/>
          <w:szCs w:val="32"/>
          <w:lang w:val="en-US" w:eastAsia="zh-CN"/>
        </w:rPr>
        <w:t>。</w:t>
      </w:r>
    </w:p>
    <w:p w14:paraId="5D4CB781">
      <w:pPr>
        <w:keepNext w:val="0"/>
        <w:keepLines w:val="0"/>
        <w:pageBreakBefore w:val="0"/>
        <w:widowControl w:val="0"/>
        <w:kinsoku/>
        <w:wordWrap/>
        <w:overflowPunct/>
        <w:topLinePunct w:val="0"/>
        <w:autoSpaceDE/>
        <w:autoSpaceDN/>
        <w:bidi w:val="0"/>
        <w:adjustRightInd/>
        <w:snapToGrid/>
        <w:spacing w:line="500" w:lineRule="exact"/>
        <w:ind w:right="0"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kern w:val="0"/>
          <w:sz w:val="32"/>
          <w:szCs w:val="32"/>
          <w:lang w:val="en-US" w:eastAsia="zh-CN"/>
        </w:rPr>
        <w:t>消杀对象为</w:t>
      </w:r>
      <w:r>
        <w:rPr>
          <w:rFonts w:hint="eastAsia" w:ascii="仿宋" w:hAnsi="仿宋" w:eastAsia="仿宋" w:cs="仿宋"/>
          <w:b w:val="0"/>
          <w:bCs w:val="0"/>
          <w:color w:val="000000"/>
          <w:sz w:val="32"/>
          <w:szCs w:val="32"/>
          <w:lang w:val="en-US" w:eastAsia="zh-CN"/>
        </w:rPr>
        <w:t>灭鼠、蟑螂、蚊、蝇消杀（蚊子、苍蝇）。</w:t>
      </w:r>
    </w:p>
    <w:p w14:paraId="24BF1503">
      <w:pPr>
        <w:pageBreakBefore w:val="0"/>
        <w:kinsoku/>
        <w:wordWrap/>
        <w:overflowPunct/>
        <w:topLinePunct w:val="0"/>
        <w:autoSpaceDE/>
        <w:autoSpaceDN/>
        <w:bidi w:val="0"/>
        <w:spacing w:line="500" w:lineRule="exact"/>
        <w:ind w:firstLine="643" w:firstLineChars="200"/>
        <w:jc w:val="both"/>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val="en-US" w:eastAsia="zh-CN"/>
        </w:rPr>
        <w:t>（三）</w:t>
      </w:r>
      <w:r>
        <w:rPr>
          <w:rFonts w:hint="eastAsia" w:ascii="仿宋" w:hAnsi="仿宋" w:eastAsia="仿宋" w:cs="仿宋"/>
          <w:b/>
          <w:color w:val="000000"/>
          <w:sz w:val="32"/>
          <w:szCs w:val="32"/>
        </w:rPr>
        <w:t>病媒生物</w:t>
      </w:r>
      <w:r>
        <w:rPr>
          <w:rFonts w:hint="eastAsia" w:ascii="仿宋" w:hAnsi="仿宋" w:eastAsia="仿宋" w:cs="仿宋"/>
          <w:b/>
          <w:color w:val="000000"/>
          <w:sz w:val="32"/>
          <w:szCs w:val="32"/>
          <w:lang w:eastAsia="zh-CN"/>
        </w:rPr>
        <w:t>防制</w:t>
      </w:r>
      <w:r>
        <w:rPr>
          <w:rFonts w:hint="eastAsia" w:ascii="仿宋" w:hAnsi="仿宋" w:eastAsia="仿宋" w:cs="仿宋"/>
          <w:b/>
          <w:color w:val="000000"/>
          <w:sz w:val="32"/>
          <w:szCs w:val="32"/>
        </w:rPr>
        <w:t>服务要求及质量标准：</w:t>
      </w:r>
    </w:p>
    <w:p w14:paraId="37C48FCA">
      <w:pPr>
        <w:pStyle w:val="2"/>
        <w:pageBreakBefore w:val="0"/>
        <w:kinsoku/>
        <w:wordWrap/>
        <w:overflowPunct/>
        <w:topLinePunct w:val="0"/>
        <w:autoSpaceDE/>
        <w:autoSpaceDN/>
        <w:bidi w:val="0"/>
        <w:spacing w:before="0" w:after="0" w:line="5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1、病媒生物防制质量标准：</w:t>
      </w:r>
    </w:p>
    <w:p w14:paraId="13994F9E">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监测标准：《中华人民共和国国家标（GB/T23796-2009）病媒生物密度监测方法蝇类》、《中华人民共和国国家标准（GB/T23797）-2009》病媒生物密度监测方法蚊虫》、《中华人民共和国国家标准（GB/T23798-2009）病媒生物密度监测方法鼠类》、《中华人民共和国国家标准（GB/T23795-2009）病媒生物密度监测方法蜚蠊》。</w:t>
      </w:r>
    </w:p>
    <w:p w14:paraId="45DEC83A">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b w:val="0"/>
          <w:bCs w:val="0"/>
          <w:color w:val="000000"/>
          <w:sz w:val="32"/>
          <w:szCs w:val="32"/>
          <w:lang w:val="en-US" w:eastAsia="zh-CN"/>
        </w:rPr>
        <w:t>控制水平标准：《中华人民共和国国家标准（GB/T27773-2011）病媒生物密度控制水平蜚蠊》、《中华人民共和国国家标准（GB/T27772-2011）病媒生物密度控制水平蝇类》、《中华人民共和国国家标准（GB/T27771-2011）病媒生物密度控制水平蚊虫》、《中华人民共和国国家标准（GB/T27770-2011）病媒生物密度控制水平鼠类》。</w:t>
      </w:r>
    </w:p>
    <w:p w14:paraId="4DA742A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2、一般灭鼠要求</w:t>
      </w:r>
    </w:p>
    <w:p w14:paraId="156D7E5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每月根据工作计划表投药，第一次因老鼠密度较高，投药量应加大，投药时内外部所有老鼠经常出入的地方，应重点投放，数量视具体面积和鼠害的程度而定，投放的诱饵根据范围制定相应的编号，以便于对所投放药的工作情况有所反馈；每月施药须进行彻底性的灭鼠、杀虫服务。</w:t>
      </w:r>
    </w:p>
    <w:p w14:paraId="1137103F">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为了更好地对老鼠加以监控，消杀公司必须定期派出质检员进行检查，须检查诱饵是否存在，或者更换诱饵以及诱饵的位置是否合理。</w:t>
      </w:r>
    </w:p>
    <w:p w14:paraId="071FEF78">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3、灭鼠方法：</w:t>
      </w:r>
    </w:p>
    <w:p w14:paraId="4E643421">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要摸清鼠种情况，明确重点灭鼠方向。鼠情调查可采用粉迹、鼠夹法和投放诱饵法，也可根据实际情况安放一定数量布夹式布粉，要做好相应的编号，注意观察并做好统计。</w:t>
      </w:r>
    </w:p>
    <w:p w14:paraId="2948306C">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首次调查结果作为基础鼠密度，同时对夹到的鼠尸要进行分类，根据不同鼠种采用不同的毒饵型灭鼠。</w:t>
      </w:r>
    </w:p>
    <w:p w14:paraId="45156C81">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根据基础调查的结果，要实施全方位灭鼠，方法可采用毒饵控制法、物理控制法，药剂：立克命追踪粉、大隆、敌鼠隆（Brodifacoum）或同类产品。</w:t>
      </w:r>
    </w:p>
    <w:p w14:paraId="4978F48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器具：诱饵、盒子、管子、纸盘、粘鼠板方式（药物投放须不显眼的地方或立体放药）。</w:t>
      </w:r>
    </w:p>
    <w:p w14:paraId="727B2CC7">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4、灭鼠标准：</w:t>
      </w:r>
    </w:p>
    <w:p w14:paraId="5111F57E">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达到国家规定的标准，如发现有老鼠必须8小时内来处理。</w:t>
      </w:r>
    </w:p>
    <w:p w14:paraId="5D17EAE4">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重点楼层/区域灭鼠要求：</w:t>
      </w:r>
    </w:p>
    <w:p w14:paraId="3C9E797E">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外围：沿建筑物外墙所有老鼠出入的地方放置老鼠诱饵盒，并进行药物喷洒以控制外围的虫害。</w:t>
      </w:r>
    </w:p>
    <w:p w14:paraId="4945A1C9">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公共区域可采用毒鼠盒投放于墙壁四周，距离间隔约20~30米。</w:t>
      </w:r>
    </w:p>
    <w:p w14:paraId="5F196689">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对容易产生虫害的地方要定期进行药物喷洒。</w:t>
      </w:r>
    </w:p>
    <w:p w14:paraId="0BE5876E">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对室内外公共区域等进行立体投药。</w:t>
      </w:r>
    </w:p>
    <w:p w14:paraId="15068903">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5、爬虫控制要求</w:t>
      </w:r>
    </w:p>
    <w:p w14:paraId="6F44ADC3">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消杀公司根据计划对公共区域等范围进行害虫防制工作，如因密度高，须及时增加防制次数。</w:t>
      </w:r>
    </w:p>
    <w:p w14:paraId="08A57CF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药物喷洒场所为垃圾堆放处，下水道有蟑螂活动频繁的地方。</w:t>
      </w:r>
    </w:p>
    <w:p w14:paraId="742213B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对一些不能喷洒的场所须放置小颗粒药物。</w:t>
      </w:r>
    </w:p>
    <w:p w14:paraId="74FA3FB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6、灭蟑螂方法：</w:t>
      </w:r>
    </w:p>
    <w:p w14:paraId="5C1703C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定期采用灭蟑胶饵、菊酯类的药物进行滞留性缝隙喷洒，下水道可采取快速热烟雾方法快速杀灭蟑螂。</w:t>
      </w:r>
    </w:p>
    <w:p w14:paraId="4CCA78E5">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采用药剂：灭蟑胶饵、溴氰菊酯Deltamethrin Ec或同类菊酯类产品。</w:t>
      </w:r>
    </w:p>
    <w:p w14:paraId="77BEA10F">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采用设备：电力喷雾器，用扇形喷嘴，浓缩电动喷雾器，超微粒喷洒。</w:t>
      </w:r>
    </w:p>
    <w:p w14:paraId="63DC7D5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灭蟑螂标准：达到国家规定的标准，如发现蟑螂滋生8小时内马上进行处理。</w:t>
      </w:r>
    </w:p>
    <w:p w14:paraId="4E56A708">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7、飞虫控制要求</w:t>
      </w:r>
    </w:p>
    <w:p w14:paraId="4F2759F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根据工作计划为主（视天气的具体情况而定），可使用药物喷洒进行消杀。</w:t>
      </w:r>
    </w:p>
    <w:p w14:paraId="6324E1C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消杀公司应视具体情况加强灭蚊灭蝇的防制工作。</w:t>
      </w:r>
    </w:p>
    <w:p w14:paraId="71F4C67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采用药剂：溴氰菊酯Deltamethrin Ec或同类菊酯类产品。</w:t>
      </w:r>
    </w:p>
    <w:p w14:paraId="2A364734">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采用设备：超微粒喷洒、扇形喷嘴、常量喷雾器（外环境），粘板。</w:t>
      </w:r>
    </w:p>
    <w:p w14:paraId="6C8D6EA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8、控制蚊蝇滋生源</w:t>
      </w:r>
    </w:p>
    <w:p w14:paraId="34273AD8">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虫害服务专业人员应负责在该区域进行固定滋生地处理和药物喷洒，投放缓释剂、等方法杀虫，其中包括四周垃圾堆放处等。</w:t>
      </w:r>
    </w:p>
    <w:p w14:paraId="12E7DBE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除害工作可根据气候、气温、虫种的变化而定，每月二次，必要时再突击喷洒，以采购人要求为准。</w:t>
      </w:r>
    </w:p>
    <w:p w14:paraId="2F3E4FFC">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9、灭蚊标准:达到国家规定的标准，如果发现有蚊子8小时内应马上处理。</w:t>
      </w:r>
    </w:p>
    <w:p w14:paraId="2F64552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10、灭蝇标准：达到国家规定的标准，如果发现有苍蝇8小时内马上处理。</w:t>
      </w:r>
    </w:p>
    <w:p w14:paraId="5E47EEBD">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11、灭虫害标准</w:t>
      </w:r>
    </w:p>
    <w:p w14:paraId="707965F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首先对树木，草坪，木质结构进行药物喷洒。达到国家规定的标准，如果发现虫害马上处理。</w:t>
      </w:r>
    </w:p>
    <w:p w14:paraId="2FC50315">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12、虫害控制药物，器具，设备配置</w:t>
      </w:r>
    </w:p>
    <w:p w14:paraId="6F3811CA">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非化学：选择机械、物理、电子和生物学方法预防虫害发生和蔓延诱饵和管子、盒子、纸盘、粘鼠板、粉迹、超微粒喷洒、常量喷雾器（外环境用）、机械喷雾器。</w:t>
      </w:r>
    </w:p>
    <w:p w14:paraId="620EB44D">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13、选择对人和环境安全的杀虫剂控制虫害密度</w:t>
      </w:r>
    </w:p>
    <w:p w14:paraId="01C88D1B">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药物使用</w:t>
      </w:r>
    </w:p>
    <w:tbl>
      <w:tblPr>
        <w:tblStyle w:val="7"/>
        <w:tblpPr w:leftFromText="180" w:rightFromText="180" w:vertAnchor="text" w:horzAnchor="margin" w:tblpXSpec="center" w:tblpY="435"/>
        <w:tblOverlap w:val="never"/>
        <w:tblW w:w="9632" w:type="dxa"/>
        <w:jc w:val="center"/>
        <w:tblLayout w:type="fixed"/>
        <w:tblCellMar>
          <w:top w:w="0" w:type="dxa"/>
          <w:left w:w="108" w:type="dxa"/>
          <w:bottom w:w="0" w:type="dxa"/>
          <w:right w:w="108" w:type="dxa"/>
        </w:tblCellMar>
      </w:tblPr>
      <w:tblGrid>
        <w:gridCol w:w="511"/>
        <w:gridCol w:w="2355"/>
        <w:gridCol w:w="1425"/>
        <w:gridCol w:w="1215"/>
        <w:gridCol w:w="1605"/>
        <w:gridCol w:w="2521"/>
      </w:tblGrid>
      <w:tr w14:paraId="65621EB4">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3587EF2">
            <w:pPr>
              <w:pageBreakBefore w:val="0"/>
              <w:overflowPunct/>
              <w:topLinePunct w:val="0"/>
              <w:bidi w:val="0"/>
              <w:spacing w:line="500" w:lineRule="exact"/>
              <w:jc w:val="center"/>
              <w:rPr>
                <w:color w:val="auto"/>
              </w:rPr>
            </w:pPr>
            <w:r>
              <w:rPr>
                <w:rFonts w:ascii="宋体" w:hAnsi="宋体" w:cs="宋体"/>
                <w:b/>
                <w:bCs/>
                <w:color w:val="auto"/>
                <w:sz w:val="24"/>
              </w:rPr>
              <w:t>序号</w:t>
            </w:r>
          </w:p>
        </w:tc>
        <w:tc>
          <w:tcPr>
            <w:tcW w:w="235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43AC09AD">
            <w:pPr>
              <w:pageBreakBefore w:val="0"/>
              <w:overflowPunct/>
              <w:topLinePunct w:val="0"/>
              <w:bidi w:val="0"/>
              <w:spacing w:line="500" w:lineRule="exact"/>
              <w:jc w:val="center"/>
              <w:rPr>
                <w:rFonts w:hint="eastAsia" w:eastAsia="宋体"/>
                <w:color w:val="auto"/>
                <w:lang w:eastAsia="zh-CN"/>
              </w:rPr>
            </w:pPr>
            <w:r>
              <w:rPr>
                <w:rFonts w:ascii="宋体" w:hAnsi="宋体" w:cs="宋体"/>
                <w:b/>
                <w:bCs/>
                <w:color w:val="auto"/>
                <w:sz w:val="24"/>
              </w:rPr>
              <w:t>药品</w:t>
            </w:r>
            <w:r>
              <w:rPr>
                <w:rFonts w:hint="eastAsia" w:ascii="宋体" w:hAnsi="宋体" w:eastAsia="宋体" w:cs="宋体"/>
                <w:b/>
                <w:bCs/>
                <w:color w:val="auto"/>
                <w:sz w:val="24"/>
                <w:lang w:eastAsia="zh-CN"/>
              </w:rPr>
              <w:t>名称</w:t>
            </w:r>
          </w:p>
        </w:tc>
        <w:tc>
          <w:tcPr>
            <w:tcW w:w="142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2480894C">
            <w:pPr>
              <w:pageBreakBefore w:val="0"/>
              <w:overflowPunct/>
              <w:topLinePunct w:val="0"/>
              <w:bidi w:val="0"/>
              <w:spacing w:line="500" w:lineRule="exact"/>
              <w:jc w:val="center"/>
              <w:rPr>
                <w:rFonts w:hint="eastAsia" w:eastAsia="宋体"/>
                <w:color w:val="auto"/>
                <w:lang w:eastAsia="zh-CN"/>
              </w:rPr>
            </w:pPr>
            <w:r>
              <w:rPr>
                <w:rFonts w:hint="eastAsia" w:ascii="宋体" w:hAnsi="宋体" w:eastAsia="宋体" w:cs="宋体"/>
                <w:b/>
                <w:bCs/>
                <w:color w:val="auto"/>
                <w:spacing w:val="-20"/>
                <w:sz w:val="24"/>
                <w:lang w:eastAsia="zh-CN"/>
              </w:rPr>
              <w:t>药品有效成分</w:t>
            </w:r>
          </w:p>
        </w:tc>
        <w:tc>
          <w:tcPr>
            <w:tcW w:w="121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CC62491">
            <w:pPr>
              <w:pageBreakBefore w:val="0"/>
              <w:overflowPunct/>
              <w:topLinePunct w:val="0"/>
              <w:bidi w:val="0"/>
              <w:spacing w:line="500" w:lineRule="exact"/>
              <w:jc w:val="both"/>
              <w:rPr>
                <w:color w:val="auto"/>
              </w:rPr>
            </w:pPr>
            <w:r>
              <w:rPr>
                <w:rFonts w:ascii="宋体" w:hAnsi="宋体" w:cs="宋体"/>
                <w:b/>
                <w:bCs/>
                <w:color w:val="auto"/>
                <w:sz w:val="24"/>
              </w:rPr>
              <w:t>灭治对象</w:t>
            </w:r>
          </w:p>
        </w:tc>
        <w:tc>
          <w:tcPr>
            <w:tcW w:w="1605"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03763CF5">
            <w:pPr>
              <w:pageBreakBefore w:val="0"/>
              <w:overflowPunct/>
              <w:topLinePunct w:val="0"/>
              <w:bidi w:val="0"/>
              <w:spacing w:line="500" w:lineRule="exact"/>
              <w:jc w:val="center"/>
              <w:rPr>
                <w:color w:val="auto"/>
              </w:rPr>
            </w:pPr>
            <w:r>
              <w:rPr>
                <w:rFonts w:ascii="宋体" w:hAnsi="宋体" w:cs="宋体"/>
                <w:b/>
                <w:bCs/>
                <w:color w:val="auto"/>
                <w:sz w:val="24"/>
              </w:rPr>
              <w:t>使用方法</w:t>
            </w:r>
          </w:p>
        </w:tc>
        <w:tc>
          <w:tcPr>
            <w:tcW w:w="2521" w:type="dxa"/>
            <w:tcBorders>
              <w:top w:val="single" w:color="auto" w:sz="4" w:space="0"/>
              <w:left w:val="single" w:color="auto" w:sz="4" w:space="0"/>
              <w:bottom w:val="single" w:color="auto" w:sz="4" w:space="0"/>
              <w:right w:val="single" w:color="auto" w:sz="4" w:space="0"/>
            </w:tcBorders>
            <w:shd w:val="clear" w:color="FFFFFF" w:fill="D9D9D9"/>
            <w:noWrap w:val="0"/>
            <w:vAlign w:val="center"/>
          </w:tcPr>
          <w:p w14:paraId="74382604">
            <w:pPr>
              <w:pageBreakBefore w:val="0"/>
              <w:overflowPunct/>
              <w:topLinePunct w:val="0"/>
              <w:bidi w:val="0"/>
              <w:spacing w:line="500" w:lineRule="exact"/>
              <w:jc w:val="center"/>
              <w:rPr>
                <w:rFonts w:ascii="宋体" w:hAnsi="宋体" w:cs="宋体"/>
                <w:b/>
                <w:bCs/>
                <w:color w:val="auto"/>
                <w:sz w:val="24"/>
              </w:rPr>
            </w:pPr>
            <w:r>
              <w:rPr>
                <w:rFonts w:hint="eastAsia" w:ascii="宋体" w:hAnsi="宋体" w:eastAsia="宋体" w:cs="宋体"/>
                <w:b/>
                <w:bCs/>
                <w:color w:val="auto"/>
                <w:sz w:val="24"/>
                <w:lang w:eastAsia="zh-CN"/>
              </w:rPr>
              <w:t>生产厂家要求</w:t>
            </w:r>
          </w:p>
        </w:tc>
      </w:tr>
      <w:tr w14:paraId="2FEF353B">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4570E9D0">
            <w:pPr>
              <w:pageBreakBefore w:val="0"/>
              <w:overflowPunct/>
              <w:topLinePunct w:val="0"/>
              <w:bidi w:val="0"/>
              <w:spacing w:line="500" w:lineRule="exact"/>
              <w:jc w:val="center"/>
              <w:rPr>
                <w:color w:val="auto"/>
              </w:rPr>
            </w:pPr>
            <w:r>
              <w:rPr>
                <w:rFonts w:ascii="宋体" w:hAnsi="宋体" w:cs="宋体"/>
                <w:b/>
                <w:bCs/>
                <w:color w:val="auto"/>
                <w:sz w:val="24"/>
              </w:rPr>
              <w:t>1</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20263EFC">
            <w:pPr>
              <w:pageBreakBefore w:val="0"/>
              <w:overflowPunct/>
              <w:topLinePunct w:val="0"/>
              <w:bidi w:val="0"/>
              <w:spacing w:line="500" w:lineRule="exact"/>
              <w:jc w:val="center"/>
              <w:rPr>
                <w:color w:val="auto"/>
              </w:rPr>
            </w:pPr>
            <w:r>
              <w:rPr>
                <w:rFonts w:hint="eastAsia" w:ascii="宋体" w:hAnsi="宋体" w:cs="宋体"/>
                <w:color w:val="auto"/>
                <w:sz w:val="24"/>
                <w:lang w:val="en-US" w:eastAsia="zh-CN"/>
              </w:rPr>
              <w:t>溴敌隆</w:t>
            </w:r>
            <w:r>
              <w:rPr>
                <w:rFonts w:hint="eastAsia" w:ascii="宋体" w:hAnsi="宋体" w:cs="宋体"/>
                <w:color w:val="auto"/>
                <w:sz w:val="24"/>
                <w:lang w:eastAsia="zh-CN"/>
              </w:rPr>
              <w:t>毒饵</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BF1B5D">
            <w:pPr>
              <w:spacing w:before="72" w:beforeLines="30" w:after="72" w:afterLines="30" w:line="440" w:lineRule="atLeast"/>
              <w:jc w:val="center"/>
              <w:rPr>
                <w:rFonts w:ascii="Times New Roman" w:hAnsi="Times New Roman" w:eastAsia="Times New Roman" w:cs="Times New Roman"/>
                <w:color w:val="auto"/>
                <w:sz w:val="24"/>
                <w:szCs w:val="24"/>
                <w:lang w:val="en-US" w:eastAsia="en-US" w:bidi="ar-SA"/>
              </w:rPr>
            </w:pPr>
            <w:r>
              <w:rPr>
                <w:rFonts w:ascii="宋体" w:hAnsi="宋体" w:cs="宋体"/>
                <w:color w:val="auto"/>
                <w:sz w:val="24"/>
              </w:rPr>
              <w:t>≥0.005%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B2D716E">
            <w:pPr>
              <w:pageBreakBefore w:val="0"/>
              <w:overflowPunct/>
              <w:topLinePunct w:val="0"/>
              <w:bidi w:val="0"/>
              <w:spacing w:line="500" w:lineRule="exact"/>
              <w:jc w:val="center"/>
              <w:rPr>
                <w:color w:val="auto"/>
              </w:rPr>
            </w:pPr>
            <w:r>
              <w:rPr>
                <w:rFonts w:ascii="宋体" w:hAnsi="宋体" w:cs="宋体"/>
                <w:color w:val="auto"/>
                <w:sz w:val="24"/>
              </w:rPr>
              <w:t>鼠</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C1C7063">
            <w:pPr>
              <w:pageBreakBefore w:val="0"/>
              <w:overflowPunct/>
              <w:topLinePunct w:val="0"/>
              <w:bidi w:val="0"/>
              <w:spacing w:line="500" w:lineRule="exact"/>
              <w:jc w:val="center"/>
              <w:rPr>
                <w:rFonts w:hint="eastAsia"/>
                <w:color w:val="auto"/>
                <w:lang w:eastAsia="zh-CN"/>
              </w:rPr>
            </w:pPr>
            <w:r>
              <w:rPr>
                <w:rFonts w:hint="eastAsia" w:ascii="宋体" w:hAnsi="宋体" w:cs="宋体"/>
                <w:color w:val="auto"/>
                <w:sz w:val="24"/>
                <w:lang w:eastAsia="zh-CN"/>
              </w:rPr>
              <w:t>投饵</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A17D0B">
            <w:pPr>
              <w:pageBreakBefore w:val="0"/>
              <w:overflowPunct/>
              <w:topLinePunct w:val="0"/>
              <w:bidi w:val="0"/>
              <w:spacing w:line="500" w:lineRule="exact"/>
              <w:jc w:val="both"/>
              <w:rPr>
                <w:rFonts w:hint="eastAsia" w:ascii="Times New Roman" w:hAnsi="Times New Roman" w:eastAsia="Times New Roman" w:cs="Times New Roman"/>
                <w:color w:val="auto"/>
                <w:sz w:val="24"/>
                <w:szCs w:val="24"/>
                <w:lang w:val="en-US" w:eastAsia="zh-CN" w:bidi="ar-SA"/>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r w14:paraId="2102B9ED">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3018296B">
            <w:pPr>
              <w:pageBreakBefore w:val="0"/>
              <w:overflowPunct/>
              <w:topLinePunct w:val="0"/>
              <w:bidi w:val="0"/>
              <w:spacing w:line="500" w:lineRule="exact"/>
              <w:jc w:val="center"/>
              <w:rPr>
                <w:rFonts w:ascii="宋体" w:hAnsi="宋体" w:cs="宋体"/>
                <w:b/>
                <w:bCs/>
                <w:color w:val="auto"/>
                <w:sz w:val="24"/>
              </w:rPr>
            </w:pPr>
            <w:r>
              <w:rPr>
                <w:rFonts w:ascii="宋体" w:hAnsi="宋体" w:cs="宋体"/>
                <w:b/>
                <w:bCs/>
                <w:color w:val="auto"/>
                <w:sz w:val="24"/>
              </w:rPr>
              <w:t>2</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3AF775FA">
            <w:pPr>
              <w:pageBreakBefore w:val="0"/>
              <w:overflowPunct/>
              <w:topLinePunct w:val="0"/>
              <w:bidi w:val="0"/>
              <w:spacing w:line="500" w:lineRule="exact"/>
              <w:jc w:val="center"/>
              <w:rPr>
                <w:color w:val="auto"/>
                <w:lang w:eastAsia="zh-CN"/>
              </w:rPr>
            </w:pPr>
            <w:r>
              <w:rPr>
                <w:rFonts w:hint="eastAsia"/>
                <w:color w:val="auto"/>
                <w:lang w:eastAsia="zh-CN"/>
              </w:rPr>
              <w:t>烯丙</w:t>
            </w:r>
            <w:r>
              <w:rPr>
                <w:rFonts w:hint="eastAsia"/>
                <w:color w:val="auto"/>
                <w:lang w:val="en-US" w:eastAsia="zh-CN"/>
              </w:rPr>
              <w:t>·氯菊酯</w:t>
            </w:r>
            <w:r>
              <w:rPr>
                <w:rFonts w:hint="eastAsia"/>
                <w:color w:val="auto"/>
                <w:lang w:eastAsia="zh-CN"/>
              </w:rPr>
              <w:t>水乳剂</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044E66">
            <w:pPr>
              <w:spacing w:before="72" w:beforeLines="30" w:after="72" w:afterLines="30" w:line="440" w:lineRule="atLeast"/>
              <w:jc w:val="center"/>
              <w:rPr>
                <w:rFonts w:ascii="宋体" w:hAnsi="宋体" w:eastAsia="Times New Roman" w:cs="宋体"/>
                <w:color w:val="auto"/>
                <w:sz w:val="24"/>
                <w:szCs w:val="24"/>
                <w:lang w:val="en-US" w:eastAsia="en-US" w:bidi="ar-SA"/>
              </w:rPr>
            </w:pPr>
            <w:r>
              <w:rPr>
                <w:rFonts w:ascii="宋体" w:hAnsi="宋体" w:cs="宋体"/>
                <w:color w:val="auto"/>
                <w:sz w:val="24"/>
              </w:rPr>
              <w:t>≥</w:t>
            </w:r>
            <w:r>
              <w:rPr>
                <w:rFonts w:hint="eastAsia" w:ascii="宋体" w:hAnsi="宋体" w:cs="宋体"/>
                <w:color w:val="auto"/>
                <w:sz w:val="24"/>
                <w:lang w:val="en-US" w:eastAsia="zh-CN"/>
              </w:rPr>
              <w:t>12</w:t>
            </w:r>
            <w:r>
              <w:rPr>
                <w:rFonts w:ascii="宋体" w:hAnsi="宋体" w:cs="宋体"/>
                <w:color w:val="auto"/>
                <w:sz w:val="24"/>
                <w:lang w:eastAsia="zh-CN"/>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A2D8216">
            <w:pPr>
              <w:pageBreakBefore w:val="0"/>
              <w:overflowPunct/>
              <w:topLinePunct w:val="0"/>
              <w:bidi w:val="0"/>
              <w:spacing w:line="500" w:lineRule="exact"/>
              <w:jc w:val="center"/>
              <w:rPr>
                <w:rFonts w:ascii="宋体" w:hAnsi="宋体" w:cs="宋体"/>
                <w:color w:val="auto"/>
                <w:sz w:val="24"/>
              </w:rPr>
            </w:pPr>
            <w:r>
              <w:rPr>
                <w:rFonts w:hint="eastAsia" w:ascii="宋体" w:hAnsi="宋体" w:cs="宋体"/>
                <w:color w:val="auto"/>
                <w:sz w:val="24"/>
                <w:lang w:eastAsia="zh-CN"/>
              </w:rPr>
              <w:t>蚊、蝇</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5E82EB3">
            <w:pPr>
              <w:pageBreakBefore w:val="0"/>
              <w:overflowPunct/>
              <w:topLinePunct w:val="0"/>
              <w:bidi w:val="0"/>
              <w:spacing w:line="500" w:lineRule="exact"/>
              <w:jc w:val="center"/>
              <w:rPr>
                <w:rFonts w:ascii="宋体" w:hAnsi="宋体" w:cs="宋体"/>
                <w:color w:val="auto"/>
                <w:sz w:val="24"/>
              </w:rPr>
            </w:pPr>
            <w:r>
              <w:rPr>
                <w:rFonts w:hint="eastAsia" w:ascii="宋体" w:hAnsi="宋体" w:cs="宋体"/>
                <w:color w:val="auto"/>
                <w:sz w:val="24"/>
                <w:lang w:eastAsia="zh-CN"/>
              </w:rPr>
              <w:t>超低容量喷雾</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F58CA">
            <w:pPr>
              <w:pageBreakBefore w:val="0"/>
              <w:overflowPunct/>
              <w:topLinePunct w:val="0"/>
              <w:bidi w:val="0"/>
              <w:spacing w:line="500" w:lineRule="exact"/>
              <w:jc w:val="both"/>
              <w:rPr>
                <w:rFonts w:hint="eastAsia" w:ascii="宋体" w:hAnsi="宋体" w:eastAsia="Times New Roman" w:cs="宋体"/>
                <w:color w:val="auto"/>
                <w:sz w:val="24"/>
                <w:szCs w:val="24"/>
                <w:lang w:val="en-US" w:eastAsia="zh-CN" w:bidi="ar-SA"/>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r w14:paraId="2F0825A7">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343AE93D">
            <w:pPr>
              <w:pageBreakBefore w:val="0"/>
              <w:overflowPunct/>
              <w:topLinePunct w:val="0"/>
              <w:bidi w:val="0"/>
              <w:spacing w:line="500" w:lineRule="exact"/>
              <w:jc w:val="center"/>
              <w:rPr>
                <w:rFonts w:hint="eastAsia" w:ascii="宋体" w:hAnsi="宋体" w:cs="宋体"/>
                <w:b/>
                <w:bCs/>
                <w:color w:val="auto"/>
                <w:sz w:val="24"/>
                <w:lang w:eastAsia="zh-CN"/>
              </w:rPr>
            </w:pPr>
            <w:r>
              <w:rPr>
                <w:rFonts w:hint="eastAsia" w:ascii="宋体" w:hAnsi="宋体" w:cs="宋体"/>
                <w:b/>
                <w:bCs/>
                <w:color w:val="auto"/>
                <w:sz w:val="24"/>
                <w:lang w:eastAsia="zh-CN"/>
              </w:rPr>
              <w:t>3</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674287D7">
            <w:pPr>
              <w:pageBreakBefore w:val="0"/>
              <w:overflowPunct/>
              <w:topLinePunct w:val="0"/>
              <w:bidi w:val="0"/>
              <w:spacing w:line="500" w:lineRule="exact"/>
              <w:jc w:val="center"/>
              <w:rPr>
                <w:rFonts w:hint="eastAsia"/>
                <w:color w:val="auto"/>
                <w:lang w:eastAsia="zh-CN"/>
              </w:rPr>
            </w:pPr>
            <w:r>
              <w:rPr>
                <w:rFonts w:hint="eastAsia"/>
                <w:color w:val="auto"/>
                <w:lang w:eastAsia="zh-CN"/>
              </w:rPr>
              <w:t>高氯</w:t>
            </w:r>
            <w:r>
              <w:rPr>
                <w:rFonts w:hint="eastAsia" w:ascii="仿宋" w:hAnsi="仿宋" w:eastAsia="仿宋" w:cs="仿宋"/>
                <w:color w:val="auto"/>
                <w:kern w:val="0"/>
                <w:sz w:val="24"/>
                <w:szCs w:val="24"/>
                <w:vertAlign w:val="baseline"/>
                <w:lang w:val="en-US" w:eastAsia="zh-CN" w:bidi="ar"/>
              </w:rPr>
              <w:t>·</w:t>
            </w:r>
            <w:r>
              <w:rPr>
                <w:rFonts w:hint="eastAsia"/>
                <w:color w:val="auto"/>
                <w:lang w:eastAsia="zh-CN"/>
              </w:rPr>
              <w:t>残杀威悬浮剂</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4A978">
            <w:pPr>
              <w:spacing w:before="72" w:beforeLines="30" w:after="72" w:afterLines="30" w:line="440" w:lineRule="atLeast"/>
              <w:jc w:val="center"/>
              <w:rPr>
                <w:rFonts w:hint="eastAsia" w:ascii="宋体" w:hAnsi="宋体" w:eastAsia="Times New Roman" w:cs="宋体"/>
                <w:color w:val="auto"/>
                <w:sz w:val="24"/>
                <w:szCs w:val="24"/>
                <w:lang w:val="en-US" w:eastAsia="zh-CN" w:bidi="ar-SA"/>
              </w:rPr>
            </w:pPr>
            <w:r>
              <w:rPr>
                <w:rFonts w:ascii="宋体" w:hAnsi="宋体" w:cs="宋体"/>
                <w:color w:val="auto"/>
                <w:sz w:val="24"/>
              </w:rPr>
              <w:t>≥</w:t>
            </w:r>
            <w:r>
              <w:rPr>
                <w:rFonts w:hint="eastAsia" w:ascii="宋体" w:hAnsi="宋体" w:eastAsia="宋体" w:cs="宋体"/>
                <w:color w:val="auto"/>
                <w:sz w:val="24"/>
                <w:lang w:val="en-US" w:eastAsia="zh-CN"/>
              </w:rPr>
              <w:t>10</w:t>
            </w:r>
            <w:r>
              <w:rPr>
                <w:rFonts w:ascii="宋体" w:hAnsi="宋体" w:cs="宋体"/>
                <w:color w:val="auto"/>
                <w:sz w:val="24"/>
                <w:lang w:eastAsia="zh-CN"/>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64B8AB0">
            <w:pPr>
              <w:pageBreakBefore w:val="0"/>
              <w:overflowPunct/>
              <w:topLinePunct w:val="0"/>
              <w:bidi w:val="0"/>
              <w:spacing w:line="500" w:lineRule="exact"/>
              <w:jc w:val="center"/>
              <w:rPr>
                <w:rFonts w:hint="eastAsia" w:ascii="宋体" w:hAnsi="宋体" w:cs="宋体"/>
                <w:color w:val="auto"/>
                <w:sz w:val="24"/>
                <w:lang w:eastAsia="zh-CN"/>
              </w:rPr>
            </w:pPr>
            <w:r>
              <w:rPr>
                <w:rFonts w:hint="eastAsia" w:ascii="宋体" w:hAnsi="宋体" w:cs="宋体"/>
                <w:color w:val="auto"/>
                <w:sz w:val="24"/>
                <w:lang w:eastAsia="zh-CN"/>
              </w:rPr>
              <w:t>蚊、蝇、蟑螂</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27079258">
            <w:pPr>
              <w:pageBreakBefore w:val="0"/>
              <w:overflowPunct/>
              <w:topLinePunct w:val="0"/>
              <w:bidi w:val="0"/>
              <w:spacing w:line="500" w:lineRule="exact"/>
              <w:jc w:val="center"/>
              <w:rPr>
                <w:rFonts w:hint="eastAsia" w:ascii="宋体" w:hAnsi="宋体" w:cs="宋体"/>
                <w:color w:val="auto"/>
                <w:sz w:val="24"/>
                <w:lang w:eastAsia="zh-CN"/>
              </w:rPr>
            </w:pPr>
            <w:r>
              <w:rPr>
                <w:rFonts w:hint="eastAsia" w:ascii="宋体" w:hAnsi="宋体" w:cs="宋体"/>
                <w:color w:val="auto"/>
                <w:sz w:val="24"/>
                <w:lang w:eastAsia="zh-CN"/>
              </w:rPr>
              <w:t>滞留喷洒</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75303D">
            <w:pPr>
              <w:pageBreakBefore w:val="0"/>
              <w:overflowPunct/>
              <w:topLinePunct w:val="0"/>
              <w:bidi w:val="0"/>
              <w:spacing w:line="500" w:lineRule="exact"/>
              <w:jc w:val="both"/>
              <w:rPr>
                <w:rFonts w:hint="eastAsia" w:ascii="宋体" w:hAnsi="宋体" w:eastAsia="Times New Roman" w:cs="宋体"/>
                <w:color w:val="auto"/>
                <w:sz w:val="24"/>
                <w:szCs w:val="24"/>
                <w:lang w:val="en-US" w:eastAsia="zh-CN" w:bidi="ar-SA"/>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r w14:paraId="60B78621">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7F79C0D0">
            <w:pPr>
              <w:pageBreakBefore w:val="0"/>
              <w:overflowPunct/>
              <w:topLinePunct w:val="0"/>
              <w:bidi w:val="0"/>
              <w:spacing w:line="500" w:lineRule="exact"/>
              <w:jc w:val="center"/>
              <w:rPr>
                <w:color w:val="auto"/>
              </w:rPr>
            </w:pPr>
            <w:r>
              <w:rPr>
                <w:rFonts w:hint="eastAsia"/>
                <w:color w:val="auto"/>
                <w:lang w:eastAsia="zh-CN"/>
              </w:rPr>
              <w:t>4</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6BCC05D">
            <w:pPr>
              <w:pageBreakBefore w:val="0"/>
              <w:overflowPunct/>
              <w:topLinePunct w:val="0"/>
              <w:bidi w:val="0"/>
              <w:spacing w:line="500" w:lineRule="exact"/>
              <w:jc w:val="center"/>
              <w:rPr>
                <w:color w:val="auto"/>
              </w:rPr>
            </w:pPr>
            <w:r>
              <w:rPr>
                <w:color w:val="auto"/>
              </w:rPr>
              <w:t>吡丙醚颗粒剂</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1F631E91">
            <w:pPr>
              <w:spacing w:before="72" w:beforeLines="30" w:after="72" w:afterLines="30" w:line="440" w:lineRule="atLeast"/>
              <w:ind w:firstLine="120" w:firstLineChars="50"/>
              <w:jc w:val="center"/>
              <w:rPr>
                <w:color w:val="auto"/>
              </w:rPr>
            </w:pPr>
            <w:r>
              <w:rPr>
                <w:rFonts w:ascii="宋体" w:hAnsi="宋体" w:cs="宋体"/>
                <w:color w:val="auto"/>
                <w:sz w:val="24"/>
              </w:rPr>
              <w:t>≥</w:t>
            </w:r>
            <w:r>
              <w:rPr>
                <w:rFonts w:hint="eastAsia" w:ascii="宋体" w:hAnsi="宋体" w:eastAsia="宋体" w:cs="宋体"/>
                <w:color w:val="auto"/>
                <w:sz w:val="24"/>
                <w:lang w:val="en-US" w:eastAsia="zh-CN"/>
              </w:rPr>
              <w:t>0.5</w:t>
            </w:r>
            <w:r>
              <w:rPr>
                <w:rFonts w:ascii="宋体" w:hAnsi="宋体" w:cs="宋体"/>
                <w:color w:val="auto"/>
                <w:sz w:val="24"/>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CC3ACE6">
            <w:pPr>
              <w:pageBreakBefore w:val="0"/>
              <w:overflowPunct/>
              <w:topLinePunct w:val="0"/>
              <w:bidi w:val="0"/>
              <w:spacing w:line="500" w:lineRule="exact"/>
              <w:jc w:val="center"/>
              <w:rPr>
                <w:rFonts w:hint="eastAsia" w:eastAsia="宋体"/>
                <w:color w:val="auto"/>
                <w:lang w:eastAsia="zh-CN"/>
              </w:rPr>
            </w:pPr>
            <w:r>
              <w:rPr>
                <w:rFonts w:hint="eastAsia" w:eastAsia="宋体"/>
                <w:color w:val="auto"/>
                <w:lang w:eastAsia="zh-CN"/>
              </w:rPr>
              <w:t>蚊蚴</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3E54A8B3">
            <w:pPr>
              <w:pageBreakBefore w:val="0"/>
              <w:overflowPunct/>
              <w:topLinePunct w:val="0"/>
              <w:bidi w:val="0"/>
              <w:spacing w:line="500" w:lineRule="exact"/>
              <w:jc w:val="center"/>
              <w:rPr>
                <w:color w:val="auto"/>
              </w:rPr>
            </w:pPr>
            <w:r>
              <w:rPr>
                <w:rFonts w:ascii="宋体" w:hAnsi="宋体" w:cs="宋体"/>
                <w:color w:val="auto"/>
                <w:sz w:val="24"/>
              </w:rPr>
              <w:t>撒施</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3250AB">
            <w:pPr>
              <w:pageBreakBefore w:val="0"/>
              <w:overflowPunct/>
              <w:topLinePunct w:val="0"/>
              <w:bidi w:val="0"/>
              <w:spacing w:line="500" w:lineRule="exact"/>
              <w:jc w:val="both"/>
              <w:rPr>
                <w:rFonts w:ascii="Times New Roman" w:hAnsi="Times New Roman" w:eastAsia="Times New Roman" w:cs="Times New Roman"/>
                <w:color w:val="auto"/>
                <w:sz w:val="24"/>
                <w:szCs w:val="24"/>
                <w:lang w:val="en-US" w:eastAsia="en-US" w:bidi="ar-SA"/>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r w14:paraId="4CE55FED">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3B830400">
            <w:pPr>
              <w:pageBreakBefore w:val="0"/>
              <w:overflowPunct/>
              <w:topLinePunct w:val="0"/>
              <w:bidi w:val="0"/>
              <w:spacing w:line="500" w:lineRule="exact"/>
              <w:jc w:val="center"/>
              <w:rPr>
                <w:color w:val="auto"/>
              </w:rPr>
            </w:pPr>
            <w:r>
              <w:rPr>
                <w:rFonts w:hint="eastAsia"/>
                <w:color w:val="auto"/>
                <w:lang w:eastAsia="zh-CN"/>
              </w:rPr>
              <w:t>5</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66A8467">
            <w:pPr>
              <w:pageBreakBefore w:val="0"/>
              <w:overflowPunct/>
              <w:topLinePunct w:val="0"/>
              <w:bidi w:val="0"/>
              <w:spacing w:line="500" w:lineRule="exact"/>
              <w:jc w:val="center"/>
              <w:rPr>
                <w:rFonts w:hint="eastAsia" w:eastAsia="宋体"/>
                <w:color w:val="auto"/>
                <w:lang w:eastAsia="zh-CN"/>
              </w:rPr>
            </w:pPr>
            <w:r>
              <w:rPr>
                <w:rFonts w:hint="eastAsia" w:eastAsia="宋体"/>
                <w:color w:val="auto"/>
                <w:lang w:eastAsia="zh-CN"/>
              </w:rPr>
              <w:t>杀虫热雾剂</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2AEB89AE">
            <w:pPr>
              <w:spacing w:before="72" w:beforeLines="30" w:after="72" w:afterLines="30" w:line="440" w:lineRule="atLeast"/>
              <w:ind w:firstLine="120" w:firstLineChars="50"/>
              <w:jc w:val="both"/>
              <w:rPr>
                <w:rFonts w:hint="default" w:eastAsia="宋体"/>
                <w:color w:val="auto"/>
                <w:lang w:val="en-US" w:eastAsia="zh-CN"/>
              </w:rPr>
            </w:pPr>
            <w:r>
              <w:rPr>
                <w:rFonts w:ascii="宋体" w:hAnsi="宋体" w:cs="宋体"/>
                <w:color w:val="auto"/>
                <w:sz w:val="24"/>
              </w:rPr>
              <w:t>≥</w:t>
            </w:r>
            <w:r>
              <w:rPr>
                <w:rFonts w:hint="eastAsia" w:ascii="宋体" w:hAnsi="宋体" w:eastAsia="宋体" w:cs="宋体"/>
                <w:color w:val="auto"/>
                <w:sz w:val="24"/>
                <w:lang w:val="en-US" w:eastAsia="zh-CN"/>
              </w:rPr>
              <w:t>2.5%</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73E72EFE">
            <w:pPr>
              <w:pageBreakBefore w:val="0"/>
              <w:overflowPunct/>
              <w:topLinePunct w:val="0"/>
              <w:bidi w:val="0"/>
              <w:spacing w:line="500" w:lineRule="exact"/>
              <w:jc w:val="center"/>
              <w:rPr>
                <w:color w:val="auto"/>
              </w:rPr>
            </w:pPr>
            <w:r>
              <w:rPr>
                <w:rFonts w:hint="eastAsia" w:ascii="宋体" w:hAnsi="宋体" w:cs="宋体"/>
                <w:color w:val="auto"/>
                <w:sz w:val="24"/>
                <w:lang w:eastAsia="zh-CN"/>
              </w:rPr>
              <w:t>蚊、蝇、蟑螂</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D0B9AF4">
            <w:pPr>
              <w:pageBreakBefore w:val="0"/>
              <w:overflowPunct/>
              <w:topLinePunct w:val="0"/>
              <w:bidi w:val="0"/>
              <w:spacing w:line="500" w:lineRule="exact"/>
              <w:jc w:val="center"/>
              <w:rPr>
                <w:rFonts w:hint="eastAsia" w:eastAsia="宋体"/>
                <w:color w:val="auto"/>
                <w:lang w:eastAsia="zh-CN"/>
              </w:rPr>
            </w:pPr>
            <w:r>
              <w:rPr>
                <w:rFonts w:hint="eastAsia" w:eastAsia="宋体"/>
                <w:color w:val="auto"/>
                <w:lang w:eastAsia="zh-CN"/>
              </w:rPr>
              <w:t>下水道和绿化带喷洒</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889BAF">
            <w:pPr>
              <w:pageBreakBefore w:val="0"/>
              <w:overflowPunct/>
              <w:topLinePunct w:val="0"/>
              <w:bidi w:val="0"/>
              <w:spacing w:line="500" w:lineRule="exact"/>
              <w:jc w:val="both"/>
              <w:rPr>
                <w:rFonts w:ascii="Times New Roman" w:hAnsi="Times New Roman" w:eastAsia="Times New Roman" w:cs="Times New Roman"/>
                <w:color w:val="auto"/>
                <w:sz w:val="24"/>
                <w:szCs w:val="24"/>
                <w:lang w:val="en-US" w:eastAsia="en-US" w:bidi="ar-SA"/>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r w14:paraId="00590D39">
        <w:tblPrEx>
          <w:tblCellMar>
            <w:top w:w="0" w:type="dxa"/>
            <w:left w:w="108" w:type="dxa"/>
            <w:bottom w:w="0" w:type="dxa"/>
            <w:right w:w="108" w:type="dxa"/>
          </w:tblCellMar>
        </w:tblPrEx>
        <w:trPr>
          <w:trHeight w:val="23" w:hRule="atLeast"/>
          <w:jc w:val="center"/>
        </w:trPr>
        <w:tc>
          <w:tcPr>
            <w:tcW w:w="511" w:type="dxa"/>
            <w:tcBorders>
              <w:top w:val="single" w:color="auto" w:sz="4" w:space="0"/>
              <w:left w:val="single" w:color="auto" w:sz="4" w:space="0"/>
              <w:bottom w:val="single" w:color="auto" w:sz="4" w:space="0"/>
              <w:right w:val="single" w:color="auto" w:sz="4" w:space="0"/>
            </w:tcBorders>
            <w:noWrap w:val="0"/>
            <w:vAlign w:val="center"/>
          </w:tcPr>
          <w:p w14:paraId="6CF836E9">
            <w:pPr>
              <w:pageBreakBefore w:val="0"/>
              <w:overflowPunct/>
              <w:topLinePunct w:val="0"/>
              <w:bidi w:val="0"/>
              <w:spacing w:line="500" w:lineRule="exact"/>
              <w:jc w:val="center"/>
              <w:rPr>
                <w:rFonts w:hint="default"/>
                <w:color w:val="auto"/>
                <w:lang w:val="en-US" w:eastAsia="zh-CN"/>
              </w:rPr>
            </w:pPr>
            <w:r>
              <w:rPr>
                <w:rFonts w:hint="eastAsia"/>
                <w:color w:val="auto"/>
                <w:lang w:val="en-US" w:eastAsia="zh-CN"/>
              </w:rPr>
              <w:t>6</w:t>
            </w:r>
          </w:p>
        </w:tc>
        <w:tc>
          <w:tcPr>
            <w:tcW w:w="2355" w:type="dxa"/>
            <w:tcBorders>
              <w:top w:val="single" w:color="auto" w:sz="4" w:space="0"/>
              <w:left w:val="single" w:color="auto" w:sz="4" w:space="0"/>
              <w:bottom w:val="single" w:color="auto" w:sz="4" w:space="0"/>
              <w:right w:val="single" w:color="auto" w:sz="4" w:space="0"/>
            </w:tcBorders>
            <w:noWrap w:val="0"/>
            <w:vAlign w:val="center"/>
          </w:tcPr>
          <w:p w14:paraId="133884DE">
            <w:pPr>
              <w:pageBreakBefore w:val="0"/>
              <w:overflowPunct/>
              <w:topLinePunct w:val="0"/>
              <w:bidi w:val="0"/>
              <w:spacing w:line="500" w:lineRule="exact"/>
              <w:jc w:val="center"/>
              <w:rPr>
                <w:rFonts w:ascii="宋体" w:hAnsi="宋体" w:cs="宋体"/>
                <w:color w:val="auto"/>
                <w:sz w:val="24"/>
              </w:rPr>
            </w:pPr>
            <w:r>
              <w:rPr>
                <w:rFonts w:ascii="宋体" w:hAnsi="宋体" w:cs="宋体"/>
                <w:color w:val="auto"/>
                <w:sz w:val="24"/>
                <w:lang w:val="en-US" w:eastAsia="zh-CN"/>
              </w:rPr>
              <w:t>高效氯氰菊酯</w:t>
            </w:r>
          </w:p>
          <w:p w14:paraId="3D3801E2">
            <w:pPr>
              <w:pageBreakBefore w:val="0"/>
              <w:overflowPunct/>
              <w:topLinePunct w:val="0"/>
              <w:bidi w:val="0"/>
              <w:spacing w:line="5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悬浮剂</w:t>
            </w:r>
          </w:p>
        </w:tc>
        <w:tc>
          <w:tcPr>
            <w:tcW w:w="1425" w:type="dxa"/>
            <w:tcBorders>
              <w:top w:val="single" w:color="auto" w:sz="4" w:space="0"/>
              <w:left w:val="single" w:color="auto" w:sz="4" w:space="0"/>
              <w:bottom w:val="single" w:color="auto" w:sz="4" w:space="0"/>
              <w:right w:val="single" w:color="auto" w:sz="4" w:space="0"/>
            </w:tcBorders>
            <w:noWrap w:val="0"/>
            <w:vAlign w:val="center"/>
          </w:tcPr>
          <w:p w14:paraId="0846C6A6">
            <w:pPr>
              <w:pageBreakBefore w:val="0"/>
              <w:overflowPunct/>
              <w:topLinePunct w:val="0"/>
              <w:bidi w:val="0"/>
              <w:spacing w:line="500" w:lineRule="exact"/>
              <w:ind w:firstLine="240" w:firstLineChars="100"/>
              <w:jc w:val="center"/>
              <w:rPr>
                <w:rFonts w:hint="eastAsia" w:ascii="仿宋" w:hAnsi="仿宋" w:eastAsia="仿宋" w:cs="仿宋"/>
                <w:color w:val="auto"/>
                <w:kern w:val="0"/>
                <w:sz w:val="24"/>
                <w:szCs w:val="24"/>
                <w:vertAlign w:val="baseline"/>
                <w:lang w:val="en-US" w:eastAsia="zh-CN" w:bidi="ar"/>
              </w:rPr>
            </w:pPr>
            <w:r>
              <w:rPr>
                <w:rFonts w:ascii="宋体" w:hAnsi="宋体" w:cs="宋体"/>
                <w:color w:val="auto"/>
                <w:sz w:val="24"/>
              </w:rPr>
              <w:t>≥</w:t>
            </w:r>
            <w:r>
              <w:rPr>
                <w:rFonts w:hint="eastAsia" w:ascii="宋体" w:hAnsi="宋体" w:cs="宋体"/>
                <w:color w:val="auto"/>
                <w:sz w:val="24"/>
                <w:lang w:eastAsia="zh-CN"/>
              </w:rPr>
              <w:t>5</w:t>
            </w:r>
            <w:r>
              <w:rPr>
                <w:rFonts w:ascii="宋体" w:hAnsi="宋体" w:cs="宋体"/>
                <w:color w:val="auto"/>
                <w:sz w:val="24"/>
                <w:lang w:eastAsia="zh-CN"/>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6C5B9AD5">
            <w:pPr>
              <w:pageBreakBefore w:val="0"/>
              <w:overflowPunct/>
              <w:topLinePunct w:val="0"/>
              <w:bidi w:val="0"/>
              <w:spacing w:line="5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蚊、蝇、蟑螂</w:t>
            </w:r>
          </w:p>
        </w:tc>
        <w:tc>
          <w:tcPr>
            <w:tcW w:w="1605" w:type="dxa"/>
            <w:tcBorders>
              <w:top w:val="single" w:color="auto" w:sz="4" w:space="0"/>
              <w:left w:val="single" w:color="auto" w:sz="4" w:space="0"/>
              <w:bottom w:val="single" w:color="auto" w:sz="4" w:space="0"/>
              <w:right w:val="single" w:color="auto" w:sz="4" w:space="0"/>
            </w:tcBorders>
            <w:noWrap w:val="0"/>
            <w:vAlign w:val="center"/>
          </w:tcPr>
          <w:p w14:paraId="4EC4768E">
            <w:pPr>
              <w:pageBreakBefore w:val="0"/>
              <w:overflowPunct/>
              <w:topLinePunct w:val="0"/>
              <w:bidi w:val="0"/>
              <w:spacing w:line="500" w:lineRule="exact"/>
              <w:jc w:val="center"/>
              <w:rPr>
                <w:rFonts w:hint="eastAsia" w:ascii="宋体" w:hAnsi="宋体" w:eastAsia="宋体" w:cs="宋体"/>
                <w:color w:val="auto"/>
                <w:sz w:val="24"/>
                <w:lang w:eastAsia="zh-CN"/>
              </w:rPr>
            </w:pPr>
            <w:r>
              <w:rPr>
                <w:rFonts w:hint="eastAsia" w:ascii="宋体" w:hAnsi="宋体" w:cs="宋体"/>
                <w:color w:val="auto"/>
                <w:sz w:val="24"/>
                <w:lang w:eastAsia="zh-CN"/>
              </w:rPr>
              <w:t>滞留喷洒</w:t>
            </w:r>
          </w:p>
        </w:tc>
        <w:tc>
          <w:tcPr>
            <w:tcW w:w="25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BCEB0F">
            <w:pPr>
              <w:pageBreakBefore w:val="0"/>
              <w:overflowPunct/>
              <w:topLinePunct w:val="0"/>
              <w:bidi w:val="0"/>
              <w:spacing w:line="500" w:lineRule="exact"/>
              <w:jc w:val="both"/>
              <w:rPr>
                <w:rFonts w:hint="eastAsia" w:ascii="仿宋" w:hAnsi="仿宋" w:eastAsia="仿宋" w:cs="仿宋"/>
                <w:color w:val="auto"/>
                <w:kern w:val="0"/>
                <w:sz w:val="24"/>
                <w:szCs w:val="24"/>
                <w:vertAlign w:val="baseline"/>
                <w:lang w:val="en-US" w:eastAsia="zh-CN" w:bidi="ar"/>
              </w:rPr>
            </w:pPr>
            <w:r>
              <w:rPr>
                <w:rFonts w:hint="eastAsia" w:ascii="仿宋" w:hAnsi="仿宋" w:eastAsia="仿宋" w:cs="仿宋"/>
                <w:color w:val="auto"/>
                <w:kern w:val="0"/>
                <w:sz w:val="24"/>
                <w:szCs w:val="24"/>
                <w:vertAlign w:val="baseline"/>
                <w:lang w:val="en-US" w:eastAsia="zh-CN" w:bidi="ar"/>
              </w:rPr>
              <w:t>国内合格厂家，三证齐全出具完整书面资料</w:t>
            </w:r>
          </w:p>
        </w:tc>
      </w:tr>
    </w:tbl>
    <w:p w14:paraId="69231665">
      <w:pPr>
        <w:keepNext w:val="0"/>
        <w:keepLines w:val="0"/>
        <w:pageBreakBefore w:val="0"/>
        <w:widowControl/>
        <w:kinsoku/>
        <w:wordWrap w:val="0"/>
        <w:overflowPunct/>
        <w:topLinePunct w:val="0"/>
        <w:autoSpaceDE/>
        <w:autoSpaceDN/>
        <w:bidi w:val="0"/>
        <w:adjustRightInd/>
        <w:snapToGrid/>
        <w:spacing w:line="500" w:lineRule="exact"/>
        <w:ind w:firstLine="647" w:firstLineChars="200"/>
        <w:jc w:val="both"/>
        <w:textAlignment w:val="auto"/>
        <w:rPr>
          <w:rFonts w:hint="eastAsia" w:ascii="仿宋" w:hAnsi="仿宋" w:eastAsia="仿宋" w:cs="仿宋"/>
          <w:b/>
          <w:bCs/>
          <w:spacing w:val="1"/>
          <w:sz w:val="32"/>
          <w:szCs w:val="32"/>
          <w:lang w:val="en-US" w:eastAsia="zh-CN"/>
        </w:rPr>
      </w:pPr>
      <w:r>
        <w:rPr>
          <w:rFonts w:hint="eastAsia" w:ascii="仿宋" w:hAnsi="仿宋" w:eastAsia="仿宋" w:cs="仿宋"/>
          <w:b/>
          <w:bCs/>
          <w:spacing w:val="1"/>
          <w:sz w:val="32"/>
          <w:szCs w:val="32"/>
          <w:lang w:val="en-US" w:eastAsia="zh-CN"/>
        </w:rPr>
        <w:t>注：供应商所投药品需满足以上有效成分、含量及剂型，响应文件中须提供农业部颁发的农药登记证、农药生产许可证、企业标准信息公共服务平台备案的企业标准复印件并加盖公章佐证，保证进货渠道正规，无过期产品，否则做无效投标处理。</w:t>
      </w:r>
    </w:p>
    <w:p w14:paraId="31371768">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用化学与物理结合运用适当的设备测定相应的害虫习性，使用相应的器械杀灭虫害并以此进行害虫控制和防制。</w:t>
      </w:r>
    </w:p>
    <w:p w14:paraId="4774668B">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病媒生物防制所用药品及投放方式应符合国家和地方有关法律、法规和政策的规定，药物生产证书齐全且不会影响安全，保证所用的药品具有安全资料或国家农业农村部颁发的许可证并符合相关标准。</w:t>
      </w:r>
    </w:p>
    <w:p w14:paraId="764F7D6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13、防制频率：（根据采购方要求进行调整）</w:t>
      </w:r>
    </w:p>
    <w:p w14:paraId="1205C81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（1）灭鼠工作：消杀公司派出专业技术员每月1次定期收集反馈信息及投放鼠药。室内外可以根据情况采取物理和化学等多种方式灭鼠。每次灭鼠后要负责死老鼠的清理工作。</w:t>
      </w:r>
    </w:p>
    <w:p w14:paraId="1B496B3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（2）灭蟑螂工作：消杀公司每月二次定期全面积的各个公共区域消杀，根据害虫密度每次消杀后使其降低密度。</w:t>
      </w:r>
    </w:p>
    <w:p w14:paraId="640F8507">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（3）灭蝇、蚊的工作：每年11月至4月由于温度较低，蚊、蝇处于冬眠状态，每月消杀二次，5月—10月份消杀公司每月定期全面积范围消杀二次，（具体消杀的范围及次数根据实际情况而定）。</w:t>
      </w:r>
    </w:p>
    <w:p w14:paraId="3E0D0854">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（4）原则上按照上述约定的频率开展防制，其它应急消杀也应随叫随到，迎接大型检查调研或重大活动前必须进行一次全方位消杀（具体根据采购方通知确定）</w:t>
      </w:r>
    </w:p>
    <w:p w14:paraId="558A3914">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（四）工作责任及安全措施</w:t>
      </w:r>
    </w:p>
    <w:p w14:paraId="4994485B">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1、应坚持科学及合理用药，确保区域内的全面积的老鼠、蚊子、蟑螂、苍蝇、的密度有明显降低。</w:t>
      </w:r>
      <w:r>
        <w:rPr>
          <w:rFonts w:hint="eastAsia" w:ascii="仿宋" w:hAnsi="仿宋" w:eastAsia="仿宋" w:cs="仿宋"/>
          <w:spacing w:val="1"/>
          <w:sz w:val="32"/>
          <w:szCs w:val="32"/>
          <w:lang w:val="en-US" w:eastAsia="zh-CN"/>
        </w:rPr>
        <w:tab/>
      </w:r>
      <w:r>
        <w:rPr>
          <w:rFonts w:hint="eastAsia" w:ascii="仿宋" w:hAnsi="仿宋" w:eastAsia="仿宋" w:cs="仿宋"/>
          <w:spacing w:val="1"/>
          <w:sz w:val="32"/>
          <w:szCs w:val="32"/>
          <w:lang w:val="en-US" w:eastAsia="zh-CN"/>
        </w:rPr>
        <w:tab/>
      </w:r>
    </w:p>
    <w:p w14:paraId="34E0ABB6">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平时应做好各环境的清洁卫生，疏通沟渠，清除积水，合理的处理好垃圾、杂物，做好相关部位的防鼠、防蚊、防蝇设施，消除有害生物的孳生隐蔽场所，减少老鼠、蚊子、苍蝇、蟑螂等有害生物的孳生繁殖，从而巩固灭杀的效果。</w:t>
      </w:r>
    </w:p>
    <w:p w14:paraId="2CD6DC21">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双方应共同做好灭杀行动的安全措施，相关人员应密切配合施药技术人员的工作，落实安全措施，消杀公司应选用高效低毒，对环境无污染，对人畜比较安全的广谱卫生用药，以确保区域内的人身安全。施工操作期间成交服务商应加强安全意识，应有专人看护防止意外发生，不得造成危害人生安全或中毒现象。</w:t>
      </w:r>
    </w:p>
    <w:p w14:paraId="67CFED87">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（五）其他要求</w:t>
      </w:r>
    </w:p>
    <w:p w14:paraId="1CF5AC9E">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1、成交服务商</w:t>
      </w:r>
      <w:r>
        <w:rPr>
          <w:rFonts w:hint="eastAsia" w:ascii="仿宋" w:hAnsi="仿宋" w:eastAsia="仿宋" w:cs="仿宋"/>
          <w:spacing w:val="1"/>
          <w:sz w:val="32"/>
          <w:szCs w:val="32"/>
          <w:lang w:eastAsia="zh-CN"/>
        </w:rPr>
        <w:t>落实区域的公共外环境病媒生物防制工作，确保按计划在各区域进行全方位的灭鼠、灭蚊、灭蝇、灭蟑螂作业，确保达到国家标准</w:t>
      </w:r>
      <w:r>
        <w:rPr>
          <w:rFonts w:hint="eastAsia" w:ascii="仿宋" w:hAnsi="仿宋" w:eastAsia="仿宋" w:cs="仿宋"/>
          <w:spacing w:val="1"/>
          <w:sz w:val="32"/>
          <w:szCs w:val="32"/>
          <w:lang w:val="en-US" w:eastAsia="zh-CN"/>
        </w:rPr>
        <w:t>和采购人要求</w:t>
      </w:r>
      <w:r>
        <w:rPr>
          <w:rFonts w:hint="eastAsia" w:ascii="仿宋" w:hAnsi="仿宋" w:eastAsia="仿宋" w:cs="仿宋"/>
          <w:spacing w:val="1"/>
          <w:sz w:val="32"/>
          <w:szCs w:val="32"/>
          <w:lang w:eastAsia="zh-CN"/>
        </w:rPr>
        <w:t>。</w:t>
      </w:r>
    </w:p>
    <w:p w14:paraId="75F8B386">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lang w:eastAsia="zh-CN"/>
        </w:rPr>
        <w:t>坚持“预防为主，综合防制”的消杀方针，确保使用国家规定或爱卫会认定和推荐的药物。对病媒生物防制药物建立进出登记台账。病媒生物防制作业时要注意安全用药，废弃药物及死鼠等要妥善处理，防止污染。</w:t>
      </w:r>
    </w:p>
    <w:p w14:paraId="5A8FC545">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w:t>
      </w:r>
      <w:r>
        <w:rPr>
          <w:rFonts w:hint="eastAsia" w:ascii="仿宋" w:hAnsi="仿宋" w:eastAsia="仿宋" w:cs="仿宋"/>
          <w:spacing w:val="1"/>
          <w:sz w:val="32"/>
          <w:szCs w:val="32"/>
          <w:lang w:eastAsia="zh-CN"/>
        </w:rPr>
        <w:t>病媒生物防制工作人员需经培训后，按照病媒生物防制工作的法规标准，规范操作。作业时必须统一标准，做到安全作业、文明作业。</w:t>
      </w:r>
    </w:p>
    <w:p w14:paraId="3F73A29E">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lang w:eastAsia="zh-CN"/>
        </w:rPr>
        <w:t>做好每次病媒生物防制工作的记录，登记时间、处理位置、用药量等数据，并拍摄现场照片。</w:t>
      </w:r>
    </w:p>
    <w:p w14:paraId="78EB9A0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lang w:eastAsia="zh-CN"/>
        </w:rPr>
        <w:t>在调研、暗访和明查期间，根据通知对重点病媒生物防制和突击制理工作。</w:t>
      </w:r>
    </w:p>
    <w:p w14:paraId="20D40955">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6、</w:t>
      </w:r>
      <w:r>
        <w:rPr>
          <w:rFonts w:hint="eastAsia" w:ascii="仿宋" w:hAnsi="仿宋" w:eastAsia="仿宋" w:cs="仿宋"/>
          <w:spacing w:val="1"/>
          <w:sz w:val="32"/>
          <w:szCs w:val="32"/>
          <w:lang w:eastAsia="zh-CN"/>
        </w:rPr>
        <w:t>合同期间应配合</w:t>
      </w:r>
      <w:r>
        <w:rPr>
          <w:rFonts w:hint="eastAsia" w:ascii="仿宋" w:hAnsi="仿宋" w:eastAsia="仿宋" w:cs="仿宋"/>
          <w:spacing w:val="1"/>
          <w:sz w:val="32"/>
          <w:szCs w:val="32"/>
          <w:lang w:val="en-US" w:eastAsia="zh-CN"/>
        </w:rPr>
        <w:t>采购人</w:t>
      </w:r>
      <w:r>
        <w:rPr>
          <w:rFonts w:hint="eastAsia" w:ascii="仿宋" w:hAnsi="仿宋" w:eastAsia="仿宋" w:cs="仿宋"/>
          <w:spacing w:val="1"/>
          <w:sz w:val="32"/>
          <w:szCs w:val="32"/>
          <w:lang w:eastAsia="zh-CN"/>
        </w:rPr>
        <w:t>组织的大规模环境整制行动，在行动前或突击、应急检查前配合做好病媒生物防制工作。</w:t>
      </w:r>
    </w:p>
    <w:p w14:paraId="2490E43C">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7、完成采购人要求的其他工作。</w:t>
      </w:r>
    </w:p>
    <w:p w14:paraId="56B6F8C7">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黑体" w:hAnsi="黑体" w:eastAsia="黑体" w:cs="黑体"/>
          <w:b w:val="0"/>
          <w:bCs w:val="0"/>
          <w:spacing w:val="1"/>
          <w:sz w:val="32"/>
          <w:szCs w:val="32"/>
          <w:lang w:val="en-US" w:eastAsia="zh-CN"/>
        </w:rPr>
      </w:pPr>
      <w:r>
        <w:rPr>
          <w:rFonts w:hint="eastAsia" w:ascii="黑体" w:hAnsi="黑体" w:eastAsia="黑体" w:cs="黑体"/>
          <w:b w:val="0"/>
          <w:bCs w:val="0"/>
          <w:spacing w:val="1"/>
          <w:sz w:val="32"/>
          <w:szCs w:val="32"/>
          <w:lang w:val="en-US" w:eastAsia="zh-CN"/>
        </w:rPr>
        <w:t>三、商务条款</w:t>
      </w:r>
    </w:p>
    <w:p w14:paraId="593DDEDB">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color w:val="auto"/>
          <w:spacing w:val="1"/>
          <w:sz w:val="32"/>
          <w:szCs w:val="32"/>
          <w:lang w:eastAsia="zh-CN"/>
        </w:rPr>
      </w:pPr>
      <w:r>
        <w:rPr>
          <w:rFonts w:hint="eastAsia" w:ascii="仿宋" w:hAnsi="仿宋" w:eastAsia="仿宋" w:cs="仿宋"/>
          <w:color w:val="auto"/>
          <w:spacing w:val="1"/>
          <w:sz w:val="32"/>
          <w:szCs w:val="32"/>
          <w:lang w:val="en-US" w:eastAsia="zh-CN"/>
        </w:rPr>
        <w:t>1.</w:t>
      </w:r>
      <w:r>
        <w:rPr>
          <w:rFonts w:hint="eastAsia" w:ascii="仿宋" w:hAnsi="仿宋" w:eastAsia="仿宋" w:cs="仿宋"/>
          <w:color w:val="auto"/>
          <w:spacing w:val="1"/>
          <w:sz w:val="32"/>
          <w:szCs w:val="32"/>
          <w:lang w:eastAsia="zh-CN"/>
        </w:rPr>
        <w:t>服务期限：一年</w:t>
      </w:r>
      <w:r>
        <w:rPr>
          <w:rFonts w:hint="eastAsia" w:ascii="仿宋" w:hAnsi="仿宋" w:eastAsia="仿宋" w:cs="仿宋"/>
          <w:color w:val="auto"/>
          <w:spacing w:val="1"/>
          <w:sz w:val="32"/>
          <w:szCs w:val="32"/>
          <w:lang w:eastAsia="zh-CN"/>
        </w:rPr>
        <w:t>。</w:t>
      </w:r>
    </w:p>
    <w:p w14:paraId="4FBC1669">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2.服务地点：采购人指定地点。</w:t>
      </w:r>
    </w:p>
    <w:p w14:paraId="45B74FA2">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3.响应时间：</w:t>
      </w:r>
      <w:r>
        <w:rPr>
          <w:rFonts w:hint="eastAsia" w:ascii="仿宋" w:hAnsi="仿宋" w:eastAsia="仿宋" w:cs="仿宋"/>
          <w:spacing w:val="1"/>
          <w:sz w:val="32"/>
          <w:szCs w:val="32"/>
          <w:lang w:eastAsia="zh-CN"/>
        </w:rPr>
        <w:t>为了售后服务方便及时，并在服务期间及服务期后提供免费的咨询服务，</w:t>
      </w:r>
      <w:r>
        <w:rPr>
          <w:rFonts w:hint="eastAsia" w:ascii="仿宋" w:hAnsi="仿宋" w:eastAsia="仿宋" w:cs="仿宋"/>
          <w:spacing w:val="1"/>
          <w:sz w:val="32"/>
          <w:szCs w:val="32"/>
          <w:lang w:val="en-US" w:eastAsia="zh-CN"/>
        </w:rPr>
        <w:t>接到业主通知后</w:t>
      </w:r>
      <w:r>
        <w:rPr>
          <w:rFonts w:hint="eastAsia" w:ascii="仿宋" w:hAnsi="仿宋" w:eastAsia="仿宋" w:cs="仿宋"/>
          <w:spacing w:val="1"/>
          <w:sz w:val="32"/>
          <w:szCs w:val="32"/>
          <w:lang w:eastAsia="zh-CN"/>
        </w:rPr>
        <w:t>服务商</w:t>
      </w:r>
      <w:r>
        <w:rPr>
          <w:rFonts w:hint="eastAsia" w:ascii="仿宋" w:hAnsi="仿宋" w:eastAsia="仿宋" w:cs="仿宋"/>
          <w:spacing w:val="1"/>
          <w:sz w:val="32"/>
          <w:szCs w:val="32"/>
          <w:lang w:val="en-US" w:eastAsia="zh-CN"/>
        </w:rPr>
        <w:t>须</w:t>
      </w:r>
      <w:r>
        <w:rPr>
          <w:rFonts w:hint="eastAsia" w:ascii="仿宋" w:hAnsi="仿宋" w:eastAsia="仿宋" w:cs="仿宋"/>
          <w:spacing w:val="1"/>
          <w:sz w:val="32"/>
          <w:szCs w:val="32"/>
          <w:lang w:eastAsia="zh-CN"/>
        </w:rPr>
        <w:t>在</w:t>
      </w:r>
      <w:r>
        <w:rPr>
          <w:rFonts w:hint="eastAsia" w:ascii="仿宋" w:hAnsi="仿宋" w:eastAsia="仿宋" w:cs="仿宋"/>
          <w:spacing w:val="1"/>
          <w:sz w:val="32"/>
          <w:szCs w:val="32"/>
          <w:lang w:val="en-US" w:eastAsia="zh-CN"/>
        </w:rPr>
        <w:t>2</w:t>
      </w:r>
      <w:r>
        <w:rPr>
          <w:rFonts w:hint="eastAsia" w:ascii="仿宋" w:hAnsi="仿宋" w:eastAsia="仿宋" w:cs="仿宋"/>
          <w:spacing w:val="1"/>
          <w:sz w:val="32"/>
          <w:szCs w:val="32"/>
          <w:lang w:eastAsia="zh-CN"/>
        </w:rPr>
        <w:t>小时以内响应并到达项目所在地。</w:t>
      </w:r>
    </w:p>
    <w:p w14:paraId="2BF6BDD1">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eastAsia="zh-CN"/>
        </w:rPr>
      </w:pPr>
      <w:r>
        <w:rPr>
          <w:rFonts w:hint="eastAsia" w:ascii="仿宋" w:hAnsi="仿宋" w:eastAsia="仿宋" w:cs="仿宋"/>
          <w:spacing w:val="1"/>
          <w:sz w:val="32"/>
          <w:szCs w:val="32"/>
          <w:lang w:val="en-US" w:eastAsia="zh-CN"/>
        </w:rPr>
        <w:t>4.</w:t>
      </w:r>
      <w:r>
        <w:rPr>
          <w:rFonts w:hint="eastAsia" w:ascii="仿宋" w:hAnsi="仿宋" w:eastAsia="仿宋" w:cs="仿宋"/>
          <w:spacing w:val="1"/>
          <w:sz w:val="32"/>
          <w:szCs w:val="32"/>
          <w:lang w:eastAsia="zh-CN"/>
        </w:rPr>
        <w:t>付款方式：</w:t>
      </w:r>
      <w:r>
        <w:rPr>
          <w:rFonts w:hint="eastAsia" w:ascii="仿宋" w:hAnsi="仿宋" w:eastAsia="仿宋" w:cs="仿宋"/>
          <w:spacing w:val="1"/>
          <w:sz w:val="32"/>
          <w:szCs w:val="32"/>
          <w:lang w:val="en-US" w:eastAsia="zh-CN"/>
        </w:rPr>
        <w:t>合同到期开展病媒生物防制工作</w:t>
      </w:r>
      <w:r>
        <w:rPr>
          <w:rFonts w:hint="eastAsia" w:ascii="仿宋" w:hAnsi="仿宋" w:eastAsia="仿宋" w:cs="仿宋"/>
          <w:spacing w:val="1"/>
          <w:sz w:val="32"/>
          <w:szCs w:val="32"/>
          <w:lang w:eastAsia="zh-CN"/>
        </w:rPr>
        <w:t>服务完成经</w:t>
      </w:r>
      <w:r>
        <w:rPr>
          <w:rFonts w:hint="eastAsia" w:ascii="仿宋" w:hAnsi="仿宋" w:eastAsia="仿宋" w:cs="仿宋"/>
          <w:spacing w:val="1"/>
          <w:sz w:val="32"/>
          <w:szCs w:val="32"/>
          <w:lang w:val="en-US" w:eastAsia="zh-CN"/>
        </w:rPr>
        <w:t>采购人</w:t>
      </w:r>
      <w:r>
        <w:rPr>
          <w:rFonts w:hint="eastAsia" w:ascii="仿宋" w:hAnsi="仿宋" w:eastAsia="仿宋" w:cs="仿宋"/>
          <w:spacing w:val="1"/>
          <w:sz w:val="32"/>
          <w:szCs w:val="32"/>
          <w:lang w:eastAsia="zh-CN"/>
        </w:rPr>
        <w:t>验收合格之后一次性付清，不计利息。</w:t>
      </w:r>
    </w:p>
    <w:p w14:paraId="09660650">
      <w:pPr>
        <w:keepNext w:val="0"/>
        <w:keepLines w:val="0"/>
        <w:pageBreakBefore w:val="0"/>
        <w:widowControl/>
        <w:kinsoku/>
        <w:wordWrap w:val="0"/>
        <w:overflowPunct/>
        <w:topLinePunct w:val="0"/>
        <w:autoSpaceDE/>
        <w:autoSpaceDN/>
        <w:bidi w:val="0"/>
        <w:adjustRightInd/>
        <w:snapToGrid/>
        <w:spacing w:line="500" w:lineRule="exact"/>
        <w:ind w:firstLine="644" w:firstLineChars="200"/>
        <w:jc w:val="both"/>
        <w:textAlignment w:val="auto"/>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5.</w:t>
      </w:r>
      <w:r>
        <w:rPr>
          <w:rFonts w:hint="eastAsia" w:ascii="仿宋" w:hAnsi="仿宋" w:eastAsia="仿宋" w:cs="仿宋"/>
          <w:spacing w:val="1"/>
          <w:sz w:val="32"/>
          <w:szCs w:val="32"/>
          <w:lang w:eastAsia="zh-CN"/>
        </w:rPr>
        <w:t>若有</w:t>
      </w:r>
      <w:r>
        <w:rPr>
          <w:rFonts w:hint="eastAsia" w:ascii="仿宋" w:hAnsi="仿宋" w:eastAsia="仿宋" w:cs="仿宋"/>
          <w:spacing w:val="1"/>
          <w:sz w:val="32"/>
          <w:szCs w:val="32"/>
          <w:lang w:val="en-US" w:eastAsia="zh-CN"/>
        </w:rPr>
        <w:t>成交服务商</w:t>
      </w:r>
      <w:r>
        <w:rPr>
          <w:rFonts w:hint="eastAsia" w:ascii="仿宋" w:hAnsi="仿宋" w:eastAsia="仿宋" w:cs="仿宋"/>
          <w:spacing w:val="1"/>
          <w:sz w:val="32"/>
          <w:szCs w:val="32"/>
          <w:lang w:eastAsia="zh-CN"/>
        </w:rPr>
        <w:t>不履行签订合同或不能完成其合同履行义务的，在项目实施过程</w:t>
      </w:r>
      <w:r>
        <w:rPr>
          <w:rFonts w:hint="eastAsia" w:ascii="仿宋" w:hAnsi="仿宋" w:eastAsia="仿宋" w:cs="仿宋"/>
          <w:spacing w:val="1"/>
          <w:sz w:val="32"/>
          <w:szCs w:val="32"/>
          <w:lang w:val="en-US" w:eastAsia="zh-CN"/>
        </w:rPr>
        <w:t>中，如发现有挂靠、转包、违法分包并经查实，采购人项目实施单位将依法处理，有权终止合同并拉入政府采购黑名单。</w:t>
      </w:r>
    </w:p>
    <w:p w14:paraId="48C7DDF8">
      <w:pPr>
        <w:pStyle w:val="5"/>
        <w:keepNext w:val="0"/>
        <w:keepLines w:val="0"/>
        <w:pageBreakBefore w:val="0"/>
        <w:widowControl/>
        <w:wordWrap w:val="0"/>
        <w:overflowPunct/>
        <w:topLinePunct w:val="0"/>
        <w:bidi w:val="0"/>
        <w:spacing w:after="0" w:afterLines="0" w:line="500" w:lineRule="exact"/>
        <w:ind w:right="0" w:firstLine="644" w:firstLineChars="200"/>
        <w:jc w:val="both"/>
        <w:rPr>
          <w:rFonts w:hint="default"/>
          <w:lang w:val="en-US" w:eastAsia="zh-CN"/>
        </w:rPr>
      </w:pPr>
      <w:r>
        <w:rPr>
          <w:rFonts w:hint="eastAsia" w:ascii="仿宋" w:hAnsi="仿宋" w:eastAsia="仿宋" w:cs="仿宋"/>
          <w:spacing w:val="1"/>
          <w:sz w:val="32"/>
          <w:szCs w:val="32"/>
          <w:lang w:val="en-US" w:eastAsia="zh-CN"/>
        </w:rPr>
        <w:t>6.保证金缴纳：有意向参与竞价的公司需缴纳0.35万元人民币作为投标保证金，方可进行竞价报名。同时在正式合同签署之前还要缴纳2万元（不计利息）的履约保证金。保证金必须以转账方式缴入业主指定的账户中，</w:t>
      </w:r>
      <w:r>
        <w:rPr>
          <w:rFonts w:hint="eastAsia" w:ascii="仿宋" w:hAnsi="仿宋" w:eastAsia="仿宋" w:cs="仿宋"/>
          <w:color w:val="auto"/>
          <w:sz w:val="32"/>
          <w:szCs w:val="32"/>
          <w:lang w:val="en-US" w:eastAsia="zh-CN"/>
        </w:rPr>
        <w:t>户名：吉安县卫生健康委员会，开户行：九江银行股份有限公司吉安支行，账号：757129100000015940，</w:t>
      </w:r>
      <w:r>
        <w:rPr>
          <w:rFonts w:hint="eastAsia" w:ascii="仿宋" w:hAnsi="仿宋" w:eastAsia="仿宋" w:cs="仿宋"/>
          <w:spacing w:val="1"/>
          <w:sz w:val="32"/>
          <w:szCs w:val="32"/>
          <w:lang w:val="en-US" w:eastAsia="zh-CN"/>
        </w:rPr>
        <w:t>同时必须注明项目名称。如未在规定时间内进行转账，则服务商的响应无效。</w:t>
      </w:r>
    </w:p>
    <w:p w14:paraId="22880C6C">
      <w:pPr>
        <w:keepNext w:val="0"/>
        <w:keepLines w:val="0"/>
        <w:pageBreakBefore w:val="0"/>
        <w:widowControl/>
        <w:kinsoku/>
        <w:wordWrap/>
        <w:overflowPunct/>
        <w:topLinePunct w:val="0"/>
        <w:autoSpaceDE/>
        <w:autoSpaceDN/>
        <w:bidi w:val="0"/>
        <w:adjustRightInd/>
        <w:snapToGrid/>
        <w:spacing w:line="500" w:lineRule="exact"/>
        <w:ind w:firstLine="62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pacing w:val="-5"/>
          <w:sz w:val="32"/>
          <w:szCs w:val="32"/>
          <w:lang w:eastAsia="zh-CN"/>
        </w:rPr>
        <w:t>四、</w:t>
      </w:r>
      <w:r>
        <w:rPr>
          <w:rFonts w:hint="eastAsia" w:ascii="黑体" w:hAnsi="黑体" w:eastAsia="黑体" w:cs="黑体"/>
          <w:b w:val="0"/>
          <w:bCs w:val="0"/>
          <w:spacing w:val="-5"/>
          <w:sz w:val="32"/>
          <w:szCs w:val="32"/>
          <w:lang w:val="en-US" w:eastAsia="zh-CN"/>
        </w:rPr>
        <w:t>服务商</w:t>
      </w:r>
      <w:r>
        <w:rPr>
          <w:rFonts w:hint="eastAsia" w:ascii="黑体" w:hAnsi="黑体" w:eastAsia="黑体" w:cs="黑体"/>
          <w:b w:val="0"/>
          <w:bCs w:val="0"/>
          <w:spacing w:val="-5"/>
          <w:sz w:val="32"/>
          <w:szCs w:val="32"/>
          <w:lang w:eastAsia="zh-CN"/>
        </w:rPr>
        <w:t>的资格要求</w:t>
      </w:r>
    </w:p>
    <w:p w14:paraId="21B4CB2E">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16"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pacing w:val="-6"/>
          <w:sz w:val="32"/>
          <w:szCs w:val="32"/>
          <w:lang w:eastAsia="zh-CN"/>
        </w:rPr>
        <w:t>1</w:t>
      </w:r>
      <w:r>
        <w:rPr>
          <w:rFonts w:hint="eastAsia" w:ascii="仿宋" w:hAnsi="仿宋" w:eastAsia="仿宋" w:cs="仿宋"/>
          <w:color w:val="auto"/>
          <w:spacing w:val="-6"/>
          <w:sz w:val="32"/>
          <w:szCs w:val="32"/>
          <w:lang w:val="en-US" w:eastAsia="zh-CN"/>
        </w:rPr>
        <w:t>.服务商</w:t>
      </w:r>
      <w:r>
        <w:rPr>
          <w:rFonts w:hint="eastAsia" w:ascii="仿宋" w:hAnsi="仿宋" w:eastAsia="仿宋" w:cs="仿宋"/>
          <w:color w:val="auto"/>
          <w:spacing w:val="-6"/>
          <w:sz w:val="32"/>
          <w:szCs w:val="32"/>
          <w:lang w:eastAsia="zh-CN"/>
        </w:rPr>
        <w:t>根据单位性质提供相应</w:t>
      </w:r>
      <w:r>
        <w:rPr>
          <w:rFonts w:hint="eastAsia" w:ascii="仿宋" w:hAnsi="仿宋" w:eastAsia="仿宋" w:cs="仿宋"/>
          <w:color w:val="auto"/>
          <w:spacing w:val="-7"/>
          <w:sz w:val="32"/>
          <w:szCs w:val="32"/>
          <w:lang w:eastAsia="zh-CN"/>
        </w:rPr>
        <w:t>的证明：</w:t>
      </w:r>
      <w:r>
        <w:rPr>
          <w:rFonts w:hint="eastAsia" w:ascii="仿宋" w:hAnsi="仿宋" w:eastAsia="仿宋" w:cs="仿宋"/>
          <w:color w:val="auto"/>
          <w:sz w:val="32"/>
          <w:szCs w:val="32"/>
          <w:lang w:eastAsia="zh-CN"/>
        </w:rPr>
        <w:t>如营业执照、民办非企业证、统一社会信用代码证书或自然人的身份证等，提</w:t>
      </w:r>
      <w:r>
        <w:rPr>
          <w:rFonts w:hint="eastAsia" w:ascii="仿宋" w:hAnsi="仿宋" w:eastAsia="仿宋" w:cs="仿宋"/>
          <w:color w:val="auto"/>
          <w:spacing w:val="-2"/>
          <w:sz w:val="32"/>
          <w:szCs w:val="32"/>
          <w:lang w:eastAsia="zh-CN"/>
        </w:rPr>
        <w:t>供原件或复印件加盖</w:t>
      </w:r>
      <w:r>
        <w:rPr>
          <w:rFonts w:hint="eastAsia" w:ascii="仿宋" w:hAnsi="仿宋" w:eastAsia="仿宋" w:cs="仿宋"/>
          <w:color w:val="auto"/>
          <w:spacing w:val="-2"/>
          <w:sz w:val="32"/>
          <w:szCs w:val="32"/>
          <w:lang w:val="en-US" w:eastAsia="zh-CN"/>
        </w:rPr>
        <w:t>单位</w:t>
      </w:r>
      <w:r>
        <w:rPr>
          <w:rFonts w:hint="eastAsia" w:ascii="仿宋" w:hAnsi="仿宋" w:eastAsia="仿宋" w:cs="仿宋"/>
          <w:color w:val="auto"/>
          <w:spacing w:val="-2"/>
          <w:sz w:val="32"/>
          <w:szCs w:val="32"/>
          <w:lang w:eastAsia="zh-CN"/>
        </w:rPr>
        <w:t>公章</w:t>
      </w:r>
      <w:r>
        <w:rPr>
          <w:rFonts w:hint="eastAsia" w:ascii="仿宋" w:hAnsi="仿宋" w:eastAsia="仿宋" w:cs="仿宋"/>
          <w:color w:val="auto"/>
          <w:sz w:val="32"/>
          <w:szCs w:val="32"/>
          <w:lang w:eastAsia="zh-CN"/>
        </w:rPr>
        <w:t>；</w:t>
      </w:r>
    </w:p>
    <w:p w14:paraId="00C47F64">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具有履行合同所必须的设备、</w:t>
      </w:r>
      <w:r>
        <w:rPr>
          <w:rFonts w:hint="eastAsia" w:ascii="仿宋" w:hAnsi="仿宋" w:eastAsia="仿宋" w:cs="仿宋"/>
          <w:color w:val="auto"/>
          <w:sz w:val="32"/>
          <w:szCs w:val="32"/>
          <w:lang w:val="en-US" w:eastAsia="zh-CN"/>
        </w:rPr>
        <w:t>人员配备</w:t>
      </w:r>
      <w:r>
        <w:rPr>
          <w:rFonts w:hint="eastAsia" w:ascii="仿宋" w:hAnsi="仿宋" w:eastAsia="仿宋" w:cs="仿宋"/>
          <w:color w:val="auto"/>
          <w:sz w:val="32"/>
          <w:szCs w:val="32"/>
          <w:lang w:eastAsia="zh-CN"/>
        </w:rPr>
        <w:t>和专业技术</w:t>
      </w:r>
      <w:r>
        <w:rPr>
          <w:rFonts w:hint="eastAsia" w:ascii="仿宋" w:hAnsi="仿宋" w:eastAsia="仿宋" w:cs="仿宋"/>
          <w:color w:val="auto"/>
          <w:sz w:val="32"/>
          <w:szCs w:val="32"/>
          <w:lang w:val="en-US" w:eastAsia="zh-CN"/>
        </w:rPr>
        <w:t>服务</w:t>
      </w:r>
      <w:r>
        <w:rPr>
          <w:rFonts w:hint="eastAsia" w:ascii="仿宋" w:hAnsi="仿宋" w:eastAsia="仿宋" w:cs="仿宋"/>
          <w:color w:val="auto"/>
          <w:sz w:val="32"/>
          <w:szCs w:val="32"/>
          <w:lang w:eastAsia="zh-CN"/>
        </w:rPr>
        <w:t>能力（提供承诺函</w:t>
      </w:r>
      <w:r>
        <w:rPr>
          <w:rFonts w:hint="eastAsia" w:ascii="仿宋" w:hAnsi="仿宋" w:eastAsia="仿宋" w:cs="仿宋"/>
          <w:color w:val="auto"/>
          <w:sz w:val="32"/>
          <w:szCs w:val="32"/>
          <w:lang w:val="en-US" w:eastAsia="zh-CN"/>
        </w:rPr>
        <w:t>及设备、人员资质、专业技术服务能力相关佐证材料并</w:t>
      </w:r>
      <w:r>
        <w:rPr>
          <w:rFonts w:hint="eastAsia" w:ascii="仿宋" w:hAnsi="仿宋" w:eastAsia="仿宋" w:cs="仿宋"/>
          <w:color w:val="auto"/>
          <w:sz w:val="32"/>
          <w:szCs w:val="32"/>
          <w:lang w:eastAsia="zh-CN"/>
        </w:rPr>
        <w:t>加盖公章</w:t>
      </w:r>
      <w:r>
        <w:rPr>
          <w:rFonts w:hint="eastAsia" w:ascii="仿宋" w:hAnsi="仿宋" w:eastAsia="仿宋" w:cs="仿宋"/>
          <w:color w:val="auto"/>
          <w:spacing w:val="-46"/>
          <w:sz w:val="32"/>
          <w:szCs w:val="32"/>
          <w:lang w:eastAsia="zh-CN"/>
        </w:rPr>
        <w:t>）；</w:t>
      </w:r>
    </w:p>
    <w:p w14:paraId="55970098">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3.公司所有人员具</w:t>
      </w:r>
      <w:r>
        <w:rPr>
          <w:rFonts w:hint="eastAsia" w:ascii="仿宋" w:hAnsi="仿宋" w:eastAsia="仿宋" w:cs="仿宋"/>
          <w:color w:val="auto"/>
          <w:sz w:val="32"/>
          <w:szCs w:val="32"/>
          <w:lang w:eastAsia="zh-CN"/>
        </w:rPr>
        <w:t>有依法缴纳税收和社会保</w:t>
      </w:r>
      <w:r>
        <w:rPr>
          <w:rFonts w:hint="eastAsia" w:ascii="仿宋" w:hAnsi="仿宋" w:eastAsia="仿宋" w:cs="仿宋"/>
          <w:color w:val="auto"/>
          <w:sz w:val="32"/>
          <w:szCs w:val="32"/>
          <w:lang w:val="en-US" w:eastAsia="zh-CN"/>
        </w:rPr>
        <w:t>险费</w:t>
      </w:r>
      <w:r>
        <w:rPr>
          <w:rFonts w:hint="eastAsia" w:ascii="仿宋" w:hAnsi="仿宋" w:eastAsia="仿宋" w:cs="仿宋"/>
          <w:color w:val="auto"/>
          <w:sz w:val="32"/>
          <w:szCs w:val="32"/>
          <w:lang w:eastAsia="zh-CN"/>
        </w:rPr>
        <w:t>的良好记录（提供承诺函</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lang w:eastAsia="zh-CN"/>
        </w:rPr>
        <w:t>依法缴纳</w:t>
      </w:r>
      <w:r>
        <w:rPr>
          <w:rFonts w:hint="eastAsia" w:ascii="仿宋" w:hAnsi="仿宋" w:eastAsia="仿宋" w:cs="仿宋"/>
          <w:color w:val="auto"/>
          <w:sz w:val="32"/>
          <w:szCs w:val="32"/>
          <w:lang w:val="en-US" w:eastAsia="zh-CN"/>
        </w:rPr>
        <w:t>税收及社会保险费缴纳证明复印件</w:t>
      </w:r>
      <w:r>
        <w:rPr>
          <w:rFonts w:hint="eastAsia" w:ascii="仿宋" w:hAnsi="仿宋" w:eastAsia="仿宋" w:cs="仿宋"/>
          <w:color w:val="auto"/>
          <w:sz w:val="32"/>
          <w:szCs w:val="32"/>
          <w:lang w:eastAsia="zh-CN"/>
        </w:rPr>
        <w:t>加盖公章</w:t>
      </w:r>
      <w:r>
        <w:rPr>
          <w:rFonts w:hint="eastAsia" w:ascii="仿宋" w:hAnsi="仿宋" w:eastAsia="仿宋" w:cs="仿宋"/>
          <w:color w:val="auto"/>
          <w:spacing w:val="-46"/>
          <w:sz w:val="32"/>
          <w:szCs w:val="32"/>
          <w:lang w:eastAsia="zh-CN"/>
        </w:rPr>
        <w:t>）；</w:t>
      </w:r>
    </w:p>
    <w:p w14:paraId="2ED1BB0D">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具有良好的商业信誉和健全的财务会计制度（提供承诺函</w:t>
      </w:r>
      <w:r>
        <w:rPr>
          <w:rFonts w:hint="eastAsia" w:ascii="仿宋" w:hAnsi="仿宋" w:eastAsia="仿宋" w:cs="仿宋"/>
          <w:color w:val="auto"/>
          <w:sz w:val="32"/>
          <w:szCs w:val="32"/>
          <w:lang w:val="en-US" w:eastAsia="zh-CN"/>
        </w:rPr>
        <w:t>及相关佐证材料并</w:t>
      </w:r>
      <w:r>
        <w:rPr>
          <w:rFonts w:hint="eastAsia" w:ascii="仿宋" w:hAnsi="仿宋" w:eastAsia="仿宋" w:cs="仿宋"/>
          <w:color w:val="auto"/>
          <w:sz w:val="32"/>
          <w:szCs w:val="32"/>
          <w:lang w:eastAsia="zh-CN"/>
        </w:rPr>
        <w:t>加盖公章</w:t>
      </w:r>
      <w:r>
        <w:rPr>
          <w:rFonts w:hint="eastAsia" w:ascii="仿宋" w:hAnsi="仿宋" w:eastAsia="仿宋" w:cs="仿宋"/>
          <w:color w:val="auto"/>
          <w:spacing w:val="-46"/>
          <w:sz w:val="32"/>
          <w:szCs w:val="32"/>
          <w:lang w:eastAsia="zh-CN"/>
        </w:rPr>
        <w:t>）；</w:t>
      </w:r>
    </w:p>
    <w:p w14:paraId="43B25E52">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参加本次采购活动前三年内,在经营活动中没有违法违规记录（提供承诺函</w:t>
      </w:r>
      <w:r>
        <w:rPr>
          <w:rFonts w:hint="eastAsia" w:ascii="仿宋" w:hAnsi="仿宋" w:eastAsia="仿宋" w:cs="仿宋"/>
          <w:color w:val="auto"/>
          <w:sz w:val="32"/>
          <w:szCs w:val="32"/>
          <w:lang w:val="en-US" w:eastAsia="zh-CN"/>
        </w:rPr>
        <w:t>相关佐证材料并</w:t>
      </w:r>
      <w:r>
        <w:rPr>
          <w:rFonts w:hint="eastAsia" w:ascii="仿宋" w:hAnsi="仿宋" w:eastAsia="仿宋" w:cs="仿宋"/>
          <w:color w:val="auto"/>
          <w:sz w:val="32"/>
          <w:szCs w:val="32"/>
          <w:lang w:eastAsia="zh-CN"/>
        </w:rPr>
        <w:t>加盖公章）；</w:t>
      </w:r>
    </w:p>
    <w:p w14:paraId="7BA87A47">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服务商被“信用中国”网站列入失信被执行人和重大税收违法案件当事人名单的、被“中国政府采购网”网站列入政府采购严重违法失信行为记录名单(处罚期限尚未届满的)，不得参与本项目的采购活动。必须提供至开标截止前服务商信用证明。</w:t>
      </w:r>
    </w:p>
    <w:p w14:paraId="426EA1A3">
      <w:pPr>
        <w:pStyle w:val="2"/>
        <w:pageBreakBefore w:val="0"/>
        <w:widowControl/>
        <w:kinsoku/>
        <w:wordWrap/>
        <w:overflowPunct/>
        <w:topLinePunct w:val="0"/>
        <w:autoSpaceDE/>
        <w:autoSpaceDN/>
        <w:bidi w:val="0"/>
        <w:adjustRightInd/>
        <w:snapToGrid/>
        <w:spacing w:before="0" w:after="0" w:line="240" w:lineRule="auto"/>
        <w:ind w:firstLine="640" w:firstLineChars="200"/>
        <w:jc w:val="both"/>
        <w:textAlignment w:val="auto"/>
        <w:rPr>
          <w:rFonts w:hint="default"/>
          <w:b w:val="0"/>
          <w:bCs w:val="0"/>
          <w:color w:val="auto"/>
          <w:lang w:val="en-US" w:eastAsia="zh-CN"/>
        </w:rPr>
      </w:pPr>
      <w:r>
        <w:rPr>
          <w:rFonts w:hint="eastAsia" w:ascii="仿宋" w:hAnsi="仿宋" w:eastAsia="仿宋" w:cs="仿宋"/>
          <w:b w:val="0"/>
          <w:bCs w:val="0"/>
          <w:color w:val="auto"/>
          <w:sz w:val="32"/>
          <w:szCs w:val="32"/>
          <w:lang w:eastAsia="zh-CN"/>
        </w:rPr>
        <w:t>以上</w:t>
      </w:r>
      <w:r>
        <w:rPr>
          <w:rFonts w:hint="eastAsia" w:ascii="仿宋" w:hAnsi="仿宋" w:eastAsia="仿宋" w:cs="仿宋"/>
          <w:b w:val="0"/>
          <w:bCs w:val="0"/>
          <w:color w:val="auto"/>
          <w:sz w:val="32"/>
          <w:szCs w:val="32"/>
          <w:lang w:val="en-US" w:eastAsia="zh-CN"/>
        </w:rPr>
        <w:t>1-6项资格要求作为承诺函的附件资料，在现场勘查时一并提交。</w:t>
      </w:r>
    </w:p>
    <w:p w14:paraId="19E4F72F">
      <w:pPr>
        <w:pageBreakBefore w:val="0"/>
        <w:overflowPunct/>
        <w:topLinePunct w:val="0"/>
        <w:bidi w:val="0"/>
        <w:spacing w:line="500" w:lineRule="exact"/>
        <w:ind w:firstLine="624"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pacing w:val="-4"/>
          <w:sz w:val="32"/>
          <w:szCs w:val="32"/>
          <w:lang w:eastAsia="zh-CN"/>
        </w:rPr>
        <w:t>五、</w:t>
      </w:r>
      <w:r>
        <w:rPr>
          <w:rFonts w:hint="eastAsia" w:ascii="黑体" w:hAnsi="黑体" w:eastAsia="黑体" w:cs="黑体"/>
          <w:b w:val="0"/>
          <w:bCs w:val="0"/>
          <w:spacing w:val="-4"/>
          <w:sz w:val="32"/>
          <w:szCs w:val="32"/>
          <w:lang w:val="en-US" w:eastAsia="zh-CN"/>
        </w:rPr>
        <w:t>服务商</w:t>
      </w:r>
      <w:r>
        <w:rPr>
          <w:rFonts w:hint="eastAsia" w:ascii="黑体" w:hAnsi="黑体" w:eastAsia="黑体" w:cs="黑体"/>
          <w:b w:val="0"/>
          <w:bCs w:val="0"/>
          <w:spacing w:val="-4"/>
          <w:sz w:val="32"/>
          <w:szCs w:val="32"/>
          <w:lang w:eastAsia="zh-CN"/>
        </w:rPr>
        <w:t>响应附件要求</w:t>
      </w:r>
    </w:p>
    <w:p w14:paraId="0B52EBB6">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承诺函</w:t>
      </w:r>
    </w:p>
    <w:p w14:paraId="29DCDE48">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b w:val="0"/>
          <w:bCs w:val="0"/>
          <w:color w:val="auto"/>
          <w:spacing w:val="-1"/>
          <w:sz w:val="32"/>
          <w:szCs w:val="32"/>
          <w:lang w:eastAsia="zh-CN"/>
        </w:rPr>
      </w:pPr>
      <w:r>
        <w:rPr>
          <w:rFonts w:hint="eastAsia" w:ascii="仿宋" w:hAnsi="仿宋" w:eastAsia="仿宋" w:cs="仿宋"/>
          <w:b w:val="0"/>
          <w:bCs w:val="0"/>
          <w:color w:val="auto"/>
          <w:sz w:val="32"/>
          <w:szCs w:val="32"/>
          <w:lang w:eastAsia="zh-CN"/>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lang w:eastAsia="zh-CN"/>
        </w:rPr>
        <w:t>营业执照、民办非企业证或组织机构代码证复印件（经营范围需符合项目需要或单位</w:t>
      </w:r>
      <w:r>
        <w:rPr>
          <w:rFonts w:hint="eastAsia" w:ascii="仿宋" w:hAnsi="仿宋" w:eastAsia="仿宋" w:cs="仿宋"/>
          <w:b w:val="0"/>
          <w:bCs w:val="0"/>
          <w:color w:val="auto"/>
          <w:spacing w:val="-1"/>
          <w:sz w:val="32"/>
          <w:szCs w:val="32"/>
          <w:lang w:eastAsia="zh-CN"/>
        </w:rPr>
        <w:t>职责符合项目需求，加盖服务商公章）；</w:t>
      </w:r>
    </w:p>
    <w:p w14:paraId="0A1A4908">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36" w:firstLineChars="200"/>
        <w:jc w:val="both"/>
        <w:textAlignment w:val="auto"/>
        <w:rPr>
          <w:rFonts w:hint="eastAsia" w:ascii="仿宋" w:hAnsi="仿宋" w:eastAsia="仿宋" w:cs="仿宋"/>
          <w:b w:val="0"/>
          <w:bCs w:val="0"/>
          <w:color w:val="auto"/>
          <w:spacing w:val="-1"/>
          <w:sz w:val="32"/>
          <w:szCs w:val="32"/>
          <w:lang w:val="en-US" w:eastAsia="zh-CN"/>
        </w:rPr>
      </w:pPr>
      <w:r>
        <w:rPr>
          <w:rFonts w:hint="eastAsia" w:ascii="仿宋" w:hAnsi="仿宋" w:eastAsia="仿宋" w:cs="仿宋"/>
          <w:b w:val="0"/>
          <w:bCs w:val="0"/>
          <w:color w:val="auto"/>
          <w:spacing w:val="-1"/>
          <w:sz w:val="32"/>
          <w:szCs w:val="32"/>
          <w:lang w:val="en-US" w:eastAsia="zh-CN"/>
        </w:rPr>
        <w:t>3.</w:t>
      </w:r>
      <w:r>
        <w:rPr>
          <w:rFonts w:hint="eastAsia" w:ascii="仿宋" w:hAnsi="仿宋" w:eastAsia="仿宋" w:cs="仿宋"/>
          <w:b w:val="0"/>
          <w:bCs w:val="0"/>
          <w:color w:val="auto"/>
          <w:spacing w:val="-1"/>
          <w:sz w:val="32"/>
          <w:szCs w:val="32"/>
          <w:lang w:eastAsia="zh-CN"/>
        </w:rPr>
        <w:t>所投药品农业部颁发的农药登记证、农药生产许可证、企业标准信息公共服务平台备案的企业标准</w:t>
      </w:r>
      <w:r>
        <w:rPr>
          <w:rFonts w:hint="eastAsia" w:ascii="仿宋" w:hAnsi="仿宋" w:eastAsia="仿宋" w:cs="仿宋"/>
          <w:b w:val="0"/>
          <w:bCs w:val="0"/>
          <w:color w:val="auto"/>
          <w:sz w:val="32"/>
          <w:szCs w:val="32"/>
          <w:lang w:eastAsia="zh-CN"/>
        </w:rPr>
        <w:t>（复印件加盖</w:t>
      </w:r>
      <w:r>
        <w:rPr>
          <w:rFonts w:hint="eastAsia" w:ascii="仿宋" w:hAnsi="仿宋" w:eastAsia="仿宋" w:cs="仿宋"/>
          <w:b w:val="0"/>
          <w:bCs w:val="0"/>
          <w:color w:val="auto"/>
          <w:sz w:val="32"/>
          <w:szCs w:val="32"/>
          <w:lang w:val="en-US" w:eastAsia="zh-CN"/>
        </w:rPr>
        <w:t>生产企业和服务商</w:t>
      </w:r>
      <w:r>
        <w:rPr>
          <w:rFonts w:hint="eastAsia" w:ascii="仿宋" w:hAnsi="仿宋" w:eastAsia="仿宋" w:cs="仿宋"/>
          <w:b w:val="0"/>
          <w:bCs w:val="0"/>
          <w:color w:val="auto"/>
          <w:spacing w:val="-2"/>
          <w:sz w:val="32"/>
          <w:szCs w:val="32"/>
          <w:lang w:eastAsia="zh-CN"/>
        </w:rPr>
        <w:t>公章）；</w:t>
      </w:r>
    </w:p>
    <w:p w14:paraId="59E4CB61">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40" w:firstLineChars="200"/>
        <w:jc w:val="both"/>
        <w:textAlignment w:val="auto"/>
        <w:rPr>
          <w:rFonts w:hint="eastAsia" w:ascii="仿宋" w:hAnsi="仿宋" w:eastAsia="仿宋" w:cs="仿宋"/>
          <w:b w:val="0"/>
          <w:bCs w:val="0"/>
          <w:color w:val="auto"/>
          <w:spacing w:val="-2"/>
          <w:sz w:val="32"/>
          <w:szCs w:val="32"/>
          <w:lang w:eastAsia="zh-CN"/>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eastAsia="zh-CN"/>
        </w:rPr>
        <w:t>法定代表人身份证</w:t>
      </w:r>
      <w:r>
        <w:rPr>
          <w:rFonts w:hint="eastAsia" w:ascii="仿宋" w:hAnsi="仿宋" w:eastAsia="仿宋" w:cs="仿宋"/>
          <w:b w:val="0"/>
          <w:bCs w:val="0"/>
          <w:color w:val="auto"/>
          <w:sz w:val="32"/>
          <w:szCs w:val="32"/>
          <w:lang w:val="en-US" w:eastAsia="zh-CN"/>
        </w:rPr>
        <w:t>或授权委托书</w:t>
      </w:r>
      <w:r>
        <w:rPr>
          <w:rFonts w:hint="eastAsia" w:ascii="仿宋" w:hAnsi="仿宋" w:eastAsia="仿宋" w:cs="仿宋"/>
          <w:b w:val="0"/>
          <w:bCs w:val="0"/>
          <w:color w:val="auto"/>
          <w:sz w:val="32"/>
          <w:szCs w:val="32"/>
          <w:lang w:eastAsia="zh-CN"/>
        </w:rPr>
        <w:t>（复印件加盖服务商</w:t>
      </w:r>
      <w:r>
        <w:rPr>
          <w:rFonts w:hint="eastAsia" w:ascii="仿宋" w:hAnsi="仿宋" w:eastAsia="仿宋" w:cs="仿宋"/>
          <w:b w:val="0"/>
          <w:bCs w:val="0"/>
          <w:color w:val="auto"/>
          <w:spacing w:val="-2"/>
          <w:sz w:val="32"/>
          <w:szCs w:val="32"/>
          <w:lang w:eastAsia="zh-CN"/>
        </w:rPr>
        <w:t>公章）；</w:t>
      </w:r>
    </w:p>
    <w:p w14:paraId="488C1F28">
      <w:pPr>
        <w:pStyle w:val="5"/>
        <w:keepNext w:val="0"/>
        <w:keepLines w:val="0"/>
        <w:pageBreakBefore w:val="0"/>
        <w:widowControl/>
        <w:kinsoku/>
        <w:wordWrap/>
        <w:overflowPunct/>
        <w:topLinePunct w:val="0"/>
        <w:autoSpaceDE/>
        <w:autoSpaceDN/>
        <w:bidi w:val="0"/>
        <w:adjustRightInd/>
        <w:snapToGrid/>
        <w:spacing w:after="0" w:afterLines="0" w:line="500" w:lineRule="exact"/>
        <w:ind w:firstLine="632" w:firstLineChars="200"/>
        <w:jc w:val="both"/>
        <w:textAlignment w:val="auto"/>
        <w:rPr>
          <w:rFonts w:hint="eastAsia" w:ascii="仿宋" w:hAnsi="仿宋" w:eastAsia="仿宋" w:cs="仿宋"/>
          <w:b w:val="0"/>
          <w:bCs w:val="0"/>
          <w:color w:val="auto"/>
          <w:spacing w:val="-2"/>
          <w:sz w:val="32"/>
          <w:szCs w:val="32"/>
          <w:lang w:val="en-US" w:eastAsia="zh-CN"/>
        </w:rPr>
      </w:pPr>
      <w:r>
        <w:rPr>
          <w:rFonts w:hint="eastAsia" w:ascii="仿宋" w:hAnsi="仿宋" w:eastAsia="仿宋" w:cs="仿宋"/>
          <w:b w:val="0"/>
          <w:bCs w:val="0"/>
          <w:color w:val="auto"/>
          <w:spacing w:val="-2"/>
          <w:sz w:val="32"/>
          <w:szCs w:val="32"/>
          <w:lang w:val="en-US" w:eastAsia="zh-CN"/>
        </w:rPr>
        <w:t>5.提供公共外环境病媒生物防制A级资质证书，且需提供近三年做过县级及以上同类项目的业绩合同(复印件并加盖服务商公章)。</w:t>
      </w:r>
    </w:p>
    <w:p w14:paraId="3C054621">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6.现场勘查证明。</w:t>
      </w:r>
    </w:p>
    <w:p w14:paraId="6B96E326">
      <w:pPr>
        <w:pageBreakBefore w:val="0"/>
        <w:overflowPunct/>
        <w:topLinePunct w:val="0"/>
        <w:bidi w:val="0"/>
        <w:spacing w:line="500" w:lineRule="exact"/>
        <w:ind w:firstLine="623" w:firstLineChars="200"/>
        <w:jc w:val="both"/>
        <w:rPr>
          <w:rFonts w:hint="eastAsia" w:ascii="仿宋" w:hAnsi="仿宋" w:eastAsia="仿宋" w:cs="仿宋"/>
          <w:color w:val="auto"/>
          <w:sz w:val="32"/>
          <w:szCs w:val="32"/>
          <w:lang w:val="en-US" w:eastAsia="zh-CN"/>
        </w:rPr>
      </w:pPr>
      <w:r>
        <w:rPr>
          <w:rFonts w:hint="eastAsia" w:ascii="仿宋" w:hAnsi="仿宋" w:eastAsia="仿宋" w:cs="仿宋"/>
          <w:b/>
          <w:bCs/>
          <w:spacing w:val="-5"/>
          <w:sz w:val="32"/>
          <w:szCs w:val="32"/>
          <w:lang w:eastAsia="zh-CN"/>
        </w:rPr>
        <w:t>以上</w:t>
      </w:r>
      <w:r>
        <w:rPr>
          <w:rFonts w:hint="eastAsia" w:ascii="仿宋" w:hAnsi="仿宋" w:eastAsia="仿宋" w:cs="仿宋"/>
          <w:spacing w:val="-45"/>
          <w:sz w:val="32"/>
          <w:szCs w:val="32"/>
          <w:lang w:eastAsia="zh-CN"/>
        </w:rPr>
        <w:t xml:space="preserve"> </w:t>
      </w:r>
      <w:r>
        <w:rPr>
          <w:rFonts w:hint="eastAsia" w:ascii="仿宋" w:hAnsi="仿宋" w:eastAsia="仿宋" w:cs="仿宋"/>
          <w:b/>
          <w:bCs/>
          <w:spacing w:val="-5"/>
          <w:sz w:val="32"/>
          <w:szCs w:val="32"/>
          <w:lang w:eastAsia="zh-CN"/>
        </w:rPr>
        <w:t>1</w:t>
      </w:r>
      <w:r>
        <w:rPr>
          <w:rFonts w:hint="eastAsia" w:ascii="仿宋" w:hAnsi="仿宋" w:eastAsia="仿宋" w:cs="仿宋"/>
          <w:spacing w:val="-50"/>
          <w:sz w:val="32"/>
          <w:szCs w:val="32"/>
          <w:lang w:eastAsia="zh-CN"/>
        </w:rPr>
        <w:t xml:space="preserve"> </w:t>
      </w:r>
      <w:r>
        <w:rPr>
          <w:rFonts w:hint="eastAsia" w:ascii="仿宋" w:hAnsi="仿宋" w:eastAsia="仿宋" w:cs="仿宋"/>
          <w:b/>
          <w:bCs/>
          <w:spacing w:val="-5"/>
          <w:sz w:val="32"/>
          <w:szCs w:val="32"/>
          <w:lang w:eastAsia="zh-CN"/>
        </w:rPr>
        <w:t>至</w:t>
      </w:r>
      <w:r>
        <w:rPr>
          <w:rFonts w:hint="eastAsia" w:ascii="仿宋" w:hAnsi="仿宋" w:eastAsia="仿宋" w:cs="仿宋"/>
          <w:spacing w:val="-45"/>
          <w:sz w:val="32"/>
          <w:szCs w:val="32"/>
          <w:lang w:eastAsia="zh-CN"/>
        </w:rPr>
        <w:t xml:space="preserve"> </w:t>
      </w:r>
      <w:r>
        <w:rPr>
          <w:rFonts w:hint="eastAsia" w:ascii="仿宋" w:hAnsi="仿宋" w:eastAsia="仿宋" w:cs="仿宋"/>
          <w:b/>
          <w:bCs/>
          <w:spacing w:val="-5"/>
          <w:sz w:val="32"/>
          <w:szCs w:val="32"/>
          <w:lang w:val="en-US" w:eastAsia="zh-CN"/>
        </w:rPr>
        <w:t>6</w:t>
      </w:r>
      <w:r>
        <w:rPr>
          <w:rFonts w:hint="eastAsia" w:ascii="仿宋" w:hAnsi="仿宋" w:eastAsia="仿宋" w:cs="仿宋"/>
          <w:b/>
          <w:bCs/>
          <w:spacing w:val="-5"/>
          <w:sz w:val="32"/>
          <w:szCs w:val="32"/>
          <w:lang w:eastAsia="zh-CN"/>
        </w:rPr>
        <w:t>项资料</w:t>
      </w:r>
      <w:r>
        <w:rPr>
          <w:rFonts w:hint="eastAsia" w:ascii="仿宋" w:hAnsi="仿宋" w:eastAsia="仿宋" w:cs="仿宋"/>
          <w:b/>
          <w:bCs/>
          <w:spacing w:val="-5"/>
          <w:sz w:val="32"/>
          <w:szCs w:val="32"/>
          <w:lang w:val="en-US" w:eastAsia="zh-CN"/>
        </w:rPr>
        <w:t>按</w:t>
      </w:r>
      <w:r>
        <w:rPr>
          <w:rFonts w:hint="eastAsia" w:ascii="仿宋" w:hAnsi="仿宋" w:eastAsia="仿宋" w:cs="仿宋"/>
          <w:b/>
          <w:bCs/>
          <w:spacing w:val="-5"/>
          <w:sz w:val="32"/>
          <w:szCs w:val="32"/>
          <w:lang w:eastAsia="zh-CN"/>
        </w:rPr>
        <w:t>要求盖章后上传扫描件作为</w:t>
      </w:r>
      <w:r>
        <w:rPr>
          <w:rFonts w:hint="eastAsia" w:ascii="仿宋" w:hAnsi="仿宋" w:eastAsia="仿宋" w:cs="仿宋"/>
          <w:b/>
          <w:bCs/>
          <w:spacing w:val="-6"/>
          <w:sz w:val="32"/>
          <w:szCs w:val="32"/>
          <w:lang w:eastAsia="zh-CN"/>
        </w:rPr>
        <w:t>服务商响应附件，</w:t>
      </w:r>
      <w:r>
        <w:rPr>
          <w:rFonts w:hint="eastAsia" w:ascii="仿宋" w:hAnsi="仿宋" w:eastAsia="仿宋" w:cs="仿宋"/>
          <w:b/>
          <w:bCs/>
          <w:color w:val="auto"/>
          <w:spacing w:val="-6"/>
          <w:sz w:val="32"/>
          <w:szCs w:val="32"/>
          <w:lang w:val="en-US" w:eastAsia="zh-CN"/>
        </w:rPr>
        <w:t>未提供或提供不符合要求作无效投标处理。</w:t>
      </w:r>
    </w:p>
    <w:p w14:paraId="715EBD16">
      <w:pPr>
        <w:pageBreakBefore w:val="0"/>
        <w:overflowPunct/>
        <w:topLinePunct w:val="0"/>
        <w:bidi w:val="0"/>
        <w:spacing w:line="500" w:lineRule="exact"/>
        <w:ind w:firstLine="62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pacing w:val="-5"/>
          <w:sz w:val="32"/>
          <w:szCs w:val="32"/>
          <w:lang w:eastAsia="zh-CN"/>
        </w:rPr>
        <w:t>六、其他补充事宜</w:t>
      </w:r>
    </w:p>
    <w:p w14:paraId="7DBACFC5">
      <w:pPr>
        <w:pStyle w:val="5"/>
        <w:keepNext w:val="0"/>
        <w:keepLines w:val="0"/>
        <w:pageBreakBefore w:val="0"/>
        <w:widowControl/>
        <w:wordWrap w:val="0"/>
        <w:overflowPunct/>
        <w:topLinePunct w:val="0"/>
        <w:bidi w:val="0"/>
        <w:spacing w:after="0" w:afterLines="0" w:line="500" w:lineRule="exac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1、本项目不接受联合体竞标，不能转包分包。</w:t>
      </w:r>
    </w:p>
    <w:p w14:paraId="699EBF3E">
      <w:pPr>
        <w:pStyle w:val="5"/>
        <w:keepNext w:val="0"/>
        <w:keepLines w:val="0"/>
        <w:pageBreakBefore w:val="0"/>
        <w:widowControl/>
        <w:wordWrap w:val="0"/>
        <w:overflowPunct/>
        <w:topLinePunct w:val="0"/>
        <w:bidi w:val="0"/>
        <w:spacing w:after="0" w:afterLines="0" w:line="500" w:lineRule="exac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2、如服务商使用虚假材料参与竞标或中标后无故拒绝履行竞价承诺，将</w:t>
      </w:r>
      <w:r>
        <w:rPr>
          <w:rFonts w:hint="eastAsia" w:ascii="仿宋" w:hAnsi="仿宋" w:eastAsia="仿宋" w:cs="仿宋"/>
          <w:spacing w:val="-1"/>
          <w:sz w:val="32"/>
          <w:szCs w:val="32"/>
          <w:lang w:eastAsia="zh-CN"/>
        </w:rPr>
        <w:t>被禁止参与此后我单位的一切采购活动。</w:t>
      </w:r>
    </w:p>
    <w:p w14:paraId="00D1C056">
      <w:pPr>
        <w:pStyle w:val="5"/>
        <w:keepNext w:val="0"/>
        <w:keepLines w:val="0"/>
        <w:pageBreakBefore w:val="0"/>
        <w:widowControl/>
        <w:wordWrap w:val="0"/>
        <w:overflowPunct/>
        <w:topLinePunct w:val="0"/>
        <w:bidi w:val="0"/>
        <w:spacing w:after="0" w:afterLines="0" w:line="500" w:lineRule="exac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3、本采购文件发出后，采购人因无法预见的情况改变、取消采购计划，采购人有权自行进行调整，且不承担因以上变更导致的一切经济或法律责任。</w:t>
      </w:r>
    </w:p>
    <w:p w14:paraId="4B39A136">
      <w:pPr>
        <w:pStyle w:val="5"/>
        <w:keepNext w:val="0"/>
        <w:keepLines w:val="0"/>
        <w:pageBreakBefore w:val="0"/>
        <w:widowControl/>
        <w:numPr>
          <w:ilvl w:val="0"/>
          <w:numId w:val="2"/>
        </w:numPr>
        <w:kinsoku w:val="0"/>
        <w:wordWrap w:val="0"/>
        <w:overflowPunct/>
        <w:topLinePunct w:val="0"/>
        <w:autoSpaceDE w:val="0"/>
        <w:autoSpaceDN w:val="0"/>
        <w:bidi w:val="0"/>
        <w:adjustRightInd w:val="0"/>
        <w:snapToGrid w:val="0"/>
        <w:spacing w:after="0" w:afterLines="0" w:line="500" w:lineRule="exact"/>
        <w:ind w:right="0" w:firstLine="640" w:firstLineChars="200"/>
        <w:jc w:val="both"/>
        <w:textAlignment w:val="baseline"/>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全部响应要求，上传扫描件且加盖公章作为服务商响应附件，必须上传，</w:t>
      </w:r>
      <w:r>
        <w:rPr>
          <w:rFonts w:hint="eastAsia" w:ascii="仿宋" w:hAnsi="仿宋" w:eastAsia="仿宋" w:cs="仿宋"/>
          <w:color w:val="auto"/>
          <w:sz w:val="32"/>
          <w:szCs w:val="32"/>
          <w:lang w:val="en-US" w:eastAsia="zh-CN"/>
        </w:rPr>
        <w:t>未提供或提供不符合要求作无效投标处理。</w:t>
      </w:r>
    </w:p>
    <w:p w14:paraId="5BB2A6BD">
      <w:pPr>
        <w:pStyle w:val="5"/>
        <w:keepNext w:val="0"/>
        <w:keepLines w:val="0"/>
        <w:pageBreakBefore w:val="0"/>
        <w:widowControl/>
        <w:wordWrap w:val="0"/>
        <w:overflowPunct/>
        <w:topLinePunct w:val="0"/>
        <w:bidi w:val="0"/>
        <w:spacing w:after="0" w:afterLines="0" w:line="500" w:lineRule="exact"/>
        <w:ind w:right="0"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5、参与报价的服务商须</w:t>
      </w:r>
      <w:r>
        <w:rPr>
          <w:rFonts w:hint="eastAsia" w:ascii="仿宋" w:hAnsi="仿宋" w:eastAsia="仿宋" w:cs="仿宋"/>
          <w:color w:val="auto"/>
          <w:sz w:val="32"/>
          <w:szCs w:val="32"/>
          <w:lang w:val="en-US" w:eastAsia="zh-CN"/>
        </w:rPr>
        <w:t>在规定的时间内</w:t>
      </w:r>
      <w:r>
        <w:rPr>
          <w:rFonts w:hint="eastAsia" w:ascii="仿宋" w:hAnsi="仿宋" w:eastAsia="仿宋" w:cs="仿宋"/>
          <w:color w:val="auto"/>
          <w:sz w:val="32"/>
          <w:szCs w:val="32"/>
          <w:lang w:eastAsia="zh-CN"/>
        </w:rPr>
        <w:t>到</w:t>
      </w:r>
      <w:r>
        <w:rPr>
          <w:rFonts w:hint="eastAsia" w:ascii="仿宋" w:hAnsi="仿宋" w:eastAsia="仿宋" w:cs="仿宋"/>
          <w:color w:val="auto"/>
          <w:sz w:val="32"/>
          <w:szCs w:val="32"/>
          <w:lang w:val="en-US" w:eastAsia="zh-CN"/>
        </w:rPr>
        <w:t>达</w:t>
      </w:r>
      <w:r>
        <w:rPr>
          <w:rFonts w:hint="eastAsia" w:ascii="仿宋" w:hAnsi="仿宋" w:eastAsia="仿宋" w:cs="仿宋"/>
          <w:color w:val="auto"/>
          <w:sz w:val="32"/>
          <w:szCs w:val="32"/>
          <w:lang w:eastAsia="zh-CN"/>
        </w:rPr>
        <w:t>勘查现场，</w:t>
      </w:r>
      <w:r>
        <w:rPr>
          <w:rFonts w:hint="eastAsia" w:ascii="仿宋" w:hAnsi="仿宋" w:eastAsia="仿宋" w:cs="仿宋"/>
          <w:color w:val="auto"/>
          <w:sz w:val="32"/>
          <w:szCs w:val="32"/>
          <w:lang w:val="en-US" w:eastAsia="zh-CN"/>
        </w:rPr>
        <w:t>地址：吉安县卫生健康委员会二楼会议室，</w:t>
      </w:r>
      <w:r>
        <w:rPr>
          <w:rFonts w:hint="eastAsia" w:ascii="仿宋" w:hAnsi="仿宋" w:eastAsia="仿宋" w:cs="仿宋"/>
          <w:color w:val="auto"/>
          <w:sz w:val="32"/>
          <w:szCs w:val="32"/>
          <w:lang w:eastAsia="zh-CN"/>
        </w:rPr>
        <w:t>时间：202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lang w:eastAsia="zh-CN"/>
        </w:rPr>
        <w:t>日下午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lang w:eastAsia="zh-CN"/>
        </w:rPr>
        <w:t>：00-</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lang w:eastAsia="zh-CN"/>
        </w:rPr>
        <w:t>：00（</w:t>
      </w:r>
      <w:r>
        <w:rPr>
          <w:rFonts w:hint="eastAsia" w:ascii="仿宋" w:hAnsi="仿宋" w:eastAsia="仿宋" w:cs="仿宋"/>
          <w:color w:val="auto"/>
          <w:sz w:val="32"/>
          <w:szCs w:val="32"/>
          <w:lang w:val="en-US" w:eastAsia="zh-CN"/>
        </w:rPr>
        <w:t>不得逾期</w:t>
      </w:r>
      <w:r>
        <w:rPr>
          <w:rFonts w:hint="eastAsia" w:ascii="仿宋" w:hAnsi="仿宋" w:eastAsia="仿宋" w:cs="仿宋"/>
          <w:color w:val="auto"/>
          <w:sz w:val="32"/>
          <w:szCs w:val="32"/>
          <w:lang w:eastAsia="zh-CN"/>
        </w:rPr>
        <w:t>），联系人：</w:t>
      </w:r>
      <w:r>
        <w:rPr>
          <w:rFonts w:hint="eastAsia" w:ascii="仿宋" w:hAnsi="仿宋" w:eastAsia="仿宋" w:cs="仿宋"/>
          <w:color w:val="auto"/>
          <w:sz w:val="32"/>
          <w:szCs w:val="32"/>
          <w:lang w:val="en-US" w:eastAsia="zh-CN"/>
        </w:rPr>
        <w:t>王女士</w:t>
      </w: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15979669874，</w:t>
      </w:r>
      <w:r>
        <w:rPr>
          <w:rFonts w:hint="eastAsia" w:ascii="仿宋" w:hAnsi="仿宋" w:eastAsia="仿宋" w:cs="仿宋"/>
          <w:color w:val="auto"/>
          <w:sz w:val="32"/>
          <w:szCs w:val="32"/>
          <w:lang w:eastAsia="zh-CN"/>
        </w:rPr>
        <w:t>参加现场勘查人员必须为服务商公司法人或法定代表授权人，</w:t>
      </w:r>
      <w:r>
        <w:rPr>
          <w:rFonts w:hint="eastAsia" w:ascii="仿宋" w:hAnsi="仿宋" w:eastAsia="仿宋" w:cs="仿宋"/>
          <w:color w:val="auto"/>
          <w:sz w:val="32"/>
          <w:szCs w:val="32"/>
          <w:lang w:val="en-US" w:eastAsia="zh-CN"/>
        </w:rPr>
        <w:t>且服务商</w:t>
      </w:r>
      <w:r>
        <w:rPr>
          <w:rFonts w:hint="eastAsia" w:ascii="仿宋" w:hAnsi="仿宋" w:eastAsia="仿宋" w:cs="仿宋"/>
          <w:color w:val="auto"/>
          <w:sz w:val="32"/>
          <w:szCs w:val="32"/>
          <w:lang w:eastAsia="zh-CN"/>
        </w:rPr>
        <w:t>法定代表人需提供法人身份证，法人授权书（</w:t>
      </w:r>
      <w:r>
        <w:rPr>
          <w:rFonts w:hint="eastAsia" w:ascii="仿宋" w:hAnsi="仿宋" w:eastAsia="仿宋" w:cs="仿宋"/>
          <w:color w:val="auto"/>
          <w:sz w:val="32"/>
          <w:szCs w:val="32"/>
          <w:lang w:val="en-US" w:eastAsia="zh-CN"/>
        </w:rPr>
        <w:t>含被授权人身份证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公司为其购买的社保证明材料</w:t>
      </w:r>
      <w:r>
        <w:rPr>
          <w:rFonts w:hint="eastAsia" w:ascii="仿宋" w:hAnsi="仿宋" w:eastAsia="仿宋" w:cs="仿宋"/>
          <w:color w:val="auto"/>
          <w:sz w:val="32"/>
          <w:szCs w:val="32"/>
          <w:lang w:eastAsia="zh-CN"/>
        </w:rPr>
        <w:t>并加盖公章和法人章，勘查时须向采购人提供公司营业执照、所有资质原件的</w:t>
      </w:r>
      <w:r>
        <w:rPr>
          <w:rFonts w:hint="eastAsia" w:ascii="仿宋" w:hAnsi="仿宋" w:eastAsia="仿宋" w:cs="仿宋"/>
          <w:color w:val="auto"/>
          <w:sz w:val="32"/>
          <w:szCs w:val="32"/>
          <w:lang w:val="en-US" w:eastAsia="zh-CN"/>
        </w:rPr>
        <w:t>扫描件</w:t>
      </w:r>
      <w:r>
        <w:rPr>
          <w:rFonts w:hint="eastAsia" w:ascii="仿宋" w:hAnsi="仿宋" w:eastAsia="仿宋" w:cs="仿宋"/>
          <w:color w:val="auto"/>
          <w:sz w:val="32"/>
          <w:szCs w:val="32"/>
          <w:lang w:eastAsia="zh-CN"/>
        </w:rPr>
        <w:t>进行审查，服务商在勘查前需向采购人了解清楚项目具体要求，并做好详细的勘查资料，</w:t>
      </w:r>
      <w:r>
        <w:rPr>
          <w:rFonts w:hint="eastAsia" w:ascii="仿宋" w:hAnsi="仿宋" w:eastAsia="仿宋" w:cs="仿宋"/>
          <w:color w:val="auto"/>
          <w:sz w:val="32"/>
          <w:szCs w:val="32"/>
          <w:lang w:val="en-US" w:eastAsia="zh-CN"/>
        </w:rPr>
        <w:t>且在勘查结束后24小时内将投标保证金缴至指定账户。</w:t>
      </w:r>
    </w:p>
    <w:p w14:paraId="35967FA3">
      <w:pPr>
        <w:keepNext w:val="0"/>
        <w:keepLines w:val="0"/>
        <w:pageBreakBefore w:val="0"/>
        <w:widowControl/>
        <w:wordWrap w:val="0"/>
        <w:overflowPunct/>
        <w:topLinePunct w:val="0"/>
        <w:bidi w:val="0"/>
        <w:spacing w:line="500" w:lineRule="exact"/>
        <w:ind w:righ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服务商</w:t>
      </w:r>
      <w:r>
        <w:rPr>
          <w:rFonts w:hint="eastAsia" w:ascii="仿宋" w:hAnsi="仿宋" w:eastAsia="仿宋" w:cs="仿宋"/>
          <w:sz w:val="32"/>
          <w:szCs w:val="32"/>
          <w:lang w:eastAsia="zh-CN"/>
        </w:rPr>
        <w:t>需根据勘</w:t>
      </w:r>
      <w:r>
        <w:rPr>
          <w:rFonts w:hint="eastAsia" w:ascii="仿宋" w:hAnsi="仿宋" w:eastAsia="仿宋" w:cs="仿宋"/>
          <w:color w:val="auto"/>
          <w:sz w:val="32"/>
          <w:szCs w:val="32"/>
          <w:lang w:eastAsia="zh-CN"/>
        </w:rPr>
        <w:t>查</w:t>
      </w:r>
      <w:r>
        <w:rPr>
          <w:rFonts w:hint="eastAsia" w:ascii="仿宋" w:hAnsi="仿宋" w:eastAsia="仿宋" w:cs="仿宋"/>
          <w:sz w:val="32"/>
          <w:szCs w:val="32"/>
          <w:lang w:eastAsia="zh-CN"/>
        </w:rPr>
        <w:t>资料并充分考虑实际情况，提供详细且符合</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需求的</w:t>
      </w:r>
      <w:r>
        <w:rPr>
          <w:rFonts w:hint="eastAsia" w:ascii="仿宋" w:hAnsi="仿宋" w:eastAsia="仿宋" w:cs="仿宋"/>
          <w:sz w:val="32"/>
          <w:szCs w:val="32"/>
          <w:lang w:val="en-US" w:eastAsia="zh-CN"/>
        </w:rPr>
        <w:t>技术服务方案</w:t>
      </w:r>
      <w:r>
        <w:rPr>
          <w:rFonts w:hint="eastAsia" w:ascii="仿宋" w:hAnsi="仿宋" w:eastAsia="仿宋" w:cs="仿宋"/>
          <w:sz w:val="32"/>
          <w:szCs w:val="32"/>
          <w:lang w:eastAsia="zh-CN"/>
        </w:rPr>
        <w:t>，并交与采购人审核确认，否则报价无效。</w:t>
      </w:r>
    </w:p>
    <w:p w14:paraId="422C988E">
      <w:pPr>
        <w:keepNext w:val="0"/>
        <w:keepLines w:val="0"/>
        <w:pageBreakBefore w:val="0"/>
        <w:widowControl/>
        <w:wordWrap w:val="0"/>
        <w:overflowPunct/>
        <w:topLinePunct w:val="0"/>
        <w:bidi w:val="0"/>
        <w:spacing w:line="500" w:lineRule="exact"/>
        <w:ind w:right="0" w:firstLine="640" w:firstLineChars="200"/>
        <w:jc w:val="both"/>
        <w:rPr>
          <w:rFonts w:hint="eastAsia" w:ascii="仿宋" w:hAnsi="仿宋" w:eastAsia="仿宋" w:cs="仿宋"/>
          <w:color w:val="auto"/>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如</w:t>
      </w:r>
      <w:r>
        <w:rPr>
          <w:rFonts w:hint="eastAsia" w:ascii="仿宋" w:hAnsi="仿宋" w:eastAsia="仿宋" w:cs="仿宋"/>
          <w:color w:val="auto"/>
          <w:sz w:val="32"/>
          <w:szCs w:val="32"/>
          <w:lang w:val="en-US" w:eastAsia="zh-CN"/>
        </w:rPr>
        <w:t>服务商</w:t>
      </w:r>
      <w:r>
        <w:rPr>
          <w:rFonts w:hint="eastAsia" w:ascii="仿宋" w:hAnsi="仿宋" w:eastAsia="仿宋" w:cs="仿宋"/>
          <w:color w:val="auto"/>
          <w:sz w:val="32"/>
          <w:szCs w:val="32"/>
          <w:lang w:eastAsia="zh-CN"/>
        </w:rPr>
        <w:t>使用虚假材料参与竞标或中标后无故拒绝履行竞价承诺，将被</w:t>
      </w:r>
      <w:r>
        <w:rPr>
          <w:rFonts w:hint="eastAsia" w:ascii="仿宋" w:hAnsi="仿宋" w:eastAsia="仿宋" w:cs="仿宋"/>
          <w:color w:val="auto"/>
          <w:sz w:val="32"/>
          <w:szCs w:val="32"/>
          <w:lang w:val="en-US" w:eastAsia="zh-CN"/>
        </w:rPr>
        <w:t>扣除本项目的投标保证金并</w:t>
      </w:r>
      <w:r>
        <w:rPr>
          <w:rFonts w:hint="eastAsia" w:ascii="仿宋" w:hAnsi="仿宋" w:eastAsia="仿宋" w:cs="仿宋"/>
          <w:color w:val="auto"/>
          <w:sz w:val="32"/>
          <w:szCs w:val="32"/>
          <w:lang w:eastAsia="zh-CN"/>
        </w:rPr>
        <w:t>禁止参与此后我单位的一切采购活动。</w:t>
      </w:r>
    </w:p>
    <w:p w14:paraId="775F0333">
      <w:pPr>
        <w:keepNext w:val="0"/>
        <w:keepLines w:val="0"/>
        <w:pageBreakBefore w:val="0"/>
        <w:widowControl/>
        <w:wordWrap w:val="0"/>
        <w:overflowPunct/>
        <w:topLinePunct w:val="0"/>
        <w:bidi w:val="0"/>
        <w:spacing w:line="500" w:lineRule="exact"/>
        <w:ind w:right="0"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8、服务商应将响应文件（</w:t>
      </w:r>
      <w:r>
        <w:rPr>
          <w:rFonts w:hint="eastAsia" w:ascii="仿宋" w:hAnsi="仿宋" w:eastAsia="仿宋" w:cs="仿宋"/>
          <w:b w:val="0"/>
          <w:bCs w:val="0"/>
          <w:sz w:val="32"/>
          <w:szCs w:val="32"/>
          <w:lang w:val="en-US" w:eastAsia="zh-CN"/>
        </w:rPr>
        <w:t>上述1-6项资料</w:t>
      </w:r>
      <w:r>
        <w:rPr>
          <w:rFonts w:hint="eastAsia" w:ascii="仿宋" w:hAnsi="仿宋" w:eastAsia="仿宋" w:cs="仿宋"/>
          <w:sz w:val="32"/>
          <w:szCs w:val="32"/>
          <w:lang w:val="en-US" w:eastAsia="zh-CN"/>
        </w:rPr>
        <w:t xml:space="preserve">）密封至同一个密封袋内。封装袋应写明项目名称、项目编号、服务商名称并于封口处加盖骑缝章。 响应文件未按上述规定密封或加写标记，响应文件将被拒收。 </w:t>
      </w:r>
    </w:p>
    <w:p w14:paraId="2EE92BCC">
      <w:pPr>
        <w:keepNext w:val="0"/>
        <w:keepLines w:val="0"/>
        <w:pageBreakBefore w:val="0"/>
        <w:widowControl/>
        <w:wordWrap w:val="0"/>
        <w:overflowPunct/>
        <w:topLinePunct w:val="0"/>
        <w:bidi w:val="0"/>
        <w:spacing w:line="500" w:lineRule="exact"/>
        <w:ind w:right="0" w:firstLine="640" w:firstLineChars="200"/>
        <w:jc w:val="both"/>
        <w:rPr>
          <w:rFonts w:hint="eastAsia"/>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、本文件发出后，</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因无法预见的情况改变取消</w:t>
      </w:r>
      <w:r>
        <w:rPr>
          <w:rFonts w:hint="eastAsia" w:ascii="仿宋" w:hAnsi="仿宋" w:eastAsia="仿宋" w:cs="仿宋"/>
          <w:sz w:val="32"/>
          <w:szCs w:val="32"/>
          <w:lang w:val="en-US" w:eastAsia="zh-CN"/>
        </w:rPr>
        <w:t>采购</w:t>
      </w:r>
      <w:r>
        <w:rPr>
          <w:rFonts w:hint="eastAsia" w:ascii="仿宋" w:hAnsi="仿宋" w:eastAsia="仿宋" w:cs="仿宋"/>
          <w:sz w:val="32"/>
          <w:szCs w:val="32"/>
          <w:lang w:eastAsia="zh-CN"/>
        </w:rPr>
        <w:t>计划，</w:t>
      </w:r>
      <w:r>
        <w:rPr>
          <w:rFonts w:hint="eastAsia" w:ascii="仿宋" w:hAnsi="仿宋" w:eastAsia="仿宋" w:cs="仿宋"/>
          <w:sz w:val="32"/>
          <w:szCs w:val="32"/>
          <w:lang w:val="en-US" w:eastAsia="zh-CN"/>
        </w:rPr>
        <w:t>采购人</w:t>
      </w:r>
      <w:r>
        <w:rPr>
          <w:rFonts w:hint="eastAsia" w:ascii="仿宋" w:hAnsi="仿宋" w:eastAsia="仿宋" w:cs="仿宋"/>
          <w:sz w:val="32"/>
          <w:szCs w:val="32"/>
          <w:lang w:eastAsia="zh-CN"/>
        </w:rPr>
        <w:t>有权自行进行调整，且不承担因以上变更导致的一切经济或法律责任。</w:t>
      </w:r>
    </w:p>
    <w:p w14:paraId="77E92049">
      <w:pPr>
        <w:bidi w:val="0"/>
        <w:rPr>
          <w:rFonts w:hint="eastAsia"/>
          <w:lang w:val="en-US" w:eastAsia="zh-CN"/>
        </w:rPr>
      </w:pPr>
    </w:p>
    <w:p w14:paraId="64C8BF92">
      <w:pPr>
        <w:bidi w:val="0"/>
        <w:rPr>
          <w:rFonts w:hint="eastAsia"/>
          <w:lang w:val="en-US" w:eastAsia="zh-CN"/>
        </w:rPr>
      </w:pPr>
    </w:p>
    <w:p w14:paraId="2137D92D">
      <w:pPr>
        <w:bidi w:val="0"/>
        <w:rPr>
          <w:rFonts w:hint="eastAsia"/>
          <w:lang w:val="en-US" w:eastAsia="zh-CN"/>
        </w:rPr>
      </w:pPr>
    </w:p>
    <w:p w14:paraId="385785BD">
      <w:pPr>
        <w:keepNext w:val="0"/>
        <w:keepLines w:val="0"/>
        <w:pageBreakBefore w:val="0"/>
        <w:widowControl/>
        <w:kinsoku/>
        <w:wordWrap/>
        <w:overflowPunct/>
        <w:topLinePunct w:val="0"/>
        <w:autoSpaceDE/>
        <w:autoSpaceDN/>
        <w:bidi w:val="0"/>
        <w:adjustRightInd/>
        <w:snapToGrid/>
        <w:ind w:left="0" w:leftChars="0"/>
        <w:textAlignment w:val="auto"/>
        <w:rPr>
          <w:rFonts w:hint="eastAsia"/>
          <w:lang w:val="en-US" w:eastAsia="zh-CN"/>
        </w:rPr>
      </w:pPr>
    </w:p>
    <w:p w14:paraId="26FC7B33">
      <w:pPr>
        <w:keepNext w:val="0"/>
        <w:keepLines w:val="0"/>
        <w:pageBreakBefore w:val="0"/>
        <w:widowControl/>
        <w:tabs>
          <w:tab w:val="left" w:pos="5475"/>
        </w:tabs>
        <w:kinsoku/>
        <w:wordWrap/>
        <w:overflowPunct/>
        <w:topLinePunct w:val="0"/>
        <w:autoSpaceDE/>
        <w:autoSpaceDN/>
        <w:bidi w:val="0"/>
        <w:adjustRightInd/>
        <w:snapToGrid/>
        <w:ind w:left="240" w:leftChars="0" w:hanging="240" w:hangingChars="100"/>
        <w:jc w:val="left"/>
        <w:textAlignment w:val="auto"/>
        <w:rPr>
          <w:rFonts w:hint="eastAsia" w:ascii="仿宋" w:hAnsi="仿宋" w:eastAsia="仿宋" w:cs="仿宋"/>
          <w:sz w:val="32"/>
          <w:szCs w:val="32"/>
          <w:lang w:val="en-US" w:eastAsia="zh-CN"/>
        </w:rPr>
      </w:pPr>
      <w:r>
        <w:rPr>
          <w:rFonts w:hint="eastAsia"/>
          <w:lang w:val="en-US" w:eastAsia="zh-CN"/>
        </w:rPr>
        <w:tab/>
      </w:r>
      <w:r>
        <w:rPr>
          <w:rFonts w:hint="eastAsia"/>
          <w:lang w:val="en-US" w:eastAsia="zh-CN"/>
        </w:rPr>
        <w:t xml:space="preserve">                                          </w:t>
      </w:r>
      <w:r>
        <w:rPr>
          <w:rFonts w:hint="eastAsia" w:ascii="仿宋" w:hAnsi="仿宋" w:eastAsia="仿宋" w:cs="仿宋"/>
          <w:sz w:val="32"/>
          <w:szCs w:val="32"/>
          <w:lang w:val="en-US" w:eastAsia="zh-CN"/>
        </w:rPr>
        <w:t xml:space="preserve">吉安县卫生健康委员会  </w:t>
      </w:r>
    </w:p>
    <w:p w14:paraId="3E9546A4">
      <w:pPr>
        <w:keepNext w:val="0"/>
        <w:keepLines w:val="0"/>
        <w:pageBreakBefore w:val="0"/>
        <w:widowControl/>
        <w:tabs>
          <w:tab w:val="left" w:pos="5475"/>
        </w:tabs>
        <w:kinsoku/>
        <w:wordWrap/>
        <w:overflowPunct/>
        <w:topLinePunct w:val="0"/>
        <w:autoSpaceDE/>
        <w:autoSpaceDN/>
        <w:bidi w:val="0"/>
        <w:adjustRightInd/>
        <w:snapToGrid/>
        <w:ind w:left="0" w:leftChars="0" w:firstLine="5760" w:firstLineChars="18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2025年2月10日</w:t>
      </w:r>
    </w:p>
    <w:p w14:paraId="3D37BDC7">
      <w:pPr>
        <w:pStyle w:val="3"/>
        <w:spacing w:after="567" w:line="264" w:lineRule="auto"/>
        <w:ind w:left="173"/>
        <w:jc w:val="center"/>
        <w:rPr>
          <w:rFonts w:ascii="仿宋" w:hAnsi="仿宋" w:eastAsia="仿宋" w:cs="仿宋"/>
          <w:b/>
          <w:bCs/>
          <w:sz w:val="36"/>
          <w:szCs w:val="36"/>
        </w:rPr>
      </w:pPr>
    </w:p>
    <w:p w14:paraId="018220EB">
      <w:pPr>
        <w:rPr>
          <w:rFonts w:ascii="仿宋" w:hAnsi="仿宋" w:eastAsia="仿宋" w:cs="仿宋"/>
          <w:b/>
          <w:bCs/>
          <w:sz w:val="36"/>
          <w:szCs w:val="36"/>
        </w:rPr>
      </w:pPr>
    </w:p>
    <w:p w14:paraId="77BB8EFE">
      <w:pPr>
        <w:pStyle w:val="2"/>
        <w:rPr>
          <w:rFonts w:ascii="仿宋" w:hAnsi="仿宋" w:eastAsia="仿宋" w:cs="仿宋"/>
          <w:b/>
          <w:bCs/>
          <w:sz w:val="36"/>
          <w:szCs w:val="36"/>
        </w:rPr>
      </w:pPr>
    </w:p>
    <w:p w14:paraId="522BB0D6">
      <w:pPr>
        <w:rPr>
          <w:rFonts w:ascii="仿宋" w:hAnsi="仿宋" w:eastAsia="仿宋" w:cs="仿宋"/>
          <w:b/>
          <w:bCs/>
          <w:sz w:val="36"/>
          <w:szCs w:val="36"/>
        </w:rPr>
      </w:pPr>
    </w:p>
    <w:p w14:paraId="087673AC">
      <w:pPr>
        <w:pStyle w:val="2"/>
        <w:rPr>
          <w:rFonts w:ascii="仿宋" w:hAnsi="仿宋" w:eastAsia="仿宋" w:cs="仿宋"/>
          <w:b/>
          <w:bCs/>
          <w:sz w:val="36"/>
          <w:szCs w:val="36"/>
        </w:rPr>
      </w:pPr>
    </w:p>
    <w:p w14:paraId="458F71F4">
      <w:pPr>
        <w:rPr>
          <w:rFonts w:ascii="仿宋" w:hAnsi="仿宋" w:eastAsia="仿宋" w:cs="仿宋"/>
          <w:b/>
          <w:bCs/>
          <w:sz w:val="36"/>
          <w:szCs w:val="36"/>
        </w:rPr>
      </w:pPr>
    </w:p>
    <w:p w14:paraId="136DAF8B">
      <w:pPr>
        <w:pStyle w:val="2"/>
        <w:rPr>
          <w:rFonts w:ascii="仿宋" w:hAnsi="仿宋" w:eastAsia="仿宋" w:cs="仿宋"/>
          <w:b/>
          <w:bCs/>
          <w:sz w:val="36"/>
          <w:szCs w:val="36"/>
        </w:rPr>
      </w:pPr>
    </w:p>
    <w:p w14:paraId="1CE15EE7">
      <w:pPr>
        <w:rPr>
          <w:rFonts w:ascii="仿宋" w:hAnsi="仿宋" w:eastAsia="仿宋" w:cs="仿宋"/>
          <w:b/>
          <w:bCs/>
          <w:sz w:val="36"/>
          <w:szCs w:val="36"/>
        </w:rPr>
      </w:pPr>
    </w:p>
    <w:p w14:paraId="61563D97">
      <w:pPr>
        <w:pStyle w:val="3"/>
        <w:spacing w:after="567" w:line="264" w:lineRule="auto"/>
        <w:ind w:left="0" w:leftChars="0" w:firstLine="0" w:firstLineChars="0"/>
        <w:jc w:val="both"/>
        <w:rPr>
          <w:rFonts w:ascii="仿宋" w:hAnsi="仿宋" w:eastAsia="仿宋" w:cs="仿宋"/>
          <w:b/>
          <w:bCs/>
          <w:sz w:val="36"/>
          <w:szCs w:val="36"/>
        </w:rPr>
      </w:pPr>
    </w:p>
    <w:p w14:paraId="3929B218">
      <w:pPr>
        <w:rPr>
          <w:rFonts w:ascii="仿宋" w:hAnsi="仿宋" w:eastAsia="仿宋" w:cs="仿宋"/>
          <w:b/>
          <w:bCs/>
          <w:sz w:val="36"/>
          <w:szCs w:val="36"/>
        </w:rPr>
      </w:pPr>
    </w:p>
    <w:p w14:paraId="5F0C0F25">
      <w:pPr>
        <w:pStyle w:val="2"/>
      </w:pPr>
    </w:p>
    <w:p w14:paraId="796F6454">
      <w:pPr>
        <w:pStyle w:val="3"/>
        <w:spacing w:after="0" w:line="240" w:lineRule="auto"/>
        <w:ind w:left="0" w:leftChars="0" w:firstLine="0" w:firstLineChars="0"/>
        <w:jc w:val="both"/>
        <w:rPr>
          <w:rFonts w:ascii="仿宋" w:hAnsi="仿宋" w:eastAsia="仿宋" w:cs="仿宋"/>
          <w:b/>
          <w:bCs/>
          <w:sz w:val="36"/>
          <w:szCs w:val="36"/>
        </w:rPr>
      </w:pPr>
    </w:p>
    <w:p w14:paraId="6D620BB2">
      <w:pPr>
        <w:pStyle w:val="3"/>
        <w:spacing w:after="0" w:line="240" w:lineRule="auto"/>
        <w:ind w:left="0" w:leftChars="0" w:firstLine="0" w:firstLineChars="0"/>
        <w:jc w:val="center"/>
        <w:rPr>
          <w:rFonts w:hint="eastAsia"/>
          <w:sz w:val="24"/>
          <w:szCs w:val="24"/>
        </w:rPr>
      </w:pPr>
      <w:r>
        <w:rPr>
          <w:rFonts w:ascii="仿宋" w:hAnsi="仿宋" w:eastAsia="仿宋" w:cs="仿宋"/>
          <w:b/>
          <w:bCs/>
          <w:sz w:val="36"/>
          <w:szCs w:val="36"/>
        </w:rPr>
        <w:t>承 诺 函</w:t>
      </w:r>
    </w:p>
    <w:p w14:paraId="56329E65">
      <w:pPr>
        <w:spacing w:after="29" w:line="375" w:lineRule="auto"/>
        <w:rPr>
          <w:rFonts w:ascii="宋体" w:hAnsi="宋体" w:eastAsia="宋体" w:cs="宋体"/>
          <w:sz w:val="24"/>
          <w:szCs w:val="24"/>
          <w:lang w:eastAsia="zh-CN"/>
        </w:rPr>
      </w:pPr>
      <w:r>
        <w:rPr>
          <w:rFonts w:hint="eastAsia" w:ascii="宋体" w:hAnsi="宋体" w:eastAsia="宋体" w:cs="宋体"/>
          <w:sz w:val="24"/>
          <w:szCs w:val="24"/>
          <w:lang w:eastAsia="zh-CN"/>
        </w:rPr>
        <w:t>致：</w:t>
      </w:r>
    </w:p>
    <w:p w14:paraId="03EF2EEC">
      <w:pPr>
        <w:spacing w:after="29" w:line="375" w:lineRule="auto"/>
        <w:rPr>
          <w:rFonts w:ascii="宋体" w:hAnsi="宋体" w:eastAsia="宋体" w:cs="宋体"/>
          <w:sz w:val="24"/>
          <w:szCs w:val="24"/>
          <w:lang w:eastAsia="zh-CN"/>
        </w:rPr>
      </w:pPr>
      <w:r>
        <w:rPr>
          <w:rFonts w:hint="eastAsia" w:ascii="宋体" w:hAnsi="宋体" w:eastAsia="宋体" w:cs="宋体"/>
          <w:sz w:val="24"/>
          <w:szCs w:val="24"/>
          <w:lang w:eastAsia="zh-CN"/>
        </w:rPr>
        <w:t>我公司承诺参与本次</w:t>
      </w:r>
      <w:r>
        <w:rPr>
          <w:rFonts w:hint="eastAsia" w:ascii="宋体" w:hAnsi="宋体" w:eastAsia="宋体" w:cs="宋体"/>
          <w:sz w:val="24"/>
          <w:szCs w:val="24"/>
          <w:lang w:val="en-US" w:eastAsia="zh-CN"/>
        </w:rPr>
        <w:t>投标</w:t>
      </w:r>
      <w:r>
        <w:rPr>
          <w:rFonts w:hint="eastAsia" w:ascii="宋体" w:hAnsi="宋体" w:eastAsia="宋体" w:cs="宋体"/>
          <w:sz w:val="24"/>
          <w:szCs w:val="24"/>
          <w:lang w:eastAsia="zh-CN"/>
        </w:rPr>
        <w:t>活动中：</w:t>
      </w:r>
    </w:p>
    <w:p w14:paraId="5BC76936">
      <w:pPr>
        <w:spacing w:after="29" w:line="375" w:lineRule="auto"/>
        <w:ind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1、具有履行合同所必须的设备和专业技术能力，能够完全按照采购文件要求、商务条款及响应文件中所响应的所有条款完成全部</w:t>
      </w:r>
      <w:r>
        <w:rPr>
          <w:rFonts w:hint="eastAsia" w:ascii="宋体" w:hAnsi="宋体" w:eastAsia="宋体" w:cs="宋体"/>
          <w:sz w:val="24"/>
          <w:szCs w:val="24"/>
          <w:lang w:val="en-US" w:eastAsia="zh-CN"/>
        </w:rPr>
        <w:t>服务内容</w:t>
      </w:r>
      <w:r>
        <w:rPr>
          <w:rFonts w:hint="eastAsia" w:ascii="宋体" w:hAnsi="宋体" w:eastAsia="宋体" w:cs="宋体"/>
          <w:sz w:val="24"/>
          <w:szCs w:val="24"/>
          <w:lang w:eastAsia="zh-CN"/>
        </w:rPr>
        <w:t>；</w:t>
      </w:r>
    </w:p>
    <w:p w14:paraId="0AE8AA24">
      <w:pPr>
        <w:spacing w:after="29" w:line="375" w:lineRule="auto"/>
        <w:ind w:firstLine="236" w:firstLineChars="100"/>
        <w:rPr>
          <w:rFonts w:ascii="宋体" w:hAnsi="宋体" w:eastAsia="宋体" w:cs="宋体"/>
          <w:color w:val="000000"/>
          <w:spacing w:val="-2"/>
          <w:sz w:val="24"/>
          <w:szCs w:val="24"/>
          <w:lang w:eastAsia="zh-CN"/>
        </w:rPr>
      </w:pPr>
      <w:r>
        <w:rPr>
          <w:rFonts w:hint="eastAsia" w:ascii="宋体" w:hAnsi="宋体" w:eastAsia="宋体" w:cs="宋体"/>
          <w:color w:val="000000"/>
          <w:spacing w:val="-2"/>
          <w:sz w:val="24"/>
          <w:szCs w:val="24"/>
          <w:lang w:eastAsia="zh-CN"/>
        </w:rPr>
        <w:t>2、有依法缴纳税收和社会保障资金的良好记录；</w:t>
      </w:r>
    </w:p>
    <w:p w14:paraId="1CF8B157">
      <w:pPr>
        <w:spacing w:after="29" w:line="375" w:lineRule="auto"/>
        <w:ind w:firstLine="236" w:firstLineChars="100"/>
        <w:rPr>
          <w:rFonts w:hint="eastAsia"/>
          <w:sz w:val="24"/>
          <w:szCs w:val="24"/>
          <w:lang w:eastAsia="zh-CN"/>
        </w:rPr>
      </w:pPr>
      <w:r>
        <w:rPr>
          <w:rFonts w:hint="eastAsia" w:ascii="宋体" w:hAnsi="宋体" w:eastAsia="宋体" w:cs="宋体"/>
          <w:color w:val="000000"/>
          <w:spacing w:val="-2"/>
          <w:sz w:val="24"/>
          <w:szCs w:val="24"/>
          <w:lang w:eastAsia="zh-CN"/>
        </w:rPr>
        <w:t>3、具有良好的商业信誉和健全的财务会计制度；</w:t>
      </w:r>
    </w:p>
    <w:p w14:paraId="35261F29">
      <w:pPr>
        <w:spacing w:line="384" w:lineRule="auto"/>
        <w:ind w:right="113" w:firstLine="240" w:firstLineChars="1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4、参加本次采购活动前三年内,在经营活动中没有违法违规记录.</w:t>
      </w:r>
    </w:p>
    <w:p w14:paraId="48281CCB">
      <w:pPr>
        <w:spacing w:line="384" w:lineRule="auto"/>
        <w:ind w:right="113" w:firstLine="240" w:firstLineChars="100"/>
        <w:jc w:val="both"/>
        <w:rPr>
          <w:rFonts w:hint="eastAsia"/>
          <w:sz w:val="24"/>
          <w:szCs w:val="24"/>
          <w:lang w:eastAsia="zh-CN"/>
        </w:rPr>
      </w:pPr>
      <w:r>
        <w:rPr>
          <w:rFonts w:hint="eastAsia" w:ascii="宋体" w:hAnsi="宋体" w:eastAsia="宋体" w:cs="宋体"/>
          <w:sz w:val="24"/>
          <w:szCs w:val="24"/>
          <w:lang w:eastAsia="zh-CN"/>
        </w:rPr>
        <w:t>如我公司提供虚假信息，将承担虚假应标及违约的全部责任，并按《中华人民共和国政府采购法》、《中华人民共和国民法典》相关法律、法规规定接</w:t>
      </w:r>
      <w:r>
        <w:rPr>
          <w:sz w:val="24"/>
          <w:szCs w:val="24"/>
          <w:lang w:eastAsia="zh-CN"/>
        </w:rPr>
        <w:t xml:space="preserve"> </w:t>
      </w:r>
      <w:r>
        <w:rPr>
          <w:rFonts w:hint="eastAsia" w:ascii="宋体" w:hAnsi="宋体" w:eastAsia="宋体" w:cs="宋体"/>
          <w:sz w:val="24"/>
          <w:szCs w:val="24"/>
          <w:lang w:eastAsia="zh-CN"/>
        </w:rPr>
        <w:t>受处罚。</w:t>
      </w:r>
    </w:p>
    <w:p w14:paraId="42587850">
      <w:pPr>
        <w:spacing w:after="1309"/>
        <w:ind w:left="699"/>
        <w:rPr>
          <w:rFonts w:hint="eastAsia"/>
          <w:sz w:val="24"/>
          <w:szCs w:val="24"/>
          <w:lang w:eastAsia="zh-CN"/>
        </w:rPr>
      </w:pPr>
      <w:r>
        <w:rPr>
          <w:rFonts w:hint="eastAsia" w:ascii="宋体" w:hAnsi="宋体" w:eastAsia="宋体" w:cs="宋体"/>
          <w:sz w:val="24"/>
          <w:szCs w:val="24"/>
          <w:lang w:eastAsia="zh-CN"/>
        </w:rPr>
        <w:t>特此承诺。</w:t>
      </w:r>
    </w:p>
    <w:p w14:paraId="07CC6D8E">
      <w:pPr>
        <w:tabs>
          <w:tab w:val="center" w:pos="5687"/>
        </w:tabs>
        <w:spacing w:after="772"/>
        <w:ind w:left="3600" w:leftChars="1500"/>
        <w:rPr>
          <w:rFonts w:hint="eastAsia"/>
          <w:sz w:val="24"/>
          <w:szCs w:val="24"/>
          <w:lang w:eastAsia="zh-CN"/>
        </w:rPr>
      </w:pPr>
      <w:r>
        <w:rPr>
          <w:rFonts w:hint="eastAsia" w:ascii="宋体" w:hAnsi="宋体" w:eastAsia="宋体" w:cs="宋体"/>
          <w:sz w:val="24"/>
          <w:szCs w:val="24"/>
          <w:lang w:val="en-US" w:eastAsia="zh-CN"/>
        </w:rPr>
        <w:t>服务商</w:t>
      </w:r>
      <w:r>
        <w:rPr>
          <w:rFonts w:hint="eastAsia" w:ascii="宋体" w:hAnsi="宋体" w:eastAsia="宋体" w:cs="宋体"/>
          <w:sz w:val="24"/>
          <w:szCs w:val="24"/>
          <w:lang w:eastAsia="zh-CN"/>
        </w:rPr>
        <w:t>名称（盖章）：</w:t>
      </w:r>
    </w:p>
    <w:p w14:paraId="0B9DDE5B">
      <w:pPr>
        <w:tabs>
          <w:tab w:val="center" w:pos="5699"/>
        </w:tabs>
        <w:spacing w:after="769"/>
        <w:ind w:left="3600" w:leftChars="1500"/>
        <w:rPr>
          <w:rFonts w:hint="eastAsia"/>
          <w:sz w:val="24"/>
          <w:szCs w:val="24"/>
          <w:lang w:eastAsia="zh-CN"/>
        </w:rPr>
      </w:pPr>
      <w:r>
        <w:rPr>
          <w:rFonts w:hint="eastAsia" w:ascii="宋体" w:hAnsi="宋体" w:eastAsia="宋体" w:cs="宋体"/>
          <w:sz w:val="24"/>
          <w:szCs w:val="24"/>
          <w:lang w:eastAsia="zh-CN"/>
        </w:rPr>
        <w:t xml:space="preserve">法人代表或授权代表（签字）：      </w:t>
      </w:r>
      <w:r>
        <w:rPr>
          <w:sz w:val="24"/>
          <w:szCs w:val="24"/>
          <w:lang w:eastAsia="zh-CN"/>
        </w:rPr>
        <w:tab/>
      </w:r>
    </w:p>
    <w:p w14:paraId="3566B859">
      <w:pPr>
        <w:tabs>
          <w:tab w:val="center" w:pos="1737"/>
          <w:tab w:val="center" w:pos="2533"/>
          <w:tab w:val="center" w:pos="3340"/>
        </w:tabs>
        <w:ind w:left="3600" w:leftChars="1500"/>
        <w:rPr>
          <w:rFonts w:hint="eastAsia"/>
          <w:sz w:val="24"/>
          <w:szCs w:val="24"/>
          <w:lang w:eastAsia="zh-CN"/>
        </w:rPr>
      </w:pPr>
      <w:r>
        <w:rPr>
          <w:rFonts w:hint="eastAsia" w:ascii="宋体" w:hAnsi="宋体" w:eastAsia="宋体" w:cs="宋体"/>
          <w:sz w:val="24"/>
          <w:szCs w:val="24"/>
          <w:lang w:eastAsia="zh-CN"/>
        </w:rPr>
        <w:t>日期：</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年</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月</w:t>
      </w:r>
      <w:r>
        <w:rPr>
          <w:sz w:val="24"/>
          <w:szCs w:val="24"/>
          <w:lang w:eastAsia="zh-CN"/>
        </w:rPr>
        <w:tab/>
      </w:r>
      <w:r>
        <w:rPr>
          <w:rFonts w:hint="eastAsia" w:eastAsia="等线"/>
          <w:sz w:val="24"/>
          <w:szCs w:val="24"/>
          <w:lang w:eastAsia="zh-CN"/>
        </w:rPr>
        <w:t xml:space="preserve"> </w:t>
      </w:r>
      <w:r>
        <w:rPr>
          <w:rFonts w:hint="eastAsia" w:ascii="宋体" w:hAnsi="宋体" w:eastAsia="宋体" w:cs="宋体"/>
          <w:sz w:val="24"/>
          <w:szCs w:val="24"/>
          <w:lang w:eastAsia="zh-CN"/>
        </w:rPr>
        <w:t>日</w:t>
      </w:r>
    </w:p>
    <w:p w14:paraId="688EBE26">
      <w:pPr>
        <w:spacing w:line="500" w:lineRule="exact"/>
        <w:ind w:left="14" w:leftChars="6" w:firstLine="339" w:firstLineChars="144"/>
        <w:rPr>
          <w:rFonts w:hint="eastAsia" w:ascii="宋体" w:hAnsi="宋体" w:eastAsia="宋体" w:cs="宋体"/>
          <w:color w:val="000000"/>
          <w:spacing w:val="-2"/>
          <w:sz w:val="24"/>
          <w:szCs w:val="24"/>
          <w:lang w:eastAsia="zh-CN"/>
        </w:rPr>
      </w:pPr>
    </w:p>
    <w:p w14:paraId="150A3CD0">
      <w:pPr>
        <w:adjustRightInd w:val="0"/>
        <w:snapToGrid w:val="0"/>
        <w:spacing w:line="360" w:lineRule="auto"/>
        <w:jc w:val="center"/>
        <w:rPr>
          <w:rFonts w:hint="eastAsia" w:ascii="黑体" w:hAnsi="宋体" w:eastAsia="黑体"/>
          <w:color w:val="000000"/>
          <w:sz w:val="36"/>
          <w:szCs w:val="36"/>
        </w:rPr>
      </w:pPr>
    </w:p>
    <w:p w14:paraId="28146A8B">
      <w:pPr>
        <w:adjustRightInd w:val="0"/>
        <w:snapToGrid w:val="0"/>
        <w:spacing w:line="360" w:lineRule="auto"/>
        <w:jc w:val="center"/>
        <w:rPr>
          <w:rFonts w:hint="eastAsia" w:ascii="黑体" w:hAnsi="宋体" w:eastAsia="黑体"/>
          <w:color w:val="000000"/>
          <w:sz w:val="36"/>
          <w:szCs w:val="36"/>
        </w:rPr>
      </w:pPr>
    </w:p>
    <w:p w14:paraId="44A5D76F">
      <w:pPr>
        <w:adjustRightInd w:val="0"/>
        <w:snapToGrid w:val="0"/>
        <w:spacing w:line="360" w:lineRule="auto"/>
        <w:jc w:val="center"/>
        <w:rPr>
          <w:rFonts w:hint="eastAsia" w:ascii="黑体" w:hAnsi="宋体" w:eastAsia="黑体"/>
          <w:color w:val="000000"/>
          <w:sz w:val="36"/>
          <w:szCs w:val="36"/>
        </w:rPr>
      </w:pPr>
    </w:p>
    <w:p w14:paraId="31E768A2">
      <w:pPr>
        <w:rPr>
          <w:rFonts w:hint="eastAsia"/>
          <w:lang w:eastAsia="zh-CN"/>
        </w:rPr>
      </w:pPr>
    </w:p>
    <w:p w14:paraId="196EB82B">
      <w:pPr>
        <w:pStyle w:val="4"/>
        <w:spacing w:after="100" w:afterAutospacing="1" w:line="259" w:lineRule="auto"/>
        <w:jc w:val="center"/>
        <w:rPr>
          <w:rFonts w:ascii="宋体" w:hAnsi="宋体" w:eastAsia="宋体" w:cs="宋体"/>
          <w:color w:val="000000"/>
          <w:spacing w:val="-2"/>
          <w:sz w:val="24"/>
          <w:szCs w:val="24"/>
          <w:lang w:eastAsia="zh-CN"/>
        </w:rPr>
      </w:pPr>
      <w:r>
        <w:rPr>
          <w:rFonts w:hint="eastAsia" w:ascii="宋体" w:hAnsi="宋体" w:eastAsia="宋体" w:cs="宋体"/>
          <w:color w:val="000000"/>
          <w:spacing w:val="-2"/>
          <w:sz w:val="36"/>
          <w:szCs w:val="36"/>
          <w:lang w:eastAsia="zh-CN"/>
        </w:rPr>
        <w:t>现场勘察证明</w:t>
      </w:r>
    </w:p>
    <w:p w14:paraId="53BB9D34">
      <w:pPr>
        <w:rPr>
          <w:rFonts w:hint="eastAsia" w:eastAsia="宋体"/>
          <w:sz w:val="24"/>
          <w:szCs w:val="24"/>
          <w:lang w:eastAsia="zh-CN"/>
        </w:rPr>
      </w:pPr>
    </w:p>
    <w:p w14:paraId="7C5B40AB">
      <w:pPr>
        <w:pStyle w:val="4"/>
        <w:spacing w:after="100" w:afterAutospacing="1" w:line="259" w:lineRule="auto"/>
        <w:ind w:firstLine="480" w:firstLineChars="200"/>
        <w:rPr>
          <w:rFonts w:hint="eastAsia" w:ascii="宋体" w:hAnsi="宋体" w:eastAsia="宋体" w:cs="宋体"/>
          <w:b w:val="0"/>
          <w:bCs w:val="0"/>
          <w:color w:val="000000"/>
          <w:spacing w:val="-2"/>
          <w:sz w:val="24"/>
          <w:szCs w:val="24"/>
          <w:lang w:eastAsia="zh-CN"/>
        </w:rPr>
      </w:pPr>
      <w:r>
        <w:rPr>
          <w:rFonts w:ascii="宋体" w:hAnsi="宋体" w:eastAsia="宋体" w:cs="宋体"/>
          <w:b w:val="0"/>
          <w:bCs w:val="0"/>
          <w:sz w:val="24"/>
          <w:szCs w:val="24"/>
          <w:lang w:eastAsia="zh-CN"/>
        </w:rPr>
        <w:t>兹有</w:t>
      </w:r>
      <w:r>
        <w:rPr>
          <w:rFonts w:hint="eastAsia" w:ascii="宋体" w:hAnsi="宋体" w:eastAsia="宋体" w:cs="宋体"/>
          <w:b w:val="0"/>
          <w:bCs w:val="0"/>
          <w:sz w:val="24"/>
          <w:szCs w:val="24"/>
          <w:u w:val="single"/>
          <w:lang w:eastAsia="zh-CN"/>
        </w:rPr>
        <w:t xml:space="preserve">                       </w:t>
      </w:r>
      <w:r>
        <w:rPr>
          <w:rFonts w:ascii="宋体" w:hAnsi="宋体" w:eastAsia="宋体" w:cs="宋体"/>
          <w:b w:val="0"/>
          <w:bCs w:val="0"/>
          <w:sz w:val="24"/>
          <w:szCs w:val="24"/>
          <w:lang w:eastAsia="zh-CN"/>
        </w:rPr>
        <w:t>单位法定代表人(或委托代理人)于</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年</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月</w:t>
      </w:r>
      <w:r>
        <w:rPr>
          <w:rFonts w:hint="eastAsia" w:ascii="宋体" w:hAnsi="宋体" w:eastAsia="宋体" w:cs="宋体"/>
          <w:b w:val="0"/>
          <w:bCs w:val="0"/>
          <w:sz w:val="24"/>
          <w:szCs w:val="24"/>
          <w:lang w:eastAsia="zh-CN"/>
        </w:rPr>
        <w:t xml:space="preserve">   </w:t>
      </w:r>
      <w:r>
        <w:rPr>
          <w:rFonts w:ascii="宋体" w:hAnsi="宋体" w:eastAsia="宋体" w:cs="宋体"/>
          <w:b w:val="0"/>
          <w:bCs w:val="0"/>
          <w:sz w:val="24"/>
          <w:szCs w:val="24"/>
          <w:lang w:eastAsia="zh-CN"/>
        </w:rPr>
        <w:t>日进行现场勘</w:t>
      </w:r>
      <w:r>
        <w:rPr>
          <w:rFonts w:hint="eastAsia" w:ascii="宋体" w:hAnsi="宋体" w:eastAsia="宋体" w:cs="宋体"/>
          <w:b w:val="0"/>
          <w:bCs w:val="0"/>
          <w:sz w:val="24"/>
          <w:szCs w:val="24"/>
          <w:lang w:eastAsia="zh-CN"/>
        </w:rPr>
        <w:t>查</w:t>
      </w:r>
      <w:r>
        <w:rPr>
          <w:rFonts w:ascii="宋体" w:hAnsi="宋体" w:eastAsia="宋体" w:cs="宋体"/>
          <w:b w:val="0"/>
          <w:bCs w:val="0"/>
          <w:sz w:val="24"/>
          <w:szCs w:val="24"/>
          <w:lang w:eastAsia="zh-CN"/>
        </w:rPr>
        <w:t>了解和熟悉项目场地及相关的周边环境情况</w:t>
      </w:r>
      <w:r>
        <w:rPr>
          <w:rFonts w:hint="eastAsia" w:ascii="宋体" w:hAnsi="宋体" w:eastAsia="宋体" w:cs="宋体"/>
          <w:b w:val="0"/>
          <w:bCs w:val="0"/>
          <w:sz w:val="24"/>
          <w:szCs w:val="24"/>
          <w:lang w:eastAsia="zh-CN"/>
        </w:rPr>
        <w:t>；</w:t>
      </w:r>
    </w:p>
    <w:p w14:paraId="0C3EB99F">
      <w:pPr>
        <w:ind w:firstLine="480" w:firstLineChars="200"/>
        <w:rPr>
          <w:rFonts w:ascii="宋体" w:hAnsi="宋体" w:eastAsia="宋体" w:cs="宋体"/>
          <w:sz w:val="24"/>
          <w:szCs w:val="24"/>
          <w:lang w:eastAsia="zh-CN"/>
        </w:rPr>
      </w:pPr>
      <w:r>
        <w:rPr>
          <w:rFonts w:ascii="宋体" w:hAnsi="宋体" w:eastAsia="宋体" w:cs="宋体"/>
          <w:sz w:val="24"/>
          <w:szCs w:val="24"/>
          <w:lang w:eastAsia="zh-CN"/>
        </w:rPr>
        <w:t>特此</w:t>
      </w:r>
      <w:r>
        <w:rPr>
          <w:rFonts w:hint="eastAsia" w:ascii="宋体" w:hAnsi="宋体" w:eastAsia="宋体" w:cs="宋体"/>
          <w:sz w:val="24"/>
          <w:szCs w:val="24"/>
          <w:lang w:eastAsia="zh-CN"/>
        </w:rPr>
        <w:t>证明</w:t>
      </w:r>
    </w:p>
    <w:p w14:paraId="4B519F96">
      <w:pPr>
        <w:ind w:firstLine="480" w:firstLineChars="200"/>
        <w:rPr>
          <w:rFonts w:ascii="宋体" w:hAnsi="宋体" w:eastAsia="宋体" w:cs="宋体"/>
          <w:sz w:val="24"/>
          <w:szCs w:val="24"/>
          <w:lang w:eastAsia="zh-CN"/>
        </w:rPr>
      </w:pPr>
    </w:p>
    <w:p w14:paraId="4B034833">
      <w:pPr>
        <w:ind w:firstLine="480" w:firstLineChars="200"/>
        <w:rPr>
          <w:rFonts w:ascii="宋体" w:hAnsi="宋体" w:eastAsia="宋体" w:cs="宋体"/>
          <w:sz w:val="24"/>
          <w:szCs w:val="24"/>
          <w:lang w:eastAsia="zh-CN"/>
        </w:rPr>
      </w:pPr>
    </w:p>
    <w:p w14:paraId="316A57BD">
      <w:pPr>
        <w:ind w:firstLine="480" w:firstLineChars="200"/>
        <w:rPr>
          <w:rFonts w:hint="eastAsia" w:ascii="宋体" w:hAnsi="宋体" w:eastAsia="宋体" w:cs="宋体"/>
          <w:sz w:val="24"/>
          <w:szCs w:val="24"/>
          <w:lang w:eastAsia="zh-CN"/>
        </w:rPr>
      </w:pPr>
    </w:p>
    <w:p w14:paraId="223E82FB">
      <w:pPr>
        <w:spacing w:after="167"/>
        <w:ind w:left="4545" w:hanging="10"/>
        <w:rPr>
          <w:rFonts w:hint="eastAsia"/>
          <w:sz w:val="24"/>
          <w:szCs w:val="24"/>
          <w:lang w:eastAsia="zh-CN"/>
        </w:rPr>
      </w:pPr>
      <w:r>
        <w:rPr>
          <w:rFonts w:hint="eastAsia" w:ascii="宋体" w:hAnsi="宋体" w:eastAsia="宋体" w:cs="宋体"/>
          <w:sz w:val="24"/>
          <w:szCs w:val="24"/>
          <w:lang w:eastAsia="zh-CN"/>
        </w:rPr>
        <w:t>服务商</w:t>
      </w:r>
      <w:bookmarkStart w:id="0" w:name="_GoBack"/>
      <w:bookmarkEnd w:id="0"/>
      <w:r>
        <w:rPr>
          <w:rFonts w:ascii="宋体" w:hAnsi="宋体" w:eastAsia="宋体" w:cs="宋体"/>
          <w:sz w:val="24"/>
          <w:szCs w:val="24"/>
          <w:lang w:eastAsia="zh-CN"/>
        </w:rPr>
        <w:t>(盖章):</w:t>
      </w:r>
    </w:p>
    <w:p w14:paraId="4F14024E">
      <w:pPr>
        <w:spacing w:after="167"/>
        <w:ind w:left="4545" w:hanging="10"/>
        <w:rPr>
          <w:rFonts w:hint="eastAsia"/>
          <w:sz w:val="24"/>
          <w:szCs w:val="24"/>
          <w:lang w:eastAsia="zh-CN"/>
        </w:rPr>
      </w:pPr>
      <w:r>
        <w:rPr>
          <w:rFonts w:ascii="宋体" w:hAnsi="宋体" w:eastAsia="宋体" w:cs="宋体"/>
          <w:sz w:val="24"/>
          <w:szCs w:val="24"/>
          <w:lang w:eastAsia="zh-CN"/>
        </w:rPr>
        <w:t>现场勘察人(签字):</w:t>
      </w:r>
    </w:p>
    <w:p w14:paraId="308A13D3">
      <w:pPr>
        <w:spacing w:after="167"/>
        <w:ind w:left="4545" w:hanging="10"/>
        <w:rPr>
          <w:rFonts w:hint="eastAsia"/>
          <w:sz w:val="24"/>
          <w:szCs w:val="24"/>
          <w:lang w:eastAsia="zh-CN"/>
        </w:rPr>
      </w:pPr>
      <w:r>
        <w:rPr>
          <w:rFonts w:ascii="宋体" w:hAnsi="宋体" w:eastAsia="宋体" w:cs="宋体"/>
          <w:sz w:val="24"/>
          <w:szCs w:val="24"/>
          <w:lang w:eastAsia="zh-CN"/>
        </w:rPr>
        <w:t>联系电话:</w:t>
      </w:r>
    </w:p>
    <w:p w14:paraId="3709FA96">
      <w:pPr>
        <w:spacing w:after="1237"/>
        <w:ind w:left="4545" w:hanging="10"/>
        <w:rPr>
          <w:rFonts w:hint="eastAsia"/>
          <w:sz w:val="24"/>
          <w:szCs w:val="24"/>
          <w:lang w:eastAsia="zh-CN"/>
        </w:rPr>
      </w:pPr>
      <w:r>
        <w:rPr>
          <w:rFonts w:ascii="宋体" w:hAnsi="宋体" w:eastAsia="宋体" w:cs="宋体"/>
          <w:sz w:val="24"/>
          <w:szCs w:val="24"/>
          <w:lang w:eastAsia="zh-CN"/>
        </w:rPr>
        <w:t>日 期:</w:t>
      </w:r>
    </w:p>
    <w:p w14:paraId="3BA7A8B9">
      <w:pPr>
        <w:bidi w:val="0"/>
        <w:ind w:firstLine="317" w:firstLineChars="0"/>
        <w:jc w:val="left"/>
        <w:rPr>
          <w:rFonts w:hint="eastAsia"/>
          <w:lang w:val="en-US" w:eastAsia="zh-CN"/>
        </w:rPr>
      </w:pP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Ђ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PhagsPa">
    <w:panose1 w:val="020B0502040204020203"/>
    <w:charset w:val="00"/>
    <w:family w:val="auto"/>
    <w:pitch w:val="default"/>
    <w:sig w:usb0="00000003" w:usb1="00200000" w:usb2="08000000" w:usb3="00000000" w:csb0="00000001" w:csb1="00000000"/>
  </w:font>
  <w:font w:name="Gisha">
    <w:panose1 w:val="020B0502040204020203"/>
    <w:charset w:val="00"/>
    <w:family w:val="auto"/>
    <w:pitch w:val="default"/>
    <w:sig w:usb0="80000807" w:usb1="40000042" w:usb2="00000000" w:usb3="00000000" w:csb0="00000021" w:csb1="00000000"/>
  </w:font>
  <w:font w:name="EucrosiaUPC">
    <w:panose1 w:val="02020603050405020304"/>
    <w:charset w:val="00"/>
    <w:family w:val="auto"/>
    <w:pitch w:val="default"/>
    <w:sig w:usb0="81000027" w:usb1="00000002" w:usb2="00000000" w:usb3="00000000" w:csb0="00010001" w:csb1="00000000"/>
  </w:font>
  <w:font w:name="Courier New">
    <w:panose1 w:val="02070309020205020404"/>
    <w:charset w:val="00"/>
    <w:family w:val="auto"/>
    <w:pitch w:val="default"/>
    <w:sig w:usb0="E0002AFF" w:usb1="C0007843" w:usb2="00000009" w:usb3="00000000" w:csb0="400001FF" w:csb1="FFFF0000"/>
  </w:font>
  <w:font w:name="Comic Sans MS">
    <w:panose1 w:val="030F0702030302020204"/>
    <w:charset w:val="00"/>
    <w:family w:val="auto"/>
    <w:pitch w:val="default"/>
    <w:sig w:usb0="00000287" w:usb1="40000013" w:usb2="00000000" w:usb3="00000000" w:csb0="2000009F" w:csb1="00000000"/>
  </w:font>
  <w:font w:name="Browallia New">
    <w:panose1 w:val="020B0604020202020204"/>
    <w:charset w:val="00"/>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A4D905"/>
    <w:multiLevelType w:val="singleLevel"/>
    <w:tmpl w:val="A1A4D905"/>
    <w:lvl w:ilvl="0" w:tentative="0">
      <w:start w:val="4"/>
      <w:numFmt w:val="decimal"/>
      <w:suff w:val="nothing"/>
      <w:lvlText w:val="%1、"/>
      <w:lvlJc w:val="left"/>
      <w:rPr>
        <w:rFonts w:hint="default"/>
        <w:color w:val="auto"/>
      </w:rPr>
    </w:lvl>
  </w:abstractNum>
  <w:abstractNum w:abstractNumId="1">
    <w:nsid w:val="B450E781"/>
    <w:multiLevelType w:val="singleLevel"/>
    <w:tmpl w:val="B450E7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NDE4NGI5ZWUwZjUxMGZmZWVkN2Y0OTkxODhlYjAifQ=="/>
    <w:docVar w:name="KSO_WPS_MARK_KEY" w:val="82de6552-0da7-4c25-a259-f6ae9f4ee782"/>
  </w:docVars>
  <w:rsids>
    <w:rsidRoot w:val="00000000"/>
    <w:rsid w:val="02083868"/>
    <w:rsid w:val="06996598"/>
    <w:rsid w:val="06D557F7"/>
    <w:rsid w:val="087B0B34"/>
    <w:rsid w:val="088D57EE"/>
    <w:rsid w:val="09AA280D"/>
    <w:rsid w:val="0B1431E3"/>
    <w:rsid w:val="0B322D5E"/>
    <w:rsid w:val="0B474070"/>
    <w:rsid w:val="0C0A519B"/>
    <w:rsid w:val="0D0B25BC"/>
    <w:rsid w:val="0F860F7E"/>
    <w:rsid w:val="108F2717"/>
    <w:rsid w:val="11E22BBA"/>
    <w:rsid w:val="12257CE2"/>
    <w:rsid w:val="13EE6005"/>
    <w:rsid w:val="176C350F"/>
    <w:rsid w:val="1B6A0525"/>
    <w:rsid w:val="1B6A4B84"/>
    <w:rsid w:val="1F4B03DB"/>
    <w:rsid w:val="200230AF"/>
    <w:rsid w:val="205C32C4"/>
    <w:rsid w:val="20B15441"/>
    <w:rsid w:val="20DC38D1"/>
    <w:rsid w:val="2298205F"/>
    <w:rsid w:val="237023C7"/>
    <w:rsid w:val="24B052C6"/>
    <w:rsid w:val="24E3358F"/>
    <w:rsid w:val="254A57DC"/>
    <w:rsid w:val="26E74D78"/>
    <w:rsid w:val="2A622692"/>
    <w:rsid w:val="2C342555"/>
    <w:rsid w:val="2DBB07F0"/>
    <w:rsid w:val="2EAD65D1"/>
    <w:rsid w:val="2FF26266"/>
    <w:rsid w:val="306C7DC6"/>
    <w:rsid w:val="309D0E76"/>
    <w:rsid w:val="31E97395"/>
    <w:rsid w:val="37E847F0"/>
    <w:rsid w:val="3D9E4CC6"/>
    <w:rsid w:val="3E4575C6"/>
    <w:rsid w:val="3FAD4598"/>
    <w:rsid w:val="3FB73305"/>
    <w:rsid w:val="3FD97D81"/>
    <w:rsid w:val="412042CF"/>
    <w:rsid w:val="426B6885"/>
    <w:rsid w:val="42ED122D"/>
    <w:rsid w:val="44BC1969"/>
    <w:rsid w:val="455626F7"/>
    <w:rsid w:val="45D1217E"/>
    <w:rsid w:val="45D21567"/>
    <w:rsid w:val="47214F43"/>
    <w:rsid w:val="47C6292D"/>
    <w:rsid w:val="485E4EEC"/>
    <w:rsid w:val="493A42A6"/>
    <w:rsid w:val="4B1A46A7"/>
    <w:rsid w:val="4F1965D3"/>
    <w:rsid w:val="4FEC63D6"/>
    <w:rsid w:val="538916F6"/>
    <w:rsid w:val="53EE6BC1"/>
    <w:rsid w:val="565F1079"/>
    <w:rsid w:val="573F603A"/>
    <w:rsid w:val="5A4A6096"/>
    <w:rsid w:val="5A852D41"/>
    <w:rsid w:val="5BA86040"/>
    <w:rsid w:val="5C8C4D23"/>
    <w:rsid w:val="5D2E6280"/>
    <w:rsid w:val="5D48700D"/>
    <w:rsid w:val="61BD04AA"/>
    <w:rsid w:val="63F140B7"/>
    <w:rsid w:val="643149CF"/>
    <w:rsid w:val="65F54B95"/>
    <w:rsid w:val="68545198"/>
    <w:rsid w:val="69EB05D4"/>
    <w:rsid w:val="6DD307E3"/>
    <w:rsid w:val="71A566B9"/>
    <w:rsid w:val="71D21EFE"/>
    <w:rsid w:val="728F5CE4"/>
    <w:rsid w:val="74BF3F35"/>
    <w:rsid w:val="75AE3C79"/>
    <w:rsid w:val="762B3777"/>
    <w:rsid w:val="7A134CE1"/>
    <w:rsid w:val="7C6C7550"/>
    <w:rsid w:val="7D2D4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paragraph" w:styleId="3">
    <w:name w:val="heading 1"/>
    <w:next w:val="1"/>
    <w:qFormat/>
    <w:uiPriority w:val="9"/>
    <w:pPr>
      <w:keepNext/>
      <w:keepLines/>
      <w:spacing w:after="3" w:line="265" w:lineRule="auto"/>
      <w:ind w:left="701" w:hanging="10"/>
      <w:outlineLvl w:val="0"/>
    </w:pPr>
    <w:rPr>
      <w:rFonts w:ascii="黑体" w:hAnsi="黑体" w:eastAsia="黑体" w:cs="黑体"/>
      <w:color w:val="000000"/>
      <w:kern w:val="2"/>
      <w:sz w:val="28"/>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spacing w:after="120" w:afterLines="0"/>
    </w:pPr>
  </w:style>
  <w:style w:type="paragraph" w:styleId="6">
    <w:name w:val="Plain Text"/>
    <w:basedOn w:val="1"/>
    <w:qFormat/>
    <w:uiPriority w:val="0"/>
    <w:pPr>
      <w:spacing w:line="360" w:lineRule="auto"/>
    </w:pPr>
    <w:rPr>
      <w:rFonts w:ascii="楷体_GB2312" w:eastAsia="楷体_GB2312"/>
      <w:sz w:val="24"/>
    </w:rPr>
  </w:style>
  <w:style w:type="paragraph" w:customStyle="1" w:styleId="9">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mu"/>
    <w:basedOn w:val="1"/>
    <w:qFormat/>
    <w:uiPriority w:val="0"/>
    <w:pPr>
      <w:widowControl/>
      <w:spacing w:before="280" w:after="280"/>
    </w:pPr>
    <w:rPr>
      <w:rFonts w:ascii="Ђˎ̥"/>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2464</Words>
  <Characters>2631</Characters>
  <Lines>0</Lines>
  <Paragraphs>0</Paragraphs>
  <TotalTime>17</TotalTime>
  <ScaleCrop>false</ScaleCrop>
  <LinksUpToDate>false</LinksUpToDate>
  <CharactersWithSpaces>2637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2024-12-15T01:02:00Z</dcterms:created>
  <dc:creator>Administrator</dc:creator>
  <cp:lastModifiedBy>Administrator</cp:lastModifiedBy>
  <cp:lastPrinted>2025-01-09T00:28:00Z</cp:lastPrinted>
  <dcterms:modified xsi:type="dcterms:W3CDTF">2025-02-10T01:04:04Z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73661C8ED00142F6ACF7004D63331998_13</vt:lpwstr>
  </property>
  <property fmtid="{D5CDD505-2E9C-101B-9397-08002B2CF9AE}" pid="4" name="KSOTemplateDocerSaveRecord">
    <vt:lpwstr>eyJoZGlkIjoiZmYyZjA1ZTkwMjJlN2RmYTg1ZDVlOTlkYTUyODg4NTgifQ==</vt:lpwstr>
  </property>
</Properties>
</file>