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C695B">
      <w:pPr>
        <w:jc w:val="center"/>
        <w:rPr>
          <w:rFonts w:hint="eastAsia" w:ascii="宋体" w:hAnsi="宋体"/>
          <w:b/>
          <w:sz w:val="36"/>
          <w:szCs w:val="36"/>
        </w:rPr>
      </w:pPr>
      <w:r>
        <w:rPr>
          <w:rFonts w:hint="eastAsia" w:ascii="宋体" w:hAnsi="宋体"/>
          <w:b/>
          <w:sz w:val="36"/>
          <w:szCs w:val="36"/>
          <w:lang w:val="en-US" w:eastAsia="zh-CN"/>
        </w:rPr>
        <w:t>贵阳市六一幼儿园病媒生物防治</w:t>
      </w:r>
      <w:r>
        <w:rPr>
          <w:rFonts w:hint="eastAsia" w:ascii="宋体" w:hAnsi="宋体"/>
          <w:b/>
          <w:sz w:val="36"/>
          <w:szCs w:val="36"/>
        </w:rPr>
        <w:t>服务</w:t>
      </w:r>
    </w:p>
    <w:p w14:paraId="08DBDB17">
      <w:pPr>
        <w:jc w:val="center"/>
        <w:rPr>
          <w:rFonts w:hint="eastAsia" w:ascii="宋体" w:hAnsi="宋体"/>
          <w:b/>
          <w:sz w:val="36"/>
          <w:szCs w:val="36"/>
          <w:lang w:val="en-US" w:eastAsia="zh-CN"/>
        </w:rPr>
      </w:pPr>
      <w:r>
        <w:rPr>
          <w:rFonts w:hint="eastAsia" w:ascii="宋体" w:hAnsi="宋体"/>
          <w:b/>
          <w:sz w:val="36"/>
          <w:szCs w:val="36"/>
        </w:rPr>
        <w:t>采购</w:t>
      </w:r>
      <w:r>
        <w:rPr>
          <w:rFonts w:hint="eastAsia" w:ascii="宋体" w:hAnsi="宋体"/>
          <w:b/>
          <w:sz w:val="36"/>
          <w:szCs w:val="36"/>
          <w:lang w:val="en-US" w:eastAsia="zh-CN"/>
        </w:rPr>
        <w:t>内容及要求</w:t>
      </w:r>
    </w:p>
    <w:p w14:paraId="1E074D82">
      <w:pPr>
        <w:numPr>
          <w:ilvl w:val="0"/>
          <w:numId w:val="0"/>
        </w:numPr>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一、项目概况</w:t>
      </w:r>
    </w:p>
    <w:p w14:paraId="1475C721">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1.项目名称：贵阳市六一幼儿园病媒生物防治服务采购</w:t>
      </w:r>
    </w:p>
    <w:p w14:paraId="564CB8A9">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2.服务期：壹年（具体时间按合同约定为准）</w:t>
      </w:r>
    </w:p>
    <w:p w14:paraId="4FC3C136">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3.服务地点：贵阳市六一幼儿园（金华园区、白沙园区（窦官园区））。</w:t>
      </w:r>
    </w:p>
    <w:p w14:paraId="50CBAF04">
      <w:pPr>
        <w:numPr>
          <w:ilvl w:val="0"/>
          <w:numId w:val="0"/>
        </w:numPr>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二、资格条件：</w:t>
      </w:r>
    </w:p>
    <w:p w14:paraId="51FEC9A2">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1.具有有效的多证合一的营业执照；</w:t>
      </w:r>
    </w:p>
    <w:p w14:paraId="52E8CE4C">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本年度之内任意3个月缴纳税收（非纳税组织或纳税零申报的供应商提供相关佐证证明材料）及社保证明材料；新成立不满三个月的供应商提供依法缴纳税收和社保的书面承诺（承诺函格式自拟）；如不需缴纳的，需出具有效的证明材料；</w:t>
      </w:r>
    </w:p>
    <w:p w14:paraId="08C163EE">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3.供应商需承诺：参加本次竞价活动前3年内在经营活动中未因违法经营受到刑事处罚或者责令停产停业、吊销许可证或者执照、较大数额罚款等行政处罚；（承诺函格式自拟）</w:t>
      </w:r>
    </w:p>
    <w:p w14:paraId="396AA728">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供应商需承诺：截止本项目竞价时间前在“信用中国”网站（www.creditchina.gov.cn）查询未被列入失信被执行人名单、重大税收违法案件当事人名单、政府采购严重违法失信行为记录名单中；在中国政府采购网（www.ccgp.gov.cn）查询未被列入政府采购严重违法失信行为记录名单中，否则自愿取消竞价资格，并自愿承担由此造成的一切法律责任及后果；（承诺函格式自拟）</w:t>
      </w:r>
    </w:p>
    <w:p w14:paraId="3B72C65E">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 5.供应商具有相关服务经验：至少提供1个2021年1月至今类似本项目服务单位业绩（提供业绩合同复印件）。</w:t>
      </w:r>
    </w:p>
    <w:p w14:paraId="1BA41C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6、提供投标单位法定代表人身份证复印件（如为委托代理人参与投标的还需提供法定代表人授权委托书原件、委托代理人的身份证复印件）；</w:t>
      </w:r>
    </w:p>
    <w:p w14:paraId="54848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7、以上证照均需加盖单位公章。</w:t>
      </w:r>
    </w:p>
    <w:p w14:paraId="5B826F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三、服务内容及要求：</w:t>
      </w:r>
    </w:p>
    <w:p w14:paraId="1EAA1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1、消杀使用药物：</w:t>
      </w:r>
    </w:p>
    <w:p w14:paraId="75D69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tbl>
      <w:tblPr>
        <w:tblW w:w="84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90"/>
        <w:gridCol w:w="1155"/>
        <w:gridCol w:w="3285"/>
        <w:gridCol w:w="2400"/>
      </w:tblGrid>
      <w:tr w14:paraId="0DBEED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60" w:hRule="atLeast"/>
          <w:jc w:val="center"/>
        </w:trPr>
        <w:tc>
          <w:tcPr>
            <w:tcW w:w="15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24AB8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both"/>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虫害种类</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097C6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地点</w:t>
            </w:r>
          </w:p>
        </w:tc>
        <w:tc>
          <w:tcPr>
            <w:tcW w:w="3285"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226C4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3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药物和器具名称</w:t>
            </w:r>
          </w:p>
        </w:tc>
        <w:tc>
          <w:tcPr>
            <w:tcW w:w="240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54749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0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用药方法</w:t>
            </w:r>
          </w:p>
        </w:tc>
      </w:tr>
      <w:tr w14:paraId="7BEA4C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404E8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鼠类</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7EF10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外围</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2153B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鼠饵盒和专业鼠药</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4492B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人工投放</w:t>
            </w:r>
          </w:p>
        </w:tc>
      </w:tr>
      <w:tr w14:paraId="281913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8B3F990">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41F8C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室内</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49551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粘鼠板</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46128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人工更换</w:t>
            </w:r>
          </w:p>
        </w:tc>
      </w:tr>
      <w:tr w14:paraId="3F027E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0ADCFED">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45343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地下室</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2702A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粘鼠板</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7EB65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人工更换</w:t>
            </w:r>
          </w:p>
        </w:tc>
      </w:tr>
      <w:tr w14:paraId="04ABD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3941D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蚊蝇等飞虫</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19905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积水池</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54D00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专业杀虫剂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0DC86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人工投放</w:t>
            </w:r>
          </w:p>
        </w:tc>
      </w:tr>
      <w:tr w14:paraId="504C2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A08C534">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5EFE5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外围</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4B18B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专业杀虫剂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16D62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人工喷洒</w:t>
            </w:r>
          </w:p>
        </w:tc>
      </w:tr>
      <w:tr w14:paraId="34268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EBD64DB">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3BC8E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室内</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18251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专业杀虫剂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592AB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人工喷洒</w:t>
            </w:r>
          </w:p>
        </w:tc>
      </w:tr>
      <w:tr w14:paraId="26D681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24B1A2B">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01D69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地下室</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4B172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专业杀虫剂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78D9E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人工喷洒</w:t>
            </w:r>
          </w:p>
        </w:tc>
      </w:tr>
      <w:tr w14:paraId="2FD7EC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29D52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蟑螂等爬虫</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7F86A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厨房</w:t>
            </w:r>
          </w:p>
          <w:p w14:paraId="1503C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餐厅</w:t>
            </w:r>
          </w:p>
          <w:p w14:paraId="2B300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教室</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7958B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灭蟑颗粒剂或灭蟑胶剂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126C0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人工投放</w:t>
            </w:r>
          </w:p>
        </w:tc>
      </w:tr>
      <w:tr w14:paraId="1FD93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AC04DAC">
            <w:pPr>
              <w:rPr>
                <w:rFonts w:hint="eastAsia" w:ascii="宋体"/>
                <w:sz w:val="24"/>
                <w:szCs w:val="24"/>
              </w:rPr>
            </w:pPr>
          </w:p>
        </w:tc>
        <w:tc>
          <w:tcPr>
            <w:tcW w:w="1155" w:type="dxa"/>
            <w:tcBorders>
              <w:top w:val="nil"/>
              <w:left w:val="nil"/>
              <w:bottom w:val="single" w:color="000000" w:sz="6" w:space="0"/>
              <w:right w:val="single" w:color="000000" w:sz="6" w:space="0"/>
            </w:tcBorders>
            <w:shd w:val="clear"/>
            <w:tcMar>
              <w:left w:w="105" w:type="dxa"/>
              <w:right w:w="105" w:type="dxa"/>
            </w:tcMar>
            <w:vAlign w:val="center"/>
          </w:tcPr>
          <w:p w14:paraId="4700E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地下室</w:t>
            </w:r>
          </w:p>
        </w:tc>
        <w:tc>
          <w:tcPr>
            <w:tcW w:w="3285" w:type="dxa"/>
            <w:tcBorders>
              <w:top w:val="nil"/>
              <w:left w:val="nil"/>
              <w:bottom w:val="single" w:color="000000" w:sz="6" w:space="0"/>
              <w:right w:val="single" w:color="000000" w:sz="6" w:space="0"/>
            </w:tcBorders>
            <w:shd w:val="clear"/>
            <w:tcMar>
              <w:left w:w="105" w:type="dxa"/>
              <w:right w:w="105" w:type="dxa"/>
            </w:tcMar>
            <w:vAlign w:val="center"/>
          </w:tcPr>
          <w:p w14:paraId="4A5B7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灭蟑颗粒剂或灭蟑胶剂</w:t>
            </w:r>
          </w:p>
        </w:tc>
        <w:tc>
          <w:tcPr>
            <w:tcW w:w="2400" w:type="dxa"/>
            <w:tcBorders>
              <w:top w:val="nil"/>
              <w:left w:val="nil"/>
              <w:bottom w:val="single" w:color="000000" w:sz="6" w:space="0"/>
              <w:right w:val="single" w:color="000000" w:sz="6" w:space="0"/>
            </w:tcBorders>
            <w:shd w:val="clear"/>
            <w:tcMar>
              <w:left w:w="105" w:type="dxa"/>
              <w:right w:w="105" w:type="dxa"/>
            </w:tcMar>
            <w:vAlign w:val="center"/>
          </w:tcPr>
          <w:p w14:paraId="18C0E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olor w:val="333333"/>
                <w:kern w:val="0"/>
                <w:sz w:val="24"/>
                <w:szCs w:val="24"/>
                <w:bdr w:val="none" w:color="auto" w:sz="0" w:space="0"/>
                <w:lang w:val="en-US" w:eastAsia="zh-CN" w:bidi="ar"/>
              </w:rPr>
              <w:t>人工投放</w:t>
            </w:r>
          </w:p>
        </w:tc>
      </w:tr>
    </w:tbl>
    <w:p w14:paraId="7FB84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3B298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使用国家有关部门允许使用的药物并遵守规定，用低度、高效、对人畜无害的药物，以保证效果和安全。</w:t>
      </w:r>
    </w:p>
    <w:p w14:paraId="6D994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2、工作内容要求：</w:t>
      </w:r>
    </w:p>
    <w:p w14:paraId="0997622D">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（一）消杀效果：参照卫健发（原国家卫生部）、中国国家标准化管理委员会统一发布的《病媒生物密度控制水平》标准执行。</w:t>
      </w:r>
    </w:p>
    <w:p w14:paraId="6E988739">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（二）消杀范围：食堂、垃圾房、走廊、楼梯、户外花园、草坪、厕所、下水道等地每周必消，教室和功能室有异常进行消杀。</w:t>
      </w:r>
    </w:p>
    <w:p w14:paraId="4DA3352C">
      <w:pPr>
        <w:spacing w:line="360" w:lineRule="auto"/>
        <w:ind w:firstLine="424" w:firstLineChars="177"/>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（三）消杀频次：开学期间和寒暑假均每周1次。</w:t>
      </w:r>
    </w:p>
    <w:p w14:paraId="37D10B15">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（四）消杀时间：幼儿在园期间为每周五下午4点后，寒暑假不定。</w:t>
      </w:r>
    </w:p>
    <w:p w14:paraId="010CB307">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（五）驱蛇时间和频次：4-10月每月1次。</w:t>
      </w:r>
    </w:p>
    <w:p w14:paraId="06D8B927">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（六）操作要求：科学配置药水、安全实施喷杀，不得有违反操作规范的行为，如本次消杀有特殊要求提前告知园方管理人员。</w:t>
      </w:r>
    </w:p>
    <w:p w14:paraId="6CC3F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3、技术要求：</w:t>
      </w:r>
    </w:p>
    <w:p w14:paraId="3C97D6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1）按四害发生季节适当增加频次，以达到较好的消杀效果。进行消杀服务作业时，须严格按照国家、省、市相关技术标准进行安全操作，并安排专业技术人员自带工具进行消杀服务。</w:t>
      </w:r>
    </w:p>
    <w:p w14:paraId="4F266A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响应单位采购的药品要求必须环保，室内、室外用药分开，有国家相关“三证”（农药登记证、生产许可证、质量合格证），主要用药必须符合本次采购的要求并经采购单位现场验收合格后方可使用。响应单位须科学用药、安全施药，不能破坏防治区域的生态平衡。如药物药性比较大的，需提前和园方沟通确认后方可使用，如未和园方沟通私自使用对中心造成人身安全造成影响的，或在消杀范围内造成公害的，所产生的责任后果由响应单位承担。</w:t>
      </w:r>
    </w:p>
    <w:p w14:paraId="4561AE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3）用药未达到验收要求或消杀未达到验收标准，造成返工及另行购料所引起的一切费用由响应单位承担，对园方造成损失的，响应单位应予以赔偿。</w:t>
      </w:r>
    </w:p>
    <w:p w14:paraId="186D7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4）园方需进行紧急消杀时，响应单位应提供1小时以内响应，3小时以内到达现场并完成消杀的服务。如遇国家、省、市相关行业出台相应文件，需按文件要求进行消杀服务。</w:t>
      </w:r>
    </w:p>
    <w:p w14:paraId="47949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4、服务要求：</w:t>
      </w:r>
    </w:p>
    <w:p w14:paraId="2EC82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1）服务期内，在相应消杀区域保质保量完成各项消杀要求。每次作业时需凭采购单位管理人员签字确认的工作联系单（写明工作内容、执行情况、服务人、时间），方可进行消杀服务。</w:t>
      </w:r>
    </w:p>
    <w:p w14:paraId="1C0AC6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2）工作联系单为服务期内考核及付款依据，未经园方管理部门确认的，视为无效服务，不予付款。</w:t>
      </w:r>
    </w:p>
    <w:p w14:paraId="548E4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3）如响应单位在接到采购单位三次通知和催促后仍未能及时前来服务，采购单位有权请第三方介入服务，由此引起的费用由响应单位支付，或在当年服务费中扣除。</w:t>
      </w:r>
    </w:p>
    <w:p w14:paraId="1CCFF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4）服务期间因响应单位操作不当产生的人员伤害、安全事故，或对中心设备设施造成损坏的需由响应单位承担全部责任并照价赔偿。</w:t>
      </w:r>
    </w:p>
    <w:p w14:paraId="1A51F916">
      <w:pPr>
        <w:spacing w:line="360" w:lineRule="auto"/>
        <w:ind w:firstLine="284" w:firstLineChars="118"/>
        <w:rPr>
          <w:rFonts w:hint="default" w:ascii="宋体" w:hAnsi="宋体" w:eastAsiaTheme="minorEastAsia"/>
          <w:b/>
          <w:bCs/>
          <w:sz w:val="24"/>
          <w:lang w:val="en-US" w:eastAsia="zh-CN"/>
        </w:rPr>
      </w:pPr>
      <w:r>
        <w:rPr>
          <w:rFonts w:hint="eastAsia" w:ascii="宋体" w:hAnsi="宋体"/>
          <w:b/>
          <w:bCs/>
          <w:sz w:val="24"/>
          <w:lang w:val="en-US" w:eastAsia="zh-CN"/>
        </w:rPr>
        <w:t>四、其他要求：</w:t>
      </w:r>
    </w:p>
    <w:p w14:paraId="79C1A3A4">
      <w:pPr>
        <w:spacing w:line="360" w:lineRule="auto"/>
        <w:ind w:firstLine="283" w:firstLineChars="118"/>
        <w:rPr>
          <w:rFonts w:hint="eastAsia" w:ascii="宋体" w:hAnsi="宋体"/>
          <w:sz w:val="24"/>
        </w:rPr>
      </w:pPr>
      <w:r>
        <w:rPr>
          <w:rFonts w:hint="eastAsia" w:ascii="宋体" w:hAnsi="宋体"/>
          <w:sz w:val="24"/>
        </w:rPr>
        <w:t>1.拟投入本项目的人员须身体健康（提供幼儿园指定的医疗卫生机构出具的相关健康证件），无心理疾病，无不良嗜好，无违法犯罪记录（提供派出所出具的无犯罪记录证明）。</w:t>
      </w:r>
    </w:p>
    <w:p w14:paraId="4AE573BD">
      <w:pPr>
        <w:spacing w:line="360" w:lineRule="auto"/>
        <w:ind w:firstLine="283" w:firstLineChars="118"/>
        <w:jc w:val="left"/>
        <w:rPr>
          <w:rFonts w:hint="default"/>
          <w:lang w:val="en-US" w:eastAsia="zh-CN"/>
        </w:rPr>
      </w:pPr>
      <w:r>
        <w:rPr>
          <w:rFonts w:hint="eastAsia" w:ascii="宋体" w:hAnsi="宋体"/>
          <w:sz w:val="24"/>
          <w:lang w:val="en-US" w:eastAsia="zh-CN"/>
        </w:rPr>
        <w:t>2</w:t>
      </w:r>
      <w:r>
        <w:rPr>
          <w:rFonts w:hint="eastAsia" w:ascii="宋体" w:hAnsi="宋体"/>
          <w:sz w:val="24"/>
        </w:rPr>
        <w:t>.服务期内本项目人员产生的一切劳动纠纷</w:t>
      </w:r>
      <w:r>
        <w:rPr>
          <w:rFonts w:hint="eastAsia" w:ascii="宋体" w:hAnsi="宋体"/>
          <w:sz w:val="24"/>
          <w:lang w:val="en-US" w:eastAsia="zh-CN"/>
        </w:rPr>
        <w:t>和安全</w:t>
      </w:r>
      <w:r>
        <w:rPr>
          <w:rFonts w:hint="eastAsia" w:ascii="宋体" w:hAnsi="宋体"/>
          <w:sz w:val="24"/>
        </w:rPr>
        <w:t>均由</w:t>
      </w:r>
      <w:r>
        <w:rPr>
          <w:rFonts w:hint="eastAsia" w:ascii="宋体" w:hAnsi="宋体"/>
          <w:sz w:val="24"/>
          <w:lang w:eastAsia="zh-CN"/>
        </w:rPr>
        <w:t>供应商</w:t>
      </w:r>
      <w:r>
        <w:rPr>
          <w:rFonts w:hint="eastAsia" w:ascii="宋体" w:hAnsi="宋体"/>
          <w:sz w:val="24"/>
        </w:rPr>
        <w:t>自行承担。</w:t>
      </w:r>
    </w:p>
    <w:p w14:paraId="7B881E8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B6CAA"/>
    <w:rsid w:val="06336531"/>
    <w:rsid w:val="0F2F1860"/>
    <w:rsid w:val="1017657C"/>
    <w:rsid w:val="1A6B6CAA"/>
    <w:rsid w:val="1AD7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2024-12-30T07:17:00Z</dcterms:created>
  <dc:creator>槐花糕</dc:creator>
  <cp:lastModifiedBy>槐花糕</cp:lastModifiedBy>
  <dcterms:modified xsi:type="dcterms:W3CDTF">2024-12-30T07:39:19Z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F065685EAE25429DBAEA6347848B57C2_11</vt:lpwstr>
  </property>
  <property fmtid="{D5CDD505-2E9C-101B-9397-08002B2CF9AE}" pid="4" name="KSOTemplateDocerSaveRecord">
    <vt:lpwstr>eyJoZGlkIjoiYzU3YTM4MDZjMmVlYTJkYWIwYmRjZDM5ZWJkMGFmOWQiLCJ1c2VySWQiOiIxMjQ1OTE2Mzk1In0=</vt:lpwstr>
  </property>
</Properties>
</file>