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DC69B">
      <w:pPr>
        <w:spacing w:beforeLines="50"/>
        <w:jc w:val="center"/>
        <w:rPr>
          <w:rFonts w:hint="eastAsia" w:ascii="Arial" w:hAnsi="Arial" w:eastAsia="宋体" w:cs="Arial"/>
          <w:b/>
          <w:sz w:val="48"/>
          <w:szCs w:val="48"/>
          <w:highlight w:val="none"/>
          <w:lang w:eastAsia="zh-CN"/>
        </w:rPr>
      </w:pPr>
      <w:r>
        <w:rPr>
          <w:rFonts w:hint="eastAsia"/>
          <w:b/>
          <w:sz w:val="48"/>
          <w:szCs w:val="48"/>
          <w:highlight w:val="none"/>
          <w:lang w:eastAsia="zh-CN"/>
        </w:rPr>
        <w:t>县城公共环境病媒生物防制消杀服务项目（重新招标）</w:t>
      </w:r>
    </w:p>
    <w:p w14:paraId="10288226">
      <w:pPr>
        <w:rPr>
          <w:rFonts w:ascii="Arial" w:hAnsi="Arial" w:cs="Arial"/>
          <w:sz w:val="72"/>
          <w:highlight w:val="none"/>
        </w:rPr>
      </w:pPr>
      <w:bookmarkStart w:id="0" w:name="_Hlt162751967"/>
      <w:bookmarkEnd w:id="0"/>
    </w:p>
    <w:p w14:paraId="504D3CAA">
      <w:pPr>
        <w:ind w:firstLine="1771" w:firstLineChars="245"/>
        <w:rPr>
          <w:rFonts w:ascii="黑体" w:hAnsi="Arial" w:eastAsia="黑体" w:cs="Arial"/>
          <w:b/>
          <w:bCs/>
          <w:sz w:val="72"/>
          <w:highlight w:val="none"/>
        </w:rPr>
      </w:pPr>
    </w:p>
    <w:p w14:paraId="2A621935">
      <w:pPr>
        <w:jc w:val="center"/>
        <w:rPr>
          <w:rFonts w:ascii="宋体" w:hAnsi="宋体" w:cs="宋体"/>
          <w:b/>
          <w:bCs/>
          <w:sz w:val="72"/>
          <w:highlight w:val="none"/>
        </w:rPr>
      </w:pPr>
      <w:r>
        <w:rPr>
          <w:rFonts w:hint="eastAsia" w:ascii="宋体" w:hAnsi="宋体" w:cs="宋体"/>
          <w:b/>
          <w:bCs/>
          <w:sz w:val="72"/>
          <w:highlight w:val="none"/>
        </w:rPr>
        <w:t>竞争性磋商文件</w:t>
      </w:r>
    </w:p>
    <w:p w14:paraId="3029D459">
      <w:pPr>
        <w:rPr>
          <w:rFonts w:ascii="Arial" w:hAnsi="Arial" w:cs="Arial"/>
          <w:sz w:val="28"/>
          <w:highlight w:val="none"/>
        </w:rPr>
      </w:pPr>
    </w:p>
    <w:p w14:paraId="668DF136">
      <w:pPr>
        <w:rPr>
          <w:rFonts w:ascii="Arial" w:hAnsi="Arial" w:cs="Arial"/>
          <w:sz w:val="30"/>
          <w:highlight w:val="none"/>
        </w:rPr>
      </w:pPr>
    </w:p>
    <w:p w14:paraId="2D442962">
      <w:pPr>
        <w:rPr>
          <w:rFonts w:ascii="Arial" w:hAnsi="Arial" w:cs="Arial"/>
          <w:sz w:val="30"/>
          <w:highlight w:val="none"/>
        </w:rPr>
      </w:pPr>
    </w:p>
    <w:p w14:paraId="62380645">
      <w:pPr>
        <w:rPr>
          <w:rFonts w:ascii="Arial" w:hAnsi="Arial" w:cs="Arial"/>
          <w:sz w:val="30"/>
          <w:highlight w:val="none"/>
        </w:rPr>
      </w:pPr>
    </w:p>
    <w:p w14:paraId="580E96ED">
      <w:pPr>
        <w:rPr>
          <w:rFonts w:ascii="Arial" w:hAnsi="Arial" w:cs="Arial"/>
          <w:sz w:val="30"/>
          <w:highlight w:val="none"/>
        </w:rPr>
      </w:pPr>
    </w:p>
    <w:p w14:paraId="3AB67C33">
      <w:pPr>
        <w:jc w:val="both"/>
        <w:rPr>
          <w:rFonts w:ascii="Arial" w:hAnsi="Arial" w:cs="Arial"/>
          <w:sz w:val="30"/>
          <w:highlight w:val="none"/>
        </w:rPr>
      </w:pPr>
    </w:p>
    <w:p w14:paraId="545469D5">
      <w:pPr>
        <w:rPr>
          <w:rFonts w:ascii="Arial" w:hAnsi="Arial" w:cs="Arial"/>
          <w:sz w:val="30"/>
          <w:highlight w:val="none"/>
        </w:rPr>
      </w:pPr>
    </w:p>
    <w:p w14:paraId="56ABEAFA">
      <w:pPr>
        <w:spacing w:line="480" w:lineRule="auto"/>
        <w:ind w:firstLine="849" w:firstLineChars="300"/>
        <w:rPr>
          <w:rFonts w:hint="eastAsia" w:ascii="宋体" w:hAnsi="宋体" w:eastAsia="宋体" w:cs="Arial"/>
          <w:b/>
          <w:sz w:val="28"/>
          <w:szCs w:val="28"/>
          <w:highlight w:val="none"/>
          <w:u w:val="single"/>
          <w:lang w:eastAsia="zh-CN"/>
        </w:rPr>
      </w:pPr>
      <w:r>
        <w:rPr>
          <w:rFonts w:hint="eastAsia" w:ascii="宋体" w:hAnsi="宋体" w:cs="Arial"/>
          <w:b/>
          <w:sz w:val="28"/>
          <w:szCs w:val="28"/>
          <w:highlight w:val="none"/>
        </w:rPr>
        <w:t>项目编号：</w:t>
      </w:r>
      <w:r>
        <w:rPr>
          <w:rFonts w:hint="eastAsia" w:ascii="宋体" w:hAnsi="宋体" w:cs="Arial"/>
          <w:b/>
          <w:sz w:val="28"/>
          <w:szCs w:val="28"/>
          <w:highlight w:val="none"/>
          <w:u w:val="single"/>
          <w:lang w:eastAsia="zh-CN"/>
        </w:rPr>
        <w:t>华信HY[2024]D032-1号</w:t>
      </w:r>
    </w:p>
    <w:p w14:paraId="21652366">
      <w:pPr>
        <w:spacing w:line="480" w:lineRule="auto"/>
        <w:ind w:firstLine="849" w:firstLineChars="300"/>
        <w:rPr>
          <w:rFonts w:hint="eastAsia" w:ascii="宋体" w:hAnsi="宋体" w:eastAsia="宋体" w:cs="Arial"/>
          <w:b/>
          <w:sz w:val="28"/>
          <w:szCs w:val="28"/>
          <w:highlight w:val="none"/>
          <w:u w:val="single"/>
          <w:lang w:eastAsia="zh-CN"/>
        </w:rPr>
      </w:pPr>
      <w:r>
        <w:rPr>
          <w:rFonts w:hint="eastAsia" w:ascii="宋体" w:hAnsi="宋体" w:cs="Arial"/>
          <w:b/>
          <w:sz w:val="28"/>
          <w:szCs w:val="28"/>
          <w:highlight w:val="none"/>
        </w:rPr>
        <w:t>项目名称：</w:t>
      </w:r>
      <w:r>
        <w:rPr>
          <w:rFonts w:hint="eastAsia" w:ascii="宋体" w:hAnsi="宋体" w:cs="Arial"/>
          <w:b/>
          <w:sz w:val="28"/>
          <w:szCs w:val="28"/>
          <w:highlight w:val="none"/>
          <w:u w:val="single"/>
          <w:lang w:eastAsia="zh-CN"/>
        </w:rPr>
        <w:t>县城公共环境病媒生物防制消杀服务项目（重新招标）</w:t>
      </w:r>
    </w:p>
    <w:p w14:paraId="1D3C2E70">
      <w:pPr>
        <w:spacing w:line="480" w:lineRule="auto"/>
        <w:ind w:firstLine="849" w:firstLineChars="300"/>
        <w:rPr>
          <w:rFonts w:ascii="宋体" w:hAnsi="宋体" w:cs="Arial"/>
          <w:b/>
          <w:sz w:val="28"/>
          <w:szCs w:val="28"/>
          <w:highlight w:val="none"/>
          <w:u w:val="single"/>
        </w:rPr>
      </w:pPr>
      <w:r>
        <w:rPr>
          <w:rFonts w:hint="eastAsia" w:ascii="宋体" w:hAnsi="宋体" w:cs="Arial"/>
          <w:b/>
          <w:sz w:val="28"/>
          <w:szCs w:val="28"/>
          <w:highlight w:val="none"/>
        </w:rPr>
        <w:t>采购方式：</w:t>
      </w:r>
      <w:r>
        <w:rPr>
          <w:rFonts w:hint="eastAsia" w:ascii="宋体" w:hAnsi="宋体" w:cs="Arial"/>
          <w:b/>
          <w:sz w:val="28"/>
          <w:szCs w:val="28"/>
          <w:highlight w:val="none"/>
          <w:u w:val="single"/>
        </w:rPr>
        <w:t>竞争性磋商</w:t>
      </w:r>
    </w:p>
    <w:p w14:paraId="6C90B460">
      <w:pPr>
        <w:spacing w:line="480" w:lineRule="auto"/>
        <w:ind w:firstLine="849" w:firstLineChars="300"/>
        <w:rPr>
          <w:rFonts w:hint="eastAsia" w:ascii="宋体" w:hAnsi="宋体" w:eastAsia="宋体" w:cs="Arial"/>
          <w:b/>
          <w:color w:val="auto"/>
          <w:sz w:val="28"/>
          <w:szCs w:val="28"/>
          <w:highlight w:val="none"/>
          <w:u w:val="single"/>
          <w:lang w:eastAsia="zh-CN"/>
        </w:rPr>
      </w:pPr>
      <w:r>
        <w:rPr>
          <w:rFonts w:hint="eastAsia" w:ascii="宋体" w:hAnsi="宋体" w:cs="Arial"/>
          <w:b/>
          <w:sz w:val="28"/>
          <w:szCs w:val="28"/>
          <w:highlight w:val="none"/>
        </w:rPr>
        <w:t xml:space="preserve">采 购 </w:t>
      </w:r>
      <w:r>
        <w:rPr>
          <w:rFonts w:hint="eastAsia" w:ascii="宋体" w:hAnsi="宋体" w:cs="Arial"/>
          <w:b/>
          <w:color w:val="auto"/>
          <w:sz w:val="28"/>
          <w:szCs w:val="28"/>
          <w:highlight w:val="none"/>
        </w:rPr>
        <w:t>人：</w:t>
      </w:r>
      <w:r>
        <w:rPr>
          <w:rFonts w:hint="eastAsia" w:ascii="宋体" w:hAnsi="宋体" w:cs="Arial"/>
          <w:b/>
          <w:color w:val="auto"/>
          <w:sz w:val="28"/>
          <w:szCs w:val="28"/>
          <w:highlight w:val="none"/>
          <w:u w:val="single"/>
          <w:lang w:eastAsia="zh-CN"/>
        </w:rPr>
        <w:t>海盐县卫生健康局</w:t>
      </w:r>
    </w:p>
    <w:p w14:paraId="538A0762">
      <w:pPr>
        <w:spacing w:line="480" w:lineRule="auto"/>
        <w:ind w:firstLine="849" w:firstLineChars="300"/>
        <w:rPr>
          <w:rFonts w:hint="eastAsia" w:ascii="宋体" w:hAnsi="宋体" w:eastAsia="宋体" w:cs="Arial"/>
          <w:b/>
          <w:sz w:val="28"/>
          <w:szCs w:val="28"/>
          <w:highlight w:val="none"/>
          <w:u w:val="single"/>
          <w:lang w:eastAsia="zh-CN"/>
        </w:rPr>
      </w:pPr>
      <w:r>
        <w:rPr>
          <w:rFonts w:hint="eastAsia" w:ascii="宋体" w:hAnsi="宋体" w:cs="Arial"/>
          <w:b/>
          <w:sz w:val="28"/>
          <w:szCs w:val="28"/>
          <w:highlight w:val="none"/>
        </w:rPr>
        <w:t>招标代理机构：</w:t>
      </w:r>
      <w:r>
        <w:rPr>
          <w:rFonts w:hint="eastAsia" w:ascii="宋体" w:hAnsi="宋体" w:cs="Arial"/>
          <w:b/>
          <w:sz w:val="28"/>
          <w:szCs w:val="28"/>
          <w:highlight w:val="none"/>
          <w:u w:val="single"/>
          <w:lang w:eastAsia="zh-CN"/>
        </w:rPr>
        <w:t>嘉兴市华信工程咨询有限公司</w:t>
      </w:r>
    </w:p>
    <w:p w14:paraId="0309C233">
      <w:pPr>
        <w:rPr>
          <w:rFonts w:ascii="Arial" w:hAnsi="Arial" w:cs="Arial"/>
          <w:b/>
          <w:sz w:val="30"/>
          <w:highlight w:val="none"/>
        </w:rPr>
      </w:pPr>
    </w:p>
    <w:p w14:paraId="445E0704">
      <w:pPr>
        <w:ind w:firstLine="3169" w:firstLineChars="1046"/>
        <w:rPr>
          <w:rFonts w:hint="eastAsia" w:ascii="Arial" w:hAnsi="Arial" w:eastAsia="宋体" w:cs="Arial"/>
          <w:b/>
          <w:sz w:val="30"/>
          <w:highlight w:val="none"/>
          <w:lang w:eastAsia="zh-CN"/>
        </w:rPr>
      </w:pPr>
      <w:r>
        <w:rPr>
          <w:rFonts w:hint="eastAsia" w:ascii="Arial" w:hAnsi="Arial" w:cs="Arial"/>
          <w:b/>
          <w:sz w:val="30"/>
          <w:szCs w:val="30"/>
          <w:highlight w:val="none"/>
          <w:lang w:eastAsia="zh-CN"/>
        </w:rPr>
        <w:t>二〇二四年十二月</w:t>
      </w:r>
    </w:p>
    <w:p w14:paraId="2AE9B212">
      <w:pPr>
        <w:rPr>
          <w:rFonts w:ascii="Arial" w:hAnsi="Arial" w:cs="Arial"/>
          <w:highlight w:val="none"/>
        </w:rPr>
        <w:sectPr>
          <w:pgSz w:w="11849" w:h="16781"/>
          <w:pgMar w:top="1417" w:right="1417" w:bottom="1417" w:left="1417" w:header="850" w:footer="992" w:gutter="0"/>
          <w:pgNumType w:fmt="decimal" w:start="1"/>
          <w:cols w:space="0" w:num="1"/>
          <w:rtlGutter w:val="0"/>
          <w:docGrid w:type="linesAndChars" w:linePitch="324" w:charSpace="819"/>
        </w:sectPr>
      </w:pPr>
    </w:p>
    <w:p w14:paraId="33AA61B0">
      <w:pPr>
        <w:spacing w:line="276" w:lineRule="auto"/>
        <w:jc w:val="center"/>
        <w:rPr>
          <w:rFonts w:ascii="Arial" w:hAnsi="Arial" w:cs="Arial"/>
          <w:b/>
          <w:sz w:val="40"/>
          <w:szCs w:val="32"/>
          <w:highlight w:val="none"/>
        </w:rPr>
      </w:pPr>
      <w:r>
        <w:rPr>
          <w:rFonts w:ascii="Arial" w:hAnsi="Arial" w:cs="Arial"/>
          <w:b/>
          <w:sz w:val="40"/>
          <w:szCs w:val="32"/>
          <w:highlight w:val="none"/>
        </w:rPr>
        <w:t>目录</w:t>
      </w:r>
    </w:p>
    <w:p w14:paraId="6DC7E68A">
      <w:pPr>
        <w:spacing w:line="276" w:lineRule="auto"/>
        <w:jc w:val="center"/>
        <w:rPr>
          <w:rFonts w:ascii="Arial" w:hAnsi="Arial" w:cs="Arial"/>
          <w:b/>
          <w:sz w:val="40"/>
          <w:szCs w:val="32"/>
          <w:highlight w:val="none"/>
        </w:rPr>
      </w:pPr>
    </w:p>
    <w:p w14:paraId="0CD866CF">
      <w:pPr>
        <w:pStyle w:val="21"/>
        <w:tabs>
          <w:tab w:val="right" w:leader="dot" w:pos="9070"/>
          <w:tab w:val="clear" w:pos="8948"/>
        </w:tabs>
        <w:snapToGrid w:val="0"/>
        <w:spacing w:line="360" w:lineRule="auto"/>
        <w:rPr>
          <w:highlight w:val="none"/>
        </w:rPr>
      </w:pPr>
      <w:r>
        <w:rPr>
          <w:rFonts w:cs="Arial"/>
          <w:b w:val="0"/>
          <w:kern w:val="2"/>
          <w:sz w:val="28"/>
          <w:szCs w:val="28"/>
          <w:highlight w:val="none"/>
        </w:rPr>
        <w:fldChar w:fldCharType="begin"/>
      </w:r>
      <w:r>
        <w:rPr>
          <w:rFonts w:cs="Arial"/>
          <w:b w:val="0"/>
          <w:kern w:val="2"/>
          <w:sz w:val="28"/>
          <w:szCs w:val="28"/>
          <w:highlight w:val="none"/>
        </w:rPr>
        <w:instrText xml:space="preserve"> TOC \o "1-3" \h \z \u </w:instrText>
      </w:r>
      <w:r>
        <w:rPr>
          <w:rFonts w:cs="Arial"/>
          <w:b w:val="0"/>
          <w:kern w:val="2"/>
          <w:sz w:val="28"/>
          <w:szCs w:val="28"/>
          <w:highlight w:val="none"/>
        </w:rPr>
        <w:fldChar w:fldCharType="separate"/>
      </w:r>
      <w:r>
        <w:rPr>
          <w:highlight w:val="none"/>
        </w:rPr>
        <w:fldChar w:fldCharType="begin"/>
      </w:r>
      <w:r>
        <w:rPr>
          <w:highlight w:val="none"/>
        </w:rPr>
        <w:instrText xml:space="preserve"> HYPERLINK \l "_Toc31463" </w:instrText>
      </w:r>
      <w:r>
        <w:rPr>
          <w:highlight w:val="none"/>
        </w:rPr>
        <w:fldChar w:fldCharType="separate"/>
      </w:r>
      <w:r>
        <w:rPr>
          <w:rFonts w:ascii="Arial" w:hAnsi="Arial" w:cs="Arial"/>
          <w:szCs w:val="36"/>
          <w:highlight w:val="none"/>
        </w:rPr>
        <w:t>第一部分采购公告</w:t>
      </w:r>
      <w:r>
        <w:rPr>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_Toc31463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1</w:t>
      </w:r>
      <w:r>
        <w:rPr>
          <w:rFonts w:hint="default" w:ascii="Times New Roman" w:hAnsi="Times New Roman" w:cs="Times New Roman"/>
          <w:highlight w:val="none"/>
        </w:rPr>
        <w:fldChar w:fldCharType="end"/>
      </w:r>
      <w:r>
        <w:rPr>
          <w:highlight w:val="none"/>
        </w:rPr>
        <w:fldChar w:fldCharType="end"/>
      </w:r>
    </w:p>
    <w:p w14:paraId="73EB57CE">
      <w:pPr>
        <w:pStyle w:val="21"/>
        <w:tabs>
          <w:tab w:val="right" w:leader="dot" w:pos="9070"/>
          <w:tab w:val="clear" w:pos="8948"/>
        </w:tabs>
        <w:snapToGrid w:val="0"/>
        <w:spacing w:line="360" w:lineRule="auto"/>
        <w:rPr>
          <w:highlight w:val="none"/>
        </w:rPr>
      </w:pPr>
      <w:r>
        <w:rPr>
          <w:highlight w:val="none"/>
        </w:rPr>
        <w:fldChar w:fldCharType="begin"/>
      </w:r>
      <w:r>
        <w:rPr>
          <w:highlight w:val="none"/>
        </w:rPr>
        <w:instrText xml:space="preserve"> HYPERLINK \l "_Toc6163" </w:instrText>
      </w:r>
      <w:r>
        <w:rPr>
          <w:highlight w:val="none"/>
        </w:rPr>
        <w:fldChar w:fldCharType="separate"/>
      </w:r>
      <w:r>
        <w:rPr>
          <w:rFonts w:ascii="Arial" w:hAnsi="Arial" w:cs="Arial"/>
          <w:szCs w:val="36"/>
          <w:highlight w:val="none"/>
        </w:rPr>
        <w:t>第二部分竞争性磋商供应商须知</w:t>
      </w:r>
      <w:r>
        <w:rPr>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_Toc6163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5</w:t>
      </w:r>
      <w:r>
        <w:rPr>
          <w:rFonts w:hint="default" w:ascii="Times New Roman" w:hAnsi="Times New Roman" w:cs="Times New Roman"/>
          <w:highlight w:val="none"/>
        </w:rPr>
        <w:fldChar w:fldCharType="end"/>
      </w:r>
      <w:r>
        <w:rPr>
          <w:highlight w:val="none"/>
        </w:rPr>
        <w:fldChar w:fldCharType="end"/>
      </w:r>
    </w:p>
    <w:p w14:paraId="3D6A096A">
      <w:pPr>
        <w:pStyle w:val="24"/>
        <w:tabs>
          <w:tab w:val="right" w:leader="dot" w:pos="9070"/>
          <w:tab w:val="clear" w:pos="8948"/>
        </w:tabs>
        <w:snapToGrid w:val="0"/>
        <w:spacing w:line="360" w:lineRule="auto"/>
        <w:rPr>
          <w:highlight w:val="none"/>
        </w:rPr>
      </w:pPr>
      <w:r>
        <w:rPr>
          <w:highlight w:val="none"/>
        </w:rPr>
        <w:fldChar w:fldCharType="begin"/>
      </w:r>
      <w:r>
        <w:rPr>
          <w:highlight w:val="none"/>
        </w:rPr>
        <w:instrText xml:space="preserve"> HYPERLINK \l "_Toc9512" </w:instrText>
      </w:r>
      <w:r>
        <w:rPr>
          <w:highlight w:val="none"/>
        </w:rPr>
        <w:fldChar w:fldCharType="separate"/>
      </w:r>
      <w:r>
        <w:rPr>
          <w:rFonts w:ascii="Arial" w:hAnsi="Arial" w:cs="Arial"/>
          <w:szCs w:val="24"/>
          <w:highlight w:val="none"/>
        </w:rPr>
        <w:t>（一）竞争性磋商须知前附表</w:t>
      </w:r>
      <w:r>
        <w:rPr>
          <w:highlight w:val="none"/>
        </w:rPr>
        <w:tab/>
      </w:r>
      <w:r>
        <w:rPr>
          <w:highlight w:val="none"/>
        </w:rPr>
        <w:fldChar w:fldCharType="begin"/>
      </w:r>
      <w:r>
        <w:rPr>
          <w:highlight w:val="none"/>
        </w:rPr>
        <w:instrText xml:space="preserve"> PAGEREF _Toc9512 \h </w:instrText>
      </w:r>
      <w:r>
        <w:rPr>
          <w:highlight w:val="none"/>
        </w:rPr>
        <w:fldChar w:fldCharType="separate"/>
      </w:r>
      <w:r>
        <w:rPr>
          <w:highlight w:val="none"/>
        </w:rPr>
        <w:t>5</w:t>
      </w:r>
      <w:r>
        <w:rPr>
          <w:highlight w:val="none"/>
        </w:rPr>
        <w:fldChar w:fldCharType="end"/>
      </w:r>
      <w:r>
        <w:rPr>
          <w:highlight w:val="none"/>
        </w:rPr>
        <w:fldChar w:fldCharType="end"/>
      </w:r>
    </w:p>
    <w:p w14:paraId="6FA2C343">
      <w:pPr>
        <w:pStyle w:val="24"/>
        <w:tabs>
          <w:tab w:val="right" w:leader="dot" w:pos="9070"/>
          <w:tab w:val="clear" w:pos="8948"/>
        </w:tabs>
        <w:snapToGrid w:val="0"/>
        <w:spacing w:line="360" w:lineRule="auto"/>
        <w:rPr>
          <w:highlight w:val="none"/>
        </w:rPr>
      </w:pPr>
      <w:r>
        <w:rPr>
          <w:highlight w:val="none"/>
        </w:rPr>
        <w:fldChar w:fldCharType="begin"/>
      </w:r>
      <w:r>
        <w:rPr>
          <w:highlight w:val="none"/>
        </w:rPr>
        <w:instrText xml:space="preserve"> HYPERLINK \l "_Toc22409" </w:instrText>
      </w:r>
      <w:r>
        <w:rPr>
          <w:highlight w:val="none"/>
        </w:rPr>
        <w:fldChar w:fldCharType="separate"/>
      </w:r>
      <w:r>
        <w:rPr>
          <w:rFonts w:ascii="Arial" w:hAnsi="Arial" w:cs="Arial"/>
          <w:szCs w:val="24"/>
          <w:highlight w:val="none"/>
        </w:rPr>
        <w:t>（二）总则</w:t>
      </w:r>
      <w:r>
        <w:rPr>
          <w:highlight w:val="none"/>
        </w:rPr>
        <w:tab/>
      </w:r>
      <w:r>
        <w:rPr>
          <w:highlight w:val="none"/>
        </w:rPr>
        <w:fldChar w:fldCharType="begin"/>
      </w:r>
      <w:r>
        <w:rPr>
          <w:highlight w:val="none"/>
        </w:rPr>
        <w:instrText xml:space="preserve"> PAGEREF _Toc22409 \h </w:instrText>
      </w:r>
      <w:r>
        <w:rPr>
          <w:highlight w:val="none"/>
        </w:rPr>
        <w:fldChar w:fldCharType="separate"/>
      </w:r>
      <w:r>
        <w:rPr>
          <w:highlight w:val="none"/>
        </w:rPr>
        <w:t>7</w:t>
      </w:r>
      <w:r>
        <w:rPr>
          <w:highlight w:val="none"/>
        </w:rPr>
        <w:fldChar w:fldCharType="end"/>
      </w:r>
      <w:r>
        <w:rPr>
          <w:highlight w:val="none"/>
        </w:rPr>
        <w:fldChar w:fldCharType="end"/>
      </w:r>
    </w:p>
    <w:p w14:paraId="58CCACCB">
      <w:pPr>
        <w:pStyle w:val="24"/>
        <w:tabs>
          <w:tab w:val="right" w:leader="dot" w:pos="9070"/>
          <w:tab w:val="clear" w:pos="8948"/>
        </w:tabs>
        <w:snapToGrid w:val="0"/>
        <w:spacing w:line="360" w:lineRule="auto"/>
        <w:rPr>
          <w:highlight w:val="none"/>
        </w:rPr>
      </w:pPr>
      <w:r>
        <w:rPr>
          <w:highlight w:val="none"/>
        </w:rPr>
        <w:fldChar w:fldCharType="begin"/>
      </w:r>
      <w:r>
        <w:rPr>
          <w:highlight w:val="none"/>
        </w:rPr>
        <w:instrText xml:space="preserve"> HYPERLINK \l "_Toc23866" </w:instrText>
      </w:r>
      <w:r>
        <w:rPr>
          <w:highlight w:val="none"/>
        </w:rPr>
        <w:fldChar w:fldCharType="separate"/>
      </w:r>
      <w:r>
        <w:rPr>
          <w:rFonts w:ascii="Arial" w:hAnsi="Arial" w:cs="Arial"/>
          <w:szCs w:val="24"/>
          <w:highlight w:val="none"/>
        </w:rPr>
        <w:t>（三）竞争性磋商文件说明</w:t>
      </w:r>
      <w:r>
        <w:rPr>
          <w:highlight w:val="none"/>
        </w:rPr>
        <w:tab/>
      </w:r>
      <w:r>
        <w:rPr>
          <w:highlight w:val="none"/>
        </w:rPr>
        <w:fldChar w:fldCharType="begin"/>
      </w:r>
      <w:r>
        <w:rPr>
          <w:highlight w:val="none"/>
        </w:rPr>
        <w:instrText xml:space="preserve"> PAGEREF _Toc23866 \h </w:instrText>
      </w:r>
      <w:r>
        <w:rPr>
          <w:highlight w:val="none"/>
        </w:rPr>
        <w:fldChar w:fldCharType="separate"/>
      </w:r>
      <w:r>
        <w:rPr>
          <w:highlight w:val="none"/>
        </w:rPr>
        <w:t>8</w:t>
      </w:r>
      <w:r>
        <w:rPr>
          <w:highlight w:val="none"/>
        </w:rPr>
        <w:fldChar w:fldCharType="end"/>
      </w:r>
      <w:r>
        <w:rPr>
          <w:highlight w:val="none"/>
        </w:rPr>
        <w:fldChar w:fldCharType="end"/>
      </w:r>
    </w:p>
    <w:p w14:paraId="1DA6B1B7">
      <w:pPr>
        <w:pStyle w:val="24"/>
        <w:tabs>
          <w:tab w:val="right" w:leader="dot" w:pos="9070"/>
          <w:tab w:val="clear" w:pos="8948"/>
        </w:tabs>
        <w:snapToGrid w:val="0"/>
        <w:spacing w:line="360" w:lineRule="auto"/>
        <w:rPr>
          <w:highlight w:val="none"/>
        </w:rPr>
      </w:pPr>
      <w:r>
        <w:rPr>
          <w:highlight w:val="none"/>
        </w:rPr>
        <w:fldChar w:fldCharType="begin"/>
      </w:r>
      <w:r>
        <w:rPr>
          <w:highlight w:val="none"/>
        </w:rPr>
        <w:instrText xml:space="preserve"> HYPERLINK \l "_Toc14490" </w:instrText>
      </w:r>
      <w:r>
        <w:rPr>
          <w:highlight w:val="none"/>
        </w:rPr>
        <w:fldChar w:fldCharType="separate"/>
      </w:r>
      <w:r>
        <w:rPr>
          <w:rFonts w:ascii="Arial" w:hAnsi="Arial" w:cs="Arial"/>
          <w:szCs w:val="24"/>
          <w:highlight w:val="none"/>
        </w:rPr>
        <w:t>（四）竞争性磋商响应文件的编制</w:t>
      </w:r>
      <w:r>
        <w:rPr>
          <w:highlight w:val="none"/>
        </w:rPr>
        <w:tab/>
      </w:r>
      <w:r>
        <w:rPr>
          <w:highlight w:val="none"/>
        </w:rPr>
        <w:fldChar w:fldCharType="begin"/>
      </w:r>
      <w:r>
        <w:rPr>
          <w:highlight w:val="none"/>
        </w:rPr>
        <w:instrText xml:space="preserve"> PAGEREF _Toc14490 \h </w:instrText>
      </w:r>
      <w:r>
        <w:rPr>
          <w:highlight w:val="none"/>
        </w:rPr>
        <w:fldChar w:fldCharType="separate"/>
      </w:r>
      <w:r>
        <w:rPr>
          <w:highlight w:val="none"/>
        </w:rPr>
        <w:t>9</w:t>
      </w:r>
      <w:r>
        <w:rPr>
          <w:highlight w:val="none"/>
        </w:rPr>
        <w:fldChar w:fldCharType="end"/>
      </w:r>
      <w:r>
        <w:rPr>
          <w:highlight w:val="none"/>
        </w:rPr>
        <w:fldChar w:fldCharType="end"/>
      </w:r>
    </w:p>
    <w:p w14:paraId="747D7CBB">
      <w:pPr>
        <w:pStyle w:val="24"/>
        <w:tabs>
          <w:tab w:val="right" w:leader="dot" w:pos="9070"/>
          <w:tab w:val="clear" w:pos="8948"/>
        </w:tabs>
        <w:snapToGrid w:val="0"/>
        <w:spacing w:line="360" w:lineRule="auto"/>
        <w:rPr>
          <w:highlight w:val="none"/>
        </w:rPr>
      </w:pPr>
      <w:r>
        <w:rPr>
          <w:highlight w:val="none"/>
        </w:rPr>
        <w:fldChar w:fldCharType="begin"/>
      </w:r>
      <w:r>
        <w:rPr>
          <w:highlight w:val="none"/>
        </w:rPr>
        <w:instrText xml:space="preserve"> HYPERLINK \l "_Toc22608" </w:instrText>
      </w:r>
      <w:r>
        <w:rPr>
          <w:highlight w:val="none"/>
        </w:rPr>
        <w:fldChar w:fldCharType="separate"/>
      </w:r>
      <w:r>
        <w:rPr>
          <w:rFonts w:ascii="Arial" w:hAnsi="Arial" w:cs="Arial"/>
          <w:szCs w:val="24"/>
          <w:highlight w:val="none"/>
        </w:rPr>
        <w:t>（五）竞争性磋商响应文件的递交</w:t>
      </w:r>
      <w:r>
        <w:rPr>
          <w:highlight w:val="none"/>
        </w:rPr>
        <w:tab/>
      </w:r>
      <w:r>
        <w:rPr>
          <w:highlight w:val="none"/>
        </w:rPr>
        <w:fldChar w:fldCharType="begin"/>
      </w:r>
      <w:r>
        <w:rPr>
          <w:highlight w:val="none"/>
        </w:rPr>
        <w:instrText xml:space="preserve"> PAGEREF _Toc22608 \h </w:instrText>
      </w:r>
      <w:r>
        <w:rPr>
          <w:highlight w:val="none"/>
        </w:rPr>
        <w:fldChar w:fldCharType="separate"/>
      </w:r>
      <w:r>
        <w:rPr>
          <w:highlight w:val="none"/>
        </w:rPr>
        <w:t>11</w:t>
      </w:r>
      <w:r>
        <w:rPr>
          <w:highlight w:val="none"/>
        </w:rPr>
        <w:fldChar w:fldCharType="end"/>
      </w:r>
      <w:r>
        <w:rPr>
          <w:highlight w:val="none"/>
        </w:rPr>
        <w:fldChar w:fldCharType="end"/>
      </w:r>
    </w:p>
    <w:p w14:paraId="788CF838">
      <w:pPr>
        <w:pStyle w:val="24"/>
        <w:tabs>
          <w:tab w:val="right" w:leader="dot" w:pos="9070"/>
          <w:tab w:val="clear" w:pos="8948"/>
        </w:tabs>
        <w:snapToGrid w:val="0"/>
        <w:spacing w:line="360" w:lineRule="auto"/>
        <w:rPr>
          <w:highlight w:val="none"/>
        </w:rPr>
      </w:pPr>
      <w:r>
        <w:rPr>
          <w:highlight w:val="none"/>
        </w:rPr>
        <w:fldChar w:fldCharType="begin"/>
      </w:r>
      <w:r>
        <w:rPr>
          <w:highlight w:val="none"/>
        </w:rPr>
        <w:instrText xml:space="preserve"> HYPERLINK \l "_Toc15906" </w:instrText>
      </w:r>
      <w:r>
        <w:rPr>
          <w:highlight w:val="none"/>
        </w:rPr>
        <w:fldChar w:fldCharType="separate"/>
      </w:r>
      <w:r>
        <w:rPr>
          <w:rFonts w:ascii="Arial" w:hAnsi="Arial" w:cs="Arial"/>
          <w:szCs w:val="24"/>
          <w:highlight w:val="none"/>
        </w:rPr>
        <w:t>（六）竞争性磋商与评审</w:t>
      </w:r>
      <w:r>
        <w:rPr>
          <w:highlight w:val="none"/>
        </w:rPr>
        <w:tab/>
      </w:r>
      <w:r>
        <w:rPr>
          <w:highlight w:val="none"/>
        </w:rPr>
        <w:fldChar w:fldCharType="begin"/>
      </w:r>
      <w:r>
        <w:rPr>
          <w:highlight w:val="none"/>
        </w:rPr>
        <w:instrText xml:space="preserve"> PAGEREF _Toc15906 \h </w:instrText>
      </w:r>
      <w:r>
        <w:rPr>
          <w:highlight w:val="none"/>
        </w:rPr>
        <w:fldChar w:fldCharType="separate"/>
      </w:r>
      <w:r>
        <w:rPr>
          <w:highlight w:val="none"/>
        </w:rPr>
        <w:t>11</w:t>
      </w:r>
      <w:r>
        <w:rPr>
          <w:highlight w:val="none"/>
        </w:rPr>
        <w:fldChar w:fldCharType="end"/>
      </w:r>
      <w:r>
        <w:rPr>
          <w:highlight w:val="none"/>
        </w:rPr>
        <w:fldChar w:fldCharType="end"/>
      </w:r>
    </w:p>
    <w:p w14:paraId="30FEB7EA">
      <w:pPr>
        <w:pStyle w:val="24"/>
        <w:tabs>
          <w:tab w:val="right" w:leader="dot" w:pos="9070"/>
          <w:tab w:val="clear" w:pos="8948"/>
        </w:tabs>
        <w:snapToGrid w:val="0"/>
        <w:spacing w:line="360" w:lineRule="auto"/>
        <w:rPr>
          <w:highlight w:val="none"/>
        </w:rPr>
      </w:pPr>
      <w:r>
        <w:rPr>
          <w:highlight w:val="none"/>
        </w:rPr>
        <w:fldChar w:fldCharType="begin"/>
      </w:r>
      <w:r>
        <w:rPr>
          <w:highlight w:val="none"/>
        </w:rPr>
        <w:instrText xml:space="preserve"> HYPERLINK \l "_Toc28285" </w:instrText>
      </w:r>
      <w:r>
        <w:rPr>
          <w:highlight w:val="none"/>
        </w:rPr>
        <w:fldChar w:fldCharType="separate"/>
      </w:r>
      <w:r>
        <w:rPr>
          <w:rFonts w:ascii="Arial" w:hAnsi="Arial" w:cs="Arial"/>
          <w:szCs w:val="24"/>
          <w:highlight w:val="none"/>
        </w:rPr>
        <w:t>（七）授予合同</w:t>
      </w:r>
      <w:r>
        <w:rPr>
          <w:highlight w:val="none"/>
        </w:rPr>
        <w:tab/>
      </w:r>
      <w:r>
        <w:rPr>
          <w:highlight w:val="none"/>
        </w:rPr>
        <w:fldChar w:fldCharType="begin"/>
      </w:r>
      <w:r>
        <w:rPr>
          <w:highlight w:val="none"/>
        </w:rPr>
        <w:instrText xml:space="preserve"> PAGEREF _Toc28285 \h </w:instrText>
      </w:r>
      <w:r>
        <w:rPr>
          <w:highlight w:val="none"/>
        </w:rPr>
        <w:fldChar w:fldCharType="separate"/>
      </w:r>
      <w:r>
        <w:rPr>
          <w:highlight w:val="none"/>
        </w:rPr>
        <w:t>14</w:t>
      </w:r>
      <w:r>
        <w:rPr>
          <w:highlight w:val="none"/>
        </w:rPr>
        <w:fldChar w:fldCharType="end"/>
      </w:r>
      <w:r>
        <w:rPr>
          <w:highlight w:val="none"/>
        </w:rPr>
        <w:fldChar w:fldCharType="end"/>
      </w:r>
    </w:p>
    <w:p w14:paraId="31576768">
      <w:pPr>
        <w:pStyle w:val="21"/>
        <w:tabs>
          <w:tab w:val="right" w:leader="dot" w:pos="9070"/>
          <w:tab w:val="clear" w:pos="8948"/>
        </w:tabs>
        <w:snapToGrid w:val="0"/>
        <w:spacing w:line="360" w:lineRule="auto"/>
        <w:rPr>
          <w:highlight w:val="none"/>
        </w:rPr>
      </w:pPr>
      <w:r>
        <w:rPr>
          <w:highlight w:val="none"/>
        </w:rPr>
        <w:fldChar w:fldCharType="begin"/>
      </w:r>
      <w:r>
        <w:rPr>
          <w:highlight w:val="none"/>
        </w:rPr>
        <w:instrText xml:space="preserve"> HYPERLINK \l "_Toc26083" </w:instrText>
      </w:r>
      <w:r>
        <w:rPr>
          <w:highlight w:val="none"/>
        </w:rPr>
        <w:fldChar w:fldCharType="separate"/>
      </w:r>
      <w:r>
        <w:rPr>
          <w:rFonts w:ascii="Arial" w:hAnsi="Arial" w:cs="Arial"/>
          <w:szCs w:val="36"/>
          <w:highlight w:val="none"/>
        </w:rPr>
        <w:t>第三部分</w:t>
      </w:r>
      <w:r>
        <w:rPr>
          <w:rFonts w:hint="eastAsia" w:ascii="Arial" w:hAnsi="Arial" w:cs="Arial"/>
          <w:szCs w:val="36"/>
          <w:highlight w:val="none"/>
        </w:rPr>
        <w:t>项目采购需求</w:t>
      </w:r>
      <w:r>
        <w:rPr>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_Toc26083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16</w:t>
      </w:r>
      <w:r>
        <w:rPr>
          <w:rFonts w:hint="default" w:ascii="Times New Roman" w:hAnsi="Times New Roman" w:cs="Times New Roman"/>
          <w:highlight w:val="none"/>
        </w:rPr>
        <w:fldChar w:fldCharType="end"/>
      </w:r>
      <w:r>
        <w:rPr>
          <w:highlight w:val="none"/>
        </w:rPr>
        <w:fldChar w:fldCharType="end"/>
      </w:r>
    </w:p>
    <w:p w14:paraId="2863B325">
      <w:pPr>
        <w:pStyle w:val="21"/>
        <w:tabs>
          <w:tab w:val="right" w:leader="dot" w:pos="9070"/>
          <w:tab w:val="clear" w:pos="8948"/>
        </w:tabs>
        <w:snapToGrid w:val="0"/>
        <w:spacing w:line="360" w:lineRule="auto"/>
        <w:rPr>
          <w:highlight w:val="none"/>
        </w:rPr>
      </w:pPr>
      <w:r>
        <w:rPr>
          <w:highlight w:val="none"/>
        </w:rPr>
        <w:fldChar w:fldCharType="begin"/>
      </w:r>
      <w:r>
        <w:rPr>
          <w:highlight w:val="none"/>
        </w:rPr>
        <w:instrText xml:space="preserve"> HYPERLINK \l "_Toc25360" </w:instrText>
      </w:r>
      <w:r>
        <w:rPr>
          <w:highlight w:val="none"/>
        </w:rPr>
        <w:fldChar w:fldCharType="separate"/>
      </w:r>
      <w:r>
        <w:rPr>
          <w:rFonts w:hint="eastAsia" w:ascii="Arial" w:hAnsi="Arial" w:cs="Arial"/>
          <w:szCs w:val="36"/>
          <w:highlight w:val="none"/>
        </w:rPr>
        <w:t>第四部分合同条款</w:t>
      </w:r>
      <w:r>
        <w:rPr>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_Toc25360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23</w:t>
      </w:r>
      <w:r>
        <w:rPr>
          <w:rFonts w:hint="default" w:ascii="Times New Roman" w:hAnsi="Times New Roman" w:cs="Times New Roman"/>
          <w:highlight w:val="none"/>
        </w:rPr>
        <w:fldChar w:fldCharType="end"/>
      </w:r>
      <w:r>
        <w:rPr>
          <w:highlight w:val="none"/>
        </w:rPr>
        <w:fldChar w:fldCharType="end"/>
      </w:r>
    </w:p>
    <w:p w14:paraId="7F92510C">
      <w:pPr>
        <w:pStyle w:val="21"/>
        <w:tabs>
          <w:tab w:val="right" w:leader="dot" w:pos="9070"/>
          <w:tab w:val="clear" w:pos="8948"/>
        </w:tabs>
        <w:snapToGrid w:val="0"/>
        <w:spacing w:line="360" w:lineRule="auto"/>
        <w:rPr>
          <w:rFonts w:hint="eastAsia" w:eastAsia="宋体"/>
          <w:highlight w:val="none"/>
          <w:lang w:val="en-US" w:eastAsia="zh-CN"/>
        </w:rPr>
      </w:pPr>
      <w:r>
        <w:rPr>
          <w:highlight w:val="none"/>
        </w:rPr>
        <w:fldChar w:fldCharType="begin"/>
      </w:r>
      <w:r>
        <w:rPr>
          <w:highlight w:val="none"/>
        </w:rPr>
        <w:instrText xml:space="preserve"> HYPERLINK \l "_Toc1792" </w:instrText>
      </w:r>
      <w:r>
        <w:rPr>
          <w:highlight w:val="none"/>
        </w:rPr>
        <w:fldChar w:fldCharType="separate"/>
      </w:r>
      <w:r>
        <w:rPr>
          <w:rFonts w:hint="eastAsia" w:ascii="Arial" w:hAnsi="Arial" w:cs="Arial"/>
          <w:szCs w:val="36"/>
          <w:highlight w:val="none"/>
        </w:rPr>
        <w:t>第五部分竞争性磋商评定办法</w:t>
      </w:r>
      <w:r>
        <w:rPr>
          <w:highlight w:val="none"/>
        </w:rPr>
        <w:tab/>
      </w:r>
      <w:r>
        <w:rPr>
          <w:rFonts w:hint="eastAsia" w:ascii="Times New Roman" w:hAnsi="Times New Roman" w:cs="Times New Roman"/>
          <w:highlight w:val="none"/>
          <w:lang w:val="en-US" w:eastAsia="zh-CN"/>
        </w:rPr>
        <w:t>2</w:t>
      </w:r>
      <w:r>
        <w:rPr>
          <w:highlight w:val="none"/>
        </w:rPr>
        <w:fldChar w:fldCharType="end"/>
      </w:r>
      <w:r>
        <w:rPr>
          <w:rFonts w:hint="default" w:ascii="Times New Roman" w:hAnsi="Times New Roman" w:cs="Times New Roman"/>
          <w:highlight w:val="none"/>
          <w:lang w:val="en-US" w:eastAsia="zh-CN"/>
        </w:rPr>
        <w:t>8</w:t>
      </w:r>
    </w:p>
    <w:p w14:paraId="667E32EB">
      <w:pPr>
        <w:pStyle w:val="21"/>
        <w:tabs>
          <w:tab w:val="right" w:leader="dot" w:pos="9070"/>
          <w:tab w:val="clear" w:pos="8948"/>
        </w:tabs>
        <w:snapToGrid w:val="0"/>
        <w:spacing w:line="360" w:lineRule="auto"/>
        <w:rPr>
          <w:highlight w:val="none"/>
        </w:rPr>
      </w:pPr>
      <w:r>
        <w:rPr>
          <w:highlight w:val="none"/>
        </w:rPr>
        <w:fldChar w:fldCharType="begin"/>
      </w:r>
      <w:r>
        <w:rPr>
          <w:highlight w:val="none"/>
        </w:rPr>
        <w:instrText xml:space="preserve"> HYPERLINK \l "_Toc22727" </w:instrText>
      </w:r>
      <w:r>
        <w:rPr>
          <w:highlight w:val="none"/>
        </w:rPr>
        <w:fldChar w:fldCharType="separate"/>
      </w:r>
      <w:r>
        <w:rPr>
          <w:rFonts w:hint="eastAsia" w:ascii="Arial" w:hAnsi="Arial" w:cs="Arial"/>
          <w:szCs w:val="36"/>
          <w:highlight w:val="none"/>
        </w:rPr>
        <w:t>第六部分竞争性磋商响应文件格式</w:t>
      </w:r>
      <w:r>
        <w:rPr>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_Toc22727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33</w:t>
      </w:r>
      <w:r>
        <w:rPr>
          <w:rFonts w:hint="default" w:ascii="Times New Roman" w:hAnsi="Times New Roman" w:cs="Times New Roman"/>
          <w:highlight w:val="none"/>
        </w:rPr>
        <w:fldChar w:fldCharType="end"/>
      </w:r>
      <w:r>
        <w:rPr>
          <w:highlight w:val="none"/>
        </w:rPr>
        <w:fldChar w:fldCharType="end"/>
      </w:r>
    </w:p>
    <w:p w14:paraId="589B04CE">
      <w:pPr>
        <w:pStyle w:val="24"/>
        <w:tabs>
          <w:tab w:val="right" w:leader="dot" w:pos="9070"/>
          <w:tab w:val="clear" w:pos="8948"/>
        </w:tabs>
        <w:rPr>
          <w:highlight w:val="none"/>
        </w:rPr>
      </w:pPr>
    </w:p>
    <w:p w14:paraId="49C67BCB">
      <w:pPr>
        <w:pStyle w:val="21"/>
        <w:spacing w:line="276" w:lineRule="auto"/>
        <w:rPr>
          <w:rFonts w:cs="Arial"/>
          <w:kern w:val="2"/>
          <w:highlight w:val="none"/>
        </w:rPr>
      </w:pPr>
      <w:r>
        <w:rPr>
          <w:rFonts w:cs="Arial"/>
          <w:kern w:val="2"/>
          <w:highlight w:val="none"/>
        </w:rPr>
        <w:fldChar w:fldCharType="end"/>
      </w:r>
    </w:p>
    <w:p w14:paraId="1B20B704">
      <w:pPr>
        <w:spacing w:line="276" w:lineRule="auto"/>
        <w:rPr>
          <w:rFonts w:ascii="Arial" w:hAnsi="Arial" w:cs="Arial"/>
          <w:highlight w:val="none"/>
        </w:rPr>
        <w:sectPr>
          <w:headerReference r:id="rId3" w:type="default"/>
          <w:footerReference r:id="rId5" w:type="default"/>
          <w:headerReference r:id="rId4" w:type="even"/>
          <w:footerReference r:id="rId6" w:type="even"/>
          <w:pgSz w:w="11849" w:h="16781"/>
          <w:pgMar w:top="1417" w:right="1417" w:bottom="1417" w:left="1417" w:header="850" w:footer="992" w:gutter="0"/>
          <w:pgNumType w:fmt="decimal" w:start="1"/>
          <w:cols w:space="0" w:num="1"/>
          <w:rtlGutter w:val="0"/>
          <w:docGrid w:type="linesAndChars" w:linePitch="324" w:charSpace="819"/>
        </w:sectPr>
      </w:pPr>
    </w:p>
    <w:p w14:paraId="452470CA">
      <w:pPr>
        <w:pStyle w:val="4"/>
        <w:keepNext w:val="0"/>
        <w:keepLines w:val="0"/>
        <w:pageBreakBefore/>
        <w:spacing w:beforeLines="50" w:afterLines="50" w:line="276" w:lineRule="auto"/>
        <w:jc w:val="center"/>
        <w:rPr>
          <w:rFonts w:ascii="Arial" w:hAnsi="Arial" w:cs="Arial"/>
          <w:sz w:val="28"/>
          <w:szCs w:val="36"/>
          <w:highlight w:val="none"/>
        </w:rPr>
      </w:pPr>
      <w:bookmarkStart w:id="1" w:name="_Toc31463"/>
      <w:r>
        <w:rPr>
          <w:sz w:val="28"/>
          <w:highlight w:val="none"/>
        </w:rPr>
        <mc:AlternateContent>
          <mc:Choice Requires="wps">
            <w:drawing>
              <wp:anchor distT="0" distB="0" distL="114300" distR="114300" simplePos="0" relativeHeight="251659264" behindDoc="1" locked="0" layoutInCell="1" allowOverlap="1">
                <wp:simplePos x="0" y="0"/>
                <wp:positionH relativeFrom="column">
                  <wp:posOffset>96520</wp:posOffset>
                </wp:positionH>
                <wp:positionV relativeFrom="paragraph">
                  <wp:posOffset>414655</wp:posOffset>
                </wp:positionV>
                <wp:extent cx="5686425" cy="1170940"/>
                <wp:effectExtent l="4445" t="4445" r="5080" b="0"/>
                <wp:wrapTight wrapText="bothSides">
                  <wp:wrapPolygon>
                    <wp:start x="-17" y="-82"/>
                    <wp:lineTo x="-17" y="21354"/>
                    <wp:lineTo x="21547" y="21354"/>
                    <wp:lineTo x="21547" y="-82"/>
                    <wp:lineTo x="-17" y="-82"/>
                  </wp:wrapPolygon>
                </wp:wrapTight>
                <wp:docPr id="2" name="文本框 2"/>
                <wp:cNvGraphicFramePr/>
                <a:graphic xmlns:a="http://schemas.openxmlformats.org/drawingml/2006/main">
                  <a:graphicData uri="http://schemas.microsoft.com/office/word/2010/wordprocessingShape">
                    <wps:wsp>
                      <wps:cNvSpPr txBox="1"/>
                      <wps:spPr>
                        <a:xfrm>
                          <a:off x="996950" y="1315085"/>
                          <a:ext cx="5686425" cy="11709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CDD03EE">
                            <w:pPr>
                              <w:pStyle w:val="25"/>
                              <w:keepNext w:val="0"/>
                              <w:keepLines w:val="0"/>
                              <w:widowControl/>
                              <w:suppressLineNumbers w:val="0"/>
                              <w:jc w:val="left"/>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项目概况</w:t>
                            </w:r>
                          </w:p>
                          <w:p w14:paraId="23CCDDB1">
                            <w:pPr>
                              <w:ind w:firstLine="420" w:firstLineChars="200"/>
                            </w:pPr>
                            <w:r>
                              <w:rPr>
                                <w:rFonts w:hint="eastAsia" w:cs="宋体"/>
                                <w:i w:val="0"/>
                                <w:iCs w:val="0"/>
                                <w:caps w:val="0"/>
                                <w:color w:val="000000"/>
                                <w:spacing w:val="0"/>
                                <w:sz w:val="21"/>
                                <w:szCs w:val="21"/>
                                <w:u w:val="single"/>
                                <w:lang w:eastAsia="zh-CN"/>
                              </w:rPr>
                              <w:t>县城公共环境病媒生物防制消杀服务项目（重新招标）</w:t>
                            </w:r>
                            <w:r>
                              <w:rPr>
                                <w:rFonts w:hint="eastAsia" w:ascii="宋体" w:hAnsi="宋体" w:eastAsia="宋体" w:cs="宋体"/>
                                <w:i w:val="0"/>
                                <w:iCs w:val="0"/>
                                <w:caps w:val="0"/>
                                <w:color w:val="000000"/>
                                <w:spacing w:val="0"/>
                                <w:sz w:val="21"/>
                                <w:szCs w:val="21"/>
                              </w:rPr>
                              <w:t>的潜在供应</w:t>
                            </w:r>
                            <w:r>
                              <w:rPr>
                                <w:rFonts w:hint="eastAsia" w:ascii="宋体" w:hAnsi="宋体" w:eastAsia="宋体" w:cs="宋体"/>
                                <w:i w:val="0"/>
                                <w:iCs w:val="0"/>
                                <w:caps w:val="0"/>
                                <w:color w:val="auto"/>
                                <w:spacing w:val="0"/>
                                <w:sz w:val="21"/>
                                <w:szCs w:val="21"/>
                              </w:rPr>
                              <w:t>商应在浙江政府采购网</w:t>
                            </w:r>
                            <w:r>
                              <w:rPr>
                                <w:rFonts w:hint="eastAsia" w:cs="Times New Roman"/>
                                <w:i w:val="0"/>
                                <w:iCs w:val="0"/>
                                <w:caps w:val="0"/>
                                <w:color w:val="auto"/>
                                <w:spacing w:val="0"/>
                                <w:sz w:val="21"/>
                                <w:szCs w:val="21"/>
                                <w:lang w:eastAsia="zh-CN"/>
                              </w:rPr>
                              <w:t>https://zfcg.czt.zj.gov.cn/</w:t>
                            </w:r>
                            <w:r>
                              <w:rPr>
                                <w:rFonts w:hint="eastAsia" w:ascii="宋体" w:hAnsi="宋体" w:eastAsia="宋体" w:cs="宋体"/>
                                <w:i w:val="0"/>
                                <w:iCs w:val="0"/>
                                <w:caps w:val="0"/>
                                <w:color w:val="auto"/>
                                <w:spacing w:val="0"/>
                                <w:sz w:val="21"/>
                                <w:szCs w:val="21"/>
                              </w:rPr>
                              <w:t>获取（下载）采购文件，并于</w:t>
                            </w:r>
                            <w:r>
                              <w:rPr>
                                <w:rFonts w:hint="eastAsia" w:cs="宋体"/>
                                <w:i w:val="0"/>
                                <w:iCs w:val="0"/>
                                <w:caps w:val="0"/>
                                <w:color w:val="auto"/>
                                <w:spacing w:val="0"/>
                                <w:sz w:val="21"/>
                                <w:szCs w:val="21"/>
                                <w:u w:val="single"/>
                                <w:lang w:val="en-US" w:eastAsia="zh-CN"/>
                              </w:rPr>
                              <w:t>2025年1月10日 14:00</w:t>
                            </w:r>
                            <w:r>
                              <w:rPr>
                                <w:rFonts w:hint="eastAsia" w:ascii="宋体" w:hAnsi="宋体" w:eastAsia="宋体" w:cs="宋体"/>
                                <w:i w:val="0"/>
                                <w:iCs w:val="0"/>
                                <w:caps w:val="0"/>
                                <w:color w:val="auto"/>
                                <w:spacing w:val="0"/>
                                <w:sz w:val="21"/>
                                <w:szCs w:val="21"/>
                              </w:rPr>
                              <w:t>（北京</w:t>
                            </w:r>
                            <w:r>
                              <w:rPr>
                                <w:rFonts w:hint="eastAsia" w:ascii="宋体" w:hAnsi="宋体" w:eastAsia="宋体" w:cs="宋体"/>
                                <w:i w:val="0"/>
                                <w:iCs w:val="0"/>
                                <w:caps w:val="0"/>
                                <w:color w:val="000000"/>
                                <w:spacing w:val="0"/>
                                <w:sz w:val="21"/>
                                <w:szCs w:val="21"/>
                              </w:rPr>
                              <w:t>时间）前提交（上传）响应文件。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pt;margin-top:32.65pt;height:92.2pt;width:447.75pt;mso-wrap-distance-left:9pt;mso-wrap-distance-right:9pt;z-index:-251657216;mso-width-relative:page;mso-height-relative:page;" fillcolor="#FFFFFF [3201]" filled="t" stroked="t" coordsize="21600,21600" wrapcoords="-17 -82 -17 21354 21547 21354 21547 -82 -17 -82" o:gfxdata="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ijZpXWAAAACQEAAA8AAAAAAAAAAQAgAAAAIgAAAGRycy9kb3ducmV2LnhtbFBLAQIUABQA&#10;AAAIAIdO4kDZuxoQZAIAAMMEAAAOAAAAAAAAAAEAIAAAACUBAABkcnMvZTJvRG9jLnhtbFBLBQYA&#10;AAAABgAGAFkBAAD7BQAAAAA=&#10;">
                <v:fill on="t" focussize="0,0"/>
                <v:stroke weight="0.5pt" color="#000000 [3204]" joinstyle="round"/>
                <v:imagedata o:title=""/>
                <o:lock v:ext="edit" aspectratio="f"/>
                <v:textbox>
                  <w:txbxContent>
                    <w:p w14:paraId="3CDD03EE">
                      <w:pPr>
                        <w:pStyle w:val="25"/>
                        <w:keepNext w:val="0"/>
                        <w:keepLines w:val="0"/>
                        <w:widowControl/>
                        <w:suppressLineNumbers w:val="0"/>
                        <w:jc w:val="left"/>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项目概况</w:t>
                      </w:r>
                    </w:p>
                    <w:p w14:paraId="23CCDDB1">
                      <w:pPr>
                        <w:ind w:firstLine="420" w:firstLineChars="200"/>
                      </w:pPr>
                      <w:r>
                        <w:rPr>
                          <w:rFonts w:hint="eastAsia" w:cs="宋体"/>
                          <w:i w:val="0"/>
                          <w:iCs w:val="0"/>
                          <w:caps w:val="0"/>
                          <w:color w:val="000000"/>
                          <w:spacing w:val="0"/>
                          <w:sz w:val="21"/>
                          <w:szCs w:val="21"/>
                          <w:u w:val="single"/>
                          <w:lang w:eastAsia="zh-CN"/>
                        </w:rPr>
                        <w:t>县城公共环境病媒生物防制消杀服务项目（重新招标）</w:t>
                      </w:r>
                      <w:r>
                        <w:rPr>
                          <w:rFonts w:hint="eastAsia" w:ascii="宋体" w:hAnsi="宋体" w:eastAsia="宋体" w:cs="宋体"/>
                          <w:i w:val="0"/>
                          <w:iCs w:val="0"/>
                          <w:caps w:val="0"/>
                          <w:color w:val="000000"/>
                          <w:spacing w:val="0"/>
                          <w:sz w:val="21"/>
                          <w:szCs w:val="21"/>
                        </w:rPr>
                        <w:t>的潜在供应</w:t>
                      </w:r>
                      <w:r>
                        <w:rPr>
                          <w:rFonts w:hint="eastAsia" w:ascii="宋体" w:hAnsi="宋体" w:eastAsia="宋体" w:cs="宋体"/>
                          <w:i w:val="0"/>
                          <w:iCs w:val="0"/>
                          <w:caps w:val="0"/>
                          <w:color w:val="auto"/>
                          <w:spacing w:val="0"/>
                          <w:sz w:val="21"/>
                          <w:szCs w:val="21"/>
                        </w:rPr>
                        <w:t>商应在浙江政府采购网</w:t>
                      </w:r>
                      <w:r>
                        <w:rPr>
                          <w:rFonts w:hint="eastAsia" w:cs="Times New Roman"/>
                          <w:i w:val="0"/>
                          <w:iCs w:val="0"/>
                          <w:caps w:val="0"/>
                          <w:color w:val="auto"/>
                          <w:spacing w:val="0"/>
                          <w:sz w:val="21"/>
                          <w:szCs w:val="21"/>
                          <w:lang w:eastAsia="zh-CN"/>
                        </w:rPr>
                        <w:t>https://zfcg.czt.zj.gov.cn/</w:t>
                      </w:r>
                      <w:r>
                        <w:rPr>
                          <w:rFonts w:hint="eastAsia" w:ascii="宋体" w:hAnsi="宋体" w:eastAsia="宋体" w:cs="宋体"/>
                          <w:i w:val="0"/>
                          <w:iCs w:val="0"/>
                          <w:caps w:val="0"/>
                          <w:color w:val="auto"/>
                          <w:spacing w:val="0"/>
                          <w:sz w:val="21"/>
                          <w:szCs w:val="21"/>
                        </w:rPr>
                        <w:t>获取（下载）采购文件，并于</w:t>
                      </w:r>
                      <w:r>
                        <w:rPr>
                          <w:rFonts w:hint="eastAsia" w:cs="宋体"/>
                          <w:i w:val="0"/>
                          <w:iCs w:val="0"/>
                          <w:caps w:val="0"/>
                          <w:color w:val="auto"/>
                          <w:spacing w:val="0"/>
                          <w:sz w:val="21"/>
                          <w:szCs w:val="21"/>
                          <w:u w:val="single"/>
                          <w:lang w:val="en-US" w:eastAsia="zh-CN"/>
                        </w:rPr>
                        <w:t>2025年1月10日 14:00</w:t>
                      </w:r>
                      <w:r>
                        <w:rPr>
                          <w:rFonts w:hint="eastAsia" w:ascii="宋体" w:hAnsi="宋体" w:eastAsia="宋体" w:cs="宋体"/>
                          <w:i w:val="0"/>
                          <w:iCs w:val="0"/>
                          <w:caps w:val="0"/>
                          <w:color w:val="auto"/>
                          <w:spacing w:val="0"/>
                          <w:sz w:val="21"/>
                          <w:szCs w:val="21"/>
                        </w:rPr>
                        <w:t>（北京</w:t>
                      </w:r>
                      <w:r>
                        <w:rPr>
                          <w:rFonts w:hint="eastAsia" w:ascii="宋体" w:hAnsi="宋体" w:eastAsia="宋体" w:cs="宋体"/>
                          <w:i w:val="0"/>
                          <w:iCs w:val="0"/>
                          <w:caps w:val="0"/>
                          <w:color w:val="000000"/>
                          <w:spacing w:val="0"/>
                          <w:sz w:val="21"/>
                          <w:szCs w:val="21"/>
                        </w:rPr>
                        <w:t>时间）前提交（上传）响应文件。</w:t>
                      </w:r>
                    </w:p>
                  </w:txbxContent>
                </v:textbox>
                <w10:wrap type="tight"/>
              </v:shape>
            </w:pict>
          </mc:Fallback>
        </mc:AlternateContent>
      </w:r>
      <w:r>
        <w:rPr>
          <w:rFonts w:ascii="Arial" w:hAnsi="Arial" w:cs="Arial"/>
          <w:sz w:val="28"/>
          <w:szCs w:val="36"/>
          <w:highlight w:val="none"/>
        </w:rPr>
        <w:t>第一部分采购公告</w:t>
      </w:r>
      <w:bookmarkEnd w:id="1"/>
    </w:p>
    <w:p w14:paraId="605826CC">
      <w:pPr>
        <w:pStyle w:val="2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22" w:firstLineChars="200"/>
        <w:textAlignment w:val="auto"/>
        <w:rPr>
          <w:rFonts w:hint="eastAsia" w:ascii="Times New Roman" w:hAnsi="Times New Roman" w:eastAsia="宋体" w:cs="Arial"/>
          <w:b/>
          <w:bCs/>
          <w:color w:val="auto"/>
          <w:kern w:val="0"/>
          <w:sz w:val="21"/>
          <w:highlight w:val="none"/>
          <w:lang w:val="en-US" w:eastAsia="zh-CN" w:bidi="ar-SA"/>
        </w:rPr>
      </w:pPr>
      <w:r>
        <w:rPr>
          <w:rFonts w:hint="eastAsia" w:ascii="Times New Roman" w:hAnsi="Times New Roman" w:eastAsia="宋体" w:cs="Arial"/>
          <w:b/>
          <w:bCs/>
          <w:kern w:val="0"/>
          <w:sz w:val="21"/>
          <w:highlight w:val="none"/>
          <w:lang w:val="en-US" w:eastAsia="zh-CN" w:bidi="ar-SA"/>
        </w:rPr>
        <w:t>一、项目基本情况</w:t>
      </w:r>
    </w:p>
    <w:p w14:paraId="03175489">
      <w:pPr>
        <w:pStyle w:val="1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项目编号：</w:t>
      </w:r>
      <w:r>
        <w:rPr>
          <w:rFonts w:hint="eastAsia" w:ascii="Times New Roman" w:hAnsi="Times New Roman" w:cs="Arial"/>
          <w:color w:val="auto"/>
          <w:kern w:val="0"/>
          <w:sz w:val="21"/>
          <w:highlight w:val="none"/>
          <w:lang w:val="en-US" w:eastAsia="zh-CN" w:bidi="ar-SA"/>
        </w:rPr>
        <w:t>华信HY[2024]D032-1号</w:t>
      </w:r>
      <w:r>
        <w:rPr>
          <w:rFonts w:hint="eastAsia" w:ascii="Times New Roman" w:hAnsi="Times New Roman" w:eastAsia="宋体" w:cs="Arial"/>
          <w:color w:val="auto"/>
          <w:kern w:val="0"/>
          <w:sz w:val="21"/>
          <w:highlight w:val="none"/>
          <w:lang w:val="en-US" w:eastAsia="zh-CN" w:bidi="ar-SA"/>
        </w:rPr>
        <w:t> </w:t>
      </w:r>
    </w:p>
    <w:p w14:paraId="7BB4131C">
      <w:pPr>
        <w:pStyle w:val="1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项目名称：</w:t>
      </w:r>
      <w:r>
        <w:rPr>
          <w:rFonts w:hint="eastAsia" w:ascii="Times New Roman" w:hAnsi="Times New Roman" w:cs="Arial"/>
          <w:color w:val="auto"/>
          <w:kern w:val="0"/>
          <w:sz w:val="21"/>
          <w:highlight w:val="none"/>
          <w:lang w:val="en-US" w:eastAsia="zh-CN" w:bidi="ar-SA"/>
        </w:rPr>
        <w:t>县城公共环境病媒生物防制消杀服务项目（重新招标）</w:t>
      </w:r>
      <w:r>
        <w:rPr>
          <w:rFonts w:hint="eastAsia" w:ascii="Times New Roman" w:hAnsi="Times New Roman" w:eastAsia="宋体" w:cs="Arial"/>
          <w:color w:val="auto"/>
          <w:kern w:val="0"/>
          <w:sz w:val="21"/>
          <w:highlight w:val="none"/>
          <w:lang w:val="en-US" w:eastAsia="zh-CN" w:bidi="ar-SA"/>
        </w:rPr>
        <w:t> </w:t>
      </w:r>
    </w:p>
    <w:p w14:paraId="19AF4C98">
      <w:pPr>
        <w:pStyle w:val="1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采购方式：竞争性磋商 </w:t>
      </w:r>
    </w:p>
    <w:p w14:paraId="6647CAD8">
      <w:pPr>
        <w:pStyle w:val="1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预算金额（元）：</w:t>
      </w:r>
      <w:r>
        <w:rPr>
          <w:rFonts w:hint="eastAsia" w:ascii="Times New Roman" w:hAnsi="Times New Roman" w:cs="Arial"/>
          <w:color w:val="auto"/>
          <w:kern w:val="0"/>
          <w:sz w:val="21"/>
          <w:highlight w:val="none"/>
          <w:lang w:val="en-US" w:eastAsia="zh-CN" w:bidi="ar-SA"/>
        </w:rPr>
        <w:t>530000元/年，1590000元/3年</w:t>
      </w:r>
    </w:p>
    <w:p w14:paraId="155DFE73">
      <w:pPr>
        <w:pStyle w:val="1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最高限价（元）：</w:t>
      </w:r>
      <w:r>
        <w:rPr>
          <w:rFonts w:hint="eastAsia" w:ascii="Times New Roman" w:hAnsi="Times New Roman" w:cs="Arial"/>
          <w:color w:val="auto"/>
          <w:kern w:val="0"/>
          <w:sz w:val="21"/>
          <w:highlight w:val="none"/>
          <w:lang w:val="en-US" w:eastAsia="zh-CN" w:bidi="ar-SA"/>
        </w:rPr>
        <w:t>530000元/年，1590000元/3年</w:t>
      </w:r>
    </w:p>
    <w:p w14:paraId="5ED14038">
      <w:pPr>
        <w:pStyle w:val="1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采购需求：详见采购文件。</w:t>
      </w:r>
    </w:p>
    <w:p w14:paraId="42020D69">
      <w:pPr>
        <w:pStyle w:val="1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 xml:space="preserve">     </w:t>
      </w:r>
    </w:p>
    <w:p w14:paraId="0EFCC208">
      <w:pPr>
        <w:pStyle w:val="1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数量：</w:t>
      </w:r>
      <w:r>
        <w:rPr>
          <w:rFonts w:hint="eastAsia" w:ascii="Times New Roman" w:hAnsi="Times New Roman" w:cs="Arial"/>
          <w:color w:val="auto"/>
          <w:kern w:val="0"/>
          <w:sz w:val="21"/>
          <w:highlight w:val="none"/>
          <w:u w:val="single"/>
          <w:lang w:val="en-US" w:eastAsia="zh-CN" w:bidi="ar-SA"/>
        </w:rPr>
        <w:t>1</w:t>
      </w:r>
      <w:r>
        <w:rPr>
          <w:rFonts w:hint="eastAsia" w:ascii="Times New Roman" w:hAnsi="Times New Roman" w:eastAsia="宋体" w:cs="Arial"/>
          <w:color w:val="auto"/>
          <w:kern w:val="0"/>
          <w:sz w:val="21"/>
          <w:highlight w:val="none"/>
          <w:lang w:val="en-US" w:eastAsia="zh-CN" w:bidi="ar-SA"/>
        </w:rPr>
        <w:t>           </w:t>
      </w:r>
    </w:p>
    <w:p w14:paraId="559E9928">
      <w:pPr>
        <w:pStyle w:val="1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预算金额（元）：</w:t>
      </w:r>
      <w:r>
        <w:rPr>
          <w:rFonts w:hint="eastAsia" w:ascii="Times New Roman" w:hAnsi="Times New Roman" w:cs="Arial"/>
          <w:color w:val="auto"/>
          <w:kern w:val="0"/>
          <w:sz w:val="21"/>
          <w:highlight w:val="none"/>
          <w:lang w:val="en-US" w:eastAsia="zh-CN" w:bidi="ar-SA"/>
        </w:rPr>
        <w:t>530000元/年，1590000元/3年</w:t>
      </w:r>
    </w:p>
    <w:p w14:paraId="2C1032A5">
      <w:pPr>
        <w:pStyle w:val="1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Times New Roman" w:hAnsi="Times New Roman" w:eastAsia="宋体" w:cs="Arial"/>
          <w:color w:val="auto"/>
          <w:kern w:val="0"/>
          <w:sz w:val="21"/>
          <w:highlight w:val="none"/>
          <w:lang w:val="en-US" w:eastAsia="zh-CN" w:bidi="ar-SA"/>
        </w:rPr>
      </w:pPr>
      <w:r>
        <w:rPr>
          <w:rFonts w:hint="eastAsia" w:ascii="Times New Roman" w:hAnsi="Times New Roman" w:cs="Arial"/>
          <w:color w:val="auto"/>
          <w:kern w:val="0"/>
          <w:sz w:val="21"/>
          <w:highlight w:val="none"/>
          <w:lang w:val="en-US" w:eastAsia="zh-CN" w:bidi="ar-SA"/>
        </w:rPr>
        <w:t>最高限价（元）</w:t>
      </w:r>
      <w:r>
        <w:rPr>
          <w:rFonts w:hint="eastAsia" w:ascii="Times New Roman" w:hAnsi="Times New Roman" w:eastAsia="宋体" w:cs="Arial"/>
          <w:color w:val="auto"/>
          <w:kern w:val="0"/>
          <w:sz w:val="21"/>
          <w:highlight w:val="none"/>
          <w:lang w:val="en-US" w:eastAsia="zh-CN" w:bidi="ar-SA"/>
        </w:rPr>
        <w:t>：</w:t>
      </w:r>
      <w:r>
        <w:rPr>
          <w:rFonts w:hint="eastAsia" w:ascii="Times New Roman" w:hAnsi="Times New Roman" w:cs="Arial"/>
          <w:color w:val="auto"/>
          <w:kern w:val="0"/>
          <w:sz w:val="21"/>
          <w:highlight w:val="none"/>
          <w:lang w:val="en-US" w:eastAsia="zh-CN" w:bidi="ar-SA"/>
        </w:rPr>
        <w:t>530000元/年，1590000元/3年</w:t>
      </w:r>
    </w:p>
    <w:p w14:paraId="67B82B49">
      <w:pPr>
        <w:pStyle w:val="1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单位：项</w:t>
      </w:r>
    </w:p>
    <w:p w14:paraId="4BA37E14">
      <w:pPr>
        <w:pStyle w:val="1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简要规格描述：具体详见采购文件</w:t>
      </w:r>
      <w:r>
        <w:rPr>
          <w:rFonts w:hint="eastAsia" w:ascii="Times New Roman" w:hAnsi="Times New Roman" w:cs="Arial"/>
          <w:color w:val="auto"/>
          <w:kern w:val="0"/>
          <w:sz w:val="21"/>
          <w:highlight w:val="none"/>
          <w:lang w:val="en-US" w:eastAsia="zh-CN" w:bidi="ar-SA"/>
        </w:rPr>
        <w:t>第三部分采购需求</w:t>
      </w:r>
      <w:r>
        <w:rPr>
          <w:rFonts w:hint="eastAsia" w:ascii="Times New Roman" w:hAnsi="Times New Roman" w:eastAsia="宋体" w:cs="Arial"/>
          <w:color w:val="auto"/>
          <w:kern w:val="0"/>
          <w:sz w:val="21"/>
          <w:highlight w:val="none"/>
          <w:lang w:val="en-US" w:eastAsia="zh-CN" w:bidi="ar-SA"/>
        </w:rPr>
        <w:t>。</w:t>
      </w:r>
    </w:p>
    <w:p w14:paraId="4EB10FDD">
      <w:pPr>
        <w:pStyle w:val="1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default"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备注：</w:t>
      </w:r>
      <w:r>
        <w:rPr>
          <w:rFonts w:hint="eastAsia" w:ascii="Times New Roman" w:hAnsi="Times New Roman" w:cs="Arial"/>
          <w:color w:val="auto"/>
          <w:kern w:val="0"/>
          <w:sz w:val="21"/>
          <w:highlight w:val="none"/>
          <w:lang w:val="en-US" w:eastAsia="zh-CN" w:bidi="ar-SA"/>
        </w:rPr>
        <w:t>/</w:t>
      </w:r>
    </w:p>
    <w:p w14:paraId="7312C22A">
      <w:pPr>
        <w:pStyle w:val="1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合同履约期限：标项 1，</w:t>
      </w:r>
      <w:r>
        <w:rPr>
          <w:rFonts w:hint="eastAsia" w:ascii="Times New Roman" w:hAnsi="Times New Roman" w:cs="Arial"/>
          <w:color w:val="auto"/>
          <w:kern w:val="0"/>
          <w:sz w:val="21"/>
          <w:highlight w:val="none"/>
          <w:lang w:val="en-US" w:eastAsia="zh-CN" w:bidi="ar-SA"/>
        </w:rPr>
        <w:t>三年，其中试用期三个月，试用期考核不合格，合同自动终止，取消中标人资格。</w:t>
      </w:r>
    </w:p>
    <w:p w14:paraId="48B32287">
      <w:pPr>
        <w:pStyle w:val="1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本项目（否）接受联合体投标。</w:t>
      </w:r>
    </w:p>
    <w:p w14:paraId="22EA431C">
      <w:pPr>
        <w:pStyle w:val="16"/>
        <w:keepNext w:val="0"/>
        <w:keepLines w:val="0"/>
        <w:pageBreakBefore w:val="0"/>
        <w:numPr>
          <w:ilvl w:val="0"/>
          <w:numId w:val="2"/>
        </w:numPr>
        <w:kinsoku/>
        <w:wordWrap/>
        <w:overflowPunct/>
        <w:topLinePunct w:val="0"/>
        <w:autoSpaceDE/>
        <w:autoSpaceDN/>
        <w:bidi w:val="0"/>
        <w:adjustRightInd w:val="0"/>
        <w:snapToGrid w:val="0"/>
        <w:spacing w:beforeAutospacing="0" w:afterAutospacing="0" w:line="360" w:lineRule="auto"/>
        <w:ind w:firstLine="422" w:firstLineChars="200"/>
        <w:textAlignment w:val="auto"/>
        <w:rPr>
          <w:rFonts w:hint="eastAsia" w:ascii="Times New Roman" w:hAnsi="Times New Roman" w:eastAsia="宋体" w:cs="Arial"/>
          <w:b/>
          <w:bCs/>
          <w:color w:val="auto"/>
          <w:kern w:val="0"/>
          <w:sz w:val="21"/>
          <w:highlight w:val="none"/>
          <w:lang w:val="en-US" w:eastAsia="zh-CN" w:bidi="ar-SA"/>
        </w:rPr>
      </w:pPr>
      <w:r>
        <w:rPr>
          <w:rFonts w:hint="eastAsia" w:ascii="Times New Roman" w:hAnsi="Times New Roman" w:eastAsia="宋体" w:cs="Arial"/>
          <w:b/>
          <w:bCs/>
          <w:color w:val="auto"/>
          <w:kern w:val="0"/>
          <w:sz w:val="21"/>
          <w:highlight w:val="none"/>
          <w:lang w:val="en-US" w:eastAsia="zh-CN" w:bidi="ar-SA"/>
        </w:rPr>
        <w:t>申请人的资格要求：</w:t>
      </w:r>
    </w:p>
    <w:p w14:paraId="4DBB06E6">
      <w:pPr>
        <w:pStyle w:val="16"/>
        <w:keepNext w:val="0"/>
        <w:keepLines w:val="0"/>
        <w:pageBreakBefore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14:paraId="1676D07F">
      <w:pPr>
        <w:pStyle w:val="16"/>
        <w:keepNext w:val="0"/>
        <w:keepLines w:val="0"/>
        <w:pageBreakBefore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2.</w:t>
      </w:r>
      <w:r>
        <w:rPr>
          <w:rFonts w:hint="eastAsia" w:ascii="Times New Roman" w:hAnsi="Times New Roman" w:cs="Arial"/>
          <w:color w:val="auto"/>
          <w:kern w:val="0"/>
          <w:sz w:val="21"/>
          <w:highlight w:val="none"/>
          <w:lang w:val="en-US" w:eastAsia="zh-CN" w:bidi="ar-SA"/>
        </w:rPr>
        <w:t>落实政府采购政策需满足的资格要求：</w:t>
      </w:r>
      <w:r>
        <w:rPr>
          <w:rFonts w:hint="eastAsia" w:ascii="Times New Roman" w:hAnsi="Times New Roman" w:cs="Arial"/>
          <w:color w:val="auto"/>
          <w:kern w:val="0"/>
          <w:sz w:val="21"/>
          <w:highlight w:val="none"/>
          <w:u w:val="single"/>
          <w:lang w:val="en-US" w:eastAsia="zh-CN" w:bidi="ar-SA"/>
        </w:rPr>
        <w:t>供应商为中小企业</w:t>
      </w:r>
      <w:r>
        <w:rPr>
          <w:rFonts w:hint="eastAsia" w:ascii="Times New Roman" w:hAnsi="Times New Roman" w:eastAsia="宋体" w:cs="Arial"/>
          <w:color w:val="auto"/>
          <w:kern w:val="0"/>
          <w:sz w:val="21"/>
          <w:highlight w:val="none"/>
          <w:lang w:val="en-US" w:eastAsia="zh-CN" w:bidi="ar-SA"/>
        </w:rPr>
        <w:t>。 </w:t>
      </w:r>
    </w:p>
    <w:p w14:paraId="7F0EECAA">
      <w:pPr>
        <w:pStyle w:val="16"/>
        <w:keepNext w:val="0"/>
        <w:keepLines w:val="0"/>
        <w:pageBreakBefore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3.</w:t>
      </w:r>
      <w:r>
        <w:rPr>
          <w:rFonts w:hint="eastAsia" w:ascii="Times New Roman" w:hAnsi="Times New Roman" w:cs="Arial"/>
          <w:color w:val="auto"/>
          <w:kern w:val="0"/>
          <w:sz w:val="21"/>
          <w:highlight w:val="none"/>
          <w:lang w:val="en-US" w:eastAsia="zh-CN" w:bidi="ar-SA"/>
        </w:rPr>
        <w:t>本项目的特定资格要求：</w:t>
      </w:r>
      <w:bookmarkStart w:id="39" w:name="_GoBack"/>
      <w:r>
        <w:rPr>
          <w:rFonts w:hint="eastAsia" w:ascii="Times New Roman" w:hAnsi="Times New Roman" w:cs="Arial"/>
          <w:color w:val="auto"/>
          <w:kern w:val="0"/>
          <w:sz w:val="21"/>
          <w:highlight w:val="none"/>
          <w:u w:val="single"/>
          <w:lang w:val="en-US" w:eastAsia="zh-CN" w:bidi="ar-SA"/>
        </w:rPr>
        <w:t xml:space="preserve"> / </w:t>
      </w:r>
      <w:bookmarkEnd w:id="39"/>
      <w:r>
        <w:rPr>
          <w:rFonts w:hint="eastAsia" w:ascii="Times New Roman" w:hAnsi="Times New Roman" w:eastAsia="宋体" w:cs="Arial"/>
          <w:color w:val="auto"/>
          <w:kern w:val="0"/>
          <w:sz w:val="21"/>
          <w:highlight w:val="none"/>
          <w:lang w:val="en-US" w:eastAsia="zh-CN" w:bidi="ar-SA"/>
        </w:rPr>
        <w:t>。</w:t>
      </w:r>
    </w:p>
    <w:p w14:paraId="463B0D57">
      <w:pPr>
        <w:pStyle w:val="16"/>
        <w:keepNext w:val="0"/>
        <w:keepLines w:val="0"/>
        <w:pageBreakBefore w:val="0"/>
        <w:kinsoku/>
        <w:wordWrap/>
        <w:overflowPunct/>
        <w:topLinePunct w:val="0"/>
        <w:autoSpaceDE/>
        <w:autoSpaceDN/>
        <w:bidi w:val="0"/>
        <w:adjustRightInd w:val="0"/>
        <w:snapToGrid w:val="0"/>
        <w:spacing w:beforeAutospacing="0" w:afterAutospacing="0" w:line="360" w:lineRule="auto"/>
        <w:ind w:firstLine="422" w:firstLineChars="200"/>
        <w:textAlignment w:val="auto"/>
        <w:rPr>
          <w:rFonts w:hint="eastAsia" w:ascii="Times New Roman" w:hAnsi="Times New Roman" w:eastAsia="宋体" w:cs="Arial"/>
          <w:b/>
          <w:bCs/>
          <w:color w:val="auto"/>
          <w:kern w:val="0"/>
          <w:sz w:val="21"/>
          <w:highlight w:val="none"/>
          <w:lang w:val="en-US" w:eastAsia="zh-CN" w:bidi="ar-SA"/>
        </w:rPr>
      </w:pPr>
      <w:r>
        <w:rPr>
          <w:rFonts w:hint="eastAsia" w:ascii="Times New Roman" w:hAnsi="Times New Roman" w:eastAsia="宋体" w:cs="Arial"/>
          <w:b/>
          <w:bCs/>
          <w:color w:val="auto"/>
          <w:kern w:val="0"/>
          <w:sz w:val="21"/>
          <w:highlight w:val="none"/>
          <w:lang w:val="en-US" w:eastAsia="zh-CN" w:bidi="ar-SA"/>
        </w:rPr>
        <w:t>三、获取（下载）采购文件</w:t>
      </w:r>
    </w:p>
    <w:p w14:paraId="3B70FA8E">
      <w:pPr>
        <w:pStyle w:val="16"/>
        <w:keepNext w:val="0"/>
        <w:keepLines w:val="0"/>
        <w:pageBreakBefore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imes New Roman" w:hAnsi="Times New Roman" w:eastAsia="宋体" w:cs="Arial"/>
          <w:kern w:val="0"/>
          <w:sz w:val="21"/>
          <w:highlight w:val="none"/>
          <w:lang w:val="en-US" w:eastAsia="zh-CN" w:bidi="ar-SA"/>
        </w:rPr>
      </w:pPr>
      <w:r>
        <w:rPr>
          <w:rFonts w:hint="eastAsia" w:ascii="Times New Roman" w:hAnsi="Times New Roman" w:cs="Arial"/>
          <w:color w:val="auto"/>
          <w:kern w:val="0"/>
          <w:sz w:val="21"/>
          <w:highlight w:val="none"/>
          <w:lang w:val="en-US" w:eastAsia="zh-CN" w:bidi="ar-SA"/>
        </w:rPr>
        <w:t>1.</w:t>
      </w:r>
      <w:r>
        <w:rPr>
          <w:rFonts w:hint="eastAsia" w:ascii="Times New Roman" w:hAnsi="Times New Roman" w:eastAsia="宋体" w:cs="Arial"/>
          <w:color w:val="auto"/>
          <w:kern w:val="0"/>
          <w:sz w:val="21"/>
          <w:highlight w:val="none"/>
          <w:lang w:val="en-US" w:eastAsia="zh-CN" w:bidi="ar-SA"/>
        </w:rPr>
        <w:t>时间：/至</w:t>
      </w:r>
      <w:r>
        <w:rPr>
          <w:rFonts w:hint="eastAsia" w:ascii="Times New Roman" w:hAnsi="Times New Roman" w:cs="Arial"/>
          <w:color w:val="auto"/>
          <w:kern w:val="0"/>
          <w:sz w:val="21"/>
          <w:highlight w:val="none"/>
          <w:lang w:val="en-US" w:eastAsia="zh-CN" w:bidi="ar-SA"/>
        </w:rPr>
        <w:t>2025年1月10日</w:t>
      </w:r>
      <w:r>
        <w:rPr>
          <w:rFonts w:hint="eastAsia" w:ascii="Times New Roman" w:hAnsi="Times New Roman" w:eastAsia="宋体" w:cs="Arial"/>
          <w:color w:val="auto"/>
          <w:kern w:val="0"/>
          <w:sz w:val="21"/>
          <w:highlight w:val="none"/>
          <w:lang w:val="en-US" w:eastAsia="zh-CN" w:bidi="ar-SA"/>
        </w:rPr>
        <w:t>，每天上午00:00至12:00，下午12:00至23:59（北京时间，线上获取法定节假日均可，线下获取文件法定节假</w:t>
      </w:r>
      <w:r>
        <w:rPr>
          <w:rFonts w:hint="eastAsia" w:ascii="Times New Roman" w:hAnsi="Times New Roman" w:eastAsia="宋体" w:cs="Arial"/>
          <w:kern w:val="0"/>
          <w:sz w:val="21"/>
          <w:highlight w:val="none"/>
          <w:lang w:val="en-US" w:eastAsia="zh-CN" w:bidi="ar-SA"/>
        </w:rPr>
        <w:t>日除外）</w:t>
      </w:r>
    </w:p>
    <w:p w14:paraId="16109516">
      <w:pPr>
        <w:pStyle w:val="16"/>
        <w:keepNext w:val="0"/>
        <w:keepLines w:val="0"/>
        <w:pageBreakBefore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imes New Roman" w:hAnsi="Times New Roman" w:eastAsia="宋体" w:cs="Arial"/>
          <w:kern w:val="0"/>
          <w:sz w:val="21"/>
          <w:highlight w:val="none"/>
          <w:lang w:val="en-US" w:eastAsia="zh-CN" w:bidi="ar-SA"/>
        </w:rPr>
      </w:pPr>
      <w:r>
        <w:rPr>
          <w:rFonts w:hint="eastAsia" w:ascii="Times New Roman" w:hAnsi="Times New Roman" w:cs="Arial"/>
          <w:kern w:val="0"/>
          <w:sz w:val="21"/>
          <w:highlight w:val="none"/>
          <w:lang w:val="en-US" w:eastAsia="zh-CN" w:bidi="ar-SA"/>
        </w:rPr>
        <w:t>2.</w:t>
      </w:r>
      <w:r>
        <w:rPr>
          <w:rFonts w:hint="eastAsia" w:ascii="Times New Roman" w:hAnsi="Times New Roman" w:eastAsia="宋体" w:cs="Arial"/>
          <w:kern w:val="0"/>
          <w:sz w:val="21"/>
          <w:highlight w:val="none"/>
          <w:lang w:val="en-US" w:eastAsia="zh-CN" w:bidi="ar-SA"/>
        </w:rPr>
        <w:t>地点（网址）：</w:t>
      </w:r>
      <w:r>
        <w:rPr>
          <w:rFonts w:ascii="Times New Roman" w:hAnsi="Times New Roman" w:eastAsia="宋体" w:cs="Arial"/>
          <w:kern w:val="0"/>
          <w:sz w:val="21"/>
          <w:highlight w:val="none"/>
          <w:lang w:val="en-US" w:eastAsia="zh-CN" w:bidi="ar-SA"/>
        </w:rPr>
        <w:t>浙江政府采购网（</w:t>
      </w:r>
      <w:r>
        <w:rPr>
          <w:rFonts w:hint="eastAsia" w:ascii="Times New Roman" w:hAnsi="Times New Roman" w:cs="Arial"/>
          <w:kern w:val="0"/>
          <w:sz w:val="21"/>
          <w:highlight w:val="none"/>
          <w:lang w:val="en-US" w:eastAsia="zh-CN" w:bidi="ar-SA"/>
        </w:rPr>
        <w:t>https://zfcg.czt.zj.gov.cn/</w:t>
      </w:r>
      <w:r>
        <w:rPr>
          <w:rFonts w:ascii="Times New Roman" w:hAnsi="Times New Roman" w:eastAsia="宋体" w:cs="Arial"/>
          <w:kern w:val="0"/>
          <w:sz w:val="21"/>
          <w:highlight w:val="none"/>
          <w:lang w:val="en-US" w:eastAsia="zh-CN" w:bidi="ar-SA"/>
        </w:rPr>
        <w:t>）</w:t>
      </w:r>
      <w:r>
        <w:rPr>
          <w:rFonts w:hint="eastAsia" w:ascii="Times New Roman" w:hAnsi="Times New Roman" w:eastAsia="宋体" w:cs="Arial"/>
          <w:kern w:val="0"/>
          <w:sz w:val="21"/>
          <w:highlight w:val="none"/>
          <w:lang w:val="en-US" w:eastAsia="zh-CN" w:bidi="ar-SA"/>
        </w:rPr>
        <w:t>  </w:t>
      </w:r>
    </w:p>
    <w:p w14:paraId="2D1F4FC8">
      <w:pPr>
        <w:pStyle w:val="16"/>
        <w:keepNext w:val="0"/>
        <w:keepLines w:val="0"/>
        <w:pageBreakBefore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imes New Roman" w:hAnsi="Times New Roman" w:eastAsia="宋体" w:cs="Arial"/>
          <w:kern w:val="0"/>
          <w:sz w:val="21"/>
          <w:highlight w:val="none"/>
          <w:lang w:val="en-US" w:eastAsia="zh-CN" w:bidi="ar-SA"/>
        </w:rPr>
      </w:pPr>
      <w:r>
        <w:rPr>
          <w:rFonts w:hint="eastAsia" w:ascii="Times New Roman" w:hAnsi="Times New Roman" w:cs="Arial"/>
          <w:kern w:val="0"/>
          <w:sz w:val="21"/>
          <w:highlight w:val="none"/>
          <w:lang w:val="en-US" w:eastAsia="zh-CN" w:bidi="ar-SA"/>
        </w:rPr>
        <w:t>3.</w:t>
      </w:r>
      <w:r>
        <w:rPr>
          <w:rFonts w:hint="eastAsia" w:ascii="Times New Roman" w:hAnsi="Times New Roman" w:eastAsia="宋体" w:cs="Arial"/>
          <w:kern w:val="0"/>
          <w:sz w:val="21"/>
          <w:highlight w:val="none"/>
          <w:lang w:val="en-US" w:eastAsia="zh-CN" w:bidi="ar-SA"/>
        </w:rPr>
        <w:t>方式：</w:t>
      </w:r>
      <w:r>
        <w:rPr>
          <w:rFonts w:ascii="Times New Roman" w:hAnsi="Times New Roman" w:eastAsia="宋体" w:cs="Arial"/>
          <w:kern w:val="0"/>
          <w:sz w:val="21"/>
          <w:highlight w:val="none"/>
          <w:lang w:val="en-US" w:eastAsia="zh-CN" w:bidi="ar-SA"/>
        </w:rPr>
        <w:t>供应商登录政采云平台https://www.zcygov.cn/在线申请获取采购文件（进入“项目采购”应用，在获取采购文件菜单中选择项目，申请获取采购文件）</w:t>
      </w:r>
      <w:r>
        <w:rPr>
          <w:rFonts w:hint="eastAsia" w:ascii="Times New Roman" w:hAnsi="Times New Roman" w:eastAsia="宋体" w:cs="Arial"/>
          <w:kern w:val="0"/>
          <w:sz w:val="21"/>
          <w:highlight w:val="none"/>
          <w:lang w:val="en-US" w:eastAsia="zh-CN" w:bidi="ar-SA"/>
        </w:rPr>
        <w:t>  </w:t>
      </w:r>
    </w:p>
    <w:p w14:paraId="61C38444">
      <w:pPr>
        <w:pStyle w:val="16"/>
        <w:keepNext w:val="0"/>
        <w:keepLines w:val="0"/>
        <w:pageBreakBefore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imes New Roman" w:hAnsi="Times New Roman" w:eastAsia="宋体" w:cs="Arial"/>
          <w:kern w:val="0"/>
          <w:sz w:val="21"/>
          <w:highlight w:val="none"/>
          <w:lang w:val="en-US" w:eastAsia="zh-CN" w:bidi="ar-SA"/>
        </w:rPr>
      </w:pPr>
      <w:r>
        <w:rPr>
          <w:rFonts w:hint="eastAsia" w:ascii="Times New Roman" w:hAnsi="Times New Roman" w:cs="Arial"/>
          <w:kern w:val="0"/>
          <w:sz w:val="21"/>
          <w:highlight w:val="none"/>
          <w:lang w:val="en-US" w:eastAsia="zh-CN" w:bidi="ar-SA"/>
        </w:rPr>
        <w:t>4.</w:t>
      </w:r>
      <w:r>
        <w:rPr>
          <w:rFonts w:hint="eastAsia" w:ascii="Times New Roman" w:hAnsi="Times New Roman" w:eastAsia="宋体" w:cs="Arial"/>
          <w:kern w:val="0"/>
          <w:sz w:val="21"/>
          <w:highlight w:val="none"/>
          <w:lang w:val="en-US" w:eastAsia="zh-CN" w:bidi="ar-SA"/>
        </w:rPr>
        <w:t>售价（元）：0 </w:t>
      </w:r>
    </w:p>
    <w:p w14:paraId="07160B6D">
      <w:pPr>
        <w:pStyle w:val="16"/>
        <w:keepNext w:val="0"/>
        <w:keepLines w:val="0"/>
        <w:pageBreakBefore w:val="0"/>
        <w:kinsoku/>
        <w:wordWrap/>
        <w:overflowPunct/>
        <w:topLinePunct w:val="0"/>
        <w:autoSpaceDE/>
        <w:autoSpaceDN/>
        <w:bidi w:val="0"/>
        <w:adjustRightInd w:val="0"/>
        <w:snapToGrid w:val="0"/>
        <w:spacing w:beforeAutospacing="0" w:afterAutospacing="0" w:line="360" w:lineRule="auto"/>
        <w:ind w:firstLine="422" w:firstLineChars="200"/>
        <w:textAlignment w:val="auto"/>
        <w:rPr>
          <w:rFonts w:hint="eastAsia" w:ascii="Times New Roman" w:hAnsi="Times New Roman" w:eastAsia="宋体" w:cs="Arial"/>
          <w:b/>
          <w:bCs/>
          <w:kern w:val="0"/>
          <w:sz w:val="21"/>
          <w:highlight w:val="none"/>
          <w:lang w:val="en-US" w:eastAsia="zh-CN" w:bidi="ar-SA"/>
        </w:rPr>
      </w:pPr>
      <w:r>
        <w:rPr>
          <w:rFonts w:hint="eastAsia" w:ascii="Times New Roman" w:hAnsi="Times New Roman" w:eastAsia="宋体" w:cs="Arial"/>
          <w:b/>
          <w:bCs/>
          <w:kern w:val="0"/>
          <w:sz w:val="21"/>
          <w:highlight w:val="none"/>
          <w:lang w:val="en-US" w:eastAsia="zh-CN" w:bidi="ar-SA"/>
        </w:rPr>
        <w:t>四、响应文件提交（上传） </w:t>
      </w:r>
    </w:p>
    <w:p w14:paraId="62A44596">
      <w:pPr>
        <w:pStyle w:val="16"/>
        <w:keepNext w:val="0"/>
        <w:keepLines w:val="0"/>
        <w:pageBreakBefore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imes New Roman" w:hAnsi="Times New Roman" w:eastAsia="宋体" w:cs="Arial"/>
          <w:kern w:val="0"/>
          <w:sz w:val="21"/>
          <w:highlight w:val="none"/>
          <w:lang w:val="en-US" w:eastAsia="zh-CN" w:bidi="ar-SA"/>
        </w:rPr>
      </w:pPr>
      <w:r>
        <w:rPr>
          <w:rFonts w:hint="eastAsia" w:ascii="Times New Roman" w:hAnsi="Times New Roman" w:cs="Arial"/>
          <w:kern w:val="0"/>
          <w:sz w:val="21"/>
          <w:highlight w:val="none"/>
          <w:lang w:val="en-US" w:eastAsia="zh-CN" w:bidi="ar-SA"/>
        </w:rPr>
        <w:t>1.</w:t>
      </w:r>
      <w:r>
        <w:rPr>
          <w:rFonts w:hint="eastAsia" w:ascii="Times New Roman" w:hAnsi="Times New Roman" w:eastAsia="宋体" w:cs="Arial"/>
          <w:kern w:val="0"/>
          <w:sz w:val="21"/>
          <w:highlight w:val="none"/>
          <w:lang w:val="en-US" w:eastAsia="zh-CN" w:bidi="ar-SA"/>
        </w:rPr>
        <w:t> 截止时间：</w:t>
      </w:r>
      <w:r>
        <w:rPr>
          <w:rFonts w:hint="eastAsia" w:ascii="Times New Roman" w:hAnsi="Times New Roman" w:cs="Arial"/>
          <w:kern w:val="0"/>
          <w:sz w:val="21"/>
          <w:highlight w:val="none"/>
          <w:lang w:val="en-US" w:eastAsia="zh-CN" w:bidi="ar-SA"/>
        </w:rPr>
        <w:t>2025年1月10日 14:00</w:t>
      </w:r>
      <w:r>
        <w:rPr>
          <w:rFonts w:hint="eastAsia" w:ascii="Times New Roman" w:hAnsi="Times New Roman" w:eastAsia="宋体" w:cs="Arial"/>
          <w:kern w:val="0"/>
          <w:sz w:val="21"/>
          <w:highlight w:val="none"/>
          <w:lang w:val="en-US" w:eastAsia="zh-CN" w:bidi="ar-SA"/>
        </w:rPr>
        <w:t>（北京时间）</w:t>
      </w:r>
    </w:p>
    <w:p w14:paraId="32C4EA59">
      <w:pPr>
        <w:pStyle w:val="16"/>
        <w:keepNext w:val="0"/>
        <w:keepLines w:val="0"/>
        <w:pageBreakBefore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ascii="Times New Roman" w:hAnsi="Times New Roman" w:eastAsia="宋体" w:cs="Arial"/>
          <w:kern w:val="0"/>
          <w:sz w:val="21"/>
          <w:highlight w:val="none"/>
          <w:lang w:val="en-US" w:eastAsia="zh-CN" w:bidi="ar-SA"/>
        </w:rPr>
      </w:pPr>
      <w:r>
        <w:rPr>
          <w:rFonts w:hint="eastAsia" w:ascii="Times New Roman" w:hAnsi="Times New Roman" w:cs="Arial"/>
          <w:kern w:val="0"/>
          <w:sz w:val="21"/>
          <w:highlight w:val="none"/>
          <w:lang w:val="en-US" w:eastAsia="zh-CN" w:bidi="ar-SA"/>
        </w:rPr>
        <w:t>2.</w:t>
      </w:r>
      <w:r>
        <w:rPr>
          <w:rFonts w:hint="eastAsia" w:ascii="Times New Roman" w:hAnsi="Times New Roman" w:eastAsia="宋体" w:cs="Arial"/>
          <w:kern w:val="0"/>
          <w:sz w:val="21"/>
          <w:highlight w:val="none"/>
          <w:lang w:val="en-US" w:eastAsia="zh-CN" w:bidi="ar-SA"/>
        </w:rPr>
        <w:t>地点（网址）：</w:t>
      </w:r>
      <w:r>
        <w:rPr>
          <w:rFonts w:ascii="Times New Roman" w:hAnsi="Times New Roman" w:eastAsia="宋体" w:cs="Arial"/>
          <w:kern w:val="0"/>
          <w:sz w:val="21"/>
          <w:highlight w:val="none"/>
          <w:lang w:val="en-US" w:eastAsia="zh-CN" w:bidi="ar-SA"/>
        </w:rPr>
        <w:t>政采云https://login.zcygov.cn/在线递交。</w:t>
      </w:r>
    </w:p>
    <w:p w14:paraId="2334DA38">
      <w:pPr>
        <w:pStyle w:val="16"/>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60" w:lineRule="auto"/>
        <w:ind w:firstLine="422" w:firstLineChars="200"/>
        <w:textAlignment w:val="auto"/>
        <w:rPr>
          <w:rFonts w:hint="eastAsia" w:ascii="Times New Roman" w:hAnsi="Times New Roman" w:eastAsia="宋体" w:cs="Arial"/>
          <w:b/>
          <w:bCs/>
          <w:kern w:val="0"/>
          <w:sz w:val="21"/>
          <w:highlight w:val="none"/>
          <w:lang w:val="en-US" w:eastAsia="zh-CN" w:bidi="ar-SA"/>
        </w:rPr>
      </w:pPr>
      <w:r>
        <w:rPr>
          <w:rFonts w:hint="eastAsia" w:ascii="Times New Roman" w:hAnsi="Times New Roman" w:cs="Arial"/>
          <w:b/>
          <w:bCs/>
          <w:kern w:val="0"/>
          <w:sz w:val="21"/>
          <w:highlight w:val="none"/>
          <w:lang w:val="en-US" w:eastAsia="zh-CN" w:bidi="ar-SA"/>
        </w:rPr>
        <w:t>五、</w:t>
      </w:r>
      <w:r>
        <w:rPr>
          <w:rFonts w:hint="eastAsia" w:ascii="Times New Roman" w:hAnsi="Times New Roman" w:eastAsia="宋体" w:cs="Arial"/>
          <w:b/>
          <w:bCs/>
          <w:kern w:val="0"/>
          <w:sz w:val="21"/>
          <w:highlight w:val="none"/>
          <w:lang w:val="en-US" w:eastAsia="zh-CN" w:bidi="ar-SA"/>
        </w:rPr>
        <w:t>响应文件开启 </w:t>
      </w:r>
    </w:p>
    <w:p w14:paraId="23033C7B">
      <w:pPr>
        <w:pStyle w:val="16"/>
        <w:keepNext w:val="0"/>
        <w:keepLines w:val="0"/>
        <w:pageBreakBefore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imes New Roman" w:hAnsi="Times New Roman" w:eastAsia="宋体" w:cs="Arial"/>
          <w:kern w:val="0"/>
          <w:sz w:val="21"/>
          <w:highlight w:val="none"/>
          <w:lang w:val="en-US" w:eastAsia="zh-CN" w:bidi="ar-SA"/>
        </w:rPr>
      </w:pPr>
      <w:r>
        <w:rPr>
          <w:rFonts w:hint="eastAsia" w:ascii="Times New Roman" w:hAnsi="Times New Roman" w:cs="Arial"/>
          <w:kern w:val="0"/>
          <w:sz w:val="21"/>
          <w:highlight w:val="none"/>
          <w:lang w:val="en-US" w:eastAsia="zh-CN" w:bidi="ar-SA"/>
        </w:rPr>
        <w:t>1.</w:t>
      </w:r>
      <w:r>
        <w:rPr>
          <w:rFonts w:hint="eastAsia" w:ascii="Times New Roman" w:hAnsi="Times New Roman" w:eastAsia="宋体" w:cs="Arial"/>
          <w:kern w:val="0"/>
          <w:sz w:val="21"/>
          <w:highlight w:val="none"/>
          <w:lang w:val="en-US" w:eastAsia="zh-CN" w:bidi="ar-SA"/>
        </w:rPr>
        <w:t>开启时间：</w:t>
      </w:r>
      <w:r>
        <w:rPr>
          <w:rFonts w:hint="eastAsia" w:ascii="Times New Roman" w:hAnsi="Times New Roman" w:cs="Arial"/>
          <w:kern w:val="0"/>
          <w:sz w:val="21"/>
          <w:highlight w:val="none"/>
          <w:lang w:val="en-US" w:eastAsia="zh-CN" w:bidi="ar-SA"/>
        </w:rPr>
        <w:t>2025年1月10日 14:00</w:t>
      </w:r>
      <w:r>
        <w:rPr>
          <w:rFonts w:hint="eastAsia" w:ascii="Times New Roman" w:hAnsi="Times New Roman" w:eastAsia="宋体" w:cs="Arial"/>
          <w:kern w:val="0"/>
          <w:sz w:val="21"/>
          <w:highlight w:val="none"/>
          <w:lang w:val="en-US" w:eastAsia="zh-CN" w:bidi="ar-SA"/>
        </w:rPr>
        <w:t>（北京时间）</w:t>
      </w:r>
    </w:p>
    <w:p w14:paraId="436D5A84">
      <w:pPr>
        <w:pStyle w:val="16"/>
        <w:keepNext w:val="0"/>
        <w:keepLines w:val="0"/>
        <w:pageBreakBefore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imes New Roman" w:hAnsi="Times New Roman" w:eastAsia="宋体" w:cs="Arial"/>
          <w:kern w:val="0"/>
          <w:sz w:val="21"/>
          <w:highlight w:val="none"/>
          <w:lang w:val="en-US" w:eastAsia="zh-CN" w:bidi="ar-SA"/>
        </w:rPr>
      </w:pPr>
      <w:r>
        <w:rPr>
          <w:rFonts w:hint="eastAsia" w:ascii="Times New Roman" w:hAnsi="Times New Roman" w:cs="Arial"/>
          <w:kern w:val="0"/>
          <w:sz w:val="21"/>
          <w:highlight w:val="none"/>
          <w:lang w:val="en-US" w:eastAsia="zh-CN" w:bidi="ar-SA"/>
        </w:rPr>
        <w:t>2.</w:t>
      </w:r>
      <w:r>
        <w:rPr>
          <w:rFonts w:hint="eastAsia" w:ascii="Times New Roman" w:hAnsi="Times New Roman" w:eastAsia="宋体" w:cs="Arial"/>
          <w:kern w:val="0"/>
          <w:sz w:val="21"/>
          <w:highlight w:val="none"/>
          <w:lang w:val="en-US" w:eastAsia="zh-CN" w:bidi="ar-SA"/>
        </w:rPr>
        <w:t>地点（网址）：</w:t>
      </w:r>
      <w:r>
        <w:rPr>
          <w:rFonts w:ascii="Times New Roman" w:hAnsi="Times New Roman" w:eastAsia="宋体" w:cs="Arial"/>
          <w:kern w:val="0"/>
          <w:sz w:val="21"/>
          <w:highlight w:val="none"/>
          <w:lang w:val="en-US" w:eastAsia="zh-CN" w:bidi="ar-SA"/>
        </w:rPr>
        <w:t>政采云https://login.zcygov.cn/在线开启</w:t>
      </w:r>
      <w:r>
        <w:rPr>
          <w:rFonts w:hint="eastAsia" w:ascii="Times New Roman" w:hAnsi="Times New Roman" w:cs="Arial"/>
          <w:kern w:val="0"/>
          <w:sz w:val="21"/>
          <w:highlight w:val="none"/>
          <w:lang w:val="en-US" w:eastAsia="zh-CN" w:bidi="ar-SA"/>
        </w:rPr>
        <w:t>。</w:t>
      </w:r>
      <w:r>
        <w:rPr>
          <w:rFonts w:hint="eastAsia" w:ascii="Times New Roman" w:hAnsi="Times New Roman" w:eastAsia="宋体" w:cs="Arial"/>
          <w:kern w:val="0"/>
          <w:sz w:val="21"/>
          <w:highlight w:val="none"/>
          <w:lang w:val="en-US" w:eastAsia="zh-CN" w:bidi="ar-SA"/>
        </w:rPr>
        <w:t> </w:t>
      </w:r>
    </w:p>
    <w:p w14:paraId="55215A9C">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2" w:firstLineChars="200"/>
        <w:textAlignment w:val="auto"/>
        <w:rPr>
          <w:rFonts w:hint="eastAsia" w:ascii="Times New Roman" w:hAnsi="Times New Roman" w:eastAsia="宋体" w:cs="Arial"/>
          <w:kern w:val="0"/>
          <w:sz w:val="21"/>
          <w:highlight w:val="none"/>
          <w:lang w:val="en-US" w:eastAsia="zh-CN" w:bidi="ar-SA"/>
        </w:rPr>
      </w:pPr>
      <w:r>
        <w:rPr>
          <w:rFonts w:hint="eastAsia" w:ascii="Times New Roman" w:hAnsi="Times New Roman" w:eastAsia="宋体" w:cs="Arial"/>
          <w:b/>
          <w:bCs/>
          <w:kern w:val="0"/>
          <w:sz w:val="21"/>
          <w:highlight w:val="none"/>
          <w:lang w:val="en-US" w:eastAsia="zh-CN" w:bidi="ar-SA"/>
        </w:rPr>
        <w:t>六、公告期限</w:t>
      </w:r>
    </w:p>
    <w:p w14:paraId="62F1F8CA">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imes New Roman" w:hAnsi="Times New Roman" w:eastAsia="宋体" w:cs="Arial"/>
          <w:kern w:val="0"/>
          <w:sz w:val="21"/>
          <w:highlight w:val="none"/>
          <w:lang w:val="en-US" w:eastAsia="zh-CN" w:bidi="ar-SA"/>
        </w:rPr>
      </w:pPr>
      <w:r>
        <w:rPr>
          <w:rFonts w:hint="eastAsia" w:ascii="Times New Roman" w:hAnsi="Times New Roman" w:eastAsia="宋体" w:cs="Arial"/>
          <w:kern w:val="0"/>
          <w:sz w:val="21"/>
          <w:highlight w:val="none"/>
          <w:lang w:val="en-US" w:eastAsia="zh-CN" w:bidi="ar-SA"/>
        </w:rPr>
        <w:t>自本公告发布之日起3个工作日。</w:t>
      </w:r>
    </w:p>
    <w:p w14:paraId="0F6E3B28">
      <w:pPr>
        <w:pStyle w:val="2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22" w:firstLineChars="200"/>
        <w:textAlignment w:val="auto"/>
        <w:rPr>
          <w:rFonts w:hint="eastAsia" w:ascii="Times New Roman" w:hAnsi="Times New Roman" w:eastAsia="宋体" w:cs="Arial"/>
          <w:b/>
          <w:bCs/>
          <w:kern w:val="0"/>
          <w:sz w:val="21"/>
          <w:highlight w:val="none"/>
          <w:lang w:val="en-US" w:eastAsia="zh-CN" w:bidi="ar-SA"/>
        </w:rPr>
      </w:pPr>
      <w:r>
        <w:rPr>
          <w:rFonts w:hint="eastAsia" w:ascii="Times New Roman" w:hAnsi="Times New Roman" w:eastAsia="宋体" w:cs="Arial"/>
          <w:b/>
          <w:bCs/>
          <w:kern w:val="0"/>
          <w:sz w:val="21"/>
          <w:highlight w:val="none"/>
          <w:lang w:val="en-US" w:eastAsia="zh-CN" w:bidi="ar-SA"/>
        </w:rPr>
        <w:t>七、其他补充事宜 </w:t>
      </w:r>
    </w:p>
    <w:p w14:paraId="01CC16B9">
      <w:pPr>
        <w:pStyle w:val="25"/>
        <w:keepNext w:val="0"/>
        <w:keepLines w:val="0"/>
        <w:pageBreakBefore w:val="0"/>
        <w:widowControl w:val="0"/>
        <w:kinsoku/>
        <w:wordWrap w:val="0"/>
        <w:overflowPunct w:val="0"/>
        <w:topLinePunct w:val="0"/>
        <w:autoSpaceDE w:val="0"/>
        <w:autoSpaceDN w:val="0"/>
        <w:bidi w:val="0"/>
        <w:spacing w:before="0" w:beforeAutospacing="0" w:after="0" w:afterAutospacing="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kern w:val="0"/>
          <w:sz w:val="21"/>
          <w:highlight w:val="none"/>
          <w:lang w:val="en-US" w:eastAsia="zh-CN" w:bidi="ar-SA"/>
        </w:rPr>
        <w:t> </w:t>
      </w:r>
      <w:r>
        <w:rPr>
          <w:rFonts w:hint="default" w:ascii="Times New Roman" w:hAnsi="Times New Roman" w:eastAsia="宋体" w:cs="Times New Roman"/>
          <w:color w:val="auto"/>
          <w:sz w:val="21"/>
          <w:szCs w:val="21"/>
          <w:highlight w:val="none"/>
          <w:lang w:val="en-US" w:eastAsia="zh-CN" w:bidi="ar-SA"/>
        </w:rPr>
        <w:t>1</w:t>
      </w:r>
      <w:r>
        <w:rPr>
          <w:rFonts w:hint="default" w:ascii="Times New Roman" w:hAnsi="Times New Roman" w:cs="Times New Roman"/>
          <w:color w:val="auto"/>
          <w:sz w:val="21"/>
          <w:szCs w:val="21"/>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F5EF49F">
      <w:pPr>
        <w:pStyle w:val="25"/>
        <w:keepNext w:val="0"/>
        <w:keepLines w:val="0"/>
        <w:pageBreakBefore w:val="0"/>
        <w:widowControl w:val="0"/>
        <w:kinsoku/>
        <w:wordWrap w:val="0"/>
        <w:overflowPunct w:val="0"/>
        <w:topLinePunct w:val="0"/>
        <w:autoSpaceDE w:val="0"/>
        <w:autoSpaceDN w:val="0"/>
        <w:bidi w:val="0"/>
        <w:spacing w:before="0" w:beforeAutospacing="0" w:after="0" w:afterAutospacing="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bidi="ar-SA"/>
        </w:rPr>
        <w:t>2.</w:t>
      </w:r>
      <w:r>
        <w:rPr>
          <w:rFonts w:hint="default" w:ascii="Times New Roman" w:hAnsi="Times New Roman" w:cs="Times New Roman"/>
          <w:color w:val="auto"/>
          <w:sz w:val="21"/>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鼓励供应商在线提起质疑，路径为：政采云-项目采购-询问质疑投诉-质疑列表。质疑供应商对在线质疑答复不满意的，可在线提起投诉，路径为：浙江政府服务网-政府采购投诉处理-在线办理。</w:t>
      </w:r>
    </w:p>
    <w:p w14:paraId="1E918E2D">
      <w:pPr>
        <w:pStyle w:val="25"/>
        <w:keepNext w:val="0"/>
        <w:keepLines w:val="0"/>
        <w:pageBreakBefore w:val="0"/>
        <w:widowControl w:val="0"/>
        <w:kinsoku/>
        <w:wordWrap w:val="0"/>
        <w:overflowPunct w:val="0"/>
        <w:topLinePunct w:val="0"/>
        <w:autoSpaceDE w:val="0"/>
        <w:autoSpaceDN w:val="0"/>
        <w:bidi w:val="0"/>
        <w:spacing w:before="0" w:beforeAutospacing="0" w:after="0" w:afterAutospacing="0" w:line="360" w:lineRule="auto"/>
        <w:ind w:firstLine="420" w:firstLineChars="200"/>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7A5049">
      <w:pPr>
        <w:pStyle w:val="25"/>
        <w:keepNext w:val="0"/>
        <w:keepLines w:val="0"/>
        <w:pageBreakBefore w:val="0"/>
        <w:widowControl w:val="0"/>
        <w:kinsoku/>
        <w:wordWrap w:val="0"/>
        <w:overflowPunct w:val="0"/>
        <w:topLinePunct w:val="0"/>
        <w:autoSpaceDE w:val="0"/>
        <w:autoSpaceDN w:val="0"/>
        <w:bidi w:val="0"/>
        <w:spacing w:before="0" w:beforeAutospacing="0" w:after="0" w:afterAutospacing="0" w:line="360" w:lineRule="auto"/>
        <w:ind w:firstLine="420" w:firstLineChars="200"/>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4.惠企政策：本采购项目，中标单位与采购人签订的政府采购合同适用于嘉兴市政府采购贷款政策，简称“政采贷”</w:t>
      </w: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bidi="ar-SA"/>
        </w:rPr>
        <w:t>具体内容可参阅政府采购贷款流程</w:t>
      </w: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bidi="ar-SA"/>
        </w:rPr>
        <w:t>https://jinrong.zcygov.cn/finance/loan?utm=a0017.b0048.c758920.4.44e18200bf5f11eb926cf1464ce95a5d。</w:t>
      </w:r>
      <w:r>
        <w:rPr>
          <w:rFonts w:hint="default" w:ascii="Times New Roman" w:hAnsi="Times New Roman" w:eastAsia="宋体" w:cs="Times New Roman"/>
          <w:color w:val="auto"/>
          <w:sz w:val="21"/>
          <w:szCs w:val="21"/>
          <w:highlight w:val="none"/>
          <w:lang w:val="en-US" w:eastAsia="zh-CN" w:bidi="ar-SA"/>
        </w:rPr>
        <w:br w:type="textWrapping"/>
      </w:r>
      <w:r>
        <w:rPr>
          <w:rFonts w:hint="default" w:ascii="Times New Roman" w:hAnsi="Times New Roman" w:eastAsia="宋体" w:cs="Times New Roman"/>
          <w:color w:val="auto"/>
          <w:sz w:val="21"/>
          <w:szCs w:val="21"/>
          <w:highlight w:val="none"/>
          <w:lang w:val="en-US" w:eastAsia="zh-CN" w:bidi="ar-SA"/>
        </w:rPr>
        <w:t xml:space="preserve">    5.投标说明：</w:t>
      </w:r>
      <w:r>
        <w:rPr>
          <w:rFonts w:hint="default" w:ascii="Times New Roman" w:hAnsi="Times New Roman" w:eastAsia="宋体" w:cs="Times New Roman"/>
          <w:color w:val="auto"/>
          <w:sz w:val="21"/>
          <w:szCs w:val="21"/>
          <w:highlight w:val="none"/>
          <w:lang w:val="en-US" w:eastAsia="zh-CN" w:bidi="ar-SA"/>
        </w:rPr>
        <w:br w:type="textWrapping"/>
      </w:r>
      <w:r>
        <w:rPr>
          <w:rFonts w:hint="default" w:ascii="Times New Roman" w:hAnsi="Times New Roman" w:eastAsia="宋体" w:cs="Times New Roman"/>
          <w:color w:val="auto"/>
          <w:sz w:val="21"/>
          <w:szCs w:val="21"/>
          <w:highlight w:val="none"/>
          <w:lang w:val="en-US" w:eastAsia="zh-CN" w:bidi="ar-SA"/>
        </w:rPr>
        <w:t xml:space="preserve">    5.1本项目按照《浙江省财政厅关于印发浙江省政府采购项目电子交易管理暂行办法的通知》实行电子交易。</w:t>
      </w:r>
      <w:r>
        <w:rPr>
          <w:rFonts w:hint="default" w:ascii="Times New Roman" w:hAnsi="Times New Roman" w:eastAsia="宋体" w:cs="Times New Roman"/>
          <w:color w:val="auto"/>
          <w:sz w:val="21"/>
          <w:szCs w:val="21"/>
          <w:highlight w:val="none"/>
          <w:lang w:val="en-US" w:eastAsia="zh-CN" w:bidi="ar-SA"/>
        </w:rPr>
        <w:br w:type="textWrapping"/>
      </w:r>
      <w:r>
        <w:rPr>
          <w:rFonts w:hint="default" w:ascii="Times New Roman" w:hAnsi="Times New Roman" w:eastAsia="宋体" w:cs="Times New Roman"/>
          <w:color w:val="auto"/>
          <w:sz w:val="21"/>
          <w:szCs w:val="21"/>
          <w:highlight w:val="none"/>
          <w:lang w:val="en-US" w:eastAsia="zh-CN" w:bidi="ar-SA"/>
        </w:rPr>
        <w:t xml:space="preserve">    5.2供应商注册</w:t>
      </w:r>
      <w:r>
        <w:rPr>
          <w:rFonts w:hint="default" w:ascii="Times New Roman" w:hAnsi="Times New Roman" w:eastAsia="宋体" w:cs="Times New Roman"/>
          <w:color w:val="auto"/>
          <w:sz w:val="21"/>
          <w:szCs w:val="21"/>
          <w:highlight w:val="none"/>
          <w:lang w:val="en-US" w:eastAsia="zh-CN" w:bidi="ar-SA"/>
        </w:rPr>
        <w:br w:type="textWrapping"/>
      </w:r>
      <w:r>
        <w:rPr>
          <w:rFonts w:hint="default" w:ascii="Times New Roman" w:hAnsi="Times New Roman" w:eastAsia="宋体" w:cs="Times New Roman"/>
          <w:color w:val="auto"/>
          <w:sz w:val="21"/>
          <w:szCs w:val="21"/>
          <w:highlight w:val="none"/>
          <w:lang w:val="en-US" w:eastAsia="zh-CN" w:bidi="ar-SA"/>
        </w:rPr>
        <w:t xml:space="preserve">    5.2.1注册网址：浙江政府采购网：https://middle.zcygov.cn/settle-front/#/registry</w:t>
      </w:r>
      <w:r>
        <w:rPr>
          <w:rFonts w:hint="default" w:ascii="Times New Roman" w:hAnsi="Times New Roman" w:eastAsia="宋体" w:cs="Times New Roman"/>
          <w:color w:val="auto"/>
          <w:sz w:val="21"/>
          <w:szCs w:val="21"/>
          <w:highlight w:val="none"/>
          <w:lang w:val="en-US" w:eastAsia="zh-CN" w:bidi="ar-SA"/>
        </w:rPr>
        <w:br w:type="textWrapping"/>
      </w:r>
      <w:r>
        <w:rPr>
          <w:rFonts w:hint="default" w:ascii="Times New Roman" w:hAnsi="Times New Roman" w:eastAsia="宋体" w:cs="Times New Roman"/>
          <w:color w:val="auto"/>
          <w:sz w:val="21"/>
          <w:szCs w:val="21"/>
          <w:highlight w:val="none"/>
          <w:lang w:val="en-US" w:eastAsia="zh-CN" w:bidi="ar-SA"/>
        </w:rPr>
        <w:t xml:space="preserve">    5.2.2供应商按照《浙江省政府采购供应商注册和诚信管理暂行办法》要求执行。</w:t>
      </w:r>
      <w:r>
        <w:rPr>
          <w:rFonts w:hint="default" w:ascii="Times New Roman" w:hAnsi="Times New Roman" w:eastAsia="宋体" w:cs="Times New Roman"/>
          <w:color w:val="auto"/>
          <w:sz w:val="21"/>
          <w:szCs w:val="21"/>
          <w:highlight w:val="none"/>
          <w:lang w:val="en-US" w:eastAsia="zh-CN" w:bidi="ar-SA"/>
        </w:rPr>
        <w:br w:type="textWrapping"/>
      </w:r>
      <w:r>
        <w:rPr>
          <w:rFonts w:hint="default" w:ascii="Times New Roman" w:hAnsi="Times New Roman" w:eastAsia="宋体" w:cs="Times New Roman"/>
          <w:color w:val="auto"/>
          <w:sz w:val="21"/>
          <w:szCs w:val="21"/>
          <w:highlight w:val="none"/>
          <w:lang w:val="en-US" w:eastAsia="zh-CN" w:bidi="ar-SA"/>
        </w:rPr>
        <w:t xml:space="preserve">    6.投标文件制作注意事项</w:t>
      </w:r>
      <w:r>
        <w:rPr>
          <w:rFonts w:hint="default" w:ascii="Times New Roman" w:hAnsi="Times New Roman" w:eastAsia="宋体" w:cs="Times New Roman"/>
          <w:color w:val="auto"/>
          <w:sz w:val="21"/>
          <w:szCs w:val="21"/>
          <w:highlight w:val="none"/>
          <w:lang w:val="en-US" w:eastAsia="zh-CN" w:bidi="ar-SA"/>
        </w:rPr>
        <w:br w:type="textWrapping"/>
      </w:r>
      <w:r>
        <w:rPr>
          <w:rFonts w:hint="default" w:ascii="Times New Roman" w:hAnsi="Times New Roman" w:eastAsia="宋体" w:cs="Times New Roman"/>
          <w:color w:val="auto"/>
          <w:sz w:val="21"/>
          <w:szCs w:val="21"/>
          <w:highlight w:val="none"/>
          <w:lang w:val="en-US" w:eastAsia="zh-CN" w:bidi="ar-SA"/>
        </w:rPr>
        <w:t xml:space="preserve">    6.1供应商将政采云电子交易客户端下载、安装完成后，可通过账号密码或CA登录客户端进行投标文件制作。注：供应商先要申领CA，拿到CA后需要在政采云平台进行绑定，CA相关操作可参考《CA申领操作指南》和《CA管理操作指南》。完成CA数字证书办理在资料齐全的情况下预计7个工作日左右，建议供应商获取招标文件后立即办理。　　　</w:t>
      </w:r>
      <w:r>
        <w:rPr>
          <w:rFonts w:hint="default" w:ascii="Times New Roman" w:hAnsi="Times New Roman" w:eastAsia="宋体" w:cs="Times New Roman"/>
          <w:color w:val="auto"/>
          <w:sz w:val="21"/>
          <w:szCs w:val="21"/>
          <w:highlight w:val="none"/>
          <w:lang w:val="en-US" w:eastAsia="zh-CN" w:bidi="ar-SA"/>
        </w:rPr>
        <w:br w:type="textWrapping"/>
      </w:r>
      <w:r>
        <w:rPr>
          <w:rFonts w:hint="default" w:ascii="Times New Roman" w:hAnsi="Times New Roman" w:eastAsia="宋体" w:cs="Times New Roman"/>
          <w:color w:val="auto"/>
          <w:sz w:val="21"/>
          <w:szCs w:val="21"/>
          <w:highlight w:val="none"/>
          <w:lang w:val="en-US" w:eastAsia="zh-CN" w:bidi="ar-SA"/>
        </w:rPr>
        <w:t xml:space="preserve">    6.2电子交易操作指南：https://helpcenter.zcygov.cn/document/#/document/dashboard?siteCode=beijing</w:t>
      </w:r>
      <w:r>
        <w:rPr>
          <w:rFonts w:hint="default" w:ascii="Times New Roman" w:hAnsi="Times New Roman" w:eastAsia="宋体" w:cs="Times New Roman"/>
          <w:color w:val="auto"/>
          <w:sz w:val="21"/>
          <w:szCs w:val="21"/>
          <w:highlight w:val="none"/>
          <w:lang w:val="en-US" w:eastAsia="zh-CN" w:bidi="ar-SA"/>
        </w:rPr>
        <w:br w:type="textWrapping"/>
      </w:r>
      <w:r>
        <w:rPr>
          <w:rFonts w:hint="default" w:ascii="Times New Roman" w:hAnsi="Times New Roman" w:eastAsia="宋体" w:cs="Times New Roman"/>
          <w:color w:val="auto"/>
          <w:sz w:val="21"/>
          <w:szCs w:val="21"/>
          <w:highlight w:val="none"/>
          <w:lang w:val="en-US" w:eastAsia="zh-CN" w:bidi="ar-SA"/>
        </w:rPr>
        <w:t xml:space="preserve">     注：CA证书遗失补办、延期、解锁、质保等业务可以在联连客户端上进行操作；使用政采云投标客户端时，建议使用WIN7及以上操作系统。</w:t>
      </w:r>
      <w:r>
        <w:rPr>
          <w:rFonts w:hint="default" w:ascii="Times New Roman" w:hAnsi="Times New Roman" w:eastAsia="宋体" w:cs="Times New Roman"/>
          <w:color w:val="auto"/>
          <w:sz w:val="21"/>
          <w:szCs w:val="21"/>
          <w:highlight w:val="none"/>
          <w:lang w:val="en-US" w:eastAsia="zh-CN" w:bidi="ar-SA"/>
        </w:rPr>
        <w:br w:type="textWrapping"/>
      </w:r>
      <w:r>
        <w:rPr>
          <w:rFonts w:hint="default" w:ascii="Times New Roman" w:hAnsi="Times New Roman" w:eastAsia="宋体" w:cs="Times New Roman"/>
          <w:color w:val="auto"/>
          <w:sz w:val="21"/>
          <w:szCs w:val="21"/>
          <w:highlight w:val="none"/>
          <w:lang w:val="en-US" w:eastAsia="zh-CN" w:bidi="ar-SA"/>
        </w:rPr>
        <w:t xml:space="preserve">    7.投标文件提交注意事项：</w:t>
      </w:r>
      <w:r>
        <w:rPr>
          <w:rFonts w:hint="default" w:ascii="Times New Roman" w:hAnsi="Times New Roman" w:eastAsia="宋体" w:cs="Times New Roman"/>
          <w:color w:val="auto"/>
          <w:sz w:val="21"/>
          <w:szCs w:val="21"/>
          <w:highlight w:val="none"/>
          <w:lang w:val="en-US" w:eastAsia="zh-CN" w:bidi="ar-SA"/>
        </w:rPr>
        <w:br w:type="textWrapping"/>
      </w:r>
      <w:r>
        <w:rPr>
          <w:rFonts w:hint="default" w:ascii="Times New Roman" w:hAnsi="Times New Roman" w:eastAsia="宋体" w:cs="Times New Roman"/>
          <w:color w:val="auto"/>
          <w:sz w:val="21"/>
          <w:szCs w:val="21"/>
          <w:highlight w:val="none"/>
          <w:lang w:val="en-US" w:eastAsia="zh-CN" w:bidi="ar-SA"/>
        </w:rPr>
        <w:t xml:space="preserve">    7.1供应商进行电子投标应安装客户端软件，并按照招标文件和电子交易平台的要求编制并加密投标文件。供应商未按规定加密的投标文件，代理机构应当拒收。</w:t>
      </w:r>
      <w:r>
        <w:rPr>
          <w:rFonts w:hint="default" w:ascii="Times New Roman" w:hAnsi="Times New Roman" w:eastAsia="宋体" w:cs="Times New Roman"/>
          <w:color w:val="auto"/>
          <w:sz w:val="21"/>
          <w:szCs w:val="21"/>
          <w:highlight w:val="none"/>
          <w:lang w:val="en-US" w:eastAsia="zh-CN" w:bidi="ar-SA"/>
        </w:rPr>
        <w:br w:type="textWrapping"/>
      </w:r>
      <w:r>
        <w:rPr>
          <w:rFonts w:hint="default" w:ascii="Times New Roman" w:hAnsi="Times New Roman" w:eastAsia="宋体" w:cs="Times New Roman"/>
          <w:color w:val="auto"/>
          <w:sz w:val="21"/>
          <w:szCs w:val="21"/>
          <w:highlight w:val="none"/>
          <w:lang w:val="en-US" w:eastAsia="zh-CN" w:bidi="ar-SA"/>
        </w:rPr>
        <w:t xml:space="preserve">    7.2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r>
        <w:rPr>
          <w:rFonts w:hint="default" w:ascii="Times New Roman" w:hAnsi="Times New Roman" w:eastAsia="宋体" w:cs="Times New Roman"/>
          <w:color w:val="auto"/>
          <w:sz w:val="21"/>
          <w:szCs w:val="21"/>
          <w:highlight w:val="none"/>
          <w:lang w:val="en-US" w:eastAsia="zh-CN" w:bidi="ar-SA"/>
        </w:rPr>
        <w:br w:type="textWrapping"/>
      </w:r>
      <w:r>
        <w:rPr>
          <w:rFonts w:hint="default" w:ascii="Times New Roman" w:hAnsi="Times New Roman" w:eastAsia="宋体" w:cs="Times New Roman"/>
          <w:color w:val="auto"/>
          <w:sz w:val="21"/>
          <w:szCs w:val="21"/>
          <w:highlight w:val="none"/>
          <w:lang w:val="en-US" w:eastAsia="zh-CN" w:bidi="ar-SA"/>
        </w:rPr>
        <w:t xml:space="preserve">    7.3为确保采购项目顺利实施，避免因解密失败导致供应商投标无效，供应商在电子交易平台传输提交投标文件后，将政采云平台上最后生成的具备电子签章的备份电子投标文件（文件后缀名为.bfbs）1份在投标截止时间前，备注项目名称发送至809068967@qq.com。</w:t>
      </w:r>
    </w:p>
    <w:p w14:paraId="5C7829DB">
      <w:pPr>
        <w:pStyle w:val="25"/>
        <w:keepNext w:val="0"/>
        <w:keepLines w:val="0"/>
        <w:pageBreakBefore w:val="0"/>
        <w:widowControl w:val="0"/>
        <w:kinsoku/>
        <w:wordWrap w:val="0"/>
        <w:overflowPunct w:val="0"/>
        <w:topLinePunct w:val="0"/>
        <w:autoSpaceDE w:val="0"/>
        <w:autoSpaceDN w:val="0"/>
        <w:bidi w:val="0"/>
        <w:spacing w:before="0" w:beforeAutospacing="0" w:after="0" w:afterAutospacing="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bidi="ar-SA"/>
        </w:rPr>
        <w:t>7.4备份电子投标文件为非强制性要求，但如遇因供应商电子投标文件解密失败等情况造成无效标，后果由供应商自负。</w:t>
      </w:r>
    </w:p>
    <w:p w14:paraId="340CEE56">
      <w:pPr>
        <w:pStyle w:val="2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20" w:firstLineChars="200"/>
        <w:textAlignment w:val="auto"/>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八、凡对本次招标提出询问、质疑、投诉，请按以下方式联系</w:t>
      </w:r>
    </w:p>
    <w:p w14:paraId="6C99DE6D">
      <w:pPr>
        <w:pStyle w:val="16"/>
        <w:keepNext w:val="0"/>
        <w:keepLines w:val="0"/>
        <w:pageBreakBefore w:val="0"/>
        <w:kinsoku/>
        <w:topLinePunct w:val="0"/>
        <w:bidi w:val="0"/>
        <w:spacing w:beforeAutospacing="0" w:afterAutospacing="0" w:line="360" w:lineRule="auto"/>
        <w:ind w:firstLine="422"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b/>
          <w:bCs/>
          <w:sz w:val="21"/>
          <w:szCs w:val="21"/>
          <w:highlight w:val="none"/>
        </w:rPr>
        <w:t>1.采购人信息</w:t>
      </w:r>
    </w:p>
    <w:p w14:paraId="1C882043">
      <w:pPr>
        <w:pStyle w:val="16"/>
        <w:keepNext w:val="0"/>
        <w:keepLines w:val="0"/>
        <w:pageBreakBefore w:val="0"/>
        <w:kinsoku/>
        <w:topLinePunct w:val="0"/>
        <w:bidi w:val="0"/>
        <w:spacing w:beforeAutospacing="0" w:afterAutospacing="0" w:line="360"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名    称：</w:t>
      </w:r>
      <w:r>
        <w:rPr>
          <w:rFonts w:hint="eastAsia" w:ascii="Times New Roman" w:hAnsi="Times New Roman" w:cs="Times New Roman"/>
          <w:sz w:val="21"/>
          <w:szCs w:val="21"/>
          <w:highlight w:val="none"/>
          <w:u w:val="single"/>
          <w:lang w:eastAsia="zh-CN"/>
        </w:rPr>
        <w:t>海盐县卫生健康局</w:t>
      </w:r>
      <w:r>
        <w:rPr>
          <w:rFonts w:hint="default" w:ascii="Times New Roman" w:hAnsi="Times New Roman" w:cs="Times New Roman"/>
          <w:sz w:val="21"/>
          <w:szCs w:val="21"/>
          <w:highlight w:val="none"/>
        </w:rPr>
        <w:t> </w:t>
      </w:r>
    </w:p>
    <w:p w14:paraId="2EDF97C6">
      <w:pPr>
        <w:pStyle w:val="16"/>
        <w:keepNext w:val="0"/>
        <w:keepLines w:val="0"/>
        <w:pageBreakBefore w:val="0"/>
        <w:kinsoku/>
        <w:topLinePunct w:val="0"/>
        <w:bidi w:val="0"/>
        <w:spacing w:beforeAutospacing="0" w:afterAutospacing="0" w:line="360"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地    址：</w:t>
      </w:r>
      <w:r>
        <w:rPr>
          <w:rFonts w:hint="eastAsia" w:ascii="Times New Roman" w:hAnsi="Times New Roman" w:cs="Times New Roman"/>
          <w:sz w:val="21"/>
          <w:szCs w:val="21"/>
          <w:highlight w:val="none"/>
          <w:u w:val="single"/>
          <w:lang w:eastAsia="zh-CN"/>
        </w:rPr>
        <w:t>海盐县武原街道中兴路9号</w:t>
      </w:r>
      <w:r>
        <w:rPr>
          <w:rFonts w:hint="default" w:ascii="Times New Roman" w:hAnsi="Times New Roman" w:cs="Times New Roman"/>
          <w:sz w:val="21"/>
          <w:szCs w:val="21"/>
          <w:highlight w:val="none"/>
        </w:rPr>
        <w:t> </w:t>
      </w:r>
    </w:p>
    <w:p w14:paraId="24AED77D">
      <w:pPr>
        <w:pStyle w:val="16"/>
        <w:keepNext w:val="0"/>
        <w:keepLines w:val="0"/>
        <w:pageBreakBefore w:val="0"/>
        <w:kinsoku/>
        <w:topLinePunct w:val="0"/>
        <w:bidi w:val="0"/>
        <w:spacing w:beforeAutospacing="0" w:afterAutospacing="0" w:line="360"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传    真：</w:t>
      </w:r>
      <w:r>
        <w:rPr>
          <w:rFonts w:hint="default" w:ascii="Times New Roman" w:hAnsi="Times New Roman" w:cs="Times New Roman"/>
          <w:sz w:val="21"/>
          <w:szCs w:val="21"/>
          <w:highlight w:val="none"/>
          <w:u w:val="single"/>
          <w:lang w:val="en-US" w:eastAsia="zh-CN"/>
        </w:rPr>
        <w:t>/</w:t>
      </w:r>
      <w:r>
        <w:rPr>
          <w:rFonts w:hint="default" w:ascii="Times New Roman" w:hAnsi="Times New Roman" w:cs="Times New Roman"/>
          <w:sz w:val="21"/>
          <w:szCs w:val="21"/>
          <w:highlight w:val="none"/>
          <w:u w:val="single"/>
        </w:rPr>
        <w:t> </w:t>
      </w:r>
    </w:p>
    <w:p w14:paraId="6A1E54B1">
      <w:pPr>
        <w:pStyle w:val="16"/>
        <w:keepNext w:val="0"/>
        <w:keepLines w:val="0"/>
        <w:pageBreakBefore w:val="0"/>
        <w:kinsoku/>
        <w:topLinePunct w:val="0"/>
        <w:bidi w:val="0"/>
        <w:spacing w:beforeAutospacing="0" w:afterAutospacing="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项目联系人（询问）：</w:t>
      </w:r>
      <w:r>
        <w:rPr>
          <w:rFonts w:hint="eastAsia" w:ascii="Times New Roman" w:hAnsi="Times New Roman" w:cs="Times New Roman"/>
          <w:color w:val="auto"/>
          <w:sz w:val="21"/>
          <w:szCs w:val="21"/>
          <w:highlight w:val="none"/>
          <w:u w:val="single"/>
          <w:lang w:val="en-US" w:eastAsia="zh-CN"/>
        </w:rPr>
        <w:t>吴许峰</w:t>
      </w:r>
      <w:r>
        <w:rPr>
          <w:rFonts w:hint="default" w:ascii="Times New Roman" w:hAnsi="Times New Roman" w:cs="Times New Roman"/>
          <w:color w:val="auto"/>
          <w:sz w:val="21"/>
          <w:szCs w:val="21"/>
          <w:highlight w:val="none"/>
          <w:u w:val="single"/>
        </w:rPr>
        <w:t> </w:t>
      </w:r>
    </w:p>
    <w:p w14:paraId="0BB14F73">
      <w:pPr>
        <w:pStyle w:val="16"/>
        <w:keepNext w:val="0"/>
        <w:keepLines w:val="0"/>
        <w:pageBreakBefore w:val="0"/>
        <w:kinsoku/>
        <w:topLinePunct w:val="0"/>
        <w:bidi w:val="0"/>
        <w:spacing w:beforeAutospacing="0" w:afterAutospacing="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项目联系方式（询问）：</w:t>
      </w:r>
      <w:r>
        <w:rPr>
          <w:rFonts w:hint="eastAsia" w:ascii="Times New Roman" w:hAnsi="Times New Roman" w:cs="Times New Roman"/>
          <w:color w:val="auto"/>
          <w:sz w:val="21"/>
          <w:szCs w:val="21"/>
          <w:highlight w:val="none"/>
          <w:u w:val="single"/>
          <w:lang w:eastAsia="zh-CN"/>
        </w:rPr>
        <w:t>0573-86082203</w:t>
      </w:r>
      <w:r>
        <w:rPr>
          <w:rFonts w:hint="default" w:ascii="Times New Roman" w:hAnsi="Times New Roman" w:cs="Times New Roman"/>
          <w:color w:val="auto"/>
          <w:sz w:val="21"/>
          <w:szCs w:val="21"/>
          <w:highlight w:val="none"/>
        </w:rPr>
        <w:t> </w:t>
      </w:r>
    </w:p>
    <w:p w14:paraId="65139791">
      <w:pPr>
        <w:pStyle w:val="16"/>
        <w:keepNext w:val="0"/>
        <w:keepLines w:val="0"/>
        <w:pageBreakBefore w:val="0"/>
        <w:kinsoku/>
        <w:topLinePunct w:val="0"/>
        <w:bidi w:val="0"/>
        <w:spacing w:beforeAutospacing="0" w:afterAutospacing="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质疑联系人：</w:t>
      </w:r>
      <w:r>
        <w:rPr>
          <w:rFonts w:hint="eastAsia" w:ascii="Times New Roman" w:hAnsi="Times New Roman" w:cs="Times New Roman"/>
          <w:color w:val="auto"/>
          <w:szCs w:val="21"/>
          <w:highlight w:val="none"/>
          <w:u w:val="single"/>
          <w:lang w:val="en-US" w:eastAsia="zh-CN"/>
        </w:rPr>
        <w:t>倪辛茹</w:t>
      </w:r>
      <w:r>
        <w:rPr>
          <w:rFonts w:hint="default" w:ascii="Times New Roman" w:hAnsi="Times New Roman" w:cs="Times New Roman"/>
          <w:color w:val="auto"/>
          <w:sz w:val="21"/>
          <w:szCs w:val="21"/>
          <w:highlight w:val="none"/>
        </w:rPr>
        <w:t> </w:t>
      </w:r>
    </w:p>
    <w:p w14:paraId="116C4942">
      <w:pPr>
        <w:pStyle w:val="16"/>
        <w:keepNext w:val="0"/>
        <w:keepLines w:val="0"/>
        <w:pageBreakBefore w:val="0"/>
        <w:kinsoku/>
        <w:topLinePunct w:val="0"/>
        <w:bidi w:val="0"/>
        <w:spacing w:beforeAutospacing="0" w:afterAutospacing="0" w:line="360"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color w:val="auto"/>
          <w:sz w:val="21"/>
          <w:szCs w:val="21"/>
          <w:highlight w:val="none"/>
        </w:rPr>
        <w:t>质疑联系方式：</w:t>
      </w:r>
      <w:r>
        <w:rPr>
          <w:rFonts w:hint="eastAsia" w:ascii="Times New Roman" w:hAnsi="Times New Roman" w:cs="Times New Roman"/>
          <w:color w:val="auto"/>
          <w:szCs w:val="21"/>
          <w:highlight w:val="none"/>
          <w:u w:val="single"/>
          <w:lang w:eastAsia="zh-CN"/>
        </w:rPr>
        <w:t>0573-86035089</w:t>
      </w:r>
      <w:r>
        <w:rPr>
          <w:rFonts w:hint="default" w:ascii="Times New Roman" w:hAnsi="Times New Roman" w:cs="Times New Roman"/>
          <w:color w:val="FF0000"/>
          <w:sz w:val="21"/>
          <w:szCs w:val="21"/>
          <w:highlight w:val="none"/>
        </w:rPr>
        <w:br w:type="textWrapping"/>
      </w:r>
      <w:r>
        <w:rPr>
          <w:rFonts w:hint="default" w:ascii="Times New Roman" w:hAnsi="Times New Roman" w:cs="Times New Roman"/>
          <w:sz w:val="21"/>
          <w:szCs w:val="21"/>
          <w:highlight w:val="none"/>
        </w:rPr>
        <w:t xml:space="preserve">    </w:t>
      </w:r>
      <w:r>
        <w:rPr>
          <w:rFonts w:hint="default" w:ascii="Times New Roman" w:hAnsi="Times New Roman" w:cs="Times New Roman"/>
          <w:sz w:val="21"/>
          <w:szCs w:val="21"/>
          <w:highlight w:val="none"/>
          <w:lang w:val="en-US" w:eastAsia="zh-CN"/>
        </w:rPr>
        <w:t xml:space="preserve"> </w:t>
      </w:r>
      <w:r>
        <w:rPr>
          <w:rFonts w:hint="default" w:ascii="Times New Roman" w:hAnsi="Times New Roman" w:cs="Times New Roman"/>
          <w:b/>
          <w:bCs/>
          <w:sz w:val="21"/>
          <w:szCs w:val="21"/>
          <w:highlight w:val="none"/>
        </w:rPr>
        <w:t>2.采购代理机构信息</w:t>
      </w:r>
    </w:p>
    <w:p w14:paraId="5E6E0FAD">
      <w:pPr>
        <w:pStyle w:val="16"/>
        <w:keepNext w:val="0"/>
        <w:keepLines w:val="0"/>
        <w:pageBreakBefore w:val="0"/>
        <w:kinsoku/>
        <w:topLinePunct w:val="0"/>
        <w:bidi w:val="0"/>
        <w:spacing w:beforeAutospacing="0" w:afterAutospacing="0" w:line="360" w:lineRule="auto"/>
        <w:ind w:firstLine="420" w:firstLineChars="200"/>
        <w:textAlignment w:val="auto"/>
        <w:rPr>
          <w:rFonts w:hint="default" w:ascii="Times New Roman" w:hAnsi="Times New Roman" w:cs="Times New Roman"/>
          <w:sz w:val="21"/>
          <w:szCs w:val="21"/>
          <w:highlight w:val="none"/>
          <w:u w:val="single"/>
        </w:rPr>
      </w:pPr>
      <w:r>
        <w:rPr>
          <w:rFonts w:hint="default" w:ascii="Times New Roman" w:hAnsi="Times New Roman" w:cs="Times New Roman"/>
          <w:sz w:val="21"/>
          <w:szCs w:val="21"/>
          <w:highlight w:val="none"/>
        </w:rPr>
        <w:t>名    称：</w:t>
      </w:r>
      <w:r>
        <w:rPr>
          <w:rFonts w:hint="eastAsia" w:ascii="Times New Roman" w:hAnsi="Times New Roman" w:cs="Times New Roman"/>
          <w:sz w:val="21"/>
          <w:szCs w:val="21"/>
          <w:highlight w:val="none"/>
          <w:u w:val="single"/>
          <w:lang w:eastAsia="zh-CN"/>
        </w:rPr>
        <w:t>嘉兴市华信工程咨询有限公司</w:t>
      </w:r>
      <w:r>
        <w:rPr>
          <w:rFonts w:hint="default" w:ascii="Times New Roman" w:hAnsi="Times New Roman" w:cs="Times New Roman"/>
          <w:sz w:val="21"/>
          <w:szCs w:val="21"/>
          <w:highlight w:val="none"/>
          <w:u w:val="single"/>
        </w:rPr>
        <w:t> </w:t>
      </w:r>
    </w:p>
    <w:p w14:paraId="63A0936F">
      <w:pPr>
        <w:pStyle w:val="16"/>
        <w:keepNext w:val="0"/>
        <w:keepLines w:val="0"/>
        <w:pageBreakBefore w:val="0"/>
        <w:kinsoku/>
        <w:topLinePunct w:val="0"/>
        <w:bidi w:val="0"/>
        <w:spacing w:beforeAutospacing="0" w:afterAutospacing="0" w:line="360"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地    址：</w:t>
      </w:r>
      <w:r>
        <w:rPr>
          <w:rFonts w:hint="eastAsia" w:ascii="Times New Roman" w:hAnsi="Times New Roman" w:cs="Times New Roman"/>
          <w:sz w:val="21"/>
          <w:szCs w:val="21"/>
          <w:highlight w:val="none"/>
          <w:u w:val="single"/>
          <w:lang w:eastAsia="zh-CN"/>
        </w:rPr>
        <w:t>海盐县望海街道精工路118号盐东村综合楼108室</w:t>
      </w:r>
      <w:r>
        <w:rPr>
          <w:rFonts w:hint="default" w:ascii="Times New Roman" w:hAnsi="Times New Roman" w:cs="Times New Roman"/>
          <w:sz w:val="21"/>
          <w:szCs w:val="21"/>
          <w:highlight w:val="none"/>
        </w:rPr>
        <w:t> </w:t>
      </w:r>
    </w:p>
    <w:p w14:paraId="04A21AE3">
      <w:pPr>
        <w:pStyle w:val="16"/>
        <w:keepNext w:val="0"/>
        <w:keepLines w:val="0"/>
        <w:pageBreakBefore w:val="0"/>
        <w:kinsoku/>
        <w:topLinePunct w:val="0"/>
        <w:bidi w:val="0"/>
        <w:spacing w:beforeAutospacing="0" w:afterAutospacing="0" w:line="360" w:lineRule="auto"/>
        <w:ind w:firstLine="420" w:firstLineChars="20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rPr>
        <w:t>传   </w:t>
      </w:r>
      <w:r>
        <w:rPr>
          <w:rFonts w:hint="eastAsia" w:ascii="Times New Roman" w:hAnsi="Times New Roman" w:cs="Times New Roman"/>
          <w:sz w:val="21"/>
          <w:szCs w:val="21"/>
          <w:highlight w:val="none"/>
          <w:lang w:val="en-US" w:eastAsia="zh-CN"/>
        </w:rPr>
        <w:t xml:space="preserve"> </w:t>
      </w:r>
      <w:r>
        <w:rPr>
          <w:rFonts w:hint="default" w:ascii="Times New Roman" w:hAnsi="Times New Roman" w:cs="Times New Roman"/>
          <w:sz w:val="21"/>
          <w:szCs w:val="21"/>
          <w:highlight w:val="none"/>
        </w:rPr>
        <w:t>真：</w:t>
      </w:r>
      <w:r>
        <w:rPr>
          <w:rFonts w:hint="eastAsia" w:ascii="Times New Roman" w:hAnsi="Times New Roman" w:cs="Times New Roman"/>
          <w:sz w:val="21"/>
          <w:szCs w:val="21"/>
          <w:highlight w:val="none"/>
          <w:u w:val="single"/>
          <w:lang w:val="en-US" w:eastAsia="zh-CN"/>
        </w:rPr>
        <w:t>0573-86880020</w:t>
      </w:r>
    </w:p>
    <w:p w14:paraId="5644CDFD">
      <w:pPr>
        <w:pStyle w:val="16"/>
        <w:keepNext w:val="0"/>
        <w:keepLines w:val="0"/>
        <w:pageBreakBefore w:val="0"/>
        <w:kinsoku/>
        <w:topLinePunct w:val="0"/>
        <w:bidi w:val="0"/>
        <w:spacing w:beforeAutospacing="0" w:afterAutospacing="0" w:line="360" w:lineRule="auto"/>
        <w:ind w:firstLine="420" w:firstLineChars="200"/>
        <w:textAlignment w:val="auto"/>
        <w:rPr>
          <w:rFonts w:hint="default" w:ascii="Times New Roman" w:hAnsi="Times New Roman" w:cs="Times New Roman"/>
          <w:sz w:val="21"/>
          <w:szCs w:val="21"/>
          <w:highlight w:val="none"/>
          <w:u w:val="single"/>
        </w:rPr>
      </w:pPr>
      <w:r>
        <w:rPr>
          <w:rFonts w:hint="default" w:ascii="Times New Roman" w:hAnsi="Times New Roman" w:cs="Times New Roman"/>
          <w:sz w:val="21"/>
          <w:szCs w:val="21"/>
          <w:highlight w:val="none"/>
        </w:rPr>
        <w:t>项目联系人（询问）：</w:t>
      </w:r>
      <w:r>
        <w:rPr>
          <w:rFonts w:hint="eastAsia" w:ascii="Times New Roman" w:hAnsi="Times New Roman" w:cs="Times New Roman"/>
          <w:sz w:val="21"/>
          <w:szCs w:val="21"/>
          <w:highlight w:val="none"/>
          <w:u w:val="single"/>
          <w:lang w:val="en-US" w:eastAsia="zh-CN"/>
        </w:rPr>
        <w:t>崔工</w:t>
      </w:r>
    </w:p>
    <w:p w14:paraId="0A4C2A94">
      <w:pPr>
        <w:pStyle w:val="16"/>
        <w:keepNext w:val="0"/>
        <w:keepLines w:val="0"/>
        <w:pageBreakBefore w:val="0"/>
        <w:kinsoku/>
        <w:topLinePunct w:val="0"/>
        <w:bidi w:val="0"/>
        <w:spacing w:beforeAutospacing="0" w:afterAutospacing="0" w:line="360"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项目联系方式（询问）：</w:t>
      </w:r>
      <w:r>
        <w:rPr>
          <w:rFonts w:hint="eastAsia" w:ascii="Times New Roman" w:hAnsi="Times New Roman" w:cs="Times New Roman"/>
          <w:sz w:val="21"/>
          <w:szCs w:val="21"/>
          <w:highlight w:val="none"/>
          <w:u w:val="single"/>
          <w:lang w:val="en-US" w:eastAsia="zh-CN"/>
        </w:rPr>
        <w:t>0573-86880020</w:t>
      </w:r>
      <w:r>
        <w:rPr>
          <w:rFonts w:hint="default" w:ascii="Times New Roman" w:hAnsi="Times New Roman" w:cs="Times New Roman"/>
          <w:sz w:val="21"/>
          <w:szCs w:val="21"/>
          <w:highlight w:val="none"/>
        </w:rPr>
        <w:t> </w:t>
      </w:r>
    </w:p>
    <w:p w14:paraId="1D9E90AE">
      <w:pPr>
        <w:pStyle w:val="16"/>
        <w:keepNext w:val="0"/>
        <w:keepLines w:val="0"/>
        <w:pageBreakBefore w:val="0"/>
        <w:kinsoku/>
        <w:topLinePunct w:val="0"/>
        <w:bidi w:val="0"/>
        <w:spacing w:beforeAutospacing="0" w:afterAutospacing="0" w:line="360"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质疑联系人：</w:t>
      </w:r>
      <w:r>
        <w:rPr>
          <w:rFonts w:hint="eastAsia" w:ascii="Times New Roman" w:hAnsi="Times New Roman" w:cs="Times New Roman"/>
          <w:sz w:val="21"/>
          <w:szCs w:val="21"/>
          <w:highlight w:val="none"/>
          <w:u w:val="single"/>
          <w:lang w:val="en-US" w:eastAsia="zh-CN"/>
        </w:rPr>
        <w:t>张工</w:t>
      </w:r>
      <w:r>
        <w:rPr>
          <w:rFonts w:hint="default" w:ascii="Times New Roman" w:hAnsi="Times New Roman" w:cs="Times New Roman"/>
          <w:sz w:val="21"/>
          <w:szCs w:val="21"/>
          <w:highlight w:val="none"/>
        </w:rPr>
        <w:t> </w:t>
      </w:r>
    </w:p>
    <w:p w14:paraId="0DA14B91">
      <w:pPr>
        <w:pStyle w:val="16"/>
        <w:keepNext w:val="0"/>
        <w:keepLines w:val="0"/>
        <w:pageBreakBefore w:val="0"/>
        <w:kinsoku/>
        <w:topLinePunct w:val="0"/>
        <w:bidi w:val="0"/>
        <w:spacing w:beforeAutospacing="0" w:afterAutospacing="0" w:line="360"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质疑联系方式：</w:t>
      </w:r>
      <w:r>
        <w:rPr>
          <w:rFonts w:hint="eastAsia" w:ascii="Times New Roman" w:hAnsi="Times New Roman" w:cs="Times New Roman"/>
          <w:sz w:val="21"/>
          <w:szCs w:val="21"/>
          <w:highlight w:val="none"/>
          <w:u w:val="single"/>
          <w:lang w:val="en-US" w:eastAsia="zh-CN"/>
        </w:rPr>
        <w:t>0573-86880020</w:t>
      </w:r>
      <w:r>
        <w:rPr>
          <w:rFonts w:hint="default" w:ascii="Times New Roman" w:hAnsi="Times New Roman" w:eastAsia="宋体" w:cs="Times New Roman"/>
          <w:sz w:val="21"/>
          <w:szCs w:val="21"/>
          <w:highlight w:val="none"/>
          <w:lang w:val="en-US" w:eastAsia="zh-CN"/>
        </w:rPr>
        <w:t>  </w:t>
      </w:r>
    </w:p>
    <w:p w14:paraId="29946FA5">
      <w:pPr>
        <w:pStyle w:val="16"/>
        <w:keepNext w:val="0"/>
        <w:keepLines w:val="0"/>
        <w:pageBreakBefore w:val="0"/>
        <w:kinsoku/>
        <w:topLinePunct w:val="0"/>
        <w:bidi w:val="0"/>
        <w:spacing w:beforeAutospacing="0" w:afterAutospacing="0" w:line="360" w:lineRule="auto"/>
        <w:ind w:firstLine="422" w:firstLineChars="200"/>
        <w:textAlignment w:val="auto"/>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3.同级政府采购监督管理部门</w:t>
      </w:r>
    </w:p>
    <w:p w14:paraId="3352BD04">
      <w:pPr>
        <w:pStyle w:val="16"/>
        <w:keepNext w:val="0"/>
        <w:keepLines w:val="0"/>
        <w:pageBreakBefore w:val="0"/>
        <w:kinsoku/>
        <w:topLinePunct w:val="0"/>
        <w:bidi w:val="0"/>
        <w:spacing w:beforeAutospacing="0" w:afterAutospacing="0" w:line="360" w:lineRule="auto"/>
        <w:ind w:firstLine="420" w:firstLineChars="200"/>
        <w:textAlignment w:val="auto"/>
        <w:rPr>
          <w:rFonts w:hint="default" w:ascii="Times New Roman" w:hAnsi="Times New Roman" w:cs="Times New Roman"/>
          <w:i w:val="0"/>
          <w:iCs w:val="0"/>
          <w:sz w:val="21"/>
          <w:szCs w:val="21"/>
          <w:highlight w:val="none"/>
          <w:u w:val="single"/>
        </w:rPr>
      </w:pPr>
      <w:r>
        <w:rPr>
          <w:rFonts w:hint="default" w:ascii="Times New Roman" w:hAnsi="Times New Roman" w:cs="Times New Roman"/>
          <w:sz w:val="21"/>
          <w:szCs w:val="21"/>
          <w:highlight w:val="none"/>
        </w:rPr>
        <w:t>名    称：</w:t>
      </w:r>
      <w:r>
        <w:rPr>
          <w:rFonts w:hint="default" w:ascii="Times New Roman" w:hAnsi="Times New Roman" w:cs="Times New Roman"/>
          <w:i w:val="0"/>
          <w:iCs w:val="0"/>
          <w:sz w:val="21"/>
          <w:szCs w:val="21"/>
          <w:highlight w:val="none"/>
          <w:u w:val="single"/>
        </w:rPr>
        <w:t>海盐县财政局政府采购监管科 </w:t>
      </w:r>
    </w:p>
    <w:p w14:paraId="13C0F2A6">
      <w:pPr>
        <w:pStyle w:val="16"/>
        <w:keepNext w:val="0"/>
        <w:keepLines w:val="0"/>
        <w:pageBreakBefore w:val="0"/>
        <w:kinsoku/>
        <w:topLinePunct w:val="0"/>
        <w:bidi w:val="0"/>
        <w:spacing w:beforeAutospacing="0" w:afterAutospacing="0" w:line="360"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地    址：</w:t>
      </w:r>
      <w:r>
        <w:rPr>
          <w:rFonts w:hint="default" w:ascii="Times New Roman" w:hAnsi="Times New Roman" w:cs="Times New Roman"/>
          <w:sz w:val="21"/>
          <w:szCs w:val="21"/>
          <w:highlight w:val="none"/>
          <w:u w:val="single"/>
        </w:rPr>
        <w:t>海盐县武原街道新桥北路168号</w:t>
      </w:r>
      <w:r>
        <w:rPr>
          <w:rFonts w:hint="default" w:ascii="Times New Roman" w:hAnsi="Times New Roman" w:cs="Times New Roman"/>
          <w:sz w:val="21"/>
          <w:szCs w:val="21"/>
          <w:highlight w:val="none"/>
        </w:rPr>
        <w:t> </w:t>
      </w:r>
    </w:p>
    <w:p w14:paraId="6A56DCEA">
      <w:pPr>
        <w:pStyle w:val="16"/>
        <w:keepNext w:val="0"/>
        <w:keepLines w:val="0"/>
        <w:pageBreakBefore w:val="0"/>
        <w:kinsoku/>
        <w:topLinePunct w:val="0"/>
        <w:bidi w:val="0"/>
        <w:spacing w:beforeAutospacing="0" w:afterAutospacing="0" w:line="360"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传    真：</w:t>
      </w:r>
      <w:r>
        <w:rPr>
          <w:rFonts w:hint="default" w:ascii="Times New Roman" w:hAnsi="Times New Roman" w:cs="Times New Roman"/>
          <w:sz w:val="21"/>
          <w:szCs w:val="21"/>
          <w:highlight w:val="none"/>
          <w:u w:val="single"/>
        </w:rPr>
        <w:t>/ </w:t>
      </w:r>
    </w:p>
    <w:p w14:paraId="7A303961">
      <w:pPr>
        <w:pStyle w:val="16"/>
        <w:keepNext w:val="0"/>
        <w:keepLines w:val="0"/>
        <w:pageBreakBefore w:val="0"/>
        <w:kinsoku/>
        <w:topLinePunct w:val="0"/>
        <w:bidi w:val="0"/>
        <w:spacing w:beforeAutospacing="0" w:afterAutospacing="0" w:line="360"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联系人 ：</w:t>
      </w:r>
      <w:r>
        <w:rPr>
          <w:rFonts w:hint="eastAsia" w:ascii="Times New Roman" w:hAnsi="Times New Roman" w:cs="Times New Roman"/>
          <w:sz w:val="21"/>
          <w:szCs w:val="21"/>
          <w:highlight w:val="none"/>
          <w:u w:val="single"/>
          <w:lang w:val="en-US" w:eastAsia="zh-CN"/>
        </w:rPr>
        <w:t>采监科</w:t>
      </w:r>
    </w:p>
    <w:p w14:paraId="6A470346">
      <w:pPr>
        <w:pStyle w:val="16"/>
        <w:keepNext w:val="0"/>
        <w:keepLines w:val="0"/>
        <w:pageBreakBefore w:val="0"/>
        <w:kinsoku/>
        <w:topLinePunct w:val="0"/>
        <w:bidi w:val="0"/>
        <w:spacing w:beforeAutospacing="0" w:afterAutospacing="0" w:line="360" w:lineRule="auto"/>
        <w:ind w:firstLine="420" w:firstLineChars="200"/>
        <w:textAlignment w:val="auto"/>
        <w:rPr>
          <w:rFonts w:hint="eastAsia" w:hAnsi="宋体" w:cs="Arial"/>
          <w:sz w:val="21"/>
          <w:szCs w:val="21"/>
          <w:highlight w:val="none"/>
          <w:u w:val="single"/>
        </w:rPr>
      </w:pPr>
      <w:r>
        <w:rPr>
          <w:rFonts w:hint="default" w:ascii="Times New Roman" w:hAnsi="Times New Roman" w:cs="Times New Roman"/>
          <w:sz w:val="21"/>
          <w:szCs w:val="21"/>
          <w:highlight w:val="none"/>
        </w:rPr>
        <w:t>监督投诉电话：</w:t>
      </w:r>
      <w:r>
        <w:rPr>
          <w:rFonts w:hint="default" w:ascii="Times New Roman" w:hAnsi="Times New Roman" w:cs="Times New Roman"/>
          <w:sz w:val="21"/>
          <w:szCs w:val="21"/>
          <w:highlight w:val="none"/>
          <w:u w:val="single"/>
        </w:rPr>
        <w:t>0573-86122512</w:t>
      </w:r>
    </w:p>
    <w:p w14:paraId="5DE97560">
      <w:pPr>
        <w:keepNext w:val="0"/>
        <w:keepLines w:val="0"/>
        <w:pageBreakBefore w:val="0"/>
        <w:kinsoku/>
        <w:topLinePunct w:val="0"/>
        <w:bidi w:val="0"/>
        <w:spacing w:beforeAutospacing="0" w:afterAutospacing="0" w:line="360" w:lineRule="auto"/>
        <w:ind w:firstLine="420" w:firstLineChars="200"/>
        <w:textAlignment w:val="auto"/>
        <w:rPr>
          <w:rFonts w:cs="Arial"/>
          <w:highlight w:val="none"/>
        </w:rPr>
      </w:pPr>
    </w:p>
    <w:p w14:paraId="4E509403">
      <w:pPr>
        <w:keepNext w:val="0"/>
        <w:keepLines w:val="0"/>
        <w:pageBreakBefore w:val="0"/>
        <w:kinsoku/>
        <w:topLinePunct w:val="0"/>
        <w:bidi w:val="0"/>
        <w:spacing w:beforeAutospacing="0" w:afterAutospacing="0" w:line="360" w:lineRule="auto"/>
        <w:ind w:firstLine="420" w:firstLineChars="200"/>
        <w:textAlignment w:val="auto"/>
        <w:rPr>
          <w:rFonts w:cs="Arial"/>
          <w:highlight w:val="none"/>
        </w:rPr>
      </w:pPr>
      <w:r>
        <w:rPr>
          <w:rFonts w:cs="Arial"/>
          <w:highlight w:val="none"/>
        </w:rPr>
        <w:t>若对项目采购电子交易系统操作有疑问，可登录政采云（https://www.zcygov.cn/），点击右侧咨询小采，获取采小蜜智能服务管家帮助，或拨打政采云服务热线400-881-7190获取热线服务帮助。</w:t>
      </w:r>
    </w:p>
    <w:p w14:paraId="28262E41">
      <w:pPr>
        <w:keepNext w:val="0"/>
        <w:keepLines w:val="0"/>
        <w:pageBreakBefore w:val="0"/>
        <w:kinsoku/>
        <w:topLinePunct w:val="0"/>
        <w:bidi w:val="0"/>
        <w:spacing w:beforeAutospacing="0" w:afterAutospacing="0" w:line="360" w:lineRule="auto"/>
        <w:ind w:firstLine="420" w:firstLineChars="200"/>
        <w:textAlignment w:val="auto"/>
        <w:rPr>
          <w:rFonts w:ascii="宋体" w:hAnsi="宋体"/>
          <w:szCs w:val="21"/>
          <w:highlight w:val="none"/>
        </w:rPr>
      </w:pPr>
      <w:r>
        <w:rPr>
          <w:rFonts w:cs="Arial"/>
          <w:highlight w:val="none"/>
        </w:rPr>
        <w:t>CA问题联系电话（人工）：汇信CA 400-888-4636；天谷CA 400-087-8198。</w:t>
      </w:r>
    </w:p>
    <w:p w14:paraId="0DCED1F1">
      <w:pPr>
        <w:pStyle w:val="4"/>
        <w:keepNext w:val="0"/>
        <w:keepLines w:val="0"/>
        <w:pageBreakBefore/>
        <w:spacing w:beforeLines="100" w:afterLines="100" w:line="240" w:lineRule="auto"/>
        <w:jc w:val="center"/>
        <w:rPr>
          <w:rFonts w:ascii="Arial" w:hAnsi="Arial" w:cs="Arial"/>
          <w:sz w:val="28"/>
          <w:szCs w:val="36"/>
          <w:highlight w:val="none"/>
        </w:rPr>
      </w:pPr>
      <w:bookmarkStart w:id="2" w:name="_Toc6163"/>
      <w:r>
        <w:rPr>
          <w:rFonts w:ascii="Arial" w:hAnsi="Arial" w:cs="Arial"/>
          <w:sz w:val="28"/>
          <w:szCs w:val="36"/>
          <w:highlight w:val="none"/>
        </w:rPr>
        <w:t>第二部分</w:t>
      </w:r>
      <w:r>
        <w:rPr>
          <w:rFonts w:hint="eastAsia" w:ascii="Arial" w:hAnsi="Arial" w:cs="Arial"/>
          <w:sz w:val="28"/>
          <w:szCs w:val="36"/>
          <w:highlight w:val="none"/>
          <w:lang w:val="en-US" w:eastAsia="zh-CN"/>
        </w:rPr>
        <w:t xml:space="preserve"> </w:t>
      </w:r>
      <w:r>
        <w:rPr>
          <w:rFonts w:ascii="Arial" w:hAnsi="Arial" w:cs="Arial"/>
          <w:sz w:val="28"/>
          <w:szCs w:val="36"/>
          <w:highlight w:val="none"/>
        </w:rPr>
        <w:t>竞争性磋商供应商须知</w:t>
      </w:r>
      <w:bookmarkEnd w:id="2"/>
    </w:p>
    <w:p w14:paraId="0007A87D">
      <w:pPr>
        <w:pStyle w:val="5"/>
        <w:spacing w:beforeLines="50" w:afterLines="50" w:line="240" w:lineRule="auto"/>
        <w:jc w:val="center"/>
        <w:rPr>
          <w:rFonts w:ascii="Arial" w:hAnsi="Arial" w:cs="Arial"/>
          <w:bCs w:val="0"/>
          <w:sz w:val="24"/>
          <w:szCs w:val="24"/>
          <w:highlight w:val="none"/>
        </w:rPr>
      </w:pPr>
      <w:bookmarkStart w:id="3" w:name="_Toc9512"/>
      <w:r>
        <w:rPr>
          <w:rFonts w:ascii="Arial" w:hAnsi="Arial" w:cs="Arial"/>
          <w:sz w:val="24"/>
          <w:szCs w:val="24"/>
          <w:highlight w:val="none"/>
        </w:rPr>
        <w:t>（一）</w:t>
      </w:r>
      <w:r>
        <w:rPr>
          <w:rFonts w:ascii="Arial" w:hAnsi="Arial" w:cs="Arial"/>
          <w:bCs w:val="0"/>
          <w:sz w:val="24"/>
          <w:szCs w:val="24"/>
          <w:highlight w:val="none"/>
        </w:rPr>
        <w:t>竞争性磋商须知前附表</w:t>
      </w:r>
      <w:bookmarkEnd w:id="3"/>
    </w:p>
    <w:tbl>
      <w:tblPr>
        <w:tblStyle w:val="27"/>
        <w:tblW w:w="90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1920"/>
        <w:gridCol w:w="6530"/>
      </w:tblGrid>
      <w:tr w14:paraId="282C13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14:paraId="39BEB9FA">
            <w:pPr>
              <w:jc w:val="center"/>
              <w:rPr>
                <w:rFonts w:ascii="Arial" w:hAnsi="Arial" w:cs="Arial"/>
                <w:b/>
                <w:szCs w:val="21"/>
                <w:highlight w:val="none"/>
              </w:rPr>
            </w:pPr>
            <w:r>
              <w:rPr>
                <w:rFonts w:ascii="Arial" w:hAnsi="Arial" w:cs="Arial"/>
                <w:b/>
                <w:szCs w:val="21"/>
                <w:highlight w:val="none"/>
              </w:rPr>
              <w:t>项号</w:t>
            </w:r>
          </w:p>
        </w:tc>
        <w:tc>
          <w:tcPr>
            <w:tcW w:w="1920" w:type="dxa"/>
            <w:vAlign w:val="center"/>
          </w:tcPr>
          <w:p w14:paraId="2E0CBDBF">
            <w:pPr>
              <w:jc w:val="center"/>
              <w:rPr>
                <w:rFonts w:ascii="Arial" w:hAnsi="Arial" w:cs="Arial"/>
                <w:b/>
                <w:szCs w:val="21"/>
                <w:highlight w:val="none"/>
              </w:rPr>
            </w:pPr>
            <w:r>
              <w:rPr>
                <w:rFonts w:ascii="Arial" w:hAnsi="Arial" w:cs="Arial"/>
                <w:b/>
                <w:szCs w:val="21"/>
                <w:highlight w:val="none"/>
              </w:rPr>
              <w:t>内容</w:t>
            </w:r>
          </w:p>
        </w:tc>
        <w:tc>
          <w:tcPr>
            <w:tcW w:w="6530" w:type="dxa"/>
            <w:vAlign w:val="center"/>
          </w:tcPr>
          <w:p w14:paraId="5946FFCC">
            <w:pPr>
              <w:jc w:val="center"/>
              <w:rPr>
                <w:rFonts w:ascii="Arial" w:hAnsi="Arial" w:cs="Arial"/>
                <w:b/>
                <w:szCs w:val="21"/>
                <w:highlight w:val="none"/>
              </w:rPr>
            </w:pPr>
            <w:r>
              <w:rPr>
                <w:rFonts w:ascii="Arial" w:hAnsi="Arial" w:cs="Arial"/>
                <w:b/>
                <w:szCs w:val="21"/>
                <w:highlight w:val="none"/>
              </w:rPr>
              <w:t>说明与要求</w:t>
            </w:r>
          </w:p>
        </w:tc>
      </w:tr>
      <w:tr w14:paraId="3736F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14:paraId="6D721804">
            <w:pPr>
              <w:jc w:val="center"/>
              <w:rPr>
                <w:rFonts w:ascii="Arial" w:hAnsi="Arial" w:cs="Arial"/>
                <w:szCs w:val="21"/>
                <w:highlight w:val="none"/>
              </w:rPr>
            </w:pPr>
            <w:r>
              <w:rPr>
                <w:rFonts w:ascii="Arial" w:hAnsi="Arial" w:cs="Arial"/>
                <w:szCs w:val="21"/>
                <w:highlight w:val="none"/>
              </w:rPr>
              <w:t>1</w:t>
            </w:r>
          </w:p>
        </w:tc>
        <w:tc>
          <w:tcPr>
            <w:tcW w:w="1920" w:type="dxa"/>
            <w:vAlign w:val="center"/>
          </w:tcPr>
          <w:p w14:paraId="342769C5">
            <w:pPr>
              <w:jc w:val="center"/>
              <w:rPr>
                <w:rFonts w:ascii="宋体" w:hAnsi="宋体" w:cs="Arial"/>
                <w:szCs w:val="21"/>
                <w:highlight w:val="none"/>
              </w:rPr>
            </w:pPr>
            <w:r>
              <w:rPr>
                <w:rFonts w:ascii="宋体" w:hAnsi="宋体" w:cs="Arial"/>
                <w:szCs w:val="21"/>
                <w:highlight w:val="none"/>
              </w:rPr>
              <w:t>项目名称</w:t>
            </w:r>
          </w:p>
        </w:tc>
        <w:tc>
          <w:tcPr>
            <w:tcW w:w="6530" w:type="dxa"/>
            <w:vAlign w:val="center"/>
          </w:tcPr>
          <w:p w14:paraId="10D63F73">
            <w:pPr>
              <w:rPr>
                <w:rFonts w:hint="default" w:ascii="Times New Roman" w:hAnsi="Times New Roman" w:eastAsia="宋体" w:cs="Times New Roman"/>
                <w:color w:val="auto"/>
                <w:szCs w:val="21"/>
                <w:highlight w:val="none"/>
                <w:lang w:eastAsia="zh-CN"/>
              </w:rPr>
            </w:pPr>
            <w:r>
              <w:rPr>
                <w:rFonts w:hint="eastAsia" w:cs="Times New Roman"/>
                <w:color w:val="auto"/>
                <w:szCs w:val="21"/>
                <w:highlight w:val="none"/>
                <w:lang w:eastAsia="zh-CN"/>
              </w:rPr>
              <w:t>县城公共环境病媒生物防制消杀服务项目（重新招标）</w:t>
            </w:r>
          </w:p>
        </w:tc>
      </w:tr>
      <w:tr w14:paraId="4D66D9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14:paraId="3FF44DFD">
            <w:pPr>
              <w:jc w:val="center"/>
              <w:rPr>
                <w:rFonts w:ascii="Arial" w:hAnsi="Arial" w:cs="Arial"/>
                <w:szCs w:val="21"/>
                <w:highlight w:val="none"/>
              </w:rPr>
            </w:pPr>
            <w:r>
              <w:rPr>
                <w:rFonts w:ascii="Arial" w:hAnsi="Arial" w:cs="Arial"/>
                <w:szCs w:val="21"/>
                <w:highlight w:val="none"/>
              </w:rPr>
              <w:t>2</w:t>
            </w:r>
          </w:p>
        </w:tc>
        <w:tc>
          <w:tcPr>
            <w:tcW w:w="1920" w:type="dxa"/>
            <w:vAlign w:val="center"/>
          </w:tcPr>
          <w:p w14:paraId="3A374E17">
            <w:pPr>
              <w:jc w:val="center"/>
              <w:rPr>
                <w:rFonts w:ascii="宋体" w:hAnsi="宋体" w:cs="Arial"/>
                <w:szCs w:val="21"/>
                <w:highlight w:val="none"/>
              </w:rPr>
            </w:pPr>
            <w:r>
              <w:rPr>
                <w:rFonts w:ascii="宋体" w:hAnsi="宋体" w:cs="Arial"/>
                <w:szCs w:val="21"/>
                <w:highlight w:val="none"/>
              </w:rPr>
              <w:t>项目编号</w:t>
            </w:r>
          </w:p>
        </w:tc>
        <w:tc>
          <w:tcPr>
            <w:tcW w:w="6530" w:type="dxa"/>
            <w:vAlign w:val="center"/>
          </w:tcPr>
          <w:p w14:paraId="6F5E0B2E">
            <w:pPr>
              <w:rPr>
                <w:rFonts w:hint="default" w:ascii="Times New Roman" w:hAnsi="Times New Roman" w:eastAsia="宋体" w:cs="Times New Roman"/>
                <w:color w:val="auto"/>
                <w:szCs w:val="21"/>
                <w:highlight w:val="none"/>
                <w:lang w:eastAsia="zh-CN"/>
              </w:rPr>
            </w:pPr>
            <w:r>
              <w:rPr>
                <w:rFonts w:hint="eastAsia" w:cs="Times New Roman"/>
                <w:color w:val="auto"/>
                <w:szCs w:val="21"/>
                <w:highlight w:val="none"/>
                <w:lang w:eastAsia="zh-CN"/>
              </w:rPr>
              <w:t>华信HY[2024]D032-1号</w:t>
            </w:r>
          </w:p>
        </w:tc>
      </w:tr>
      <w:tr w14:paraId="77D8FA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14:paraId="608A1B96">
            <w:pPr>
              <w:jc w:val="center"/>
              <w:rPr>
                <w:rFonts w:ascii="Arial" w:hAnsi="Arial" w:cs="Arial"/>
                <w:szCs w:val="21"/>
                <w:highlight w:val="none"/>
              </w:rPr>
            </w:pPr>
            <w:r>
              <w:rPr>
                <w:rFonts w:hint="eastAsia" w:ascii="Arial" w:hAnsi="Arial" w:cs="Arial"/>
                <w:szCs w:val="21"/>
                <w:highlight w:val="none"/>
              </w:rPr>
              <w:t>3</w:t>
            </w:r>
          </w:p>
        </w:tc>
        <w:tc>
          <w:tcPr>
            <w:tcW w:w="1920" w:type="dxa"/>
            <w:vAlign w:val="center"/>
          </w:tcPr>
          <w:p w14:paraId="5B09AB0F">
            <w:pPr>
              <w:spacing w:line="276" w:lineRule="auto"/>
              <w:jc w:val="center"/>
              <w:rPr>
                <w:rFonts w:ascii="宋体" w:hAnsi="宋体" w:cs="Arial"/>
                <w:szCs w:val="21"/>
                <w:highlight w:val="none"/>
              </w:rPr>
            </w:pPr>
            <w:r>
              <w:rPr>
                <w:rFonts w:hint="eastAsia" w:ascii="宋体" w:hAnsi="宋体"/>
                <w:szCs w:val="21"/>
                <w:highlight w:val="none"/>
              </w:rPr>
              <w:t>资金来源</w:t>
            </w:r>
          </w:p>
        </w:tc>
        <w:tc>
          <w:tcPr>
            <w:tcW w:w="6530" w:type="dxa"/>
            <w:vAlign w:val="center"/>
          </w:tcPr>
          <w:p w14:paraId="6981766F">
            <w:pPr>
              <w:spacing w:line="276"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财政性资金</w:t>
            </w:r>
          </w:p>
        </w:tc>
      </w:tr>
      <w:tr w14:paraId="44CE62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14:paraId="60F611DE">
            <w:pPr>
              <w:jc w:val="center"/>
              <w:rPr>
                <w:rFonts w:ascii="Arial" w:hAnsi="Arial" w:cs="Arial"/>
                <w:szCs w:val="21"/>
                <w:highlight w:val="none"/>
              </w:rPr>
            </w:pPr>
            <w:r>
              <w:rPr>
                <w:rFonts w:ascii="Arial" w:hAnsi="Arial" w:cs="Arial"/>
                <w:szCs w:val="21"/>
                <w:highlight w:val="none"/>
              </w:rPr>
              <w:t>4</w:t>
            </w:r>
          </w:p>
        </w:tc>
        <w:tc>
          <w:tcPr>
            <w:tcW w:w="1920" w:type="dxa"/>
            <w:vAlign w:val="center"/>
          </w:tcPr>
          <w:p w14:paraId="68F171D1">
            <w:pPr>
              <w:adjustRightInd w:val="0"/>
              <w:jc w:val="center"/>
              <w:rPr>
                <w:rFonts w:ascii="宋体" w:hAnsi="宋体" w:cs="Arial"/>
                <w:color w:val="auto"/>
                <w:szCs w:val="21"/>
                <w:highlight w:val="none"/>
              </w:rPr>
            </w:pPr>
            <w:r>
              <w:rPr>
                <w:rFonts w:ascii="宋体" w:hAnsi="宋体" w:cs="Arial"/>
                <w:color w:val="auto"/>
                <w:szCs w:val="21"/>
                <w:highlight w:val="none"/>
              </w:rPr>
              <w:t>采购人</w:t>
            </w:r>
          </w:p>
        </w:tc>
        <w:tc>
          <w:tcPr>
            <w:tcW w:w="6530" w:type="dxa"/>
            <w:vAlign w:val="center"/>
          </w:tcPr>
          <w:p w14:paraId="3548ABD6">
            <w:pPr>
              <w:adjustRightInd w:val="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名称：</w:t>
            </w:r>
            <w:r>
              <w:rPr>
                <w:rFonts w:hint="eastAsia" w:cs="Times New Roman"/>
                <w:color w:val="auto"/>
                <w:szCs w:val="21"/>
                <w:highlight w:val="none"/>
                <w:lang w:eastAsia="zh-CN"/>
              </w:rPr>
              <w:t>海盐县卫生健康局</w:t>
            </w:r>
          </w:p>
          <w:p w14:paraId="5A15870E">
            <w:pPr>
              <w:adjustRightInd w:val="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eastAsia="zh-CN"/>
              </w:rPr>
              <w:t>联系人：</w:t>
            </w:r>
            <w:r>
              <w:rPr>
                <w:rFonts w:hint="eastAsia" w:cs="Times New Roman"/>
                <w:color w:val="auto"/>
                <w:szCs w:val="21"/>
                <w:highlight w:val="none"/>
                <w:lang w:val="en-US" w:eastAsia="zh-CN"/>
              </w:rPr>
              <w:t>吴许峰</w:t>
            </w:r>
          </w:p>
          <w:p w14:paraId="713FF104">
            <w:pPr>
              <w:adjustRightInd w:val="0"/>
              <w:rPr>
                <w:rFonts w:hint="default" w:ascii="Times New Roman" w:hAnsi="Times New Roman" w:cs="Times New Roman"/>
                <w:color w:val="auto"/>
                <w:szCs w:val="21"/>
                <w:highlight w:val="none"/>
                <w:lang w:val="en-US"/>
              </w:rPr>
            </w:pPr>
            <w:r>
              <w:rPr>
                <w:rFonts w:hint="default" w:ascii="Times New Roman" w:hAnsi="Times New Roman" w:cs="Times New Roman"/>
                <w:color w:val="auto"/>
                <w:szCs w:val="21"/>
                <w:highlight w:val="none"/>
                <w:lang w:eastAsia="zh-CN"/>
              </w:rPr>
              <w:t>联系电话：</w:t>
            </w:r>
            <w:r>
              <w:rPr>
                <w:rFonts w:hint="eastAsia" w:cs="Times New Roman"/>
                <w:color w:val="auto"/>
                <w:szCs w:val="21"/>
                <w:highlight w:val="none"/>
                <w:lang w:eastAsia="zh-CN"/>
              </w:rPr>
              <w:t>0573-86082203</w:t>
            </w:r>
          </w:p>
        </w:tc>
      </w:tr>
      <w:tr w14:paraId="0AFA7C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00" w:hRule="atLeast"/>
          <w:jc w:val="center"/>
        </w:trPr>
        <w:tc>
          <w:tcPr>
            <w:tcW w:w="645" w:type="dxa"/>
            <w:vAlign w:val="center"/>
          </w:tcPr>
          <w:p w14:paraId="7D08C285">
            <w:pPr>
              <w:jc w:val="center"/>
              <w:rPr>
                <w:rFonts w:ascii="Arial" w:hAnsi="Arial" w:cs="Arial"/>
                <w:szCs w:val="21"/>
                <w:highlight w:val="none"/>
              </w:rPr>
            </w:pPr>
            <w:r>
              <w:rPr>
                <w:rFonts w:hint="eastAsia" w:ascii="Arial" w:hAnsi="Arial" w:cs="Arial"/>
                <w:szCs w:val="21"/>
                <w:highlight w:val="none"/>
              </w:rPr>
              <w:t>5</w:t>
            </w:r>
          </w:p>
        </w:tc>
        <w:tc>
          <w:tcPr>
            <w:tcW w:w="1920" w:type="dxa"/>
            <w:vAlign w:val="center"/>
          </w:tcPr>
          <w:p w14:paraId="1FE81952">
            <w:pPr>
              <w:adjustRightInd w:val="0"/>
              <w:jc w:val="center"/>
              <w:rPr>
                <w:rFonts w:ascii="宋体" w:hAnsi="宋体" w:cs="Arial"/>
                <w:szCs w:val="21"/>
                <w:highlight w:val="none"/>
              </w:rPr>
            </w:pPr>
            <w:r>
              <w:rPr>
                <w:rFonts w:ascii="宋体" w:hAnsi="宋体" w:cs="Arial"/>
                <w:szCs w:val="21"/>
                <w:highlight w:val="none"/>
              </w:rPr>
              <w:t>采购代理机构</w:t>
            </w:r>
          </w:p>
        </w:tc>
        <w:tc>
          <w:tcPr>
            <w:tcW w:w="6530" w:type="dxa"/>
            <w:vAlign w:val="center"/>
          </w:tcPr>
          <w:p w14:paraId="5652A650">
            <w:pPr>
              <w:adjustRightInd w:val="0"/>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名称：</w:t>
            </w:r>
            <w:r>
              <w:rPr>
                <w:rFonts w:hint="eastAsia" w:cs="Times New Roman"/>
                <w:color w:val="auto"/>
                <w:szCs w:val="21"/>
                <w:highlight w:val="none"/>
                <w:lang w:eastAsia="zh-CN"/>
              </w:rPr>
              <w:t>嘉兴市华信工程咨询有限公司</w:t>
            </w:r>
          </w:p>
          <w:p w14:paraId="3BB0ED09">
            <w:pPr>
              <w:adjustRightInd w:val="0"/>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联系人：</w:t>
            </w:r>
            <w:r>
              <w:rPr>
                <w:rFonts w:hint="eastAsia" w:cs="Times New Roman"/>
                <w:color w:val="auto"/>
                <w:szCs w:val="21"/>
                <w:highlight w:val="none"/>
                <w:lang w:val="en-US" w:eastAsia="zh-CN"/>
              </w:rPr>
              <w:t>崔工</w:t>
            </w:r>
          </w:p>
          <w:p w14:paraId="012AD88C">
            <w:pPr>
              <w:adjustRightIn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联系电话：</w:t>
            </w:r>
            <w:r>
              <w:rPr>
                <w:rFonts w:hint="eastAsia" w:cs="Times New Roman"/>
                <w:color w:val="auto"/>
                <w:szCs w:val="21"/>
                <w:highlight w:val="none"/>
                <w:lang w:val="en-US" w:eastAsia="zh-CN"/>
              </w:rPr>
              <w:t>0573-86880020</w:t>
            </w:r>
            <w:r>
              <w:rPr>
                <w:rFonts w:hint="default" w:ascii="Times New Roman" w:hAnsi="Times New Roman" w:cs="Times New Roman"/>
                <w:sz w:val="21"/>
                <w:szCs w:val="21"/>
                <w:highlight w:val="none"/>
              </w:rPr>
              <w:t> </w:t>
            </w:r>
          </w:p>
        </w:tc>
      </w:tr>
      <w:tr w14:paraId="0A50FB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0" w:hRule="atLeast"/>
          <w:jc w:val="center"/>
        </w:trPr>
        <w:tc>
          <w:tcPr>
            <w:tcW w:w="645" w:type="dxa"/>
            <w:vAlign w:val="center"/>
          </w:tcPr>
          <w:p w14:paraId="664D978A">
            <w:pPr>
              <w:jc w:val="center"/>
              <w:rPr>
                <w:rFonts w:ascii="Arial" w:hAnsi="Arial" w:cs="Arial"/>
                <w:szCs w:val="21"/>
                <w:highlight w:val="none"/>
              </w:rPr>
            </w:pPr>
            <w:r>
              <w:rPr>
                <w:rFonts w:hint="eastAsia" w:ascii="Arial" w:hAnsi="Arial" w:cs="Arial"/>
                <w:szCs w:val="21"/>
                <w:highlight w:val="none"/>
              </w:rPr>
              <w:t>6</w:t>
            </w:r>
          </w:p>
        </w:tc>
        <w:tc>
          <w:tcPr>
            <w:tcW w:w="1920" w:type="dxa"/>
            <w:vAlign w:val="center"/>
          </w:tcPr>
          <w:p w14:paraId="4841D3D6">
            <w:pPr>
              <w:jc w:val="center"/>
              <w:rPr>
                <w:rFonts w:ascii="宋体" w:hAnsi="宋体" w:cs="Arial"/>
                <w:szCs w:val="21"/>
                <w:highlight w:val="none"/>
              </w:rPr>
            </w:pPr>
            <w:r>
              <w:rPr>
                <w:rFonts w:ascii="宋体" w:hAnsi="宋体" w:cs="Arial"/>
                <w:szCs w:val="21"/>
                <w:highlight w:val="none"/>
              </w:rPr>
              <w:t>采购内容</w:t>
            </w:r>
          </w:p>
        </w:tc>
        <w:tc>
          <w:tcPr>
            <w:tcW w:w="6530" w:type="dxa"/>
            <w:vAlign w:val="center"/>
          </w:tcPr>
          <w:p w14:paraId="2CDF7D1B">
            <w:pPr>
              <w:rPr>
                <w:rFonts w:ascii="宋体" w:hAnsi="宋体" w:cs="Arial"/>
                <w:color w:val="auto"/>
                <w:szCs w:val="21"/>
                <w:highlight w:val="none"/>
              </w:rPr>
            </w:pPr>
            <w:r>
              <w:rPr>
                <w:rFonts w:hint="eastAsia" w:cs="Times New Roman"/>
                <w:color w:val="auto"/>
                <w:szCs w:val="21"/>
                <w:highlight w:val="none"/>
                <w:lang w:eastAsia="zh-CN"/>
              </w:rPr>
              <w:t>县城公共环境病媒生物防制消杀服务项目（重新招标）</w:t>
            </w:r>
            <w:r>
              <w:rPr>
                <w:rFonts w:hint="default" w:ascii="Times New Roman" w:hAnsi="Times New Roman" w:cs="Times New Roman"/>
                <w:color w:val="auto"/>
                <w:szCs w:val="21"/>
                <w:highlight w:val="none"/>
              </w:rPr>
              <w:t>，详见本磋商文件第三部分。</w:t>
            </w:r>
          </w:p>
        </w:tc>
      </w:tr>
      <w:tr w14:paraId="58C8CD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31" w:hRule="atLeast"/>
          <w:jc w:val="center"/>
        </w:trPr>
        <w:tc>
          <w:tcPr>
            <w:tcW w:w="645" w:type="dxa"/>
            <w:vAlign w:val="center"/>
          </w:tcPr>
          <w:p w14:paraId="79A65E17">
            <w:pPr>
              <w:jc w:val="center"/>
              <w:rPr>
                <w:rFonts w:ascii="Arial" w:hAnsi="Arial" w:cs="Arial"/>
                <w:szCs w:val="21"/>
                <w:highlight w:val="none"/>
              </w:rPr>
            </w:pPr>
            <w:r>
              <w:rPr>
                <w:rFonts w:hint="eastAsia" w:ascii="Arial" w:hAnsi="Arial" w:cs="Arial"/>
                <w:szCs w:val="21"/>
                <w:highlight w:val="none"/>
              </w:rPr>
              <w:t>7</w:t>
            </w:r>
          </w:p>
        </w:tc>
        <w:tc>
          <w:tcPr>
            <w:tcW w:w="1920" w:type="dxa"/>
            <w:vAlign w:val="center"/>
          </w:tcPr>
          <w:p w14:paraId="1669AB9C">
            <w:pPr>
              <w:jc w:val="center"/>
              <w:rPr>
                <w:rFonts w:ascii="宋体" w:hAnsi="宋体" w:cs="Arial"/>
                <w:szCs w:val="21"/>
                <w:highlight w:val="none"/>
              </w:rPr>
            </w:pPr>
            <w:r>
              <w:rPr>
                <w:rFonts w:ascii="宋体" w:hAnsi="宋体" w:cs="Arial"/>
                <w:szCs w:val="21"/>
                <w:highlight w:val="none"/>
              </w:rPr>
              <w:t>竞争性磋商供应商</w:t>
            </w:r>
          </w:p>
          <w:p w14:paraId="37749CF6">
            <w:pPr>
              <w:jc w:val="center"/>
              <w:rPr>
                <w:rFonts w:ascii="宋体" w:hAnsi="宋体" w:cs="Arial"/>
                <w:szCs w:val="21"/>
                <w:highlight w:val="none"/>
              </w:rPr>
            </w:pPr>
            <w:r>
              <w:rPr>
                <w:rFonts w:ascii="宋体" w:hAnsi="宋体" w:cs="Arial"/>
                <w:szCs w:val="21"/>
                <w:highlight w:val="none"/>
              </w:rPr>
              <w:t>资格要求</w:t>
            </w:r>
          </w:p>
        </w:tc>
        <w:tc>
          <w:tcPr>
            <w:tcW w:w="6530" w:type="dxa"/>
            <w:vAlign w:val="center"/>
          </w:tcPr>
          <w:p w14:paraId="40599088">
            <w:pPr>
              <w:spacing w:line="336" w:lineRule="auto"/>
              <w:rPr>
                <w:rFonts w:hAnsi="宋体"/>
                <w:color w:val="auto"/>
                <w:szCs w:val="21"/>
                <w:highlight w:val="none"/>
              </w:rPr>
            </w:pPr>
            <w:r>
              <w:rPr>
                <w:rFonts w:hint="eastAsia" w:hAnsi="宋体"/>
                <w:szCs w:val="21"/>
                <w:highlight w:val="none"/>
              </w:rPr>
              <w:t>1.满足《中华人民共和国政府采购法》第二十二条规定；未被“信用中国”（www.creditchina.gov.cn)、中国政府采购网（www.ccgp.gov.cn）列入失信被执行人、重大税收</w:t>
            </w:r>
            <w:r>
              <w:rPr>
                <w:rFonts w:hint="eastAsia" w:hAnsi="宋体"/>
                <w:color w:val="auto"/>
                <w:szCs w:val="21"/>
                <w:highlight w:val="none"/>
              </w:rPr>
              <w:t>违法案件当事人名单、政府采购严重违法失信行为记录名单。</w:t>
            </w:r>
          </w:p>
          <w:p w14:paraId="7E6D88E4">
            <w:pPr>
              <w:spacing w:line="336" w:lineRule="auto"/>
              <w:rPr>
                <w:rFonts w:hAnsi="宋体"/>
                <w:color w:val="auto"/>
                <w:szCs w:val="21"/>
                <w:highlight w:val="none"/>
              </w:rPr>
            </w:pPr>
            <w:r>
              <w:rPr>
                <w:rFonts w:hint="eastAsia" w:hAnsi="宋体"/>
                <w:color w:val="auto"/>
                <w:szCs w:val="21"/>
                <w:highlight w:val="none"/>
              </w:rPr>
              <w:t>2.</w:t>
            </w:r>
            <w:r>
              <w:rPr>
                <w:rFonts w:hint="eastAsia" w:hAnsi="宋体"/>
                <w:color w:val="auto"/>
                <w:szCs w:val="21"/>
                <w:highlight w:val="none"/>
                <w:lang w:eastAsia="zh-CN"/>
              </w:rPr>
              <w:t>落实政府采购政策需满足的资格要求：供应商为中小企业</w:t>
            </w:r>
            <w:r>
              <w:rPr>
                <w:rFonts w:hint="eastAsia" w:ascii="Times New Roman" w:hAnsi="宋体" w:eastAsia="宋体" w:cs="Times New Roman"/>
                <w:color w:val="auto"/>
                <w:szCs w:val="21"/>
                <w:highlight w:val="none"/>
                <w:lang w:eastAsia="zh-CN"/>
              </w:rPr>
              <w:t>。</w:t>
            </w:r>
            <w:r>
              <w:rPr>
                <w:rFonts w:hint="eastAsia" w:ascii="Times New Roman" w:hAnsi="宋体" w:eastAsia="宋体" w:cs="Times New Roman"/>
                <w:color w:val="auto"/>
                <w:szCs w:val="21"/>
                <w:highlight w:val="none"/>
              </w:rPr>
              <w:t> </w:t>
            </w:r>
          </w:p>
          <w:p w14:paraId="6236309E">
            <w:pPr>
              <w:spacing w:line="336" w:lineRule="auto"/>
              <w:rPr>
                <w:rFonts w:ascii="宋体" w:hAnsi="宋体"/>
                <w:szCs w:val="21"/>
                <w:highlight w:val="none"/>
              </w:rPr>
            </w:pPr>
            <w:r>
              <w:rPr>
                <w:rFonts w:hint="eastAsia" w:hAnsi="宋体"/>
                <w:szCs w:val="21"/>
                <w:highlight w:val="none"/>
              </w:rPr>
              <w:t>3.</w:t>
            </w:r>
            <w:r>
              <w:rPr>
                <w:rFonts w:hint="eastAsia" w:hAnsi="宋体"/>
                <w:szCs w:val="21"/>
                <w:highlight w:val="none"/>
                <w:lang w:eastAsia="zh-CN"/>
              </w:rPr>
              <w:t xml:space="preserve">本项目的特定资格要求： / </w:t>
            </w:r>
            <w:r>
              <w:rPr>
                <w:rFonts w:hint="eastAsia" w:ascii="Times New Roman" w:hAnsi="宋体" w:eastAsia="宋体" w:cs="Times New Roman"/>
                <w:color w:val="auto"/>
                <w:szCs w:val="21"/>
                <w:highlight w:val="none"/>
                <w:lang w:eastAsia="zh-CN"/>
              </w:rPr>
              <w:t>。</w:t>
            </w:r>
          </w:p>
        </w:tc>
      </w:tr>
      <w:tr w14:paraId="22580C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15B21DD3">
            <w:pPr>
              <w:jc w:val="center"/>
              <w:rPr>
                <w:rFonts w:ascii="Arial" w:hAnsi="Arial" w:cs="Arial"/>
                <w:szCs w:val="21"/>
                <w:highlight w:val="none"/>
              </w:rPr>
            </w:pPr>
            <w:r>
              <w:rPr>
                <w:rFonts w:hint="eastAsia" w:ascii="Arial" w:hAnsi="Arial" w:cs="Arial"/>
                <w:szCs w:val="21"/>
                <w:highlight w:val="none"/>
              </w:rPr>
              <w:t>8</w:t>
            </w:r>
          </w:p>
        </w:tc>
        <w:tc>
          <w:tcPr>
            <w:tcW w:w="1920" w:type="dxa"/>
            <w:vAlign w:val="center"/>
          </w:tcPr>
          <w:p w14:paraId="2810FA1C">
            <w:pPr>
              <w:adjustRightInd w:val="0"/>
              <w:jc w:val="center"/>
              <w:rPr>
                <w:rFonts w:ascii="Arial" w:hAnsi="Arial" w:cs="Arial"/>
                <w:szCs w:val="21"/>
                <w:highlight w:val="none"/>
              </w:rPr>
            </w:pPr>
            <w:r>
              <w:rPr>
                <w:rFonts w:ascii="Arial" w:hAnsi="Arial" w:cs="Arial"/>
                <w:szCs w:val="21"/>
                <w:highlight w:val="none"/>
              </w:rPr>
              <w:t>是否接受联合体投标</w:t>
            </w:r>
          </w:p>
        </w:tc>
        <w:tc>
          <w:tcPr>
            <w:tcW w:w="6530" w:type="dxa"/>
            <w:vAlign w:val="center"/>
          </w:tcPr>
          <w:p w14:paraId="0F66D8E8">
            <w:pPr>
              <w:adjustRightInd w:val="0"/>
              <w:rPr>
                <w:rFonts w:ascii="Arial" w:hAnsi="Arial" w:cs="Arial"/>
                <w:szCs w:val="21"/>
                <w:highlight w:val="none"/>
              </w:rPr>
            </w:pPr>
            <w:r>
              <w:rPr>
                <w:rFonts w:ascii="宋体" w:hAnsi="宋体"/>
                <w:b/>
                <w:szCs w:val="21"/>
                <w:highlight w:val="none"/>
              </w:rPr>
              <w:fldChar w:fldCharType="begin"/>
            </w:r>
            <w:r>
              <w:rPr>
                <w:rFonts w:hint="eastAsia" w:ascii="宋体" w:hAnsi="宋体"/>
                <w:b/>
                <w:szCs w:val="21"/>
                <w:highlight w:val="none"/>
              </w:rPr>
              <w:instrText xml:space="preserve">eq \o\ac(□,√)</w:instrText>
            </w:r>
            <w:r>
              <w:rPr>
                <w:rFonts w:ascii="宋体" w:hAnsi="宋体"/>
                <w:b/>
                <w:szCs w:val="21"/>
                <w:highlight w:val="none"/>
              </w:rPr>
              <w:fldChar w:fldCharType="end"/>
            </w:r>
            <w:r>
              <w:rPr>
                <w:rFonts w:ascii="Arial" w:hAnsi="Arial" w:cs="Arial"/>
                <w:szCs w:val="21"/>
                <w:highlight w:val="none"/>
              </w:rPr>
              <w:t>不接受</w:t>
            </w:r>
          </w:p>
          <w:p w14:paraId="0A94CDFC">
            <w:pPr>
              <w:adjustRightInd w:val="0"/>
              <w:rPr>
                <w:rFonts w:ascii="Arial" w:hAnsi="Arial" w:cs="Arial"/>
                <w:i/>
                <w:szCs w:val="21"/>
                <w:highlight w:val="none"/>
              </w:rPr>
            </w:pPr>
            <w:r>
              <w:rPr>
                <w:rFonts w:ascii="宋体" w:hAnsi="宋体"/>
                <w:b/>
                <w:szCs w:val="21"/>
                <w:highlight w:val="none"/>
              </w:rPr>
              <w:fldChar w:fldCharType="begin"/>
            </w:r>
            <w:r>
              <w:rPr>
                <w:rFonts w:hint="eastAsia" w:ascii="宋体" w:hAnsi="宋体"/>
                <w:b/>
                <w:szCs w:val="21"/>
                <w:highlight w:val="none"/>
              </w:rPr>
              <w:instrText xml:space="preserve">eq \o\ac(□)</w:instrText>
            </w:r>
            <w:r>
              <w:rPr>
                <w:rFonts w:ascii="宋体" w:hAnsi="宋体"/>
                <w:b/>
                <w:szCs w:val="21"/>
                <w:highlight w:val="none"/>
              </w:rPr>
              <w:fldChar w:fldCharType="end"/>
            </w:r>
            <w:r>
              <w:rPr>
                <w:rFonts w:ascii="Arial" w:hAnsi="Arial" w:cs="Arial"/>
                <w:szCs w:val="21"/>
                <w:highlight w:val="none"/>
              </w:rPr>
              <w:t>接受</w:t>
            </w:r>
          </w:p>
        </w:tc>
      </w:tr>
      <w:tr w14:paraId="4E5769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23D18F0D">
            <w:pPr>
              <w:jc w:val="center"/>
              <w:rPr>
                <w:rFonts w:ascii="Arial" w:hAnsi="Arial" w:cs="Arial"/>
                <w:szCs w:val="21"/>
                <w:highlight w:val="none"/>
              </w:rPr>
            </w:pPr>
            <w:r>
              <w:rPr>
                <w:rFonts w:hint="eastAsia" w:ascii="Arial" w:hAnsi="Arial" w:cs="Arial"/>
                <w:szCs w:val="21"/>
                <w:highlight w:val="none"/>
              </w:rPr>
              <w:t>9</w:t>
            </w:r>
          </w:p>
        </w:tc>
        <w:tc>
          <w:tcPr>
            <w:tcW w:w="1920" w:type="dxa"/>
            <w:vAlign w:val="center"/>
          </w:tcPr>
          <w:p w14:paraId="359DF9BF">
            <w:pPr>
              <w:adjustRightInd w:val="0"/>
              <w:jc w:val="center"/>
              <w:rPr>
                <w:rFonts w:ascii="Arial" w:hAnsi="Arial" w:cs="Arial"/>
                <w:szCs w:val="21"/>
                <w:highlight w:val="none"/>
              </w:rPr>
            </w:pPr>
            <w:r>
              <w:rPr>
                <w:rFonts w:ascii="Arial" w:hAnsi="Arial" w:cs="Arial"/>
                <w:szCs w:val="21"/>
                <w:highlight w:val="none"/>
              </w:rPr>
              <w:t>踏勘现场</w:t>
            </w:r>
          </w:p>
        </w:tc>
        <w:tc>
          <w:tcPr>
            <w:tcW w:w="6530" w:type="dxa"/>
            <w:vAlign w:val="center"/>
          </w:tcPr>
          <w:p w14:paraId="61A3571B">
            <w:pPr>
              <w:adjustRightInd w:val="0"/>
              <w:rPr>
                <w:rFonts w:ascii="Arial" w:hAnsi="Arial" w:cs="Arial"/>
                <w:szCs w:val="21"/>
                <w:highlight w:val="none"/>
              </w:rPr>
            </w:pPr>
            <w:r>
              <w:rPr>
                <w:rFonts w:ascii="宋体" w:hAnsi="宋体"/>
                <w:b/>
                <w:szCs w:val="21"/>
                <w:highlight w:val="none"/>
              </w:rPr>
              <w:fldChar w:fldCharType="begin"/>
            </w:r>
            <w:r>
              <w:rPr>
                <w:rFonts w:hint="eastAsia" w:ascii="宋体" w:hAnsi="宋体"/>
                <w:b/>
                <w:szCs w:val="21"/>
                <w:highlight w:val="none"/>
              </w:rPr>
              <w:instrText xml:space="preserve">eq \o\ac(□,√)</w:instrText>
            </w:r>
            <w:r>
              <w:rPr>
                <w:rFonts w:ascii="宋体" w:hAnsi="宋体"/>
                <w:b/>
                <w:szCs w:val="21"/>
                <w:highlight w:val="none"/>
              </w:rPr>
              <w:fldChar w:fldCharType="end"/>
            </w:r>
            <w:r>
              <w:rPr>
                <w:rFonts w:ascii="Arial" w:hAnsi="Arial" w:cs="Arial"/>
                <w:szCs w:val="21"/>
                <w:highlight w:val="none"/>
              </w:rPr>
              <w:t>不组织</w:t>
            </w:r>
          </w:p>
          <w:p w14:paraId="1B0E1507">
            <w:pPr>
              <w:adjustRightInd w:val="0"/>
              <w:rPr>
                <w:rFonts w:ascii="Arial" w:hAnsi="Arial" w:cs="Arial"/>
                <w:i/>
                <w:szCs w:val="21"/>
                <w:highlight w:val="none"/>
              </w:rPr>
            </w:pPr>
            <w:r>
              <w:rPr>
                <w:rFonts w:ascii="宋体" w:hAnsi="宋体"/>
                <w:szCs w:val="21"/>
                <w:highlight w:val="none"/>
              </w:rPr>
              <w:t>□</w:t>
            </w:r>
            <w:r>
              <w:rPr>
                <w:rFonts w:ascii="Arial" w:hAnsi="Arial" w:cs="Arial"/>
                <w:szCs w:val="21"/>
                <w:highlight w:val="none"/>
              </w:rPr>
              <w:t>组织</w:t>
            </w:r>
          </w:p>
        </w:tc>
      </w:tr>
      <w:tr w14:paraId="15305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6913A797">
            <w:pPr>
              <w:jc w:val="center"/>
              <w:rPr>
                <w:rFonts w:ascii="Arial" w:hAnsi="Arial" w:cs="Arial"/>
                <w:szCs w:val="21"/>
                <w:highlight w:val="none"/>
              </w:rPr>
            </w:pPr>
            <w:r>
              <w:rPr>
                <w:rFonts w:hint="eastAsia" w:ascii="Arial" w:hAnsi="Arial" w:cs="Arial"/>
                <w:szCs w:val="21"/>
                <w:highlight w:val="none"/>
              </w:rPr>
              <w:t>10</w:t>
            </w:r>
          </w:p>
        </w:tc>
        <w:tc>
          <w:tcPr>
            <w:tcW w:w="1920" w:type="dxa"/>
            <w:vAlign w:val="center"/>
          </w:tcPr>
          <w:p w14:paraId="613E514A">
            <w:pPr>
              <w:adjustRightInd w:val="0"/>
              <w:spacing w:line="276" w:lineRule="auto"/>
              <w:jc w:val="center"/>
              <w:rPr>
                <w:rFonts w:ascii="宋体" w:hAnsi="宋体"/>
                <w:szCs w:val="21"/>
                <w:highlight w:val="none"/>
              </w:rPr>
            </w:pPr>
            <w:r>
              <w:rPr>
                <w:rFonts w:hint="eastAsia" w:ascii="宋体" w:hAnsi="宋体"/>
                <w:szCs w:val="21"/>
                <w:highlight w:val="none"/>
              </w:rPr>
              <w:t>是否允许递交备选投标方案</w:t>
            </w:r>
          </w:p>
        </w:tc>
        <w:tc>
          <w:tcPr>
            <w:tcW w:w="6530" w:type="dxa"/>
            <w:vAlign w:val="center"/>
          </w:tcPr>
          <w:p w14:paraId="729F5DB0">
            <w:pPr>
              <w:adjustRightInd w:val="0"/>
              <w:spacing w:line="276" w:lineRule="auto"/>
              <w:rPr>
                <w:rFonts w:ascii="宋体" w:hAnsi="宋体"/>
                <w:szCs w:val="21"/>
                <w:highlight w:val="none"/>
              </w:rPr>
            </w:pPr>
            <w:r>
              <w:rPr>
                <w:rFonts w:ascii="宋体" w:hAnsi="宋体"/>
                <w:b/>
                <w:szCs w:val="21"/>
                <w:highlight w:val="none"/>
              </w:rPr>
              <w:fldChar w:fldCharType="begin"/>
            </w:r>
            <w:r>
              <w:rPr>
                <w:rFonts w:hint="eastAsia" w:ascii="宋体" w:hAnsi="宋体"/>
                <w:b/>
                <w:szCs w:val="21"/>
                <w:highlight w:val="none"/>
              </w:rPr>
              <w:instrText xml:space="preserve">eq \o\ac(□,√)</w:instrText>
            </w:r>
            <w:r>
              <w:rPr>
                <w:rFonts w:ascii="宋体" w:hAnsi="宋体"/>
                <w:b/>
                <w:szCs w:val="21"/>
                <w:highlight w:val="none"/>
              </w:rPr>
              <w:fldChar w:fldCharType="end"/>
            </w:r>
            <w:r>
              <w:rPr>
                <w:rFonts w:hint="eastAsia" w:ascii="宋体" w:hAnsi="宋体"/>
                <w:szCs w:val="21"/>
                <w:highlight w:val="none"/>
              </w:rPr>
              <w:t>不允许</w:t>
            </w:r>
          </w:p>
          <w:p w14:paraId="3B70474A">
            <w:pPr>
              <w:adjustRightInd w:val="0"/>
              <w:spacing w:line="276" w:lineRule="auto"/>
              <w:rPr>
                <w:rFonts w:ascii="宋体" w:hAnsi="宋体" w:cs="仿宋_GB2312"/>
                <w:szCs w:val="21"/>
                <w:highlight w:val="none"/>
              </w:rPr>
            </w:pPr>
            <w:r>
              <w:rPr>
                <w:rFonts w:ascii="宋体" w:hAnsi="宋体"/>
                <w:szCs w:val="21"/>
                <w:highlight w:val="none"/>
              </w:rPr>
              <w:t>□</w:t>
            </w:r>
            <w:r>
              <w:rPr>
                <w:rFonts w:hint="eastAsia" w:ascii="宋体" w:hAnsi="宋体"/>
                <w:szCs w:val="21"/>
                <w:highlight w:val="none"/>
              </w:rPr>
              <w:t>允许</w:t>
            </w:r>
          </w:p>
        </w:tc>
      </w:tr>
      <w:tr w14:paraId="50F330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645" w:type="dxa"/>
            <w:vAlign w:val="center"/>
          </w:tcPr>
          <w:p w14:paraId="457E7D80">
            <w:pPr>
              <w:jc w:val="center"/>
              <w:rPr>
                <w:rFonts w:ascii="Arial" w:hAnsi="Arial" w:cs="Arial"/>
                <w:szCs w:val="21"/>
                <w:highlight w:val="none"/>
              </w:rPr>
            </w:pPr>
            <w:r>
              <w:rPr>
                <w:rFonts w:hint="eastAsia" w:ascii="Arial" w:hAnsi="Arial" w:cs="Arial"/>
                <w:szCs w:val="21"/>
                <w:highlight w:val="none"/>
              </w:rPr>
              <w:t>11</w:t>
            </w:r>
          </w:p>
        </w:tc>
        <w:tc>
          <w:tcPr>
            <w:tcW w:w="1920" w:type="dxa"/>
            <w:vAlign w:val="center"/>
          </w:tcPr>
          <w:p w14:paraId="1C1E4A27">
            <w:pPr>
              <w:adjustRightInd w:val="0"/>
              <w:jc w:val="center"/>
              <w:rPr>
                <w:rFonts w:ascii="Arial" w:hAnsi="Arial" w:cs="Arial"/>
                <w:szCs w:val="21"/>
                <w:highlight w:val="none"/>
              </w:rPr>
            </w:pPr>
            <w:r>
              <w:rPr>
                <w:rFonts w:ascii="Arial" w:hAnsi="Arial" w:cs="Arial"/>
                <w:szCs w:val="21"/>
                <w:highlight w:val="none"/>
              </w:rPr>
              <w:t>报价货币</w:t>
            </w:r>
          </w:p>
        </w:tc>
        <w:tc>
          <w:tcPr>
            <w:tcW w:w="6530" w:type="dxa"/>
            <w:vAlign w:val="center"/>
          </w:tcPr>
          <w:p w14:paraId="21048975">
            <w:pPr>
              <w:adjustRightInd w:val="0"/>
              <w:rPr>
                <w:rFonts w:ascii="Arial" w:hAnsi="Arial" w:cs="Arial"/>
                <w:szCs w:val="21"/>
                <w:highlight w:val="none"/>
              </w:rPr>
            </w:pPr>
            <w:r>
              <w:rPr>
                <w:rFonts w:ascii="Arial" w:hAnsi="Arial" w:cs="Arial"/>
                <w:szCs w:val="21"/>
                <w:highlight w:val="none"/>
              </w:rPr>
              <w:t>人民币</w:t>
            </w:r>
          </w:p>
        </w:tc>
      </w:tr>
      <w:tr w14:paraId="0A140B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45" w:type="dxa"/>
            <w:vAlign w:val="center"/>
          </w:tcPr>
          <w:p w14:paraId="455690A9">
            <w:pPr>
              <w:jc w:val="center"/>
              <w:rPr>
                <w:rFonts w:ascii="Arial" w:hAnsi="Arial" w:cs="Arial"/>
                <w:szCs w:val="21"/>
                <w:highlight w:val="none"/>
              </w:rPr>
            </w:pPr>
            <w:r>
              <w:rPr>
                <w:rFonts w:ascii="Arial" w:hAnsi="Arial" w:cs="Arial"/>
                <w:szCs w:val="21"/>
                <w:highlight w:val="none"/>
              </w:rPr>
              <w:t>1</w:t>
            </w:r>
            <w:r>
              <w:rPr>
                <w:rFonts w:hint="eastAsia" w:ascii="Arial" w:hAnsi="Arial" w:cs="Arial"/>
                <w:szCs w:val="21"/>
                <w:highlight w:val="none"/>
              </w:rPr>
              <w:t>2</w:t>
            </w:r>
          </w:p>
        </w:tc>
        <w:tc>
          <w:tcPr>
            <w:tcW w:w="1920" w:type="dxa"/>
            <w:vAlign w:val="center"/>
          </w:tcPr>
          <w:p w14:paraId="75EFA246">
            <w:pPr>
              <w:adjustRightInd w:val="0"/>
              <w:jc w:val="center"/>
              <w:rPr>
                <w:rFonts w:ascii="Arial" w:hAnsi="Arial" w:cs="Arial"/>
                <w:szCs w:val="21"/>
                <w:highlight w:val="none"/>
              </w:rPr>
            </w:pPr>
            <w:r>
              <w:rPr>
                <w:rFonts w:ascii="Arial" w:hAnsi="Arial" w:cs="Arial"/>
                <w:szCs w:val="21"/>
                <w:highlight w:val="none"/>
              </w:rPr>
              <w:t>报价语言</w:t>
            </w:r>
          </w:p>
        </w:tc>
        <w:tc>
          <w:tcPr>
            <w:tcW w:w="6530" w:type="dxa"/>
            <w:vAlign w:val="center"/>
          </w:tcPr>
          <w:p w14:paraId="4C775F2A">
            <w:pPr>
              <w:adjustRightInd w:val="0"/>
              <w:rPr>
                <w:rFonts w:ascii="Arial" w:hAnsi="Arial" w:cs="Arial"/>
                <w:szCs w:val="21"/>
                <w:highlight w:val="none"/>
              </w:rPr>
            </w:pPr>
            <w:r>
              <w:rPr>
                <w:rFonts w:ascii="Arial" w:hAnsi="Arial" w:cs="Arial"/>
                <w:szCs w:val="21"/>
                <w:highlight w:val="none"/>
              </w:rPr>
              <w:t>中文</w:t>
            </w:r>
          </w:p>
        </w:tc>
      </w:tr>
      <w:tr w14:paraId="282AA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645" w:type="dxa"/>
            <w:vAlign w:val="center"/>
          </w:tcPr>
          <w:p w14:paraId="2B72A621">
            <w:pPr>
              <w:jc w:val="center"/>
              <w:rPr>
                <w:rFonts w:ascii="Arial" w:hAnsi="Arial" w:cs="Arial"/>
                <w:szCs w:val="21"/>
                <w:highlight w:val="none"/>
              </w:rPr>
            </w:pPr>
            <w:r>
              <w:rPr>
                <w:rFonts w:ascii="Arial" w:hAnsi="Arial" w:cs="Arial"/>
                <w:szCs w:val="21"/>
                <w:highlight w:val="none"/>
              </w:rPr>
              <w:t>1</w:t>
            </w:r>
            <w:r>
              <w:rPr>
                <w:rFonts w:hint="eastAsia" w:ascii="Arial" w:hAnsi="Arial" w:cs="Arial"/>
                <w:szCs w:val="21"/>
                <w:highlight w:val="none"/>
              </w:rPr>
              <w:t>3</w:t>
            </w:r>
          </w:p>
        </w:tc>
        <w:tc>
          <w:tcPr>
            <w:tcW w:w="1920" w:type="dxa"/>
            <w:vAlign w:val="center"/>
          </w:tcPr>
          <w:p w14:paraId="5B99B553">
            <w:pPr>
              <w:jc w:val="center"/>
              <w:rPr>
                <w:rFonts w:ascii="Arial" w:hAnsi="Arial" w:cs="Arial"/>
                <w:szCs w:val="21"/>
                <w:highlight w:val="none"/>
              </w:rPr>
            </w:pPr>
            <w:r>
              <w:rPr>
                <w:rFonts w:ascii="Arial" w:hAnsi="Arial" w:cs="Arial"/>
                <w:szCs w:val="21"/>
                <w:highlight w:val="none"/>
              </w:rPr>
              <w:t>竞争性磋商</w:t>
            </w:r>
            <w:r>
              <w:rPr>
                <w:rFonts w:hint="eastAsia" w:ascii="Arial" w:hAnsi="Arial" w:cs="Arial"/>
                <w:szCs w:val="21"/>
                <w:highlight w:val="none"/>
              </w:rPr>
              <w:t>纸质</w:t>
            </w:r>
            <w:r>
              <w:rPr>
                <w:rFonts w:ascii="Arial" w:hAnsi="Arial" w:cs="Arial"/>
                <w:szCs w:val="21"/>
                <w:highlight w:val="none"/>
              </w:rPr>
              <w:t>响应文件份数</w:t>
            </w:r>
          </w:p>
        </w:tc>
        <w:tc>
          <w:tcPr>
            <w:tcW w:w="6530" w:type="dxa"/>
            <w:vAlign w:val="center"/>
          </w:tcPr>
          <w:p w14:paraId="5DD22C20">
            <w:pPr>
              <w:pStyle w:val="21"/>
              <w:jc w:val="both"/>
              <w:rPr>
                <w:rFonts w:ascii="Arial" w:hAnsi="Arial" w:cs="Arial"/>
                <w:highlight w:val="none"/>
              </w:rPr>
            </w:pPr>
            <w:r>
              <w:rPr>
                <w:rFonts w:hint="eastAsia" w:ascii="Arial" w:hAnsi="Arial" w:cs="Arial"/>
                <w:highlight w:val="none"/>
              </w:rPr>
              <w:t>/</w:t>
            </w:r>
          </w:p>
        </w:tc>
      </w:tr>
      <w:tr w14:paraId="3092A7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vAlign w:val="center"/>
          </w:tcPr>
          <w:p w14:paraId="79D69EE2">
            <w:pPr>
              <w:jc w:val="center"/>
              <w:rPr>
                <w:rFonts w:ascii="Arial" w:hAnsi="Arial" w:cs="Arial"/>
                <w:szCs w:val="21"/>
                <w:highlight w:val="none"/>
              </w:rPr>
            </w:pPr>
            <w:r>
              <w:rPr>
                <w:rFonts w:ascii="Arial" w:hAnsi="Arial" w:cs="Arial"/>
                <w:szCs w:val="21"/>
                <w:highlight w:val="none"/>
              </w:rPr>
              <w:t>1</w:t>
            </w:r>
            <w:r>
              <w:rPr>
                <w:rFonts w:hint="eastAsia" w:ascii="Arial" w:hAnsi="Arial" w:cs="Arial"/>
                <w:szCs w:val="21"/>
                <w:highlight w:val="none"/>
              </w:rPr>
              <w:t>4</w:t>
            </w:r>
          </w:p>
        </w:tc>
        <w:tc>
          <w:tcPr>
            <w:tcW w:w="1920" w:type="dxa"/>
            <w:vAlign w:val="center"/>
          </w:tcPr>
          <w:p w14:paraId="64DCD9B7">
            <w:pPr>
              <w:jc w:val="center"/>
              <w:rPr>
                <w:rFonts w:ascii="Arial" w:hAnsi="Arial" w:cs="Arial"/>
                <w:szCs w:val="21"/>
                <w:highlight w:val="none"/>
              </w:rPr>
            </w:pPr>
            <w:r>
              <w:rPr>
                <w:rFonts w:ascii="Arial" w:hAnsi="Arial" w:cs="Arial"/>
                <w:szCs w:val="21"/>
                <w:highlight w:val="none"/>
              </w:rPr>
              <w:t>竞争性磋商有效期</w:t>
            </w:r>
          </w:p>
        </w:tc>
        <w:tc>
          <w:tcPr>
            <w:tcW w:w="6530" w:type="dxa"/>
            <w:vAlign w:val="center"/>
          </w:tcPr>
          <w:p w14:paraId="26E568CC">
            <w:pPr>
              <w:rPr>
                <w:rFonts w:ascii="Arial" w:hAnsi="Arial" w:cs="Arial"/>
                <w:szCs w:val="21"/>
                <w:highlight w:val="none"/>
              </w:rPr>
            </w:pPr>
            <w:r>
              <w:rPr>
                <w:rFonts w:ascii="Arial" w:hAnsi="Arial" w:cs="Arial"/>
                <w:szCs w:val="21"/>
                <w:highlight w:val="none"/>
              </w:rPr>
              <w:t>提交竞争性磋商响应文件截止日起60天</w:t>
            </w:r>
            <w:r>
              <w:rPr>
                <w:rFonts w:hint="eastAsia" w:ascii="Arial" w:hAnsi="Arial" w:cs="Arial"/>
                <w:szCs w:val="21"/>
                <w:highlight w:val="none"/>
              </w:rPr>
              <w:t>。</w:t>
            </w:r>
          </w:p>
        </w:tc>
      </w:tr>
      <w:tr w14:paraId="6BC9DF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vAlign w:val="center"/>
          </w:tcPr>
          <w:p w14:paraId="495B372E">
            <w:pPr>
              <w:jc w:val="center"/>
              <w:rPr>
                <w:rFonts w:ascii="Arial" w:hAnsi="Arial" w:cs="Arial"/>
                <w:szCs w:val="21"/>
                <w:highlight w:val="none"/>
              </w:rPr>
            </w:pPr>
            <w:r>
              <w:rPr>
                <w:rFonts w:ascii="Arial" w:hAnsi="Arial" w:cs="Arial"/>
                <w:szCs w:val="21"/>
                <w:highlight w:val="none"/>
              </w:rPr>
              <w:t>1</w:t>
            </w:r>
            <w:r>
              <w:rPr>
                <w:rFonts w:hint="eastAsia" w:ascii="Arial" w:hAnsi="Arial" w:cs="Arial"/>
                <w:szCs w:val="21"/>
                <w:highlight w:val="none"/>
              </w:rPr>
              <w:t>5</w:t>
            </w:r>
          </w:p>
        </w:tc>
        <w:tc>
          <w:tcPr>
            <w:tcW w:w="1920" w:type="dxa"/>
            <w:vAlign w:val="center"/>
          </w:tcPr>
          <w:p w14:paraId="36789FDB">
            <w:pPr>
              <w:jc w:val="center"/>
              <w:rPr>
                <w:rFonts w:ascii="Arial" w:hAnsi="Arial" w:cs="Arial"/>
                <w:szCs w:val="21"/>
                <w:highlight w:val="none"/>
              </w:rPr>
            </w:pPr>
            <w:r>
              <w:rPr>
                <w:rFonts w:ascii="Arial" w:hAnsi="Arial" w:cs="Arial"/>
                <w:szCs w:val="21"/>
                <w:highlight w:val="none"/>
              </w:rPr>
              <w:t>签字或盖章要求</w:t>
            </w:r>
          </w:p>
        </w:tc>
        <w:tc>
          <w:tcPr>
            <w:tcW w:w="6530" w:type="dxa"/>
            <w:vAlign w:val="center"/>
          </w:tcPr>
          <w:p w14:paraId="758AD746">
            <w:pPr>
              <w:rPr>
                <w:rFonts w:ascii="Arial" w:hAnsi="Arial" w:cs="Arial"/>
                <w:szCs w:val="21"/>
                <w:highlight w:val="none"/>
              </w:rPr>
            </w:pPr>
            <w:r>
              <w:rPr>
                <w:rFonts w:hint="eastAsia" w:ascii="宋体" w:hAnsi="宋体"/>
                <w:szCs w:val="21"/>
                <w:highlight w:val="none"/>
              </w:rPr>
              <w:t>竞争性磋商响应文件中需签字或盖章的地方均加盖竞争性磋商供应商单位全称的公章，不得使用投标专用章、合同章等类似图章代替，并经法定代表人或其委托代理人签字或盖章，</w:t>
            </w:r>
            <w:r>
              <w:rPr>
                <w:rFonts w:ascii="宋体" w:hAnsi="宋体"/>
                <w:szCs w:val="21"/>
                <w:highlight w:val="none"/>
              </w:rPr>
              <w:t>否则作无效标处理</w:t>
            </w:r>
            <w:r>
              <w:rPr>
                <w:rFonts w:hint="eastAsia" w:ascii="宋体" w:hAnsi="宋体"/>
                <w:szCs w:val="21"/>
                <w:highlight w:val="none"/>
              </w:rPr>
              <w:t>。</w:t>
            </w:r>
          </w:p>
        </w:tc>
      </w:tr>
      <w:tr w14:paraId="26501D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vAlign w:val="center"/>
          </w:tcPr>
          <w:p w14:paraId="46B89F1E">
            <w:pPr>
              <w:jc w:val="center"/>
              <w:rPr>
                <w:rFonts w:ascii="Arial" w:hAnsi="Arial" w:cs="Arial"/>
                <w:szCs w:val="21"/>
                <w:highlight w:val="none"/>
              </w:rPr>
            </w:pPr>
            <w:r>
              <w:rPr>
                <w:rFonts w:ascii="Arial" w:hAnsi="Arial" w:cs="Arial"/>
                <w:szCs w:val="21"/>
                <w:highlight w:val="none"/>
              </w:rPr>
              <w:t>1</w:t>
            </w:r>
            <w:r>
              <w:rPr>
                <w:rFonts w:hint="eastAsia" w:ascii="Arial" w:hAnsi="Arial" w:cs="Arial"/>
                <w:szCs w:val="21"/>
                <w:highlight w:val="none"/>
              </w:rPr>
              <w:t>6</w:t>
            </w:r>
          </w:p>
        </w:tc>
        <w:tc>
          <w:tcPr>
            <w:tcW w:w="1920" w:type="dxa"/>
            <w:vAlign w:val="center"/>
          </w:tcPr>
          <w:p w14:paraId="1587DB07">
            <w:pPr>
              <w:jc w:val="center"/>
              <w:rPr>
                <w:rFonts w:ascii="Arial" w:hAnsi="Arial" w:cs="Arial"/>
                <w:szCs w:val="21"/>
                <w:highlight w:val="none"/>
              </w:rPr>
            </w:pPr>
            <w:r>
              <w:rPr>
                <w:rFonts w:ascii="Arial" w:hAnsi="Arial" w:cs="Arial"/>
                <w:szCs w:val="21"/>
                <w:highlight w:val="none"/>
              </w:rPr>
              <w:t>密封、装订要求</w:t>
            </w:r>
          </w:p>
        </w:tc>
        <w:tc>
          <w:tcPr>
            <w:tcW w:w="6530" w:type="dxa"/>
            <w:vAlign w:val="center"/>
          </w:tcPr>
          <w:p w14:paraId="3EC888DD">
            <w:pPr>
              <w:rPr>
                <w:rFonts w:ascii="Arial" w:hAnsi="Arial" w:cs="Arial"/>
                <w:szCs w:val="21"/>
                <w:highlight w:val="none"/>
              </w:rPr>
            </w:pPr>
            <w:r>
              <w:rPr>
                <w:rFonts w:hint="eastAsia" w:ascii="Arial" w:hAnsi="Arial" w:cs="Arial"/>
                <w:szCs w:val="21"/>
                <w:highlight w:val="none"/>
              </w:rPr>
              <w:t>/</w:t>
            </w:r>
          </w:p>
        </w:tc>
      </w:tr>
      <w:tr w14:paraId="4BE41D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51" w:hRule="atLeast"/>
          <w:jc w:val="center"/>
        </w:trPr>
        <w:tc>
          <w:tcPr>
            <w:tcW w:w="645" w:type="dxa"/>
            <w:vAlign w:val="center"/>
          </w:tcPr>
          <w:p w14:paraId="317482E8">
            <w:pPr>
              <w:jc w:val="center"/>
              <w:rPr>
                <w:rFonts w:ascii="Arial" w:hAnsi="Arial" w:cs="Arial"/>
                <w:szCs w:val="21"/>
                <w:highlight w:val="none"/>
              </w:rPr>
            </w:pPr>
            <w:r>
              <w:rPr>
                <w:rFonts w:ascii="Arial" w:hAnsi="Arial" w:cs="Arial"/>
                <w:szCs w:val="21"/>
                <w:highlight w:val="none"/>
              </w:rPr>
              <w:t>1</w:t>
            </w:r>
            <w:r>
              <w:rPr>
                <w:rFonts w:hint="eastAsia" w:ascii="Arial" w:hAnsi="Arial" w:cs="Arial"/>
                <w:szCs w:val="21"/>
                <w:highlight w:val="none"/>
              </w:rPr>
              <w:t>7</w:t>
            </w:r>
          </w:p>
        </w:tc>
        <w:tc>
          <w:tcPr>
            <w:tcW w:w="1920" w:type="dxa"/>
            <w:vAlign w:val="center"/>
          </w:tcPr>
          <w:p w14:paraId="59109E60">
            <w:pPr>
              <w:jc w:val="center"/>
              <w:rPr>
                <w:rFonts w:ascii="Arial" w:hAnsi="Arial" w:cs="Arial"/>
                <w:szCs w:val="21"/>
                <w:highlight w:val="none"/>
              </w:rPr>
            </w:pPr>
            <w:r>
              <w:rPr>
                <w:rFonts w:ascii="Arial" w:hAnsi="Arial" w:cs="Arial"/>
                <w:szCs w:val="21"/>
                <w:highlight w:val="none"/>
              </w:rPr>
              <w:t>竞争性磋商样品</w:t>
            </w:r>
          </w:p>
        </w:tc>
        <w:tc>
          <w:tcPr>
            <w:tcW w:w="6530" w:type="dxa"/>
            <w:vAlign w:val="center"/>
          </w:tcPr>
          <w:p w14:paraId="31FC43AB">
            <w:pPr>
              <w:rPr>
                <w:rFonts w:ascii="Arial" w:hAnsi="Arial" w:cs="Arial"/>
                <w:szCs w:val="21"/>
                <w:highlight w:val="none"/>
              </w:rPr>
            </w:pPr>
            <w:r>
              <w:rPr>
                <w:rFonts w:ascii="宋体" w:hAnsi="宋体"/>
                <w:szCs w:val="21"/>
                <w:highlight w:val="none"/>
              </w:rPr>
              <w:fldChar w:fldCharType="begin"/>
            </w:r>
            <w:r>
              <w:rPr>
                <w:rFonts w:hint="eastAsia" w:ascii="宋体" w:hAnsi="宋体"/>
                <w:szCs w:val="21"/>
                <w:highlight w:val="none"/>
              </w:rPr>
              <w:instrText xml:space="preserve">eq \o\ac(□,√)</w:instrText>
            </w:r>
            <w:r>
              <w:rPr>
                <w:rFonts w:ascii="宋体" w:hAnsi="宋体"/>
                <w:szCs w:val="21"/>
                <w:highlight w:val="none"/>
              </w:rPr>
              <w:fldChar w:fldCharType="end"/>
            </w:r>
            <w:r>
              <w:rPr>
                <w:rFonts w:ascii="Arial" w:hAnsi="Arial" w:cs="Arial"/>
                <w:szCs w:val="21"/>
                <w:highlight w:val="none"/>
              </w:rPr>
              <w:t>不需要</w:t>
            </w:r>
          </w:p>
          <w:p w14:paraId="371CB114">
            <w:pPr>
              <w:rPr>
                <w:rFonts w:ascii="Arial" w:hAnsi="Arial" w:cs="Arial"/>
                <w:szCs w:val="21"/>
                <w:highlight w:val="none"/>
              </w:rPr>
            </w:pPr>
            <w:r>
              <w:rPr>
                <w:rFonts w:ascii="宋体" w:hAnsi="宋体"/>
                <w:szCs w:val="21"/>
                <w:highlight w:val="none"/>
              </w:rPr>
              <w:t>□</w:t>
            </w:r>
            <w:r>
              <w:rPr>
                <w:rFonts w:ascii="Arial" w:hAnsi="Arial" w:cs="Arial"/>
                <w:szCs w:val="21"/>
                <w:highlight w:val="none"/>
              </w:rPr>
              <w:t>需要</w:t>
            </w:r>
          </w:p>
        </w:tc>
      </w:tr>
      <w:tr w14:paraId="1C10F9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53" w:hRule="atLeast"/>
          <w:jc w:val="center"/>
        </w:trPr>
        <w:tc>
          <w:tcPr>
            <w:tcW w:w="645" w:type="dxa"/>
            <w:vAlign w:val="center"/>
          </w:tcPr>
          <w:p w14:paraId="186A853C">
            <w:pPr>
              <w:jc w:val="center"/>
              <w:rPr>
                <w:rFonts w:ascii="Arial" w:hAnsi="Arial" w:cs="Arial"/>
                <w:szCs w:val="21"/>
                <w:highlight w:val="none"/>
              </w:rPr>
            </w:pPr>
            <w:r>
              <w:rPr>
                <w:rFonts w:ascii="Arial" w:hAnsi="Arial" w:cs="Arial"/>
                <w:szCs w:val="21"/>
                <w:highlight w:val="none"/>
              </w:rPr>
              <w:t>1</w:t>
            </w:r>
            <w:r>
              <w:rPr>
                <w:rFonts w:hint="eastAsia" w:ascii="Arial" w:hAnsi="Arial" w:cs="Arial"/>
                <w:szCs w:val="21"/>
                <w:highlight w:val="none"/>
              </w:rPr>
              <w:t>8</w:t>
            </w:r>
          </w:p>
        </w:tc>
        <w:tc>
          <w:tcPr>
            <w:tcW w:w="1920" w:type="dxa"/>
            <w:vAlign w:val="center"/>
          </w:tcPr>
          <w:p w14:paraId="65005AFA">
            <w:pPr>
              <w:jc w:val="center"/>
              <w:rPr>
                <w:rFonts w:ascii="Arial" w:hAnsi="Arial" w:cs="Arial"/>
                <w:szCs w:val="21"/>
                <w:highlight w:val="none"/>
              </w:rPr>
            </w:pPr>
            <w:r>
              <w:rPr>
                <w:rFonts w:hint="eastAsia" w:ascii="Arial" w:hAnsi="Arial" w:cs="Arial"/>
                <w:szCs w:val="21"/>
                <w:highlight w:val="none"/>
              </w:rPr>
              <w:t>投标保证金</w:t>
            </w:r>
          </w:p>
        </w:tc>
        <w:tc>
          <w:tcPr>
            <w:tcW w:w="6530" w:type="dxa"/>
            <w:vAlign w:val="center"/>
          </w:tcPr>
          <w:p w14:paraId="61E74ADF">
            <w:pPr>
              <w:rPr>
                <w:rFonts w:ascii="Arial" w:hAnsi="Arial" w:cs="Arial"/>
                <w:szCs w:val="21"/>
                <w:highlight w:val="none"/>
              </w:rPr>
            </w:pPr>
            <w:r>
              <w:rPr>
                <w:rFonts w:hint="eastAsia" w:ascii="宋体" w:hAnsi="宋体" w:cs="Arial"/>
                <w:szCs w:val="21"/>
                <w:highlight w:val="none"/>
              </w:rPr>
              <w:t>不设保证金。</w:t>
            </w:r>
          </w:p>
        </w:tc>
      </w:tr>
      <w:tr w14:paraId="51B280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645" w:type="dxa"/>
            <w:vAlign w:val="center"/>
          </w:tcPr>
          <w:p w14:paraId="253D399C">
            <w:pPr>
              <w:jc w:val="center"/>
              <w:rPr>
                <w:rFonts w:ascii="Arial" w:hAnsi="Arial" w:cs="Arial"/>
                <w:szCs w:val="21"/>
                <w:highlight w:val="none"/>
              </w:rPr>
            </w:pPr>
            <w:r>
              <w:rPr>
                <w:rFonts w:ascii="Arial" w:hAnsi="Arial" w:cs="Arial"/>
                <w:szCs w:val="21"/>
                <w:highlight w:val="none"/>
              </w:rPr>
              <w:t>1</w:t>
            </w:r>
            <w:r>
              <w:rPr>
                <w:rFonts w:hint="eastAsia" w:ascii="Arial" w:hAnsi="Arial" w:cs="Arial"/>
                <w:szCs w:val="21"/>
                <w:highlight w:val="none"/>
              </w:rPr>
              <w:t>9</w:t>
            </w:r>
          </w:p>
        </w:tc>
        <w:tc>
          <w:tcPr>
            <w:tcW w:w="1920" w:type="dxa"/>
            <w:vAlign w:val="center"/>
          </w:tcPr>
          <w:p w14:paraId="7923B10A">
            <w:pPr>
              <w:adjustRightInd w:val="0"/>
              <w:jc w:val="center"/>
              <w:rPr>
                <w:rFonts w:ascii="Arial" w:hAnsi="Arial" w:cs="Arial"/>
                <w:szCs w:val="21"/>
                <w:highlight w:val="none"/>
              </w:rPr>
            </w:pPr>
            <w:r>
              <w:rPr>
                <w:rFonts w:ascii="Arial" w:hAnsi="Arial" w:cs="Arial"/>
                <w:szCs w:val="21"/>
                <w:highlight w:val="none"/>
              </w:rPr>
              <w:t>履约担保</w:t>
            </w:r>
          </w:p>
        </w:tc>
        <w:tc>
          <w:tcPr>
            <w:tcW w:w="6530" w:type="dxa"/>
            <w:vAlign w:val="center"/>
          </w:tcPr>
          <w:p w14:paraId="74AEB670">
            <w:pPr>
              <w:rPr>
                <w:rFonts w:ascii="Arial" w:hAnsi="Arial" w:cs="Arial"/>
                <w:szCs w:val="21"/>
                <w:highlight w:val="none"/>
              </w:rPr>
            </w:pPr>
            <w:r>
              <w:rPr>
                <w:rFonts w:ascii="宋体" w:hAnsi="宋体"/>
                <w:b/>
                <w:bCs/>
                <w:szCs w:val="21"/>
                <w:highlight w:val="none"/>
              </w:rPr>
              <w:fldChar w:fldCharType="begin"/>
            </w:r>
            <w:r>
              <w:rPr>
                <w:rFonts w:hint="eastAsia" w:ascii="宋体" w:hAnsi="宋体"/>
                <w:b/>
                <w:bCs/>
                <w:szCs w:val="21"/>
                <w:highlight w:val="none"/>
              </w:rPr>
              <w:instrText xml:space="preserve">eq \o\ac(□</w:instrText>
            </w:r>
            <w:r>
              <w:rPr>
                <w:rFonts w:hint="eastAsia" w:ascii="宋体" w:hAnsi="宋体"/>
                <w:b/>
                <w:bCs/>
                <w:szCs w:val="21"/>
                <w:highlight w:val="none"/>
                <w:lang w:eastAsia="zh-CN"/>
              </w:rPr>
              <w:instrText xml:space="preserve">,</w:instrText>
            </w:r>
            <w:r>
              <w:rPr>
                <w:rFonts w:hint="eastAsia" w:ascii="宋体" w:hAnsi="宋体"/>
                <w:b/>
                <w:bCs/>
                <w:position w:val="2"/>
                <w:sz w:val="13"/>
                <w:szCs w:val="21"/>
                <w:highlight w:val="none"/>
                <w:lang w:eastAsia="zh-CN"/>
              </w:rPr>
              <w:instrText xml:space="preserve">√</w:instrText>
            </w:r>
            <w:r>
              <w:rPr>
                <w:rFonts w:hint="eastAsia" w:ascii="宋体" w:hAnsi="宋体"/>
                <w:b/>
                <w:bCs/>
                <w:szCs w:val="21"/>
                <w:highlight w:val="none"/>
              </w:rPr>
              <w:instrText xml:space="preserve">)</w:instrText>
            </w:r>
            <w:r>
              <w:rPr>
                <w:rFonts w:ascii="宋体" w:hAnsi="宋体"/>
                <w:b/>
                <w:bCs/>
                <w:szCs w:val="21"/>
                <w:highlight w:val="none"/>
              </w:rPr>
              <w:fldChar w:fldCharType="end"/>
            </w:r>
            <w:r>
              <w:rPr>
                <w:rFonts w:ascii="Arial" w:hAnsi="Arial" w:cs="Arial"/>
                <w:szCs w:val="21"/>
                <w:highlight w:val="none"/>
              </w:rPr>
              <w:t>不需要</w:t>
            </w:r>
          </w:p>
          <w:p w14:paraId="6D1A55CE">
            <w:pPr>
              <w:adjustRightInd w:val="0"/>
              <w:rPr>
                <w:rFonts w:ascii="Arial" w:hAnsi="Arial" w:cs="Arial"/>
                <w:szCs w:val="21"/>
                <w:highlight w:val="none"/>
              </w:rPr>
            </w:pPr>
            <w:r>
              <w:rPr>
                <w:rFonts w:ascii="宋体" w:hAnsi="宋体"/>
                <w:b/>
                <w:bCs/>
                <w:szCs w:val="21"/>
                <w:highlight w:val="none"/>
              </w:rPr>
              <w:fldChar w:fldCharType="begin"/>
            </w:r>
            <w:r>
              <w:rPr>
                <w:rFonts w:hint="eastAsia" w:ascii="宋体" w:hAnsi="宋体"/>
                <w:b/>
                <w:bCs/>
                <w:szCs w:val="21"/>
                <w:highlight w:val="none"/>
              </w:rPr>
              <w:instrText xml:space="preserve">eq \o\ac(□)</w:instrText>
            </w:r>
            <w:r>
              <w:rPr>
                <w:rFonts w:ascii="宋体" w:hAnsi="宋体"/>
                <w:b/>
                <w:bCs/>
                <w:szCs w:val="21"/>
                <w:highlight w:val="none"/>
              </w:rPr>
              <w:fldChar w:fldCharType="end"/>
            </w:r>
            <w:r>
              <w:rPr>
                <w:rFonts w:ascii="Arial" w:hAnsi="Arial" w:cs="Arial"/>
                <w:szCs w:val="21"/>
                <w:highlight w:val="none"/>
              </w:rPr>
              <w:t>需要</w:t>
            </w:r>
            <w:r>
              <w:rPr>
                <w:rFonts w:hint="eastAsia" w:ascii="Arial" w:hAnsi="Arial" w:cs="Arial"/>
                <w:szCs w:val="21"/>
                <w:highlight w:val="none"/>
              </w:rPr>
              <w:t>同</w:t>
            </w:r>
            <w:r>
              <w:rPr>
                <w:rFonts w:ascii="Arial" w:hAnsi="Arial" w:cs="Arial"/>
                <w:szCs w:val="21"/>
                <w:highlight w:val="none"/>
              </w:rPr>
              <w:t>采购人缴纳</w:t>
            </w:r>
            <w:r>
              <w:rPr>
                <w:rFonts w:hint="eastAsia" w:ascii="Arial" w:hAnsi="Arial" w:cs="Arial"/>
                <w:szCs w:val="21"/>
                <w:highlight w:val="none"/>
              </w:rPr>
              <w:t>人民币</w:t>
            </w:r>
            <w:r>
              <w:rPr>
                <w:rFonts w:hint="eastAsia" w:ascii="Arial" w:hAnsi="Arial" w:cs="Arial"/>
                <w:b/>
                <w:szCs w:val="21"/>
                <w:highlight w:val="none"/>
                <w:u w:val="single"/>
                <w:lang w:val="en-US" w:eastAsia="zh-CN"/>
              </w:rPr>
              <w:t>/</w:t>
            </w:r>
            <w:r>
              <w:rPr>
                <w:rFonts w:hint="eastAsia" w:ascii="Arial" w:hAnsi="Arial" w:cs="Arial"/>
                <w:szCs w:val="21"/>
                <w:highlight w:val="none"/>
              </w:rPr>
              <w:t>的</w:t>
            </w:r>
            <w:r>
              <w:rPr>
                <w:rFonts w:ascii="Arial" w:hAnsi="Arial" w:cs="Arial"/>
                <w:szCs w:val="21"/>
                <w:highlight w:val="none"/>
              </w:rPr>
              <w:t>履约保证金</w:t>
            </w:r>
            <w:r>
              <w:rPr>
                <w:rFonts w:hint="eastAsia" w:ascii="Arial" w:hAnsi="Arial" w:cs="Arial"/>
                <w:szCs w:val="21"/>
                <w:highlight w:val="none"/>
              </w:rPr>
              <w:t>（现金或银行保函），在项目服务期满后</w:t>
            </w:r>
            <w:r>
              <w:rPr>
                <w:rFonts w:hint="eastAsia" w:ascii="Arial" w:hAnsi="Arial" w:cs="Arial"/>
                <w:szCs w:val="21"/>
                <w:highlight w:val="none"/>
                <w:lang w:val="en-US" w:eastAsia="zh-CN"/>
              </w:rPr>
              <w:t>7</w:t>
            </w:r>
            <w:r>
              <w:rPr>
                <w:rFonts w:hint="eastAsia" w:ascii="Arial" w:hAnsi="Arial" w:cs="Arial"/>
                <w:szCs w:val="21"/>
                <w:highlight w:val="none"/>
              </w:rPr>
              <w:t>个工作日内无息退还。</w:t>
            </w:r>
          </w:p>
        </w:tc>
      </w:tr>
      <w:tr w14:paraId="5BDB9D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vAlign w:val="center"/>
          </w:tcPr>
          <w:p w14:paraId="0673287F">
            <w:pPr>
              <w:jc w:val="center"/>
              <w:rPr>
                <w:rFonts w:ascii="Arial" w:hAnsi="Arial" w:cs="Arial"/>
                <w:szCs w:val="21"/>
                <w:highlight w:val="none"/>
              </w:rPr>
            </w:pPr>
            <w:r>
              <w:rPr>
                <w:rFonts w:hint="eastAsia" w:ascii="Arial" w:hAnsi="Arial" w:cs="Arial"/>
                <w:szCs w:val="21"/>
                <w:highlight w:val="none"/>
              </w:rPr>
              <w:t>20</w:t>
            </w:r>
          </w:p>
        </w:tc>
        <w:tc>
          <w:tcPr>
            <w:tcW w:w="1920" w:type="dxa"/>
            <w:vAlign w:val="center"/>
          </w:tcPr>
          <w:p w14:paraId="242050E7">
            <w:pPr>
              <w:jc w:val="center"/>
              <w:rPr>
                <w:rFonts w:ascii="Arial" w:hAnsi="Arial" w:cs="Arial"/>
                <w:szCs w:val="21"/>
                <w:highlight w:val="none"/>
              </w:rPr>
            </w:pPr>
            <w:r>
              <w:rPr>
                <w:rFonts w:ascii="Arial" w:hAnsi="Arial" w:cs="Arial"/>
                <w:szCs w:val="21"/>
                <w:highlight w:val="none"/>
              </w:rPr>
              <w:t>竞争性磋商</w:t>
            </w:r>
            <w:r>
              <w:rPr>
                <w:rFonts w:hint="eastAsia" w:ascii="Arial" w:hAnsi="Arial" w:cs="Arial"/>
                <w:szCs w:val="21"/>
                <w:highlight w:val="none"/>
              </w:rPr>
              <w:t>报名</w:t>
            </w:r>
            <w:r>
              <w:rPr>
                <w:rFonts w:ascii="Arial" w:hAnsi="Arial" w:cs="Arial"/>
                <w:szCs w:val="21"/>
                <w:highlight w:val="none"/>
              </w:rPr>
              <w:t>时间及获取方式</w:t>
            </w:r>
          </w:p>
        </w:tc>
        <w:tc>
          <w:tcPr>
            <w:tcW w:w="6530" w:type="dxa"/>
            <w:vAlign w:val="center"/>
          </w:tcPr>
          <w:p w14:paraId="1438686C">
            <w:pPr>
              <w:rPr>
                <w:rFonts w:ascii="Arial" w:hAnsi="Arial" w:cs="Arial"/>
                <w:szCs w:val="21"/>
                <w:highlight w:val="none"/>
              </w:rPr>
            </w:pPr>
            <w:r>
              <w:rPr>
                <w:rFonts w:ascii="Arial" w:hAnsi="Arial" w:cs="Arial"/>
                <w:szCs w:val="21"/>
                <w:highlight w:val="none"/>
              </w:rPr>
              <w:t>竞争性磋商</w:t>
            </w:r>
            <w:r>
              <w:rPr>
                <w:rFonts w:hint="eastAsia" w:ascii="Arial" w:hAnsi="Arial" w:cs="Arial"/>
                <w:szCs w:val="21"/>
                <w:highlight w:val="none"/>
              </w:rPr>
              <w:t>报名</w:t>
            </w:r>
            <w:r>
              <w:rPr>
                <w:rFonts w:ascii="Arial" w:hAnsi="Arial" w:cs="Arial"/>
                <w:szCs w:val="21"/>
                <w:highlight w:val="none"/>
              </w:rPr>
              <w:t>时间</w:t>
            </w:r>
            <w:r>
              <w:rPr>
                <w:rFonts w:hint="eastAsia" w:ascii="Arial" w:hAnsi="Arial" w:cs="Arial"/>
                <w:szCs w:val="21"/>
                <w:highlight w:val="none"/>
              </w:rPr>
              <w:t>：</w:t>
            </w:r>
            <w:r>
              <w:rPr>
                <w:rFonts w:ascii="Arial" w:hAnsi="Arial" w:cs="Arial"/>
                <w:szCs w:val="21"/>
                <w:highlight w:val="none"/>
              </w:rPr>
              <w:t>磋商公告发布之日起至</w:t>
            </w:r>
            <w:r>
              <w:rPr>
                <w:rFonts w:hint="eastAsia" w:ascii="Arial" w:hAnsi="Arial" w:cs="Arial"/>
                <w:szCs w:val="21"/>
                <w:highlight w:val="none"/>
              </w:rPr>
              <w:t>投标截止时间；</w:t>
            </w:r>
          </w:p>
          <w:p w14:paraId="48EE8170">
            <w:pPr>
              <w:rPr>
                <w:rFonts w:ascii="Arial" w:hAnsi="Arial" w:cs="Arial"/>
                <w:szCs w:val="21"/>
                <w:highlight w:val="none"/>
              </w:rPr>
            </w:pPr>
            <w:r>
              <w:rPr>
                <w:rFonts w:ascii="Arial" w:hAnsi="Arial" w:cs="Arial"/>
                <w:szCs w:val="21"/>
                <w:highlight w:val="none"/>
              </w:rPr>
              <w:t>获取方式</w:t>
            </w:r>
            <w:r>
              <w:rPr>
                <w:rFonts w:hint="eastAsia" w:ascii="Arial" w:hAnsi="Arial" w:cs="Arial"/>
                <w:szCs w:val="21"/>
                <w:highlight w:val="none"/>
              </w:rPr>
              <w:t>：在线下载获取。</w:t>
            </w:r>
          </w:p>
        </w:tc>
      </w:tr>
      <w:tr w14:paraId="16E2F2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vAlign w:val="center"/>
          </w:tcPr>
          <w:p w14:paraId="253337AF">
            <w:pPr>
              <w:jc w:val="center"/>
              <w:rPr>
                <w:rFonts w:ascii="Arial" w:hAnsi="Arial" w:cs="Arial"/>
                <w:szCs w:val="21"/>
                <w:highlight w:val="none"/>
              </w:rPr>
            </w:pPr>
            <w:r>
              <w:rPr>
                <w:rFonts w:hint="eastAsia" w:ascii="Arial" w:hAnsi="Arial" w:cs="Arial"/>
                <w:szCs w:val="21"/>
                <w:highlight w:val="none"/>
              </w:rPr>
              <w:t>21</w:t>
            </w:r>
          </w:p>
        </w:tc>
        <w:tc>
          <w:tcPr>
            <w:tcW w:w="1920" w:type="dxa"/>
            <w:vAlign w:val="center"/>
          </w:tcPr>
          <w:p w14:paraId="5B8FBDE1">
            <w:pPr>
              <w:spacing w:line="276" w:lineRule="auto"/>
              <w:jc w:val="center"/>
              <w:rPr>
                <w:rFonts w:ascii="Arial" w:hAnsi="Arial" w:cs="Arial"/>
                <w:szCs w:val="21"/>
                <w:highlight w:val="none"/>
              </w:rPr>
            </w:pPr>
            <w:r>
              <w:rPr>
                <w:rFonts w:hint="eastAsia" w:ascii="宋体" w:hAnsi="宋体"/>
                <w:szCs w:val="21"/>
                <w:highlight w:val="none"/>
              </w:rPr>
              <w:t>竞争性磋商响应文件递交方式及截止时间</w:t>
            </w:r>
          </w:p>
        </w:tc>
        <w:tc>
          <w:tcPr>
            <w:tcW w:w="6530" w:type="dxa"/>
            <w:vAlign w:val="center"/>
          </w:tcPr>
          <w:p w14:paraId="25615D32">
            <w:pPr>
              <w:spacing w:line="360" w:lineRule="auto"/>
              <w:rPr>
                <w:rFonts w:ascii="Arial" w:hAnsi="Arial" w:cs="Arial"/>
                <w:b/>
                <w:szCs w:val="21"/>
                <w:highlight w:val="none"/>
              </w:rPr>
            </w:pPr>
            <w:r>
              <w:rPr>
                <w:rFonts w:hint="eastAsia" w:ascii="宋体" w:hAnsi="宋体"/>
                <w:szCs w:val="21"/>
                <w:highlight w:val="none"/>
              </w:rPr>
              <w:t>竞争性磋商响应文件递交方式：</w:t>
            </w:r>
            <w:r>
              <w:rPr>
                <w:rFonts w:hint="eastAsia" w:ascii="宋体" w:hAnsi="宋体" w:cs="Arial"/>
                <w:szCs w:val="21"/>
                <w:highlight w:val="none"/>
                <w:u w:val="single"/>
              </w:rPr>
              <w:t>通过“政府采购云平台</w:t>
            </w:r>
            <w:r>
              <w:rPr>
                <w:rFonts w:ascii="宋体" w:hAnsi="宋体" w:cs="Arial"/>
                <w:szCs w:val="21"/>
                <w:highlight w:val="none"/>
                <w:u w:val="single"/>
              </w:rPr>
              <w:t>”</w:t>
            </w:r>
            <w:r>
              <w:rPr>
                <w:rFonts w:hint="eastAsia" w:ascii="宋体" w:hAnsi="宋体" w:cs="Arial"/>
                <w:szCs w:val="21"/>
                <w:highlight w:val="none"/>
                <w:u w:val="single"/>
              </w:rPr>
              <w:t>实行在线投标响应</w:t>
            </w:r>
            <w:r>
              <w:rPr>
                <w:rFonts w:hint="eastAsia" w:ascii="Arial" w:hAnsi="Arial" w:cs="Arial"/>
                <w:szCs w:val="21"/>
                <w:highlight w:val="none"/>
              </w:rPr>
              <w:t>。截止上传时间：</w:t>
            </w:r>
            <w:r>
              <w:rPr>
                <w:rFonts w:hint="eastAsia" w:cs="Arial"/>
                <w:kern w:val="0"/>
                <w:sz w:val="21"/>
                <w:highlight w:val="none"/>
                <w:lang w:val="en-US" w:eastAsia="zh-CN" w:bidi="ar-SA"/>
              </w:rPr>
              <w:t>2025年1月10日 14:00</w:t>
            </w:r>
            <w:r>
              <w:rPr>
                <w:rFonts w:hint="eastAsia" w:ascii="Times New Roman" w:hAnsi="Times New Roman" w:eastAsia="宋体" w:cs="Arial"/>
                <w:kern w:val="0"/>
                <w:sz w:val="21"/>
                <w:highlight w:val="none"/>
                <w:lang w:val="en-US" w:eastAsia="zh-CN" w:bidi="ar-SA"/>
              </w:rPr>
              <w:t>（北京时间）</w:t>
            </w:r>
          </w:p>
          <w:p w14:paraId="6E0B511C">
            <w:pPr>
              <w:rPr>
                <w:szCs w:val="21"/>
                <w:highlight w:val="none"/>
              </w:rPr>
            </w:pPr>
            <w:r>
              <w:rPr>
                <w:rFonts w:hint="eastAsia"/>
                <w:szCs w:val="21"/>
                <w:highlight w:val="none"/>
              </w:rPr>
              <w:t>“电子加密投标文件”的上传、递交：</w:t>
            </w:r>
          </w:p>
          <w:p w14:paraId="43A8E62F">
            <w:pPr>
              <w:rPr>
                <w:szCs w:val="21"/>
                <w:highlight w:val="none"/>
              </w:rPr>
            </w:pPr>
            <w:r>
              <w:rPr>
                <w:szCs w:val="21"/>
                <w:highlight w:val="none"/>
              </w:rPr>
              <w:t>（1）</w:t>
            </w:r>
            <w:r>
              <w:rPr>
                <w:rFonts w:hint="eastAsia"/>
                <w:szCs w:val="21"/>
                <w:highlight w:val="none"/>
              </w:rPr>
              <w:t>投标供应商应在投标截止时间前将“电子加密投标文件”成功上传递交至“政府采购云平台”，否则投标无效。</w:t>
            </w:r>
          </w:p>
          <w:p w14:paraId="555B9FCB">
            <w:pPr>
              <w:rPr>
                <w:rFonts w:ascii="Arial" w:hAnsi="Arial" w:cs="Arial"/>
                <w:b/>
                <w:szCs w:val="21"/>
                <w:highlight w:val="none"/>
              </w:rPr>
            </w:pPr>
            <w:r>
              <w:rPr>
                <w:szCs w:val="21"/>
                <w:highlight w:val="none"/>
              </w:rPr>
              <w:t>（2）</w:t>
            </w:r>
            <w:r>
              <w:rPr>
                <w:rFonts w:hint="eastAsia"/>
                <w:szCs w:val="21"/>
                <w:highlight w:val="none"/>
              </w:rPr>
              <w:t>“电子加密投标文件”成功上传递交后，供应商可自行打印投标文件接收回执。</w:t>
            </w:r>
          </w:p>
        </w:tc>
      </w:tr>
      <w:tr w14:paraId="6923E8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vAlign w:val="center"/>
          </w:tcPr>
          <w:p w14:paraId="25636132">
            <w:pPr>
              <w:jc w:val="center"/>
              <w:rPr>
                <w:rFonts w:ascii="Arial" w:hAnsi="Arial" w:cs="Arial"/>
                <w:szCs w:val="21"/>
                <w:highlight w:val="none"/>
              </w:rPr>
            </w:pPr>
            <w:r>
              <w:rPr>
                <w:rFonts w:hint="eastAsia" w:ascii="Arial" w:hAnsi="Arial" w:cs="Arial"/>
                <w:szCs w:val="21"/>
                <w:highlight w:val="none"/>
              </w:rPr>
              <w:t>22</w:t>
            </w:r>
          </w:p>
        </w:tc>
        <w:tc>
          <w:tcPr>
            <w:tcW w:w="1920" w:type="dxa"/>
            <w:vAlign w:val="center"/>
          </w:tcPr>
          <w:p w14:paraId="54A19BFC">
            <w:pPr>
              <w:jc w:val="center"/>
              <w:rPr>
                <w:rFonts w:ascii="Arial" w:hAnsi="Arial" w:cs="Arial"/>
                <w:szCs w:val="21"/>
                <w:highlight w:val="none"/>
              </w:rPr>
            </w:pPr>
            <w:r>
              <w:rPr>
                <w:rFonts w:ascii="Arial" w:hAnsi="Arial" w:cs="Arial"/>
                <w:szCs w:val="21"/>
                <w:highlight w:val="none"/>
              </w:rPr>
              <w:t>竞争性磋商开始时间</w:t>
            </w:r>
          </w:p>
          <w:p w14:paraId="6FBE5C70">
            <w:pPr>
              <w:jc w:val="center"/>
              <w:rPr>
                <w:rFonts w:ascii="Arial" w:hAnsi="Arial" w:cs="Arial"/>
                <w:szCs w:val="21"/>
                <w:highlight w:val="none"/>
              </w:rPr>
            </w:pPr>
            <w:r>
              <w:rPr>
                <w:rFonts w:ascii="Arial" w:hAnsi="Arial" w:cs="Arial"/>
                <w:szCs w:val="21"/>
                <w:highlight w:val="none"/>
              </w:rPr>
              <w:t>竞争性磋商地点</w:t>
            </w:r>
          </w:p>
        </w:tc>
        <w:tc>
          <w:tcPr>
            <w:tcW w:w="6530" w:type="dxa"/>
            <w:vAlign w:val="center"/>
          </w:tcPr>
          <w:p w14:paraId="5E8DC723">
            <w:pPr>
              <w:rPr>
                <w:rFonts w:ascii="Arial" w:hAnsi="Arial" w:cs="Arial"/>
                <w:szCs w:val="21"/>
                <w:highlight w:val="none"/>
              </w:rPr>
            </w:pPr>
            <w:r>
              <w:rPr>
                <w:rFonts w:ascii="Arial" w:hAnsi="Arial" w:cs="Arial"/>
                <w:szCs w:val="21"/>
                <w:highlight w:val="none"/>
              </w:rPr>
              <w:t>竞争性磋商开始时间：</w:t>
            </w:r>
            <w:r>
              <w:rPr>
                <w:rFonts w:hint="eastAsia" w:cs="Arial"/>
                <w:kern w:val="0"/>
                <w:sz w:val="21"/>
                <w:highlight w:val="none"/>
                <w:lang w:val="en-US" w:eastAsia="zh-CN" w:bidi="ar-SA"/>
              </w:rPr>
              <w:t>2025年1月10日 14:00</w:t>
            </w:r>
            <w:r>
              <w:rPr>
                <w:rFonts w:hint="eastAsia" w:ascii="Times New Roman" w:hAnsi="Times New Roman" w:eastAsia="宋体" w:cs="Arial"/>
                <w:kern w:val="0"/>
                <w:sz w:val="21"/>
                <w:highlight w:val="none"/>
                <w:lang w:val="en-US" w:eastAsia="zh-CN" w:bidi="ar-SA"/>
              </w:rPr>
              <w:t>（北京时间）</w:t>
            </w:r>
          </w:p>
          <w:p w14:paraId="190452DE">
            <w:pPr>
              <w:rPr>
                <w:rFonts w:ascii="Arial" w:hAnsi="Arial" w:cs="Arial"/>
                <w:szCs w:val="21"/>
                <w:highlight w:val="none"/>
              </w:rPr>
            </w:pPr>
            <w:r>
              <w:rPr>
                <w:rFonts w:ascii="Arial" w:hAnsi="Arial" w:cs="Arial"/>
                <w:szCs w:val="21"/>
                <w:highlight w:val="none"/>
              </w:rPr>
              <w:t>竞争性磋商地点：</w:t>
            </w:r>
            <w:r>
              <w:rPr>
                <w:rFonts w:hint="eastAsia" w:ascii="Arial" w:hAnsi="Arial" w:cs="Arial"/>
                <w:szCs w:val="21"/>
                <w:highlight w:val="none"/>
                <w:lang w:eastAsia="zh-CN"/>
              </w:rPr>
              <w:t>嘉兴市华信工程咨询有限公司</w:t>
            </w:r>
            <w:r>
              <w:rPr>
                <w:rFonts w:hint="eastAsia" w:ascii="Arial" w:hAnsi="Arial" w:cs="Arial"/>
                <w:szCs w:val="21"/>
                <w:highlight w:val="none"/>
              </w:rPr>
              <w:t>（</w:t>
            </w:r>
            <w:r>
              <w:rPr>
                <w:rFonts w:hint="eastAsia" w:ascii="Arial" w:hAnsi="Arial" w:cs="Arial"/>
                <w:szCs w:val="21"/>
                <w:highlight w:val="none"/>
                <w:lang w:eastAsia="zh-CN"/>
              </w:rPr>
              <w:t>海盐县望海街道精工路118号盐东村综合楼108室</w:t>
            </w:r>
            <w:r>
              <w:rPr>
                <w:rFonts w:ascii="Arial" w:hAnsi="Arial" w:cs="Arial"/>
                <w:szCs w:val="21"/>
                <w:highlight w:val="none"/>
              </w:rPr>
              <w:t>会议室</w:t>
            </w:r>
            <w:r>
              <w:rPr>
                <w:rFonts w:hint="eastAsia" w:ascii="Arial" w:hAnsi="Arial" w:cs="Arial"/>
                <w:szCs w:val="21"/>
                <w:highlight w:val="none"/>
              </w:rPr>
              <w:t>）</w:t>
            </w:r>
          </w:p>
        </w:tc>
      </w:tr>
      <w:tr w14:paraId="18459F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38" w:hRule="atLeast"/>
          <w:jc w:val="center"/>
        </w:trPr>
        <w:tc>
          <w:tcPr>
            <w:tcW w:w="645" w:type="dxa"/>
            <w:vAlign w:val="center"/>
          </w:tcPr>
          <w:p w14:paraId="744130DC">
            <w:pPr>
              <w:jc w:val="center"/>
              <w:rPr>
                <w:rFonts w:ascii="Arial" w:hAnsi="Arial" w:cs="Arial"/>
                <w:szCs w:val="21"/>
                <w:highlight w:val="none"/>
              </w:rPr>
            </w:pPr>
            <w:r>
              <w:rPr>
                <w:rFonts w:ascii="Arial" w:hAnsi="Arial" w:cs="Arial"/>
                <w:szCs w:val="21"/>
                <w:highlight w:val="none"/>
              </w:rPr>
              <w:t>2</w:t>
            </w:r>
            <w:r>
              <w:rPr>
                <w:rFonts w:hint="eastAsia" w:ascii="Arial" w:hAnsi="Arial" w:cs="Arial"/>
                <w:szCs w:val="21"/>
                <w:highlight w:val="none"/>
              </w:rPr>
              <w:t>3</w:t>
            </w:r>
          </w:p>
        </w:tc>
        <w:tc>
          <w:tcPr>
            <w:tcW w:w="1920" w:type="dxa"/>
            <w:vAlign w:val="center"/>
          </w:tcPr>
          <w:p w14:paraId="733B72BB">
            <w:pPr>
              <w:jc w:val="center"/>
              <w:rPr>
                <w:rFonts w:ascii="Arial" w:hAnsi="Arial" w:cs="Arial"/>
                <w:szCs w:val="21"/>
                <w:highlight w:val="none"/>
              </w:rPr>
            </w:pPr>
            <w:r>
              <w:rPr>
                <w:rFonts w:ascii="Arial" w:hAnsi="Arial" w:cs="Arial"/>
                <w:szCs w:val="21"/>
                <w:highlight w:val="none"/>
              </w:rPr>
              <w:t>竞争性磋商</w:t>
            </w:r>
          </w:p>
          <w:p w14:paraId="5DECC739">
            <w:pPr>
              <w:jc w:val="center"/>
              <w:rPr>
                <w:rFonts w:ascii="Arial" w:hAnsi="Arial" w:cs="Arial"/>
                <w:szCs w:val="21"/>
                <w:highlight w:val="none"/>
              </w:rPr>
            </w:pPr>
            <w:r>
              <w:rPr>
                <w:rFonts w:ascii="Arial" w:hAnsi="Arial" w:cs="Arial"/>
                <w:szCs w:val="21"/>
                <w:highlight w:val="none"/>
              </w:rPr>
              <w:t>开标程序</w:t>
            </w:r>
          </w:p>
        </w:tc>
        <w:tc>
          <w:tcPr>
            <w:tcW w:w="6530" w:type="dxa"/>
            <w:vAlign w:val="center"/>
          </w:tcPr>
          <w:p w14:paraId="4DC91618">
            <w:pPr>
              <w:rPr>
                <w:szCs w:val="21"/>
                <w:highlight w:val="none"/>
              </w:rPr>
            </w:pPr>
            <w:r>
              <w:rPr>
                <w:rFonts w:hint="eastAsia"/>
                <w:szCs w:val="21"/>
                <w:highlight w:val="none"/>
              </w:rPr>
              <w:t>（1）开标后，采购组织机构将向各投标供应商发出“电子加密投标文件”的解密通知，各投标供应商代表应当在接到解密通知后30分钟内自行完成“电子加密投标文件”的在线解密。</w:t>
            </w:r>
          </w:p>
          <w:p w14:paraId="49BA7D11">
            <w:pPr>
              <w:rPr>
                <w:szCs w:val="21"/>
                <w:highlight w:val="none"/>
              </w:rPr>
            </w:pPr>
            <w:r>
              <w:rPr>
                <w:rFonts w:hint="eastAsia"/>
                <w:szCs w:val="21"/>
                <w:highlight w:val="none"/>
              </w:rPr>
              <w:t>（2）通过“政府采购云平台”成功上传递交的“电子加密投标文件”无法按时解密，投标供应商如按规定递交了“备份投标文件存储的数据电文”的，以“备份投标文件存储的数据电文”为依据（由采购组织机构按“政府采购云平台”操作规范将“备份投标文件.bfbs”上传至“政府采购云平台”，上传成功后，“电子加密投标文件”自动失效），否则视为投标文件撤回。</w:t>
            </w:r>
          </w:p>
          <w:p w14:paraId="36F96FBC">
            <w:pPr>
              <w:rPr>
                <w:szCs w:val="21"/>
                <w:highlight w:val="none"/>
              </w:rPr>
            </w:pPr>
            <w:r>
              <w:rPr>
                <w:rFonts w:hint="eastAsia"/>
                <w:szCs w:val="21"/>
                <w:highlight w:val="none"/>
              </w:rPr>
              <w:t>（3）投标截止时间前，投标供应商仅递交了“备份投标文件”而未将电子加密投标文件上传至“政府采购云平台”的，投标无效。</w:t>
            </w:r>
          </w:p>
          <w:p w14:paraId="2B9E7A78">
            <w:pPr>
              <w:rPr>
                <w:rFonts w:ascii="Arial" w:hAnsi="Arial" w:cs="Arial"/>
                <w:szCs w:val="21"/>
                <w:highlight w:val="none"/>
              </w:rPr>
            </w:pPr>
            <w:r>
              <w:rPr>
                <w:rFonts w:hint="eastAsia"/>
                <w:szCs w:val="21"/>
                <w:highlight w:val="none"/>
              </w:rPr>
              <w:t>（4）投标截止时间前，投标供应商未递交“备份投标文件”而将电子加密投标文件上传至“政府采购云平台”并成功解密的，投标有效。</w:t>
            </w:r>
          </w:p>
        </w:tc>
      </w:tr>
      <w:tr w14:paraId="036A49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645" w:type="dxa"/>
            <w:vAlign w:val="center"/>
          </w:tcPr>
          <w:p w14:paraId="3542782D">
            <w:pPr>
              <w:jc w:val="center"/>
              <w:rPr>
                <w:rFonts w:ascii="Arial" w:hAnsi="Arial" w:cs="Arial"/>
                <w:szCs w:val="21"/>
                <w:highlight w:val="none"/>
              </w:rPr>
            </w:pPr>
            <w:r>
              <w:rPr>
                <w:rFonts w:ascii="Arial" w:hAnsi="Arial" w:cs="Arial"/>
                <w:szCs w:val="21"/>
                <w:highlight w:val="none"/>
              </w:rPr>
              <w:t>2</w:t>
            </w:r>
            <w:r>
              <w:rPr>
                <w:rFonts w:hint="eastAsia" w:ascii="Arial" w:hAnsi="Arial" w:cs="Arial"/>
                <w:szCs w:val="21"/>
                <w:highlight w:val="none"/>
              </w:rPr>
              <w:t>4</w:t>
            </w:r>
          </w:p>
        </w:tc>
        <w:tc>
          <w:tcPr>
            <w:tcW w:w="1920" w:type="dxa"/>
            <w:vAlign w:val="center"/>
          </w:tcPr>
          <w:p w14:paraId="5EBEE6DB">
            <w:pPr>
              <w:jc w:val="center"/>
              <w:rPr>
                <w:rFonts w:ascii="Arial" w:hAnsi="Arial" w:cs="Arial"/>
                <w:szCs w:val="21"/>
                <w:highlight w:val="none"/>
              </w:rPr>
            </w:pPr>
            <w:r>
              <w:rPr>
                <w:rFonts w:ascii="Arial" w:hAnsi="Arial" w:cs="Arial"/>
                <w:szCs w:val="21"/>
                <w:highlight w:val="none"/>
              </w:rPr>
              <w:t>竞争性磋商小组的组建</w:t>
            </w:r>
          </w:p>
        </w:tc>
        <w:tc>
          <w:tcPr>
            <w:tcW w:w="6530" w:type="dxa"/>
            <w:vAlign w:val="center"/>
          </w:tcPr>
          <w:p w14:paraId="0FC4E732">
            <w:pPr>
              <w:rPr>
                <w:rFonts w:ascii="Arial" w:hAnsi="Arial" w:cs="Arial"/>
                <w:szCs w:val="21"/>
                <w:highlight w:val="none"/>
              </w:rPr>
            </w:pPr>
            <w:r>
              <w:rPr>
                <w:rFonts w:ascii="Arial" w:hAnsi="Arial" w:cs="Arial"/>
                <w:szCs w:val="21"/>
                <w:highlight w:val="none"/>
              </w:rPr>
              <w:t>竞争性磋商小组的构成：由采购人代表</w:t>
            </w:r>
            <w:r>
              <w:rPr>
                <w:rFonts w:hint="eastAsia" w:ascii="Arial" w:hAnsi="Arial" w:cs="Arial"/>
                <w:szCs w:val="21"/>
                <w:highlight w:val="none"/>
              </w:rPr>
              <w:t>1名</w:t>
            </w:r>
            <w:r>
              <w:rPr>
                <w:rFonts w:ascii="Arial" w:hAnsi="Arial" w:cs="Arial"/>
                <w:szCs w:val="21"/>
                <w:highlight w:val="none"/>
              </w:rPr>
              <w:t>以及有关技术、经济等方面的专家2</w:t>
            </w:r>
            <w:r>
              <w:rPr>
                <w:rFonts w:hint="eastAsia" w:ascii="Arial" w:hAnsi="Arial" w:cs="Arial"/>
                <w:szCs w:val="21"/>
                <w:highlight w:val="none"/>
              </w:rPr>
              <w:t>名，共</w:t>
            </w:r>
            <w:r>
              <w:rPr>
                <w:rFonts w:ascii="Arial" w:hAnsi="Arial" w:cs="Arial"/>
                <w:szCs w:val="21"/>
                <w:highlight w:val="none"/>
              </w:rPr>
              <w:t>3</w:t>
            </w:r>
            <w:r>
              <w:rPr>
                <w:rFonts w:hint="eastAsia" w:ascii="Arial" w:hAnsi="Arial" w:cs="Arial"/>
                <w:szCs w:val="21"/>
                <w:highlight w:val="none"/>
              </w:rPr>
              <w:t>人</w:t>
            </w:r>
            <w:r>
              <w:rPr>
                <w:rFonts w:ascii="Arial" w:hAnsi="Arial" w:cs="Arial"/>
                <w:szCs w:val="21"/>
                <w:highlight w:val="none"/>
              </w:rPr>
              <w:t>组成；</w:t>
            </w:r>
          </w:p>
          <w:p w14:paraId="19EB24BA">
            <w:pPr>
              <w:rPr>
                <w:rFonts w:ascii="Arial" w:hAnsi="Arial" w:cs="Arial"/>
                <w:szCs w:val="21"/>
                <w:highlight w:val="none"/>
              </w:rPr>
            </w:pPr>
            <w:r>
              <w:rPr>
                <w:rFonts w:ascii="Arial" w:hAnsi="Arial" w:cs="Arial"/>
                <w:szCs w:val="21"/>
                <w:highlight w:val="none"/>
              </w:rPr>
              <w:t>评审专家确定方式：按相关规定</w:t>
            </w:r>
            <w:r>
              <w:rPr>
                <w:rFonts w:hint="eastAsia" w:ascii="Arial" w:hAnsi="Arial" w:cs="Arial"/>
                <w:szCs w:val="21"/>
                <w:highlight w:val="none"/>
              </w:rPr>
              <w:t>执行</w:t>
            </w:r>
            <w:r>
              <w:rPr>
                <w:rFonts w:ascii="Arial" w:hAnsi="Arial" w:cs="Arial"/>
                <w:szCs w:val="21"/>
                <w:highlight w:val="none"/>
              </w:rPr>
              <w:t>。</w:t>
            </w:r>
          </w:p>
        </w:tc>
      </w:tr>
      <w:tr w14:paraId="3E8231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76" w:hRule="atLeast"/>
          <w:jc w:val="center"/>
        </w:trPr>
        <w:tc>
          <w:tcPr>
            <w:tcW w:w="645" w:type="dxa"/>
            <w:vAlign w:val="center"/>
          </w:tcPr>
          <w:p w14:paraId="31831D36">
            <w:pPr>
              <w:jc w:val="center"/>
              <w:rPr>
                <w:rFonts w:ascii="Arial" w:hAnsi="Arial" w:cs="Arial"/>
                <w:szCs w:val="21"/>
                <w:highlight w:val="none"/>
              </w:rPr>
            </w:pPr>
            <w:r>
              <w:rPr>
                <w:rFonts w:ascii="Arial" w:hAnsi="Arial" w:cs="Arial"/>
                <w:szCs w:val="21"/>
                <w:highlight w:val="none"/>
              </w:rPr>
              <w:t>2</w:t>
            </w:r>
            <w:r>
              <w:rPr>
                <w:rFonts w:hint="eastAsia" w:ascii="Arial" w:hAnsi="Arial" w:cs="Arial"/>
                <w:szCs w:val="21"/>
                <w:highlight w:val="none"/>
              </w:rPr>
              <w:t>5</w:t>
            </w:r>
          </w:p>
        </w:tc>
        <w:tc>
          <w:tcPr>
            <w:tcW w:w="1920" w:type="dxa"/>
            <w:vAlign w:val="center"/>
          </w:tcPr>
          <w:p w14:paraId="644756FD">
            <w:pPr>
              <w:jc w:val="center"/>
              <w:rPr>
                <w:rFonts w:ascii="Arial" w:hAnsi="Arial" w:cs="Arial"/>
                <w:szCs w:val="21"/>
                <w:highlight w:val="none"/>
              </w:rPr>
            </w:pPr>
            <w:r>
              <w:rPr>
                <w:rFonts w:hint="eastAsia" w:ascii="Arial" w:hAnsi="Arial" w:cs="Arial"/>
                <w:szCs w:val="21"/>
                <w:highlight w:val="none"/>
              </w:rPr>
              <w:t>质疑</w:t>
            </w:r>
          </w:p>
        </w:tc>
        <w:tc>
          <w:tcPr>
            <w:tcW w:w="6530" w:type="dxa"/>
            <w:vAlign w:val="center"/>
          </w:tcPr>
          <w:p w14:paraId="23E12A3A">
            <w:pPr>
              <w:rPr>
                <w:rFonts w:ascii="Arial" w:hAnsi="Arial" w:cs="Arial"/>
                <w:szCs w:val="21"/>
                <w:highlight w:val="none"/>
              </w:rPr>
            </w:pPr>
            <w:r>
              <w:rPr>
                <w:rFonts w:hint="eastAsia" w:ascii="Arial" w:hAnsi="Arial" w:cs="Arial"/>
                <w:szCs w:val="21"/>
                <w:highlight w:val="none"/>
              </w:rPr>
              <w:t>供应商认为磋商文件、磋商过程和成交、成交结果使自己的权益受到损害的，可以在知道或者应知其权益受到损害之日起七个工作日内，以书面形式向采购人、采购代理机构提出质疑。</w:t>
            </w:r>
          </w:p>
          <w:p w14:paraId="7297CCD9">
            <w:pPr>
              <w:rPr>
                <w:rFonts w:ascii="Arial" w:hAnsi="Arial" w:cs="Arial"/>
                <w:szCs w:val="21"/>
                <w:highlight w:val="none"/>
              </w:rPr>
            </w:pPr>
            <w:r>
              <w:rPr>
                <w:rFonts w:hint="eastAsia" w:ascii="Arial" w:hAnsi="Arial" w:cs="Arial"/>
                <w:szCs w:val="21"/>
                <w:highlight w:val="none"/>
              </w:rPr>
              <w:t>（一）对可以质疑的磋商文件提出质疑的，为收到磋商文件之日或者磋商文件公告期限届满之日；</w:t>
            </w:r>
          </w:p>
          <w:p w14:paraId="662BA790">
            <w:pPr>
              <w:rPr>
                <w:rFonts w:ascii="Arial" w:hAnsi="Arial" w:cs="Arial"/>
                <w:szCs w:val="21"/>
                <w:highlight w:val="none"/>
              </w:rPr>
            </w:pPr>
            <w:r>
              <w:rPr>
                <w:rFonts w:hint="eastAsia" w:ascii="Arial" w:hAnsi="Arial" w:cs="Arial"/>
                <w:szCs w:val="21"/>
                <w:highlight w:val="none"/>
              </w:rPr>
              <w:t>（二）对采购过程提出质疑的，为各采购程序环节结束之日；</w:t>
            </w:r>
          </w:p>
          <w:p w14:paraId="09314CC7">
            <w:pPr>
              <w:rPr>
                <w:rFonts w:ascii="Arial" w:hAnsi="Arial" w:cs="Arial"/>
                <w:szCs w:val="21"/>
                <w:highlight w:val="none"/>
              </w:rPr>
            </w:pPr>
            <w:r>
              <w:rPr>
                <w:rFonts w:hint="eastAsia" w:ascii="Arial" w:hAnsi="Arial" w:cs="Arial"/>
                <w:szCs w:val="21"/>
                <w:highlight w:val="none"/>
              </w:rPr>
              <w:t>（三）对成交结果提出质疑的，为成交结果公告期限届满之日。</w:t>
            </w:r>
          </w:p>
        </w:tc>
      </w:tr>
      <w:tr w14:paraId="6AE308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17"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14:paraId="472FB0E3">
            <w:pPr>
              <w:jc w:val="center"/>
              <w:rPr>
                <w:rFonts w:hint="eastAsia" w:ascii="Arial" w:hAnsi="Arial" w:eastAsia="宋体" w:cs="Arial"/>
                <w:szCs w:val="21"/>
                <w:highlight w:val="none"/>
                <w:lang w:eastAsia="zh-CN"/>
              </w:rPr>
            </w:pPr>
            <w:r>
              <w:rPr>
                <w:rFonts w:hint="eastAsia" w:ascii="Arial" w:hAnsi="Arial" w:cs="Arial"/>
                <w:szCs w:val="21"/>
                <w:highlight w:val="none"/>
              </w:rPr>
              <w:t>2</w:t>
            </w:r>
            <w:r>
              <w:rPr>
                <w:rFonts w:hint="eastAsia" w:ascii="Arial" w:hAnsi="Arial" w:cs="Arial"/>
                <w:szCs w:val="21"/>
                <w:highlight w:val="none"/>
                <w:lang w:val="en-US" w:eastAsia="zh-CN"/>
              </w:rPr>
              <w:t>6</w:t>
            </w:r>
          </w:p>
        </w:tc>
        <w:tc>
          <w:tcPr>
            <w:tcW w:w="1920" w:type="dxa"/>
            <w:tcBorders>
              <w:top w:val="single" w:color="auto" w:sz="4" w:space="0"/>
              <w:left w:val="single" w:color="auto" w:sz="4" w:space="0"/>
              <w:bottom w:val="single" w:color="auto" w:sz="4" w:space="0"/>
              <w:right w:val="single" w:color="auto" w:sz="4" w:space="0"/>
            </w:tcBorders>
            <w:vAlign w:val="center"/>
          </w:tcPr>
          <w:p w14:paraId="53F8854E">
            <w:pPr>
              <w:jc w:val="center"/>
              <w:rPr>
                <w:rFonts w:ascii="Arial" w:hAnsi="Arial" w:cs="Arial"/>
                <w:szCs w:val="21"/>
                <w:highlight w:val="none"/>
              </w:rPr>
            </w:pPr>
            <w:r>
              <w:rPr>
                <w:rFonts w:hint="eastAsia" w:ascii="Arial" w:hAnsi="Arial" w:cs="Arial"/>
                <w:szCs w:val="21"/>
                <w:highlight w:val="none"/>
              </w:rPr>
              <w:t>投诉</w:t>
            </w:r>
          </w:p>
        </w:tc>
        <w:tc>
          <w:tcPr>
            <w:tcW w:w="6530" w:type="dxa"/>
            <w:tcBorders>
              <w:top w:val="single" w:color="auto" w:sz="4" w:space="0"/>
              <w:left w:val="single" w:color="auto" w:sz="4" w:space="0"/>
              <w:bottom w:val="single" w:color="auto" w:sz="4" w:space="0"/>
              <w:right w:val="single" w:color="auto" w:sz="12" w:space="0"/>
            </w:tcBorders>
            <w:vAlign w:val="center"/>
          </w:tcPr>
          <w:p w14:paraId="02EDACB3">
            <w:pPr>
              <w:rPr>
                <w:rFonts w:ascii="Arial" w:hAnsi="Arial" w:cs="Arial"/>
                <w:szCs w:val="21"/>
                <w:highlight w:val="none"/>
              </w:rPr>
            </w:pPr>
            <w:r>
              <w:rPr>
                <w:rFonts w:hint="eastAsia" w:ascii="Arial" w:hAnsi="Arial" w:cs="Arial"/>
                <w:szCs w:val="21"/>
                <w:highlight w:val="none"/>
              </w:rPr>
              <w:t>质疑供应商对采购人、采购代理机构的答复不满意或者采购人、采购代理机构未在规定的时间内作出答复的，可以在答复期满后十五个工作日内向同级政府采购监督部门投诉。</w:t>
            </w:r>
          </w:p>
        </w:tc>
      </w:tr>
      <w:tr w14:paraId="5B832E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47"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14:paraId="65FBD680">
            <w:pPr>
              <w:jc w:val="center"/>
              <w:rPr>
                <w:rFonts w:hint="eastAsia" w:ascii="Arial" w:hAnsi="Arial" w:eastAsia="宋体" w:cs="Arial"/>
                <w:szCs w:val="21"/>
                <w:highlight w:val="none"/>
                <w:lang w:eastAsia="zh-CN"/>
              </w:rPr>
            </w:pPr>
            <w:r>
              <w:rPr>
                <w:rFonts w:hint="eastAsia" w:ascii="Arial" w:hAnsi="Arial" w:cs="Arial"/>
                <w:szCs w:val="21"/>
                <w:highlight w:val="none"/>
              </w:rPr>
              <w:t>2</w:t>
            </w:r>
            <w:r>
              <w:rPr>
                <w:rFonts w:hint="eastAsia" w:ascii="Arial" w:hAnsi="Arial" w:cs="Arial"/>
                <w:szCs w:val="21"/>
                <w:highlight w:val="none"/>
                <w:lang w:val="en-US" w:eastAsia="zh-CN"/>
              </w:rPr>
              <w:t>7</w:t>
            </w:r>
          </w:p>
        </w:tc>
        <w:tc>
          <w:tcPr>
            <w:tcW w:w="1920" w:type="dxa"/>
            <w:tcBorders>
              <w:top w:val="single" w:color="auto" w:sz="4" w:space="0"/>
              <w:left w:val="single" w:color="auto" w:sz="4" w:space="0"/>
              <w:bottom w:val="single" w:color="auto" w:sz="4" w:space="0"/>
              <w:right w:val="single" w:color="auto" w:sz="4" w:space="0"/>
            </w:tcBorders>
            <w:vAlign w:val="center"/>
          </w:tcPr>
          <w:p w14:paraId="288DEFB6">
            <w:pPr>
              <w:jc w:val="center"/>
              <w:rPr>
                <w:rFonts w:ascii="Arial" w:hAnsi="Arial" w:cs="Arial"/>
                <w:szCs w:val="21"/>
                <w:highlight w:val="none"/>
              </w:rPr>
            </w:pPr>
            <w:r>
              <w:rPr>
                <w:rFonts w:hint="eastAsia" w:ascii="Arial" w:hAnsi="Arial" w:cs="Arial"/>
                <w:szCs w:val="21"/>
                <w:highlight w:val="none"/>
              </w:rPr>
              <w:t>注意事项</w:t>
            </w:r>
          </w:p>
        </w:tc>
        <w:tc>
          <w:tcPr>
            <w:tcW w:w="6530" w:type="dxa"/>
            <w:tcBorders>
              <w:top w:val="single" w:color="auto" w:sz="4" w:space="0"/>
              <w:left w:val="single" w:color="auto" w:sz="4" w:space="0"/>
              <w:bottom w:val="single" w:color="auto" w:sz="4" w:space="0"/>
              <w:right w:val="single" w:color="auto" w:sz="12" w:space="0"/>
            </w:tcBorders>
            <w:vAlign w:val="center"/>
          </w:tcPr>
          <w:p w14:paraId="500731C6">
            <w:pPr>
              <w:rPr>
                <w:rFonts w:ascii="Arial" w:hAnsi="Arial" w:cs="Arial"/>
                <w:szCs w:val="21"/>
                <w:highlight w:val="none"/>
              </w:rPr>
            </w:pPr>
            <w:r>
              <w:rPr>
                <w:rFonts w:ascii="Arial" w:hAnsi="Arial" w:cs="Arial"/>
                <w:szCs w:val="21"/>
                <w:highlight w:val="none"/>
              </w:rPr>
              <w:t>1.磋商供应商如发现磋商文件及其评审办法中歧视性不公正条款或违法违规等内容时，请于答疑截止日期前同时向采购人、采购代理机构反映，逾期不得再对磋商文件的条款提出质疑。</w:t>
            </w:r>
          </w:p>
          <w:p w14:paraId="5B2D1686">
            <w:pPr>
              <w:rPr>
                <w:rFonts w:ascii="Arial" w:hAnsi="Arial" w:cs="Arial"/>
                <w:szCs w:val="21"/>
                <w:highlight w:val="none"/>
              </w:rPr>
            </w:pPr>
            <w:r>
              <w:rPr>
                <w:rFonts w:hint="eastAsia" w:ascii="Arial" w:hAnsi="Arial" w:cs="Arial"/>
                <w:szCs w:val="21"/>
                <w:highlight w:val="none"/>
              </w:rPr>
              <w:t>2．该项目成交公示期间，磋商供应商不得通过非正当途径、更不得通过非正当手段获取法律法规规定磋商小组（包括其他相关人员）应当保密的相关内容。即便由此获得资料（提供来源并经查实的例外）并作为向采购人或采购代理机构或监督管理部门提出异（质）疑或投诉或法院起诉的理由，均属于非法索取的依据。</w:t>
            </w:r>
          </w:p>
          <w:p w14:paraId="19B81F03">
            <w:pPr>
              <w:rPr>
                <w:rFonts w:ascii="Arial" w:hAnsi="Arial" w:cs="Arial"/>
                <w:szCs w:val="21"/>
                <w:highlight w:val="none"/>
              </w:rPr>
            </w:pPr>
            <w:r>
              <w:rPr>
                <w:rFonts w:hint="eastAsia" w:ascii="Arial" w:hAnsi="Arial" w:cs="Arial"/>
                <w:szCs w:val="21"/>
                <w:highlight w:val="none"/>
              </w:rPr>
              <w:t>3．质疑、投诉人未按前列序号第26条规定进行质疑、投诉（申诉）、举报等，均属于扰乱市场不良行为，直至公示。</w:t>
            </w:r>
          </w:p>
          <w:p w14:paraId="6BE53FFF">
            <w:pPr>
              <w:rPr>
                <w:rFonts w:ascii="Arial" w:hAnsi="Arial" w:cs="Arial"/>
                <w:szCs w:val="21"/>
                <w:highlight w:val="none"/>
              </w:rPr>
            </w:pPr>
            <w:r>
              <w:rPr>
                <w:rFonts w:hint="eastAsia" w:ascii="Arial" w:hAnsi="Arial" w:cs="Arial"/>
                <w:szCs w:val="21"/>
                <w:highlight w:val="none"/>
              </w:rPr>
              <w:t>4.磋商文件中凡标注“▲”的条款均为实质性要求，未响应的响应文件将作无效标处理。</w:t>
            </w:r>
          </w:p>
        </w:tc>
      </w:tr>
      <w:tr w14:paraId="2DB0D0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39"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14:paraId="7C480E60">
            <w:pPr>
              <w:jc w:val="center"/>
              <w:rPr>
                <w:rFonts w:hint="default" w:ascii="Arial" w:hAnsi="Arial" w:eastAsia="宋体" w:cs="Arial"/>
                <w:szCs w:val="21"/>
                <w:highlight w:val="none"/>
                <w:lang w:val="en-US" w:eastAsia="zh-CN"/>
              </w:rPr>
            </w:pPr>
            <w:r>
              <w:rPr>
                <w:rFonts w:hint="eastAsia" w:ascii="Arial" w:hAnsi="Arial" w:cs="Arial"/>
                <w:szCs w:val="21"/>
                <w:highlight w:val="none"/>
                <w:lang w:val="en-US" w:eastAsia="zh-CN"/>
              </w:rPr>
              <w:t>28</w:t>
            </w:r>
          </w:p>
        </w:tc>
        <w:tc>
          <w:tcPr>
            <w:tcW w:w="1920" w:type="dxa"/>
            <w:tcBorders>
              <w:top w:val="single" w:color="auto" w:sz="4" w:space="0"/>
              <w:left w:val="single" w:color="auto" w:sz="4" w:space="0"/>
              <w:bottom w:val="single" w:color="auto" w:sz="4" w:space="0"/>
              <w:right w:val="single" w:color="auto" w:sz="4" w:space="0"/>
            </w:tcBorders>
            <w:vAlign w:val="center"/>
          </w:tcPr>
          <w:p w14:paraId="0B5A7894">
            <w:pPr>
              <w:jc w:val="center"/>
              <w:rPr>
                <w:rFonts w:ascii="Arial" w:hAnsi="Arial" w:cs="Arial"/>
                <w:szCs w:val="21"/>
                <w:highlight w:val="none"/>
              </w:rPr>
            </w:pPr>
            <w:r>
              <w:rPr>
                <w:rFonts w:hint="eastAsia" w:ascii="Arial" w:hAnsi="Arial" w:cs="Arial"/>
                <w:szCs w:val="21"/>
                <w:highlight w:val="none"/>
              </w:rPr>
              <w:t>其他</w:t>
            </w:r>
          </w:p>
        </w:tc>
        <w:tc>
          <w:tcPr>
            <w:tcW w:w="6530" w:type="dxa"/>
            <w:tcBorders>
              <w:top w:val="single" w:color="auto" w:sz="4" w:space="0"/>
              <w:left w:val="single" w:color="auto" w:sz="4" w:space="0"/>
              <w:bottom w:val="single" w:color="auto" w:sz="4" w:space="0"/>
              <w:right w:val="single" w:color="auto" w:sz="12" w:space="0"/>
            </w:tcBorders>
            <w:vAlign w:val="center"/>
          </w:tcPr>
          <w:p w14:paraId="645C71FB">
            <w:pPr>
              <w:rPr>
                <w:rFonts w:ascii="Arial" w:hAnsi="Arial" w:cs="Arial"/>
                <w:szCs w:val="21"/>
                <w:highlight w:val="none"/>
              </w:rPr>
            </w:pPr>
            <w:r>
              <w:rPr>
                <w:rFonts w:hint="eastAsia" w:ascii="Arial" w:hAnsi="Arial" w:cs="Arial"/>
                <w:szCs w:val="21"/>
                <w:highlight w:val="none"/>
              </w:rPr>
              <w:t>是否允许采购进口产品：否。</w:t>
            </w:r>
          </w:p>
          <w:p w14:paraId="2560A0D3">
            <w:pPr>
              <w:rPr>
                <w:rFonts w:ascii="Arial" w:hAnsi="Arial" w:cs="Arial"/>
                <w:szCs w:val="21"/>
                <w:highlight w:val="none"/>
              </w:rPr>
            </w:pPr>
            <w:r>
              <w:rPr>
                <w:rFonts w:ascii="Arial" w:hAnsi="Arial" w:cs="Arial"/>
                <w:szCs w:val="21"/>
                <w:highlight w:val="none"/>
              </w:rPr>
              <w:t>本项目不适用节能产品条款</w:t>
            </w:r>
            <w:r>
              <w:rPr>
                <w:rFonts w:hint="eastAsia" w:ascii="Arial" w:hAnsi="Arial" w:cs="Arial"/>
                <w:szCs w:val="21"/>
                <w:highlight w:val="none"/>
              </w:rPr>
              <w:t>。</w:t>
            </w:r>
          </w:p>
        </w:tc>
      </w:tr>
      <w:tr w14:paraId="1D2BB0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14:paraId="51B943B3">
            <w:pPr>
              <w:jc w:val="center"/>
              <w:rPr>
                <w:rFonts w:hint="default" w:ascii="Arial" w:hAnsi="Arial" w:eastAsia="宋体" w:cs="Arial"/>
                <w:szCs w:val="21"/>
                <w:highlight w:val="none"/>
                <w:lang w:val="en-US" w:eastAsia="zh-CN"/>
              </w:rPr>
            </w:pPr>
            <w:r>
              <w:rPr>
                <w:rFonts w:hint="eastAsia" w:ascii="Arial" w:hAnsi="Arial" w:cs="Arial"/>
                <w:szCs w:val="21"/>
                <w:highlight w:val="none"/>
                <w:lang w:val="en-US" w:eastAsia="zh-CN"/>
              </w:rPr>
              <w:t>29</w:t>
            </w:r>
          </w:p>
        </w:tc>
        <w:tc>
          <w:tcPr>
            <w:tcW w:w="1920" w:type="dxa"/>
            <w:tcBorders>
              <w:top w:val="single" w:color="auto" w:sz="4" w:space="0"/>
              <w:left w:val="single" w:color="auto" w:sz="4" w:space="0"/>
              <w:bottom w:val="single" w:color="auto" w:sz="4" w:space="0"/>
              <w:right w:val="single" w:color="auto" w:sz="4" w:space="0"/>
            </w:tcBorders>
            <w:vAlign w:val="center"/>
          </w:tcPr>
          <w:p w14:paraId="517137C7">
            <w:pPr>
              <w:jc w:val="center"/>
              <w:rPr>
                <w:rFonts w:ascii="Arial" w:hAnsi="Arial" w:cs="Arial"/>
                <w:szCs w:val="21"/>
                <w:highlight w:val="none"/>
              </w:rPr>
            </w:pPr>
            <w:r>
              <w:rPr>
                <w:rFonts w:ascii="Arial" w:hAnsi="Arial" w:cs="Arial"/>
                <w:szCs w:val="21"/>
                <w:highlight w:val="none"/>
              </w:rPr>
              <w:t>解释权</w:t>
            </w:r>
          </w:p>
        </w:tc>
        <w:tc>
          <w:tcPr>
            <w:tcW w:w="6530" w:type="dxa"/>
            <w:tcBorders>
              <w:top w:val="single" w:color="auto" w:sz="4" w:space="0"/>
              <w:left w:val="single" w:color="auto" w:sz="4" w:space="0"/>
              <w:bottom w:val="single" w:color="auto" w:sz="4" w:space="0"/>
              <w:right w:val="single" w:color="auto" w:sz="12" w:space="0"/>
            </w:tcBorders>
            <w:vAlign w:val="center"/>
          </w:tcPr>
          <w:p w14:paraId="514FFC57">
            <w:pPr>
              <w:rPr>
                <w:rFonts w:ascii="Arial" w:hAnsi="Arial" w:cs="Arial"/>
                <w:szCs w:val="21"/>
                <w:highlight w:val="none"/>
              </w:rPr>
            </w:pPr>
            <w:r>
              <w:rPr>
                <w:rFonts w:ascii="Arial" w:hAnsi="Arial" w:cs="Arial"/>
                <w:szCs w:val="21"/>
                <w:highlight w:val="none"/>
              </w:rPr>
              <w:t>构成本竞争性磋商文件的各个组成文件应互为解释，互为说明；如有不明确或不一致，构成合同文件组成内容的，以合同文件约定内容为准；仅适用于竞争性磋商阶段的约定，按采购公告、竞争性磋商供应商须知、评定办法、竞争性磋商响应文件格式的先后顺序解释；同一文件中就同一事项的约定不一致的，以逻辑顺序在后者为准；同一文件不同版本之间有不一致的，以形成时间在后者为准。按本款前述约定仍不能形成结论的，由采购组织单位负责解释。</w:t>
            </w:r>
          </w:p>
        </w:tc>
      </w:tr>
    </w:tbl>
    <w:p w14:paraId="3BEC48ED">
      <w:pPr>
        <w:rPr>
          <w:highlight w:val="none"/>
        </w:rPr>
      </w:pPr>
    </w:p>
    <w:p w14:paraId="2F8829EF">
      <w:pPr>
        <w:pStyle w:val="3"/>
        <w:rPr>
          <w:highlight w:val="none"/>
        </w:rPr>
      </w:pPr>
    </w:p>
    <w:p w14:paraId="6EE20CDC">
      <w:pPr>
        <w:pStyle w:val="5"/>
        <w:spacing w:beforeLines="50" w:afterLines="50" w:line="240" w:lineRule="auto"/>
        <w:jc w:val="center"/>
        <w:rPr>
          <w:rFonts w:ascii="Arial" w:hAnsi="Arial" w:cs="Arial"/>
          <w:sz w:val="24"/>
          <w:szCs w:val="24"/>
          <w:highlight w:val="none"/>
        </w:rPr>
      </w:pPr>
      <w:bookmarkStart w:id="4" w:name="_Toc22409"/>
      <w:r>
        <w:rPr>
          <w:rFonts w:ascii="Arial" w:hAnsi="Arial" w:cs="Arial"/>
          <w:sz w:val="24"/>
          <w:szCs w:val="24"/>
          <w:highlight w:val="none"/>
        </w:rPr>
        <w:t>（二）总则</w:t>
      </w:r>
      <w:bookmarkEnd w:id="4"/>
    </w:p>
    <w:p w14:paraId="458AB61F">
      <w:pPr>
        <w:numPr>
          <w:ilvl w:val="0"/>
          <w:numId w:val="3"/>
        </w:numPr>
        <w:snapToGrid w:val="0"/>
        <w:spacing w:line="400" w:lineRule="atLeast"/>
        <w:jc w:val="both"/>
        <w:rPr>
          <w:rFonts w:ascii="Arial" w:hAnsi="Arial" w:cs="Arial"/>
          <w:b/>
          <w:sz w:val="24"/>
          <w:highlight w:val="none"/>
        </w:rPr>
      </w:pPr>
      <w:r>
        <w:rPr>
          <w:rFonts w:ascii="Arial" w:hAnsi="Arial" w:cs="Arial"/>
          <w:b/>
          <w:sz w:val="24"/>
          <w:highlight w:val="none"/>
        </w:rPr>
        <w:t>说明</w:t>
      </w:r>
    </w:p>
    <w:p w14:paraId="0643CE8A">
      <w:pPr>
        <w:numPr>
          <w:ilvl w:val="1"/>
          <w:numId w:val="3"/>
        </w:numPr>
        <w:snapToGrid w:val="0"/>
        <w:spacing w:line="400" w:lineRule="atLeast"/>
        <w:jc w:val="both"/>
        <w:rPr>
          <w:rFonts w:ascii="Arial" w:hAnsi="Arial" w:cs="Arial"/>
          <w:highlight w:val="none"/>
        </w:rPr>
      </w:pPr>
      <w:r>
        <w:rPr>
          <w:rFonts w:ascii="Arial" w:hAnsi="Arial" w:cs="Arial"/>
          <w:highlight w:val="none"/>
        </w:rPr>
        <w:t>本次竞争性磋商工作是按照《中华人民共和国政府采购法》、浙江省及项目所在地的有关政府采购规定，结合本项目的实际，组织和实施。</w:t>
      </w:r>
    </w:p>
    <w:p w14:paraId="56CBA122">
      <w:pPr>
        <w:numPr>
          <w:ilvl w:val="1"/>
          <w:numId w:val="3"/>
        </w:numPr>
        <w:snapToGrid w:val="0"/>
        <w:spacing w:line="400" w:lineRule="atLeast"/>
        <w:jc w:val="both"/>
        <w:rPr>
          <w:rFonts w:ascii="Arial" w:hAnsi="Arial" w:cs="Arial"/>
          <w:highlight w:val="none"/>
        </w:rPr>
      </w:pPr>
      <w:r>
        <w:rPr>
          <w:rFonts w:ascii="Arial" w:hAnsi="Arial" w:cs="Arial"/>
          <w:highlight w:val="none"/>
        </w:rPr>
        <w:t>资金来源：已落实。</w:t>
      </w:r>
    </w:p>
    <w:p w14:paraId="5B04D2F4">
      <w:pPr>
        <w:numPr>
          <w:ilvl w:val="0"/>
          <w:numId w:val="3"/>
        </w:numPr>
        <w:snapToGrid w:val="0"/>
        <w:spacing w:line="400" w:lineRule="atLeast"/>
        <w:jc w:val="both"/>
        <w:rPr>
          <w:rFonts w:ascii="Arial" w:hAnsi="Arial" w:cs="Arial"/>
          <w:b/>
          <w:sz w:val="24"/>
          <w:highlight w:val="none"/>
        </w:rPr>
      </w:pPr>
      <w:r>
        <w:rPr>
          <w:rFonts w:ascii="Arial" w:hAnsi="Arial" w:cs="Arial"/>
          <w:b/>
          <w:sz w:val="24"/>
          <w:highlight w:val="none"/>
        </w:rPr>
        <w:t>定义及解释</w:t>
      </w:r>
    </w:p>
    <w:p w14:paraId="7B7ED85C">
      <w:pPr>
        <w:numPr>
          <w:ilvl w:val="1"/>
          <w:numId w:val="3"/>
        </w:numPr>
        <w:snapToGrid w:val="0"/>
        <w:spacing w:line="400" w:lineRule="atLeast"/>
        <w:jc w:val="both"/>
        <w:rPr>
          <w:rFonts w:ascii="Arial" w:hAnsi="Arial" w:cs="Arial"/>
          <w:highlight w:val="none"/>
        </w:rPr>
      </w:pPr>
      <w:r>
        <w:rPr>
          <w:rFonts w:ascii="Arial" w:hAnsi="Arial" w:cs="Arial"/>
          <w:highlight w:val="none"/>
        </w:rPr>
        <w:t>采购人：</w:t>
      </w:r>
      <w:r>
        <w:rPr>
          <w:rFonts w:hint="eastAsia" w:ascii="Arial" w:hAnsi="Arial" w:cs="Arial"/>
          <w:highlight w:val="none"/>
          <w:lang w:eastAsia="zh-CN"/>
        </w:rPr>
        <w:t>海盐县卫生健康局</w:t>
      </w:r>
      <w:r>
        <w:rPr>
          <w:rFonts w:ascii="Arial" w:hAnsi="Arial" w:cs="Arial"/>
          <w:highlight w:val="none"/>
        </w:rPr>
        <w:t>；</w:t>
      </w:r>
    </w:p>
    <w:p w14:paraId="0EFE70C2">
      <w:pPr>
        <w:numPr>
          <w:ilvl w:val="1"/>
          <w:numId w:val="3"/>
        </w:numPr>
        <w:snapToGrid w:val="0"/>
        <w:spacing w:line="400" w:lineRule="atLeast"/>
        <w:jc w:val="both"/>
        <w:rPr>
          <w:rFonts w:ascii="Arial" w:hAnsi="Arial" w:cs="Arial"/>
          <w:highlight w:val="none"/>
        </w:rPr>
      </w:pPr>
      <w:r>
        <w:rPr>
          <w:rFonts w:ascii="Arial" w:hAnsi="Arial" w:cs="Arial"/>
          <w:highlight w:val="none"/>
        </w:rPr>
        <w:t>采购代理机构：</w:t>
      </w:r>
      <w:r>
        <w:rPr>
          <w:rFonts w:hint="eastAsia" w:ascii="Arial" w:hAnsi="Arial" w:cs="Arial"/>
          <w:highlight w:val="none"/>
          <w:lang w:eastAsia="zh-CN"/>
        </w:rPr>
        <w:t>嘉兴市华信工程咨询有限公司</w:t>
      </w:r>
      <w:r>
        <w:rPr>
          <w:rFonts w:ascii="Arial" w:hAnsi="Arial" w:cs="Arial"/>
          <w:highlight w:val="none"/>
        </w:rPr>
        <w:t>；</w:t>
      </w:r>
    </w:p>
    <w:p w14:paraId="25BCDA17">
      <w:pPr>
        <w:numPr>
          <w:ilvl w:val="1"/>
          <w:numId w:val="3"/>
        </w:numPr>
        <w:snapToGrid w:val="0"/>
        <w:spacing w:line="400" w:lineRule="atLeast"/>
        <w:jc w:val="both"/>
        <w:rPr>
          <w:rFonts w:ascii="Arial" w:hAnsi="Arial" w:cs="Arial"/>
          <w:highlight w:val="none"/>
        </w:rPr>
      </w:pPr>
      <w:r>
        <w:rPr>
          <w:rFonts w:ascii="Arial" w:hAnsi="Arial" w:cs="Arial"/>
          <w:highlight w:val="none"/>
        </w:rPr>
        <w:t>竞争性磋商供应商：竞争性磋商供应商是响应采购、参加竞争性磋商竞争的依法成立的的供应商；</w:t>
      </w:r>
    </w:p>
    <w:p w14:paraId="4E9539A1">
      <w:pPr>
        <w:numPr>
          <w:ilvl w:val="1"/>
          <w:numId w:val="3"/>
        </w:numPr>
        <w:snapToGrid w:val="0"/>
        <w:spacing w:line="400" w:lineRule="atLeast"/>
        <w:jc w:val="both"/>
        <w:rPr>
          <w:rFonts w:ascii="Arial" w:hAnsi="Arial" w:cs="Arial"/>
          <w:highlight w:val="none"/>
        </w:rPr>
      </w:pPr>
      <w:r>
        <w:rPr>
          <w:rFonts w:ascii="Arial" w:hAnsi="Arial" w:cs="Arial"/>
          <w:highlight w:val="none"/>
        </w:rPr>
        <w:t>成交供应商：系指在本次竞争性磋商中成交的竞争性磋商供应商；</w:t>
      </w:r>
    </w:p>
    <w:p w14:paraId="7046D3D5">
      <w:pPr>
        <w:numPr>
          <w:ilvl w:val="1"/>
          <w:numId w:val="3"/>
        </w:numPr>
        <w:snapToGrid w:val="0"/>
        <w:spacing w:line="400" w:lineRule="atLeast"/>
        <w:jc w:val="both"/>
        <w:rPr>
          <w:rFonts w:ascii="Arial" w:hAnsi="Arial" w:cs="Arial"/>
          <w:highlight w:val="none"/>
        </w:rPr>
      </w:pPr>
      <w:r>
        <w:rPr>
          <w:rFonts w:ascii="Arial" w:hAnsi="Arial" w:cs="Arial"/>
          <w:highlight w:val="none"/>
        </w:rPr>
        <w:t>竞争性磋商小组：竞争性磋商小组是依《政府采购法》组建的专门负责采购评审工作的临时性机构；</w:t>
      </w:r>
    </w:p>
    <w:p w14:paraId="15014F74">
      <w:pPr>
        <w:numPr>
          <w:ilvl w:val="1"/>
          <w:numId w:val="3"/>
        </w:numPr>
        <w:snapToGrid w:val="0"/>
        <w:spacing w:line="400" w:lineRule="atLeast"/>
        <w:jc w:val="both"/>
        <w:rPr>
          <w:rFonts w:ascii="Arial" w:hAnsi="Arial" w:cs="Arial"/>
          <w:highlight w:val="none"/>
        </w:rPr>
      </w:pPr>
      <w:r>
        <w:rPr>
          <w:rFonts w:ascii="Arial" w:hAnsi="Arial" w:cs="Arial"/>
          <w:highlight w:val="none"/>
        </w:rPr>
        <w:t>日期：指公历日；</w:t>
      </w:r>
    </w:p>
    <w:p w14:paraId="37FD9B06">
      <w:pPr>
        <w:numPr>
          <w:ilvl w:val="1"/>
          <w:numId w:val="3"/>
        </w:numPr>
        <w:snapToGrid w:val="0"/>
        <w:spacing w:line="400" w:lineRule="atLeast"/>
        <w:jc w:val="both"/>
        <w:rPr>
          <w:rFonts w:ascii="Arial" w:hAnsi="Arial" w:cs="Arial"/>
          <w:highlight w:val="none"/>
        </w:rPr>
      </w:pPr>
      <w:r>
        <w:rPr>
          <w:rFonts w:ascii="Arial" w:hAnsi="Arial" w:cs="Arial"/>
          <w:highlight w:val="none"/>
        </w:rPr>
        <w:t>合同：指由采购所产生的合同或合约文件</w:t>
      </w:r>
      <w:r>
        <w:rPr>
          <w:rFonts w:hint="eastAsia" w:ascii="Arial" w:hAnsi="Arial" w:cs="Arial"/>
          <w:highlight w:val="none"/>
        </w:rPr>
        <w:t>；</w:t>
      </w:r>
    </w:p>
    <w:p w14:paraId="4E47246E">
      <w:pPr>
        <w:numPr>
          <w:ilvl w:val="1"/>
          <w:numId w:val="3"/>
        </w:numPr>
        <w:snapToGrid w:val="0"/>
        <w:spacing w:line="400" w:lineRule="atLeast"/>
        <w:jc w:val="both"/>
        <w:rPr>
          <w:rFonts w:hint="default" w:ascii="Arial" w:hAnsi="Arial" w:cs="Arial"/>
          <w:color w:val="auto"/>
          <w:highlight w:val="none"/>
          <w:lang w:val="en-US" w:eastAsia="zh-CN"/>
        </w:rPr>
      </w:pPr>
      <w:r>
        <w:rPr>
          <w:rFonts w:ascii="Arial" w:hAnsi="Arial" w:cs="Arial"/>
          <w:highlight w:val="none"/>
        </w:rPr>
        <w:t>“书面形式”是指任何手写的、打印的或印刷的文件，包括电报和传真发送。</w:t>
      </w:r>
    </w:p>
    <w:p w14:paraId="74F607D3">
      <w:pPr>
        <w:numPr>
          <w:ilvl w:val="0"/>
          <w:numId w:val="3"/>
        </w:numPr>
        <w:snapToGrid w:val="0"/>
        <w:spacing w:line="400" w:lineRule="atLeast"/>
        <w:jc w:val="both"/>
        <w:rPr>
          <w:rFonts w:ascii="Arial" w:hAnsi="Arial" w:cs="Arial"/>
          <w:b/>
          <w:sz w:val="24"/>
          <w:highlight w:val="none"/>
        </w:rPr>
      </w:pPr>
      <w:r>
        <w:rPr>
          <w:rFonts w:ascii="Arial" w:hAnsi="Arial" w:cs="Arial"/>
          <w:b/>
          <w:sz w:val="24"/>
          <w:highlight w:val="none"/>
        </w:rPr>
        <w:t>合格的竞争性磋商供应商</w:t>
      </w:r>
    </w:p>
    <w:p w14:paraId="7995BE16">
      <w:pPr>
        <w:numPr>
          <w:ilvl w:val="1"/>
          <w:numId w:val="3"/>
        </w:numPr>
        <w:snapToGrid w:val="0"/>
        <w:spacing w:line="400" w:lineRule="atLeast"/>
        <w:jc w:val="both"/>
        <w:rPr>
          <w:rFonts w:ascii="Arial" w:hAnsi="Arial" w:cs="Arial"/>
          <w:color w:val="auto"/>
          <w:highlight w:val="none"/>
        </w:rPr>
      </w:pPr>
      <w:r>
        <w:rPr>
          <w:rFonts w:hint="eastAsia" w:ascii="Arial" w:hAnsi="Arial" w:cs="Arial"/>
          <w:highlight w:val="none"/>
        </w:rPr>
        <w:t>满足《中华人民共和国政府采购法》第二十二条规定；未被“信用中国”（www.creditchina.gov.cn)、中国政府采购网（www.ccgp.gov.cn）列入失信被执行人、重大税收违法案件</w:t>
      </w:r>
      <w:r>
        <w:rPr>
          <w:rFonts w:hint="eastAsia" w:ascii="Arial" w:hAnsi="Arial" w:cs="Arial"/>
          <w:color w:val="auto"/>
          <w:highlight w:val="none"/>
        </w:rPr>
        <w:t>当事人名单、政府采购严重违法失信行为记录名单。</w:t>
      </w:r>
    </w:p>
    <w:p w14:paraId="3CE50BF7">
      <w:pPr>
        <w:numPr>
          <w:ilvl w:val="1"/>
          <w:numId w:val="3"/>
        </w:numPr>
        <w:snapToGrid w:val="0"/>
        <w:spacing w:line="400" w:lineRule="atLeast"/>
        <w:jc w:val="both"/>
        <w:rPr>
          <w:rFonts w:ascii="Arial" w:hAnsi="Arial" w:cs="Arial"/>
          <w:color w:val="auto"/>
          <w:highlight w:val="none"/>
        </w:rPr>
      </w:pPr>
      <w:r>
        <w:rPr>
          <w:rFonts w:hint="eastAsia" w:ascii="Arial" w:hAnsi="Arial" w:cs="Arial"/>
          <w:color w:val="auto"/>
          <w:highlight w:val="none"/>
          <w:lang w:eastAsia="zh-CN"/>
        </w:rPr>
        <w:t>落实政府采购政策需满足的资格要求：供应商为中小企业</w:t>
      </w:r>
      <w:r>
        <w:rPr>
          <w:rFonts w:hint="eastAsia" w:ascii="Times New Roman" w:hAnsi="宋体" w:eastAsia="宋体" w:cs="Times New Roman"/>
          <w:color w:val="auto"/>
          <w:szCs w:val="21"/>
          <w:highlight w:val="none"/>
          <w:lang w:eastAsia="zh-CN"/>
        </w:rPr>
        <w:t>。</w:t>
      </w:r>
    </w:p>
    <w:p w14:paraId="5E7C6A03">
      <w:pPr>
        <w:numPr>
          <w:ilvl w:val="1"/>
          <w:numId w:val="3"/>
        </w:numPr>
        <w:snapToGrid w:val="0"/>
        <w:spacing w:line="400" w:lineRule="atLeast"/>
        <w:jc w:val="both"/>
        <w:rPr>
          <w:rFonts w:ascii="Arial" w:hAnsi="Arial" w:cs="Arial"/>
          <w:color w:val="auto"/>
          <w:highlight w:val="none"/>
        </w:rPr>
      </w:pPr>
      <w:r>
        <w:rPr>
          <w:rFonts w:hint="eastAsia" w:ascii="Arial" w:hAnsi="Arial" w:cs="Arial"/>
          <w:color w:val="auto"/>
          <w:highlight w:val="none"/>
          <w:lang w:eastAsia="zh-CN"/>
        </w:rPr>
        <w:t xml:space="preserve">本项目的特定资格要求： / </w:t>
      </w:r>
      <w:r>
        <w:rPr>
          <w:rFonts w:hint="eastAsia" w:ascii="Arial" w:hAnsi="Arial" w:cs="Arial"/>
          <w:color w:val="auto"/>
          <w:highlight w:val="none"/>
          <w:lang w:val="en-US" w:eastAsia="zh-CN"/>
        </w:rPr>
        <w:t>。</w:t>
      </w:r>
    </w:p>
    <w:p w14:paraId="01EA1449">
      <w:pPr>
        <w:numPr>
          <w:ilvl w:val="0"/>
          <w:numId w:val="3"/>
        </w:numPr>
        <w:spacing w:line="400" w:lineRule="atLeast"/>
        <w:rPr>
          <w:rFonts w:ascii="Arial" w:hAnsi="Arial" w:cs="Arial"/>
          <w:b/>
          <w:color w:val="auto"/>
          <w:sz w:val="24"/>
          <w:highlight w:val="none"/>
        </w:rPr>
      </w:pPr>
      <w:r>
        <w:rPr>
          <w:rFonts w:ascii="Arial" w:hAnsi="Arial" w:cs="Arial"/>
          <w:b/>
          <w:color w:val="auto"/>
          <w:sz w:val="24"/>
          <w:highlight w:val="none"/>
        </w:rPr>
        <w:t>保密与披露事项</w:t>
      </w:r>
    </w:p>
    <w:p w14:paraId="288673E4">
      <w:pPr>
        <w:numPr>
          <w:ilvl w:val="1"/>
          <w:numId w:val="3"/>
        </w:numPr>
        <w:spacing w:line="400" w:lineRule="atLeast"/>
        <w:rPr>
          <w:rFonts w:ascii="Arial" w:hAnsi="Arial" w:cs="Arial"/>
          <w:highlight w:val="none"/>
        </w:rPr>
      </w:pPr>
      <w:r>
        <w:rPr>
          <w:rFonts w:ascii="Arial" w:hAnsi="Arial" w:cs="Arial"/>
          <w:highlight w:val="none"/>
        </w:rPr>
        <w:t>竞争性磋商供应商不得串通，以不正当的手段妨碍排挤其他竞争性磋商供应商，扰乱市场，破坏公平竞争原则。</w:t>
      </w:r>
    </w:p>
    <w:p w14:paraId="281A3076">
      <w:pPr>
        <w:numPr>
          <w:ilvl w:val="1"/>
          <w:numId w:val="3"/>
        </w:numPr>
        <w:spacing w:line="400" w:lineRule="atLeast"/>
        <w:jc w:val="both"/>
        <w:rPr>
          <w:rFonts w:ascii="Arial" w:hAnsi="Arial" w:cs="Arial"/>
          <w:highlight w:val="none"/>
        </w:rPr>
      </w:pPr>
      <w:r>
        <w:rPr>
          <w:rFonts w:ascii="Arial" w:hAnsi="Arial" w:cs="Arial"/>
          <w:highlight w:val="none"/>
        </w:rPr>
        <w:t>竞争性磋商供应商自</w:t>
      </w:r>
      <w:r>
        <w:rPr>
          <w:rFonts w:hint="eastAsia" w:ascii="Arial" w:hAnsi="Arial" w:cs="Arial"/>
          <w:highlight w:val="none"/>
        </w:rPr>
        <w:t>获取</w:t>
      </w:r>
      <w:r>
        <w:rPr>
          <w:rFonts w:ascii="Arial" w:hAnsi="Arial" w:cs="Arial"/>
          <w:highlight w:val="none"/>
        </w:rPr>
        <w:t>竞争性磋商文件之日起，须承诺承担本竞争性磋商项目下保密义务，不得将因本次竞争性磋商获得的信息向第三方外传。</w:t>
      </w:r>
    </w:p>
    <w:p w14:paraId="6A80215D">
      <w:pPr>
        <w:numPr>
          <w:ilvl w:val="1"/>
          <w:numId w:val="3"/>
        </w:numPr>
        <w:spacing w:line="400" w:lineRule="atLeast"/>
        <w:jc w:val="both"/>
        <w:rPr>
          <w:rFonts w:ascii="Arial" w:hAnsi="Arial" w:cs="Arial"/>
          <w:highlight w:val="none"/>
        </w:rPr>
      </w:pPr>
      <w:r>
        <w:rPr>
          <w:rFonts w:ascii="Arial" w:hAnsi="Arial" w:cs="Arial"/>
          <w:highlight w:val="none"/>
        </w:rPr>
        <w:t>采购代理机构有权将竞争性磋商供应商提供的所有资料向其他政府部门或有关的非政府机构负责评审标书的人员或与评审有关的人员披露。</w:t>
      </w:r>
    </w:p>
    <w:p w14:paraId="494A2B6B">
      <w:pPr>
        <w:numPr>
          <w:ilvl w:val="1"/>
          <w:numId w:val="3"/>
        </w:numPr>
        <w:spacing w:line="400" w:lineRule="atLeast"/>
        <w:jc w:val="both"/>
        <w:rPr>
          <w:rFonts w:ascii="Arial" w:hAnsi="Arial" w:cs="Arial"/>
          <w:sz w:val="24"/>
          <w:highlight w:val="none"/>
        </w:rPr>
      </w:pPr>
      <w:r>
        <w:rPr>
          <w:rFonts w:ascii="Arial" w:hAnsi="Arial" w:cs="Arial"/>
          <w:highlight w:val="none"/>
        </w:rPr>
        <w:t>采购代理机构有权在认为适当时，或在任何第三者提出要求（书面或其他方式）时，无须事先征求成交供应商同意而披露关于已订立合约的资料、成交供应商的名称及地址、成交服务的有关信息以及合约条款等。</w:t>
      </w:r>
    </w:p>
    <w:p w14:paraId="2C07F6CA">
      <w:pPr>
        <w:numPr>
          <w:ilvl w:val="0"/>
          <w:numId w:val="3"/>
        </w:numPr>
        <w:spacing w:line="400" w:lineRule="atLeast"/>
        <w:rPr>
          <w:rFonts w:ascii="Arial" w:hAnsi="Arial" w:cs="Arial"/>
          <w:b/>
          <w:sz w:val="24"/>
          <w:highlight w:val="none"/>
        </w:rPr>
      </w:pPr>
      <w:r>
        <w:rPr>
          <w:rFonts w:ascii="Arial" w:hAnsi="Arial" w:cs="Arial"/>
          <w:b/>
          <w:sz w:val="24"/>
          <w:highlight w:val="none"/>
        </w:rPr>
        <w:t>竞争性磋商费用</w:t>
      </w:r>
    </w:p>
    <w:p w14:paraId="1FD2824E">
      <w:pPr>
        <w:numPr>
          <w:ilvl w:val="1"/>
          <w:numId w:val="3"/>
        </w:numPr>
        <w:spacing w:line="400" w:lineRule="atLeast"/>
        <w:rPr>
          <w:rFonts w:ascii="Arial" w:hAnsi="Arial" w:cs="Arial"/>
          <w:highlight w:val="none"/>
        </w:rPr>
      </w:pPr>
      <w:r>
        <w:rPr>
          <w:rFonts w:ascii="Arial" w:hAnsi="Arial" w:cs="Arial"/>
          <w:highlight w:val="none"/>
        </w:rPr>
        <w:t>竞争性磋商供应商应承担所有与编写和提交竞争性磋商响应文件有关的费用，不论竞争性磋商的结果如何，采购代理机构和采购人在任何情况下均无义务和责任承担这些费用。</w:t>
      </w:r>
    </w:p>
    <w:p w14:paraId="6B7EDDC6">
      <w:pPr>
        <w:numPr>
          <w:ilvl w:val="0"/>
          <w:numId w:val="3"/>
        </w:numPr>
        <w:spacing w:line="400" w:lineRule="atLeast"/>
        <w:rPr>
          <w:rFonts w:ascii="Arial" w:hAnsi="Arial" w:cs="Arial"/>
          <w:b/>
          <w:sz w:val="24"/>
          <w:highlight w:val="none"/>
        </w:rPr>
      </w:pPr>
      <w:r>
        <w:rPr>
          <w:rFonts w:ascii="Arial" w:hAnsi="Arial" w:cs="Arial"/>
          <w:b/>
          <w:sz w:val="24"/>
          <w:highlight w:val="none"/>
        </w:rPr>
        <w:t>现场踏勘：</w:t>
      </w:r>
      <w:r>
        <w:rPr>
          <w:rFonts w:hint="eastAsia" w:ascii="Arial" w:hAnsi="Arial" w:cs="Arial"/>
          <w:highlight w:val="none"/>
        </w:rPr>
        <w:t>/</w:t>
      </w:r>
    </w:p>
    <w:p w14:paraId="196D0284">
      <w:pPr>
        <w:numPr>
          <w:ilvl w:val="0"/>
          <w:numId w:val="3"/>
        </w:numPr>
        <w:spacing w:line="400" w:lineRule="atLeast"/>
        <w:rPr>
          <w:rFonts w:ascii="Arial" w:hAnsi="Arial" w:cs="Arial"/>
          <w:b/>
          <w:sz w:val="24"/>
          <w:highlight w:val="none"/>
        </w:rPr>
      </w:pPr>
      <w:r>
        <w:rPr>
          <w:rFonts w:ascii="Arial" w:hAnsi="Arial" w:cs="Arial"/>
          <w:b/>
          <w:sz w:val="24"/>
          <w:highlight w:val="none"/>
        </w:rPr>
        <w:t>竞争性磋商委托</w:t>
      </w:r>
    </w:p>
    <w:p w14:paraId="7B326F21">
      <w:pPr>
        <w:spacing w:line="400" w:lineRule="atLeast"/>
        <w:ind w:left="840" w:leftChars="400"/>
        <w:rPr>
          <w:rFonts w:ascii="Arial" w:hAnsi="Arial" w:cs="Arial"/>
          <w:highlight w:val="none"/>
        </w:rPr>
      </w:pPr>
      <w:r>
        <w:rPr>
          <w:rFonts w:ascii="Arial" w:hAnsi="Arial" w:cs="Arial"/>
          <w:highlight w:val="none"/>
        </w:rPr>
        <w:t>如竞争性磋商供应商代表不是法定代表人，须持有《法定代表人授权委托书》。</w:t>
      </w:r>
    </w:p>
    <w:p w14:paraId="570E6F46">
      <w:pPr>
        <w:rPr>
          <w:rFonts w:ascii="Arial" w:hAnsi="Arial" w:cs="Arial"/>
          <w:highlight w:val="none"/>
        </w:rPr>
      </w:pPr>
    </w:p>
    <w:p w14:paraId="36A312E4">
      <w:pPr>
        <w:pStyle w:val="5"/>
        <w:spacing w:beforeLines="50" w:afterLines="50" w:line="240" w:lineRule="auto"/>
        <w:jc w:val="center"/>
        <w:rPr>
          <w:rFonts w:ascii="Arial" w:hAnsi="Arial" w:cs="Arial"/>
          <w:sz w:val="24"/>
          <w:szCs w:val="24"/>
          <w:highlight w:val="none"/>
        </w:rPr>
      </w:pPr>
      <w:bookmarkStart w:id="5" w:name="_Toc23866"/>
      <w:r>
        <w:rPr>
          <w:rFonts w:ascii="Arial" w:hAnsi="Arial" w:cs="Arial"/>
          <w:sz w:val="24"/>
          <w:szCs w:val="24"/>
          <w:highlight w:val="none"/>
        </w:rPr>
        <w:t>（三）竞争性磋商文件说明</w:t>
      </w:r>
      <w:bookmarkEnd w:id="5"/>
    </w:p>
    <w:p w14:paraId="598B4D62">
      <w:pPr>
        <w:numPr>
          <w:ilvl w:val="0"/>
          <w:numId w:val="3"/>
        </w:numPr>
        <w:snapToGrid w:val="0"/>
        <w:spacing w:line="400" w:lineRule="atLeast"/>
        <w:jc w:val="both"/>
        <w:rPr>
          <w:rFonts w:ascii="Arial" w:hAnsi="Arial" w:cs="Arial"/>
          <w:b/>
          <w:sz w:val="24"/>
          <w:highlight w:val="none"/>
        </w:rPr>
      </w:pPr>
      <w:r>
        <w:rPr>
          <w:rFonts w:ascii="Arial" w:hAnsi="Arial" w:cs="Arial"/>
          <w:b/>
          <w:sz w:val="24"/>
          <w:highlight w:val="none"/>
        </w:rPr>
        <w:t>竞争性磋商文件构成</w:t>
      </w:r>
    </w:p>
    <w:p w14:paraId="4166798C">
      <w:pPr>
        <w:numPr>
          <w:ilvl w:val="1"/>
          <w:numId w:val="3"/>
        </w:numPr>
        <w:snapToGrid w:val="0"/>
        <w:spacing w:line="400" w:lineRule="atLeast"/>
        <w:jc w:val="both"/>
        <w:rPr>
          <w:rFonts w:ascii="Arial" w:hAnsi="Arial" w:cs="Arial"/>
          <w:szCs w:val="21"/>
          <w:highlight w:val="none"/>
        </w:rPr>
      </w:pPr>
      <w:r>
        <w:rPr>
          <w:rFonts w:ascii="Arial" w:hAnsi="Arial" w:cs="Arial"/>
          <w:szCs w:val="21"/>
          <w:highlight w:val="none"/>
        </w:rPr>
        <w:t>竞争性磋商文件是用以阐明所需货物、服务，以及竞争性磋商、竞争性磋商程序和相应的合同条款。“竞争性磋商文件”由下述部分组成：</w:t>
      </w:r>
    </w:p>
    <w:p w14:paraId="307568BF">
      <w:pPr>
        <w:snapToGrid w:val="0"/>
        <w:spacing w:line="400" w:lineRule="atLeast"/>
        <w:ind w:left="840" w:leftChars="400"/>
        <w:jc w:val="both"/>
        <w:rPr>
          <w:rFonts w:ascii="Arial" w:hAnsi="Arial" w:cs="Arial"/>
          <w:szCs w:val="21"/>
          <w:highlight w:val="none"/>
        </w:rPr>
      </w:pPr>
      <w:r>
        <w:rPr>
          <w:rFonts w:ascii="Arial" w:hAnsi="Arial" w:cs="Arial"/>
          <w:szCs w:val="21"/>
          <w:highlight w:val="none"/>
        </w:rPr>
        <w:t>第一部分采购公告</w:t>
      </w:r>
    </w:p>
    <w:p w14:paraId="02C386C3">
      <w:pPr>
        <w:snapToGrid w:val="0"/>
        <w:spacing w:line="400" w:lineRule="atLeast"/>
        <w:ind w:left="840" w:leftChars="400"/>
        <w:jc w:val="both"/>
        <w:rPr>
          <w:rFonts w:ascii="Arial" w:hAnsi="Arial" w:cs="Arial"/>
          <w:szCs w:val="21"/>
          <w:highlight w:val="none"/>
        </w:rPr>
      </w:pPr>
      <w:r>
        <w:rPr>
          <w:rFonts w:ascii="Arial" w:hAnsi="Arial" w:cs="Arial"/>
          <w:szCs w:val="21"/>
          <w:highlight w:val="none"/>
        </w:rPr>
        <w:t>第二部分竞争性磋商供应商须知</w:t>
      </w:r>
    </w:p>
    <w:p w14:paraId="2F656F29">
      <w:pPr>
        <w:snapToGrid w:val="0"/>
        <w:spacing w:line="400" w:lineRule="atLeast"/>
        <w:ind w:left="840" w:leftChars="400"/>
        <w:jc w:val="both"/>
        <w:rPr>
          <w:rFonts w:ascii="Arial" w:hAnsi="Arial" w:cs="Arial"/>
          <w:szCs w:val="21"/>
          <w:highlight w:val="none"/>
        </w:rPr>
      </w:pPr>
      <w:r>
        <w:rPr>
          <w:rFonts w:ascii="Arial" w:hAnsi="Arial" w:cs="Arial"/>
          <w:szCs w:val="21"/>
          <w:highlight w:val="none"/>
        </w:rPr>
        <w:t>第三部分竞争性磋商内容及技术要求</w:t>
      </w:r>
    </w:p>
    <w:p w14:paraId="10C0F118">
      <w:pPr>
        <w:snapToGrid w:val="0"/>
        <w:spacing w:line="400" w:lineRule="atLeast"/>
        <w:ind w:left="840" w:leftChars="400"/>
        <w:jc w:val="both"/>
        <w:rPr>
          <w:rFonts w:ascii="Arial" w:hAnsi="Arial" w:cs="Arial"/>
          <w:szCs w:val="21"/>
          <w:highlight w:val="none"/>
        </w:rPr>
      </w:pPr>
      <w:r>
        <w:rPr>
          <w:rFonts w:ascii="Arial" w:hAnsi="Arial" w:cs="Arial"/>
          <w:szCs w:val="21"/>
          <w:highlight w:val="none"/>
        </w:rPr>
        <w:t>第四部分合同条款</w:t>
      </w:r>
    </w:p>
    <w:p w14:paraId="7ADDB1D0">
      <w:pPr>
        <w:snapToGrid w:val="0"/>
        <w:spacing w:line="400" w:lineRule="atLeast"/>
        <w:ind w:left="840" w:leftChars="400"/>
        <w:jc w:val="both"/>
        <w:rPr>
          <w:rFonts w:ascii="Arial" w:hAnsi="Arial" w:cs="Arial"/>
          <w:szCs w:val="21"/>
          <w:highlight w:val="none"/>
        </w:rPr>
      </w:pPr>
      <w:r>
        <w:rPr>
          <w:rFonts w:ascii="Arial" w:hAnsi="Arial" w:cs="Arial"/>
          <w:szCs w:val="21"/>
          <w:highlight w:val="none"/>
        </w:rPr>
        <w:t>第五部分评定办法</w:t>
      </w:r>
    </w:p>
    <w:p w14:paraId="794FD79D">
      <w:pPr>
        <w:snapToGrid w:val="0"/>
        <w:spacing w:line="400" w:lineRule="atLeast"/>
        <w:ind w:left="840" w:leftChars="400"/>
        <w:jc w:val="both"/>
        <w:rPr>
          <w:rFonts w:ascii="Arial" w:hAnsi="Arial" w:cs="Arial"/>
          <w:szCs w:val="21"/>
          <w:highlight w:val="none"/>
        </w:rPr>
      </w:pPr>
      <w:r>
        <w:rPr>
          <w:rFonts w:ascii="Arial" w:hAnsi="Arial" w:cs="Arial"/>
          <w:szCs w:val="21"/>
          <w:highlight w:val="none"/>
        </w:rPr>
        <w:t>第</w:t>
      </w:r>
      <w:r>
        <w:rPr>
          <w:rFonts w:hint="eastAsia" w:ascii="Arial" w:hAnsi="Arial" w:cs="Arial"/>
          <w:szCs w:val="21"/>
          <w:highlight w:val="none"/>
        </w:rPr>
        <w:t>六</w:t>
      </w:r>
      <w:r>
        <w:rPr>
          <w:rFonts w:ascii="Arial" w:hAnsi="Arial" w:cs="Arial"/>
          <w:szCs w:val="21"/>
          <w:highlight w:val="none"/>
        </w:rPr>
        <w:t>部分</w:t>
      </w:r>
      <w:r>
        <w:rPr>
          <w:rFonts w:hint="eastAsia" w:ascii="Arial" w:hAnsi="Arial" w:cs="Arial"/>
          <w:szCs w:val="21"/>
          <w:highlight w:val="none"/>
        </w:rPr>
        <w:t>参考格式</w:t>
      </w:r>
    </w:p>
    <w:p w14:paraId="3286E483">
      <w:pPr>
        <w:numPr>
          <w:ilvl w:val="1"/>
          <w:numId w:val="3"/>
        </w:numPr>
        <w:snapToGrid w:val="0"/>
        <w:spacing w:line="400" w:lineRule="atLeast"/>
        <w:jc w:val="both"/>
        <w:rPr>
          <w:rFonts w:ascii="Arial" w:hAnsi="Arial" w:cs="Arial"/>
          <w:szCs w:val="21"/>
          <w:highlight w:val="none"/>
        </w:rPr>
      </w:pPr>
      <w:r>
        <w:rPr>
          <w:rFonts w:ascii="Arial" w:hAnsi="Arial" w:cs="Arial"/>
          <w:szCs w:val="21"/>
          <w:highlight w:val="none"/>
        </w:rPr>
        <w:t>本竞争性磋商文件要求竞争性磋商供应商作出实质性响应的有关技术和商务条款，将在该条款前以“▲” 醒目标识。</w:t>
      </w:r>
    </w:p>
    <w:p w14:paraId="376A88C2">
      <w:pPr>
        <w:numPr>
          <w:ilvl w:val="0"/>
          <w:numId w:val="3"/>
        </w:numPr>
        <w:snapToGrid w:val="0"/>
        <w:spacing w:line="400" w:lineRule="atLeast"/>
        <w:jc w:val="both"/>
        <w:rPr>
          <w:rFonts w:ascii="Arial" w:hAnsi="Arial" w:cs="Arial"/>
          <w:b/>
          <w:sz w:val="24"/>
          <w:highlight w:val="none"/>
        </w:rPr>
      </w:pPr>
      <w:r>
        <w:rPr>
          <w:rFonts w:ascii="Arial" w:hAnsi="Arial" w:cs="Arial"/>
          <w:b/>
          <w:sz w:val="24"/>
          <w:highlight w:val="none"/>
        </w:rPr>
        <w:t>竞争性磋商文件的澄清</w:t>
      </w:r>
    </w:p>
    <w:p w14:paraId="29FDD729">
      <w:pPr>
        <w:numPr>
          <w:ilvl w:val="1"/>
          <w:numId w:val="3"/>
        </w:numPr>
        <w:snapToGrid w:val="0"/>
        <w:spacing w:line="400" w:lineRule="atLeast"/>
        <w:jc w:val="both"/>
        <w:rPr>
          <w:rFonts w:ascii="Arial" w:hAnsi="Arial" w:cs="Arial"/>
          <w:highlight w:val="none"/>
        </w:rPr>
      </w:pPr>
      <w:r>
        <w:rPr>
          <w:rFonts w:ascii="Arial" w:hAnsi="Arial" w:cs="Arial"/>
          <w:highlight w:val="none"/>
        </w:rPr>
        <w:t>任何要求对竞争性磋商文件进行澄清的竞争性磋商供应商，均应在答疑截止期规定时间以前以书面形式传真或寄送给采购代理机构，采购代理机构对答疑截止期规定时间以前收到的任何澄清要求将以书面形式予以答复，同时将书面答复以邮寄、传真或类似的方式送达所有竞争性磋商供应商，答复中包括原提出的问题，但不包括问题的来源。</w:t>
      </w:r>
    </w:p>
    <w:p w14:paraId="0053D3BD">
      <w:pPr>
        <w:rPr>
          <w:rFonts w:ascii="Arial" w:hAnsi="Arial" w:cs="Arial"/>
          <w:highlight w:val="none"/>
        </w:rPr>
      </w:pPr>
    </w:p>
    <w:p w14:paraId="574A9565">
      <w:pPr>
        <w:pStyle w:val="5"/>
        <w:spacing w:beforeLines="50" w:afterLines="50" w:line="240" w:lineRule="auto"/>
        <w:jc w:val="center"/>
        <w:rPr>
          <w:rFonts w:ascii="Arial" w:hAnsi="Arial" w:cs="Arial"/>
          <w:sz w:val="24"/>
          <w:szCs w:val="24"/>
          <w:highlight w:val="none"/>
        </w:rPr>
      </w:pPr>
      <w:bookmarkStart w:id="6" w:name="_Toc14490"/>
      <w:r>
        <w:rPr>
          <w:rFonts w:ascii="Arial" w:hAnsi="Arial" w:cs="Arial"/>
          <w:sz w:val="24"/>
          <w:szCs w:val="24"/>
          <w:highlight w:val="none"/>
        </w:rPr>
        <w:t>（四）竞争性磋商响应文件的编制</w:t>
      </w:r>
      <w:bookmarkEnd w:id="6"/>
    </w:p>
    <w:p w14:paraId="7FD0ED88">
      <w:pPr>
        <w:numPr>
          <w:ilvl w:val="0"/>
          <w:numId w:val="3"/>
        </w:numPr>
        <w:snapToGrid w:val="0"/>
        <w:spacing w:line="400" w:lineRule="atLeast"/>
        <w:jc w:val="both"/>
        <w:rPr>
          <w:rFonts w:ascii="Arial" w:hAnsi="Arial" w:cs="Arial"/>
          <w:b/>
          <w:bCs/>
          <w:sz w:val="24"/>
          <w:highlight w:val="none"/>
        </w:rPr>
      </w:pPr>
      <w:r>
        <w:rPr>
          <w:rFonts w:ascii="Arial" w:hAnsi="Arial" w:cs="Arial"/>
          <w:b/>
          <w:bCs/>
          <w:sz w:val="24"/>
          <w:highlight w:val="none"/>
        </w:rPr>
        <w:t>竞争性磋商响应文件的说明</w:t>
      </w:r>
    </w:p>
    <w:p w14:paraId="02F25D2C">
      <w:pPr>
        <w:numPr>
          <w:ilvl w:val="1"/>
          <w:numId w:val="3"/>
        </w:numPr>
        <w:snapToGrid w:val="0"/>
        <w:spacing w:line="400" w:lineRule="atLeast"/>
        <w:jc w:val="both"/>
        <w:rPr>
          <w:rFonts w:ascii="Arial" w:hAnsi="Arial" w:cs="Arial"/>
          <w:highlight w:val="none"/>
        </w:rPr>
      </w:pPr>
      <w:r>
        <w:rPr>
          <w:rFonts w:ascii="Arial" w:hAnsi="Arial" w:cs="Arial"/>
          <w:highlight w:val="none"/>
        </w:rPr>
        <w:t>竞争性磋商响应文件应字迹清楚、内容齐全、不得涂改。如有修改，修改处须有法定代表人或其同一授权代表签章。</w:t>
      </w:r>
    </w:p>
    <w:p w14:paraId="4D33E28D">
      <w:pPr>
        <w:numPr>
          <w:ilvl w:val="1"/>
          <w:numId w:val="3"/>
        </w:numPr>
        <w:snapToGrid w:val="0"/>
        <w:spacing w:line="400" w:lineRule="atLeast"/>
        <w:jc w:val="both"/>
        <w:rPr>
          <w:rFonts w:ascii="Arial" w:hAnsi="Arial" w:cs="Arial"/>
          <w:highlight w:val="none"/>
        </w:rPr>
      </w:pPr>
      <w:r>
        <w:rPr>
          <w:rFonts w:hint="eastAsia" w:ascii="Arial" w:hAnsi="Arial" w:cs="Arial"/>
          <w:highlight w:val="none"/>
          <w:lang w:eastAsia="zh-CN"/>
        </w:rPr>
        <w:t>供应商</w:t>
      </w:r>
      <w:r>
        <w:rPr>
          <w:rFonts w:ascii="Arial" w:hAnsi="Arial" w:cs="Arial"/>
          <w:highlight w:val="none"/>
        </w:rPr>
        <w:t>必须按竞争性磋商文件的要求提供相关技术参数、资料，包括采用的计量单位，并保证竞争性磋商响应文件的正确性和真实性，否则竞争性磋商小组将作出不利于其投标的评定。技术和商务如有偏离均应填写偏离表。不按竞争性磋商文件的要求提供的竞争性磋商响应文件可能导致</w:t>
      </w:r>
      <w:r>
        <w:rPr>
          <w:rFonts w:hint="eastAsia" w:ascii="宋体" w:hAnsi="宋体"/>
          <w:highlight w:val="none"/>
        </w:rPr>
        <w:t>无效</w:t>
      </w:r>
      <w:r>
        <w:rPr>
          <w:rFonts w:ascii="Arial" w:hAnsi="Arial" w:cs="Arial"/>
          <w:highlight w:val="none"/>
        </w:rPr>
        <w:t>。</w:t>
      </w:r>
    </w:p>
    <w:p w14:paraId="116C2BFF">
      <w:pPr>
        <w:numPr>
          <w:ilvl w:val="0"/>
          <w:numId w:val="3"/>
        </w:numPr>
        <w:snapToGrid w:val="0"/>
        <w:spacing w:line="400" w:lineRule="atLeast"/>
        <w:jc w:val="both"/>
        <w:rPr>
          <w:rFonts w:ascii="Arial" w:hAnsi="Arial" w:cs="Arial"/>
          <w:b/>
          <w:bCs/>
          <w:sz w:val="24"/>
          <w:highlight w:val="none"/>
        </w:rPr>
      </w:pPr>
      <w:r>
        <w:rPr>
          <w:rFonts w:ascii="Arial" w:hAnsi="Arial" w:cs="Arial"/>
          <w:b/>
          <w:bCs/>
          <w:sz w:val="24"/>
          <w:highlight w:val="none"/>
        </w:rPr>
        <w:t>竞争性磋商响应文件的组成</w:t>
      </w:r>
    </w:p>
    <w:p w14:paraId="1A401324">
      <w:pPr>
        <w:numPr>
          <w:ilvl w:val="1"/>
          <w:numId w:val="3"/>
        </w:numPr>
        <w:snapToGrid w:val="0"/>
        <w:spacing w:line="400" w:lineRule="atLeast"/>
        <w:jc w:val="both"/>
        <w:rPr>
          <w:rFonts w:ascii="Arial" w:hAnsi="Arial" w:cs="Arial"/>
          <w:sz w:val="24"/>
          <w:highlight w:val="none"/>
        </w:rPr>
      </w:pPr>
      <w:r>
        <w:rPr>
          <w:rFonts w:ascii="Arial" w:hAnsi="Arial" w:cs="Arial"/>
          <w:highlight w:val="none"/>
        </w:rPr>
        <w:t>竞争性磋商供应商编写的竞争性磋商响应文件应包括下列部分：</w:t>
      </w:r>
    </w:p>
    <w:p w14:paraId="691F1CDD">
      <w:pPr>
        <w:snapToGrid w:val="0"/>
        <w:spacing w:line="400" w:lineRule="atLeast"/>
        <w:jc w:val="both"/>
        <w:rPr>
          <w:rFonts w:ascii="Arial" w:hAnsi="Arial" w:cs="Arial"/>
          <w:b/>
          <w:szCs w:val="21"/>
          <w:highlight w:val="none"/>
        </w:rPr>
      </w:pPr>
      <w:r>
        <w:rPr>
          <w:rFonts w:hint="eastAsia" w:ascii="Arial" w:hAnsi="Arial" w:cs="Arial"/>
          <w:b/>
          <w:szCs w:val="21"/>
          <w:highlight w:val="none"/>
        </w:rPr>
        <w:t>11.1.1</w:t>
      </w:r>
      <w:r>
        <w:rPr>
          <w:rFonts w:hint="eastAsia" w:ascii="Arial" w:hAnsi="Arial" w:cs="Arial"/>
          <w:b/>
          <w:szCs w:val="21"/>
          <w:highlight w:val="none"/>
          <w:lang w:val="en-US" w:eastAsia="zh-CN"/>
        </w:rPr>
        <w:t xml:space="preserve">  </w:t>
      </w:r>
      <w:r>
        <w:rPr>
          <w:rFonts w:hint="eastAsia" w:ascii="Arial" w:hAnsi="Arial" w:cs="Arial"/>
          <w:b/>
          <w:szCs w:val="21"/>
          <w:highlight w:val="none"/>
        </w:rPr>
        <w:t>资格</w:t>
      </w:r>
      <w:r>
        <w:rPr>
          <w:rFonts w:hint="eastAsia" w:ascii="Arial" w:hAnsi="Arial" w:cs="Arial"/>
          <w:b/>
          <w:szCs w:val="21"/>
          <w:highlight w:val="none"/>
          <w:lang w:val="en-US" w:eastAsia="zh-CN"/>
        </w:rPr>
        <w:t>响应</w:t>
      </w:r>
      <w:r>
        <w:rPr>
          <w:rFonts w:hint="eastAsia" w:ascii="Arial" w:hAnsi="Arial" w:cs="Arial"/>
          <w:b/>
          <w:szCs w:val="21"/>
          <w:highlight w:val="none"/>
        </w:rPr>
        <w:t>文件</w:t>
      </w:r>
    </w:p>
    <w:p w14:paraId="31FFE951">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46" w:leftChars="303" w:hanging="210" w:hangingChars="100"/>
        <w:jc w:val="both"/>
        <w:textAlignment w:val="auto"/>
        <w:rPr>
          <w:rFonts w:hint="eastAsia" w:ascii="Arial" w:hAnsi="Arial" w:cs="Arial"/>
          <w:szCs w:val="21"/>
          <w:highlight w:val="none"/>
        </w:rPr>
      </w:pPr>
      <w:r>
        <w:rPr>
          <w:rFonts w:hint="eastAsia" w:ascii="Arial" w:hAnsi="Arial" w:cs="Arial"/>
          <w:szCs w:val="21"/>
          <w:highlight w:val="none"/>
        </w:rPr>
        <w:t>（1）资格声明、投标声明书、诚信承诺书、法定代表人资格证明书、法定代表人授权委托书（格式见第六部分）；</w:t>
      </w:r>
    </w:p>
    <w:p w14:paraId="326D6621">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46" w:leftChars="303" w:hanging="210" w:hangingChars="100"/>
        <w:jc w:val="both"/>
        <w:textAlignment w:val="auto"/>
        <w:rPr>
          <w:rFonts w:hint="eastAsia" w:ascii="Arial" w:hAnsi="Arial" w:cs="Arial"/>
          <w:szCs w:val="21"/>
          <w:highlight w:val="none"/>
        </w:rPr>
      </w:pPr>
      <w:r>
        <w:rPr>
          <w:rFonts w:hint="eastAsia" w:ascii="Arial" w:hAnsi="Arial" w:cs="Arial"/>
          <w:szCs w:val="21"/>
          <w:highlight w:val="none"/>
        </w:rPr>
        <w:t>（2）具有独立承担民事责任的能力证明：营业(经营)执照正本或副本复印件等（盖单位公章）；</w:t>
      </w:r>
    </w:p>
    <w:p w14:paraId="04089763">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46" w:leftChars="303" w:hanging="210" w:hangingChars="100"/>
        <w:jc w:val="both"/>
        <w:textAlignment w:val="auto"/>
        <w:rPr>
          <w:rFonts w:hint="eastAsia" w:ascii="Arial" w:hAnsi="Arial" w:cs="Arial"/>
          <w:szCs w:val="21"/>
          <w:highlight w:val="none"/>
        </w:rPr>
      </w:pPr>
      <w:r>
        <w:rPr>
          <w:rFonts w:hint="eastAsia" w:ascii="Arial" w:hAnsi="Arial" w:cs="Arial"/>
          <w:szCs w:val="21"/>
          <w:highlight w:val="none"/>
        </w:rPr>
        <w:t>（3）具有良好的商业信誉和健全的财务会计制度、有依法缴纳税收和社会保障资金的良好记录（提供承诺函，格式自拟）；</w:t>
      </w:r>
    </w:p>
    <w:p w14:paraId="5DC57BF4">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46" w:leftChars="303" w:hanging="210" w:hangingChars="100"/>
        <w:jc w:val="both"/>
        <w:textAlignment w:val="auto"/>
        <w:rPr>
          <w:rFonts w:hint="eastAsia" w:ascii="Arial" w:hAnsi="Arial" w:cs="Arial"/>
          <w:szCs w:val="21"/>
          <w:highlight w:val="none"/>
        </w:rPr>
      </w:pPr>
      <w:r>
        <w:rPr>
          <w:rFonts w:hint="eastAsia" w:ascii="Arial" w:hAnsi="Arial" w:cs="Arial"/>
          <w:szCs w:val="21"/>
          <w:highlight w:val="none"/>
        </w:rPr>
        <w:t>（4）具有履行合同所必需的设备和专业技术能力</w:t>
      </w:r>
      <w:r>
        <w:rPr>
          <w:rFonts w:hint="eastAsia" w:ascii="Arial" w:hAnsi="Arial" w:cs="Arial"/>
          <w:szCs w:val="21"/>
          <w:highlight w:val="none"/>
          <w:lang w:eastAsia="zh-CN"/>
        </w:rPr>
        <w:t>（</w:t>
      </w:r>
      <w:r>
        <w:rPr>
          <w:rFonts w:hint="eastAsia" w:ascii="Arial" w:hAnsi="Arial" w:cs="Arial"/>
          <w:szCs w:val="21"/>
          <w:highlight w:val="none"/>
        </w:rPr>
        <w:t>按采购文件要求自行提供相关材料</w:t>
      </w:r>
      <w:r>
        <w:rPr>
          <w:rFonts w:hint="eastAsia" w:ascii="Arial" w:hAnsi="Arial" w:cs="Arial"/>
          <w:szCs w:val="21"/>
          <w:highlight w:val="none"/>
          <w:lang w:eastAsia="zh-CN"/>
        </w:rPr>
        <w:t>）</w:t>
      </w:r>
      <w:r>
        <w:rPr>
          <w:rFonts w:hint="eastAsia" w:ascii="Arial" w:hAnsi="Arial" w:cs="Arial"/>
          <w:szCs w:val="21"/>
          <w:highlight w:val="none"/>
        </w:rPr>
        <w:t>；</w:t>
      </w:r>
    </w:p>
    <w:p w14:paraId="3AC49E11">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46" w:leftChars="303" w:hanging="210" w:hangingChars="100"/>
        <w:jc w:val="both"/>
        <w:textAlignment w:val="auto"/>
        <w:rPr>
          <w:rFonts w:hint="eastAsia" w:ascii="Arial" w:hAnsi="Arial" w:cs="Arial"/>
          <w:szCs w:val="21"/>
          <w:highlight w:val="none"/>
        </w:rPr>
      </w:pPr>
      <w:r>
        <w:rPr>
          <w:rFonts w:hint="eastAsia" w:ascii="Arial" w:hAnsi="Arial" w:cs="Arial"/>
          <w:szCs w:val="21"/>
          <w:highlight w:val="none"/>
        </w:rPr>
        <w:t>（5）参加政府采购活动前三年，在经营活动中没有重大违法记录：无重大违法记录声明函（格式见第六部分）；</w:t>
      </w:r>
    </w:p>
    <w:p w14:paraId="7D0FA271">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46" w:leftChars="303" w:hanging="210" w:hangingChars="100"/>
        <w:jc w:val="both"/>
        <w:textAlignment w:val="auto"/>
        <w:rPr>
          <w:rFonts w:hint="eastAsia" w:ascii="Arial" w:hAnsi="Arial" w:cs="Arial"/>
          <w:szCs w:val="21"/>
          <w:highlight w:val="none"/>
          <w:lang w:eastAsia="zh-CN"/>
        </w:rPr>
      </w:pPr>
      <w:r>
        <w:rPr>
          <w:rFonts w:hint="eastAsia" w:ascii="Arial" w:hAnsi="Arial" w:cs="Arial"/>
          <w:szCs w:val="21"/>
          <w:highlight w:val="none"/>
        </w:rPr>
        <w:t>（6）满足《中华人民共和国政府采购法》第二十二条规定；未被“信用中国”（www.creditchina.gov.cn）和中国政府采购网（www.ccgp.gov.cn）列入失信被执行人、重大税收违法案件当事人名单、政府采购严重违法失信行为记录名单</w:t>
      </w:r>
      <w:r>
        <w:rPr>
          <w:rFonts w:hint="default" w:ascii="Times New Roman" w:hAnsi="Times New Roman" w:eastAsia="宋体" w:cs="Times New Roman"/>
          <w:color w:val="auto"/>
          <w:sz w:val="21"/>
          <w:szCs w:val="21"/>
          <w:highlight w:val="none"/>
        </w:rPr>
        <w:t>（提供承诺函或相关</w:t>
      </w:r>
      <w:r>
        <w:rPr>
          <w:rFonts w:hint="default" w:ascii="Arial" w:hAnsi="Arial" w:cs="Arial"/>
          <w:szCs w:val="21"/>
          <w:highlight w:val="none"/>
        </w:rPr>
        <w:t>证明材料，格式自拟）</w:t>
      </w:r>
      <w:r>
        <w:rPr>
          <w:rFonts w:hint="eastAsia" w:ascii="Arial" w:hAnsi="Arial" w:cs="Arial"/>
          <w:szCs w:val="21"/>
          <w:highlight w:val="none"/>
          <w:lang w:eastAsia="zh-CN"/>
        </w:rPr>
        <w:t>；</w:t>
      </w:r>
    </w:p>
    <w:p w14:paraId="510316C3">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46" w:leftChars="303" w:hanging="210" w:hangingChars="100"/>
        <w:jc w:val="both"/>
        <w:textAlignment w:val="auto"/>
        <w:rPr>
          <w:rFonts w:hint="eastAsia" w:ascii="Arial" w:hAnsi="Arial" w:cs="Arial"/>
          <w:szCs w:val="21"/>
          <w:highlight w:val="none"/>
          <w:lang w:val="en-US" w:eastAsia="zh-CN"/>
        </w:rPr>
      </w:pPr>
      <w:r>
        <w:rPr>
          <w:rFonts w:hint="eastAsia" w:ascii="Arial" w:hAnsi="Arial" w:cs="Arial"/>
          <w:szCs w:val="21"/>
          <w:highlight w:val="none"/>
          <w:lang w:eastAsia="zh-CN"/>
        </w:rPr>
        <w:t>（</w:t>
      </w:r>
      <w:r>
        <w:rPr>
          <w:rFonts w:hint="eastAsia" w:ascii="Arial" w:hAnsi="Arial" w:cs="Arial"/>
          <w:szCs w:val="21"/>
          <w:highlight w:val="none"/>
          <w:lang w:val="en-US" w:eastAsia="zh-CN"/>
        </w:rPr>
        <w:t>7</w:t>
      </w:r>
      <w:r>
        <w:rPr>
          <w:rFonts w:hint="eastAsia" w:ascii="Arial" w:hAnsi="Arial" w:cs="Arial"/>
          <w:szCs w:val="21"/>
          <w:highlight w:val="none"/>
          <w:lang w:eastAsia="zh-CN"/>
        </w:rPr>
        <w:t>）提供中小企声明函并加盖投标单位公章或提供监狱企业或残疾人福利性单位证明文件；（格式见第六部分）。</w:t>
      </w:r>
    </w:p>
    <w:p w14:paraId="6472CB44">
      <w:pPr>
        <w:snapToGrid w:val="0"/>
        <w:spacing w:line="360" w:lineRule="auto"/>
        <w:jc w:val="both"/>
        <w:rPr>
          <w:rFonts w:hint="eastAsia" w:ascii="Arial" w:hAnsi="Arial" w:eastAsia="宋体" w:cs="Arial"/>
          <w:b/>
          <w:szCs w:val="21"/>
          <w:highlight w:val="none"/>
          <w:lang w:eastAsia="zh-CN"/>
        </w:rPr>
      </w:pPr>
      <w:r>
        <w:rPr>
          <w:rFonts w:hint="eastAsia" w:ascii="Arial" w:hAnsi="Arial" w:cs="Arial"/>
          <w:b/>
          <w:szCs w:val="21"/>
          <w:highlight w:val="none"/>
        </w:rPr>
        <w:t>11.1.2</w:t>
      </w:r>
      <w:r>
        <w:rPr>
          <w:rFonts w:hint="eastAsia" w:ascii="Arial" w:hAnsi="Arial" w:cs="Arial"/>
          <w:b/>
          <w:szCs w:val="21"/>
          <w:highlight w:val="none"/>
          <w:lang w:val="en-US" w:eastAsia="zh-CN"/>
        </w:rPr>
        <w:t xml:space="preserve">  </w:t>
      </w:r>
      <w:r>
        <w:rPr>
          <w:rFonts w:hint="eastAsia" w:ascii="Arial" w:hAnsi="Arial" w:cs="Arial"/>
          <w:b/>
          <w:szCs w:val="21"/>
          <w:highlight w:val="none"/>
          <w:lang w:eastAsia="zh-CN"/>
        </w:rPr>
        <w:t>商务技术响应文件</w:t>
      </w:r>
    </w:p>
    <w:p w14:paraId="58A28E7C">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46" w:leftChars="303" w:hanging="210" w:hangingChars="100"/>
        <w:jc w:val="both"/>
        <w:textAlignment w:val="auto"/>
        <w:rPr>
          <w:rFonts w:hint="eastAsia" w:ascii="Arial" w:hAnsi="Arial" w:cs="Arial"/>
          <w:szCs w:val="21"/>
          <w:highlight w:val="none"/>
        </w:rPr>
      </w:pPr>
      <w:r>
        <w:rPr>
          <w:rFonts w:hint="eastAsia" w:ascii="Arial" w:hAnsi="Arial" w:cs="Arial"/>
          <w:szCs w:val="21"/>
          <w:highlight w:val="none"/>
        </w:rPr>
        <w:t>（1）投标人基本情况表（格式见</w:t>
      </w:r>
      <w:r>
        <w:rPr>
          <w:rFonts w:hint="eastAsia" w:ascii="Arial" w:hAnsi="Arial" w:cs="Arial"/>
          <w:szCs w:val="21"/>
          <w:highlight w:val="none"/>
          <w:lang w:eastAsia="zh-CN"/>
        </w:rPr>
        <w:t>第六部分</w:t>
      </w:r>
      <w:r>
        <w:rPr>
          <w:rFonts w:hint="eastAsia" w:ascii="Arial" w:hAnsi="Arial" w:cs="Arial"/>
          <w:szCs w:val="21"/>
          <w:highlight w:val="none"/>
        </w:rPr>
        <w:t>）</w:t>
      </w:r>
      <w:r>
        <w:rPr>
          <w:rFonts w:hint="eastAsia" w:ascii="Arial" w:hAnsi="Arial" w:cs="Arial"/>
          <w:szCs w:val="21"/>
          <w:highlight w:val="none"/>
          <w:lang w:eastAsia="zh-CN"/>
        </w:rPr>
        <w:t>；</w:t>
      </w:r>
    </w:p>
    <w:p w14:paraId="14B54102">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46" w:leftChars="303" w:hanging="210" w:hangingChars="100"/>
        <w:jc w:val="both"/>
        <w:textAlignment w:val="auto"/>
        <w:rPr>
          <w:rFonts w:hint="eastAsia" w:ascii="Arial" w:hAnsi="Arial" w:cs="Arial"/>
          <w:szCs w:val="21"/>
          <w:highlight w:val="none"/>
        </w:rPr>
      </w:pPr>
      <w:r>
        <w:rPr>
          <w:rFonts w:hint="eastAsia" w:ascii="Arial" w:hAnsi="Arial" w:cs="Arial"/>
          <w:szCs w:val="21"/>
          <w:highlight w:val="none"/>
        </w:rPr>
        <w:t>（2）投标单位截止投标时间前三年内的奖惩情况说明（格式自拟）</w:t>
      </w:r>
      <w:r>
        <w:rPr>
          <w:rFonts w:hint="eastAsia" w:ascii="Arial" w:hAnsi="Arial" w:cs="Arial"/>
          <w:szCs w:val="21"/>
          <w:highlight w:val="none"/>
          <w:lang w:eastAsia="zh-CN"/>
        </w:rPr>
        <w:t>；</w:t>
      </w:r>
    </w:p>
    <w:p w14:paraId="37130A2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46" w:leftChars="303" w:hanging="210" w:hangingChars="100"/>
        <w:jc w:val="both"/>
        <w:textAlignment w:val="auto"/>
        <w:rPr>
          <w:rFonts w:hint="eastAsia" w:ascii="Arial" w:hAnsi="Arial" w:cs="Arial"/>
          <w:szCs w:val="21"/>
          <w:highlight w:val="none"/>
        </w:rPr>
      </w:pPr>
      <w:r>
        <w:rPr>
          <w:rFonts w:hint="eastAsia" w:ascii="Arial" w:hAnsi="Arial" w:cs="Arial"/>
          <w:szCs w:val="21"/>
          <w:highlight w:val="none"/>
        </w:rPr>
        <w:t>（3）各类资质证书、认证证书、许可证等（提供复印件加盖公章）</w:t>
      </w:r>
      <w:r>
        <w:rPr>
          <w:rFonts w:hint="eastAsia" w:ascii="Arial" w:hAnsi="Arial" w:cs="Arial"/>
          <w:szCs w:val="21"/>
          <w:highlight w:val="none"/>
          <w:lang w:eastAsia="zh-CN"/>
        </w:rPr>
        <w:t>；</w:t>
      </w:r>
    </w:p>
    <w:p w14:paraId="68EFCFBE">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46" w:leftChars="303" w:hanging="210" w:hangingChars="100"/>
        <w:jc w:val="both"/>
        <w:textAlignment w:val="auto"/>
        <w:rPr>
          <w:rFonts w:hint="eastAsia" w:ascii="Arial" w:hAnsi="Arial" w:cs="Arial"/>
          <w:szCs w:val="21"/>
          <w:highlight w:val="none"/>
        </w:rPr>
      </w:pPr>
      <w:r>
        <w:rPr>
          <w:rFonts w:hint="eastAsia" w:ascii="Arial" w:hAnsi="Arial" w:cs="Arial"/>
          <w:szCs w:val="21"/>
          <w:highlight w:val="none"/>
        </w:rPr>
        <w:t>（4）投标人的同类成功案例的业绩证明文件：项目实施情况一览表</w:t>
      </w:r>
      <w:r>
        <w:rPr>
          <w:rFonts w:hint="eastAsia" w:ascii="Arial" w:hAnsi="Arial" w:cs="Arial"/>
          <w:szCs w:val="21"/>
          <w:highlight w:val="none"/>
          <w:lang w:eastAsia="zh-CN"/>
        </w:rPr>
        <w:t>（</w:t>
      </w:r>
      <w:r>
        <w:rPr>
          <w:rFonts w:hint="eastAsia" w:ascii="Arial" w:hAnsi="Arial" w:cs="Arial"/>
          <w:szCs w:val="21"/>
          <w:highlight w:val="none"/>
        </w:rPr>
        <w:t>合同</w:t>
      </w:r>
      <w:r>
        <w:rPr>
          <w:rFonts w:hint="eastAsia" w:ascii="Arial" w:hAnsi="Arial" w:cs="Arial"/>
          <w:szCs w:val="21"/>
          <w:highlight w:val="none"/>
          <w:lang w:eastAsia="zh-CN"/>
        </w:rPr>
        <w:t>等）</w:t>
      </w:r>
      <w:r>
        <w:rPr>
          <w:rFonts w:hint="eastAsia" w:ascii="Arial" w:hAnsi="Arial" w:cs="Arial"/>
          <w:szCs w:val="21"/>
          <w:highlight w:val="none"/>
        </w:rPr>
        <w:t>（格式见</w:t>
      </w:r>
      <w:r>
        <w:rPr>
          <w:rFonts w:hint="eastAsia" w:ascii="Arial" w:hAnsi="Arial" w:cs="Arial"/>
          <w:szCs w:val="21"/>
          <w:highlight w:val="none"/>
          <w:lang w:eastAsia="zh-CN"/>
        </w:rPr>
        <w:t>第六部分</w:t>
      </w:r>
      <w:r>
        <w:rPr>
          <w:rFonts w:hint="eastAsia" w:ascii="Arial" w:hAnsi="Arial" w:cs="Arial"/>
          <w:szCs w:val="21"/>
          <w:highlight w:val="none"/>
        </w:rPr>
        <w:t>）</w:t>
      </w:r>
      <w:r>
        <w:rPr>
          <w:rFonts w:hint="eastAsia" w:ascii="Arial" w:hAnsi="Arial" w:cs="Arial"/>
          <w:szCs w:val="21"/>
          <w:highlight w:val="none"/>
          <w:lang w:eastAsia="zh-CN"/>
        </w:rPr>
        <w:t>；</w:t>
      </w:r>
    </w:p>
    <w:p w14:paraId="1958763E">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46" w:leftChars="303" w:hanging="210" w:hangingChars="100"/>
        <w:jc w:val="both"/>
        <w:textAlignment w:val="auto"/>
        <w:rPr>
          <w:rFonts w:hint="eastAsia" w:ascii="Arial" w:hAnsi="Arial" w:cs="Arial"/>
          <w:szCs w:val="21"/>
          <w:highlight w:val="none"/>
        </w:rPr>
      </w:pPr>
      <w:r>
        <w:rPr>
          <w:rFonts w:hint="eastAsia" w:ascii="Arial" w:hAnsi="Arial" w:cs="Arial"/>
          <w:szCs w:val="21"/>
          <w:highlight w:val="none"/>
        </w:rPr>
        <w:t>（5）</w:t>
      </w:r>
      <w:r>
        <w:rPr>
          <w:rFonts w:hint="eastAsia" w:ascii="Arial" w:hAnsi="Arial" w:cs="Arial"/>
          <w:szCs w:val="21"/>
          <w:highlight w:val="none"/>
          <w:lang w:eastAsia="zh-CN"/>
        </w:rPr>
        <w:t>商务</w:t>
      </w:r>
      <w:r>
        <w:rPr>
          <w:rFonts w:hint="eastAsia" w:ascii="Arial" w:hAnsi="Arial" w:cs="Arial"/>
          <w:szCs w:val="21"/>
          <w:highlight w:val="none"/>
        </w:rPr>
        <w:t>响应表（格式见</w:t>
      </w:r>
      <w:r>
        <w:rPr>
          <w:rFonts w:hint="eastAsia" w:ascii="Arial" w:hAnsi="Arial" w:cs="Arial"/>
          <w:szCs w:val="21"/>
          <w:highlight w:val="none"/>
          <w:lang w:eastAsia="zh-CN"/>
        </w:rPr>
        <w:t>第六部分</w:t>
      </w:r>
      <w:r>
        <w:rPr>
          <w:rFonts w:hint="eastAsia" w:ascii="Arial" w:hAnsi="Arial" w:cs="Arial"/>
          <w:szCs w:val="21"/>
          <w:highlight w:val="none"/>
        </w:rPr>
        <w:t>）</w:t>
      </w:r>
      <w:r>
        <w:rPr>
          <w:rFonts w:hint="eastAsia" w:ascii="Arial" w:hAnsi="Arial" w:cs="Arial"/>
          <w:szCs w:val="21"/>
          <w:highlight w:val="none"/>
          <w:lang w:eastAsia="zh-CN"/>
        </w:rPr>
        <w:t>；</w:t>
      </w:r>
    </w:p>
    <w:p w14:paraId="6A9FDC47">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46" w:leftChars="303" w:hanging="210" w:hangingChars="100"/>
        <w:jc w:val="both"/>
        <w:textAlignment w:val="auto"/>
        <w:rPr>
          <w:rFonts w:hint="eastAsia" w:ascii="Arial" w:hAnsi="Arial" w:cs="Arial"/>
          <w:szCs w:val="21"/>
          <w:highlight w:val="none"/>
        </w:rPr>
      </w:pPr>
      <w:r>
        <w:rPr>
          <w:rFonts w:hint="eastAsia" w:ascii="Arial" w:hAnsi="Arial" w:cs="Arial"/>
          <w:szCs w:val="21"/>
          <w:highlight w:val="none"/>
        </w:rPr>
        <w:t>（6）</w:t>
      </w:r>
      <w:r>
        <w:rPr>
          <w:rFonts w:hint="eastAsia" w:ascii="Arial" w:hAnsi="Arial" w:cs="Arial"/>
          <w:szCs w:val="21"/>
          <w:highlight w:val="none"/>
          <w:lang w:eastAsia="zh-CN"/>
        </w:rPr>
        <w:t>服务</w:t>
      </w:r>
      <w:r>
        <w:rPr>
          <w:rFonts w:hint="eastAsia" w:ascii="Arial" w:hAnsi="Arial" w:cs="Arial"/>
          <w:szCs w:val="21"/>
          <w:highlight w:val="none"/>
        </w:rPr>
        <w:t>方案和组织实施计划</w:t>
      </w:r>
      <w:r>
        <w:rPr>
          <w:rFonts w:hint="eastAsia" w:ascii="Arial" w:hAnsi="Arial" w:cs="Arial"/>
          <w:szCs w:val="21"/>
          <w:highlight w:val="none"/>
          <w:lang w:eastAsia="zh-CN"/>
        </w:rPr>
        <w:t>；</w:t>
      </w:r>
    </w:p>
    <w:p w14:paraId="7F81D776">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30" w:firstLineChars="300"/>
        <w:jc w:val="both"/>
        <w:textAlignment w:val="auto"/>
        <w:rPr>
          <w:rFonts w:hint="eastAsia" w:ascii="Arial" w:hAnsi="Arial" w:cs="Arial"/>
          <w:szCs w:val="21"/>
          <w:highlight w:val="none"/>
        </w:rPr>
      </w:pPr>
      <w:r>
        <w:rPr>
          <w:rFonts w:hint="eastAsia" w:ascii="Arial" w:hAnsi="Arial" w:cs="Arial"/>
          <w:szCs w:val="21"/>
          <w:highlight w:val="none"/>
        </w:rPr>
        <w:t>（7）针对本项目的工作内容</w:t>
      </w:r>
      <w:r>
        <w:rPr>
          <w:rFonts w:hint="eastAsia" w:ascii="Arial" w:hAnsi="Arial" w:cs="Arial"/>
          <w:szCs w:val="21"/>
          <w:highlight w:val="none"/>
          <w:lang w:eastAsia="zh-CN"/>
        </w:rPr>
        <w:t>；</w:t>
      </w:r>
    </w:p>
    <w:p w14:paraId="64A2CD9E">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46" w:leftChars="303" w:hanging="210" w:hangingChars="100"/>
        <w:jc w:val="both"/>
        <w:textAlignment w:val="auto"/>
        <w:rPr>
          <w:rFonts w:hint="eastAsia" w:ascii="Arial" w:hAnsi="Arial" w:cs="Arial"/>
          <w:szCs w:val="21"/>
          <w:highlight w:val="none"/>
        </w:rPr>
      </w:pPr>
      <w:r>
        <w:rPr>
          <w:rFonts w:hint="eastAsia" w:ascii="Arial" w:hAnsi="Arial" w:cs="Arial"/>
          <w:szCs w:val="21"/>
          <w:highlight w:val="none"/>
        </w:rPr>
        <w:t>（</w:t>
      </w:r>
      <w:r>
        <w:rPr>
          <w:rFonts w:hint="eastAsia" w:ascii="Arial" w:hAnsi="Arial" w:cs="Arial"/>
          <w:szCs w:val="21"/>
          <w:highlight w:val="none"/>
          <w:lang w:val="en-US" w:eastAsia="zh-CN"/>
        </w:rPr>
        <w:t>8</w:t>
      </w:r>
      <w:r>
        <w:rPr>
          <w:rFonts w:hint="eastAsia" w:ascii="Arial" w:hAnsi="Arial" w:cs="Arial"/>
          <w:szCs w:val="21"/>
          <w:highlight w:val="none"/>
        </w:rPr>
        <w:t>）投入本项目人员一览表（格式见</w:t>
      </w:r>
      <w:r>
        <w:rPr>
          <w:rFonts w:hint="eastAsia" w:ascii="Arial" w:hAnsi="Arial" w:cs="Arial"/>
          <w:szCs w:val="21"/>
          <w:highlight w:val="none"/>
          <w:lang w:eastAsia="zh-CN"/>
        </w:rPr>
        <w:t>第六部分</w:t>
      </w:r>
      <w:r>
        <w:rPr>
          <w:rFonts w:hint="eastAsia" w:ascii="Arial" w:hAnsi="Arial" w:cs="Arial"/>
          <w:szCs w:val="21"/>
          <w:highlight w:val="none"/>
        </w:rPr>
        <w:t>）</w:t>
      </w:r>
      <w:r>
        <w:rPr>
          <w:rFonts w:hint="eastAsia" w:ascii="Arial" w:hAnsi="Arial" w:cs="Arial"/>
          <w:szCs w:val="21"/>
          <w:highlight w:val="none"/>
          <w:lang w:eastAsia="zh-CN"/>
        </w:rPr>
        <w:t>；</w:t>
      </w:r>
    </w:p>
    <w:p w14:paraId="3040E5D8">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46" w:leftChars="303" w:hanging="210" w:hangingChars="100"/>
        <w:jc w:val="both"/>
        <w:textAlignment w:val="auto"/>
        <w:rPr>
          <w:rFonts w:hint="eastAsia" w:ascii="Arial" w:hAnsi="Arial" w:cs="Arial"/>
          <w:szCs w:val="21"/>
          <w:highlight w:val="none"/>
        </w:rPr>
      </w:pPr>
      <w:r>
        <w:rPr>
          <w:rFonts w:hint="eastAsia" w:ascii="Arial" w:hAnsi="Arial" w:cs="Arial"/>
          <w:szCs w:val="21"/>
          <w:highlight w:val="none"/>
        </w:rPr>
        <w:t>（</w:t>
      </w:r>
      <w:r>
        <w:rPr>
          <w:rFonts w:hint="eastAsia" w:ascii="Arial" w:hAnsi="Arial" w:cs="Arial"/>
          <w:szCs w:val="21"/>
          <w:highlight w:val="none"/>
          <w:lang w:val="en-US" w:eastAsia="zh-CN"/>
        </w:rPr>
        <w:t>9</w:t>
      </w:r>
      <w:r>
        <w:rPr>
          <w:rFonts w:hint="eastAsia" w:ascii="Arial" w:hAnsi="Arial" w:cs="Arial"/>
          <w:szCs w:val="21"/>
          <w:highlight w:val="none"/>
        </w:rPr>
        <w:t>）</w:t>
      </w:r>
      <w:r>
        <w:rPr>
          <w:rFonts w:hint="eastAsia" w:ascii="Arial" w:hAnsi="Arial" w:cs="Arial"/>
          <w:szCs w:val="21"/>
          <w:highlight w:val="none"/>
          <w:lang w:eastAsia="zh-CN"/>
        </w:rPr>
        <w:t>售后服务承诺；</w:t>
      </w:r>
    </w:p>
    <w:p w14:paraId="4E367C6F">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46" w:leftChars="303" w:hanging="210" w:hangingChars="100"/>
        <w:jc w:val="both"/>
        <w:textAlignment w:val="auto"/>
        <w:rPr>
          <w:rFonts w:hint="eastAsia" w:ascii="Arial" w:hAnsi="Arial" w:cs="Arial"/>
          <w:szCs w:val="21"/>
          <w:highlight w:val="none"/>
        </w:rPr>
      </w:pPr>
      <w:r>
        <w:rPr>
          <w:rFonts w:hint="eastAsia" w:ascii="Arial" w:hAnsi="Arial" w:cs="Arial"/>
          <w:szCs w:val="21"/>
          <w:highlight w:val="none"/>
        </w:rPr>
        <w:t>（1</w:t>
      </w:r>
      <w:r>
        <w:rPr>
          <w:rFonts w:hint="eastAsia" w:ascii="Arial" w:hAnsi="Arial" w:cs="Arial"/>
          <w:szCs w:val="21"/>
          <w:highlight w:val="none"/>
          <w:lang w:val="en-US" w:eastAsia="zh-CN"/>
        </w:rPr>
        <w:t>0</w:t>
      </w:r>
      <w:r>
        <w:rPr>
          <w:rFonts w:hint="eastAsia" w:ascii="Arial" w:hAnsi="Arial" w:cs="Arial"/>
          <w:szCs w:val="21"/>
          <w:highlight w:val="none"/>
        </w:rPr>
        <w:t>）</w:t>
      </w:r>
      <w:r>
        <w:rPr>
          <w:rFonts w:hint="eastAsia" w:ascii="Arial" w:hAnsi="Arial" w:cs="Arial"/>
          <w:szCs w:val="21"/>
          <w:highlight w:val="none"/>
          <w:lang w:eastAsia="zh-CN"/>
        </w:rPr>
        <w:t>质量保证措施；</w:t>
      </w:r>
    </w:p>
    <w:p w14:paraId="36FBF524">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46" w:leftChars="303" w:hanging="210" w:hangingChars="100"/>
        <w:jc w:val="both"/>
        <w:textAlignment w:val="auto"/>
        <w:rPr>
          <w:rFonts w:hint="eastAsia" w:ascii="Arial" w:hAnsi="Arial" w:cs="Arial"/>
          <w:szCs w:val="21"/>
          <w:highlight w:val="none"/>
        </w:rPr>
      </w:pPr>
      <w:r>
        <w:rPr>
          <w:rFonts w:hint="eastAsia" w:ascii="Arial" w:hAnsi="Arial" w:cs="Arial"/>
          <w:szCs w:val="21"/>
          <w:highlight w:val="none"/>
        </w:rPr>
        <w:t>（1</w:t>
      </w:r>
      <w:r>
        <w:rPr>
          <w:rFonts w:hint="eastAsia" w:ascii="Arial" w:hAnsi="Arial" w:cs="Arial"/>
          <w:szCs w:val="21"/>
          <w:highlight w:val="none"/>
          <w:lang w:val="en-US" w:eastAsia="zh-CN"/>
        </w:rPr>
        <w:t>1</w:t>
      </w:r>
      <w:r>
        <w:rPr>
          <w:rFonts w:hint="eastAsia" w:ascii="Arial" w:hAnsi="Arial" w:cs="Arial"/>
          <w:szCs w:val="21"/>
          <w:highlight w:val="none"/>
        </w:rPr>
        <w:t>）投入本项目设备一览表（格式见</w:t>
      </w:r>
      <w:r>
        <w:rPr>
          <w:rFonts w:hint="eastAsia" w:ascii="Arial" w:hAnsi="Arial" w:cs="Arial"/>
          <w:szCs w:val="21"/>
          <w:highlight w:val="none"/>
          <w:lang w:eastAsia="zh-CN"/>
        </w:rPr>
        <w:t>第六部分</w:t>
      </w:r>
      <w:r>
        <w:rPr>
          <w:rFonts w:hint="eastAsia" w:ascii="Arial" w:hAnsi="Arial" w:cs="Arial"/>
          <w:szCs w:val="21"/>
          <w:highlight w:val="none"/>
        </w:rPr>
        <w:t>）；</w:t>
      </w:r>
    </w:p>
    <w:p w14:paraId="453E6290">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30" w:firstLineChars="300"/>
        <w:jc w:val="both"/>
        <w:textAlignment w:val="auto"/>
        <w:rPr>
          <w:rFonts w:hint="eastAsia" w:ascii="Arial" w:hAnsi="Arial" w:cs="Arial"/>
          <w:szCs w:val="21"/>
          <w:highlight w:val="none"/>
        </w:rPr>
      </w:pPr>
      <w:r>
        <w:rPr>
          <w:rFonts w:hint="eastAsia" w:ascii="Arial" w:hAnsi="Arial" w:cs="Arial"/>
          <w:szCs w:val="21"/>
          <w:highlight w:val="none"/>
        </w:rPr>
        <w:t>（1</w:t>
      </w:r>
      <w:r>
        <w:rPr>
          <w:rFonts w:hint="eastAsia" w:ascii="Arial" w:hAnsi="Arial" w:cs="Arial"/>
          <w:szCs w:val="21"/>
          <w:highlight w:val="none"/>
          <w:lang w:val="en-US" w:eastAsia="zh-CN"/>
        </w:rPr>
        <w:t>2</w:t>
      </w:r>
      <w:r>
        <w:rPr>
          <w:rFonts w:hint="eastAsia" w:ascii="Arial" w:hAnsi="Arial" w:cs="Arial"/>
          <w:szCs w:val="21"/>
          <w:highlight w:val="none"/>
        </w:rPr>
        <w:t>）投标人需要说明的其他内容（未尽事宜可按评分细则部分制作）。</w:t>
      </w:r>
    </w:p>
    <w:p w14:paraId="0E8EB1B1">
      <w:pPr>
        <w:snapToGrid w:val="0"/>
        <w:spacing w:line="400" w:lineRule="atLeast"/>
        <w:jc w:val="both"/>
        <w:rPr>
          <w:rFonts w:ascii="Arial" w:hAnsi="Arial" w:cs="Arial"/>
          <w:b/>
          <w:szCs w:val="21"/>
          <w:highlight w:val="none"/>
        </w:rPr>
      </w:pPr>
      <w:r>
        <w:rPr>
          <w:rFonts w:hint="eastAsia" w:ascii="Arial" w:hAnsi="Arial" w:cs="Arial"/>
          <w:b/>
          <w:szCs w:val="21"/>
          <w:highlight w:val="none"/>
        </w:rPr>
        <w:t>11.1.3报价</w:t>
      </w:r>
      <w:r>
        <w:rPr>
          <w:rFonts w:hint="eastAsia" w:ascii="Arial" w:hAnsi="Arial" w:cs="Arial"/>
          <w:b/>
          <w:szCs w:val="21"/>
          <w:highlight w:val="none"/>
          <w:lang w:val="en-US" w:eastAsia="zh-CN"/>
        </w:rPr>
        <w:t>要求响应</w:t>
      </w:r>
      <w:r>
        <w:rPr>
          <w:rFonts w:hint="eastAsia" w:ascii="Arial" w:hAnsi="Arial" w:cs="Arial"/>
          <w:b/>
          <w:szCs w:val="21"/>
          <w:highlight w:val="none"/>
        </w:rPr>
        <w:t>文件</w:t>
      </w:r>
    </w:p>
    <w:p w14:paraId="759DF7F2">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46" w:leftChars="303" w:hanging="210" w:hangingChars="100"/>
        <w:jc w:val="both"/>
        <w:textAlignment w:val="auto"/>
        <w:rPr>
          <w:rFonts w:hint="eastAsia" w:ascii="Arial" w:hAnsi="Arial" w:cs="Arial"/>
          <w:szCs w:val="21"/>
          <w:highlight w:val="none"/>
        </w:rPr>
      </w:pPr>
      <w:r>
        <w:rPr>
          <w:rFonts w:hint="eastAsia" w:ascii="Arial" w:hAnsi="Arial" w:cs="Arial"/>
          <w:szCs w:val="21"/>
          <w:highlight w:val="none"/>
          <w:lang w:eastAsia="zh-CN"/>
        </w:rPr>
        <w:t>（</w:t>
      </w:r>
      <w:r>
        <w:rPr>
          <w:rFonts w:hint="eastAsia" w:ascii="Arial" w:hAnsi="Arial" w:cs="Arial"/>
          <w:szCs w:val="21"/>
          <w:highlight w:val="none"/>
          <w:lang w:val="en-US" w:eastAsia="zh-CN"/>
        </w:rPr>
        <w:t>1</w:t>
      </w:r>
      <w:r>
        <w:rPr>
          <w:rFonts w:hint="eastAsia" w:ascii="Arial" w:hAnsi="Arial" w:cs="Arial"/>
          <w:szCs w:val="21"/>
          <w:highlight w:val="none"/>
          <w:lang w:eastAsia="zh-CN"/>
        </w:rPr>
        <w:t>）</w:t>
      </w:r>
      <w:r>
        <w:rPr>
          <w:rFonts w:hint="eastAsia" w:ascii="Arial" w:hAnsi="Arial" w:cs="Arial"/>
          <w:szCs w:val="21"/>
          <w:highlight w:val="none"/>
        </w:rPr>
        <w:t>竞争性磋商函（格式见</w:t>
      </w:r>
      <w:r>
        <w:rPr>
          <w:rFonts w:hint="eastAsia" w:ascii="Arial" w:hAnsi="Arial" w:cs="Arial"/>
          <w:szCs w:val="21"/>
          <w:highlight w:val="none"/>
          <w:lang w:eastAsia="zh-CN"/>
        </w:rPr>
        <w:t>第六部分</w:t>
      </w:r>
      <w:r>
        <w:rPr>
          <w:rFonts w:hint="eastAsia" w:ascii="Arial" w:hAnsi="Arial" w:cs="Arial"/>
          <w:szCs w:val="21"/>
          <w:highlight w:val="none"/>
        </w:rPr>
        <w:t>）；</w:t>
      </w:r>
    </w:p>
    <w:p w14:paraId="5D8BA2C2">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46" w:leftChars="303" w:hanging="210" w:hangingChars="100"/>
        <w:jc w:val="both"/>
        <w:textAlignment w:val="auto"/>
        <w:rPr>
          <w:rFonts w:hint="eastAsia" w:ascii="Arial" w:hAnsi="Arial" w:cs="Arial"/>
          <w:szCs w:val="21"/>
          <w:highlight w:val="none"/>
        </w:rPr>
      </w:pPr>
      <w:r>
        <w:rPr>
          <w:rFonts w:hint="eastAsia" w:ascii="Arial" w:hAnsi="Arial" w:cs="Arial"/>
          <w:szCs w:val="21"/>
          <w:highlight w:val="none"/>
          <w:lang w:val="en-US" w:eastAsia="zh-CN"/>
        </w:rPr>
        <w:t>（2）开标</w:t>
      </w:r>
      <w:r>
        <w:rPr>
          <w:rFonts w:hint="eastAsia" w:ascii="Arial" w:hAnsi="Arial" w:cs="Arial"/>
          <w:szCs w:val="21"/>
          <w:highlight w:val="none"/>
        </w:rPr>
        <w:t>一览表（格式见</w:t>
      </w:r>
      <w:r>
        <w:rPr>
          <w:rFonts w:hint="eastAsia" w:ascii="Arial" w:hAnsi="Arial" w:cs="Arial"/>
          <w:szCs w:val="21"/>
          <w:highlight w:val="none"/>
          <w:lang w:eastAsia="zh-CN"/>
        </w:rPr>
        <w:t>第六部分</w:t>
      </w:r>
      <w:r>
        <w:rPr>
          <w:rFonts w:hint="eastAsia" w:ascii="Arial" w:hAnsi="Arial" w:cs="Arial"/>
          <w:szCs w:val="21"/>
          <w:highlight w:val="none"/>
        </w:rPr>
        <w:t>）；</w:t>
      </w:r>
    </w:p>
    <w:p w14:paraId="045D735E">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46" w:leftChars="303" w:hanging="210" w:hangingChars="100"/>
        <w:jc w:val="both"/>
        <w:textAlignment w:val="auto"/>
        <w:rPr>
          <w:rFonts w:hint="eastAsia" w:ascii="Arial" w:hAnsi="Arial" w:cs="Arial"/>
          <w:szCs w:val="21"/>
          <w:highlight w:val="none"/>
          <w:lang w:val="en-US" w:eastAsia="zh-CN"/>
        </w:rPr>
      </w:pPr>
      <w:r>
        <w:rPr>
          <w:rFonts w:hint="eastAsia" w:ascii="Arial" w:hAnsi="Arial" w:cs="Arial"/>
          <w:szCs w:val="21"/>
          <w:highlight w:val="none"/>
          <w:lang w:val="en-US" w:eastAsia="zh-CN"/>
        </w:rPr>
        <w:t>（3）投标报价明细表（格式见第六部分）；</w:t>
      </w:r>
    </w:p>
    <w:p w14:paraId="050C5009">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46" w:leftChars="303" w:hanging="210" w:hangingChars="100"/>
        <w:jc w:val="both"/>
        <w:textAlignment w:val="auto"/>
        <w:rPr>
          <w:rFonts w:hint="eastAsia" w:ascii="Arial" w:hAnsi="Arial" w:cs="Arial"/>
          <w:b/>
          <w:szCs w:val="21"/>
          <w:highlight w:val="none"/>
        </w:rPr>
      </w:pPr>
      <w:r>
        <w:rPr>
          <w:rFonts w:hint="eastAsia" w:ascii="Arial" w:hAnsi="Arial" w:cs="Arial"/>
          <w:szCs w:val="21"/>
          <w:highlight w:val="none"/>
          <w:lang w:eastAsia="zh-CN"/>
        </w:rPr>
        <w:t>（</w:t>
      </w:r>
      <w:r>
        <w:rPr>
          <w:rFonts w:hint="eastAsia" w:ascii="Arial" w:hAnsi="Arial" w:cs="Arial"/>
          <w:szCs w:val="21"/>
          <w:highlight w:val="none"/>
          <w:lang w:val="en-US" w:eastAsia="zh-CN"/>
        </w:rPr>
        <w:t>4</w:t>
      </w:r>
      <w:r>
        <w:rPr>
          <w:rFonts w:hint="eastAsia" w:ascii="Arial" w:hAnsi="Arial" w:cs="Arial"/>
          <w:szCs w:val="21"/>
          <w:highlight w:val="none"/>
          <w:lang w:eastAsia="zh-CN"/>
        </w:rPr>
        <w:t>）</w:t>
      </w:r>
      <w:r>
        <w:rPr>
          <w:rFonts w:hint="eastAsia" w:ascii="Arial" w:hAnsi="Arial" w:cs="Arial"/>
          <w:szCs w:val="21"/>
          <w:highlight w:val="none"/>
        </w:rPr>
        <w:t>招标文件规定需要的其他资料及投标人需要说明的其他事项。</w:t>
      </w:r>
    </w:p>
    <w:p w14:paraId="7CF4A508">
      <w:pPr>
        <w:numPr>
          <w:ilvl w:val="0"/>
          <w:numId w:val="3"/>
        </w:numPr>
        <w:snapToGrid w:val="0"/>
        <w:spacing w:line="400" w:lineRule="atLeast"/>
        <w:jc w:val="both"/>
        <w:rPr>
          <w:rFonts w:ascii="Arial" w:hAnsi="Arial" w:cs="Arial"/>
          <w:b/>
          <w:bCs/>
          <w:sz w:val="24"/>
          <w:highlight w:val="none"/>
        </w:rPr>
      </w:pPr>
      <w:r>
        <w:rPr>
          <w:rFonts w:ascii="Arial" w:hAnsi="Arial" w:cs="Arial"/>
          <w:b/>
          <w:bCs/>
          <w:sz w:val="24"/>
          <w:highlight w:val="none"/>
        </w:rPr>
        <w:t>竞争性磋商响应格式填写说明</w:t>
      </w:r>
    </w:p>
    <w:p w14:paraId="1971BE68">
      <w:pPr>
        <w:numPr>
          <w:ilvl w:val="1"/>
          <w:numId w:val="3"/>
        </w:numPr>
        <w:snapToGrid w:val="0"/>
        <w:spacing w:line="400" w:lineRule="atLeast"/>
        <w:jc w:val="both"/>
        <w:rPr>
          <w:rFonts w:ascii="Arial" w:hAnsi="Arial" w:cs="Arial"/>
          <w:highlight w:val="none"/>
        </w:rPr>
      </w:pPr>
      <w:r>
        <w:rPr>
          <w:rFonts w:ascii="Arial" w:hAnsi="Arial" w:cs="Arial"/>
          <w:highlight w:val="none"/>
        </w:rPr>
        <w:t>竞争性磋商供应商应在认真阅读竞争性磋商文件所有内容的基础上，按照竞争性磋商文件的要求编制完整的竞争性磋商响应文件。竞争性磋商响应文件应按照竞争性磋商文件中规定的统一格式填写，严格按照规定的顺序编制目录，混乱的编排导致竞争性磋商响应文件被误读或采购代理机构查找不到有效文件是竞争性磋商供应商的风险。</w:t>
      </w:r>
    </w:p>
    <w:p w14:paraId="317F3A93">
      <w:pPr>
        <w:numPr>
          <w:ilvl w:val="1"/>
          <w:numId w:val="3"/>
        </w:numPr>
        <w:snapToGrid w:val="0"/>
        <w:spacing w:line="400" w:lineRule="atLeast"/>
        <w:jc w:val="both"/>
        <w:rPr>
          <w:rFonts w:ascii="Arial" w:hAnsi="Arial" w:cs="Arial"/>
          <w:szCs w:val="21"/>
          <w:highlight w:val="none"/>
        </w:rPr>
      </w:pPr>
      <w:r>
        <w:rPr>
          <w:rFonts w:ascii="Arial" w:hAnsi="Arial" w:cs="Arial"/>
          <w:highlight w:val="none"/>
        </w:rPr>
        <w:t>竞争性磋商供应商必须保证竞争性磋商响应文件所提供的全部资料真实可靠，并接受采购代理机构对其中任何资料进一步审查的要求。提供虚假证明的竞争性磋商供应商将被取消政府采购供应商资格，并在政府采购宣传媒体上予以公告。</w:t>
      </w:r>
    </w:p>
    <w:p w14:paraId="37497E21">
      <w:pPr>
        <w:numPr>
          <w:ilvl w:val="0"/>
          <w:numId w:val="3"/>
        </w:numPr>
        <w:snapToGrid w:val="0"/>
        <w:spacing w:line="400" w:lineRule="atLeast"/>
        <w:jc w:val="both"/>
        <w:rPr>
          <w:rFonts w:ascii="Arial" w:hAnsi="Arial" w:cs="Arial"/>
          <w:b/>
          <w:sz w:val="24"/>
          <w:highlight w:val="none"/>
        </w:rPr>
      </w:pPr>
      <w:r>
        <w:rPr>
          <w:rFonts w:ascii="Arial" w:hAnsi="Arial" w:cs="Arial"/>
          <w:b/>
          <w:sz w:val="24"/>
          <w:highlight w:val="none"/>
        </w:rPr>
        <w:t>竞争性磋商有效期</w:t>
      </w:r>
    </w:p>
    <w:p w14:paraId="142A1E2C">
      <w:pPr>
        <w:numPr>
          <w:ilvl w:val="1"/>
          <w:numId w:val="3"/>
        </w:numPr>
        <w:snapToGrid w:val="0"/>
        <w:spacing w:line="400" w:lineRule="atLeast"/>
        <w:jc w:val="both"/>
        <w:rPr>
          <w:rFonts w:ascii="Arial" w:hAnsi="Arial" w:cs="Arial"/>
          <w:szCs w:val="21"/>
          <w:highlight w:val="none"/>
        </w:rPr>
      </w:pPr>
      <w:r>
        <w:rPr>
          <w:rFonts w:ascii="Arial" w:hAnsi="Arial" w:cs="Arial"/>
          <w:szCs w:val="21"/>
          <w:highlight w:val="none"/>
        </w:rPr>
        <w:t>▲提交竞争性磋商响应文件截止日起60天，竞争性磋商响应文件应保持有效。竞争性磋商有效期比规定期限短的将被视为非响应竞争性磋商而予以</w:t>
      </w:r>
      <w:r>
        <w:rPr>
          <w:rFonts w:hint="eastAsia" w:ascii="宋体" w:hAnsi="宋体"/>
          <w:szCs w:val="21"/>
          <w:highlight w:val="none"/>
        </w:rPr>
        <w:t>否决</w:t>
      </w:r>
      <w:r>
        <w:rPr>
          <w:rFonts w:ascii="Arial" w:hAnsi="Arial" w:cs="Arial"/>
          <w:szCs w:val="21"/>
          <w:highlight w:val="none"/>
        </w:rPr>
        <w:t>。</w:t>
      </w:r>
    </w:p>
    <w:p w14:paraId="04887F76">
      <w:pPr>
        <w:numPr>
          <w:ilvl w:val="1"/>
          <w:numId w:val="3"/>
        </w:numPr>
        <w:snapToGrid w:val="0"/>
        <w:spacing w:line="400" w:lineRule="atLeast"/>
        <w:jc w:val="both"/>
        <w:rPr>
          <w:rFonts w:ascii="Arial" w:hAnsi="Arial" w:cs="Arial"/>
          <w:highlight w:val="none"/>
        </w:rPr>
      </w:pPr>
      <w:r>
        <w:rPr>
          <w:rFonts w:ascii="Arial" w:hAnsi="Arial" w:cs="Arial"/>
          <w:szCs w:val="21"/>
          <w:highlight w:val="none"/>
        </w:rPr>
        <w:t>特殊情况下，采购代理机构可于竞争性磋商有效期满之前要求竞争性磋商供应商同意延长有效期，要求与答复均应为书面形式。</w:t>
      </w:r>
    </w:p>
    <w:p w14:paraId="56D6D353">
      <w:pPr>
        <w:numPr>
          <w:ilvl w:val="0"/>
          <w:numId w:val="3"/>
        </w:numPr>
        <w:snapToGrid w:val="0"/>
        <w:spacing w:line="400" w:lineRule="atLeast"/>
        <w:jc w:val="both"/>
        <w:rPr>
          <w:rFonts w:ascii="Arial" w:hAnsi="Arial" w:cs="Arial"/>
          <w:b/>
          <w:sz w:val="24"/>
          <w:highlight w:val="none"/>
        </w:rPr>
      </w:pPr>
      <w:r>
        <w:rPr>
          <w:rFonts w:ascii="Arial" w:hAnsi="Arial" w:cs="Arial"/>
          <w:b/>
          <w:sz w:val="24"/>
          <w:szCs w:val="24"/>
          <w:highlight w:val="none"/>
        </w:rPr>
        <w:t>竞争性磋商报价</w:t>
      </w:r>
    </w:p>
    <w:p w14:paraId="5824248C">
      <w:pPr>
        <w:numPr>
          <w:ilvl w:val="1"/>
          <w:numId w:val="3"/>
        </w:numPr>
        <w:snapToGrid w:val="0"/>
        <w:spacing w:line="400" w:lineRule="atLeast"/>
        <w:jc w:val="both"/>
        <w:rPr>
          <w:rFonts w:ascii="Arial" w:hAnsi="Arial" w:cs="Arial"/>
          <w:szCs w:val="21"/>
          <w:highlight w:val="none"/>
        </w:rPr>
      </w:pPr>
      <w:r>
        <w:rPr>
          <w:rFonts w:ascii="Arial" w:hAnsi="Arial" w:cs="Arial"/>
          <w:szCs w:val="21"/>
          <w:highlight w:val="none"/>
        </w:rPr>
        <w:t>竞争性磋商供应商提供的货物和服务价格应该用人民币表示。竞争性磋商报价应包括完成供货和服务所需的一切费用。</w:t>
      </w:r>
    </w:p>
    <w:p w14:paraId="503BB455">
      <w:pPr>
        <w:numPr>
          <w:ilvl w:val="1"/>
          <w:numId w:val="3"/>
        </w:numPr>
        <w:snapToGrid w:val="0"/>
        <w:spacing w:line="400" w:lineRule="atLeast"/>
        <w:jc w:val="both"/>
        <w:rPr>
          <w:rFonts w:ascii="Arial" w:hAnsi="Arial" w:cs="Arial"/>
          <w:szCs w:val="21"/>
          <w:highlight w:val="none"/>
        </w:rPr>
      </w:pPr>
      <w:r>
        <w:rPr>
          <w:rFonts w:ascii="Arial" w:hAnsi="Arial" w:cs="Arial"/>
          <w:szCs w:val="21"/>
          <w:highlight w:val="none"/>
        </w:rPr>
        <w:t>根据本次竞争性磋商采购工作要求，最后只允许有一个竞争性磋商报价，竞争性磋商供应商应在各自技术和商务占优势的基础上并充分考虑本项目的重要性，在竞争性磋商结束后提供给采购代理机构及采购人最优惠的竞争性磋商价格。</w:t>
      </w:r>
    </w:p>
    <w:p w14:paraId="750D2CEE">
      <w:pPr>
        <w:numPr>
          <w:ilvl w:val="1"/>
          <w:numId w:val="3"/>
        </w:numPr>
        <w:snapToGrid w:val="0"/>
        <w:spacing w:line="400" w:lineRule="atLeast"/>
        <w:jc w:val="both"/>
        <w:rPr>
          <w:rFonts w:ascii="Arial" w:hAnsi="Arial" w:cs="Arial"/>
          <w:b/>
          <w:bCs/>
          <w:szCs w:val="21"/>
          <w:highlight w:val="none"/>
        </w:rPr>
      </w:pPr>
      <w:r>
        <w:rPr>
          <w:rFonts w:hint="eastAsia" w:ascii="Arial" w:hAnsi="Arial" w:cs="Arial"/>
          <w:b/>
          <w:bCs/>
          <w:szCs w:val="21"/>
          <w:highlight w:val="none"/>
        </w:rPr>
        <w:t>最后的竞争性磋商报价不应高于首次报价</w:t>
      </w:r>
      <w:r>
        <w:rPr>
          <w:rFonts w:ascii="Arial" w:hAnsi="Arial" w:cs="Arial"/>
          <w:b/>
          <w:bCs/>
          <w:szCs w:val="21"/>
          <w:highlight w:val="none"/>
        </w:rPr>
        <w:t>。</w:t>
      </w:r>
    </w:p>
    <w:p w14:paraId="204E9762">
      <w:pPr>
        <w:numPr>
          <w:ilvl w:val="0"/>
          <w:numId w:val="3"/>
        </w:numPr>
        <w:snapToGrid w:val="0"/>
        <w:spacing w:line="400" w:lineRule="atLeast"/>
        <w:jc w:val="both"/>
        <w:rPr>
          <w:rFonts w:ascii="Arial" w:hAnsi="Arial" w:cs="Arial"/>
          <w:highlight w:val="none"/>
        </w:rPr>
      </w:pPr>
      <w:r>
        <w:rPr>
          <w:rFonts w:ascii="Arial" w:hAnsi="Arial" w:cs="Arial"/>
          <w:b/>
          <w:sz w:val="24"/>
          <w:highlight w:val="none"/>
        </w:rPr>
        <w:t>竞争性磋商响应文件的式样和签署</w:t>
      </w:r>
    </w:p>
    <w:p w14:paraId="55FB8CC1">
      <w:pPr>
        <w:numPr>
          <w:ilvl w:val="1"/>
          <w:numId w:val="3"/>
        </w:numPr>
        <w:snapToGrid w:val="0"/>
        <w:spacing w:line="400" w:lineRule="atLeast"/>
        <w:jc w:val="both"/>
        <w:rPr>
          <w:rFonts w:ascii="Arial" w:hAnsi="Arial" w:cs="Arial"/>
          <w:szCs w:val="21"/>
          <w:highlight w:val="none"/>
        </w:rPr>
      </w:pPr>
      <w:r>
        <w:rPr>
          <w:rFonts w:ascii="Arial" w:hAnsi="Arial" w:cs="Arial"/>
          <w:szCs w:val="21"/>
          <w:highlight w:val="none"/>
        </w:rPr>
        <w:t>竞争性磋商响应文件的内容是属于供应商自己制作的均须用不褪色墨水书写或打印，并在“竞争性磋商文件格式”规定处由供应商的法定代表人或其授权代表印章（或签字</w:t>
      </w:r>
      <w:r>
        <w:rPr>
          <w:rFonts w:hint="eastAsia" w:ascii="Arial" w:hAnsi="Arial" w:cs="Arial"/>
          <w:szCs w:val="21"/>
          <w:highlight w:val="none"/>
        </w:rPr>
        <w:t>或电子章</w:t>
      </w:r>
      <w:r>
        <w:rPr>
          <w:rFonts w:ascii="Arial" w:hAnsi="Arial" w:cs="Arial"/>
          <w:szCs w:val="21"/>
          <w:highlight w:val="none"/>
        </w:rPr>
        <w:t>）。</w:t>
      </w:r>
    </w:p>
    <w:p w14:paraId="1B16B1BE">
      <w:pPr>
        <w:numPr>
          <w:ilvl w:val="1"/>
          <w:numId w:val="3"/>
        </w:numPr>
        <w:snapToGrid w:val="0"/>
        <w:spacing w:line="400" w:lineRule="atLeast"/>
        <w:jc w:val="both"/>
        <w:rPr>
          <w:rFonts w:ascii="Arial" w:hAnsi="Arial" w:cs="Arial"/>
          <w:highlight w:val="none"/>
        </w:rPr>
      </w:pPr>
      <w:r>
        <w:rPr>
          <w:rFonts w:ascii="Arial" w:hAnsi="Arial" w:cs="Arial"/>
          <w:szCs w:val="21"/>
          <w:highlight w:val="none"/>
        </w:rPr>
        <w:t>竞争性磋商响应文件不得涂改和增删，如有修改错漏处，必须由同一签署人签字或盖章。</w:t>
      </w:r>
    </w:p>
    <w:p w14:paraId="6BBACEFE">
      <w:pPr>
        <w:numPr>
          <w:ilvl w:val="1"/>
          <w:numId w:val="3"/>
        </w:numPr>
        <w:snapToGrid w:val="0"/>
        <w:spacing w:line="400" w:lineRule="atLeast"/>
        <w:jc w:val="both"/>
        <w:rPr>
          <w:rFonts w:ascii="Arial" w:hAnsi="Arial" w:cs="Arial"/>
          <w:highlight w:val="none"/>
        </w:rPr>
      </w:pPr>
      <w:r>
        <w:rPr>
          <w:rFonts w:ascii="Arial" w:hAnsi="Arial" w:cs="Arial"/>
          <w:highlight w:val="none"/>
        </w:rPr>
        <w:t>供应商或采购组织单位有下列情形之一的，应按串通行为认定：</w:t>
      </w:r>
    </w:p>
    <w:p w14:paraId="6652896D">
      <w:pPr>
        <w:numPr>
          <w:ilvl w:val="0"/>
          <w:numId w:val="4"/>
        </w:numPr>
        <w:snapToGrid w:val="0"/>
        <w:spacing w:line="400" w:lineRule="atLeast"/>
        <w:jc w:val="both"/>
        <w:rPr>
          <w:rFonts w:ascii="Arial" w:hAnsi="Arial" w:cs="Arial"/>
          <w:highlight w:val="none"/>
        </w:rPr>
      </w:pPr>
      <w:r>
        <w:rPr>
          <w:rFonts w:ascii="Arial" w:hAnsi="Arial" w:cs="Arial"/>
          <w:highlight w:val="none"/>
        </w:rPr>
        <w:t>不同供应商的竞争性磋商响应文件由同一单位或人员编制的；</w:t>
      </w:r>
    </w:p>
    <w:p w14:paraId="712AB62F">
      <w:pPr>
        <w:numPr>
          <w:ilvl w:val="0"/>
          <w:numId w:val="4"/>
        </w:numPr>
        <w:snapToGrid w:val="0"/>
        <w:spacing w:line="400" w:lineRule="atLeast"/>
        <w:jc w:val="both"/>
        <w:rPr>
          <w:rFonts w:ascii="Arial" w:hAnsi="Arial" w:cs="Arial"/>
          <w:highlight w:val="none"/>
        </w:rPr>
      </w:pPr>
      <w:r>
        <w:rPr>
          <w:rFonts w:ascii="Arial" w:hAnsi="Arial" w:cs="Arial"/>
          <w:highlight w:val="none"/>
        </w:rPr>
        <w:t>不同供应商委托同一单位或人员办理投标事宜的；</w:t>
      </w:r>
    </w:p>
    <w:p w14:paraId="4BF6E356">
      <w:pPr>
        <w:numPr>
          <w:ilvl w:val="0"/>
          <w:numId w:val="4"/>
        </w:numPr>
        <w:snapToGrid w:val="0"/>
        <w:spacing w:line="400" w:lineRule="atLeast"/>
        <w:jc w:val="both"/>
        <w:rPr>
          <w:rFonts w:ascii="Arial" w:hAnsi="Arial" w:cs="Arial"/>
          <w:highlight w:val="none"/>
        </w:rPr>
      </w:pPr>
      <w:r>
        <w:rPr>
          <w:rFonts w:ascii="Arial" w:hAnsi="Arial" w:cs="Arial"/>
          <w:highlight w:val="none"/>
        </w:rPr>
        <w:t>不同供应商的竞争性磋商响应文件中的内容出现非正常的一致，或者报价细目呈明显规律性变化，或在完全可比的情况下投标总价均高于市场平均价的；</w:t>
      </w:r>
    </w:p>
    <w:p w14:paraId="7F2262E6">
      <w:pPr>
        <w:numPr>
          <w:ilvl w:val="0"/>
          <w:numId w:val="4"/>
        </w:numPr>
        <w:snapToGrid w:val="0"/>
        <w:spacing w:line="400" w:lineRule="atLeast"/>
        <w:jc w:val="both"/>
        <w:rPr>
          <w:rFonts w:ascii="Arial" w:hAnsi="Arial" w:cs="Arial"/>
          <w:highlight w:val="none"/>
        </w:rPr>
      </w:pPr>
      <w:r>
        <w:rPr>
          <w:rFonts w:ascii="Arial" w:hAnsi="Arial" w:cs="Arial"/>
          <w:highlight w:val="none"/>
        </w:rPr>
        <w:t>不同供应商的竞争性磋商响应文件载明的项目管理或实施人员出现同一单位的工作人员或同一人的；</w:t>
      </w:r>
    </w:p>
    <w:p w14:paraId="761FA12D">
      <w:pPr>
        <w:numPr>
          <w:ilvl w:val="0"/>
          <w:numId w:val="4"/>
        </w:numPr>
        <w:snapToGrid w:val="0"/>
        <w:spacing w:line="400" w:lineRule="atLeast"/>
        <w:jc w:val="both"/>
        <w:rPr>
          <w:rFonts w:ascii="Arial" w:hAnsi="Arial" w:cs="Arial"/>
          <w:highlight w:val="none"/>
        </w:rPr>
      </w:pPr>
      <w:r>
        <w:rPr>
          <w:rFonts w:ascii="Arial" w:hAnsi="Arial" w:cs="Arial"/>
          <w:highlight w:val="none"/>
        </w:rPr>
        <w:t>不同供应商的授权代表为同一单位的工作人员的；</w:t>
      </w:r>
    </w:p>
    <w:p w14:paraId="1300E0C9">
      <w:pPr>
        <w:numPr>
          <w:ilvl w:val="0"/>
          <w:numId w:val="4"/>
        </w:numPr>
        <w:snapToGrid w:val="0"/>
        <w:spacing w:line="400" w:lineRule="atLeast"/>
        <w:jc w:val="both"/>
        <w:rPr>
          <w:rFonts w:ascii="Arial" w:hAnsi="Arial" w:cs="Arial"/>
          <w:highlight w:val="none"/>
        </w:rPr>
      </w:pPr>
      <w:r>
        <w:rPr>
          <w:rFonts w:ascii="Arial" w:hAnsi="Arial" w:cs="Arial"/>
          <w:highlight w:val="none"/>
        </w:rPr>
        <w:t>不同供应商的竞争性磋商响应文件相互混装，或在一个供应商的竞争性磋商响应文件内遗留有其他供应商的签名、盖章等不属于本供应商参加政府采购必需的信息资料的；</w:t>
      </w:r>
    </w:p>
    <w:p w14:paraId="3166D6A8">
      <w:pPr>
        <w:numPr>
          <w:ilvl w:val="0"/>
          <w:numId w:val="4"/>
        </w:numPr>
        <w:snapToGrid w:val="0"/>
        <w:spacing w:line="400" w:lineRule="atLeast"/>
        <w:jc w:val="both"/>
        <w:rPr>
          <w:rFonts w:ascii="Arial" w:hAnsi="Arial" w:cs="Arial"/>
          <w:szCs w:val="22"/>
          <w:highlight w:val="none"/>
        </w:rPr>
      </w:pPr>
      <w:r>
        <w:rPr>
          <w:rFonts w:ascii="Arial" w:hAnsi="Arial" w:cs="Arial"/>
          <w:szCs w:val="22"/>
          <w:highlight w:val="none"/>
        </w:rPr>
        <w:t>采购响应截止时间后，采购组织单位协助供应商撤换或更改竞争性磋商响应文件的；</w:t>
      </w:r>
    </w:p>
    <w:p w14:paraId="11F66F8C">
      <w:pPr>
        <w:numPr>
          <w:ilvl w:val="0"/>
          <w:numId w:val="4"/>
        </w:numPr>
        <w:snapToGrid w:val="0"/>
        <w:spacing w:line="400" w:lineRule="atLeast"/>
        <w:jc w:val="both"/>
        <w:rPr>
          <w:rFonts w:ascii="Arial" w:hAnsi="Arial" w:cs="Arial"/>
          <w:szCs w:val="22"/>
          <w:highlight w:val="none"/>
        </w:rPr>
      </w:pPr>
      <w:r>
        <w:rPr>
          <w:rFonts w:ascii="Arial" w:hAnsi="Arial" w:cs="Arial"/>
          <w:szCs w:val="22"/>
          <w:highlight w:val="none"/>
        </w:rPr>
        <w:t>采购组织单位泄露有意向参加政府采购的供应商名称、数量等应当保密的事项的；</w:t>
      </w:r>
    </w:p>
    <w:p w14:paraId="69323EF8">
      <w:pPr>
        <w:numPr>
          <w:ilvl w:val="0"/>
          <w:numId w:val="4"/>
        </w:numPr>
        <w:snapToGrid w:val="0"/>
        <w:spacing w:line="400" w:lineRule="atLeast"/>
        <w:jc w:val="both"/>
        <w:rPr>
          <w:rFonts w:ascii="Arial" w:hAnsi="Arial" w:cs="Arial"/>
          <w:szCs w:val="22"/>
          <w:highlight w:val="none"/>
        </w:rPr>
      </w:pPr>
      <w:r>
        <w:rPr>
          <w:rFonts w:ascii="Arial" w:hAnsi="Arial" w:cs="Arial"/>
          <w:szCs w:val="22"/>
          <w:highlight w:val="none"/>
        </w:rPr>
        <w:t>不同供应商之间私下达成书面或口头协议，指定一家供应商成交或轮流成交的；</w:t>
      </w:r>
    </w:p>
    <w:p w14:paraId="1D1FDB0C">
      <w:pPr>
        <w:numPr>
          <w:ilvl w:val="0"/>
          <w:numId w:val="4"/>
        </w:numPr>
        <w:snapToGrid w:val="0"/>
        <w:spacing w:line="400" w:lineRule="atLeast"/>
        <w:jc w:val="both"/>
        <w:rPr>
          <w:rFonts w:ascii="Arial" w:hAnsi="Arial" w:cs="Arial"/>
          <w:szCs w:val="22"/>
          <w:highlight w:val="none"/>
        </w:rPr>
      </w:pPr>
      <w:r>
        <w:rPr>
          <w:rFonts w:ascii="Arial" w:hAnsi="Arial" w:cs="Arial"/>
          <w:szCs w:val="22"/>
          <w:highlight w:val="none"/>
        </w:rPr>
        <w:t>法律、法规或规章规定的其他串通行为。</w:t>
      </w:r>
    </w:p>
    <w:p w14:paraId="591DC66D">
      <w:pPr>
        <w:pStyle w:val="5"/>
        <w:spacing w:beforeLines="50" w:afterLines="50" w:line="240" w:lineRule="auto"/>
        <w:jc w:val="center"/>
        <w:rPr>
          <w:rFonts w:ascii="Arial" w:hAnsi="Arial" w:cs="Arial"/>
          <w:sz w:val="24"/>
          <w:szCs w:val="24"/>
          <w:highlight w:val="none"/>
        </w:rPr>
      </w:pPr>
      <w:bookmarkStart w:id="7" w:name="_Toc22608"/>
      <w:r>
        <w:rPr>
          <w:rFonts w:ascii="Arial" w:hAnsi="Arial" w:cs="Arial"/>
          <w:sz w:val="24"/>
          <w:szCs w:val="24"/>
          <w:highlight w:val="none"/>
        </w:rPr>
        <w:t>（五）竞争性磋商响应文件的递交</w:t>
      </w:r>
      <w:bookmarkEnd w:id="7"/>
    </w:p>
    <w:p w14:paraId="0E613663">
      <w:pPr>
        <w:numPr>
          <w:ilvl w:val="0"/>
          <w:numId w:val="3"/>
        </w:numPr>
        <w:snapToGrid w:val="0"/>
        <w:spacing w:line="400" w:lineRule="atLeast"/>
        <w:jc w:val="both"/>
        <w:rPr>
          <w:rFonts w:ascii="Arial" w:hAnsi="Arial" w:cs="Arial"/>
          <w:highlight w:val="none"/>
        </w:rPr>
      </w:pPr>
      <w:r>
        <w:rPr>
          <w:rFonts w:ascii="Arial" w:hAnsi="Arial" w:cs="Arial"/>
          <w:b/>
          <w:sz w:val="24"/>
          <w:highlight w:val="none"/>
        </w:rPr>
        <w:t>竞争性磋商响应文件的密封和标记</w:t>
      </w:r>
    </w:p>
    <w:p w14:paraId="1EEF5493">
      <w:pPr>
        <w:numPr>
          <w:ilvl w:val="1"/>
          <w:numId w:val="3"/>
        </w:numPr>
        <w:snapToGrid w:val="0"/>
        <w:spacing w:line="400" w:lineRule="atLeast"/>
        <w:jc w:val="both"/>
        <w:rPr>
          <w:rFonts w:ascii="Arial" w:hAnsi="Arial" w:cs="Arial"/>
          <w:highlight w:val="none"/>
        </w:rPr>
      </w:pPr>
      <w:r>
        <w:rPr>
          <w:rFonts w:ascii="Arial" w:hAnsi="Arial" w:cs="Arial"/>
          <w:highlight w:val="none"/>
        </w:rPr>
        <w:t>竞争性磋商响应文件</w:t>
      </w:r>
      <w:r>
        <w:rPr>
          <w:rFonts w:hint="eastAsia" w:ascii="Arial" w:hAnsi="Arial" w:cs="Arial"/>
          <w:highlight w:val="none"/>
        </w:rPr>
        <w:t>封面</w:t>
      </w:r>
      <w:r>
        <w:rPr>
          <w:rFonts w:ascii="Arial" w:hAnsi="Arial" w:cs="Arial"/>
          <w:highlight w:val="none"/>
        </w:rPr>
        <w:t>上写明竞争性磋商项目名称、编号、供应商名称、地址、邮政编码、电话、联系人</w:t>
      </w:r>
      <w:r>
        <w:rPr>
          <w:rFonts w:hint="eastAsia" w:ascii="Arial" w:hAnsi="Arial" w:cs="Arial"/>
          <w:highlight w:val="none"/>
        </w:rPr>
        <w:t>。</w:t>
      </w:r>
    </w:p>
    <w:p w14:paraId="46737424">
      <w:pPr>
        <w:numPr>
          <w:ilvl w:val="0"/>
          <w:numId w:val="3"/>
        </w:numPr>
        <w:snapToGrid w:val="0"/>
        <w:spacing w:line="400" w:lineRule="atLeast"/>
        <w:jc w:val="both"/>
        <w:rPr>
          <w:rFonts w:ascii="Arial" w:hAnsi="Arial" w:cs="Arial"/>
          <w:b/>
          <w:sz w:val="24"/>
          <w:highlight w:val="none"/>
        </w:rPr>
      </w:pPr>
      <w:r>
        <w:rPr>
          <w:rFonts w:ascii="Arial" w:hAnsi="Arial" w:cs="Arial"/>
          <w:b/>
          <w:sz w:val="24"/>
          <w:highlight w:val="none"/>
        </w:rPr>
        <w:t>竞争性磋商截止时间</w:t>
      </w:r>
    </w:p>
    <w:p w14:paraId="4509FBB6">
      <w:pPr>
        <w:numPr>
          <w:ilvl w:val="1"/>
          <w:numId w:val="3"/>
        </w:numPr>
        <w:snapToGrid w:val="0"/>
        <w:spacing w:line="400" w:lineRule="atLeast"/>
        <w:jc w:val="both"/>
        <w:rPr>
          <w:rFonts w:ascii="Arial" w:hAnsi="Arial" w:cs="Arial"/>
          <w:highlight w:val="none"/>
        </w:rPr>
      </w:pPr>
      <w:r>
        <w:rPr>
          <w:rFonts w:ascii="Arial" w:hAnsi="Arial" w:cs="Arial"/>
          <w:highlight w:val="none"/>
        </w:rPr>
        <w:t>本次采购的竞争性磋商开始时间及竞争性磋商响应文件递交截止时间：见本竞争性磋商文件“</w:t>
      </w:r>
      <w:r>
        <w:rPr>
          <w:rFonts w:hint="eastAsia" w:ascii="Arial" w:hAnsi="Arial" w:cs="Arial"/>
          <w:highlight w:val="none"/>
        </w:rPr>
        <w:t>采购</w:t>
      </w:r>
      <w:r>
        <w:rPr>
          <w:rFonts w:ascii="Arial" w:hAnsi="Arial" w:cs="Arial"/>
          <w:highlight w:val="none"/>
        </w:rPr>
        <w:t>公告”。</w:t>
      </w:r>
    </w:p>
    <w:p w14:paraId="4AECEBE1">
      <w:pPr>
        <w:numPr>
          <w:ilvl w:val="1"/>
          <w:numId w:val="3"/>
        </w:numPr>
        <w:snapToGrid w:val="0"/>
        <w:spacing w:line="400" w:lineRule="atLeast"/>
        <w:jc w:val="both"/>
        <w:rPr>
          <w:rFonts w:ascii="Arial" w:hAnsi="Arial" w:cs="Arial"/>
          <w:highlight w:val="none"/>
        </w:rPr>
      </w:pPr>
      <w:r>
        <w:rPr>
          <w:rFonts w:ascii="Arial" w:hAnsi="Arial" w:cs="Arial"/>
          <w:highlight w:val="none"/>
        </w:rPr>
        <w:t>在推迟了竞争性磋商开始时间的情况下，采购代理机构、采购人和竞争性磋商供应商受制约的所有权利和义务均应延长至新的截止时间。</w:t>
      </w:r>
    </w:p>
    <w:p w14:paraId="120ED0A4">
      <w:pPr>
        <w:numPr>
          <w:ilvl w:val="0"/>
          <w:numId w:val="3"/>
        </w:numPr>
        <w:snapToGrid w:val="0"/>
        <w:spacing w:line="400" w:lineRule="atLeast"/>
        <w:jc w:val="both"/>
        <w:rPr>
          <w:rFonts w:ascii="Arial" w:hAnsi="Arial" w:cs="Arial"/>
          <w:b/>
          <w:sz w:val="24"/>
          <w:highlight w:val="none"/>
        </w:rPr>
      </w:pPr>
      <w:r>
        <w:rPr>
          <w:rFonts w:ascii="Arial" w:hAnsi="Arial" w:cs="Arial"/>
          <w:b/>
          <w:sz w:val="24"/>
          <w:highlight w:val="none"/>
        </w:rPr>
        <w:t>竞争性磋商响应文件有下列情形之一的，采购代理机构不予受理：</w:t>
      </w:r>
    </w:p>
    <w:p w14:paraId="1B9114E5">
      <w:pPr>
        <w:numPr>
          <w:ilvl w:val="1"/>
          <w:numId w:val="3"/>
        </w:numPr>
        <w:snapToGrid w:val="0"/>
        <w:spacing w:line="400" w:lineRule="atLeast"/>
        <w:jc w:val="both"/>
        <w:rPr>
          <w:rFonts w:ascii="Arial" w:hAnsi="Arial" w:cs="Arial"/>
          <w:highlight w:val="none"/>
        </w:rPr>
      </w:pPr>
      <w:r>
        <w:rPr>
          <w:rFonts w:ascii="Arial" w:hAnsi="Arial" w:cs="Arial"/>
          <w:highlight w:val="none"/>
        </w:rPr>
        <w:t>竞争性磋商响应文件逾期</w:t>
      </w:r>
      <w:r>
        <w:rPr>
          <w:rFonts w:hint="eastAsia" w:ascii="Arial" w:hAnsi="Arial" w:cs="Arial"/>
          <w:highlight w:val="none"/>
        </w:rPr>
        <w:t>上传系统</w:t>
      </w:r>
      <w:r>
        <w:rPr>
          <w:rFonts w:ascii="Arial" w:hAnsi="Arial" w:cs="Arial"/>
          <w:highlight w:val="none"/>
        </w:rPr>
        <w:t>的；</w:t>
      </w:r>
    </w:p>
    <w:p w14:paraId="49E1D287">
      <w:pPr>
        <w:numPr>
          <w:ilvl w:val="1"/>
          <w:numId w:val="3"/>
        </w:numPr>
        <w:snapToGrid w:val="0"/>
        <w:spacing w:line="400" w:lineRule="atLeast"/>
        <w:jc w:val="both"/>
        <w:rPr>
          <w:rFonts w:ascii="Arial" w:hAnsi="Arial" w:cs="Arial"/>
          <w:highlight w:val="none"/>
        </w:rPr>
      </w:pPr>
      <w:r>
        <w:rPr>
          <w:rFonts w:ascii="Arial" w:hAnsi="Arial" w:cs="Arial"/>
          <w:highlight w:val="none"/>
        </w:rPr>
        <w:t>竞争性磋商响应文件未按竞争性磋商文件要求签署、盖章的。</w:t>
      </w:r>
    </w:p>
    <w:p w14:paraId="77E6A4E8">
      <w:pPr>
        <w:snapToGrid w:val="0"/>
        <w:spacing w:line="400" w:lineRule="atLeast"/>
        <w:jc w:val="both"/>
        <w:rPr>
          <w:rFonts w:ascii="Arial" w:hAnsi="Arial" w:cs="Arial"/>
          <w:highlight w:val="none"/>
        </w:rPr>
      </w:pPr>
    </w:p>
    <w:p w14:paraId="44A4602B">
      <w:pPr>
        <w:pStyle w:val="5"/>
        <w:spacing w:beforeLines="50" w:afterLines="50" w:line="240" w:lineRule="auto"/>
        <w:jc w:val="center"/>
        <w:rPr>
          <w:rFonts w:ascii="Arial" w:hAnsi="Arial" w:cs="Arial"/>
          <w:sz w:val="24"/>
          <w:szCs w:val="24"/>
          <w:highlight w:val="none"/>
        </w:rPr>
      </w:pPr>
      <w:bookmarkStart w:id="8" w:name="_Toc15906"/>
      <w:r>
        <w:rPr>
          <w:rFonts w:ascii="Arial" w:hAnsi="Arial" w:cs="Arial"/>
          <w:sz w:val="24"/>
          <w:szCs w:val="24"/>
          <w:highlight w:val="none"/>
        </w:rPr>
        <w:t>（六）竞争性磋商与评审</w:t>
      </w:r>
      <w:bookmarkEnd w:id="8"/>
    </w:p>
    <w:p w14:paraId="5DDEAB4B">
      <w:pPr>
        <w:numPr>
          <w:ilvl w:val="0"/>
          <w:numId w:val="3"/>
        </w:numPr>
        <w:snapToGrid w:val="0"/>
        <w:spacing w:line="400" w:lineRule="atLeast"/>
        <w:jc w:val="both"/>
        <w:rPr>
          <w:rFonts w:ascii="Arial" w:hAnsi="Arial" w:cs="Arial"/>
          <w:b/>
          <w:sz w:val="24"/>
          <w:highlight w:val="none"/>
        </w:rPr>
      </w:pPr>
      <w:r>
        <w:rPr>
          <w:rFonts w:ascii="Arial" w:hAnsi="Arial" w:cs="Arial"/>
          <w:b/>
          <w:sz w:val="24"/>
          <w:highlight w:val="none"/>
        </w:rPr>
        <w:t>竞争性磋商</w:t>
      </w:r>
    </w:p>
    <w:p w14:paraId="38AA93BA">
      <w:pPr>
        <w:numPr>
          <w:ilvl w:val="1"/>
          <w:numId w:val="3"/>
        </w:numPr>
        <w:snapToGrid w:val="0"/>
        <w:spacing w:line="400" w:lineRule="atLeast"/>
        <w:jc w:val="both"/>
        <w:rPr>
          <w:rFonts w:ascii="Arial" w:hAnsi="Arial" w:cs="Arial"/>
          <w:highlight w:val="none"/>
        </w:rPr>
      </w:pPr>
      <w:r>
        <w:rPr>
          <w:rFonts w:ascii="Arial" w:hAnsi="Arial" w:cs="Arial"/>
          <w:highlight w:val="none"/>
        </w:rPr>
        <w:t>竞争性磋商时间和地点：见本竞争性磋商文件“采购公告”。</w:t>
      </w:r>
    </w:p>
    <w:p w14:paraId="5D19DF64">
      <w:pPr>
        <w:numPr>
          <w:ilvl w:val="1"/>
          <w:numId w:val="3"/>
        </w:numPr>
        <w:snapToGrid w:val="0"/>
        <w:spacing w:line="400" w:lineRule="atLeast"/>
        <w:jc w:val="both"/>
        <w:rPr>
          <w:rFonts w:ascii="Arial" w:hAnsi="Arial" w:cs="Arial"/>
          <w:highlight w:val="none"/>
        </w:rPr>
      </w:pPr>
      <w:r>
        <w:rPr>
          <w:rFonts w:ascii="Arial" w:hAnsi="Arial" w:cs="Arial"/>
          <w:highlight w:val="none"/>
        </w:rPr>
        <w:t>采购代理机构组织和主持竞争性磋商会议，</w:t>
      </w:r>
      <w:r>
        <w:rPr>
          <w:rFonts w:hint="eastAsia" w:ascii="Arial" w:hAnsi="Arial" w:cs="Arial"/>
          <w:highlight w:val="none"/>
        </w:rPr>
        <w:t>业主代表及纪检监督人员</w:t>
      </w:r>
      <w:r>
        <w:rPr>
          <w:rFonts w:ascii="Arial" w:hAnsi="Arial" w:cs="Arial"/>
          <w:highlight w:val="none"/>
        </w:rPr>
        <w:t>参加竞争性磋商会议并签名报到以证明其出席。</w:t>
      </w:r>
    </w:p>
    <w:p w14:paraId="4D339609">
      <w:pPr>
        <w:numPr>
          <w:ilvl w:val="0"/>
          <w:numId w:val="3"/>
        </w:numPr>
        <w:spacing w:line="400" w:lineRule="atLeast"/>
        <w:rPr>
          <w:rFonts w:ascii="Arial" w:hAnsi="Arial" w:cs="Arial"/>
          <w:b/>
          <w:sz w:val="24"/>
          <w:highlight w:val="none"/>
        </w:rPr>
      </w:pPr>
      <w:r>
        <w:rPr>
          <w:rFonts w:ascii="Arial" w:hAnsi="Arial" w:cs="Arial"/>
          <w:b/>
          <w:sz w:val="24"/>
          <w:highlight w:val="none"/>
        </w:rPr>
        <w:t>竞争性磋商小组</w:t>
      </w:r>
      <w:r>
        <w:rPr>
          <w:rFonts w:hint="eastAsia" w:ascii="Arial" w:hAnsi="Arial" w:cs="Arial"/>
          <w:b/>
          <w:sz w:val="24"/>
          <w:highlight w:val="none"/>
        </w:rPr>
        <w:t>的组建</w:t>
      </w:r>
    </w:p>
    <w:p w14:paraId="28A909C2">
      <w:pPr>
        <w:numPr>
          <w:ilvl w:val="1"/>
          <w:numId w:val="3"/>
        </w:numPr>
        <w:snapToGrid w:val="0"/>
        <w:spacing w:line="400" w:lineRule="atLeast"/>
        <w:jc w:val="both"/>
        <w:rPr>
          <w:rFonts w:ascii="Arial" w:hAnsi="Arial" w:cs="Arial"/>
          <w:highlight w:val="none"/>
        </w:rPr>
      </w:pPr>
      <w:r>
        <w:rPr>
          <w:rFonts w:ascii="Arial" w:hAnsi="Arial" w:cs="Arial"/>
          <w:highlight w:val="none"/>
        </w:rPr>
        <w:t>本次采购依法组建竞争性磋商小组。竞争性磋商小组由采购人的代表</w:t>
      </w:r>
      <w:r>
        <w:rPr>
          <w:rFonts w:hint="eastAsia" w:ascii="Arial" w:hAnsi="Arial" w:cs="Arial"/>
          <w:highlight w:val="none"/>
        </w:rPr>
        <w:t>1名</w:t>
      </w:r>
      <w:r>
        <w:rPr>
          <w:rFonts w:ascii="Arial" w:hAnsi="Arial" w:cs="Arial"/>
          <w:highlight w:val="none"/>
        </w:rPr>
        <w:t>和2</w:t>
      </w:r>
      <w:r>
        <w:rPr>
          <w:rFonts w:hint="eastAsia" w:ascii="Arial" w:hAnsi="Arial" w:cs="Arial"/>
          <w:highlight w:val="none"/>
        </w:rPr>
        <w:t>名</w:t>
      </w:r>
      <w:r>
        <w:rPr>
          <w:rFonts w:ascii="Arial" w:hAnsi="Arial" w:cs="Arial"/>
          <w:highlight w:val="none"/>
        </w:rPr>
        <w:t>有关专家共3人组成。</w:t>
      </w:r>
    </w:p>
    <w:p w14:paraId="6EECB73B">
      <w:pPr>
        <w:numPr>
          <w:ilvl w:val="0"/>
          <w:numId w:val="3"/>
        </w:numPr>
        <w:spacing w:line="400" w:lineRule="atLeast"/>
        <w:rPr>
          <w:rFonts w:ascii="Arial" w:hAnsi="Arial" w:cs="Arial"/>
          <w:b/>
          <w:sz w:val="24"/>
          <w:highlight w:val="none"/>
        </w:rPr>
      </w:pPr>
      <w:r>
        <w:rPr>
          <w:rFonts w:ascii="Arial" w:hAnsi="Arial" w:cs="Arial"/>
          <w:b/>
          <w:sz w:val="24"/>
          <w:highlight w:val="none"/>
        </w:rPr>
        <w:t>竞争性磋商工作程序</w:t>
      </w:r>
    </w:p>
    <w:p w14:paraId="2A7C7765">
      <w:pPr>
        <w:numPr>
          <w:ilvl w:val="1"/>
          <w:numId w:val="3"/>
        </w:numPr>
        <w:snapToGrid w:val="0"/>
        <w:spacing w:line="400" w:lineRule="atLeast"/>
        <w:jc w:val="both"/>
        <w:rPr>
          <w:rFonts w:ascii="Arial" w:hAnsi="Arial" w:cs="Arial"/>
          <w:highlight w:val="none"/>
        </w:rPr>
      </w:pPr>
      <w:r>
        <w:rPr>
          <w:rFonts w:ascii="Arial" w:hAnsi="Arial" w:cs="Arial"/>
          <w:highlight w:val="none"/>
        </w:rPr>
        <w:t>竞争性磋商响应文件在规定时间递交后，竞争性磋商小组根据竞争性磋商文件首先审查竞争性磋商响应文件提供的资格证明文件是否齐全、是否满足竞争性磋商文件的报价资格要求等；其次审查竞争性磋商响应文件提交的内容是否完整，是否按竞争性磋商文件的要求作出了相应的响应。</w:t>
      </w:r>
    </w:p>
    <w:p w14:paraId="3AEE8453">
      <w:pPr>
        <w:numPr>
          <w:ilvl w:val="1"/>
          <w:numId w:val="3"/>
        </w:numPr>
        <w:snapToGrid w:val="0"/>
        <w:spacing w:line="400" w:lineRule="atLeast"/>
        <w:jc w:val="both"/>
        <w:rPr>
          <w:rFonts w:ascii="Arial" w:hAnsi="Arial" w:cs="Arial"/>
          <w:highlight w:val="none"/>
        </w:rPr>
      </w:pPr>
      <w:r>
        <w:rPr>
          <w:rFonts w:ascii="Arial" w:hAnsi="Arial" w:cs="Arial"/>
          <w:highlight w:val="none"/>
        </w:rPr>
        <w:t>竞争性磋商。竞争性磋商小组所有成员集中与各竞争性磋商供应商分别进行竞争性磋商。在竞争性磋商中，竞争性磋商的任何一方不得透露与竞争性磋商有关的其他竞争性磋商供应商的技术资料、价格和其他信息。</w:t>
      </w:r>
    </w:p>
    <w:p w14:paraId="16D35D47">
      <w:pPr>
        <w:numPr>
          <w:ilvl w:val="1"/>
          <w:numId w:val="3"/>
        </w:numPr>
        <w:snapToGrid w:val="0"/>
        <w:spacing w:line="400" w:lineRule="atLeast"/>
        <w:jc w:val="both"/>
        <w:rPr>
          <w:rFonts w:ascii="Arial" w:hAnsi="Arial" w:cs="Arial"/>
          <w:highlight w:val="none"/>
        </w:rPr>
      </w:pPr>
      <w:r>
        <w:rPr>
          <w:rFonts w:ascii="Arial" w:hAnsi="Arial" w:cs="Arial"/>
          <w:highlight w:val="none"/>
        </w:rPr>
        <w:t>竞争性磋商文件有实质性变动的（包括竞争性磋商内容及合同主要条款、评定成交标准），竞争性磋商小组应当在竞争性磋商供应商</w:t>
      </w:r>
      <w:r>
        <w:rPr>
          <w:rFonts w:hint="eastAsia" w:ascii="Arial" w:hAnsi="Arial" w:cs="Arial"/>
          <w:highlight w:val="none"/>
        </w:rPr>
        <w:t>下</w:t>
      </w:r>
      <w:r>
        <w:rPr>
          <w:rFonts w:ascii="Arial" w:hAnsi="Arial" w:cs="Arial"/>
          <w:highlight w:val="none"/>
        </w:rPr>
        <w:t>轮报价前通知所有参加竞争性磋商的竞争性磋商供应商。</w:t>
      </w:r>
    </w:p>
    <w:p w14:paraId="204D4A75">
      <w:pPr>
        <w:numPr>
          <w:ilvl w:val="1"/>
          <w:numId w:val="3"/>
        </w:numPr>
        <w:snapToGrid w:val="0"/>
        <w:spacing w:line="400" w:lineRule="atLeast"/>
        <w:jc w:val="both"/>
        <w:rPr>
          <w:rFonts w:ascii="Arial" w:hAnsi="Arial" w:cs="Arial"/>
          <w:highlight w:val="none"/>
        </w:rPr>
      </w:pPr>
      <w:r>
        <w:rPr>
          <w:rFonts w:ascii="Arial" w:hAnsi="Arial" w:cs="Arial"/>
          <w:highlight w:val="none"/>
        </w:rPr>
        <w:t>本次竞争性磋商允许两次报价，竞争性磋商响应文件为首次报价。</w:t>
      </w:r>
    </w:p>
    <w:p w14:paraId="35220D26">
      <w:pPr>
        <w:numPr>
          <w:ilvl w:val="1"/>
          <w:numId w:val="3"/>
        </w:numPr>
        <w:snapToGrid w:val="0"/>
        <w:spacing w:line="400" w:lineRule="atLeast"/>
        <w:jc w:val="both"/>
        <w:rPr>
          <w:rFonts w:ascii="Arial" w:hAnsi="Arial" w:cs="Arial"/>
          <w:highlight w:val="none"/>
        </w:rPr>
      </w:pPr>
      <w:r>
        <w:rPr>
          <w:rFonts w:ascii="Arial" w:hAnsi="Arial" w:cs="Arial"/>
          <w:highlight w:val="none"/>
        </w:rPr>
        <w:t>竞争性磋商结束后，竞争性磋商小组应当要求合格通过的竞争性磋商供应商在规定时间</w:t>
      </w:r>
      <w:r>
        <w:rPr>
          <w:rFonts w:hint="eastAsia" w:ascii="Arial" w:hAnsi="Arial" w:cs="Arial"/>
          <w:highlight w:val="none"/>
        </w:rPr>
        <w:t>（30分钟）</w:t>
      </w:r>
      <w:r>
        <w:rPr>
          <w:rFonts w:ascii="Arial" w:hAnsi="Arial" w:cs="Arial"/>
          <w:highlight w:val="none"/>
        </w:rPr>
        <w:t>内根据商谈内容进行第二次报价（即最后报价），竞争性磋商供应商的报价原则上不得高于上轮的报价（竞争性磋商内容变更的除外），可与上轮报价相同；未报价者，视同与上轮报价相同。</w:t>
      </w:r>
    </w:p>
    <w:p w14:paraId="05C8DE1D">
      <w:pPr>
        <w:numPr>
          <w:ilvl w:val="1"/>
          <w:numId w:val="3"/>
        </w:numPr>
        <w:snapToGrid w:val="0"/>
        <w:spacing w:line="400" w:lineRule="atLeast"/>
        <w:jc w:val="both"/>
        <w:rPr>
          <w:rFonts w:ascii="Arial" w:hAnsi="Arial" w:cs="Arial"/>
          <w:highlight w:val="none"/>
        </w:rPr>
      </w:pPr>
      <w:r>
        <w:rPr>
          <w:rFonts w:ascii="Arial" w:hAnsi="Arial" w:cs="Arial"/>
          <w:highlight w:val="none"/>
        </w:rPr>
        <w:t>如竞争性磋商小组一致认为某个竞争性磋商供应商的报价明显不合理，有降低服务质量、不能诚信履行及不正当竞争的可能时，竞争性磋商小组有权通知竞争性磋商供应商限期进行解释。若该竞争性磋商供应商未在规定期限内做出解释，或做出的解释不合理并</w:t>
      </w:r>
      <w:r>
        <w:rPr>
          <w:rFonts w:hint="eastAsia" w:ascii="Arial" w:hAnsi="Arial" w:cs="Arial"/>
          <w:highlight w:val="none"/>
        </w:rPr>
        <w:t>否决</w:t>
      </w:r>
      <w:r>
        <w:rPr>
          <w:rFonts w:ascii="Arial" w:hAnsi="Arial" w:cs="Arial"/>
          <w:highlight w:val="none"/>
        </w:rPr>
        <w:t>改变，经竞争性磋商小组取得一致意见后，可确定拒绝该报价。</w:t>
      </w:r>
    </w:p>
    <w:p w14:paraId="1423FCE1">
      <w:pPr>
        <w:numPr>
          <w:ilvl w:val="1"/>
          <w:numId w:val="3"/>
        </w:numPr>
        <w:snapToGrid w:val="0"/>
        <w:spacing w:line="400" w:lineRule="atLeast"/>
        <w:jc w:val="both"/>
        <w:rPr>
          <w:rFonts w:ascii="Arial" w:hAnsi="Arial" w:cs="Arial"/>
          <w:b/>
          <w:highlight w:val="none"/>
        </w:rPr>
      </w:pPr>
      <w:r>
        <w:rPr>
          <w:rFonts w:ascii="Arial" w:hAnsi="Arial" w:cs="Arial"/>
          <w:highlight w:val="none"/>
        </w:rPr>
        <w:t>如果候选成交供应商的报价高于政府采购预算金额或明显偏离市场正常价格时，竞争性磋商小组将取消其成交资格，对受影响的竞争性磋商供应商不承担任何责任，也无义务向受影响的竞争性磋商供应商解释采取这一行动的理由</w:t>
      </w:r>
    </w:p>
    <w:p w14:paraId="18AACDE7">
      <w:pPr>
        <w:numPr>
          <w:ilvl w:val="0"/>
          <w:numId w:val="3"/>
        </w:numPr>
        <w:spacing w:line="400" w:lineRule="atLeast"/>
        <w:rPr>
          <w:rFonts w:ascii="Arial" w:hAnsi="Arial" w:cs="Arial"/>
          <w:b/>
          <w:sz w:val="24"/>
          <w:highlight w:val="none"/>
        </w:rPr>
      </w:pPr>
      <w:r>
        <w:rPr>
          <w:rFonts w:ascii="Arial" w:hAnsi="Arial" w:cs="Arial"/>
          <w:b/>
          <w:highlight w:val="none"/>
        </w:rPr>
        <w:t>评审</w:t>
      </w:r>
    </w:p>
    <w:p w14:paraId="56F81B9A">
      <w:pPr>
        <w:numPr>
          <w:ilvl w:val="1"/>
          <w:numId w:val="3"/>
        </w:numPr>
        <w:snapToGrid w:val="0"/>
        <w:spacing w:line="400" w:lineRule="atLeast"/>
        <w:jc w:val="both"/>
        <w:rPr>
          <w:rFonts w:ascii="Arial" w:hAnsi="Arial" w:cs="Arial"/>
          <w:highlight w:val="none"/>
        </w:rPr>
      </w:pPr>
      <w:r>
        <w:rPr>
          <w:rFonts w:ascii="Arial" w:hAnsi="Arial" w:cs="Arial"/>
          <w:highlight w:val="none"/>
        </w:rPr>
        <w:t>在竞争性磋商时下列情况按照无效报价处理：</w:t>
      </w:r>
    </w:p>
    <w:p w14:paraId="1DE680F5">
      <w:pPr>
        <w:numPr>
          <w:ilvl w:val="0"/>
          <w:numId w:val="5"/>
        </w:numPr>
        <w:tabs>
          <w:tab w:val="left" w:pos="425"/>
          <w:tab w:val="left" w:pos="1133"/>
        </w:tabs>
        <w:spacing w:line="400" w:lineRule="atLeast"/>
        <w:ind w:left="1453" w:leftChars="392" w:hanging="630" w:hangingChars="300"/>
        <w:rPr>
          <w:rFonts w:ascii="Arial" w:hAnsi="Arial" w:cs="Arial"/>
          <w:highlight w:val="none"/>
        </w:rPr>
      </w:pPr>
      <w:r>
        <w:rPr>
          <w:rFonts w:ascii="Arial" w:hAnsi="Arial" w:cs="Arial"/>
          <w:highlight w:val="none"/>
        </w:rPr>
        <w:t>报价不是固定价的</w:t>
      </w:r>
      <w:r>
        <w:rPr>
          <w:rFonts w:hint="eastAsia" w:ascii="Arial" w:hAnsi="Arial" w:cs="Arial"/>
          <w:highlight w:val="none"/>
        </w:rPr>
        <w:t>或者</w:t>
      </w:r>
      <w:r>
        <w:rPr>
          <w:rFonts w:ascii="Arial" w:hAnsi="Arial" w:cs="Arial"/>
          <w:highlight w:val="none"/>
        </w:rPr>
        <w:t>最终报价超过财政预算的；</w:t>
      </w:r>
    </w:p>
    <w:p w14:paraId="47139084">
      <w:pPr>
        <w:numPr>
          <w:ilvl w:val="0"/>
          <w:numId w:val="5"/>
        </w:numPr>
        <w:tabs>
          <w:tab w:val="left" w:pos="425"/>
          <w:tab w:val="left" w:pos="1133"/>
        </w:tabs>
        <w:spacing w:line="400" w:lineRule="atLeast"/>
        <w:ind w:left="1453" w:leftChars="392" w:hanging="630" w:hangingChars="300"/>
        <w:rPr>
          <w:rFonts w:ascii="Arial" w:hAnsi="Arial" w:cs="Arial"/>
          <w:highlight w:val="none"/>
        </w:rPr>
      </w:pPr>
      <w:r>
        <w:rPr>
          <w:rFonts w:hint="eastAsia" w:ascii="Arial" w:hAnsi="Arial" w:cs="Arial"/>
          <w:highlight w:val="none"/>
        </w:rPr>
        <w:t>提供的</w:t>
      </w:r>
      <w:r>
        <w:rPr>
          <w:rFonts w:ascii="Arial" w:hAnsi="Arial" w:cs="Arial"/>
          <w:highlight w:val="none"/>
        </w:rPr>
        <w:t>服务</w:t>
      </w:r>
      <w:r>
        <w:rPr>
          <w:rFonts w:hint="eastAsia" w:ascii="Arial" w:hAnsi="Arial" w:cs="Arial"/>
          <w:highlight w:val="none"/>
        </w:rPr>
        <w:t>不满足采购内容及技术要求以及商务有重大偏离或保留的；</w:t>
      </w:r>
    </w:p>
    <w:p w14:paraId="38AC1148">
      <w:pPr>
        <w:numPr>
          <w:ilvl w:val="0"/>
          <w:numId w:val="5"/>
        </w:numPr>
        <w:tabs>
          <w:tab w:val="left" w:pos="425"/>
          <w:tab w:val="left" w:pos="1133"/>
        </w:tabs>
        <w:spacing w:line="400" w:lineRule="atLeast"/>
        <w:ind w:left="1453" w:leftChars="392" w:hanging="630" w:hangingChars="300"/>
        <w:rPr>
          <w:rFonts w:ascii="Arial" w:hAnsi="Arial" w:cs="Arial"/>
          <w:highlight w:val="none"/>
        </w:rPr>
      </w:pPr>
      <w:r>
        <w:rPr>
          <w:rFonts w:hint="eastAsia" w:ascii="Arial" w:hAnsi="Arial" w:cs="Arial"/>
          <w:highlight w:val="none"/>
        </w:rPr>
        <w:t>竞争性磋商响应文件中需签字或盖章的地方未加盖竞争性磋商供应商单位全称的公章，或使用投标专用章、合同章等类似图章代替，或未经法定代表人或其委托代理人签字或盖章；</w:t>
      </w:r>
    </w:p>
    <w:p w14:paraId="0903C6A5">
      <w:pPr>
        <w:numPr>
          <w:ilvl w:val="0"/>
          <w:numId w:val="5"/>
        </w:numPr>
        <w:tabs>
          <w:tab w:val="left" w:pos="425"/>
          <w:tab w:val="left" w:pos="1133"/>
        </w:tabs>
        <w:spacing w:line="400" w:lineRule="atLeast"/>
        <w:ind w:left="1453" w:leftChars="392" w:hanging="630" w:hangingChars="300"/>
        <w:rPr>
          <w:rFonts w:ascii="Arial" w:hAnsi="Arial" w:cs="Arial"/>
          <w:highlight w:val="none"/>
        </w:rPr>
      </w:pPr>
      <w:r>
        <w:rPr>
          <w:rFonts w:hint="eastAsia" w:ascii="Arial" w:hAnsi="Arial" w:cs="Arial"/>
          <w:highlight w:val="none"/>
        </w:rPr>
        <w:t>竞争性磋商小组认为竞争性磋商响应文件未实质性响应竞争性磋商文件要求的；</w:t>
      </w:r>
    </w:p>
    <w:p w14:paraId="25BF5080">
      <w:pPr>
        <w:numPr>
          <w:ilvl w:val="0"/>
          <w:numId w:val="5"/>
        </w:numPr>
        <w:tabs>
          <w:tab w:val="left" w:pos="425"/>
          <w:tab w:val="left" w:pos="1133"/>
        </w:tabs>
        <w:spacing w:line="400" w:lineRule="atLeast"/>
        <w:ind w:left="1453" w:leftChars="392" w:hanging="630" w:hangingChars="300"/>
        <w:rPr>
          <w:rFonts w:ascii="Arial" w:hAnsi="Arial" w:cs="Arial"/>
          <w:highlight w:val="none"/>
        </w:rPr>
      </w:pPr>
      <w:r>
        <w:rPr>
          <w:rFonts w:hint="eastAsia" w:ascii="Arial" w:hAnsi="Arial" w:cs="Arial"/>
          <w:highlight w:val="none"/>
        </w:rPr>
        <w:t>不具备竞争性磋商文件中规定资格要求的；</w:t>
      </w:r>
    </w:p>
    <w:p w14:paraId="3F8189AC">
      <w:pPr>
        <w:numPr>
          <w:ilvl w:val="0"/>
          <w:numId w:val="5"/>
        </w:numPr>
        <w:tabs>
          <w:tab w:val="left" w:pos="425"/>
          <w:tab w:val="left" w:pos="1133"/>
        </w:tabs>
        <w:spacing w:line="400" w:lineRule="atLeast"/>
        <w:ind w:left="1453" w:leftChars="392" w:hanging="630" w:hangingChars="300"/>
        <w:rPr>
          <w:rFonts w:ascii="Arial" w:hAnsi="Arial" w:cs="Arial"/>
          <w:highlight w:val="none"/>
        </w:rPr>
      </w:pPr>
      <w:r>
        <w:rPr>
          <w:rFonts w:hint="eastAsia" w:ascii="Arial" w:hAnsi="Arial" w:cs="Arial"/>
          <w:highlight w:val="none"/>
        </w:rPr>
        <w:t>授权代表</w:t>
      </w:r>
      <w:r>
        <w:rPr>
          <w:rFonts w:ascii="Arial" w:hAnsi="Arial" w:cs="Arial"/>
          <w:highlight w:val="none"/>
        </w:rPr>
        <w:t>未在竞争性磋商响应文件中提供有效法定代表人授权委托书的；</w:t>
      </w:r>
    </w:p>
    <w:p w14:paraId="58050A44">
      <w:pPr>
        <w:numPr>
          <w:ilvl w:val="0"/>
          <w:numId w:val="5"/>
        </w:numPr>
        <w:tabs>
          <w:tab w:val="left" w:pos="425"/>
          <w:tab w:val="left" w:pos="1133"/>
        </w:tabs>
        <w:spacing w:line="400" w:lineRule="atLeast"/>
        <w:ind w:left="1453" w:leftChars="392" w:hanging="630" w:hangingChars="300"/>
        <w:rPr>
          <w:rFonts w:ascii="Arial" w:hAnsi="Arial" w:cs="Arial"/>
          <w:highlight w:val="none"/>
        </w:rPr>
      </w:pPr>
      <w:r>
        <w:rPr>
          <w:rFonts w:hint="eastAsia" w:ascii="Arial" w:hAnsi="Arial" w:cs="Arial"/>
          <w:highlight w:val="none"/>
        </w:rPr>
        <w:t>不符合法律、法规和竞争性磋商文件中规定的其他实质性要求的。</w:t>
      </w:r>
    </w:p>
    <w:p w14:paraId="48082308">
      <w:pPr>
        <w:numPr>
          <w:ilvl w:val="1"/>
          <w:numId w:val="3"/>
        </w:numPr>
        <w:snapToGrid w:val="0"/>
        <w:spacing w:line="400" w:lineRule="atLeast"/>
        <w:jc w:val="both"/>
        <w:rPr>
          <w:rFonts w:ascii="Arial" w:hAnsi="Arial" w:cs="Arial"/>
          <w:highlight w:val="none"/>
        </w:rPr>
      </w:pPr>
      <w:r>
        <w:rPr>
          <w:rFonts w:ascii="Arial" w:hAnsi="Arial" w:cs="Arial"/>
          <w:highlight w:val="none"/>
        </w:rPr>
        <w:t>竞争性磋商小组将根据各竞争性磋商供应商的最后报价</w:t>
      </w:r>
      <w:r>
        <w:rPr>
          <w:rFonts w:hint="eastAsia" w:ascii="Arial" w:hAnsi="Arial" w:cs="Arial"/>
          <w:highlight w:val="none"/>
        </w:rPr>
        <w:t>和承诺，</w:t>
      </w:r>
      <w:r>
        <w:rPr>
          <w:rFonts w:ascii="Arial" w:hAnsi="Arial" w:cs="Arial"/>
          <w:highlight w:val="none"/>
        </w:rPr>
        <w:t>按评定办法计算</w:t>
      </w:r>
      <w:r>
        <w:rPr>
          <w:rFonts w:hint="eastAsia" w:ascii="Arial" w:hAnsi="Arial" w:cs="Arial"/>
          <w:highlight w:val="none"/>
        </w:rPr>
        <w:t>综合得分</w:t>
      </w:r>
      <w:r>
        <w:rPr>
          <w:rFonts w:ascii="Arial" w:hAnsi="Arial" w:cs="Arial"/>
          <w:highlight w:val="none"/>
        </w:rPr>
        <w:t>，</w:t>
      </w:r>
      <w:r>
        <w:rPr>
          <w:rFonts w:hint="eastAsia" w:ascii="Arial" w:hAnsi="Arial" w:cs="Arial"/>
          <w:highlight w:val="none"/>
        </w:rPr>
        <w:t>按综合得分由高到低排序，排序第一的为</w:t>
      </w:r>
      <w:r>
        <w:rPr>
          <w:rFonts w:ascii="Arial" w:hAnsi="Arial" w:cs="Arial"/>
          <w:highlight w:val="none"/>
        </w:rPr>
        <w:t>预选成交供应商，</w:t>
      </w:r>
      <w:r>
        <w:rPr>
          <w:rFonts w:hint="eastAsia" w:ascii="Arial" w:hAnsi="Arial" w:cs="Arial"/>
          <w:highlight w:val="none"/>
        </w:rPr>
        <w:t>其余</w:t>
      </w:r>
      <w:r>
        <w:rPr>
          <w:rFonts w:ascii="Arial" w:hAnsi="Arial" w:cs="Arial"/>
          <w:highlight w:val="none"/>
        </w:rPr>
        <w:t>有效供应商按</w:t>
      </w:r>
      <w:r>
        <w:rPr>
          <w:rFonts w:hint="eastAsia" w:ascii="Arial" w:hAnsi="Arial" w:cs="Arial"/>
          <w:highlight w:val="none"/>
        </w:rPr>
        <w:t>综合得分由高到低排序</w:t>
      </w:r>
      <w:r>
        <w:rPr>
          <w:rFonts w:ascii="Arial" w:hAnsi="Arial" w:cs="Arial"/>
          <w:highlight w:val="none"/>
        </w:rPr>
        <w:t>。</w:t>
      </w:r>
    </w:p>
    <w:p w14:paraId="3443D94C">
      <w:pPr>
        <w:numPr>
          <w:ilvl w:val="0"/>
          <w:numId w:val="3"/>
        </w:numPr>
        <w:spacing w:line="400" w:lineRule="atLeast"/>
        <w:jc w:val="both"/>
        <w:rPr>
          <w:rFonts w:ascii="Arial" w:hAnsi="Arial" w:cs="Arial"/>
          <w:b/>
          <w:bCs/>
          <w:sz w:val="24"/>
          <w:highlight w:val="none"/>
        </w:rPr>
      </w:pPr>
      <w:r>
        <w:rPr>
          <w:rFonts w:ascii="Arial" w:hAnsi="Arial" w:cs="Arial"/>
          <w:b/>
          <w:sz w:val="24"/>
          <w:highlight w:val="none"/>
        </w:rPr>
        <w:t>成交供应商的确定</w:t>
      </w:r>
    </w:p>
    <w:p w14:paraId="4A0E5172">
      <w:pPr>
        <w:numPr>
          <w:ilvl w:val="1"/>
          <w:numId w:val="3"/>
        </w:numPr>
        <w:snapToGrid w:val="0"/>
        <w:spacing w:line="400" w:lineRule="atLeast"/>
        <w:jc w:val="both"/>
        <w:rPr>
          <w:rFonts w:ascii="Arial" w:hAnsi="Arial" w:cs="Arial"/>
          <w:highlight w:val="none"/>
        </w:rPr>
      </w:pPr>
      <w:r>
        <w:rPr>
          <w:rFonts w:ascii="Arial" w:hAnsi="Arial" w:cs="Arial"/>
          <w:highlight w:val="none"/>
        </w:rPr>
        <w:t>采购代理机构按竞争性磋商小组的评审结果，确定预选成交供应商为成交供应商，当预选</w:t>
      </w:r>
      <w:r>
        <w:rPr>
          <w:rFonts w:hint="eastAsia" w:ascii="Arial" w:hAnsi="Arial" w:cs="Arial"/>
          <w:highlight w:val="none"/>
        </w:rPr>
        <w:t>成交</w:t>
      </w:r>
      <w:r>
        <w:rPr>
          <w:rFonts w:ascii="Arial" w:hAnsi="Arial" w:cs="Arial"/>
          <w:highlight w:val="none"/>
        </w:rPr>
        <w:t>供应商因故不能成交时，可以确定</w:t>
      </w:r>
      <w:r>
        <w:rPr>
          <w:rFonts w:hint="eastAsia" w:ascii="Arial" w:hAnsi="Arial" w:cs="Arial"/>
          <w:highlight w:val="none"/>
        </w:rPr>
        <w:t>综合得分</w:t>
      </w:r>
      <w:r>
        <w:rPr>
          <w:rFonts w:ascii="Arial" w:hAnsi="Arial" w:cs="Arial"/>
          <w:highlight w:val="none"/>
        </w:rPr>
        <w:t>排名第二</w:t>
      </w:r>
      <w:r>
        <w:rPr>
          <w:rFonts w:hint="eastAsia" w:ascii="Arial" w:hAnsi="Arial" w:cs="Arial"/>
          <w:highlight w:val="none"/>
        </w:rPr>
        <w:t>的备</w:t>
      </w:r>
      <w:r>
        <w:rPr>
          <w:rFonts w:ascii="Arial" w:hAnsi="Arial" w:cs="Arial"/>
          <w:highlight w:val="none"/>
        </w:rPr>
        <w:t>选成交供应商为成交供应商，</w:t>
      </w:r>
      <w:r>
        <w:rPr>
          <w:rFonts w:hint="eastAsia" w:ascii="Arial" w:hAnsi="Arial" w:cs="Arial"/>
          <w:highlight w:val="none"/>
        </w:rPr>
        <w:t>当其因故</w:t>
      </w:r>
      <w:r>
        <w:rPr>
          <w:rFonts w:ascii="Arial" w:hAnsi="Arial" w:cs="Arial"/>
          <w:highlight w:val="none"/>
        </w:rPr>
        <w:t>不能成交时，可以确定</w:t>
      </w:r>
      <w:r>
        <w:rPr>
          <w:rFonts w:hint="eastAsia" w:ascii="Arial" w:hAnsi="Arial" w:cs="Arial"/>
          <w:highlight w:val="none"/>
        </w:rPr>
        <w:t>综合得分</w:t>
      </w:r>
      <w:r>
        <w:rPr>
          <w:rFonts w:ascii="Arial" w:hAnsi="Arial" w:cs="Arial"/>
          <w:highlight w:val="none"/>
        </w:rPr>
        <w:t>排名第三的备选成交供应商为成交供应商，</w:t>
      </w:r>
      <w:r>
        <w:rPr>
          <w:rFonts w:hint="eastAsia" w:ascii="Arial" w:hAnsi="Arial" w:cs="Arial"/>
          <w:highlight w:val="none"/>
        </w:rPr>
        <w:t>以此</w:t>
      </w:r>
      <w:r>
        <w:rPr>
          <w:rFonts w:ascii="Arial" w:hAnsi="Arial" w:cs="Arial"/>
          <w:highlight w:val="none"/>
        </w:rPr>
        <w:t>类推。报价超过采购预算资金的除外。</w:t>
      </w:r>
    </w:p>
    <w:p w14:paraId="0116EFC3">
      <w:pPr>
        <w:numPr>
          <w:ilvl w:val="1"/>
          <w:numId w:val="3"/>
        </w:numPr>
        <w:snapToGrid w:val="0"/>
        <w:spacing w:line="400" w:lineRule="atLeast"/>
        <w:jc w:val="both"/>
        <w:rPr>
          <w:rFonts w:ascii="Arial" w:hAnsi="Arial" w:cs="Arial"/>
          <w:highlight w:val="none"/>
        </w:rPr>
      </w:pPr>
      <w:r>
        <w:rPr>
          <w:rFonts w:ascii="Arial" w:hAnsi="Arial" w:cs="Arial"/>
          <w:highlight w:val="none"/>
        </w:rPr>
        <w:t>采购代理机构将在 “浙江政府采购网”（网址：</w:t>
      </w:r>
      <w:r>
        <w:rPr>
          <w:rFonts w:hint="eastAsia" w:ascii="Arial" w:hAnsi="Arial" w:cs="Arial"/>
          <w:highlight w:val="none"/>
          <w:lang w:eastAsia="zh-CN"/>
        </w:rPr>
        <w:t>https://zfcg.czt.zj.gov.cn/</w:t>
      </w:r>
      <w:r>
        <w:rPr>
          <w:rFonts w:ascii="Arial" w:hAnsi="Arial" w:cs="Arial"/>
          <w:highlight w:val="none"/>
        </w:rPr>
        <w:t>）上发布《成交结果公</w:t>
      </w:r>
      <w:r>
        <w:rPr>
          <w:rFonts w:hint="eastAsia" w:ascii="Arial" w:hAnsi="Arial" w:cs="Arial"/>
          <w:highlight w:val="none"/>
        </w:rPr>
        <w:t>告</w:t>
      </w:r>
      <w:r>
        <w:rPr>
          <w:rFonts w:ascii="Arial" w:hAnsi="Arial" w:cs="Arial"/>
          <w:highlight w:val="none"/>
        </w:rPr>
        <w:t>》。</w:t>
      </w:r>
    </w:p>
    <w:p w14:paraId="599D3B4F">
      <w:pPr>
        <w:numPr>
          <w:ilvl w:val="0"/>
          <w:numId w:val="3"/>
        </w:numPr>
        <w:spacing w:line="400" w:lineRule="atLeast"/>
        <w:jc w:val="both"/>
        <w:rPr>
          <w:rFonts w:ascii="Arial" w:hAnsi="Arial" w:cs="Arial"/>
          <w:b/>
          <w:bCs/>
          <w:sz w:val="24"/>
          <w:highlight w:val="none"/>
        </w:rPr>
      </w:pPr>
      <w:r>
        <w:rPr>
          <w:rFonts w:ascii="Arial" w:hAnsi="Arial" w:cs="Arial"/>
          <w:b/>
          <w:bCs/>
          <w:sz w:val="24"/>
          <w:highlight w:val="none"/>
        </w:rPr>
        <w:t>评审过程保密</w:t>
      </w:r>
    </w:p>
    <w:p w14:paraId="7FF91936">
      <w:pPr>
        <w:numPr>
          <w:ilvl w:val="1"/>
          <w:numId w:val="3"/>
        </w:numPr>
        <w:snapToGrid w:val="0"/>
        <w:spacing w:line="400" w:lineRule="atLeast"/>
        <w:jc w:val="both"/>
        <w:rPr>
          <w:rFonts w:ascii="Arial" w:hAnsi="Arial" w:cs="Arial"/>
          <w:highlight w:val="none"/>
        </w:rPr>
      </w:pPr>
      <w:r>
        <w:rPr>
          <w:rFonts w:ascii="Arial" w:hAnsi="Arial" w:cs="Arial"/>
          <w:highlight w:val="none"/>
        </w:rPr>
        <w:t>竞争性磋商之后，直到授予竞争性磋商供应商合同止，凡是属于审查、澄清、评价和比较竞争性磋商的有关资料以及授标意向等，均不得向竞争性磋商供应商或其他无关的人员透露。</w:t>
      </w:r>
    </w:p>
    <w:p w14:paraId="0CE4F8AC">
      <w:pPr>
        <w:numPr>
          <w:ilvl w:val="0"/>
          <w:numId w:val="3"/>
        </w:numPr>
        <w:spacing w:line="400" w:lineRule="atLeast"/>
        <w:jc w:val="both"/>
        <w:rPr>
          <w:rFonts w:ascii="Arial" w:hAnsi="Arial" w:cs="Arial"/>
          <w:b/>
          <w:sz w:val="24"/>
          <w:highlight w:val="none"/>
        </w:rPr>
      </w:pPr>
      <w:r>
        <w:rPr>
          <w:rFonts w:hint="eastAsia" w:ascii="Arial" w:hAnsi="Arial" w:cs="Arial"/>
          <w:b/>
          <w:sz w:val="24"/>
          <w:highlight w:val="none"/>
        </w:rPr>
        <w:t>否决</w:t>
      </w:r>
      <w:r>
        <w:rPr>
          <w:rFonts w:ascii="Arial" w:hAnsi="Arial" w:cs="Arial"/>
          <w:b/>
          <w:sz w:val="24"/>
          <w:highlight w:val="none"/>
        </w:rPr>
        <w:t>任何或所有竞争性磋商的权利</w:t>
      </w:r>
    </w:p>
    <w:p w14:paraId="02D20752">
      <w:pPr>
        <w:numPr>
          <w:ilvl w:val="1"/>
          <w:numId w:val="3"/>
        </w:numPr>
        <w:snapToGrid w:val="0"/>
        <w:spacing w:line="400" w:lineRule="atLeast"/>
        <w:jc w:val="both"/>
        <w:rPr>
          <w:rFonts w:ascii="Arial" w:hAnsi="Arial" w:cs="Arial"/>
          <w:highlight w:val="none"/>
        </w:rPr>
      </w:pPr>
      <w:r>
        <w:rPr>
          <w:rFonts w:ascii="Arial" w:hAnsi="Arial" w:cs="Arial"/>
          <w:highlight w:val="none"/>
        </w:rPr>
        <w:t>竞争性磋商小组经评审，认为所有竞争性磋商都不符合竞争性磋商文件要求的，可以否决所有竞争性磋商。</w:t>
      </w:r>
    </w:p>
    <w:p w14:paraId="422DB8BB">
      <w:pPr>
        <w:numPr>
          <w:ilvl w:val="1"/>
          <w:numId w:val="3"/>
        </w:numPr>
        <w:snapToGrid w:val="0"/>
        <w:spacing w:line="400" w:lineRule="atLeast"/>
        <w:jc w:val="both"/>
        <w:rPr>
          <w:rFonts w:ascii="Arial" w:hAnsi="Arial"/>
          <w:highlight w:val="none"/>
        </w:rPr>
      </w:pPr>
      <w:r>
        <w:rPr>
          <w:rFonts w:hint="eastAsia" w:ascii="Arial" w:hAnsi="Arial"/>
          <w:highlight w:val="none"/>
        </w:rPr>
        <w:t>如果成交预选供应商不能按照竞争性磋商文件要求及其竞争性磋商响应文件的承诺签订合同或其竞争性磋商响应文件与事实不符，影响采购的公平公开及合同的实施，采购人有权在授予合同前任何时候依照法定程序将合同授予成交备选供应商。如果成交备选供应商仍无法签订合同，采购人将依法不接受或否决任何竞争性磋商，并宣布采购无效，对受影响的竞争性磋商供应商不承担任何责任，也无义务向受影响的竞争性磋商供应商解释采取这一行动的理由。</w:t>
      </w:r>
    </w:p>
    <w:p w14:paraId="426F9F05">
      <w:pPr>
        <w:numPr>
          <w:ilvl w:val="0"/>
          <w:numId w:val="3"/>
        </w:numPr>
        <w:spacing w:line="400" w:lineRule="atLeast"/>
        <w:jc w:val="both"/>
        <w:rPr>
          <w:rFonts w:ascii="Arial" w:hAnsi="Arial" w:cs="Arial"/>
          <w:b/>
          <w:sz w:val="24"/>
          <w:highlight w:val="none"/>
        </w:rPr>
      </w:pPr>
      <w:r>
        <w:rPr>
          <w:rFonts w:ascii="Arial" w:hAnsi="Arial" w:cs="Arial"/>
          <w:b/>
          <w:sz w:val="24"/>
          <w:highlight w:val="none"/>
        </w:rPr>
        <w:t>质疑与投诉</w:t>
      </w:r>
    </w:p>
    <w:p w14:paraId="5A103602">
      <w:pPr>
        <w:numPr>
          <w:ilvl w:val="1"/>
          <w:numId w:val="3"/>
        </w:numPr>
        <w:snapToGrid w:val="0"/>
        <w:spacing w:line="400" w:lineRule="atLeast"/>
        <w:jc w:val="both"/>
        <w:rPr>
          <w:rFonts w:ascii="Arial" w:hAnsi="Arial" w:cs="Arial"/>
          <w:highlight w:val="none"/>
        </w:rPr>
      </w:pPr>
      <w:r>
        <w:rPr>
          <w:rFonts w:hint="eastAsia" w:ascii="Arial" w:hAnsi="Arial" w:cs="Arial"/>
          <w:highlight w:val="none"/>
        </w:rPr>
        <w:t>本项目公告期限为3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1B3D751">
      <w:pPr>
        <w:numPr>
          <w:ilvl w:val="1"/>
          <w:numId w:val="3"/>
        </w:numPr>
        <w:snapToGrid w:val="0"/>
        <w:spacing w:line="400" w:lineRule="atLeast"/>
        <w:jc w:val="both"/>
        <w:rPr>
          <w:rFonts w:ascii="Arial" w:hAnsi="Arial" w:cs="Arial"/>
          <w:highlight w:val="none"/>
        </w:rPr>
      </w:pPr>
      <w:r>
        <w:rPr>
          <w:rFonts w:hint="eastAsia" w:ascii="Arial" w:hAnsi="Arial"/>
          <w:highlight w:val="none"/>
        </w:rPr>
        <w:t>本项目</w:t>
      </w:r>
      <w:r>
        <w:rPr>
          <w:rFonts w:ascii="Arial" w:hAnsi="Arial"/>
          <w:highlight w:val="none"/>
        </w:rPr>
        <w:t>采购结果</w:t>
      </w:r>
      <w:r>
        <w:rPr>
          <w:rFonts w:hint="eastAsia" w:ascii="Arial" w:hAnsi="Arial"/>
          <w:highlight w:val="none"/>
        </w:rPr>
        <w:t>公告期限为1个工作日，各参加政府采购活动的供应商认为该中标/成交结果和采购过程等使自己的权益受到损害的，可以自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875510">
      <w:pPr>
        <w:numPr>
          <w:ilvl w:val="1"/>
          <w:numId w:val="3"/>
        </w:numPr>
        <w:snapToGrid w:val="0"/>
        <w:spacing w:line="400" w:lineRule="atLeast"/>
        <w:jc w:val="both"/>
        <w:rPr>
          <w:rFonts w:ascii="Arial" w:hAnsi="Arial" w:cs="Arial"/>
          <w:highlight w:val="none"/>
        </w:rPr>
      </w:pPr>
      <w:r>
        <w:rPr>
          <w:rFonts w:ascii="Arial" w:hAnsi="Arial" w:cs="Arial"/>
          <w:highlight w:val="none"/>
        </w:rPr>
        <w:t>质疑、投诉应当采用书面形式，质疑书、投诉书均应明确阐述竞争性磋商文件、竞争性磋商过程和成交结果中使自己合法权益受到损害的实质性内容，提供相关事实、依据和证据及其来源或线索，便于有关单位调查、答复和处理。</w:t>
      </w:r>
    </w:p>
    <w:p w14:paraId="22261BA9">
      <w:pPr>
        <w:numPr>
          <w:ilvl w:val="0"/>
          <w:numId w:val="6"/>
        </w:numPr>
        <w:tabs>
          <w:tab w:val="left" w:pos="425"/>
          <w:tab w:val="left" w:pos="1133"/>
        </w:tabs>
        <w:spacing w:line="400" w:lineRule="atLeast"/>
        <w:ind w:left="1453" w:leftChars="392" w:hanging="630" w:hangingChars="300"/>
        <w:rPr>
          <w:rFonts w:ascii="Arial" w:hAnsi="Arial" w:cs="Arial"/>
          <w:highlight w:val="none"/>
        </w:rPr>
      </w:pPr>
      <w:r>
        <w:rPr>
          <w:rFonts w:ascii="Arial" w:hAnsi="Arial" w:cs="Arial"/>
          <w:highlight w:val="none"/>
        </w:rPr>
        <w:t>质疑受理机构：</w:t>
      </w:r>
      <w:r>
        <w:rPr>
          <w:rFonts w:hint="eastAsia" w:ascii="Arial" w:hAnsi="Arial" w:cs="Arial"/>
          <w:highlight w:val="none"/>
          <w:lang w:eastAsia="zh-CN"/>
        </w:rPr>
        <w:t>嘉兴市华信工程咨询有限公司</w:t>
      </w:r>
    </w:p>
    <w:p w14:paraId="6700C253">
      <w:pPr>
        <w:tabs>
          <w:tab w:val="left" w:pos="425"/>
          <w:tab w:val="left" w:pos="1133"/>
        </w:tabs>
        <w:spacing w:line="400" w:lineRule="atLeast"/>
        <w:ind w:left="1418"/>
        <w:rPr>
          <w:rFonts w:hint="default" w:ascii="Times New Roman" w:hAnsi="Times New Roman" w:eastAsia="宋体" w:cs="Times New Roman"/>
          <w:highlight w:val="none"/>
          <w:lang w:val="en-US" w:eastAsia="zh-CN"/>
        </w:rPr>
      </w:pPr>
      <w:r>
        <w:rPr>
          <w:rFonts w:hint="default" w:ascii="Times New Roman" w:hAnsi="Times New Roman" w:cs="Times New Roman"/>
          <w:highlight w:val="none"/>
        </w:rPr>
        <w:t>受理电话：</w:t>
      </w:r>
      <w:r>
        <w:rPr>
          <w:rFonts w:hint="eastAsia" w:cs="Times New Roman"/>
          <w:highlight w:val="none"/>
          <w:lang w:eastAsia="zh-CN"/>
        </w:rPr>
        <w:t>0573-86880020</w:t>
      </w:r>
    </w:p>
    <w:p w14:paraId="64C24B3B">
      <w:pPr>
        <w:numPr>
          <w:ilvl w:val="0"/>
          <w:numId w:val="6"/>
        </w:numPr>
        <w:tabs>
          <w:tab w:val="left" w:pos="425"/>
          <w:tab w:val="left" w:pos="1133"/>
        </w:tabs>
        <w:spacing w:line="400" w:lineRule="atLeast"/>
        <w:ind w:left="1453" w:leftChars="392" w:hanging="630" w:hangingChars="300"/>
        <w:rPr>
          <w:rFonts w:hint="default" w:ascii="Times New Roman" w:hAnsi="Times New Roman" w:cs="Times New Roman"/>
          <w:highlight w:val="none"/>
        </w:rPr>
      </w:pPr>
      <w:r>
        <w:rPr>
          <w:rFonts w:hint="default" w:ascii="Times New Roman" w:hAnsi="Times New Roman" w:cs="Times New Roman"/>
          <w:highlight w:val="none"/>
        </w:rPr>
        <w:t>投诉受理机构：海盐县财政局政府采购监管科</w:t>
      </w:r>
    </w:p>
    <w:p w14:paraId="1C25B9EE">
      <w:pPr>
        <w:tabs>
          <w:tab w:val="left" w:pos="425"/>
          <w:tab w:val="left" w:pos="1133"/>
        </w:tabs>
        <w:spacing w:line="400" w:lineRule="atLeast"/>
        <w:ind w:left="1418"/>
        <w:rPr>
          <w:rFonts w:hint="default" w:ascii="Times New Roman" w:hAnsi="Times New Roman" w:cs="Times New Roman"/>
          <w:szCs w:val="21"/>
          <w:highlight w:val="none"/>
        </w:rPr>
      </w:pPr>
      <w:r>
        <w:rPr>
          <w:rFonts w:hint="default" w:ascii="Times New Roman" w:hAnsi="Times New Roman" w:cs="Times New Roman"/>
          <w:szCs w:val="21"/>
          <w:highlight w:val="none"/>
        </w:rPr>
        <w:t>投诉电话：0573-86122512</w:t>
      </w:r>
    </w:p>
    <w:p w14:paraId="77AEB442">
      <w:pPr>
        <w:pStyle w:val="5"/>
        <w:spacing w:beforeLines="50" w:afterLines="50" w:line="240" w:lineRule="auto"/>
        <w:jc w:val="center"/>
        <w:rPr>
          <w:rFonts w:ascii="Arial" w:hAnsi="Arial" w:cs="Arial"/>
          <w:sz w:val="24"/>
          <w:szCs w:val="24"/>
          <w:highlight w:val="none"/>
        </w:rPr>
      </w:pPr>
      <w:bookmarkStart w:id="9" w:name="_Toc28285"/>
      <w:r>
        <w:rPr>
          <w:rFonts w:ascii="Arial" w:hAnsi="Arial" w:cs="Arial"/>
          <w:sz w:val="24"/>
          <w:szCs w:val="24"/>
          <w:highlight w:val="none"/>
        </w:rPr>
        <w:t>（七）授予合同</w:t>
      </w:r>
      <w:bookmarkEnd w:id="9"/>
    </w:p>
    <w:p w14:paraId="1E141881">
      <w:pPr>
        <w:numPr>
          <w:ilvl w:val="0"/>
          <w:numId w:val="3"/>
        </w:numPr>
        <w:bidi w:val="0"/>
      </w:pPr>
      <w:r>
        <w:t>合同授予标准</w:t>
      </w:r>
    </w:p>
    <w:p w14:paraId="3661F47E">
      <w:pPr>
        <w:numPr>
          <w:ilvl w:val="1"/>
          <w:numId w:val="3"/>
        </w:numPr>
        <w:snapToGrid w:val="0"/>
        <w:spacing w:line="400" w:lineRule="atLeast"/>
        <w:jc w:val="both"/>
        <w:rPr>
          <w:rFonts w:ascii="Arial" w:hAnsi="Arial" w:cs="Arial"/>
          <w:highlight w:val="none"/>
        </w:rPr>
      </w:pPr>
      <w:r>
        <w:rPr>
          <w:rFonts w:ascii="Arial" w:hAnsi="Arial" w:cs="Arial"/>
          <w:highlight w:val="none"/>
        </w:rPr>
        <w:t>最终审查</w:t>
      </w:r>
    </w:p>
    <w:p w14:paraId="19872DDC">
      <w:pPr>
        <w:keepNext w:val="0"/>
        <w:keepLines w:val="0"/>
        <w:pageBreakBefore w:val="0"/>
        <w:kinsoku/>
        <w:wordWrap/>
        <w:overflowPunct/>
        <w:topLinePunct w:val="0"/>
        <w:autoSpaceDE/>
        <w:autoSpaceDN/>
        <w:bidi w:val="0"/>
        <w:adjustRightInd/>
        <w:snapToGrid w:val="0"/>
        <w:spacing w:line="400" w:lineRule="atLeast"/>
        <w:ind w:left="844" w:leftChars="402" w:firstLine="0" w:firstLineChars="0"/>
        <w:jc w:val="both"/>
        <w:textAlignment w:val="auto"/>
        <w:rPr>
          <w:rFonts w:ascii="Arial" w:hAnsi="Arial" w:cs="Arial"/>
          <w:highlight w:val="none"/>
        </w:rPr>
      </w:pPr>
      <w:r>
        <w:rPr>
          <w:rFonts w:ascii="Arial" w:hAnsi="Arial" w:cs="Arial"/>
          <w:highlight w:val="none"/>
        </w:rPr>
        <w:t>竞争性磋商结束后，采购代理机构将对竞争性磋商供应商进行最终审查。最终审查的主要内容是：</w:t>
      </w:r>
    </w:p>
    <w:p w14:paraId="54A685D3">
      <w:pPr>
        <w:keepNext w:val="0"/>
        <w:keepLines w:val="0"/>
        <w:pageBreakBefore w:val="0"/>
        <w:widowControl w:val="0"/>
        <w:numPr>
          <w:ilvl w:val="0"/>
          <w:numId w:val="0"/>
        </w:numPr>
        <w:kinsoku/>
        <w:wordWrap/>
        <w:overflowPunct/>
        <w:topLinePunct w:val="0"/>
        <w:autoSpaceDE/>
        <w:autoSpaceDN/>
        <w:bidi w:val="0"/>
        <w:adjustRightInd/>
        <w:spacing w:line="360" w:lineRule="atLeast"/>
        <w:ind w:leftChars="0" w:firstLine="840" w:firstLineChars="400"/>
        <w:textAlignment w:val="auto"/>
        <w:rPr>
          <w:rFonts w:ascii="Arial" w:hAnsi="Arial" w:cs="Arial"/>
          <w:highlight w:val="none"/>
        </w:rPr>
      </w:pPr>
      <w:r>
        <w:rPr>
          <w:rFonts w:hint="eastAsia" w:ascii="Arial" w:hAnsi="Arial" w:cs="Arial"/>
          <w:highlight w:val="none"/>
          <w:lang w:val="en-US" w:eastAsia="zh-CN"/>
        </w:rPr>
        <w:t>1）</w:t>
      </w:r>
      <w:r>
        <w:rPr>
          <w:rFonts w:ascii="Arial" w:hAnsi="Arial" w:cs="Arial"/>
          <w:highlight w:val="none"/>
        </w:rPr>
        <w:t>竞争性磋商供应商的资质、业务能力、信誉及以往政府采购活动中的业绩和表现；</w:t>
      </w:r>
    </w:p>
    <w:p w14:paraId="748159E3">
      <w:pPr>
        <w:keepNext w:val="0"/>
        <w:keepLines w:val="0"/>
        <w:pageBreakBefore w:val="0"/>
        <w:widowControl w:val="0"/>
        <w:numPr>
          <w:ilvl w:val="0"/>
          <w:numId w:val="0"/>
        </w:numPr>
        <w:kinsoku/>
        <w:wordWrap/>
        <w:overflowPunct/>
        <w:topLinePunct w:val="0"/>
        <w:autoSpaceDE/>
        <w:autoSpaceDN/>
        <w:bidi w:val="0"/>
        <w:adjustRightInd/>
        <w:spacing w:line="360" w:lineRule="atLeast"/>
        <w:ind w:leftChars="0" w:firstLine="840" w:firstLineChars="400"/>
        <w:textAlignment w:val="auto"/>
        <w:rPr>
          <w:rFonts w:ascii="Arial" w:hAnsi="Arial" w:cs="Arial"/>
          <w:highlight w:val="none"/>
        </w:rPr>
      </w:pPr>
      <w:r>
        <w:rPr>
          <w:rFonts w:hint="eastAsia" w:ascii="Arial" w:hAnsi="Arial" w:cs="Arial"/>
          <w:highlight w:val="none"/>
          <w:lang w:val="en-US" w:eastAsia="zh-CN"/>
        </w:rPr>
        <w:t>2）</w:t>
      </w:r>
      <w:r>
        <w:rPr>
          <w:rFonts w:ascii="Arial" w:hAnsi="Arial" w:cs="Arial"/>
          <w:highlight w:val="none"/>
        </w:rPr>
        <w:t>竞争性磋商供应商履行合同的能力。</w:t>
      </w:r>
    </w:p>
    <w:p w14:paraId="3DD99D0D">
      <w:pPr>
        <w:numPr>
          <w:ilvl w:val="1"/>
          <w:numId w:val="3"/>
        </w:numPr>
        <w:snapToGrid w:val="0"/>
        <w:spacing w:line="400" w:lineRule="atLeast"/>
        <w:jc w:val="both"/>
        <w:rPr>
          <w:rFonts w:ascii="Arial" w:hAnsi="Arial" w:cs="Arial"/>
          <w:highlight w:val="none"/>
        </w:rPr>
      </w:pPr>
      <w:r>
        <w:rPr>
          <w:rFonts w:ascii="Arial" w:hAnsi="Arial" w:cs="Arial"/>
          <w:highlight w:val="none"/>
        </w:rPr>
        <w:t>最终审查工作如需成交供应商配合，成交供应商必须接受。</w:t>
      </w:r>
    </w:p>
    <w:p w14:paraId="459AB4D3">
      <w:pPr>
        <w:numPr>
          <w:ilvl w:val="1"/>
          <w:numId w:val="3"/>
        </w:numPr>
        <w:snapToGrid w:val="0"/>
        <w:spacing w:line="400" w:lineRule="atLeast"/>
        <w:jc w:val="both"/>
        <w:rPr>
          <w:rFonts w:ascii="Arial" w:hAnsi="Arial" w:cs="Arial"/>
          <w:highlight w:val="none"/>
        </w:rPr>
      </w:pPr>
      <w:r>
        <w:rPr>
          <w:rFonts w:ascii="Arial" w:hAnsi="Arial" w:cs="Arial"/>
          <w:highlight w:val="none"/>
        </w:rPr>
        <w:t>成交供应商如未能通过最终审查，采购代理机构将视具体情况，提出具体限时整改要求，成交供应商如未能达到整改要求，其成交资格将被取消。</w:t>
      </w:r>
    </w:p>
    <w:p w14:paraId="774CA963">
      <w:pPr>
        <w:numPr>
          <w:ilvl w:val="1"/>
          <w:numId w:val="3"/>
        </w:numPr>
        <w:snapToGrid w:val="0"/>
        <w:spacing w:line="400" w:lineRule="atLeast"/>
        <w:jc w:val="both"/>
        <w:rPr>
          <w:rFonts w:ascii="Arial" w:hAnsi="Arial" w:cs="Arial"/>
          <w:highlight w:val="none"/>
        </w:rPr>
      </w:pPr>
      <w:r>
        <w:rPr>
          <w:rFonts w:ascii="Arial" w:hAnsi="Arial" w:cs="Arial"/>
          <w:highlight w:val="none"/>
        </w:rPr>
        <w:t>采购代理机构将合同授予获接受竞争性磋商的竞争性磋商供应商。</w:t>
      </w:r>
    </w:p>
    <w:p w14:paraId="046122AB">
      <w:pPr>
        <w:numPr>
          <w:ilvl w:val="0"/>
          <w:numId w:val="3"/>
        </w:numPr>
        <w:spacing w:line="400" w:lineRule="atLeast"/>
        <w:jc w:val="both"/>
        <w:rPr>
          <w:rFonts w:ascii="Arial" w:hAnsi="Arial" w:cs="Arial"/>
          <w:highlight w:val="none"/>
        </w:rPr>
      </w:pPr>
      <w:r>
        <w:rPr>
          <w:rFonts w:ascii="Arial" w:hAnsi="Arial" w:cs="Arial"/>
          <w:b/>
          <w:sz w:val="24"/>
          <w:highlight w:val="none"/>
        </w:rPr>
        <w:t>成交通知</w:t>
      </w:r>
    </w:p>
    <w:p w14:paraId="61D07966">
      <w:pPr>
        <w:numPr>
          <w:ilvl w:val="1"/>
          <w:numId w:val="3"/>
        </w:numPr>
        <w:snapToGrid w:val="0"/>
        <w:spacing w:line="400" w:lineRule="atLeast"/>
        <w:jc w:val="both"/>
        <w:rPr>
          <w:rFonts w:ascii="Arial" w:hAnsi="Arial" w:cs="Arial"/>
          <w:highlight w:val="none"/>
        </w:rPr>
      </w:pPr>
      <w:r>
        <w:rPr>
          <w:rFonts w:ascii="Arial" w:hAnsi="Arial" w:cs="Arial"/>
          <w:highlight w:val="none"/>
        </w:rPr>
        <w:t>在竞争性磋商有效期期满之前，采购代理机构将用书面形式向获接受的成交供应商发出书面的《成交通知书》。《成交通知书》将是合同的一个组成部分。</w:t>
      </w:r>
    </w:p>
    <w:p w14:paraId="10CB3D5F">
      <w:pPr>
        <w:numPr>
          <w:ilvl w:val="0"/>
          <w:numId w:val="3"/>
        </w:numPr>
        <w:snapToGrid w:val="0"/>
        <w:spacing w:line="400" w:lineRule="atLeast"/>
        <w:jc w:val="both"/>
        <w:rPr>
          <w:rFonts w:ascii="Arial" w:hAnsi="Arial" w:cs="Arial"/>
          <w:highlight w:val="none"/>
        </w:rPr>
      </w:pPr>
      <w:r>
        <w:rPr>
          <w:rFonts w:ascii="Arial" w:hAnsi="Arial" w:cs="Arial"/>
          <w:b/>
          <w:sz w:val="24"/>
          <w:highlight w:val="none"/>
        </w:rPr>
        <w:t>签订合同</w:t>
      </w:r>
    </w:p>
    <w:p w14:paraId="7B617238">
      <w:pPr>
        <w:numPr>
          <w:ilvl w:val="1"/>
          <w:numId w:val="3"/>
        </w:numPr>
        <w:snapToGrid w:val="0"/>
        <w:spacing w:line="400" w:lineRule="atLeast"/>
        <w:jc w:val="both"/>
        <w:rPr>
          <w:rFonts w:ascii="Arial" w:hAnsi="Arial" w:cs="Arial"/>
          <w:sz w:val="24"/>
          <w:highlight w:val="none"/>
        </w:rPr>
      </w:pPr>
      <w:r>
        <w:rPr>
          <w:rFonts w:ascii="Arial" w:hAnsi="Arial" w:cs="Arial"/>
          <w:highlight w:val="none"/>
        </w:rPr>
        <w:t>成交供应商按《成交通知书》指定的时间、地点与采购人直接签订合同。</w:t>
      </w:r>
    </w:p>
    <w:p w14:paraId="1F0F215B">
      <w:pPr>
        <w:numPr>
          <w:ilvl w:val="1"/>
          <w:numId w:val="3"/>
        </w:numPr>
        <w:snapToGrid w:val="0"/>
        <w:spacing w:line="400" w:lineRule="atLeast"/>
        <w:jc w:val="both"/>
        <w:rPr>
          <w:rFonts w:ascii="Arial" w:hAnsi="Arial" w:cs="Arial"/>
          <w:sz w:val="24"/>
          <w:highlight w:val="none"/>
        </w:rPr>
      </w:pPr>
      <w:r>
        <w:rPr>
          <w:rFonts w:ascii="Arial" w:hAnsi="Arial" w:cs="Arial"/>
          <w:highlight w:val="none"/>
        </w:rPr>
        <w:t>竞争性磋商文件、成交供应商的竞争性磋商响应文件及其澄清文件等，均为签订经济合同的依据。成交供应商自接到成交通知书后30天内与采购人签订合同。</w:t>
      </w:r>
    </w:p>
    <w:p w14:paraId="22B1FDD3">
      <w:pPr>
        <w:numPr>
          <w:ilvl w:val="1"/>
          <w:numId w:val="3"/>
        </w:numPr>
        <w:snapToGrid w:val="0"/>
        <w:spacing w:line="400" w:lineRule="atLeast"/>
        <w:jc w:val="both"/>
        <w:rPr>
          <w:rFonts w:ascii="Arial" w:hAnsi="Arial" w:cs="Arial"/>
          <w:sz w:val="24"/>
          <w:highlight w:val="none"/>
        </w:rPr>
      </w:pPr>
      <w:r>
        <w:rPr>
          <w:rFonts w:ascii="Arial" w:hAnsi="Arial" w:cs="Arial"/>
          <w:highlight w:val="none"/>
        </w:rPr>
        <w:t>成交供应商不遵守竞争性磋商文件的要约、承诺，擅自修改报价或在接到成交通知书30天内，借故拖延、拒签合同者，采购代理机构即可取消该单位的成交权，另选其它竞争性磋商供应商</w:t>
      </w:r>
      <w:r>
        <w:rPr>
          <w:rFonts w:hint="eastAsia" w:ascii="Arial" w:hAnsi="Arial" w:cs="Arial"/>
          <w:highlight w:val="none"/>
          <w:lang w:val="en-US" w:eastAsia="zh-CN"/>
        </w:rPr>
        <w:t>成交</w:t>
      </w:r>
      <w:r>
        <w:rPr>
          <w:rFonts w:ascii="Arial" w:hAnsi="Arial" w:cs="Arial"/>
          <w:highlight w:val="none"/>
        </w:rPr>
        <w:t>。</w:t>
      </w:r>
    </w:p>
    <w:p w14:paraId="27C8BB76">
      <w:pPr>
        <w:numPr>
          <w:ilvl w:val="0"/>
          <w:numId w:val="3"/>
        </w:numPr>
        <w:snapToGrid w:val="0"/>
        <w:spacing w:line="400" w:lineRule="atLeast"/>
        <w:jc w:val="both"/>
        <w:rPr>
          <w:rFonts w:ascii="Arial" w:hAnsi="Arial" w:cs="Arial"/>
          <w:b/>
          <w:sz w:val="24"/>
          <w:highlight w:val="none"/>
        </w:rPr>
      </w:pPr>
      <w:r>
        <w:rPr>
          <w:rFonts w:ascii="Arial" w:hAnsi="Arial" w:cs="Arial"/>
          <w:b/>
          <w:sz w:val="24"/>
          <w:highlight w:val="none"/>
        </w:rPr>
        <w:t>采购结果通知</w:t>
      </w:r>
    </w:p>
    <w:p w14:paraId="5A7367E5">
      <w:pPr>
        <w:snapToGrid w:val="0"/>
        <w:spacing w:line="400" w:lineRule="atLeast"/>
        <w:ind w:left="840" w:leftChars="400"/>
        <w:jc w:val="both"/>
        <w:rPr>
          <w:rFonts w:ascii="宋体" w:hAnsi="宋体" w:cs="Arial"/>
          <w:highlight w:val="none"/>
        </w:rPr>
      </w:pPr>
      <w:r>
        <w:rPr>
          <w:rFonts w:ascii="宋体" w:hAnsi="宋体" w:cs="Arial"/>
          <w:highlight w:val="none"/>
        </w:rPr>
        <w:t>采购代理机构在发出《成交通知书》的同时在 “浙江省政府采购网”（网址：</w:t>
      </w:r>
      <w:r>
        <w:rPr>
          <w:rFonts w:hint="eastAsia" w:cs="Times New Roman"/>
          <w:highlight w:val="none"/>
          <w:lang w:eastAsia="zh-CN"/>
        </w:rPr>
        <w:t>https://zfcg.czt.zj.gov.cn/</w:t>
      </w:r>
      <w:r>
        <w:rPr>
          <w:rFonts w:ascii="宋体" w:hAnsi="宋体" w:cs="Arial"/>
          <w:highlight w:val="none"/>
        </w:rPr>
        <w:t>）发布成交公告。</w:t>
      </w:r>
    </w:p>
    <w:p w14:paraId="50F37292">
      <w:pPr>
        <w:keepNext w:val="0"/>
        <w:keepLines w:val="0"/>
        <w:pageBreakBefore w:val="0"/>
        <w:widowControl/>
        <w:numPr>
          <w:ilvl w:val="0"/>
          <w:numId w:val="3"/>
        </w:numPr>
        <w:kinsoku/>
        <w:wordWrap/>
        <w:overflowPunct/>
        <w:topLinePunct w:val="0"/>
        <w:autoSpaceDE/>
        <w:autoSpaceDN/>
        <w:bidi w:val="0"/>
        <w:adjustRightInd/>
        <w:snapToGrid w:val="0"/>
        <w:spacing w:line="400" w:lineRule="exact"/>
        <w:ind w:left="850" w:hanging="850"/>
        <w:jc w:val="both"/>
        <w:textAlignment w:val="auto"/>
        <w:rPr>
          <w:rFonts w:ascii="宋体" w:hAnsi="宋体" w:cs="Arial"/>
          <w:highlight w:val="none"/>
        </w:rPr>
      </w:pPr>
      <w:bookmarkStart w:id="10" w:name="_Toc480892640"/>
      <w:r>
        <w:rPr>
          <w:rFonts w:hint="eastAsia" w:ascii="Arial" w:hAnsi="Arial" w:cs="Arial"/>
          <w:b/>
          <w:sz w:val="24"/>
          <w:highlight w:val="none"/>
        </w:rPr>
        <w:t>中小企业</w:t>
      </w:r>
    </w:p>
    <w:p w14:paraId="3C1620EC">
      <w:pPr>
        <w:keepNext w:val="0"/>
        <w:keepLines w:val="0"/>
        <w:pageBreakBefore w:val="0"/>
        <w:widowControl/>
        <w:numPr>
          <w:ilvl w:val="1"/>
          <w:numId w:val="3"/>
        </w:numPr>
        <w:kinsoku/>
        <w:wordWrap/>
        <w:overflowPunct/>
        <w:topLinePunct w:val="0"/>
        <w:autoSpaceDE/>
        <w:autoSpaceDN/>
        <w:bidi w:val="0"/>
        <w:adjustRightInd/>
        <w:snapToGrid w:val="0"/>
        <w:spacing w:line="400" w:lineRule="exact"/>
        <w:ind w:left="850" w:hanging="850"/>
        <w:jc w:val="both"/>
        <w:textAlignment w:val="auto"/>
        <w:rPr>
          <w:rFonts w:ascii="宋体" w:hAnsi="宋体"/>
          <w:b/>
          <w:bCs/>
          <w:sz w:val="24"/>
          <w:highlight w:val="none"/>
        </w:rPr>
      </w:pPr>
      <w:r>
        <w:rPr>
          <w:rFonts w:hint="eastAsia" w:ascii="Arial" w:hAnsi="Arial" w:cs="Arial"/>
          <w:highlight w:val="none"/>
        </w:rPr>
        <w:t>按财库[2020]46号文件执行。</w:t>
      </w:r>
    </w:p>
    <w:p w14:paraId="1DB2F90C">
      <w:pPr>
        <w:keepNext w:val="0"/>
        <w:keepLines w:val="0"/>
        <w:pageBreakBefore w:val="0"/>
        <w:widowControl/>
        <w:numPr>
          <w:ilvl w:val="0"/>
          <w:numId w:val="3"/>
        </w:numPr>
        <w:kinsoku/>
        <w:wordWrap/>
        <w:overflowPunct/>
        <w:topLinePunct w:val="0"/>
        <w:autoSpaceDE/>
        <w:autoSpaceDN/>
        <w:bidi w:val="0"/>
        <w:adjustRightInd/>
        <w:snapToGrid w:val="0"/>
        <w:spacing w:line="400" w:lineRule="exact"/>
        <w:ind w:left="850" w:hanging="850"/>
        <w:jc w:val="both"/>
        <w:textAlignment w:val="auto"/>
        <w:rPr>
          <w:rFonts w:ascii="宋体" w:hAnsi="宋体"/>
          <w:b/>
          <w:bCs/>
          <w:sz w:val="24"/>
          <w:highlight w:val="none"/>
        </w:rPr>
      </w:pPr>
      <w:r>
        <w:rPr>
          <w:rFonts w:ascii="宋体" w:hAnsi="宋体"/>
          <w:b/>
          <w:bCs/>
          <w:sz w:val="24"/>
          <w:highlight w:val="none"/>
        </w:rPr>
        <w:t>代理服务费</w:t>
      </w:r>
      <w:bookmarkEnd w:id="10"/>
    </w:p>
    <w:p w14:paraId="35304D6C">
      <w:pPr>
        <w:keepNext w:val="0"/>
        <w:keepLines w:val="0"/>
        <w:pageBreakBefore w:val="0"/>
        <w:widowControl/>
        <w:kinsoku/>
        <w:wordWrap/>
        <w:overflowPunct/>
        <w:topLinePunct w:val="0"/>
        <w:autoSpaceDE/>
        <w:autoSpaceDN/>
        <w:bidi w:val="0"/>
        <w:adjustRightInd/>
        <w:snapToGrid/>
        <w:spacing w:line="360" w:lineRule="auto"/>
        <w:ind w:left="844" w:leftChars="402" w:firstLine="0" w:firstLineChars="0"/>
        <w:textAlignment w:val="auto"/>
        <w:rPr>
          <w:rFonts w:ascii="Arial" w:hAnsi="Arial" w:cs="Arial"/>
          <w:color w:val="auto"/>
          <w:szCs w:val="21"/>
          <w:highlight w:val="none"/>
        </w:rPr>
      </w:pPr>
      <w:r>
        <w:rPr>
          <w:rFonts w:hint="eastAsia" w:ascii="Arial" w:hAnsi="Arial" w:cs="Arial"/>
          <w:color w:val="auto"/>
          <w:szCs w:val="21"/>
          <w:highlight w:val="none"/>
        </w:rPr>
        <w:t>经采购人和代理人双方协商，本次采购代理服务费由成交供应商（中标单位）支付，代理服务费收费标准按国家《招标代理服务收费管理暂行办法》（计价格[2002]1980号）的80%计算，采购代理服务费请供应商在报价中予以考虑，该费用须在领取中标通知书前付清。</w:t>
      </w:r>
    </w:p>
    <w:p w14:paraId="78A50836">
      <w:pPr>
        <w:pStyle w:val="4"/>
        <w:keepNext w:val="0"/>
        <w:keepLines w:val="0"/>
        <w:pageBreakBefore/>
        <w:numPr>
          <w:ilvl w:val="0"/>
          <w:numId w:val="7"/>
        </w:numPr>
        <w:spacing w:beforeLines="100" w:afterLines="100" w:line="240" w:lineRule="auto"/>
        <w:jc w:val="center"/>
        <w:rPr>
          <w:rFonts w:hint="eastAsia" w:ascii="Arial" w:hAnsi="Arial" w:cs="Arial"/>
          <w:color w:val="auto"/>
          <w:sz w:val="32"/>
          <w:szCs w:val="32"/>
          <w:highlight w:val="none"/>
        </w:rPr>
      </w:pPr>
      <w:bookmarkStart w:id="11" w:name="_Toc26083"/>
      <w:r>
        <w:rPr>
          <w:rFonts w:hint="eastAsia" w:ascii="Arial" w:hAnsi="Arial" w:cs="Arial"/>
          <w:color w:val="auto"/>
          <w:sz w:val="32"/>
          <w:szCs w:val="32"/>
          <w:highlight w:val="none"/>
        </w:rPr>
        <w:t>项目采购需求</w:t>
      </w:r>
      <w:bookmarkEnd w:id="11"/>
    </w:p>
    <w:p w14:paraId="5AF46F56">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22" w:firstLineChars="200"/>
        <w:jc w:val="both"/>
        <w:textAlignment w:val="auto"/>
        <w:outlineLvl w:val="0"/>
        <w:rPr>
          <w:rFonts w:hint="default" w:ascii="Times New Roman" w:hAnsi="Times New Roman" w:eastAsia="宋体" w:cs="Times New Roman"/>
          <w:b/>
          <w:color w:val="auto"/>
          <w:kern w:val="2"/>
          <w:sz w:val="21"/>
          <w:highlight w:val="none"/>
          <w:lang w:val="en-US" w:eastAsia="zh-CN" w:bidi="ar-SA"/>
        </w:rPr>
      </w:pPr>
      <w:bookmarkStart w:id="12" w:name="_Toc61733922"/>
      <w:bookmarkStart w:id="13" w:name="_Toc71023033"/>
      <w:bookmarkStart w:id="14" w:name="_Toc75345388"/>
      <w:r>
        <w:rPr>
          <w:rFonts w:hint="default" w:ascii="Times New Roman" w:hAnsi="Times New Roman" w:eastAsia="宋体" w:cs="Times New Roman"/>
          <w:b/>
          <w:color w:val="auto"/>
          <w:kern w:val="2"/>
          <w:sz w:val="21"/>
          <w:highlight w:val="none"/>
          <w:lang w:val="en-US" w:eastAsia="zh-CN" w:bidi="ar-SA"/>
        </w:rPr>
        <w:t>一、项目概况</w:t>
      </w:r>
    </w:p>
    <w:p w14:paraId="46CE8A87">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20" w:firstLineChars="200"/>
        <w:jc w:val="both"/>
        <w:textAlignment w:val="auto"/>
        <w:outlineLvl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本次采购项目为海盐县城公共环境病媒生物防制消杀服务，服务范围为武原街道下辖中心城区，总面积约18平方公里，涉及16个社区。</w:t>
      </w:r>
    </w:p>
    <w:p w14:paraId="1687545B">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22" w:firstLineChars="200"/>
        <w:jc w:val="both"/>
        <w:textAlignment w:val="auto"/>
        <w:outlineLvl w:val="0"/>
        <w:rPr>
          <w:rFonts w:hint="default" w:ascii="Times New Roman" w:hAnsi="Times New Roman" w:eastAsia="宋体" w:cs="Times New Roman"/>
          <w:b/>
          <w:color w:val="auto"/>
          <w:kern w:val="2"/>
          <w:sz w:val="21"/>
          <w:highlight w:val="none"/>
          <w:lang w:val="en-US" w:eastAsia="zh-CN" w:bidi="ar-SA"/>
        </w:rPr>
      </w:pPr>
      <w:r>
        <w:rPr>
          <w:rFonts w:hint="default" w:ascii="Times New Roman" w:hAnsi="Times New Roman" w:eastAsia="宋体" w:cs="Times New Roman"/>
          <w:b/>
          <w:color w:val="auto"/>
          <w:kern w:val="2"/>
          <w:sz w:val="21"/>
          <w:highlight w:val="none"/>
          <w:lang w:val="en-US" w:eastAsia="zh-CN" w:bidi="ar-SA"/>
        </w:rPr>
        <w:t>二、采购内容</w:t>
      </w:r>
    </w:p>
    <w:p w14:paraId="35E3D7D2">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20" w:firstLineChars="200"/>
        <w:jc w:val="both"/>
        <w:textAlignment w:val="auto"/>
        <w:outlineLvl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r>
        <w:rPr>
          <w:rFonts w:hint="eastAsia" w:cs="Times New Roman"/>
          <w:color w:val="auto"/>
          <w:kern w:val="2"/>
          <w:sz w:val="21"/>
          <w:szCs w:val="21"/>
          <w:highlight w:val="none"/>
          <w:lang w:val="en-US" w:eastAsia="zh-CN" w:bidi="ar-SA"/>
        </w:rPr>
        <w:t>针对县城公共环境（包含生活小区、城中村、主次道路、背街小巷、垃圾中转站、公园、绿地、河道岸坡、窨井、下水道，以及公共厕所、食品行业等病媒防制重点场所周边等）组织开展灭鼠、灭蚊、灭蝇、灭蟑螂相关消杀服务</w:t>
      </w:r>
      <w:r>
        <w:rPr>
          <w:rFonts w:hint="default" w:ascii="Times New Roman" w:hAnsi="Times New Roman" w:eastAsia="宋体" w:cs="Times New Roman"/>
          <w:color w:val="auto"/>
          <w:kern w:val="2"/>
          <w:sz w:val="21"/>
          <w:szCs w:val="21"/>
          <w:highlight w:val="none"/>
          <w:lang w:val="en-US" w:eastAsia="zh-CN" w:bidi="ar-SA"/>
        </w:rPr>
        <w:t>。</w:t>
      </w:r>
    </w:p>
    <w:p w14:paraId="3952C1DF">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20" w:firstLineChars="200"/>
        <w:jc w:val="both"/>
        <w:textAlignment w:val="auto"/>
        <w:outlineLvl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r>
        <w:rPr>
          <w:rFonts w:hint="eastAsia" w:cs="Times New Roman"/>
          <w:color w:val="auto"/>
          <w:kern w:val="2"/>
          <w:sz w:val="21"/>
          <w:szCs w:val="21"/>
          <w:highlight w:val="none"/>
          <w:lang w:val="en-US" w:eastAsia="zh-CN" w:bidi="ar-SA"/>
        </w:rPr>
        <w:t>消杀服务方式：每年4-5月和10月集中灭鼠活动；每年1-12月根据实际需要每月开展灭蚊蝇和蟑螂；其中有物业的居民小区仅开展春秋两季灭鼠</w:t>
      </w:r>
      <w:r>
        <w:rPr>
          <w:rFonts w:hint="default" w:ascii="Times New Roman" w:hAnsi="Times New Roman" w:eastAsia="宋体" w:cs="Times New Roman"/>
          <w:color w:val="auto"/>
          <w:kern w:val="2"/>
          <w:sz w:val="21"/>
          <w:szCs w:val="21"/>
          <w:highlight w:val="none"/>
          <w:lang w:val="en-US" w:eastAsia="zh-CN" w:bidi="ar-SA"/>
        </w:rPr>
        <w:t>。</w:t>
      </w:r>
    </w:p>
    <w:p w14:paraId="2B4623B6">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20" w:firstLineChars="200"/>
        <w:jc w:val="both"/>
        <w:textAlignment w:val="auto"/>
        <w:outlineLvl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3.每年新增毒鼠屋2000只，诱蝇笼1000只，布放到指定区域。</w:t>
      </w:r>
    </w:p>
    <w:p w14:paraId="7D51144D">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20" w:firstLineChars="200"/>
        <w:jc w:val="both"/>
        <w:textAlignment w:val="auto"/>
        <w:outlineLvl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4.突发公共卫生应急事件环境消杀。</w:t>
      </w:r>
    </w:p>
    <w:p w14:paraId="6C53CF5C">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20" w:firstLineChars="200"/>
        <w:jc w:val="both"/>
        <w:textAlignment w:val="auto"/>
        <w:outlineLvl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5.县、街道爱卫办组织的其它除四害活动（包括要求承担的公益性服务）。</w:t>
      </w:r>
    </w:p>
    <w:p w14:paraId="7069CFB0">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20" w:firstLineChars="200"/>
        <w:jc w:val="both"/>
        <w:textAlignment w:val="auto"/>
        <w:outlineLvl w:val="0"/>
        <w:rPr>
          <w:rFonts w:hint="default" w:ascii="Times New Roman" w:hAnsi="Times New Roman" w:eastAsia="宋体" w:cs="Times New Roman"/>
          <w:b w:val="0"/>
          <w:bCs/>
          <w:color w:val="auto"/>
          <w:kern w:val="0"/>
          <w:sz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6.向所服务社区困难家庭无偿提供病媒生物防制药品及技术指导。</w:t>
      </w:r>
    </w:p>
    <w:p w14:paraId="07A36B09">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22" w:firstLineChars="200"/>
        <w:jc w:val="both"/>
        <w:textAlignment w:val="auto"/>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color w:val="auto"/>
          <w:kern w:val="2"/>
          <w:sz w:val="21"/>
          <w:szCs w:val="21"/>
          <w:highlight w:val="none"/>
          <w:lang w:val="en-US" w:eastAsia="zh-CN" w:bidi="ar-SA"/>
        </w:rPr>
        <w:t>三、服务期限</w:t>
      </w:r>
    </w:p>
    <w:p w14:paraId="070A0FBF">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22"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color w:val="auto"/>
          <w:kern w:val="2"/>
          <w:sz w:val="21"/>
          <w:szCs w:val="21"/>
          <w:highlight w:val="none"/>
          <w:lang w:val="en-US" w:eastAsia="zh-CN" w:bidi="ar-SA"/>
        </w:rPr>
        <w:t>三年</w:t>
      </w:r>
      <w:r>
        <w:rPr>
          <w:rFonts w:hint="default" w:ascii="Times New Roman" w:hAnsi="Times New Roman" w:eastAsia="宋体" w:cs="Times New Roman"/>
          <w:color w:val="auto"/>
          <w:kern w:val="2"/>
          <w:sz w:val="21"/>
          <w:szCs w:val="21"/>
          <w:highlight w:val="none"/>
          <w:lang w:val="en-US" w:eastAsia="zh-CN" w:bidi="ar-SA"/>
        </w:rPr>
        <w:t>，其中试用期三个月，试用期考核不合格，合同自动终止，取消中标人资格。</w:t>
      </w:r>
    </w:p>
    <w:p w14:paraId="33D3C0AE">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22" w:firstLineChars="200"/>
        <w:jc w:val="both"/>
        <w:textAlignment w:val="auto"/>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color w:val="auto"/>
          <w:kern w:val="2"/>
          <w:sz w:val="21"/>
          <w:szCs w:val="21"/>
          <w:highlight w:val="none"/>
          <w:lang w:val="en-US" w:eastAsia="zh-CN" w:bidi="ar-SA"/>
        </w:rPr>
        <w:t>四、服务费用</w:t>
      </w:r>
    </w:p>
    <w:p w14:paraId="58EB93A6">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投标人的最终报价应包括招标文件中所要求的承包服务范围内所有消杀服务所需的药物、器械、人工、运杂、税金（包含关税,由供应商承担的）、相关服务承诺等各项可能涉及的费用。以及完成合同所需的一切本身和不可或缺的所有工作开支、政策性文件规定及合同包含的所有风险、责任等各项全部费用并承担一切风险责任。</w:t>
      </w:r>
    </w:p>
    <w:p w14:paraId="3461A771">
      <w:pPr>
        <w:keepNext w:val="0"/>
        <w:keepLines w:val="0"/>
        <w:pageBreakBefore w:val="0"/>
        <w:widowControl w:val="0"/>
        <w:numPr>
          <w:ilvl w:val="0"/>
          <w:numId w:val="8"/>
        </w:numPr>
        <w:kinsoku/>
        <w:wordWrap/>
        <w:overflowPunct/>
        <w:topLinePunct w:val="0"/>
        <w:autoSpaceDE/>
        <w:autoSpaceDN/>
        <w:bidi w:val="0"/>
        <w:adjustRightInd/>
        <w:snapToGrid w:val="0"/>
        <w:spacing w:before="0" w:beforeLines="0" w:after="0" w:afterLines="0" w:line="360" w:lineRule="auto"/>
        <w:ind w:firstLine="422" w:firstLineChars="200"/>
        <w:jc w:val="both"/>
        <w:textAlignment w:val="auto"/>
        <w:rPr>
          <w:rFonts w:hint="default" w:ascii="Times New Roman" w:hAnsi="Times New Roman" w:eastAsia="宋体" w:cs="Times New Roman"/>
          <w:b/>
          <w:color w:val="auto"/>
          <w:kern w:val="2"/>
          <w:sz w:val="21"/>
          <w:highlight w:val="none"/>
          <w:lang w:val="en-US" w:eastAsia="zh-CN" w:bidi="ar-SA"/>
        </w:rPr>
      </w:pPr>
      <w:r>
        <w:rPr>
          <w:rFonts w:hint="default" w:ascii="Times New Roman" w:hAnsi="Times New Roman" w:eastAsia="宋体" w:cs="Times New Roman"/>
          <w:b/>
          <w:color w:val="auto"/>
          <w:kern w:val="2"/>
          <w:sz w:val="21"/>
          <w:highlight w:val="none"/>
          <w:lang w:val="en-US" w:eastAsia="zh-CN" w:bidi="ar-SA"/>
        </w:rPr>
        <w:t>质量要求</w:t>
      </w:r>
    </w:p>
    <w:p w14:paraId="4B07624C">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1.服务质量达到《中华人民共和国国家标准》（GB／[T27770－27773]—2011〔鼠、蚊、蝇、蟑螂〕）规定标准B级及以上控制水平。</w:t>
      </w:r>
    </w:p>
    <w:p w14:paraId="76C203BD">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2.社区居民满意率达90%（含）以上；</w:t>
      </w:r>
    </w:p>
    <w:p w14:paraId="475BC13F">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3.确保病媒生物防制工作在国家卫生县城复查和病媒生物控制水平等级认定考核中达到标准。</w:t>
      </w:r>
    </w:p>
    <w:p w14:paraId="13D4D8DB">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▲4.现场常驻工作人员不少于6名。（供应商常驻全职消杀人员和负责人，合同签订后一周内提供具体名单、联系电话。）</w:t>
      </w:r>
    </w:p>
    <w:p w14:paraId="7C397A10">
      <w:pPr>
        <w:keepNext w:val="0"/>
        <w:keepLines w:val="0"/>
        <w:pageBreakBefore w:val="0"/>
        <w:kinsoku/>
        <w:overflowPunct/>
        <w:topLinePunct w:val="0"/>
        <w:autoSpaceDE/>
        <w:autoSpaceDN/>
        <w:bidi w:val="0"/>
        <w:adjustRightInd/>
        <w:spacing w:line="360" w:lineRule="auto"/>
        <w:ind w:firstLine="420" w:firstLineChars="200"/>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w:t>
      </w:r>
      <w:r>
        <w:rPr>
          <w:rFonts w:hint="default" w:ascii="Times New Roman" w:hAnsi="Times New Roman" w:eastAsia="宋体" w:cs="Times New Roman"/>
          <w:color w:val="auto"/>
          <w:kern w:val="2"/>
          <w:sz w:val="21"/>
          <w:szCs w:val="21"/>
          <w:highlight w:val="none"/>
          <w:lang w:val="en-US" w:eastAsia="zh-CN" w:bidi="ar-SA"/>
        </w:rPr>
        <w:t>.每月15日前上报上月消杀记录资料（包括消杀对象、时间、人员、内容等）以及新增的毒鼠屋、诱蝇笼情况，及时反馈孳生地和不配合消杀的部门、单位等。</w:t>
      </w:r>
    </w:p>
    <w:p w14:paraId="5AF4EAF3">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left="0" w:right="0" w:firstLine="420" w:firstLineChars="200"/>
        <w:jc w:val="both"/>
        <w:textAlignment w:val="baseline"/>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w:t>
      </w:r>
      <w:r>
        <w:rPr>
          <w:rFonts w:hint="default" w:ascii="Times New Roman" w:hAnsi="Times New Roman" w:eastAsia="宋体" w:cs="Times New Roman"/>
          <w:color w:val="auto"/>
          <w:kern w:val="2"/>
          <w:sz w:val="21"/>
          <w:szCs w:val="21"/>
          <w:highlight w:val="none"/>
          <w:lang w:val="en-US" w:eastAsia="zh-CN" w:bidi="ar-SA"/>
        </w:rPr>
        <w:t>.供应商在签订合同后的三个月内突击完成除“四害”的任务，并达到国家除四害标准，同时完成“四害”密度情况的摸底，并根据测试摸底情况制订除“四害”长年计划，所有资料上报采购人。</w:t>
      </w:r>
    </w:p>
    <w:p w14:paraId="00A517A2">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left="0" w:right="0" w:firstLine="420" w:firstLineChars="200"/>
        <w:jc w:val="both"/>
        <w:textAlignment w:val="baseline"/>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7</w:t>
      </w:r>
      <w:r>
        <w:rPr>
          <w:rFonts w:hint="default" w:ascii="Times New Roman" w:hAnsi="Times New Roman" w:eastAsia="宋体" w:cs="Times New Roman"/>
          <w:color w:val="auto"/>
          <w:kern w:val="2"/>
          <w:sz w:val="21"/>
          <w:szCs w:val="21"/>
          <w:highlight w:val="none"/>
          <w:lang w:val="en-US" w:eastAsia="zh-CN" w:bidi="ar-SA"/>
        </w:rPr>
        <w:t>.对规定区域内有举报“四害”情况的，供应商应48小时内实施消杀并做好记录。</w:t>
      </w:r>
    </w:p>
    <w:p w14:paraId="04D9FCD5">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20" w:firstLineChars="200"/>
        <w:jc w:val="both"/>
        <w:textAlignment w:val="auto"/>
        <w:outlineLvl w:val="0"/>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w:t>
      </w:r>
      <w:r>
        <w:rPr>
          <w:rFonts w:hint="default" w:ascii="Times New Roman" w:hAnsi="Times New Roman" w:eastAsia="宋体" w:cs="Times New Roman"/>
          <w:color w:val="auto"/>
          <w:kern w:val="2"/>
          <w:sz w:val="21"/>
          <w:szCs w:val="21"/>
          <w:highlight w:val="none"/>
          <w:lang w:val="en-US" w:eastAsia="zh-CN" w:bidi="ar-SA"/>
        </w:rPr>
        <w:t>.在工作或施药期间，供应商要对被服务单位（场所）实行告知制度并做好相关记录，告知在规定时间内不要揩抹、挪动药物，以确保消杀工作不留死角，同时预防意外发生。</w:t>
      </w:r>
    </w:p>
    <w:p w14:paraId="679124F4">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left="0" w:right="0" w:firstLine="420" w:firstLineChars="200"/>
        <w:jc w:val="both"/>
        <w:textAlignment w:val="baseline"/>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9</w:t>
      </w:r>
      <w:r>
        <w:rPr>
          <w:rFonts w:hint="default" w:ascii="Times New Roman" w:hAnsi="Times New Roman" w:eastAsia="宋体" w:cs="Times New Roman"/>
          <w:color w:val="auto"/>
          <w:kern w:val="2"/>
          <w:sz w:val="21"/>
          <w:szCs w:val="21"/>
          <w:highlight w:val="none"/>
          <w:lang w:val="en-US" w:eastAsia="zh-CN" w:bidi="ar-SA"/>
        </w:rPr>
        <w:t>.合同履行过程中，在规定消杀区域内因突发公共卫生应急事件需环境消杀的，供应商须无条件配合实施，费用由供应商与街道办事处另行协商落实。</w:t>
      </w:r>
    </w:p>
    <w:p w14:paraId="6626F5BD">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22" w:firstLineChars="200"/>
        <w:jc w:val="both"/>
        <w:textAlignment w:val="auto"/>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color w:val="auto"/>
          <w:kern w:val="2"/>
          <w:sz w:val="21"/>
          <w:szCs w:val="21"/>
          <w:highlight w:val="none"/>
          <w:lang w:val="en-US" w:eastAsia="zh-CN" w:bidi="ar-SA"/>
        </w:rPr>
        <w:t>六、考核要求</w:t>
      </w:r>
    </w:p>
    <w:p w14:paraId="36059B7B">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r>
        <w:rPr>
          <w:rFonts w:hint="eastAsia"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具体依据《中华人民共和国国家标准》（GB／[T27770－27773]—2011〔鼠、蚊、蝇、蟑螂〕中的有关规定，由县爱卫办委托第三方组织的评估结果执行。</w:t>
      </w:r>
    </w:p>
    <w:p w14:paraId="7052005A">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r>
        <w:rPr>
          <w:rFonts w:hint="eastAsia"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季度考核：由社区居委会每季（3、6、8、10月）对供应商开展公共环境病媒生物防制服务质量抽检，并出具服务质量抽检报告，发现问题书面提出整改意见。</w:t>
      </w:r>
    </w:p>
    <w:p w14:paraId="68CBDC8D">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w:t>
      </w:r>
      <w:r>
        <w:rPr>
          <w:rFonts w:hint="eastAsia"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半年度考核：采购人会同武原街道爱卫办每半年组织1次考核，供应商未能达到质量要求的，给予书面警告、并限期改正。在限期内整改达到合同要求的，扣年度应付金额的5-15%；未在限期内改正，或经两次整改后仍不能达到合同要求的，即时终止合同，余下部分不再执行。</w:t>
      </w:r>
    </w:p>
    <w:p w14:paraId="41A390AF">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备注：采购人委托第三方每半年开展一次防制效果现场评估，第三方向采购人出具半年度和年度评估报告。评估结果没有达到相关要求，即时终止合同，余下部分不再执行。</w:t>
      </w:r>
    </w:p>
    <w:p w14:paraId="20DAC9C0">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22" w:firstLineChars="200"/>
        <w:jc w:val="both"/>
        <w:textAlignment w:val="auto"/>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color w:val="auto"/>
          <w:kern w:val="2"/>
          <w:sz w:val="21"/>
          <w:highlight w:val="none"/>
          <w:lang w:val="en-US" w:eastAsia="zh-CN" w:bidi="ar-SA"/>
        </w:rPr>
        <w:t>七、</w:t>
      </w:r>
      <w:r>
        <w:rPr>
          <w:rFonts w:hint="default" w:ascii="Times New Roman" w:hAnsi="Times New Roman" w:eastAsia="宋体" w:cs="Times New Roman"/>
          <w:b/>
          <w:color w:val="auto"/>
          <w:kern w:val="2"/>
          <w:sz w:val="21"/>
          <w:szCs w:val="21"/>
          <w:highlight w:val="none"/>
          <w:lang w:val="en-US" w:eastAsia="zh-CN" w:bidi="ar-SA"/>
        </w:rPr>
        <w:t>风险承担</w:t>
      </w:r>
    </w:p>
    <w:p w14:paraId="163AAFFF">
      <w:pPr>
        <w:keepNext w:val="0"/>
        <w:keepLines w:val="0"/>
        <w:pageBreakBefore w:val="0"/>
        <w:widowControl w:val="0"/>
        <w:kinsoku/>
        <w:wordWrap/>
        <w:overflowPunct/>
        <w:topLinePunct w:val="0"/>
        <w:autoSpaceDE/>
        <w:autoSpaceDN/>
        <w:bidi w:val="0"/>
        <w:adjustRightInd/>
        <w:spacing w:before="0" w:beforeLines="0" w:after="0" w:afterLines="0" w:line="360" w:lineRule="auto"/>
        <w:ind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r>
        <w:rPr>
          <w:rFonts w:hint="eastAsia"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采购人会同武原街道爱卫办将对病媒生物防制服务质量进行全过程监控，供应商工作人员日常工作不到位、不达标、或有违约现象，将依据合同约定，作出相应的违约处理与处罚。</w:t>
      </w:r>
    </w:p>
    <w:p w14:paraId="04A5C5F5">
      <w:pPr>
        <w:keepNext w:val="0"/>
        <w:keepLines w:val="0"/>
        <w:pageBreakBefore w:val="0"/>
        <w:widowControl w:val="0"/>
        <w:kinsoku/>
        <w:wordWrap/>
        <w:overflowPunct/>
        <w:topLinePunct w:val="0"/>
        <w:autoSpaceDE/>
        <w:autoSpaceDN/>
        <w:bidi w:val="0"/>
        <w:adjustRightInd/>
        <w:spacing w:before="0" w:beforeLines="0" w:after="0" w:afterLines="0" w:line="360" w:lineRule="auto"/>
        <w:ind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r>
        <w:rPr>
          <w:rFonts w:hint="eastAsia"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供应商未按质量要求执行，采购人可以书面形式提出警告；若情节严重，确认中标人未达到合同规定的质量要求的，即时终止合同。</w:t>
      </w:r>
    </w:p>
    <w:p w14:paraId="3EB60C59">
      <w:pPr>
        <w:keepNext w:val="0"/>
        <w:keepLines w:val="0"/>
        <w:pageBreakBefore w:val="0"/>
        <w:widowControl w:val="0"/>
        <w:kinsoku/>
        <w:wordWrap/>
        <w:overflowPunct/>
        <w:topLinePunct w:val="0"/>
        <w:autoSpaceDE/>
        <w:autoSpaceDN/>
        <w:bidi w:val="0"/>
        <w:adjustRightInd/>
        <w:spacing w:before="0" w:beforeLines="0" w:after="0" w:afterLines="0" w:line="360" w:lineRule="auto"/>
        <w:ind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w:t>
      </w:r>
      <w:r>
        <w:rPr>
          <w:rFonts w:hint="eastAsia"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供应商工作人员在岗履行工作职责期间，发生自身的人身伤害、伤亡，由中标人负责处理并承担经济和道义上的责任，采购人不承担任何责任。</w:t>
      </w:r>
    </w:p>
    <w:p w14:paraId="62C71317">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w:t>
      </w:r>
      <w:r>
        <w:rPr>
          <w:rFonts w:hint="eastAsia"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供应商违反国家相关法规，与聘用人员发生纠纷，均由中标人负责调解与处理，采购人不承担任何责任。</w:t>
      </w:r>
    </w:p>
    <w:p w14:paraId="7EDFE436">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w:t>
      </w:r>
      <w:r>
        <w:rPr>
          <w:rFonts w:hint="eastAsia"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供应商在病媒生物防制服务中违反国家相关法规或行业规范，因过失造成他人人身伤亡的，均由供应商负责处理并承担经济和道义上的责任，采购人不承担任何责任。</w:t>
      </w:r>
    </w:p>
    <w:p w14:paraId="72486219">
      <w:pPr>
        <w:keepNext w:val="0"/>
        <w:keepLines w:val="0"/>
        <w:pageBreakBefore w:val="0"/>
        <w:widowControl w:val="0"/>
        <w:kinsoku/>
        <w:overflowPunct/>
        <w:topLinePunct w:val="0"/>
        <w:autoSpaceDE/>
        <w:autoSpaceDN/>
        <w:bidi w:val="0"/>
        <w:adjustRightInd/>
        <w:snapToGrid w:val="0"/>
        <w:spacing w:before="0" w:beforeLines="0" w:after="0" w:afterLines="0" w:line="360" w:lineRule="auto"/>
        <w:ind w:firstLine="422" w:firstLineChars="200"/>
        <w:jc w:val="both"/>
        <w:outlineLvl w:val="0"/>
        <w:rPr>
          <w:rFonts w:hint="default" w:ascii="Times New Roman" w:hAnsi="Times New Roman" w:eastAsia="宋体" w:cs="Times New Roman"/>
          <w:b/>
          <w:color w:val="auto"/>
          <w:kern w:val="2"/>
          <w:sz w:val="21"/>
          <w:highlight w:val="none"/>
          <w:lang w:val="en-US" w:eastAsia="zh-CN" w:bidi="ar-SA"/>
        </w:rPr>
      </w:pPr>
      <w:r>
        <w:rPr>
          <w:rFonts w:hint="default" w:ascii="Times New Roman" w:hAnsi="Times New Roman" w:eastAsia="宋体" w:cs="Times New Roman"/>
          <w:b/>
          <w:color w:val="auto"/>
          <w:kern w:val="2"/>
          <w:sz w:val="21"/>
          <w:highlight w:val="none"/>
          <w:lang w:val="en-US" w:eastAsia="zh-CN" w:bidi="ar-SA"/>
        </w:rPr>
        <w:t>八、商务资信要求表</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0"/>
        <w:gridCol w:w="7870"/>
      </w:tblGrid>
      <w:tr w14:paraId="6B088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14:paraId="5436A731">
            <w:pPr>
              <w:widowControl w:val="0"/>
              <w:spacing w:before="120" w:after="120"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服务时间及地点</w:t>
            </w:r>
          </w:p>
        </w:tc>
        <w:tc>
          <w:tcPr>
            <w:tcW w:w="7870" w:type="dxa"/>
            <w:tcBorders>
              <w:top w:val="single" w:color="auto" w:sz="4" w:space="0"/>
              <w:left w:val="single" w:color="auto" w:sz="4" w:space="0"/>
              <w:bottom w:val="single" w:color="auto" w:sz="4" w:space="0"/>
              <w:right w:val="single" w:color="auto" w:sz="4" w:space="0"/>
            </w:tcBorders>
            <w:noWrap w:val="0"/>
            <w:vAlign w:val="center"/>
          </w:tcPr>
          <w:p w14:paraId="4D8503EC">
            <w:pPr>
              <w:widowControl w:val="0"/>
              <w:spacing w:before="120" w:after="120" w:line="360" w:lineRule="auto"/>
              <w:ind w:firstLine="359" w:firstLineChars="171"/>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服务时间：根据实际情况，采购人安排的时间，详情在合同中规定。</w:t>
            </w:r>
          </w:p>
          <w:p w14:paraId="35792068">
            <w:pPr>
              <w:widowControl w:val="0"/>
              <w:spacing w:before="120" w:after="120" w:line="360" w:lineRule="auto"/>
              <w:ind w:firstLine="359" w:firstLineChars="171"/>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服务地点：上文所含区域。</w:t>
            </w:r>
          </w:p>
        </w:tc>
      </w:tr>
      <w:tr w14:paraId="03EF4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14:paraId="754AD417">
            <w:pPr>
              <w:widowControl w:val="0"/>
              <w:snapToGrid w:val="0"/>
              <w:spacing w:before="120" w:after="120" w:line="360" w:lineRule="auto"/>
              <w:ind w:firstLine="210" w:firstLineChars="100"/>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付款条件</w:t>
            </w:r>
          </w:p>
        </w:tc>
        <w:tc>
          <w:tcPr>
            <w:tcW w:w="7870" w:type="dxa"/>
            <w:tcBorders>
              <w:top w:val="single" w:color="auto" w:sz="4" w:space="0"/>
              <w:left w:val="single" w:color="auto" w:sz="4" w:space="0"/>
              <w:bottom w:val="single" w:color="auto" w:sz="4" w:space="0"/>
              <w:right w:val="single" w:color="auto" w:sz="4" w:space="0"/>
            </w:tcBorders>
            <w:noWrap w:val="0"/>
            <w:vAlign w:val="center"/>
          </w:tcPr>
          <w:p w14:paraId="30E89E45">
            <w:pPr>
              <w:widowControl w:val="0"/>
              <w:snapToGrid w:val="0"/>
              <w:spacing w:before="120" w:after="120" w:line="360" w:lineRule="auto"/>
              <w:ind w:firstLine="420" w:firstLineChars="200"/>
              <w:jc w:val="both"/>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本项目每年年度合同价为中标总价的三分之一。具体付款条件如下：第一年，合同生效以及具备实施条件后3个月内支付当年预算金额的40%，作为预付款；根据县、街道爱卫办和社区以及第三方对供应商消杀质量的考核评估，每次考核评估均达到合同要求或整改到位的，当年实际工作6个月后支付当年预算金额的30%；年底前经第三方综合评估且达到合同要求后于12月份支付当年预算金额的尾款。第二年和第三年，每年3月底前支付当年预算金额的40%，余款支付条件同第一年。如出现因整改而产生的需扣除供应商应付款时，在当期支付时予以扣除</w:t>
            </w:r>
            <w:r>
              <w:rPr>
                <w:rFonts w:hint="default" w:ascii="Times New Roman" w:hAnsi="Times New Roman" w:eastAsia="宋体" w:cs="Times New Roman"/>
                <w:color w:val="auto"/>
                <w:kern w:val="2"/>
                <w:sz w:val="21"/>
                <w:szCs w:val="21"/>
                <w:highlight w:val="none"/>
                <w:lang w:val="en-US" w:eastAsia="zh-CN" w:bidi="ar-SA"/>
              </w:rPr>
              <w:t>。</w:t>
            </w:r>
          </w:p>
        </w:tc>
      </w:tr>
    </w:tbl>
    <w:p w14:paraId="29113924">
      <w:pPr>
        <w:widowControl w:val="0"/>
        <w:snapToGrid w:val="0"/>
        <w:spacing w:beforeLines="0" w:afterLines="0" w:line="360" w:lineRule="auto"/>
        <w:jc w:val="both"/>
        <w:outlineLvl w:val="0"/>
        <w:rPr>
          <w:rFonts w:hint="default" w:ascii="Times New Roman" w:hAnsi="Times New Roman" w:eastAsia="宋体" w:cs="Times New Roman"/>
          <w:b/>
          <w:color w:val="auto"/>
          <w:kern w:val="2"/>
          <w:sz w:val="21"/>
          <w:highlight w:val="none"/>
          <w:lang w:val="en-US" w:eastAsia="zh-CN" w:bidi="ar-SA"/>
        </w:rPr>
      </w:pPr>
    </w:p>
    <w:p w14:paraId="14C8F73A">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jc w:val="both"/>
        <w:textAlignment w:val="auto"/>
        <w:outlineLvl w:val="0"/>
        <w:rPr>
          <w:rFonts w:hint="default" w:ascii="Times New Roman" w:hAnsi="Times New Roman" w:eastAsia="宋体" w:cs="Times New Roman"/>
          <w:b/>
          <w:color w:val="auto"/>
          <w:kern w:val="2"/>
          <w:sz w:val="21"/>
          <w:highlight w:val="none"/>
          <w:lang w:val="en-US" w:eastAsia="zh-CN" w:bidi="ar-SA"/>
        </w:rPr>
      </w:pPr>
      <w:r>
        <w:rPr>
          <w:rFonts w:hint="default" w:ascii="Times New Roman" w:hAnsi="Times New Roman" w:eastAsia="宋体" w:cs="Times New Roman"/>
          <w:b/>
          <w:color w:val="auto"/>
          <w:kern w:val="2"/>
          <w:sz w:val="21"/>
          <w:highlight w:val="none"/>
          <w:lang w:val="en-US" w:eastAsia="zh-CN" w:bidi="ar-SA"/>
        </w:rPr>
        <w:t>九、与本项目有关的文件</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7173"/>
        <w:gridCol w:w="927"/>
      </w:tblGrid>
      <w:tr w14:paraId="09066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1503CE39">
            <w:pPr>
              <w:snapToGrid w:val="0"/>
              <w:spacing w:before="120" w:beforeLines="50" w:after="120" w:afterLines="5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7173" w:type="dxa"/>
            <w:tcBorders>
              <w:top w:val="single" w:color="auto" w:sz="4" w:space="0"/>
              <w:left w:val="single" w:color="auto" w:sz="4" w:space="0"/>
              <w:bottom w:val="single" w:color="auto" w:sz="4" w:space="0"/>
              <w:right w:val="single" w:color="auto" w:sz="4" w:space="0"/>
            </w:tcBorders>
            <w:noWrap w:val="0"/>
            <w:vAlign w:val="center"/>
          </w:tcPr>
          <w:p w14:paraId="6DAE5700">
            <w:pPr>
              <w:snapToGrid w:val="0"/>
              <w:spacing w:before="120" w:beforeLines="50" w:after="120" w:afterLines="5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文件名</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3FCF6FCE">
            <w:pPr>
              <w:snapToGrid w:val="0"/>
              <w:spacing w:before="120" w:beforeLines="50" w:after="120" w:afterLines="5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编号</w:t>
            </w:r>
          </w:p>
        </w:tc>
      </w:tr>
      <w:tr w14:paraId="3C7D8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2104EB29">
            <w:pPr>
              <w:snapToGrid w:val="0"/>
              <w:spacing w:before="120" w:beforeLines="50" w:after="120" w:afterLines="5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173" w:type="dxa"/>
            <w:tcBorders>
              <w:top w:val="single" w:color="auto" w:sz="4" w:space="0"/>
              <w:left w:val="single" w:color="auto" w:sz="4" w:space="0"/>
              <w:bottom w:val="single" w:color="auto" w:sz="4" w:space="0"/>
              <w:right w:val="single" w:color="auto" w:sz="4" w:space="0"/>
            </w:tcBorders>
            <w:noWrap w:val="0"/>
            <w:vAlign w:val="center"/>
          </w:tcPr>
          <w:p w14:paraId="08142697">
            <w:pPr>
              <w:snapToGrid w:val="0"/>
              <w:spacing w:before="120" w:beforeLines="50" w:after="120" w:afterLines="5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《中华人民共和国国家标准》（GB／[T27770－27773]—2011〔鼠、蚊、蝇、蟑螂〕）</w:t>
            </w:r>
            <w:r>
              <w:rPr>
                <w:rFonts w:hint="default" w:ascii="Times New Roman" w:hAnsi="Times New Roman" w:eastAsia="宋体" w:cs="Times New Roman"/>
                <w:color w:val="auto"/>
                <w:sz w:val="21"/>
                <w:szCs w:val="21"/>
                <w:highlight w:val="none"/>
                <w:lang w:eastAsia="zh-CN"/>
              </w:rPr>
              <w:t>摘要。</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088D1EAF">
            <w:pPr>
              <w:snapToGrid w:val="0"/>
              <w:spacing w:before="120" w:beforeLines="50" w:after="120" w:afterLines="5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附件1</w:t>
            </w:r>
          </w:p>
        </w:tc>
      </w:tr>
      <w:tr w14:paraId="27F6C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6F5794EA">
            <w:pPr>
              <w:snapToGrid w:val="0"/>
              <w:spacing w:before="120" w:beforeLines="50" w:after="120" w:afterLines="5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7173" w:type="dxa"/>
            <w:tcBorders>
              <w:top w:val="single" w:color="auto" w:sz="4" w:space="0"/>
              <w:left w:val="single" w:color="auto" w:sz="4" w:space="0"/>
              <w:bottom w:val="single" w:color="auto" w:sz="4" w:space="0"/>
              <w:right w:val="single" w:color="auto" w:sz="4" w:space="0"/>
            </w:tcBorders>
            <w:noWrap w:val="0"/>
            <w:vAlign w:val="center"/>
          </w:tcPr>
          <w:p w14:paraId="6DD6FACB">
            <w:pPr>
              <w:snapToGrid w:val="0"/>
              <w:spacing w:before="120" w:beforeLines="50" w:after="120" w:afterLines="5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病媒生物防制消杀服务日常检查记录表</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5F35B5AC">
            <w:pPr>
              <w:snapToGrid w:val="0"/>
              <w:spacing w:before="120" w:beforeLines="50" w:after="120" w:afterLines="5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附件2</w:t>
            </w:r>
          </w:p>
        </w:tc>
      </w:tr>
      <w:tr w14:paraId="3C6E9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3AEC0493">
            <w:pPr>
              <w:snapToGrid w:val="0"/>
              <w:spacing w:before="120" w:beforeLines="50" w:after="120" w:afterLines="5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7173" w:type="dxa"/>
            <w:tcBorders>
              <w:top w:val="single" w:color="auto" w:sz="4" w:space="0"/>
              <w:left w:val="single" w:color="auto" w:sz="4" w:space="0"/>
              <w:bottom w:val="single" w:color="auto" w:sz="4" w:space="0"/>
              <w:right w:val="single" w:color="auto" w:sz="4" w:space="0"/>
            </w:tcBorders>
            <w:noWrap w:val="0"/>
            <w:vAlign w:val="center"/>
          </w:tcPr>
          <w:p w14:paraId="4E265FA1">
            <w:pPr>
              <w:snapToGrid w:val="0"/>
              <w:spacing w:before="120" w:beforeLines="50" w:after="120" w:afterLines="5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eastAsia="zh-CN"/>
              </w:rPr>
              <w:t>病媒生物防制消杀服务检查考核质量报告</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6D12AB40">
            <w:pPr>
              <w:snapToGrid w:val="0"/>
              <w:spacing w:before="120" w:beforeLines="50" w:after="120" w:afterLines="5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附件3</w:t>
            </w:r>
          </w:p>
        </w:tc>
      </w:tr>
      <w:tr w14:paraId="00EC0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337F7D13">
            <w:pPr>
              <w:snapToGrid w:val="0"/>
              <w:spacing w:before="120" w:beforeLines="50" w:after="120" w:afterLines="5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7173" w:type="dxa"/>
            <w:tcBorders>
              <w:top w:val="single" w:color="auto" w:sz="4" w:space="0"/>
              <w:left w:val="single" w:color="auto" w:sz="4" w:space="0"/>
              <w:bottom w:val="single" w:color="auto" w:sz="4" w:space="0"/>
              <w:right w:val="single" w:color="auto" w:sz="4" w:space="0"/>
            </w:tcBorders>
            <w:noWrap w:val="0"/>
            <w:vAlign w:val="center"/>
          </w:tcPr>
          <w:p w14:paraId="0B8400EE">
            <w:pPr>
              <w:snapToGrid w:val="0"/>
              <w:spacing w:before="120" w:beforeLines="50" w:after="120" w:afterLines="50" w:line="36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eastAsia="zh-CN"/>
              </w:rPr>
              <w:t>病媒生物防制消杀服务</w:t>
            </w:r>
            <w:r>
              <w:rPr>
                <w:rFonts w:hint="default" w:ascii="Times New Roman" w:hAnsi="Times New Roman" w:eastAsia="宋体" w:cs="Times New Roman"/>
                <w:color w:val="auto"/>
                <w:sz w:val="21"/>
                <w:szCs w:val="21"/>
                <w:highlight w:val="none"/>
              </w:rPr>
              <w:t>群众满意度调查表</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2BF0C350">
            <w:pPr>
              <w:snapToGrid w:val="0"/>
              <w:spacing w:before="120" w:beforeLines="50" w:after="120" w:afterLines="5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附件</w:t>
            </w:r>
            <w:r>
              <w:rPr>
                <w:rFonts w:hint="default" w:ascii="Times New Roman" w:hAnsi="Times New Roman" w:eastAsia="宋体" w:cs="Times New Roman"/>
                <w:color w:val="auto"/>
                <w:sz w:val="21"/>
                <w:szCs w:val="21"/>
                <w:highlight w:val="none"/>
                <w:lang w:val="en-US" w:eastAsia="zh-CN"/>
              </w:rPr>
              <w:t>4</w:t>
            </w:r>
          </w:p>
        </w:tc>
      </w:tr>
    </w:tbl>
    <w:p w14:paraId="091CE3F1">
      <w:pPr>
        <w:rPr>
          <w:rFonts w:hint="default" w:ascii="Times New Roman" w:hAnsi="Times New Roman" w:eastAsia="宋体" w:cs="Times New Roman"/>
          <w:b/>
          <w:bCs/>
          <w:color w:val="auto"/>
          <w:highlight w:val="none"/>
          <w:lang w:val="en-US" w:eastAsia="zh-CN"/>
        </w:rPr>
      </w:pPr>
    </w:p>
    <w:p w14:paraId="636F7B23">
      <w:pPr>
        <w:rPr>
          <w:rFonts w:hint="default" w:ascii="Times New Roman" w:hAnsi="Times New Roman" w:eastAsia="宋体" w:cs="Times New Roman"/>
          <w:b/>
          <w:bCs/>
          <w:color w:val="auto"/>
          <w:highlight w:val="none"/>
          <w:lang w:val="en-US" w:eastAsia="zh-CN"/>
        </w:rPr>
      </w:pPr>
    </w:p>
    <w:p w14:paraId="654025B5">
      <w:pPr>
        <w:rPr>
          <w:rFonts w:hint="default" w:ascii="Times New Roman" w:hAnsi="Times New Roman" w:eastAsia="宋体" w:cs="Times New Roman"/>
          <w:b/>
          <w:bCs/>
          <w:color w:val="auto"/>
          <w:highlight w:val="none"/>
          <w:lang w:val="en-US" w:eastAsia="zh-CN"/>
        </w:rPr>
      </w:pPr>
    </w:p>
    <w:p w14:paraId="22679897">
      <w:pPr>
        <w:rPr>
          <w:rFonts w:hint="default" w:ascii="Times New Roman" w:hAnsi="Times New Roman" w:eastAsia="宋体" w:cs="Times New Roman"/>
          <w:b/>
          <w:bCs/>
          <w:color w:val="auto"/>
          <w:highlight w:val="none"/>
          <w:lang w:val="en-US" w:eastAsia="zh-CN"/>
        </w:rPr>
      </w:pPr>
    </w:p>
    <w:p w14:paraId="0927A547">
      <w:pPr>
        <w:rPr>
          <w:rFonts w:hint="default" w:ascii="Times New Roman" w:hAnsi="Times New Roman" w:eastAsia="宋体" w:cs="Times New Roman"/>
          <w:b/>
          <w:bCs/>
          <w:color w:val="auto"/>
          <w:highlight w:val="none"/>
          <w:lang w:val="en-US" w:eastAsia="zh-CN"/>
        </w:rPr>
      </w:pPr>
    </w:p>
    <w:p w14:paraId="0C2BEF5E">
      <w:pPr>
        <w:rPr>
          <w:rFonts w:hint="default" w:ascii="Times New Roman" w:hAnsi="Times New Roman" w:eastAsia="宋体" w:cs="Times New Roman"/>
          <w:b/>
          <w:bCs/>
          <w:color w:val="auto"/>
          <w:highlight w:val="none"/>
          <w:lang w:val="en-US" w:eastAsia="zh-CN"/>
        </w:rPr>
      </w:pPr>
    </w:p>
    <w:p w14:paraId="78AA8153">
      <w:pPr>
        <w:rPr>
          <w:rFonts w:hint="default" w:ascii="Times New Roman" w:hAnsi="Times New Roman" w:eastAsia="宋体" w:cs="Times New Roman"/>
          <w:b/>
          <w:bCs/>
          <w:color w:val="auto"/>
          <w:highlight w:val="none"/>
          <w:lang w:val="en-US" w:eastAsia="zh-CN"/>
        </w:rPr>
      </w:pPr>
    </w:p>
    <w:p w14:paraId="7A8AABCB">
      <w:pPr>
        <w:rPr>
          <w:rFonts w:hint="default" w:ascii="Times New Roman" w:hAnsi="Times New Roman" w:eastAsia="宋体" w:cs="Times New Roman"/>
          <w:b/>
          <w:bCs/>
          <w:color w:val="auto"/>
          <w:highlight w:val="none"/>
          <w:lang w:val="en-US" w:eastAsia="zh-CN"/>
        </w:rPr>
      </w:pPr>
    </w:p>
    <w:p w14:paraId="6CDDEFEF">
      <w:pPr>
        <w:rPr>
          <w:rFonts w:hint="default" w:ascii="Times New Roman" w:hAnsi="Times New Roman" w:eastAsia="宋体" w:cs="Times New Roman"/>
          <w:b/>
          <w:bCs/>
          <w:color w:val="auto"/>
          <w:highlight w:val="none"/>
          <w:lang w:val="en-US" w:eastAsia="zh-CN"/>
        </w:rPr>
      </w:pPr>
    </w:p>
    <w:p w14:paraId="3529C471">
      <w:pPr>
        <w:rPr>
          <w:rFonts w:hint="default" w:ascii="Times New Roman" w:hAnsi="Times New Roman" w:eastAsia="宋体" w:cs="Times New Roman"/>
          <w:b/>
          <w:bCs/>
          <w:color w:val="auto"/>
          <w:highlight w:val="none"/>
          <w:lang w:val="en-US" w:eastAsia="zh-CN"/>
        </w:rPr>
      </w:pPr>
    </w:p>
    <w:p w14:paraId="377038CD">
      <w:pPr>
        <w:rPr>
          <w:rFonts w:hint="default" w:ascii="Times New Roman" w:hAnsi="Times New Roman" w:eastAsia="宋体" w:cs="Times New Roman"/>
          <w:b/>
          <w:bCs/>
          <w:color w:val="auto"/>
          <w:highlight w:val="none"/>
          <w:lang w:val="en-US" w:eastAsia="zh-CN"/>
        </w:rPr>
      </w:pPr>
    </w:p>
    <w:p w14:paraId="1A41AE71">
      <w:pPr>
        <w:rPr>
          <w:rFonts w:hint="default" w:ascii="Times New Roman" w:hAnsi="Times New Roman" w:eastAsia="宋体" w:cs="Times New Roman"/>
          <w:b/>
          <w:bCs/>
          <w:color w:val="auto"/>
          <w:highlight w:val="none"/>
          <w:lang w:val="en-US" w:eastAsia="zh-CN"/>
        </w:rPr>
      </w:pPr>
    </w:p>
    <w:p w14:paraId="692590F0">
      <w:pPr>
        <w:rPr>
          <w:rFonts w:hint="default" w:ascii="Times New Roman" w:hAnsi="Times New Roman" w:eastAsia="宋体" w:cs="Times New Roman"/>
          <w:b/>
          <w:bCs/>
          <w:color w:val="auto"/>
          <w:highlight w:val="none"/>
          <w:lang w:val="en-US" w:eastAsia="zh-CN"/>
        </w:rPr>
      </w:pPr>
    </w:p>
    <w:p w14:paraId="7F49F873">
      <w:pPr>
        <w:rPr>
          <w:rFonts w:hint="default" w:ascii="Times New Roman" w:hAnsi="Times New Roman" w:eastAsia="宋体" w:cs="Times New Roman"/>
          <w:b/>
          <w:bCs/>
          <w:color w:val="auto"/>
          <w:highlight w:val="none"/>
          <w:lang w:val="en-US" w:eastAsia="zh-CN"/>
        </w:rPr>
      </w:pPr>
    </w:p>
    <w:p w14:paraId="1B0F27E9">
      <w:pPr>
        <w:rPr>
          <w:rFonts w:hint="default" w:ascii="Times New Roman" w:hAnsi="Times New Roman" w:eastAsia="宋体" w:cs="Times New Roman"/>
          <w:b/>
          <w:bCs/>
          <w:color w:val="auto"/>
          <w:highlight w:val="none"/>
          <w:lang w:val="en-US" w:eastAsia="zh-CN"/>
        </w:rPr>
      </w:pPr>
    </w:p>
    <w:p w14:paraId="2842D6DF">
      <w:pPr>
        <w:rPr>
          <w:rFonts w:hint="default" w:ascii="Times New Roman" w:hAnsi="Times New Roman" w:eastAsia="宋体" w:cs="Times New Roman"/>
          <w:b/>
          <w:bCs/>
          <w:color w:val="auto"/>
          <w:highlight w:val="none"/>
          <w:lang w:val="en-US" w:eastAsia="zh-CN"/>
        </w:rPr>
      </w:pPr>
    </w:p>
    <w:p w14:paraId="6A44DA1C">
      <w:pPr>
        <w:rPr>
          <w:rFonts w:hint="default" w:ascii="Times New Roman" w:hAnsi="Times New Roman" w:eastAsia="宋体" w:cs="Times New Roman"/>
          <w:b/>
          <w:bCs/>
          <w:color w:val="auto"/>
          <w:highlight w:val="none"/>
          <w:lang w:val="en-US" w:eastAsia="zh-CN"/>
        </w:rPr>
      </w:pPr>
    </w:p>
    <w:p w14:paraId="7D59C78F">
      <w:pPr>
        <w:rPr>
          <w:rFonts w:hint="default" w:ascii="Times New Roman" w:hAnsi="Times New Roman" w:eastAsia="宋体" w:cs="Times New Roman"/>
          <w:b/>
          <w:bCs/>
          <w:color w:val="auto"/>
          <w:highlight w:val="none"/>
          <w:lang w:val="en-US" w:eastAsia="zh-CN"/>
        </w:rPr>
      </w:pPr>
    </w:p>
    <w:p w14:paraId="39C968B2">
      <w:pPr>
        <w:rPr>
          <w:rFonts w:hint="default" w:ascii="Times New Roman" w:hAnsi="Times New Roman" w:eastAsia="宋体" w:cs="Times New Roman"/>
          <w:b/>
          <w:bCs/>
          <w:color w:val="auto"/>
          <w:highlight w:val="none"/>
          <w:lang w:val="en-US" w:eastAsia="zh-CN"/>
        </w:rPr>
      </w:pPr>
    </w:p>
    <w:p w14:paraId="2141B3CD">
      <w:pPr>
        <w:rPr>
          <w:rFonts w:hint="default" w:ascii="Times New Roman" w:hAnsi="Times New Roman" w:eastAsia="宋体" w:cs="Times New Roman"/>
          <w:b/>
          <w:bCs/>
          <w:color w:val="auto"/>
          <w:highlight w:val="none"/>
          <w:lang w:val="en-US" w:eastAsia="zh-CN"/>
        </w:rPr>
      </w:pPr>
    </w:p>
    <w:p w14:paraId="53341FE4">
      <w:pPr>
        <w:rPr>
          <w:rFonts w:hint="default" w:ascii="Times New Roman" w:hAnsi="Times New Roman" w:eastAsia="宋体" w:cs="Times New Roman"/>
          <w:b/>
          <w:bCs/>
          <w:color w:val="auto"/>
          <w:highlight w:val="none"/>
          <w:lang w:val="en-US" w:eastAsia="zh-CN"/>
        </w:rPr>
      </w:pPr>
    </w:p>
    <w:p w14:paraId="4209AA80">
      <w:pPr>
        <w:rPr>
          <w:rFonts w:hint="default" w:ascii="Times New Roman" w:hAnsi="Times New Roman" w:eastAsia="宋体" w:cs="Times New Roman"/>
          <w:b/>
          <w:bCs/>
          <w:color w:val="auto"/>
          <w:highlight w:val="none"/>
          <w:lang w:val="en-US" w:eastAsia="zh-CN"/>
        </w:rPr>
      </w:pPr>
    </w:p>
    <w:p w14:paraId="3DC31CF0">
      <w:pPr>
        <w:rPr>
          <w:rFonts w:hint="default" w:ascii="Times New Roman" w:hAnsi="Times New Roman" w:eastAsia="宋体" w:cs="Times New Roman"/>
          <w:b/>
          <w:bCs/>
          <w:color w:val="auto"/>
          <w:highlight w:val="none"/>
          <w:lang w:val="en-US" w:eastAsia="zh-CN"/>
        </w:rPr>
      </w:pPr>
    </w:p>
    <w:p w14:paraId="047D5885">
      <w:pPr>
        <w:rPr>
          <w:rFonts w:hint="default" w:ascii="Times New Roman" w:hAnsi="Times New Roman" w:eastAsia="宋体" w:cs="Times New Roman"/>
          <w:b/>
          <w:bCs/>
          <w:color w:val="auto"/>
          <w:highlight w:val="none"/>
          <w:lang w:val="en-US" w:eastAsia="zh-CN"/>
        </w:rPr>
      </w:pPr>
    </w:p>
    <w:p w14:paraId="229C6415">
      <w:pPr>
        <w:rPr>
          <w:rFonts w:hint="default" w:ascii="Times New Roman" w:hAnsi="Times New Roman" w:eastAsia="宋体" w:cs="Times New Roman"/>
          <w:b/>
          <w:bCs/>
          <w:color w:val="auto"/>
          <w:highlight w:val="none"/>
          <w:lang w:val="en-US" w:eastAsia="zh-CN"/>
        </w:rPr>
      </w:pPr>
    </w:p>
    <w:p w14:paraId="3B8AB78F">
      <w:pPr>
        <w:rPr>
          <w:rFonts w:hint="default" w:ascii="Times New Roman" w:hAnsi="Times New Roman" w:eastAsia="宋体" w:cs="Times New Roman"/>
          <w:b/>
          <w:bCs/>
          <w:color w:val="auto"/>
          <w:highlight w:val="none"/>
          <w:lang w:val="en-US" w:eastAsia="zh-CN"/>
        </w:rPr>
      </w:pPr>
    </w:p>
    <w:p w14:paraId="2CF101D2">
      <w:pPr>
        <w:rPr>
          <w:rFonts w:hint="default" w:ascii="Times New Roman" w:hAnsi="Times New Roman" w:eastAsia="宋体" w:cs="Times New Roman"/>
          <w:b/>
          <w:bCs/>
          <w:color w:val="auto"/>
          <w:highlight w:val="none"/>
          <w:lang w:val="en-US" w:eastAsia="zh-CN"/>
        </w:rPr>
      </w:pPr>
    </w:p>
    <w:p w14:paraId="2B21A888">
      <w:pPr>
        <w:rPr>
          <w:rFonts w:hint="default" w:ascii="Times New Roman" w:hAnsi="Times New Roman" w:eastAsia="宋体" w:cs="Times New Roman"/>
          <w:b/>
          <w:bCs/>
          <w:color w:val="auto"/>
          <w:highlight w:val="none"/>
          <w:lang w:val="en-US" w:eastAsia="zh-CN"/>
        </w:rPr>
      </w:pPr>
    </w:p>
    <w:p w14:paraId="42B4989C">
      <w:pPr>
        <w:rPr>
          <w:rFonts w:hint="default" w:ascii="Times New Roman" w:hAnsi="Times New Roman" w:eastAsia="宋体" w:cs="Times New Roman"/>
          <w:b/>
          <w:bCs/>
          <w:color w:val="auto"/>
          <w:highlight w:val="none"/>
          <w:lang w:val="en-US" w:eastAsia="zh-CN"/>
        </w:rPr>
      </w:pPr>
    </w:p>
    <w:p w14:paraId="6E024CF2">
      <w:pPr>
        <w:rPr>
          <w:rFonts w:hint="default" w:ascii="Times New Roman" w:hAnsi="Times New Roman" w:eastAsia="宋体" w:cs="Times New Roman"/>
          <w:b/>
          <w:bCs/>
          <w:color w:val="auto"/>
          <w:highlight w:val="none"/>
          <w:lang w:val="en-US" w:eastAsia="zh-CN"/>
        </w:rPr>
      </w:pPr>
    </w:p>
    <w:p w14:paraId="5987B6D2">
      <w:pPr>
        <w:rPr>
          <w:rFonts w:hint="default" w:ascii="Times New Roman" w:hAnsi="Times New Roman" w:eastAsia="宋体" w:cs="Times New Roman"/>
          <w:b/>
          <w:bCs/>
          <w:color w:val="auto"/>
          <w:highlight w:val="none"/>
          <w:lang w:val="en-US" w:eastAsia="zh-CN"/>
        </w:rPr>
      </w:pPr>
    </w:p>
    <w:p w14:paraId="69DF288C">
      <w:pPr>
        <w:rPr>
          <w:rFonts w:hint="default" w:ascii="Times New Roman" w:hAnsi="Times New Roman" w:eastAsia="宋体" w:cs="Times New Roman"/>
          <w:b/>
          <w:bCs/>
          <w:color w:val="auto"/>
          <w:highlight w:val="none"/>
          <w:lang w:val="en-US" w:eastAsia="zh-CN"/>
        </w:rPr>
      </w:pPr>
    </w:p>
    <w:p w14:paraId="5E14449B">
      <w:pPr>
        <w:pStyle w:val="3"/>
        <w:rPr>
          <w:rFonts w:hint="default" w:ascii="Times New Roman" w:hAnsi="Times New Roman" w:eastAsia="宋体" w:cs="Times New Roman"/>
          <w:b/>
          <w:bCs/>
          <w:color w:val="auto"/>
          <w:highlight w:val="none"/>
          <w:lang w:val="en-US" w:eastAsia="zh-CN"/>
        </w:rPr>
      </w:pPr>
    </w:p>
    <w:p w14:paraId="07B7ABC0">
      <w:pPr>
        <w:pStyle w:val="2"/>
        <w:rPr>
          <w:rFonts w:hint="default" w:ascii="Times New Roman" w:hAnsi="Times New Roman" w:cs="Times New Roman"/>
          <w:highlight w:val="none"/>
          <w:lang w:val="en-US" w:eastAsia="zh-CN"/>
        </w:rPr>
      </w:pPr>
    </w:p>
    <w:p w14:paraId="0B87260F">
      <w:pPr>
        <w:rPr>
          <w:rFonts w:hint="default" w:ascii="Times New Roman" w:hAnsi="Times New Roman" w:cs="Times New Roman"/>
          <w:highlight w:val="none"/>
          <w:lang w:val="en-US" w:eastAsia="zh-CN"/>
        </w:rPr>
      </w:pPr>
    </w:p>
    <w:p w14:paraId="4415E76D">
      <w:pPr>
        <w:pStyle w:val="3"/>
        <w:rPr>
          <w:rFonts w:hint="default"/>
          <w:highlight w:val="none"/>
          <w:lang w:val="en-US" w:eastAsia="zh-CN"/>
        </w:rPr>
      </w:pPr>
    </w:p>
    <w:p w14:paraId="1499A7CD">
      <w:pPr>
        <w:rPr>
          <w:rFonts w:hint="default" w:ascii="Times New Roman" w:hAnsi="Times New Roman" w:eastAsia="宋体" w:cs="Times New Roman"/>
          <w:b/>
          <w:bCs/>
          <w:color w:val="auto"/>
          <w:highlight w:val="none"/>
          <w:lang w:val="en-US" w:eastAsia="zh-CN"/>
        </w:rPr>
      </w:pPr>
    </w:p>
    <w:p w14:paraId="025EAFE4">
      <w:pP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附件1：</w:t>
      </w:r>
    </w:p>
    <w:p w14:paraId="6BB153EF">
      <w:pPr>
        <w:widowControl w:val="0"/>
        <w:snapToGrid w:val="0"/>
        <w:spacing w:before="120" w:after="120" w:line="360" w:lineRule="auto"/>
        <w:ind w:left="357" w:hanging="357" w:hangingChars="170"/>
        <w:jc w:val="both"/>
        <w:rPr>
          <w:rFonts w:hint="default" w:ascii="Times New Roman" w:hAnsi="Times New Roman" w:eastAsia="宋体" w:cs="Times New Roman"/>
          <w:color w:val="auto"/>
          <w:kern w:val="2"/>
          <w:sz w:val="21"/>
          <w:szCs w:val="21"/>
          <w:highlight w:val="none"/>
          <w:lang w:val="en-US" w:eastAsia="zh-CN" w:bidi="ar-SA"/>
        </w:rPr>
      </w:pPr>
    </w:p>
    <w:p w14:paraId="680D6105">
      <w:pPr>
        <w:widowControl w:val="0"/>
        <w:snapToGrid w:val="0"/>
        <w:spacing w:before="120" w:after="120" w:line="360" w:lineRule="auto"/>
        <w:ind w:left="357" w:hanging="357" w:hangingChars="170"/>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《中华人民共和国国家标准》（GB／[T27770－27773]—2011〔鼠、蚊、蝇、蟑螂〕）摘要：</w:t>
      </w:r>
    </w:p>
    <w:p w14:paraId="3AE31C01">
      <w:pPr>
        <w:widowControl w:val="0"/>
        <w:snapToGrid w:val="0"/>
        <w:spacing w:before="120" w:after="120" w:line="360" w:lineRule="auto"/>
        <w:ind w:left="357" w:hanging="357" w:hangingChars="170"/>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 xml:space="preserve">   1、鼠密度控制水平B级</w:t>
      </w:r>
    </w:p>
    <w:p w14:paraId="1C71E771">
      <w:pPr>
        <w:widowControl w:val="0"/>
        <w:snapToGrid w:val="0"/>
        <w:spacing w:before="120" w:after="120" w:line="360" w:lineRule="auto"/>
        <w:ind w:left="357" w:hanging="357" w:hangingChars="170"/>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 xml:space="preserve">    外环境鼠路径指数≤3。</w:t>
      </w:r>
    </w:p>
    <w:p w14:paraId="665B685A">
      <w:pPr>
        <w:widowControl w:val="0"/>
        <w:snapToGrid w:val="0"/>
        <w:spacing w:before="120" w:after="120" w:line="360" w:lineRule="auto"/>
        <w:ind w:left="357" w:hanging="357" w:hangingChars="170"/>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 xml:space="preserve">   2、蚊虫密度控制水平B级</w:t>
      </w:r>
    </w:p>
    <w:p w14:paraId="1AD77017">
      <w:pPr>
        <w:widowControl w:val="0"/>
        <w:snapToGrid w:val="0"/>
        <w:spacing w:before="120" w:after="120" w:line="360" w:lineRule="auto"/>
        <w:ind w:left="357" w:hanging="357" w:hangingChars="170"/>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 xml:space="preserve">   小型积水蚊虫路径指数≤0.5；大中型水体蚊虫采样勺指数≤3%，平均每阳性勺少于5只蚊幼虫和蛹；外环境蚊虫停落指数≤1.0。</w:t>
      </w:r>
    </w:p>
    <w:p w14:paraId="6C575785">
      <w:pPr>
        <w:widowControl w:val="0"/>
        <w:snapToGrid w:val="0"/>
        <w:spacing w:before="120" w:after="120" w:line="360" w:lineRule="auto"/>
        <w:ind w:left="357" w:hanging="357" w:hangingChars="170"/>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 xml:space="preserve">   3、蝇密度控制水平B级</w:t>
      </w:r>
    </w:p>
    <w:p w14:paraId="56F0B6D0">
      <w:pPr>
        <w:widowControl w:val="0"/>
        <w:snapToGrid w:val="0"/>
        <w:spacing w:before="120" w:after="120" w:line="360" w:lineRule="auto"/>
        <w:ind w:left="357" w:hanging="357" w:hangingChars="170"/>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 xml:space="preserve">   室外蝇类孳生地阳性率≤3%；</w:t>
      </w:r>
    </w:p>
    <w:p w14:paraId="3C7E0BB7">
      <w:pPr>
        <w:widowControl w:val="0"/>
        <w:snapToGrid w:val="0"/>
        <w:spacing w:before="120" w:after="120" w:line="360" w:lineRule="auto"/>
        <w:ind w:left="357" w:hanging="357" w:hangingChars="170"/>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　 4、蟑螂密度控制水平B级</w:t>
      </w:r>
    </w:p>
    <w:p w14:paraId="67035B45">
      <w:pPr>
        <w:widowControl w:val="0"/>
        <w:snapToGrid w:val="0"/>
        <w:spacing w:before="120" w:after="120" w:line="360" w:lineRule="auto"/>
        <w:ind w:left="357" w:hanging="357" w:hangingChars="170"/>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 xml:space="preserve">   蟑螂成若虫侵害率≤3%；蟑螂卵鞘查获率≤2%；蟑迹查获率≤5%。   </w:t>
      </w:r>
    </w:p>
    <w:p w14:paraId="41F6B5AB">
      <w:pPr>
        <w:widowControl w:val="0"/>
        <w:snapToGrid w:val="0"/>
        <w:spacing w:before="120" w:after="120" w:line="360" w:lineRule="auto"/>
        <w:ind w:left="357" w:hanging="357" w:hangingChars="170"/>
        <w:jc w:val="both"/>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　</w:t>
      </w:r>
    </w:p>
    <w:p w14:paraId="5ACBB32E">
      <w:pPr>
        <w:widowControl/>
        <w:rPr>
          <w:rFonts w:hint="default" w:ascii="Times New Roman" w:hAnsi="Times New Roman" w:eastAsia="宋体" w:cs="Times New Roman"/>
          <w:b/>
          <w:color w:val="auto"/>
          <w:sz w:val="28"/>
          <w:szCs w:val="28"/>
          <w:highlight w:val="none"/>
        </w:rPr>
      </w:pPr>
    </w:p>
    <w:p w14:paraId="0F882816">
      <w:pPr>
        <w:snapToGrid w:val="0"/>
        <w:rPr>
          <w:rFonts w:hint="default" w:ascii="Times New Roman" w:hAnsi="Times New Roman" w:eastAsia="黑体" w:cs="Times New Roman"/>
          <w:color w:val="auto"/>
          <w:sz w:val="30"/>
          <w:szCs w:val="30"/>
          <w:highlight w:val="none"/>
        </w:rPr>
      </w:pPr>
    </w:p>
    <w:p w14:paraId="02B9CB09">
      <w:pPr>
        <w:snapToGrid w:val="0"/>
        <w:rPr>
          <w:rFonts w:hint="default" w:ascii="Times New Roman" w:hAnsi="Times New Roman" w:eastAsia="黑体" w:cs="Times New Roman"/>
          <w:color w:val="auto"/>
          <w:sz w:val="30"/>
          <w:szCs w:val="30"/>
          <w:highlight w:val="none"/>
        </w:rPr>
      </w:pPr>
    </w:p>
    <w:p w14:paraId="46635154">
      <w:pPr>
        <w:snapToGrid w:val="0"/>
        <w:rPr>
          <w:rFonts w:hint="default" w:ascii="Times New Roman" w:hAnsi="Times New Roman" w:eastAsia="黑体" w:cs="Times New Roman"/>
          <w:color w:val="auto"/>
          <w:sz w:val="30"/>
          <w:szCs w:val="30"/>
          <w:highlight w:val="none"/>
        </w:rPr>
      </w:pPr>
    </w:p>
    <w:p w14:paraId="73D8AA5C">
      <w:pPr>
        <w:snapToGrid w:val="0"/>
        <w:rPr>
          <w:rFonts w:hint="default" w:ascii="Times New Roman" w:hAnsi="Times New Roman" w:eastAsia="黑体" w:cs="Times New Roman"/>
          <w:color w:val="auto"/>
          <w:sz w:val="30"/>
          <w:szCs w:val="30"/>
          <w:highlight w:val="none"/>
        </w:rPr>
        <w:sectPr>
          <w:footerReference r:id="rId8" w:type="first"/>
          <w:footerReference r:id="rId7" w:type="default"/>
          <w:pgSz w:w="11906" w:h="16838"/>
          <w:pgMar w:top="1134" w:right="1134" w:bottom="1134" w:left="1418" w:header="851" w:footer="850" w:gutter="0"/>
          <w:pgNumType w:fmt="decimal" w:start="1"/>
          <w:cols w:space="720" w:num="1"/>
          <w:rtlGutter w:val="0"/>
          <w:docGrid w:linePitch="312" w:charSpace="0"/>
        </w:sectPr>
      </w:pPr>
    </w:p>
    <w:p w14:paraId="643541EC">
      <w:pP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szCs w:val="21"/>
          <w:highlight w:val="none"/>
          <w:lang w:eastAsia="zh-CN"/>
        </w:rPr>
        <w:t>附</w:t>
      </w:r>
      <w:r>
        <w:rPr>
          <w:rFonts w:hint="default" w:ascii="Times New Roman" w:hAnsi="Times New Roman" w:eastAsia="宋体" w:cs="Times New Roman"/>
          <w:b/>
          <w:color w:val="auto"/>
          <w:szCs w:val="21"/>
          <w:highlight w:val="none"/>
        </w:rPr>
        <w:t>件</w:t>
      </w:r>
      <w:r>
        <w:rPr>
          <w:rFonts w:hint="default" w:ascii="Times New Roman" w:hAnsi="Times New Roman" w:eastAsia="宋体" w:cs="Times New Roman"/>
          <w:b/>
          <w:color w:val="auto"/>
          <w:szCs w:val="21"/>
          <w:highlight w:val="none"/>
          <w:lang w:val="en-US" w:eastAsia="zh-CN"/>
        </w:rPr>
        <w:t>2</w:t>
      </w:r>
    </w:p>
    <w:p w14:paraId="39E6690F">
      <w:pPr>
        <w:ind w:firstLine="1260" w:firstLineChars="600"/>
        <w:rPr>
          <w:rFonts w:hint="default" w:ascii="Times New Roman" w:hAnsi="Times New Roman" w:eastAsia="宋体" w:cs="Times New Roman"/>
          <w:color w:val="auto"/>
          <w:szCs w:val="21"/>
          <w:highlight w:val="none"/>
        </w:rPr>
      </w:pPr>
    </w:p>
    <w:p w14:paraId="1F25DEE8">
      <w:pPr>
        <w:spacing w:line="400" w:lineRule="exact"/>
        <w:jc w:val="center"/>
        <w:rPr>
          <w:rFonts w:hint="default" w:ascii="Times New Roman" w:hAnsi="Times New Roman" w:eastAsia="宋体" w:cs="Times New Roman"/>
          <w:b/>
          <w:color w:val="auto"/>
          <w:spacing w:val="30"/>
          <w:sz w:val="28"/>
          <w:highlight w:val="none"/>
        </w:rPr>
      </w:pPr>
    </w:p>
    <w:p w14:paraId="07AA859E">
      <w:pPr>
        <w:spacing w:line="400" w:lineRule="exact"/>
        <w:jc w:val="center"/>
        <w:rPr>
          <w:rFonts w:hint="default" w:ascii="Times New Roman" w:hAnsi="Times New Roman" w:eastAsia="宋体" w:cs="Times New Roman"/>
          <w:b/>
          <w:color w:val="auto"/>
          <w:spacing w:val="30"/>
          <w:sz w:val="28"/>
          <w:highlight w:val="none"/>
        </w:rPr>
      </w:pPr>
      <w:r>
        <w:rPr>
          <w:rFonts w:hint="default" w:ascii="Times New Roman" w:hAnsi="Times New Roman" w:eastAsia="宋体" w:cs="Times New Roman"/>
          <w:b/>
          <w:color w:val="auto"/>
          <w:spacing w:val="30"/>
          <w:sz w:val="28"/>
          <w:highlight w:val="none"/>
          <w:lang w:eastAsia="zh-CN"/>
        </w:rPr>
        <w:t>病媒生物防制消杀服务</w:t>
      </w:r>
      <w:r>
        <w:rPr>
          <w:rFonts w:hint="default" w:ascii="Times New Roman" w:hAnsi="Times New Roman" w:eastAsia="宋体" w:cs="Times New Roman"/>
          <w:b/>
          <w:color w:val="auto"/>
          <w:spacing w:val="30"/>
          <w:sz w:val="28"/>
          <w:highlight w:val="none"/>
        </w:rPr>
        <w:t>日常检查记录表</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56"/>
        <w:gridCol w:w="1005"/>
        <w:gridCol w:w="865"/>
        <w:gridCol w:w="1027"/>
        <w:gridCol w:w="1131"/>
        <w:gridCol w:w="1085"/>
        <w:gridCol w:w="1592"/>
        <w:gridCol w:w="1142"/>
        <w:gridCol w:w="946"/>
        <w:gridCol w:w="1039"/>
        <w:gridCol w:w="970"/>
        <w:gridCol w:w="869"/>
      </w:tblGrid>
      <w:tr w14:paraId="1032E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85A6357">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日期</w:t>
            </w:r>
          </w:p>
        </w:tc>
        <w:tc>
          <w:tcPr>
            <w:tcW w:w="1961" w:type="dxa"/>
            <w:gridSpan w:val="2"/>
            <w:tcBorders>
              <w:top w:val="single" w:color="auto" w:sz="4" w:space="0"/>
              <w:left w:val="single" w:color="auto" w:sz="4" w:space="0"/>
              <w:bottom w:val="single" w:color="auto" w:sz="4" w:space="0"/>
              <w:right w:val="single" w:color="auto" w:sz="4" w:space="0"/>
            </w:tcBorders>
            <w:noWrap w:val="0"/>
            <w:vAlign w:val="center"/>
          </w:tcPr>
          <w:p w14:paraId="41CCEEBB">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鼠</w:t>
            </w:r>
          </w:p>
        </w:tc>
        <w:tc>
          <w:tcPr>
            <w:tcW w:w="4108" w:type="dxa"/>
            <w:gridSpan w:val="4"/>
            <w:tcBorders>
              <w:top w:val="single" w:color="auto" w:sz="4" w:space="0"/>
              <w:left w:val="single" w:color="auto" w:sz="4" w:space="0"/>
              <w:bottom w:val="single" w:color="auto" w:sz="4" w:space="0"/>
              <w:right w:val="single" w:color="auto" w:sz="4" w:space="0"/>
            </w:tcBorders>
            <w:noWrap w:val="0"/>
            <w:vAlign w:val="center"/>
          </w:tcPr>
          <w:p w14:paraId="623AEDF3">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蚊</w:t>
            </w:r>
          </w:p>
        </w:tc>
        <w:tc>
          <w:tcPr>
            <w:tcW w:w="4719" w:type="dxa"/>
            <w:gridSpan w:val="4"/>
            <w:tcBorders>
              <w:top w:val="single" w:color="auto" w:sz="4" w:space="0"/>
              <w:left w:val="single" w:color="auto" w:sz="4" w:space="0"/>
              <w:bottom w:val="single" w:color="auto" w:sz="4" w:space="0"/>
              <w:right w:val="single" w:color="auto" w:sz="4" w:space="0"/>
            </w:tcBorders>
            <w:noWrap w:val="0"/>
            <w:vAlign w:val="center"/>
          </w:tcPr>
          <w:p w14:paraId="40D0714F">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蝇</w:t>
            </w:r>
          </w:p>
        </w:tc>
        <w:tc>
          <w:tcPr>
            <w:tcW w:w="1839" w:type="dxa"/>
            <w:gridSpan w:val="2"/>
            <w:tcBorders>
              <w:top w:val="single" w:color="auto" w:sz="4" w:space="0"/>
              <w:left w:val="single" w:color="auto" w:sz="4" w:space="0"/>
              <w:bottom w:val="single" w:color="auto" w:sz="4" w:space="0"/>
              <w:right w:val="single" w:color="auto" w:sz="4" w:space="0"/>
            </w:tcBorders>
            <w:noWrap w:val="0"/>
            <w:vAlign w:val="center"/>
          </w:tcPr>
          <w:p w14:paraId="723B2C1F">
            <w:pPr>
              <w:adjustRightInd w:val="0"/>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蟑螂</w:t>
            </w:r>
          </w:p>
        </w:tc>
      </w:tr>
      <w:tr w14:paraId="74DBE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9927890">
            <w:pPr>
              <w:widowControl/>
              <w:jc w:val="left"/>
              <w:rPr>
                <w:rFonts w:hint="default" w:ascii="Times New Roman" w:hAnsi="Times New Roman" w:eastAsia="宋体" w:cs="Times New Roman"/>
                <w:color w:val="auto"/>
                <w:szCs w:val="21"/>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5B6214EE">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阳性</w:t>
            </w:r>
          </w:p>
          <w:p w14:paraId="06349FAE">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情况</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65807548">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地点</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7A358D90">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成蚊</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0ABED5A2">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地点</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07AED6D">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孑孓孳生</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0228EC7A">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地点</w:t>
            </w:r>
          </w:p>
        </w:tc>
        <w:tc>
          <w:tcPr>
            <w:tcW w:w="1592" w:type="dxa"/>
            <w:tcBorders>
              <w:top w:val="single" w:color="auto" w:sz="4" w:space="0"/>
              <w:left w:val="single" w:color="auto" w:sz="4" w:space="0"/>
              <w:bottom w:val="single" w:color="auto" w:sz="4" w:space="0"/>
              <w:right w:val="single" w:color="auto" w:sz="4" w:space="0"/>
            </w:tcBorders>
            <w:noWrap w:val="0"/>
            <w:vAlign w:val="center"/>
          </w:tcPr>
          <w:p w14:paraId="6A2A628D">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成蝇</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4EA9AC1">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地点</w:t>
            </w:r>
          </w:p>
        </w:tc>
        <w:tc>
          <w:tcPr>
            <w:tcW w:w="946" w:type="dxa"/>
            <w:tcBorders>
              <w:top w:val="single" w:color="auto" w:sz="4" w:space="0"/>
              <w:left w:val="single" w:color="auto" w:sz="4" w:space="0"/>
              <w:bottom w:val="single" w:color="auto" w:sz="4" w:space="0"/>
              <w:right w:val="single" w:color="auto" w:sz="4" w:space="0"/>
            </w:tcBorders>
            <w:noWrap w:val="0"/>
            <w:vAlign w:val="center"/>
          </w:tcPr>
          <w:p w14:paraId="50078F3E">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蛆蛹孳生</w:t>
            </w:r>
          </w:p>
        </w:tc>
        <w:tc>
          <w:tcPr>
            <w:tcW w:w="1039" w:type="dxa"/>
            <w:tcBorders>
              <w:top w:val="single" w:color="auto" w:sz="4" w:space="0"/>
              <w:left w:val="single" w:color="auto" w:sz="4" w:space="0"/>
              <w:bottom w:val="single" w:color="auto" w:sz="4" w:space="0"/>
              <w:right w:val="single" w:color="auto" w:sz="4" w:space="0"/>
            </w:tcBorders>
            <w:noWrap w:val="0"/>
            <w:vAlign w:val="center"/>
          </w:tcPr>
          <w:p w14:paraId="64AA2CD8">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地点</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0C31ED84">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阳性</w:t>
            </w:r>
          </w:p>
          <w:p w14:paraId="141451B5">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情况</w:t>
            </w:r>
          </w:p>
        </w:tc>
        <w:tc>
          <w:tcPr>
            <w:tcW w:w="869" w:type="dxa"/>
            <w:tcBorders>
              <w:top w:val="single" w:color="auto" w:sz="4" w:space="0"/>
              <w:left w:val="single" w:color="auto" w:sz="4" w:space="0"/>
              <w:bottom w:val="single" w:color="auto" w:sz="4" w:space="0"/>
              <w:right w:val="single" w:color="auto" w:sz="4" w:space="0"/>
            </w:tcBorders>
            <w:noWrap w:val="0"/>
            <w:vAlign w:val="center"/>
          </w:tcPr>
          <w:p w14:paraId="37A0DD51">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地点</w:t>
            </w:r>
          </w:p>
        </w:tc>
      </w:tr>
      <w:tr w14:paraId="71DFF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14:paraId="0E659298">
            <w:pPr>
              <w:spacing w:line="520" w:lineRule="exact"/>
              <w:jc w:val="center"/>
              <w:rPr>
                <w:rFonts w:hint="default" w:ascii="Times New Roman" w:hAnsi="Times New Roman" w:eastAsia="宋体" w:cs="Times New Roman"/>
                <w:b/>
                <w:color w:val="auto"/>
                <w:szCs w:val="21"/>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top"/>
          </w:tcPr>
          <w:p w14:paraId="6B89B9AE">
            <w:pPr>
              <w:spacing w:line="520" w:lineRule="exact"/>
              <w:jc w:val="center"/>
              <w:rPr>
                <w:rFonts w:hint="default" w:ascii="Times New Roman" w:hAnsi="Times New Roman" w:eastAsia="宋体" w:cs="Times New Roman"/>
                <w:b/>
                <w:color w:val="auto"/>
                <w:szCs w:val="21"/>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42CE259F">
            <w:pPr>
              <w:spacing w:line="520" w:lineRule="exact"/>
              <w:jc w:val="center"/>
              <w:rPr>
                <w:rFonts w:hint="default" w:ascii="Times New Roman" w:hAnsi="Times New Roman" w:eastAsia="宋体" w:cs="Times New Roman"/>
                <w:b/>
                <w:color w:val="auto"/>
                <w:szCs w:val="21"/>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36BCF861">
            <w:pPr>
              <w:spacing w:line="520" w:lineRule="exact"/>
              <w:jc w:val="center"/>
              <w:rPr>
                <w:rFonts w:hint="default" w:ascii="Times New Roman" w:hAnsi="Times New Roman" w:eastAsia="宋体" w:cs="Times New Roman"/>
                <w:b/>
                <w:color w:val="auto"/>
                <w:szCs w:val="21"/>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top"/>
          </w:tcPr>
          <w:p w14:paraId="1B5EC196">
            <w:pPr>
              <w:spacing w:line="520" w:lineRule="exact"/>
              <w:jc w:val="center"/>
              <w:rPr>
                <w:rFonts w:hint="default" w:ascii="Times New Roman" w:hAnsi="Times New Roman" w:eastAsia="宋体" w:cs="Times New Roman"/>
                <w:b/>
                <w:color w:val="auto"/>
                <w:szCs w:val="21"/>
                <w:highlight w:val="none"/>
              </w:rPr>
            </w:pPr>
          </w:p>
        </w:tc>
        <w:tc>
          <w:tcPr>
            <w:tcW w:w="1131" w:type="dxa"/>
            <w:tcBorders>
              <w:top w:val="single" w:color="auto" w:sz="4" w:space="0"/>
              <w:left w:val="single" w:color="auto" w:sz="4" w:space="0"/>
              <w:bottom w:val="single" w:color="auto" w:sz="4" w:space="0"/>
              <w:right w:val="single" w:color="auto" w:sz="4" w:space="0"/>
            </w:tcBorders>
            <w:noWrap w:val="0"/>
            <w:vAlign w:val="top"/>
          </w:tcPr>
          <w:p w14:paraId="12B5C1B3">
            <w:pPr>
              <w:spacing w:line="520" w:lineRule="exact"/>
              <w:jc w:val="center"/>
              <w:rPr>
                <w:rFonts w:hint="default" w:ascii="Times New Roman" w:hAnsi="Times New Roman" w:eastAsia="宋体" w:cs="Times New Roman"/>
                <w:b/>
                <w:color w:val="auto"/>
                <w:szCs w:val="21"/>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01CB3EB5">
            <w:pPr>
              <w:spacing w:line="520" w:lineRule="exact"/>
              <w:jc w:val="center"/>
              <w:rPr>
                <w:rFonts w:hint="default" w:ascii="Times New Roman" w:hAnsi="Times New Roman" w:eastAsia="宋体" w:cs="Times New Roman"/>
                <w:b/>
                <w:color w:val="auto"/>
                <w:szCs w:val="21"/>
                <w:highlight w:val="none"/>
              </w:rPr>
            </w:pPr>
          </w:p>
        </w:tc>
        <w:tc>
          <w:tcPr>
            <w:tcW w:w="1592" w:type="dxa"/>
            <w:tcBorders>
              <w:top w:val="single" w:color="auto" w:sz="4" w:space="0"/>
              <w:left w:val="single" w:color="auto" w:sz="4" w:space="0"/>
              <w:bottom w:val="single" w:color="auto" w:sz="4" w:space="0"/>
              <w:right w:val="single" w:color="auto" w:sz="4" w:space="0"/>
            </w:tcBorders>
            <w:noWrap w:val="0"/>
            <w:vAlign w:val="top"/>
          </w:tcPr>
          <w:p w14:paraId="69D4EED1">
            <w:pPr>
              <w:spacing w:line="520" w:lineRule="exact"/>
              <w:jc w:val="center"/>
              <w:rPr>
                <w:rFonts w:hint="default" w:ascii="Times New Roman" w:hAnsi="Times New Roman" w:eastAsia="宋体" w:cs="Times New Roman"/>
                <w:b/>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top"/>
          </w:tcPr>
          <w:p w14:paraId="6D60450F">
            <w:pPr>
              <w:spacing w:line="520" w:lineRule="exact"/>
              <w:jc w:val="center"/>
              <w:rPr>
                <w:rFonts w:hint="default" w:ascii="Times New Roman" w:hAnsi="Times New Roman" w:eastAsia="宋体" w:cs="Times New Roman"/>
                <w:b/>
                <w:color w:val="auto"/>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0"/>
            <w:vAlign w:val="top"/>
          </w:tcPr>
          <w:p w14:paraId="0A6471A8">
            <w:pPr>
              <w:spacing w:line="520" w:lineRule="exact"/>
              <w:jc w:val="center"/>
              <w:rPr>
                <w:rFonts w:hint="default" w:ascii="Times New Roman" w:hAnsi="Times New Roman" w:eastAsia="宋体" w:cs="Times New Roman"/>
                <w:b/>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top"/>
          </w:tcPr>
          <w:p w14:paraId="481AF758">
            <w:pPr>
              <w:spacing w:line="520" w:lineRule="exact"/>
              <w:jc w:val="center"/>
              <w:rPr>
                <w:rFonts w:hint="default" w:ascii="Times New Roman" w:hAnsi="Times New Roman" w:eastAsia="宋体" w:cs="Times New Roman"/>
                <w:b/>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noWrap w:val="0"/>
            <w:vAlign w:val="top"/>
          </w:tcPr>
          <w:p w14:paraId="383CC4BF">
            <w:pPr>
              <w:spacing w:line="520" w:lineRule="exact"/>
              <w:jc w:val="center"/>
              <w:rPr>
                <w:rFonts w:hint="default" w:ascii="Times New Roman" w:hAnsi="Times New Roman" w:eastAsia="宋体" w:cs="Times New Roman"/>
                <w:b/>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noWrap w:val="0"/>
            <w:vAlign w:val="top"/>
          </w:tcPr>
          <w:p w14:paraId="21C47F45">
            <w:pPr>
              <w:spacing w:line="520" w:lineRule="exact"/>
              <w:jc w:val="center"/>
              <w:rPr>
                <w:rFonts w:hint="default" w:ascii="Times New Roman" w:hAnsi="Times New Roman" w:eastAsia="宋体" w:cs="Times New Roman"/>
                <w:b/>
                <w:color w:val="auto"/>
                <w:szCs w:val="21"/>
                <w:highlight w:val="none"/>
              </w:rPr>
            </w:pPr>
          </w:p>
        </w:tc>
      </w:tr>
      <w:tr w14:paraId="1EB1D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14:paraId="54A6E6EF">
            <w:pPr>
              <w:spacing w:line="520" w:lineRule="exact"/>
              <w:jc w:val="center"/>
              <w:rPr>
                <w:rFonts w:hint="default" w:ascii="Times New Roman" w:hAnsi="Times New Roman" w:eastAsia="宋体" w:cs="Times New Roman"/>
                <w:b/>
                <w:color w:val="auto"/>
                <w:szCs w:val="21"/>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top"/>
          </w:tcPr>
          <w:p w14:paraId="61B972BA">
            <w:pPr>
              <w:spacing w:line="520" w:lineRule="exact"/>
              <w:jc w:val="center"/>
              <w:rPr>
                <w:rFonts w:hint="default" w:ascii="Times New Roman" w:hAnsi="Times New Roman" w:eastAsia="宋体" w:cs="Times New Roman"/>
                <w:b/>
                <w:color w:val="auto"/>
                <w:szCs w:val="21"/>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33D496B2">
            <w:pPr>
              <w:spacing w:line="520" w:lineRule="exact"/>
              <w:jc w:val="center"/>
              <w:rPr>
                <w:rFonts w:hint="default" w:ascii="Times New Roman" w:hAnsi="Times New Roman" w:eastAsia="宋体" w:cs="Times New Roman"/>
                <w:b/>
                <w:color w:val="auto"/>
                <w:szCs w:val="21"/>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78E595A1">
            <w:pPr>
              <w:spacing w:line="520" w:lineRule="exact"/>
              <w:jc w:val="center"/>
              <w:rPr>
                <w:rFonts w:hint="default" w:ascii="Times New Roman" w:hAnsi="Times New Roman" w:eastAsia="宋体" w:cs="Times New Roman"/>
                <w:b/>
                <w:color w:val="auto"/>
                <w:szCs w:val="21"/>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top"/>
          </w:tcPr>
          <w:p w14:paraId="365C3E2C">
            <w:pPr>
              <w:spacing w:line="520" w:lineRule="exact"/>
              <w:jc w:val="center"/>
              <w:rPr>
                <w:rFonts w:hint="default" w:ascii="Times New Roman" w:hAnsi="Times New Roman" w:eastAsia="宋体" w:cs="Times New Roman"/>
                <w:b/>
                <w:color w:val="auto"/>
                <w:szCs w:val="21"/>
                <w:highlight w:val="none"/>
              </w:rPr>
            </w:pPr>
          </w:p>
        </w:tc>
        <w:tc>
          <w:tcPr>
            <w:tcW w:w="1131" w:type="dxa"/>
            <w:tcBorders>
              <w:top w:val="single" w:color="auto" w:sz="4" w:space="0"/>
              <w:left w:val="single" w:color="auto" w:sz="4" w:space="0"/>
              <w:bottom w:val="single" w:color="auto" w:sz="4" w:space="0"/>
              <w:right w:val="single" w:color="auto" w:sz="4" w:space="0"/>
            </w:tcBorders>
            <w:noWrap w:val="0"/>
            <w:vAlign w:val="top"/>
          </w:tcPr>
          <w:p w14:paraId="0B6DE606">
            <w:pPr>
              <w:spacing w:line="520" w:lineRule="exact"/>
              <w:jc w:val="center"/>
              <w:rPr>
                <w:rFonts w:hint="default" w:ascii="Times New Roman" w:hAnsi="Times New Roman" w:eastAsia="宋体" w:cs="Times New Roman"/>
                <w:b/>
                <w:color w:val="auto"/>
                <w:szCs w:val="21"/>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3E10E32E">
            <w:pPr>
              <w:spacing w:line="520" w:lineRule="exact"/>
              <w:jc w:val="center"/>
              <w:rPr>
                <w:rFonts w:hint="default" w:ascii="Times New Roman" w:hAnsi="Times New Roman" w:eastAsia="宋体" w:cs="Times New Roman"/>
                <w:b/>
                <w:color w:val="auto"/>
                <w:szCs w:val="21"/>
                <w:highlight w:val="none"/>
              </w:rPr>
            </w:pPr>
          </w:p>
        </w:tc>
        <w:tc>
          <w:tcPr>
            <w:tcW w:w="1592" w:type="dxa"/>
            <w:tcBorders>
              <w:top w:val="single" w:color="auto" w:sz="4" w:space="0"/>
              <w:left w:val="single" w:color="auto" w:sz="4" w:space="0"/>
              <w:bottom w:val="single" w:color="auto" w:sz="4" w:space="0"/>
              <w:right w:val="single" w:color="auto" w:sz="4" w:space="0"/>
            </w:tcBorders>
            <w:noWrap w:val="0"/>
            <w:vAlign w:val="top"/>
          </w:tcPr>
          <w:p w14:paraId="315155BF">
            <w:pPr>
              <w:spacing w:line="520" w:lineRule="exact"/>
              <w:jc w:val="center"/>
              <w:rPr>
                <w:rFonts w:hint="default" w:ascii="Times New Roman" w:hAnsi="Times New Roman" w:eastAsia="宋体" w:cs="Times New Roman"/>
                <w:b/>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top"/>
          </w:tcPr>
          <w:p w14:paraId="465E1E35">
            <w:pPr>
              <w:spacing w:line="520" w:lineRule="exact"/>
              <w:jc w:val="center"/>
              <w:rPr>
                <w:rFonts w:hint="default" w:ascii="Times New Roman" w:hAnsi="Times New Roman" w:eastAsia="宋体" w:cs="Times New Roman"/>
                <w:b/>
                <w:color w:val="auto"/>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0"/>
            <w:vAlign w:val="top"/>
          </w:tcPr>
          <w:p w14:paraId="3F77FD63">
            <w:pPr>
              <w:spacing w:line="520" w:lineRule="exact"/>
              <w:jc w:val="center"/>
              <w:rPr>
                <w:rFonts w:hint="default" w:ascii="Times New Roman" w:hAnsi="Times New Roman" w:eastAsia="宋体" w:cs="Times New Roman"/>
                <w:b/>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top"/>
          </w:tcPr>
          <w:p w14:paraId="07B9BD7E">
            <w:pPr>
              <w:spacing w:line="520" w:lineRule="exact"/>
              <w:jc w:val="center"/>
              <w:rPr>
                <w:rFonts w:hint="default" w:ascii="Times New Roman" w:hAnsi="Times New Roman" w:eastAsia="宋体" w:cs="Times New Roman"/>
                <w:b/>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noWrap w:val="0"/>
            <w:vAlign w:val="top"/>
          </w:tcPr>
          <w:p w14:paraId="2F28E865">
            <w:pPr>
              <w:spacing w:line="520" w:lineRule="exact"/>
              <w:jc w:val="center"/>
              <w:rPr>
                <w:rFonts w:hint="default" w:ascii="Times New Roman" w:hAnsi="Times New Roman" w:eastAsia="宋体" w:cs="Times New Roman"/>
                <w:b/>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noWrap w:val="0"/>
            <w:vAlign w:val="top"/>
          </w:tcPr>
          <w:p w14:paraId="7EC1063B">
            <w:pPr>
              <w:spacing w:line="520" w:lineRule="exact"/>
              <w:jc w:val="center"/>
              <w:rPr>
                <w:rFonts w:hint="default" w:ascii="Times New Roman" w:hAnsi="Times New Roman" w:eastAsia="宋体" w:cs="Times New Roman"/>
                <w:b/>
                <w:color w:val="auto"/>
                <w:szCs w:val="21"/>
                <w:highlight w:val="none"/>
              </w:rPr>
            </w:pPr>
          </w:p>
        </w:tc>
      </w:tr>
      <w:tr w14:paraId="32D9C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14:paraId="4517D54A">
            <w:pPr>
              <w:spacing w:line="520" w:lineRule="exact"/>
              <w:jc w:val="center"/>
              <w:rPr>
                <w:rFonts w:hint="default" w:ascii="Times New Roman" w:hAnsi="Times New Roman" w:eastAsia="宋体" w:cs="Times New Roman"/>
                <w:b/>
                <w:color w:val="auto"/>
                <w:szCs w:val="21"/>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top"/>
          </w:tcPr>
          <w:p w14:paraId="6AFD8622">
            <w:pPr>
              <w:spacing w:line="520" w:lineRule="exact"/>
              <w:jc w:val="center"/>
              <w:rPr>
                <w:rFonts w:hint="default" w:ascii="Times New Roman" w:hAnsi="Times New Roman" w:eastAsia="宋体" w:cs="Times New Roman"/>
                <w:b/>
                <w:color w:val="auto"/>
                <w:szCs w:val="21"/>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38BCC5D0">
            <w:pPr>
              <w:spacing w:line="520" w:lineRule="exact"/>
              <w:jc w:val="center"/>
              <w:rPr>
                <w:rFonts w:hint="default" w:ascii="Times New Roman" w:hAnsi="Times New Roman" w:eastAsia="宋体" w:cs="Times New Roman"/>
                <w:b/>
                <w:color w:val="auto"/>
                <w:szCs w:val="21"/>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60CCF785">
            <w:pPr>
              <w:spacing w:line="520" w:lineRule="exact"/>
              <w:jc w:val="center"/>
              <w:rPr>
                <w:rFonts w:hint="default" w:ascii="Times New Roman" w:hAnsi="Times New Roman" w:eastAsia="宋体" w:cs="Times New Roman"/>
                <w:b/>
                <w:color w:val="auto"/>
                <w:szCs w:val="21"/>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top"/>
          </w:tcPr>
          <w:p w14:paraId="54E6D19B">
            <w:pPr>
              <w:spacing w:line="520" w:lineRule="exact"/>
              <w:jc w:val="center"/>
              <w:rPr>
                <w:rFonts w:hint="default" w:ascii="Times New Roman" w:hAnsi="Times New Roman" w:eastAsia="宋体" w:cs="Times New Roman"/>
                <w:b/>
                <w:color w:val="auto"/>
                <w:szCs w:val="21"/>
                <w:highlight w:val="none"/>
              </w:rPr>
            </w:pPr>
          </w:p>
        </w:tc>
        <w:tc>
          <w:tcPr>
            <w:tcW w:w="1131" w:type="dxa"/>
            <w:tcBorders>
              <w:top w:val="single" w:color="auto" w:sz="4" w:space="0"/>
              <w:left w:val="single" w:color="auto" w:sz="4" w:space="0"/>
              <w:bottom w:val="single" w:color="auto" w:sz="4" w:space="0"/>
              <w:right w:val="single" w:color="auto" w:sz="4" w:space="0"/>
            </w:tcBorders>
            <w:noWrap w:val="0"/>
            <w:vAlign w:val="top"/>
          </w:tcPr>
          <w:p w14:paraId="570AEA40">
            <w:pPr>
              <w:spacing w:line="520" w:lineRule="exact"/>
              <w:jc w:val="center"/>
              <w:rPr>
                <w:rFonts w:hint="default" w:ascii="Times New Roman" w:hAnsi="Times New Roman" w:eastAsia="宋体" w:cs="Times New Roman"/>
                <w:b/>
                <w:color w:val="auto"/>
                <w:szCs w:val="21"/>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23046AB3">
            <w:pPr>
              <w:spacing w:line="520" w:lineRule="exact"/>
              <w:jc w:val="center"/>
              <w:rPr>
                <w:rFonts w:hint="default" w:ascii="Times New Roman" w:hAnsi="Times New Roman" w:eastAsia="宋体" w:cs="Times New Roman"/>
                <w:b/>
                <w:color w:val="auto"/>
                <w:szCs w:val="21"/>
                <w:highlight w:val="none"/>
              </w:rPr>
            </w:pPr>
          </w:p>
        </w:tc>
        <w:tc>
          <w:tcPr>
            <w:tcW w:w="1592" w:type="dxa"/>
            <w:tcBorders>
              <w:top w:val="single" w:color="auto" w:sz="4" w:space="0"/>
              <w:left w:val="single" w:color="auto" w:sz="4" w:space="0"/>
              <w:bottom w:val="single" w:color="auto" w:sz="4" w:space="0"/>
              <w:right w:val="single" w:color="auto" w:sz="4" w:space="0"/>
            </w:tcBorders>
            <w:noWrap w:val="0"/>
            <w:vAlign w:val="top"/>
          </w:tcPr>
          <w:p w14:paraId="4454FEC5">
            <w:pPr>
              <w:spacing w:line="520" w:lineRule="exact"/>
              <w:jc w:val="center"/>
              <w:rPr>
                <w:rFonts w:hint="default" w:ascii="Times New Roman" w:hAnsi="Times New Roman" w:eastAsia="宋体" w:cs="Times New Roman"/>
                <w:b/>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top"/>
          </w:tcPr>
          <w:p w14:paraId="02FB17A9">
            <w:pPr>
              <w:spacing w:line="520" w:lineRule="exact"/>
              <w:jc w:val="center"/>
              <w:rPr>
                <w:rFonts w:hint="default" w:ascii="Times New Roman" w:hAnsi="Times New Roman" w:eastAsia="宋体" w:cs="Times New Roman"/>
                <w:b/>
                <w:color w:val="auto"/>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0"/>
            <w:vAlign w:val="top"/>
          </w:tcPr>
          <w:p w14:paraId="0552A42E">
            <w:pPr>
              <w:spacing w:line="520" w:lineRule="exact"/>
              <w:jc w:val="center"/>
              <w:rPr>
                <w:rFonts w:hint="default" w:ascii="Times New Roman" w:hAnsi="Times New Roman" w:eastAsia="宋体" w:cs="Times New Roman"/>
                <w:b/>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top"/>
          </w:tcPr>
          <w:p w14:paraId="45A9A2DD">
            <w:pPr>
              <w:spacing w:line="520" w:lineRule="exact"/>
              <w:jc w:val="center"/>
              <w:rPr>
                <w:rFonts w:hint="default" w:ascii="Times New Roman" w:hAnsi="Times New Roman" w:eastAsia="宋体" w:cs="Times New Roman"/>
                <w:b/>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noWrap w:val="0"/>
            <w:vAlign w:val="top"/>
          </w:tcPr>
          <w:p w14:paraId="7B08F5F9">
            <w:pPr>
              <w:spacing w:line="520" w:lineRule="exact"/>
              <w:jc w:val="center"/>
              <w:rPr>
                <w:rFonts w:hint="default" w:ascii="Times New Roman" w:hAnsi="Times New Roman" w:eastAsia="宋体" w:cs="Times New Roman"/>
                <w:b/>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noWrap w:val="0"/>
            <w:vAlign w:val="top"/>
          </w:tcPr>
          <w:p w14:paraId="259A749F">
            <w:pPr>
              <w:spacing w:line="520" w:lineRule="exact"/>
              <w:jc w:val="center"/>
              <w:rPr>
                <w:rFonts w:hint="default" w:ascii="Times New Roman" w:hAnsi="Times New Roman" w:eastAsia="宋体" w:cs="Times New Roman"/>
                <w:b/>
                <w:color w:val="auto"/>
                <w:szCs w:val="21"/>
                <w:highlight w:val="none"/>
              </w:rPr>
            </w:pPr>
          </w:p>
        </w:tc>
      </w:tr>
      <w:tr w14:paraId="7F7B8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14:paraId="3CE61C21">
            <w:pPr>
              <w:spacing w:line="520" w:lineRule="exact"/>
              <w:jc w:val="center"/>
              <w:rPr>
                <w:rFonts w:hint="default" w:ascii="Times New Roman" w:hAnsi="Times New Roman" w:eastAsia="宋体" w:cs="Times New Roman"/>
                <w:b/>
                <w:color w:val="auto"/>
                <w:szCs w:val="21"/>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top"/>
          </w:tcPr>
          <w:p w14:paraId="6BC5680B">
            <w:pPr>
              <w:spacing w:line="520" w:lineRule="exact"/>
              <w:jc w:val="center"/>
              <w:rPr>
                <w:rFonts w:hint="default" w:ascii="Times New Roman" w:hAnsi="Times New Roman" w:eastAsia="宋体" w:cs="Times New Roman"/>
                <w:b/>
                <w:color w:val="auto"/>
                <w:szCs w:val="21"/>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49A5480D">
            <w:pPr>
              <w:spacing w:line="520" w:lineRule="exact"/>
              <w:jc w:val="center"/>
              <w:rPr>
                <w:rFonts w:hint="default" w:ascii="Times New Roman" w:hAnsi="Times New Roman" w:eastAsia="宋体" w:cs="Times New Roman"/>
                <w:b/>
                <w:color w:val="auto"/>
                <w:szCs w:val="21"/>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2F128352">
            <w:pPr>
              <w:spacing w:line="520" w:lineRule="exact"/>
              <w:jc w:val="center"/>
              <w:rPr>
                <w:rFonts w:hint="default" w:ascii="Times New Roman" w:hAnsi="Times New Roman" w:eastAsia="宋体" w:cs="Times New Roman"/>
                <w:b/>
                <w:color w:val="auto"/>
                <w:szCs w:val="21"/>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top"/>
          </w:tcPr>
          <w:p w14:paraId="39983790">
            <w:pPr>
              <w:spacing w:line="520" w:lineRule="exact"/>
              <w:jc w:val="center"/>
              <w:rPr>
                <w:rFonts w:hint="default" w:ascii="Times New Roman" w:hAnsi="Times New Roman" w:eastAsia="宋体" w:cs="Times New Roman"/>
                <w:b/>
                <w:color w:val="auto"/>
                <w:szCs w:val="21"/>
                <w:highlight w:val="none"/>
              </w:rPr>
            </w:pPr>
          </w:p>
        </w:tc>
        <w:tc>
          <w:tcPr>
            <w:tcW w:w="1131" w:type="dxa"/>
            <w:tcBorders>
              <w:top w:val="single" w:color="auto" w:sz="4" w:space="0"/>
              <w:left w:val="single" w:color="auto" w:sz="4" w:space="0"/>
              <w:bottom w:val="single" w:color="auto" w:sz="4" w:space="0"/>
              <w:right w:val="single" w:color="auto" w:sz="4" w:space="0"/>
            </w:tcBorders>
            <w:noWrap w:val="0"/>
            <w:vAlign w:val="top"/>
          </w:tcPr>
          <w:p w14:paraId="0C8CB329">
            <w:pPr>
              <w:spacing w:line="520" w:lineRule="exact"/>
              <w:jc w:val="center"/>
              <w:rPr>
                <w:rFonts w:hint="default" w:ascii="Times New Roman" w:hAnsi="Times New Roman" w:eastAsia="宋体" w:cs="Times New Roman"/>
                <w:b/>
                <w:color w:val="auto"/>
                <w:szCs w:val="21"/>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7F68D15D">
            <w:pPr>
              <w:spacing w:line="520" w:lineRule="exact"/>
              <w:jc w:val="center"/>
              <w:rPr>
                <w:rFonts w:hint="default" w:ascii="Times New Roman" w:hAnsi="Times New Roman" w:eastAsia="宋体" w:cs="Times New Roman"/>
                <w:b/>
                <w:color w:val="auto"/>
                <w:szCs w:val="21"/>
                <w:highlight w:val="none"/>
              </w:rPr>
            </w:pPr>
          </w:p>
        </w:tc>
        <w:tc>
          <w:tcPr>
            <w:tcW w:w="1592" w:type="dxa"/>
            <w:tcBorders>
              <w:top w:val="single" w:color="auto" w:sz="4" w:space="0"/>
              <w:left w:val="single" w:color="auto" w:sz="4" w:space="0"/>
              <w:bottom w:val="single" w:color="auto" w:sz="4" w:space="0"/>
              <w:right w:val="single" w:color="auto" w:sz="4" w:space="0"/>
            </w:tcBorders>
            <w:noWrap w:val="0"/>
            <w:vAlign w:val="top"/>
          </w:tcPr>
          <w:p w14:paraId="5A8D7710">
            <w:pPr>
              <w:spacing w:line="520" w:lineRule="exact"/>
              <w:jc w:val="center"/>
              <w:rPr>
                <w:rFonts w:hint="default" w:ascii="Times New Roman" w:hAnsi="Times New Roman" w:eastAsia="宋体" w:cs="Times New Roman"/>
                <w:b/>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top"/>
          </w:tcPr>
          <w:p w14:paraId="3A4BFEE8">
            <w:pPr>
              <w:spacing w:line="520" w:lineRule="exact"/>
              <w:jc w:val="center"/>
              <w:rPr>
                <w:rFonts w:hint="default" w:ascii="Times New Roman" w:hAnsi="Times New Roman" w:eastAsia="宋体" w:cs="Times New Roman"/>
                <w:b/>
                <w:color w:val="auto"/>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0"/>
            <w:vAlign w:val="top"/>
          </w:tcPr>
          <w:p w14:paraId="08A90702">
            <w:pPr>
              <w:spacing w:line="520" w:lineRule="exact"/>
              <w:jc w:val="center"/>
              <w:rPr>
                <w:rFonts w:hint="default" w:ascii="Times New Roman" w:hAnsi="Times New Roman" w:eastAsia="宋体" w:cs="Times New Roman"/>
                <w:b/>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top"/>
          </w:tcPr>
          <w:p w14:paraId="78F1A87B">
            <w:pPr>
              <w:spacing w:line="520" w:lineRule="exact"/>
              <w:jc w:val="center"/>
              <w:rPr>
                <w:rFonts w:hint="default" w:ascii="Times New Roman" w:hAnsi="Times New Roman" w:eastAsia="宋体" w:cs="Times New Roman"/>
                <w:b/>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noWrap w:val="0"/>
            <w:vAlign w:val="top"/>
          </w:tcPr>
          <w:p w14:paraId="52307292">
            <w:pPr>
              <w:spacing w:line="520" w:lineRule="exact"/>
              <w:jc w:val="center"/>
              <w:rPr>
                <w:rFonts w:hint="default" w:ascii="Times New Roman" w:hAnsi="Times New Roman" w:eastAsia="宋体" w:cs="Times New Roman"/>
                <w:b/>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noWrap w:val="0"/>
            <w:vAlign w:val="top"/>
          </w:tcPr>
          <w:p w14:paraId="705A005F">
            <w:pPr>
              <w:spacing w:line="520" w:lineRule="exact"/>
              <w:jc w:val="center"/>
              <w:rPr>
                <w:rFonts w:hint="default" w:ascii="Times New Roman" w:hAnsi="Times New Roman" w:eastAsia="宋体" w:cs="Times New Roman"/>
                <w:b/>
                <w:color w:val="auto"/>
                <w:szCs w:val="21"/>
                <w:highlight w:val="none"/>
              </w:rPr>
            </w:pPr>
          </w:p>
        </w:tc>
      </w:tr>
      <w:tr w14:paraId="3F7FC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14:paraId="502E967F">
            <w:pPr>
              <w:spacing w:line="520" w:lineRule="exact"/>
              <w:jc w:val="center"/>
              <w:rPr>
                <w:rFonts w:hint="default" w:ascii="Times New Roman" w:hAnsi="Times New Roman" w:eastAsia="宋体" w:cs="Times New Roman"/>
                <w:b/>
                <w:color w:val="auto"/>
                <w:szCs w:val="21"/>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top"/>
          </w:tcPr>
          <w:p w14:paraId="057AD763">
            <w:pPr>
              <w:spacing w:line="520" w:lineRule="exact"/>
              <w:jc w:val="center"/>
              <w:rPr>
                <w:rFonts w:hint="default" w:ascii="Times New Roman" w:hAnsi="Times New Roman" w:eastAsia="宋体" w:cs="Times New Roman"/>
                <w:b/>
                <w:color w:val="auto"/>
                <w:szCs w:val="21"/>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703D8B75">
            <w:pPr>
              <w:spacing w:line="520" w:lineRule="exact"/>
              <w:jc w:val="center"/>
              <w:rPr>
                <w:rFonts w:hint="default" w:ascii="Times New Roman" w:hAnsi="Times New Roman" w:eastAsia="宋体" w:cs="Times New Roman"/>
                <w:b/>
                <w:color w:val="auto"/>
                <w:szCs w:val="21"/>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14DF19F0">
            <w:pPr>
              <w:spacing w:line="520" w:lineRule="exact"/>
              <w:jc w:val="center"/>
              <w:rPr>
                <w:rFonts w:hint="default" w:ascii="Times New Roman" w:hAnsi="Times New Roman" w:eastAsia="宋体" w:cs="Times New Roman"/>
                <w:b/>
                <w:color w:val="auto"/>
                <w:szCs w:val="21"/>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top"/>
          </w:tcPr>
          <w:p w14:paraId="0A2DAD79">
            <w:pPr>
              <w:spacing w:line="520" w:lineRule="exact"/>
              <w:jc w:val="center"/>
              <w:rPr>
                <w:rFonts w:hint="default" w:ascii="Times New Roman" w:hAnsi="Times New Roman" w:eastAsia="宋体" w:cs="Times New Roman"/>
                <w:b/>
                <w:color w:val="auto"/>
                <w:szCs w:val="21"/>
                <w:highlight w:val="none"/>
              </w:rPr>
            </w:pPr>
          </w:p>
        </w:tc>
        <w:tc>
          <w:tcPr>
            <w:tcW w:w="1131" w:type="dxa"/>
            <w:tcBorders>
              <w:top w:val="single" w:color="auto" w:sz="4" w:space="0"/>
              <w:left w:val="single" w:color="auto" w:sz="4" w:space="0"/>
              <w:bottom w:val="single" w:color="auto" w:sz="4" w:space="0"/>
              <w:right w:val="single" w:color="auto" w:sz="4" w:space="0"/>
            </w:tcBorders>
            <w:noWrap w:val="0"/>
            <w:vAlign w:val="top"/>
          </w:tcPr>
          <w:p w14:paraId="333EBC2D">
            <w:pPr>
              <w:spacing w:line="520" w:lineRule="exact"/>
              <w:jc w:val="center"/>
              <w:rPr>
                <w:rFonts w:hint="default" w:ascii="Times New Roman" w:hAnsi="Times New Roman" w:eastAsia="宋体" w:cs="Times New Roman"/>
                <w:b/>
                <w:color w:val="auto"/>
                <w:szCs w:val="21"/>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69361918">
            <w:pPr>
              <w:spacing w:line="520" w:lineRule="exact"/>
              <w:jc w:val="center"/>
              <w:rPr>
                <w:rFonts w:hint="default" w:ascii="Times New Roman" w:hAnsi="Times New Roman" w:eastAsia="宋体" w:cs="Times New Roman"/>
                <w:b/>
                <w:color w:val="auto"/>
                <w:szCs w:val="21"/>
                <w:highlight w:val="none"/>
              </w:rPr>
            </w:pPr>
          </w:p>
        </w:tc>
        <w:tc>
          <w:tcPr>
            <w:tcW w:w="1592" w:type="dxa"/>
            <w:tcBorders>
              <w:top w:val="single" w:color="auto" w:sz="4" w:space="0"/>
              <w:left w:val="single" w:color="auto" w:sz="4" w:space="0"/>
              <w:bottom w:val="single" w:color="auto" w:sz="4" w:space="0"/>
              <w:right w:val="single" w:color="auto" w:sz="4" w:space="0"/>
            </w:tcBorders>
            <w:noWrap w:val="0"/>
            <w:vAlign w:val="top"/>
          </w:tcPr>
          <w:p w14:paraId="7397B1E7">
            <w:pPr>
              <w:spacing w:line="520" w:lineRule="exact"/>
              <w:jc w:val="center"/>
              <w:rPr>
                <w:rFonts w:hint="default" w:ascii="Times New Roman" w:hAnsi="Times New Roman" w:eastAsia="宋体" w:cs="Times New Roman"/>
                <w:b/>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top"/>
          </w:tcPr>
          <w:p w14:paraId="6913FD85">
            <w:pPr>
              <w:spacing w:line="520" w:lineRule="exact"/>
              <w:jc w:val="center"/>
              <w:rPr>
                <w:rFonts w:hint="default" w:ascii="Times New Roman" w:hAnsi="Times New Roman" w:eastAsia="宋体" w:cs="Times New Roman"/>
                <w:b/>
                <w:color w:val="auto"/>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0"/>
            <w:vAlign w:val="top"/>
          </w:tcPr>
          <w:p w14:paraId="3A2E470A">
            <w:pPr>
              <w:spacing w:line="520" w:lineRule="exact"/>
              <w:jc w:val="center"/>
              <w:rPr>
                <w:rFonts w:hint="default" w:ascii="Times New Roman" w:hAnsi="Times New Roman" w:eastAsia="宋体" w:cs="Times New Roman"/>
                <w:b/>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top"/>
          </w:tcPr>
          <w:p w14:paraId="2CA590A1">
            <w:pPr>
              <w:spacing w:line="520" w:lineRule="exact"/>
              <w:jc w:val="center"/>
              <w:rPr>
                <w:rFonts w:hint="default" w:ascii="Times New Roman" w:hAnsi="Times New Roman" w:eastAsia="宋体" w:cs="Times New Roman"/>
                <w:b/>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noWrap w:val="0"/>
            <w:vAlign w:val="top"/>
          </w:tcPr>
          <w:p w14:paraId="2B68F8C0">
            <w:pPr>
              <w:spacing w:line="520" w:lineRule="exact"/>
              <w:jc w:val="center"/>
              <w:rPr>
                <w:rFonts w:hint="default" w:ascii="Times New Roman" w:hAnsi="Times New Roman" w:eastAsia="宋体" w:cs="Times New Roman"/>
                <w:b/>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noWrap w:val="0"/>
            <w:vAlign w:val="top"/>
          </w:tcPr>
          <w:p w14:paraId="0017057B">
            <w:pPr>
              <w:spacing w:line="520" w:lineRule="exact"/>
              <w:jc w:val="center"/>
              <w:rPr>
                <w:rFonts w:hint="default" w:ascii="Times New Roman" w:hAnsi="Times New Roman" w:eastAsia="宋体" w:cs="Times New Roman"/>
                <w:b/>
                <w:color w:val="auto"/>
                <w:szCs w:val="21"/>
                <w:highlight w:val="none"/>
              </w:rPr>
            </w:pPr>
          </w:p>
        </w:tc>
      </w:tr>
      <w:tr w14:paraId="2E7CE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14:paraId="3D557E84">
            <w:pPr>
              <w:spacing w:line="520" w:lineRule="exact"/>
              <w:jc w:val="center"/>
              <w:rPr>
                <w:rFonts w:hint="default" w:ascii="Times New Roman" w:hAnsi="Times New Roman" w:eastAsia="宋体" w:cs="Times New Roman"/>
                <w:b/>
                <w:color w:val="auto"/>
                <w:szCs w:val="21"/>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top"/>
          </w:tcPr>
          <w:p w14:paraId="4C4C1945">
            <w:pPr>
              <w:spacing w:line="520" w:lineRule="exact"/>
              <w:jc w:val="center"/>
              <w:rPr>
                <w:rFonts w:hint="default" w:ascii="Times New Roman" w:hAnsi="Times New Roman" w:eastAsia="宋体" w:cs="Times New Roman"/>
                <w:b/>
                <w:color w:val="auto"/>
                <w:szCs w:val="21"/>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10EC985E">
            <w:pPr>
              <w:spacing w:line="520" w:lineRule="exact"/>
              <w:jc w:val="center"/>
              <w:rPr>
                <w:rFonts w:hint="default" w:ascii="Times New Roman" w:hAnsi="Times New Roman" w:eastAsia="宋体" w:cs="Times New Roman"/>
                <w:b/>
                <w:color w:val="auto"/>
                <w:szCs w:val="21"/>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6CE84A2A">
            <w:pPr>
              <w:spacing w:line="520" w:lineRule="exact"/>
              <w:jc w:val="center"/>
              <w:rPr>
                <w:rFonts w:hint="default" w:ascii="Times New Roman" w:hAnsi="Times New Roman" w:eastAsia="宋体" w:cs="Times New Roman"/>
                <w:b/>
                <w:color w:val="auto"/>
                <w:szCs w:val="21"/>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top"/>
          </w:tcPr>
          <w:p w14:paraId="03AA6EC9">
            <w:pPr>
              <w:spacing w:line="520" w:lineRule="exact"/>
              <w:jc w:val="center"/>
              <w:rPr>
                <w:rFonts w:hint="default" w:ascii="Times New Roman" w:hAnsi="Times New Roman" w:eastAsia="宋体" w:cs="Times New Roman"/>
                <w:b/>
                <w:color w:val="auto"/>
                <w:szCs w:val="21"/>
                <w:highlight w:val="none"/>
              </w:rPr>
            </w:pPr>
          </w:p>
        </w:tc>
        <w:tc>
          <w:tcPr>
            <w:tcW w:w="1131" w:type="dxa"/>
            <w:tcBorders>
              <w:top w:val="single" w:color="auto" w:sz="4" w:space="0"/>
              <w:left w:val="single" w:color="auto" w:sz="4" w:space="0"/>
              <w:bottom w:val="single" w:color="auto" w:sz="4" w:space="0"/>
              <w:right w:val="single" w:color="auto" w:sz="4" w:space="0"/>
            </w:tcBorders>
            <w:noWrap w:val="0"/>
            <w:vAlign w:val="top"/>
          </w:tcPr>
          <w:p w14:paraId="79BD81BE">
            <w:pPr>
              <w:spacing w:line="520" w:lineRule="exact"/>
              <w:jc w:val="center"/>
              <w:rPr>
                <w:rFonts w:hint="default" w:ascii="Times New Roman" w:hAnsi="Times New Roman" w:eastAsia="宋体" w:cs="Times New Roman"/>
                <w:b/>
                <w:color w:val="auto"/>
                <w:szCs w:val="21"/>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135D64F7">
            <w:pPr>
              <w:spacing w:line="520" w:lineRule="exact"/>
              <w:jc w:val="center"/>
              <w:rPr>
                <w:rFonts w:hint="default" w:ascii="Times New Roman" w:hAnsi="Times New Roman" w:eastAsia="宋体" w:cs="Times New Roman"/>
                <w:b/>
                <w:color w:val="auto"/>
                <w:szCs w:val="21"/>
                <w:highlight w:val="none"/>
              </w:rPr>
            </w:pPr>
          </w:p>
        </w:tc>
        <w:tc>
          <w:tcPr>
            <w:tcW w:w="1592" w:type="dxa"/>
            <w:tcBorders>
              <w:top w:val="single" w:color="auto" w:sz="4" w:space="0"/>
              <w:left w:val="single" w:color="auto" w:sz="4" w:space="0"/>
              <w:bottom w:val="single" w:color="auto" w:sz="4" w:space="0"/>
              <w:right w:val="single" w:color="auto" w:sz="4" w:space="0"/>
            </w:tcBorders>
            <w:noWrap w:val="0"/>
            <w:vAlign w:val="top"/>
          </w:tcPr>
          <w:p w14:paraId="563E2BBF">
            <w:pPr>
              <w:spacing w:line="520" w:lineRule="exact"/>
              <w:jc w:val="center"/>
              <w:rPr>
                <w:rFonts w:hint="default" w:ascii="Times New Roman" w:hAnsi="Times New Roman" w:eastAsia="宋体" w:cs="Times New Roman"/>
                <w:b/>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top"/>
          </w:tcPr>
          <w:p w14:paraId="3C7EF9AE">
            <w:pPr>
              <w:spacing w:line="520" w:lineRule="exact"/>
              <w:jc w:val="center"/>
              <w:rPr>
                <w:rFonts w:hint="default" w:ascii="Times New Roman" w:hAnsi="Times New Roman" w:eastAsia="宋体" w:cs="Times New Roman"/>
                <w:b/>
                <w:color w:val="auto"/>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0"/>
            <w:vAlign w:val="top"/>
          </w:tcPr>
          <w:p w14:paraId="229E518F">
            <w:pPr>
              <w:spacing w:line="520" w:lineRule="exact"/>
              <w:jc w:val="center"/>
              <w:rPr>
                <w:rFonts w:hint="default" w:ascii="Times New Roman" w:hAnsi="Times New Roman" w:eastAsia="宋体" w:cs="Times New Roman"/>
                <w:b/>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top"/>
          </w:tcPr>
          <w:p w14:paraId="0C144BC3">
            <w:pPr>
              <w:spacing w:line="520" w:lineRule="exact"/>
              <w:jc w:val="center"/>
              <w:rPr>
                <w:rFonts w:hint="default" w:ascii="Times New Roman" w:hAnsi="Times New Roman" w:eastAsia="宋体" w:cs="Times New Roman"/>
                <w:b/>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noWrap w:val="0"/>
            <w:vAlign w:val="top"/>
          </w:tcPr>
          <w:p w14:paraId="78E67FF6">
            <w:pPr>
              <w:spacing w:line="520" w:lineRule="exact"/>
              <w:jc w:val="center"/>
              <w:rPr>
                <w:rFonts w:hint="default" w:ascii="Times New Roman" w:hAnsi="Times New Roman" w:eastAsia="宋体" w:cs="Times New Roman"/>
                <w:b/>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noWrap w:val="0"/>
            <w:vAlign w:val="top"/>
          </w:tcPr>
          <w:p w14:paraId="7D168097">
            <w:pPr>
              <w:spacing w:line="520" w:lineRule="exact"/>
              <w:jc w:val="center"/>
              <w:rPr>
                <w:rFonts w:hint="default" w:ascii="Times New Roman" w:hAnsi="Times New Roman" w:eastAsia="宋体" w:cs="Times New Roman"/>
                <w:b/>
                <w:color w:val="auto"/>
                <w:szCs w:val="21"/>
                <w:highlight w:val="none"/>
              </w:rPr>
            </w:pPr>
          </w:p>
        </w:tc>
      </w:tr>
      <w:tr w14:paraId="2823A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14:paraId="372D2149">
            <w:pPr>
              <w:spacing w:line="520" w:lineRule="exact"/>
              <w:jc w:val="center"/>
              <w:rPr>
                <w:rFonts w:hint="default" w:ascii="Times New Roman" w:hAnsi="Times New Roman" w:eastAsia="宋体" w:cs="Times New Roman"/>
                <w:b/>
                <w:color w:val="auto"/>
                <w:szCs w:val="21"/>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top"/>
          </w:tcPr>
          <w:p w14:paraId="0FAFF181">
            <w:pPr>
              <w:spacing w:line="520" w:lineRule="exact"/>
              <w:jc w:val="center"/>
              <w:rPr>
                <w:rFonts w:hint="default" w:ascii="Times New Roman" w:hAnsi="Times New Roman" w:eastAsia="宋体" w:cs="Times New Roman"/>
                <w:b/>
                <w:color w:val="auto"/>
                <w:szCs w:val="21"/>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4300C577">
            <w:pPr>
              <w:spacing w:line="520" w:lineRule="exact"/>
              <w:jc w:val="center"/>
              <w:rPr>
                <w:rFonts w:hint="default" w:ascii="Times New Roman" w:hAnsi="Times New Roman" w:eastAsia="宋体" w:cs="Times New Roman"/>
                <w:b/>
                <w:color w:val="auto"/>
                <w:szCs w:val="21"/>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28490079">
            <w:pPr>
              <w:spacing w:line="520" w:lineRule="exact"/>
              <w:jc w:val="center"/>
              <w:rPr>
                <w:rFonts w:hint="default" w:ascii="Times New Roman" w:hAnsi="Times New Roman" w:eastAsia="宋体" w:cs="Times New Roman"/>
                <w:b/>
                <w:color w:val="auto"/>
                <w:szCs w:val="21"/>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top"/>
          </w:tcPr>
          <w:p w14:paraId="05CA029F">
            <w:pPr>
              <w:spacing w:line="520" w:lineRule="exact"/>
              <w:jc w:val="center"/>
              <w:rPr>
                <w:rFonts w:hint="default" w:ascii="Times New Roman" w:hAnsi="Times New Roman" w:eastAsia="宋体" w:cs="Times New Roman"/>
                <w:b/>
                <w:color w:val="auto"/>
                <w:szCs w:val="21"/>
                <w:highlight w:val="none"/>
              </w:rPr>
            </w:pPr>
          </w:p>
        </w:tc>
        <w:tc>
          <w:tcPr>
            <w:tcW w:w="1131" w:type="dxa"/>
            <w:tcBorders>
              <w:top w:val="single" w:color="auto" w:sz="4" w:space="0"/>
              <w:left w:val="single" w:color="auto" w:sz="4" w:space="0"/>
              <w:bottom w:val="single" w:color="auto" w:sz="4" w:space="0"/>
              <w:right w:val="single" w:color="auto" w:sz="4" w:space="0"/>
            </w:tcBorders>
            <w:noWrap w:val="0"/>
            <w:vAlign w:val="top"/>
          </w:tcPr>
          <w:p w14:paraId="5836E4AF">
            <w:pPr>
              <w:spacing w:line="520" w:lineRule="exact"/>
              <w:jc w:val="center"/>
              <w:rPr>
                <w:rFonts w:hint="default" w:ascii="Times New Roman" w:hAnsi="Times New Roman" w:eastAsia="宋体" w:cs="Times New Roman"/>
                <w:b/>
                <w:color w:val="auto"/>
                <w:szCs w:val="21"/>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76A8B2A4">
            <w:pPr>
              <w:spacing w:line="520" w:lineRule="exact"/>
              <w:jc w:val="center"/>
              <w:rPr>
                <w:rFonts w:hint="default" w:ascii="Times New Roman" w:hAnsi="Times New Roman" w:eastAsia="宋体" w:cs="Times New Roman"/>
                <w:b/>
                <w:color w:val="auto"/>
                <w:szCs w:val="21"/>
                <w:highlight w:val="none"/>
              </w:rPr>
            </w:pPr>
          </w:p>
        </w:tc>
        <w:tc>
          <w:tcPr>
            <w:tcW w:w="1592" w:type="dxa"/>
            <w:tcBorders>
              <w:top w:val="single" w:color="auto" w:sz="4" w:space="0"/>
              <w:left w:val="single" w:color="auto" w:sz="4" w:space="0"/>
              <w:bottom w:val="single" w:color="auto" w:sz="4" w:space="0"/>
              <w:right w:val="single" w:color="auto" w:sz="4" w:space="0"/>
            </w:tcBorders>
            <w:noWrap w:val="0"/>
            <w:vAlign w:val="top"/>
          </w:tcPr>
          <w:p w14:paraId="33956339">
            <w:pPr>
              <w:spacing w:line="520" w:lineRule="exact"/>
              <w:jc w:val="center"/>
              <w:rPr>
                <w:rFonts w:hint="default" w:ascii="Times New Roman" w:hAnsi="Times New Roman" w:eastAsia="宋体" w:cs="Times New Roman"/>
                <w:b/>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top"/>
          </w:tcPr>
          <w:p w14:paraId="1EACDB98">
            <w:pPr>
              <w:spacing w:line="520" w:lineRule="exact"/>
              <w:jc w:val="center"/>
              <w:rPr>
                <w:rFonts w:hint="default" w:ascii="Times New Roman" w:hAnsi="Times New Roman" w:eastAsia="宋体" w:cs="Times New Roman"/>
                <w:b/>
                <w:color w:val="auto"/>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0"/>
            <w:vAlign w:val="top"/>
          </w:tcPr>
          <w:p w14:paraId="70293920">
            <w:pPr>
              <w:spacing w:line="520" w:lineRule="exact"/>
              <w:jc w:val="center"/>
              <w:rPr>
                <w:rFonts w:hint="default" w:ascii="Times New Roman" w:hAnsi="Times New Roman" w:eastAsia="宋体" w:cs="Times New Roman"/>
                <w:b/>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top"/>
          </w:tcPr>
          <w:p w14:paraId="6C0492FA">
            <w:pPr>
              <w:spacing w:line="520" w:lineRule="exact"/>
              <w:jc w:val="center"/>
              <w:rPr>
                <w:rFonts w:hint="default" w:ascii="Times New Roman" w:hAnsi="Times New Roman" w:eastAsia="宋体" w:cs="Times New Roman"/>
                <w:b/>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noWrap w:val="0"/>
            <w:vAlign w:val="top"/>
          </w:tcPr>
          <w:p w14:paraId="78066409">
            <w:pPr>
              <w:spacing w:line="520" w:lineRule="exact"/>
              <w:jc w:val="center"/>
              <w:rPr>
                <w:rFonts w:hint="default" w:ascii="Times New Roman" w:hAnsi="Times New Roman" w:eastAsia="宋体" w:cs="Times New Roman"/>
                <w:b/>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noWrap w:val="0"/>
            <w:vAlign w:val="top"/>
          </w:tcPr>
          <w:p w14:paraId="446CBA88">
            <w:pPr>
              <w:spacing w:line="520" w:lineRule="exact"/>
              <w:jc w:val="center"/>
              <w:rPr>
                <w:rFonts w:hint="default" w:ascii="Times New Roman" w:hAnsi="Times New Roman" w:eastAsia="宋体" w:cs="Times New Roman"/>
                <w:b/>
                <w:color w:val="auto"/>
                <w:szCs w:val="21"/>
                <w:highlight w:val="none"/>
              </w:rPr>
            </w:pPr>
          </w:p>
        </w:tc>
      </w:tr>
      <w:tr w14:paraId="5C30B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14:paraId="43CAA2A2">
            <w:pPr>
              <w:spacing w:line="520" w:lineRule="exact"/>
              <w:jc w:val="center"/>
              <w:rPr>
                <w:rFonts w:hint="default" w:ascii="Times New Roman" w:hAnsi="Times New Roman" w:eastAsia="宋体" w:cs="Times New Roman"/>
                <w:b/>
                <w:color w:val="auto"/>
                <w:szCs w:val="21"/>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top"/>
          </w:tcPr>
          <w:p w14:paraId="37FF99BF">
            <w:pPr>
              <w:spacing w:line="520" w:lineRule="exact"/>
              <w:jc w:val="center"/>
              <w:rPr>
                <w:rFonts w:hint="default" w:ascii="Times New Roman" w:hAnsi="Times New Roman" w:eastAsia="宋体" w:cs="Times New Roman"/>
                <w:b/>
                <w:color w:val="auto"/>
                <w:szCs w:val="21"/>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1C02A3D2">
            <w:pPr>
              <w:spacing w:line="520" w:lineRule="exact"/>
              <w:jc w:val="center"/>
              <w:rPr>
                <w:rFonts w:hint="default" w:ascii="Times New Roman" w:hAnsi="Times New Roman" w:eastAsia="宋体" w:cs="Times New Roman"/>
                <w:b/>
                <w:color w:val="auto"/>
                <w:szCs w:val="21"/>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0E024D8F">
            <w:pPr>
              <w:spacing w:line="520" w:lineRule="exact"/>
              <w:jc w:val="center"/>
              <w:rPr>
                <w:rFonts w:hint="default" w:ascii="Times New Roman" w:hAnsi="Times New Roman" w:eastAsia="宋体" w:cs="Times New Roman"/>
                <w:b/>
                <w:color w:val="auto"/>
                <w:szCs w:val="21"/>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top"/>
          </w:tcPr>
          <w:p w14:paraId="0BE762E8">
            <w:pPr>
              <w:spacing w:line="520" w:lineRule="exact"/>
              <w:jc w:val="center"/>
              <w:rPr>
                <w:rFonts w:hint="default" w:ascii="Times New Roman" w:hAnsi="Times New Roman" w:eastAsia="宋体" w:cs="Times New Roman"/>
                <w:b/>
                <w:color w:val="auto"/>
                <w:szCs w:val="21"/>
                <w:highlight w:val="none"/>
              </w:rPr>
            </w:pPr>
          </w:p>
        </w:tc>
        <w:tc>
          <w:tcPr>
            <w:tcW w:w="1131" w:type="dxa"/>
            <w:tcBorders>
              <w:top w:val="single" w:color="auto" w:sz="4" w:space="0"/>
              <w:left w:val="single" w:color="auto" w:sz="4" w:space="0"/>
              <w:bottom w:val="single" w:color="auto" w:sz="4" w:space="0"/>
              <w:right w:val="single" w:color="auto" w:sz="4" w:space="0"/>
            </w:tcBorders>
            <w:noWrap w:val="0"/>
            <w:vAlign w:val="top"/>
          </w:tcPr>
          <w:p w14:paraId="2ECCDB2F">
            <w:pPr>
              <w:spacing w:line="520" w:lineRule="exact"/>
              <w:jc w:val="center"/>
              <w:rPr>
                <w:rFonts w:hint="default" w:ascii="Times New Roman" w:hAnsi="Times New Roman" w:eastAsia="宋体" w:cs="Times New Roman"/>
                <w:b/>
                <w:color w:val="auto"/>
                <w:szCs w:val="21"/>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36DAD7AD">
            <w:pPr>
              <w:spacing w:line="520" w:lineRule="exact"/>
              <w:jc w:val="center"/>
              <w:rPr>
                <w:rFonts w:hint="default" w:ascii="Times New Roman" w:hAnsi="Times New Roman" w:eastAsia="宋体" w:cs="Times New Roman"/>
                <w:b/>
                <w:color w:val="auto"/>
                <w:szCs w:val="21"/>
                <w:highlight w:val="none"/>
              </w:rPr>
            </w:pPr>
          </w:p>
        </w:tc>
        <w:tc>
          <w:tcPr>
            <w:tcW w:w="1592" w:type="dxa"/>
            <w:tcBorders>
              <w:top w:val="single" w:color="auto" w:sz="4" w:space="0"/>
              <w:left w:val="single" w:color="auto" w:sz="4" w:space="0"/>
              <w:bottom w:val="single" w:color="auto" w:sz="4" w:space="0"/>
              <w:right w:val="single" w:color="auto" w:sz="4" w:space="0"/>
            </w:tcBorders>
            <w:noWrap w:val="0"/>
            <w:vAlign w:val="top"/>
          </w:tcPr>
          <w:p w14:paraId="65F9566F">
            <w:pPr>
              <w:spacing w:line="520" w:lineRule="exact"/>
              <w:jc w:val="center"/>
              <w:rPr>
                <w:rFonts w:hint="default" w:ascii="Times New Roman" w:hAnsi="Times New Roman" w:eastAsia="宋体" w:cs="Times New Roman"/>
                <w:b/>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top"/>
          </w:tcPr>
          <w:p w14:paraId="5053491E">
            <w:pPr>
              <w:spacing w:line="520" w:lineRule="exact"/>
              <w:jc w:val="center"/>
              <w:rPr>
                <w:rFonts w:hint="default" w:ascii="Times New Roman" w:hAnsi="Times New Roman" w:eastAsia="宋体" w:cs="Times New Roman"/>
                <w:b/>
                <w:color w:val="auto"/>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0"/>
            <w:vAlign w:val="top"/>
          </w:tcPr>
          <w:p w14:paraId="7C34F6DD">
            <w:pPr>
              <w:spacing w:line="520" w:lineRule="exact"/>
              <w:jc w:val="center"/>
              <w:rPr>
                <w:rFonts w:hint="default" w:ascii="Times New Roman" w:hAnsi="Times New Roman" w:eastAsia="宋体" w:cs="Times New Roman"/>
                <w:b/>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top"/>
          </w:tcPr>
          <w:p w14:paraId="2346D659">
            <w:pPr>
              <w:spacing w:line="520" w:lineRule="exact"/>
              <w:jc w:val="center"/>
              <w:rPr>
                <w:rFonts w:hint="default" w:ascii="Times New Roman" w:hAnsi="Times New Roman" w:eastAsia="宋体" w:cs="Times New Roman"/>
                <w:b/>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noWrap w:val="0"/>
            <w:vAlign w:val="top"/>
          </w:tcPr>
          <w:p w14:paraId="17E74FE4">
            <w:pPr>
              <w:spacing w:line="520" w:lineRule="exact"/>
              <w:jc w:val="center"/>
              <w:rPr>
                <w:rFonts w:hint="default" w:ascii="Times New Roman" w:hAnsi="Times New Roman" w:eastAsia="宋体" w:cs="Times New Roman"/>
                <w:b/>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noWrap w:val="0"/>
            <w:vAlign w:val="top"/>
          </w:tcPr>
          <w:p w14:paraId="03E8E109">
            <w:pPr>
              <w:spacing w:line="520" w:lineRule="exact"/>
              <w:jc w:val="center"/>
              <w:rPr>
                <w:rFonts w:hint="default" w:ascii="Times New Roman" w:hAnsi="Times New Roman" w:eastAsia="宋体" w:cs="Times New Roman"/>
                <w:b/>
                <w:color w:val="auto"/>
                <w:szCs w:val="21"/>
                <w:highlight w:val="none"/>
              </w:rPr>
            </w:pPr>
          </w:p>
        </w:tc>
      </w:tr>
    </w:tbl>
    <w:p w14:paraId="4D84F8AC">
      <w:pPr>
        <w:ind w:firstLine="1260" w:firstLineChars="600"/>
        <w:rPr>
          <w:rFonts w:hint="default" w:ascii="Times New Roman" w:hAnsi="Times New Roman" w:eastAsia="宋体" w:cs="Times New Roman"/>
          <w:color w:val="auto"/>
          <w:szCs w:val="21"/>
          <w:highlight w:val="none"/>
        </w:rPr>
      </w:pPr>
    </w:p>
    <w:p w14:paraId="53A932AF">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　　　　　　　　　　　　　　　</w:t>
      </w:r>
      <w:r>
        <w:rPr>
          <w:rFonts w:hint="default" w:ascii="Times New Roman" w:hAnsi="Times New Roman" w:eastAsia="宋体" w:cs="Times New Roman"/>
          <w:color w:val="auto"/>
          <w:szCs w:val="21"/>
          <w:highlight w:val="none"/>
        </w:rPr>
        <w:t>检查单位：                                检查人员：                         检查日期：</w:t>
      </w:r>
    </w:p>
    <w:p w14:paraId="32876EBA">
      <w:pPr>
        <w:jc w:val="center"/>
        <w:rPr>
          <w:rFonts w:hint="default" w:ascii="Times New Roman" w:hAnsi="Times New Roman" w:eastAsia="宋体" w:cs="Times New Roman"/>
          <w:b/>
          <w:color w:val="auto"/>
          <w:kern w:val="0"/>
          <w:szCs w:val="21"/>
          <w:highlight w:val="none"/>
        </w:rPr>
      </w:pPr>
    </w:p>
    <w:p w14:paraId="2B6BE1E7">
      <w:pPr>
        <w:ind w:firstLine="422"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备注：本表</w:t>
      </w:r>
      <w:r>
        <w:rPr>
          <w:rFonts w:hint="default" w:ascii="Times New Roman" w:hAnsi="Times New Roman" w:eastAsia="宋体" w:cs="Times New Roman"/>
          <w:b/>
          <w:color w:val="auto"/>
          <w:szCs w:val="21"/>
          <w:highlight w:val="none"/>
          <w:lang w:eastAsia="zh-CN"/>
        </w:rPr>
        <w:t>由</w:t>
      </w:r>
      <w:r>
        <w:rPr>
          <w:rFonts w:hint="default" w:ascii="Times New Roman" w:hAnsi="Times New Roman" w:eastAsia="宋体" w:cs="Times New Roman"/>
          <w:b/>
          <w:color w:val="auto"/>
          <w:szCs w:val="21"/>
          <w:highlight w:val="none"/>
        </w:rPr>
        <w:t>社区</w:t>
      </w:r>
      <w:r>
        <w:rPr>
          <w:rFonts w:hint="default" w:ascii="Times New Roman" w:hAnsi="Times New Roman" w:eastAsia="宋体" w:cs="Times New Roman"/>
          <w:b/>
          <w:color w:val="auto"/>
          <w:szCs w:val="21"/>
          <w:highlight w:val="none"/>
          <w:lang w:eastAsia="zh-CN"/>
        </w:rPr>
        <w:t>检查</w:t>
      </w:r>
      <w:r>
        <w:rPr>
          <w:rFonts w:hint="default" w:ascii="Times New Roman" w:hAnsi="Times New Roman" w:eastAsia="宋体" w:cs="Times New Roman"/>
          <w:b/>
          <w:color w:val="auto"/>
          <w:szCs w:val="21"/>
          <w:highlight w:val="none"/>
        </w:rPr>
        <w:t>考核时</w:t>
      </w:r>
      <w:r>
        <w:rPr>
          <w:rFonts w:hint="default" w:ascii="Times New Roman" w:hAnsi="Times New Roman" w:eastAsia="宋体" w:cs="Times New Roman"/>
          <w:b/>
          <w:color w:val="auto"/>
          <w:szCs w:val="21"/>
          <w:highlight w:val="none"/>
          <w:lang w:eastAsia="zh-CN"/>
        </w:rPr>
        <w:t>使用，由社区存档</w:t>
      </w:r>
      <w:r>
        <w:rPr>
          <w:rFonts w:hint="default" w:ascii="Times New Roman" w:hAnsi="Times New Roman" w:eastAsia="宋体" w:cs="Times New Roman"/>
          <w:b/>
          <w:color w:val="auto"/>
          <w:szCs w:val="21"/>
          <w:highlight w:val="none"/>
        </w:rPr>
        <w:t>。</w:t>
      </w:r>
    </w:p>
    <w:p w14:paraId="4414DA29">
      <w:pPr>
        <w:snapToGrid w:val="0"/>
        <w:rPr>
          <w:rFonts w:hint="default" w:ascii="Times New Roman" w:hAnsi="Times New Roman" w:eastAsia="黑体" w:cs="Times New Roman"/>
          <w:color w:val="auto"/>
          <w:sz w:val="30"/>
          <w:szCs w:val="30"/>
          <w:highlight w:val="none"/>
        </w:rPr>
      </w:pPr>
    </w:p>
    <w:p w14:paraId="2177EF3C">
      <w:pPr>
        <w:snapToGrid w:val="0"/>
        <w:rPr>
          <w:rFonts w:hint="default" w:ascii="Times New Roman" w:hAnsi="Times New Roman" w:eastAsia="黑体" w:cs="Times New Roman"/>
          <w:color w:val="auto"/>
          <w:sz w:val="30"/>
          <w:szCs w:val="30"/>
          <w:highlight w:val="none"/>
        </w:rPr>
      </w:pPr>
    </w:p>
    <w:p w14:paraId="3F51333D">
      <w:pPr>
        <w:rPr>
          <w:rFonts w:hint="default" w:ascii="Times New Roman" w:hAnsi="Times New Roman" w:cs="Times New Roman"/>
          <w:b/>
          <w:color w:val="auto"/>
          <w:szCs w:val="21"/>
          <w:highlight w:val="none"/>
        </w:rPr>
        <w:sectPr>
          <w:pgSz w:w="16838" w:h="11906" w:orient="landscape"/>
          <w:pgMar w:top="1417" w:right="1134" w:bottom="1134" w:left="1134" w:header="851" w:footer="850" w:gutter="0"/>
          <w:pgNumType w:fmt="decimal"/>
          <w:cols w:space="720" w:num="1"/>
          <w:titlePg/>
          <w:rtlGutter w:val="0"/>
          <w:docGrid w:linePitch="312" w:charSpace="0"/>
        </w:sectPr>
      </w:pPr>
    </w:p>
    <w:p w14:paraId="33EF5710">
      <w:pPr>
        <w:rPr>
          <w:rFonts w:hint="default" w:ascii="Times New Roman" w:hAnsi="Times New Roman" w:eastAsia="宋体" w:cs="Times New Roman"/>
          <w:b/>
          <w:color w:val="auto"/>
          <w:szCs w:val="21"/>
          <w:highlight w:val="none"/>
        </w:rPr>
      </w:pPr>
    </w:p>
    <w:p w14:paraId="34EAA6AC">
      <w:pP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szCs w:val="21"/>
          <w:highlight w:val="none"/>
        </w:rPr>
        <w:t>附件</w:t>
      </w:r>
      <w:r>
        <w:rPr>
          <w:rFonts w:hint="default" w:ascii="Times New Roman" w:hAnsi="Times New Roman" w:eastAsia="宋体" w:cs="Times New Roman"/>
          <w:b/>
          <w:color w:val="auto"/>
          <w:szCs w:val="21"/>
          <w:highlight w:val="none"/>
          <w:lang w:val="en-US" w:eastAsia="zh-CN"/>
        </w:rPr>
        <w:t>3</w:t>
      </w:r>
    </w:p>
    <w:p w14:paraId="21936BC3">
      <w:pPr>
        <w:ind w:firstLine="1260" w:firstLineChars="600"/>
        <w:rPr>
          <w:rFonts w:hint="default" w:ascii="Times New Roman" w:hAnsi="Times New Roman" w:eastAsia="宋体" w:cs="Times New Roman"/>
          <w:color w:val="auto"/>
          <w:szCs w:val="21"/>
          <w:highlight w:val="none"/>
        </w:rPr>
      </w:pPr>
    </w:p>
    <w:p w14:paraId="79399790">
      <w:pPr>
        <w:spacing w:line="400" w:lineRule="exact"/>
        <w:jc w:val="center"/>
        <w:rPr>
          <w:rFonts w:hint="default" w:ascii="Times New Roman" w:hAnsi="Times New Roman" w:eastAsia="宋体" w:cs="Times New Roman"/>
          <w:b/>
          <w:color w:val="auto"/>
          <w:spacing w:val="30"/>
          <w:sz w:val="28"/>
          <w:highlight w:val="none"/>
        </w:rPr>
      </w:pPr>
    </w:p>
    <w:p w14:paraId="558169CE">
      <w:pPr>
        <w:spacing w:line="400" w:lineRule="exact"/>
        <w:jc w:val="center"/>
        <w:rPr>
          <w:rFonts w:hint="default" w:ascii="Times New Roman" w:hAnsi="Times New Roman" w:eastAsia="宋体" w:cs="Times New Roman"/>
          <w:b/>
          <w:color w:val="auto"/>
          <w:spacing w:val="30"/>
          <w:sz w:val="28"/>
          <w:highlight w:val="none"/>
        </w:rPr>
      </w:pPr>
      <w:r>
        <w:rPr>
          <w:rFonts w:hint="default" w:ascii="Times New Roman" w:hAnsi="Times New Roman" w:eastAsia="宋体" w:cs="Times New Roman"/>
          <w:b/>
          <w:color w:val="auto"/>
          <w:spacing w:val="30"/>
          <w:sz w:val="28"/>
          <w:highlight w:val="none"/>
        </w:rPr>
        <w:t>病媒生物防制消杀服务</w:t>
      </w:r>
      <w:r>
        <w:rPr>
          <w:rFonts w:hint="default" w:ascii="Times New Roman" w:hAnsi="Times New Roman" w:eastAsia="宋体" w:cs="Times New Roman"/>
          <w:b/>
          <w:color w:val="auto"/>
          <w:spacing w:val="30"/>
          <w:sz w:val="28"/>
          <w:highlight w:val="none"/>
          <w:lang w:eastAsia="zh-CN"/>
        </w:rPr>
        <w:t>检查考核</w:t>
      </w:r>
      <w:r>
        <w:rPr>
          <w:rFonts w:hint="default" w:ascii="Times New Roman" w:hAnsi="Times New Roman" w:eastAsia="宋体" w:cs="Times New Roman"/>
          <w:b/>
          <w:color w:val="auto"/>
          <w:spacing w:val="30"/>
          <w:sz w:val="28"/>
          <w:highlight w:val="none"/>
        </w:rPr>
        <w:t>质量</w:t>
      </w:r>
      <w:r>
        <w:rPr>
          <w:rFonts w:hint="default" w:ascii="Times New Roman" w:hAnsi="Times New Roman" w:eastAsia="宋体" w:cs="Times New Roman"/>
          <w:b/>
          <w:color w:val="auto"/>
          <w:spacing w:val="30"/>
          <w:sz w:val="28"/>
          <w:highlight w:val="none"/>
          <w:lang w:eastAsia="zh-CN"/>
        </w:rPr>
        <w:t>报告</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9"/>
        <w:gridCol w:w="3080"/>
        <w:gridCol w:w="1320"/>
        <w:gridCol w:w="2561"/>
      </w:tblGrid>
      <w:tr w14:paraId="24898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1239" w:type="dxa"/>
            <w:tcBorders>
              <w:top w:val="single" w:color="auto" w:sz="4" w:space="0"/>
              <w:left w:val="single" w:color="auto" w:sz="4" w:space="0"/>
              <w:bottom w:val="single" w:color="auto" w:sz="4" w:space="0"/>
              <w:right w:val="single" w:color="auto" w:sz="4" w:space="0"/>
            </w:tcBorders>
            <w:noWrap w:val="0"/>
            <w:vAlign w:val="center"/>
          </w:tcPr>
          <w:p w14:paraId="6CAC1BFE">
            <w:pPr>
              <w:spacing w:line="520" w:lineRule="exact"/>
              <w:jc w:val="center"/>
              <w:rPr>
                <w:rFonts w:hint="default" w:ascii="Times New Roman" w:hAnsi="Times New Roman" w:eastAsia="宋体" w:cs="Times New Roman"/>
                <w:b/>
                <w:color w:val="auto"/>
                <w:szCs w:val="21"/>
                <w:highlight w:val="none"/>
                <w:lang w:eastAsia="zh-CN"/>
              </w:rPr>
            </w:pPr>
            <w:r>
              <w:rPr>
                <w:rFonts w:hint="default" w:ascii="Times New Roman" w:hAnsi="Times New Roman" w:eastAsia="宋体" w:cs="Times New Roman"/>
                <w:b/>
                <w:color w:val="auto"/>
                <w:szCs w:val="21"/>
                <w:highlight w:val="none"/>
                <w:lang w:eastAsia="zh-CN"/>
              </w:rPr>
              <w:t>检查区域</w:t>
            </w:r>
          </w:p>
        </w:tc>
        <w:tc>
          <w:tcPr>
            <w:tcW w:w="3080" w:type="dxa"/>
            <w:tcBorders>
              <w:top w:val="single" w:color="auto" w:sz="4" w:space="0"/>
              <w:left w:val="single" w:color="auto" w:sz="4" w:space="0"/>
              <w:bottom w:val="single" w:color="auto" w:sz="4" w:space="0"/>
              <w:right w:val="single" w:color="auto" w:sz="4" w:space="0"/>
            </w:tcBorders>
            <w:noWrap w:val="0"/>
            <w:vAlign w:val="top"/>
          </w:tcPr>
          <w:p w14:paraId="580DFEED">
            <w:pPr>
              <w:spacing w:line="520" w:lineRule="exact"/>
              <w:jc w:val="center"/>
              <w:rPr>
                <w:rFonts w:hint="default" w:ascii="Times New Roman" w:hAnsi="Times New Roman" w:eastAsia="宋体" w:cs="Times New Roman"/>
                <w:b/>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746C3FE8">
            <w:pPr>
              <w:spacing w:line="520" w:lineRule="exact"/>
              <w:jc w:val="center"/>
              <w:rPr>
                <w:rFonts w:hint="default" w:ascii="Times New Roman" w:hAnsi="Times New Roman" w:eastAsia="宋体" w:cs="Times New Roman"/>
                <w:b/>
                <w:color w:val="auto"/>
                <w:szCs w:val="21"/>
                <w:highlight w:val="none"/>
                <w:lang w:val="en-US" w:eastAsia="zh-CN"/>
              </w:rPr>
            </w:pPr>
            <w:r>
              <w:rPr>
                <w:rFonts w:hint="default" w:ascii="Times New Roman" w:hAnsi="Times New Roman" w:eastAsia="宋体" w:cs="Times New Roman"/>
                <w:b/>
                <w:color w:val="auto"/>
                <w:szCs w:val="21"/>
                <w:highlight w:val="none"/>
                <w:lang w:val="en-US" w:eastAsia="zh-CN"/>
              </w:rPr>
              <w:t>检查日期</w:t>
            </w:r>
          </w:p>
        </w:tc>
        <w:tc>
          <w:tcPr>
            <w:tcW w:w="2561" w:type="dxa"/>
            <w:tcBorders>
              <w:top w:val="single" w:color="auto" w:sz="4" w:space="0"/>
              <w:left w:val="single" w:color="auto" w:sz="4" w:space="0"/>
              <w:bottom w:val="single" w:color="auto" w:sz="4" w:space="0"/>
            </w:tcBorders>
            <w:noWrap w:val="0"/>
            <w:vAlign w:val="top"/>
          </w:tcPr>
          <w:p w14:paraId="10DF2685">
            <w:pPr>
              <w:spacing w:line="520" w:lineRule="exact"/>
              <w:jc w:val="center"/>
              <w:rPr>
                <w:rFonts w:hint="default" w:ascii="Times New Roman" w:hAnsi="Times New Roman" w:eastAsia="宋体" w:cs="Times New Roman"/>
                <w:b/>
                <w:color w:val="auto"/>
                <w:szCs w:val="21"/>
                <w:highlight w:val="none"/>
              </w:rPr>
            </w:pPr>
          </w:p>
        </w:tc>
      </w:tr>
      <w:tr w14:paraId="25CEE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6" w:hRule="atLeast"/>
          <w:jc w:val="center"/>
        </w:trPr>
        <w:tc>
          <w:tcPr>
            <w:tcW w:w="1239" w:type="dxa"/>
            <w:tcBorders>
              <w:top w:val="single" w:color="auto" w:sz="4" w:space="0"/>
              <w:left w:val="single" w:color="auto" w:sz="4" w:space="0"/>
              <w:bottom w:val="single" w:color="auto" w:sz="4" w:space="0"/>
              <w:right w:val="single" w:color="auto" w:sz="4" w:space="0"/>
            </w:tcBorders>
            <w:noWrap w:val="0"/>
            <w:vAlign w:val="center"/>
          </w:tcPr>
          <w:p w14:paraId="368BC33C">
            <w:pPr>
              <w:spacing w:line="520" w:lineRule="exact"/>
              <w:jc w:val="center"/>
              <w:rPr>
                <w:rFonts w:hint="default" w:ascii="Times New Roman" w:hAnsi="Times New Roman" w:eastAsia="宋体" w:cs="Times New Roman"/>
                <w:b/>
                <w:color w:val="auto"/>
                <w:szCs w:val="21"/>
                <w:highlight w:val="none"/>
                <w:lang w:eastAsia="zh-CN"/>
              </w:rPr>
            </w:pPr>
            <w:r>
              <w:rPr>
                <w:rFonts w:hint="default" w:ascii="Times New Roman" w:hAnsi="Times New Roman" w:eastAsia="宋体" w:cs="Times New Roman"/>
                <w:b/>
                <w:color w:val="auto"/>
                <w:szCs w:val="21"/>
                <w:highlight w:val="none"/>
                <w:lang w:eastAsia="zh-CN"/>
              </w:rPr>
              <w:t>检查结果</w:t>
            </w:r>
          </w:p>
        </w:tc>
        <w:tc>
          <w:tcPr>
            <w:tcW w:w="6961" w:type="dxa"/>
            <w:gridSpan w:val="3"/>
            <w:tcBorders>
              <w:top w:val="single" w:color="auto" w:sz="4" w:space="0"/>
              <w:left w:val="single" w:color="auto" w:sz="4" w:space="0"/>
              <w:bottom w:val="single" w:color="auto" w:sz="4" w:space="0"/>
            </w:tcBorders>
            <w:noWrap w:val="0"/>
            <w:vAlign w:val="top"/>
          </w:tcPr>
          <w:p w14:paraId="6348B5A4">
            <w:pPr>
              <w:spacing w:line="520" w:lineRule="exact"/>
              <w:jc w:val="center"/>
              <w:rPr>
                <w:rFonts w:hint="default" w:ascii="Times New Roman" w:hAnsi="Times New Roman" w:eastAsia="宋体" w:cs="Times New Roman"/>
                <w:b/>
                <w:color w:val="auto"/>
                <w:szCs w:val="21"/>
                <w:highlight w:val="none"/>
              </w:rPr>
            </w:pPr>
          </w:p>
        </w:tc>
      </w:tr>
      <w:tr w14:paraId="691DE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7" w:hRule="atLeast"/>
          <w:jc w:val="center"/>
        </w:trPr>
        <w:tc>
          <w:tcPr>
            <w:tcW w:w="1239" w:type="dxa"/>
            <w:tcBorders>
              <w:top w:val="single" w:color="auto" w:sz="4" w:space="0"/>
              <w:left w:val="single" w:color="auto" w:sz="4" w:space="0"/>
              <w:bottom w:val="single" w:color="auto" w:sz="4" w:space="0"/>
              <w:right w:val="single" w:color="auto" w:sz="4" w:space="0"/>
            </w:tcBorders>
            <w:noWrap w:val="0"/>
            <w:vAlign w:val="center"/>
          </w:tcPr>
          <w:p w14:paraId="723FF07A">
            <w:pPr>
              <w:spacing w:line="520" w:lineRule="exact"/>
              <w:jc w:val="center"/>
              <w:rPr>
                <w:rFonts w:hint="default" w:ascii="Times New Roman" w:hAnsi="Times New Roman" w:eastAsia="宋体" w:cs="Times New Roman"/>
                <w:b/>
                <w:color w:val="auto"/>
                <w:szCs w:val="21"/>
                <w:highlight w:val="none"/>
                <w:lang w:eastAsia="zh-CN"/>
              </w:rPr>
            </w:pPr>
            <w:r>
              <w:rPr>
                <w:rFonts w:hint="default" w:ascii="Times New Roman" w:hAnsi="Times New Roman" w:eastAsia="宋体" w:cs="Times New Roman"/>
                <w:b/>
                <w:color w:val="auto"/>
                <w:szCs w:val="21"/>
                <w:highlight w:val="none"/>
                <w:lang w:eastAsia="zh-CN"/>
              </w:rPr>
              <w:t>整改意见</w:t>
            </w:r>
          </w:p>
        </w:tc>
        <w:tc>
          <w:tcPr>
            <w:tcW w:w="6961" w:type="dxa"/>
            <w:gridSpan w:val="3"/>
            <w:tcBorders>
              <w:top w:val="single" w:color="auto" w:sz="4" w:space="0"/>
              <w:left w:val="single" w:color="auto" w:sz="4" w:space="0"/>
              <w:bottom w:val="single" w:color="auto" w:sz="4" w:space="0"/>
            </w:tcBorders>
            <w:noWrap w:val="0"/>
            <w:vAlign w:val="top"/>
          </w:tcPr>
          <w:p w14:paraId="662041EC">
            <w:pPr>
              <w:spacing w:line="520" w:lineRule="exact"/>
              <w:jc w:val="center"/>
              <w:rPr>
                <w:rFonts w:hint="default" w:ascii="Times New Roman" w:hAnsi="Times New Roman" w:eastAsia="宋体" w:cs="Times New Roman"/>
                <w:b/>
                <w:color w:val="auto"/>
                <w:szCs w:val="21"/>
                <w:highlight w:val="none"/>
              </w:rPr>
            </w:pPr>
          </w:p>
        </w:tc>
      </w:tr>
      <w:tr w14:paraId="50C44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1239" w:type="dxa"/>
            <w:tcBorders>
              <w:top w:val="single" w:color="auto" w:sz="4" w:space="0"/>
              <w:left w:val="single" w:color="auto" w:sz="4" w:space="0"/>
              <w:bottom w:val="single" w:color="auto" w:sz="4" w:space="0"/>
              <w:right w:val="single" w:color="auto" w:sz="4" w:space="0"/>
            </w:tcBorders>
            <w:noWrap w:val="0"/>
            <w:vAlign w:val="center"/>
          </w:tcPr>
          <w:p w14:paraId="2145663A">
            <w:pPr>
              <w:spacing w:line="520" w:lineRule="exact"/>
              <w:jc w:val="center"/>
              <w:rPr>
                <w:rFonts w:hint="default" w:ascii="Times New Roman" w:hAnsi="Times New Roman" w:eastAsia="宋体" w:cs="Times New Roman"/>
                <w:b/>
                <w:color w:val="auto"/>
                <w:szCs w:val="21"/>
                <w:highlight w:val="none"/>
                <w:lang w:eastAsia="zh-CN"/>
              </w:rPr>
            </w:pPr>
            <w:r>
              <w:rPr>
                <w:rFonts w:hint="default" w:ascii="Times New Roman" w:hAnsi="Times New Roman" w:eastAsia="宋体" w:cs="Times New Roman"/>
                <w:b/>
                <w:color w:val="auto"/>
                <w:szCs w:val="21"/>
                <w:highlight w:val="none"/>
                <w:lang w:eastAsia="zh-CN"/>
              </w:rPr>
              <w:t>检查人员</w:t>
            </w:r>
          </w:p>
        </w:tc>
        <w:tc>
          <w:tcPr>
            <w:tcW w:w="6961" w:type="dxa"/>
            <w:gridSpan w:val="3"/>
            <w:tcBorders>
              <w:top w:val="single" w:color="auto" w:sz="4" w:space="0"/>
              <w:left w:val="single" w:color="auto" w:sz="4" w:space="0"/>
              <w:bottom w:val="single" w:color="auto" w:sz="4" w:space="0"/>
            </w:tcBorders>
            <w:noWrap w:val="0"/>
            <w:vAlign w:val="top"/>
          </w:tcPr>
          <w:p w14:paraId="4BDCF8E4">
            <w:pPr>
              <w:spacing w:line="520" w:lineRule="exact"/>
              <w:jc w:val="center"/>
              <w:rPr>
                <w:rFonts w:hint="default" w:ascii="Times New Roman" w:hAnsi="Times New Roman" w:eastAsia="宋体" w:cs="Times New Roman"/>
                <w:b/>
                <w:color w:val="auto"/>
                <w:szCs w:val="21"/>
                <w:highlight w:val="none"/>
              </w:rPr>
            </w:pPr>
          </w:p>
        </w:tc>
      </w:tr>
    </w:tbl>
    <w:p w14:paraId="12E7BDB9">
      <w:pPr>
        <w:ind w:firstLine="1260" w:firstLineChars="600"/>
        <w:rPr>
          <w:rFonts w:hint="default" w:ascii="Times New Roman" w:hAnsi="Times New Roman" w:eastAsia="宋体" w:cs="Times New Roman"/>
          <w:color w:val="auto"/>
          <w:szCs w:val="21"/>
          <w:highlight w:val="none"/>
        </w:rPr>
      </w:pPr>
    </w:p>
    <w:p w14:paraId="471710BC">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　　　　　　　　填报</w:t>
      </w:r>
      <w:r>
        <w:rPr>
          <w:rFonts w:hint="default" w:ascii="Times New Roman" w:hAnsi="Times New Roman" w:eastAsia="宋体" w:cs="Times New Roman"/>
          <w:color w:val="auto"/>
          <w:szCs w:val="21"/>
          <w:highlight w:val="none"/>
        </w:rPr>
        <w:t xml:space="preserve">单位：                 </w:t>
      </w:r>
      <w:r>
        <w:rPr>
          <w:rFonts w:hint="default" w:ascii="Times New Roman" w:hAnsi="Times New Roman" w:eastAsia="宋体" w:cs="Times New Roman"/>
          <w:color w:val="auto"/>
          <w:szCs w:val="21"/>
          <w:highlight w:val="none"/>
          <w:lang w:eastAsia="zh-CN"/>
        </w:rPr>
        <w:t>填报</w:t>
      </w:r>
      <w:r>
        <w:rPr>
          <w:rFonts w:hint="default" w:ascii="Times New Roman" w:hAnsi="Times New Roman" w:eastAsia="宋体" w:cs="Times New Roman"/>
          <w:color w:val="auto"/>
          <w:szCs w:val="21"/>
          <w:highlight w:val="none"/>
        </w:rPr>
        <w:t>人：           日期：</w:t>
      </w:r>
    </w:p>
    <w:p w14:paraId="08F99132">
      <w:pPr>
        <w:jc w:val="center"/>
        <w:rPr>
          <w:rFonts w:hint="default" w:ascii="Times New Roman" w:hAnsi="Times New Roman" w:eastAsia="宋体" w:cs="Times New Roman"/>
          <w:b/>
          <w:color w:val="auto"/>
          <w:kern w:val="0"/>
          <w:szCs w:val="21"/>
          <w:highlight w:val="none"/>
        </w:rPr>
      </w:pPr>
    </w:p>
    <w:p w14:paraId="338EEBFC">
      <w:pPr>
        <w:rPr>
          <w:rFonts w:hint="default" w:ascii="Times New Roman" w:hAnsi="Times New Roman" w:eastAsia="宋体" w:cs="Times New Roman"/>
          <w:b/>
          <w:color w:val="auto"/>
          <w:szCs w:val="21"/>
          <w:highlight w:val="none"/>
        </w:rPr>
        <w:sectPr>
          <w:pgSz w:w="11906" w:h="16838"/>
          <w:pgMar w:top="1134" w:right="1134" w:bottom="1134" w:left="1417" w:header="851" w:footer="850" w:gutter="0"/>
          <w:pgNumType w:fmt="decimal"/>
          <w:cols w:space="720" w:num="1"/>
          <w:titlePg/>
          <w:rtlGutter w:val="0"/>
          <w:docGrid w:linePitch="312" w:charSpace="0"/>
        </w:sectPr>
      </w:pPr>
      <w:r>
        <w:rPr>
          <w:rFonts w:hint="default" w:ascii="Times New Roman" w:hAnsi="Times New Roman" w:eastAsia="宋体" w:cs="Times New Roman"/>
          <w:b/>
          <w:color w:val="auto"/>
          <w:szCs w:val="21"/>
          <w:highlight w:val="none"/>
        </w:rPr>
        <w:t>备注：本表由社区月填报，</w:t>
      </w:r>
      <w:r>
        <w:rPr>
          <w:rFonts w:hint="default" w:ascii="Times New Roman" w:hAnsi="Times New Roman" w:eastAsia="宋体" w:cs="Times New Roman"/>
          <w:b/>
          <w:color w:val="auto"/>
          <w:szCs w:val="21"/>
          <w:highlight w:val="none"/>
          <w:lang w:eastAsia="zh-CN"/>
        </w:rPr>
        <w:t>一式三份，一份报送街道爱卫办；一份交供应商，一份留存</w:t>
      </w:r>
      <w:r>
        <w:rPr>
          <w:rFonts w:hint="default" w:ascii="Times New Roman" w:hAnsi="Times New Roman" w:eastAsia="宋体" w:cs="Times New Roman"/>
          <w:b/>
          <w:color w:val="auto"/>
          <w:szCs w:val="21"/>
          <w:highlight w:val="none"/>
        </w:rPr>
        <w:t>。</w:t>
      </w:r>
    </w:p>
    <w:p w14:paraId="595E713F">
      <w:pPr>
        <w:rPr>
          <w:rFonts w:hint="default" w:ascii="Times New Roman" w:hAnsi="Times New Roman" w:eastAsia="宋体" w:cs="Times New Roman"/>
          <w:b/>
          <w:color w:val="auto"/>
          <w:szCs w:val="21"/>
          <w:highlight w:val="none"/>
          <w:lang w:val="en-US"/>
        </w:rPr>
      </w:pPr>
      <w:r>
        <w:rPr>
          <w:rFonts w:hint="default" w:ascii="Times New Roman" w:hAnsi="Times New Roman" w:eastAsia="宋体" w:cs="Times New Roman"/>
          <w:b/>
          <w:color w:val="auto"/>
          <w:szCs w:val="21"/>
          <w:highlight w:val="none"/>
        </w:rPr>
        <w:t>附件</w:t>
      </w:r>
      <w:r>
        <w:rPr>
          <w:rFonts w:hint="default" w:ascii="Times New Roman" w:hAnsi="Times New Roman" w:eastAsia="宋体" w:cs="Times New Roman"/>
          <w:b/>
          <w:color w:val="auto"/>
          <w:szCs w:val="21"/>
          <w:highlight w:val="none"/>
          <w:lang w:val="en-US" w:eastAsia="zh-CN"/>
        </w:rPr>
        <w:t>4</w:t>
      </w:r>
    </w:p>
    <w:p w14:paraId="1D76563E">
      <w:pPr>
        <w:spacing w:line="400" w:lineRule="exact"/>
        <w:jc w:val="center"/>
        <w:rPr>
          <w:rFonts w:hint="default" w:ascii="Times New Roman" w:hAnsi="Times New Roman" w:eastAsia="宋体" w:cs="Times New Roman"/>
          <w:b/>
          <w:color w:val="auto"/>
          <w:spacing w:val="30"/>
          <w:sz w:val="28"/>
          <w:highlight w:val="none"/>
        </w:rPr>
      </w:pPr>
      <w:r>
        <w:rPr>
          <w:rFonts w:hint="default" w:ascii="Times New Roman" w:hAnsi="Times New Roman" w:eastAsia="宋体" w:cs="Times New Roman"/>
          <w:b/>
          <w:color w:val="auto"/>
          <w:spacing w:val="30"/>
          <w:sz w:val="28"/>
          <w:highlight w:val="none"/>
          <w:lang w:eastAsia="zh-CN"/>
        </w:rPr>
        <w:t>病媒生物防制消杀服务</w:t>
      </w:r>
      <w:r>
        <w:rPr>
          <w:rFonts w:hint="default" w:ascii="Times New Roman" w:hAnsi="Times New Roman" w:eastAsia="宋体" w:cs="Times New Roman"/>
          <w:b/>
          <w:color w:val="auto"/>
          <w:spacing w:val="30"/>
          <w:sz w:val="28"/>
          <w:highlight w:val="none"/>
        </w:rPr>
        <w:t>群众满意度调查表</w:t>
      </w:r>
    </w:p>
    <w:p w14:paraId="31BC4708">
      <w:pPr>
        <w:rPr>
          <w:rFonts w:hint="default" w:ascii="Times New Roman" w:hAnsi="Times New Roman" w:eastAsia="宋体" w:cs="Times New Roman"/>
          <w:color w:val="auto"/>
          <w:szCs w:val="21"/>
          <w:highlight w:val="none"/>
        </w:rPr>
      </w:pPr>
    </w:p>
    <w:p w14:paraId="270CC005">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rPr>
        <w:t xml:space="preserve">村/社区 </w:t>
      </w:r>
      <w:r>
        <w:rPr>
          <w:rFonts w:hint="default"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rPr>
        <w:t xml:space="preserve">单位                                                          </w:t>
      </w:r>
    </w:p>
    <w:p w14:paraId="344D4DAE">
      <w:pPr>
        <w:ind w:firstLine="420"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 xml:space="preserve">        </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228"/>
        <w:gridCol w:w="2520"/>
        <w:gridCol w:w="2806"/>
        <w:gridCol w:w="2664"/>
      </w:tblGrid>
      <w:tr w14:paraId="71A4BB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28" w:type="dxa"/>
            <w:noWrap w:val="0"/>
            <w:vAlign w:val="center"/>
          </w:tcPr>
          <w:p w14:paraId="33D1F03F">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评价项目</w:t>
            </w:r>
          </w:p>
        </w:tc>
        <w:tc>
          <w:tcPr>
            <w:tcW w:w="7990" w:type="dxa"/>
            <w:gridSpan w:val="3"/>
            <w:noWrap w:val="0"/>
            <w:vAlign w:val="center"/>
          </w:tcPr>
          <w:p w14:paraId="48E40A8C">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评价结论</w:t>
            </w:r>
          </w:p>
        </w:tc>
      </w:tr>
      <w:tr w14:paraId="3EB87D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228" w:type="dxa"/>
            <w:noWrap w:val="0"/>
            <w:vAlign w:val="center"/>
          </w:tcPr>
          <w:p w14:paraId="2FAD5DA1">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灭鼠效果</w:t>
            </w:r>
          </w:p>
        </w:tc>
        <w:tc>
          <w:tcPr>
            <w:tcW w:w="2520" w:type="dxa"/>
            <w:noWrap w:val="0"/>
            <w:vAlign w:val="center"/>
          </w:tcPr>
          <w:p w14:paraId="1A9911D2">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好</w:t>
            </w:r>
          </w:p>
        </w:tc>
        <w:tc>
          <w:tcPr>
            <w:tcW w:w="2806" w:type="dxa"/>
            <w:noWrap w:val="0"/>
            <w:vAlign w:val="center"/>
          </w:tcPr>
          <w:p w14:paraId="21E9086F">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一般</w:t>
            </w:r>
          </w:p>
        </w:tc>
        <w:tc>
          <w:tcPr>
            <w:tcW w:w="2664" w:type="dxa"/>
            <w:noWrap w:val="0"/>
            <w:vAlign w:val="center"/>
          </w:tcPr>
          <w:p w14:paraId="576F8A2F">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差</w:t>
            </w:r>
          </w:p>
        </w:tc>
      </w:tr>
      <w:tr w14:paraId="50692F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228" w:type="dxa"/>
            <w:noWrap w:val="0"/>
            <w:vAlign w:val="center"/>
          </w:tcPr>
          <w:p w14:paraId="50DB344A">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灭蟑效果</w:t>
            </w:r>
          </w:p>
        </w:tc>
        <w:tc>
          <w:tcPr>
            <w:tcW w:w="2520" w:type="dxa"/>
            <w:noWrap w:val="0"/>
            <w:vAlign w:val="center"/>
          </w:tcPr>
          <w:p w14:paraId="0C3092B0">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好</w:t>
            </w:r>
          </w:p>
        </w:tc>
        <w:tc>
          <w:tcPr>
            <w:tcW w:w="2806" w:type="dxa"/>
            <w:noWrap w:val="0"/>
            <w:vAlign w:val="center"/>
          </w:tcPr>
          <w:p w14:paraId="5000127B">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一般</w:t>
            </w:r>
          </w:p>
        </w:tc>
        <w:tc>
          <w:tcPr>
            <w:tcW w:w="2664" w:type="dxa"/>
            <w:noWrap w:val="0"/>
            <w:vAlign w:val="center"/>
          </w:tcPr>
          <w:p w14:paraId="132CA21E">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差</w:t>
            </w:r>
          </w:p>
        </w:tc>
      </w:tr>
      <w:tr w14:paraId="0AB0F7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228" w:type="dxa"/>
            <w:noWrap w:val="0"/>
            <w:vAlign w:val="center"/>
          </w:tcPr>
          <w:p w14:paraId="39880F2C">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灭蚊效果</w:t>
            </w:r>
          </w:p>
        </w:tc>
        <w:tc>
          <w:tcPr>
            <w:tcW w:w="2520" w:type="dxa"/>
            <w:noWrap w:val="0"/>
            <w:vAlign w:val="center"/>
          </w:tcPr>
          <w:p w14:paraId="50649EBD">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好</w:t>
            </w:r>
          </w:p>
        </w:tc>
        <w:tc>
          <w:tcPr>
            <w:tcW w:w="2806" w:type="dxa"/>
            <w:noWrap w:val="0"/>
            <w:vAlign w:val="center"/>
          </w:tcPr>
          <w:p w14:paraId="754DB998">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一般</w:t>
            </w:r>
          </w:p>
        </w:tc>
        <w:tc>
          <w:tcPr>
            <w:tcW w:w="2664" w:type="dxa"/>
            <w:noWrap w:val="0"/>
            <w:vAlign w:val="center"/>
          </w:tcPr>
          <w:p w14:paraId="2ED36106">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差</w:t>
            </w:r>
          </w:p>
        </w:tc>
      </w:tr>
      <w:tr w14:paraId="57A5E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228" w:type="dxa"/>
            <w:noWrap w:val="0"/>
            <w:vAlign w:val="center"/>
          </w:tcPr>
          <w:p w14:paraId="17DB2D0C">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灭蝇效果</w:t>
            </w:r>
          </w:p>
        </w:tc>
        <w:tc>
          <w:tcPr>
            <w:tcW w:w="2520" w:type="dxa"/>
            <w:noWrap w:val="0"/>
            <w:vAlign w:val="center"/>
          </w:tcPr>
          <w:p w14:paraId="4F389E3C">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好</w:t>
            </w:r>
          </w:p>
        </w:tc>
        <w:tc>
          <w:tcPr>
            <w:tcW w:w="2806" w:type="dxa"/>
            <w:noWrap w:val="0"/>
            <w:vAlign w:val="center"/>
          </w:tcPr>
          <w:p w14:paraId="3148431B">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一般</w:t>
            </w:r>
          </w:p>
        </w:tc>
        <w:tc>
          <w:tcPr>
            <w:tcW w:w="2664" w:type="dxa"/>
            <w:noWrap w:val="0"/>
            <w:vAlign w:val="center"/>
          </w:tcPr>
          <w:p w14:paraId="55E45009">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差</w:t>
            </w:r>
          </w:p>
        </w:tc>
      </w:tr>
      <w:tr w14:paraId="01DF14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228" w:type="dxa"/>
            <w:noWrap w:val="0"/>
            <w:vAlign w:val="center"/>
          </w:tcPr>
          <w:p w14:paraId="7EB42AF2">
            <w:pPr>
              <w:spacing w:line="4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对消杀人员服务态度的评价</w:t>
            </w:r>
          </w:p>
        </w:tc>
        <w:tc>
          <w:tcPr>
            <w:tcW w:w="2520" w:type="dxa"/>
            <w:noWrap w:val="0"/>
            <w:vAlign w:val="center"/>
          </w:tcPr>
          <w:p w14:paraId="25903D16">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满意</w:t>
            </w:r>
          </w:p>
        </w:tc>
        <w:tc>
          <w:tcPr>
            <w:tcW w:w="2806" w:type="dxa"/>
            <w:noWrap w:val="0"/>
            <w:vAlign w:val="center"/>
          </w:tcPr>
          <w:p w14:paraId="629914DD">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基本满意</w:t>
            </w:r>
          </w:p>
        </w:tc>
        <w:tc>
          <w:tcPr>
            <w:tcW w:w="2664" w:type="dxa"/>
            <w:noWrap w:val="0"/>
            <w:vAlign w:val="center"/>
          </w:tcPr>
          <w:p w14:paraId="62E9C129">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不满意</w:t>
            </w:r>
          </w:p>
        </w:tc>
      </w:tr>
      <w:tr w14:paraId="793F3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228" w:type="dxa"/>
            <w:noWrap w:val="0"/>
            <w:vAlign w:val="center"/>
          </w:tcPr>
          <w:p w14:paraId="25A82D0E">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总体评价</w:t>
            </w:r>
          </w:p>
        </w:tc>
        <w:tc>
          <w:tcPr>
            <w:tcW w:w="2520" w:type="dxa"/>
            <w:noWrap w:val="0"/>
            <w:vAlign w:val="center"/>
          </w:tcPr>
          <w:p w14:paraId="18B2B7FC">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满意</w:t>
            </w:r>
          </w:p>
        </w:tc>
        <w:tc>
          <w:tcPr>
            <w:tcW w:w="2806" w:type="dxa"/>
            <w:noWrap w:val="0"/>
            <w:vAlign w:val="center"/>
          </w:tcPr>
          <w:p w14:paraId="5D5EA084">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基本满意</w:t>
            </w:r>
          </w:p>
        </w:tc>
        <w:tc>
          <w:tcPr>
            <w:tcW w:w="2664" w:type="dxa"/>
            <w:noWrap w:val="0"/>
            <w:vAlign w:val="center"/>
          </w:tcPr>
          <w:p w14:paraId="7F67BD30">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不满意</w:t>
            </w:r>
          </w:p>
        </w:tc>
      </w:tr>
    </w:tbl>
    <w:p w14:paraId="68E3D1AB">
      <w:pPr>
        <w:tabs>
          <w:tab w:val="left" w:pos="0"/>
          <w:tab w:val="left" w:pos="993"/>
          <w:tab w:val="left" w:pos="1134"/>
        </w:tabs>
        <w:spacing w:after="120" w:line="400" w:lineRule="exact"/>
        <w:ind w:left="420" w:leftChars="200"/>
        <w:rPr>
          <w:rFonts w:hint="default" w:ascii="Times New Roman" w:hAnsi="Times New Roman" w:eastAsia="宋体" w:cs="Times New Roman"/>
          <w:color w:val="auto"/>
          <w:spacing w:val="0"/>
          <w:sz w:val="21"/>
          <w:szCs w:val="21"/>
          <w:highlight w:val="none"/>
          <w:lang w:val="en-US" w:eastAsia="zh-CN" w:bidi="ar-SA"/>
        </w:rPr>
      </w:pPr>
      <w:r>
        <w:rPr>
          <w:rFonts w:hint="default" w:ascii="Times New Roman" w:hAnsi="Times New Roman" w:eastAsia="宋体" w:cs="Times New Roman"/>
          <w:color w:val="auto"/>
          <w:spacing w:val="0"/>
          <w:sz w:val="21"/>
          <w:szCs w:val="21"/>
          <w:highlight w:val="none"/>
          <w:lang w:val="en-US" w:eastAsia="zh-CN" w:bidi="ar-SA"/>
        </w:rPr>
        <w:t>注：好：鼠、蟑、蝇明显减少；一般：鼠、蟑、蝇略有减少；差：鼠、蟑、蝇较往年差别不大。请在评价结论处打“√”表示。</w:t>
      </w:r>
    </w:p>
    <w:p w14:paraId="0486D25C">
      <w:pPr>
        <w:spacing w:line="48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建议意见：</w:t>
      </w:r>
    </w:p>
    <w:p w14:paraId="73CCB95F">
      <w:pPr>
        <w:spacing w:line="480" w:lineRule="auto"/>
        <w:ind w:firstLine="420" w:firstLineChars="200"/>
        <w:rPr>
          <w:rFonts w:hint="default" w:ascii="Times New Roman" w:hAnsi="Times New Roman" w:eastAsia="宋体" w:cs="Times New Roman"/>
          <w:color w:val="auto"/>
          <w:szCs w:val="21"/>
          <w:highlight w:val="none"/>
        </w:rPr>
      </w:pPr>
    </w:p>
    <w:p w14:paraId="229E6515">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调查单位：                            调查人：                       调查时间：</w:t>
      </w:r>
    </w:p>
    <w:p w14:paraId="6D40C1EC">
      <w:pPr>
        <w:rPr>
          <w:rFonts w:hint="default" w:ascii="Times New Roman" w:hAnsi="Times New Roman" w:eastAsia="宋体" w:cs="Times New Roman"/>
          <w:color w:val="auto"/>
          <w:szCs w:val="21"/>
          <w:highlight w:val="none"/>
        </w:rPr>
      </w:pPr>
    </w:p>
    <w:p w14:paraId="2C89EAE9">
      <w:pPr>
        <w:rPr>
          <w:rFonts w:hint="default" w:ascii="Times New Roman" w:hAnsi="Times New Roman" w:eastAsia="宋体" w:cs="Times New Roman"/>
          <w:color w:val="auto"/>
          <w:szCs w:val="21"/>
          <w:highlight w:val="none"/>
        </w:rPr>
      </w:pPr>
    </w:p>
    <w:p w14:paraId="59B2AA7D">
      <w:pPr>
        <w:keepNext w:val="0"/>
        <w:keepLines w:val="0"/>
        <w:pageBreakBefore w:val="0"/>
        <w:widowControl/>
        <w:numPr>
          <w:ilvl w:val="0"/>
          <w:numId w:val="0"/>
        </w:numPr>
        <w:kinsoku/>
        <w:wordWrap/>
        <w:overflowPunct/>
        <w:topLinePunct w:val="0"/>
        <w:autoSpaceDE/>
        <w:autoSpaceDN/>
        <w:bidi w:val="0"/>
        <w:adjustRightInd/>
        <w:spacing w:line="360" w:lineRule="auto"/>
        <w:ind w:firstLine="422" w:firstLineChars="200"/>
        <w:textAlignment w:val="auto"/>
        <w:rPr>
          <w:rFonts w:hint="eastAsia" w:ascii="宋体" w:hAnsi="宋体" w:eastAsia="宋体" w:cs="Times New Roman"/>
          <w:b/>
          <w:bCs/>
          <w:color w:val="auto"/>
          <w:szCs w:val="21"/>
          <w:highlight w:val="none"/>
          <w:lang w:val="en-US" w:eastAsia="zh-CN"/>
        </w:rPr>
        <w:sectPr>
          <w:headerReference r:id="rId10" w:type="first"/>
          <w:footerReference r:id="rId12" w:type="first"/>
          <w:headerReference r:id="rId9" w:type="default"/>
          <w:footerReference r:id="rId11" w:type="default"/>
          <w:pgSz w:w="16838" w:h="11906" w:orient="landscape"/>
          <w:pgMar w:top="1418" w:right="1276" w:bottom="1418" w:left="1247" w:header="851" w:footer="992" w:gutter="0"/>
          <w:pgNumType w:fmt="decimal"/>
          <w:cols w:space="720" w:num="1"/>
          <w:titlePg/>
          <w:docGrid w:linePitch="312" w:charSpace="0"/>
        </w:sectPr>
      </w:pPr>
      <w:r>
        <w:rPr>
          <w:rFonts w:hint="default" w:ascii="Times New Roman" w:hAnsi="Times New Roman" w:eastAsia="宋体" w:cs="Times New Roman"/>
          <w:b/>
          <w:bCs/>
          <w:color w:val="auto"/>
          <w:szCs w:val="21"/>
          <w:highlight w:val="none"/>
          <w:lang w:eastAsia="zh-CN"/>
        </w:rPr>
        <w:t>备注：此表由社区调查使用，每次调查小区居民不少于</w:t>
      </w:r>
      <w:r>
        <w:rPr>
          <w:rFonts w:hint="default" w:ascii="Times New Roman" w:hAnsi="Times New Roman" w:eastAsia="宋体" w:cs="Times New Roman"/>
          <w:b/>
          <w:bCs/>
          <w:color w:val="auto"/>
          <w:szCs w:val="21"/>
          <w:highlight w:val="none"/>
          <w:lang w:val="en-US" w:eastAsia="zh-CN"/>
        </w:rPr>
        <w:t>10人，并将调查结果汇总后报送街道爱卫办。</w:t>
      </w:r>
    </w:p>
    <w:bookmarkEnd w:id="12"/>
    <w:bookmarkEnd w:id="13"/>
    <w:bookmarkEnd w:id="14"/>
    <w:p w14:paraId="48B87842">
      <w:pPr>
        <w:pStyle w:val="4"/>
        <w:keepNext w:val="0"/>
        <w:keepLines w:val="0"/>
        <w:pageBreakBefore/>
        <w:spacing w:beforeLines="100" w:afterLines="100" w:line="240" w:lineRule="auto"/>
        <w:jc w:val="center"/>
        <w:rPr>
          <w:rFonts w:hint="default" w:ascii="Times New Roman" w:hAnsi="Times New Roman" w:cs="Times New Roman"/>
          <w:sz w:val="28"/>
          <w:szCs w:val="36"/>
          <w:highlight w:val="none"/>
        </w:rPr>
      </w:pPr>
      <w:bookmarkStart w:id="15" w:name="_Toc25360"/>
      <w:r>
        <w:rPr>
          <w:rFonts w:hint="default" w:ascii="Times New Roman" w:hAnsi="Times New Roman" w:cs="Times New Roman"/>
          <w:sz w:val="28"/>
          <w:szCs w:val="36"/>
          <w:highlight w:val="none"/>
        </w:rPr>
        <w:t>第四部分</w:t>
      </w:r>
      <w:r>
        <w:rPr>
          <w:rFonts w:hint="default" w:ascii="Times New Roman" w:hAnsi="Times New Roman" w:cs="Times New Roman"/>
          <w:sz w:val="28"/>
          <w:szCs w:val="36"/>
          <w:highlight w:val="none"/>
          <w:lang w:val="en-US" w:eastAsia="zh-CN"/>
        </w:rPr>
        <w:t xml:space="preserve">  </w:t>
      </w:r>
      <w:r>
        <w:rPr>
          <w:rFonts w:hint="default" w:ascii="Times New Roman" w:hAnsi="Times New Roman" w:cs="Times New Roman"/>
          <w:sz w:val="28"/>
          <w:szCs w:val="36"/>
          <w:highlight w:val="none"/>
        </w:rPr>
        <w:t>合同条款</w:t>
      </w:r>
      <w:bookmarkEnd w:id="15"/>
    </w:p>
    <w:p w14:paraId="5C830C66">
      <w:pPr>
        <w:keepNext w:val="0"/>
        <w:keepLines w:val="0"/>
        <w:pageBreakBefore w:val="0"/>
        <w:kinsoku/>
        <w:overflowPunct/>
        <w:topLinePunct w:val="0"/>
        <w:autoSpaceDE/>
        <w:autoSpaceDN/>
        <w:bidi w:val="0"/>
        <w:adjustRightInd/>
        <w:spacing w:line="360" w:lineRule="auto"/>
        <w:ind w:firstLine="426" w:firstLineChars="200"/>
        <w:jc w:val="center"/>
        <w:rPr>
          <w:rFonts w:hint="default" w:ascii="Times New Roman" w:hAnsi="Times New Roman" w:eastAsia="宋体" w:cs="Times New Roman"/>
          <w:b/>
          <w:bCs/>
          <w:color w:val="auto"/>
          <w:kern w:val="0"/>
          <w:sz w:val="21"/>
          <w:szCs w:val="21"/>
          <w:highlight w:val="none"/>
        </w:rPr>
      </w:pPr>
      <w:bookmarkStart w:id="16" w:name="_Toc1792"/>
      <w:r>
        <w:rPr>
          <w:rFonts w:hint="default" w:ascii="Times New Roman" w:hAnsi="Times New Roman" w:eastAsia="宋体" w:cs="Times New Roman"/>
          <w:b/>
          <w:bCs/>
          <w:color w:val="auto"/>
          <w:kern w:val="0"/>
          <w:sz w:val="21"/>
          <w:szCs w:val="21"/>
          <w:highlight w:val="none"/>
        </w:rPr>
        <w:t>一、通用必备条款部分</w:t>
      </w:r>
    </w:p>
    <w:p w14:paraId="656043F9">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合同编号：</w:t>
      </w:r>
    </w:p>
    <w:p w14:paraId="4038A3D8">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政府采购计划（预算）确认号：</w:t>
      </w:r>
    </w:p>
    <w:p w14:paraId="0663DDA6">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预算金额：1590000元</w:t>
      </w:r>
    </w:p>
    <w:p w14:paraId="1BBA0127">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采购人（以下称甲方）：海盐县卫生健康局</w:t>
      </w:r>
    </w:p>
    <w:p w14:paraId="3D62D4F8">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供应商（以下称乙方）：</w:t>
      </w:r>
    </w:p>
    <w:p w14:paraId="045FFA8F">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采购代理机构：</w:t>
      </w:r>
      <w:r>
        <w:rPr>
          <w:rFonts w:hint="default" w:ascii="Times New Roman" w:hAnsi="Times New Roman" w:eastAsia="宋体" w:cs="Times New Roman"/>
          <w:color w:val="auto"/>
          <w:kern w:val="0"/>
          <w:sz w:val="21"/>
          <w:szCs w:val="21"/>
          <w:highlight w:val="none"/>
          <w:lang w:eastAsia="zh-CN"/>
        </w:rPr>
        <w:t>嘉兴市华信工程咨询有限公司</w:t>
      </w:r>
    </w:p>
    <w:p w14:paraId="790DE5F3">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采购方式：</w:t>
      </w:r>
      <w:r>
        <w:rPr>
          <w:rFonts w:hint="default" w:ascii="Times New Roman" w:hAnsi="Times New Roman" w:eastAsia="宋体" w:cs="Times New Roman"/>
          <w:color w:val="auto"/>
          <w:kern w:val="0"/>
          <w:sz w:val="21"/>
          <w:szCs w:val="21"/>
          <w:highlight w:val="none"/>
          <w:lang w:eastAsia="zh-CN"/>
        </w:rPr>
        <w:t>竞争性磋商</w:t>
      </w:r>
    </w:p>
    <w:p w14:paraId="1ACA8F33">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根据《中华人民共和国政府采购法》、《</w:t>
      </w:r>
      <w:r>
        <w:rPr>
          <w:rFonts w:hint="default" w:ascii="Times New Roman" w:hAnsi="Times New Roman" w:eastAsia="宋体" w:cs="Times New Roman"/>
          <w:color w:val="auto"/>
          <w:kern w:val="0"/>
          <w:sz w:val="21"/>
          <w:szCs w:val="21"/>
          <w:highlight w:val="none"/>
          <w:lang w:eastAsia="zh-CN"/>
        </w:rPr>
        <w:t>中华人民共和国民法典</w:t>
      </w:r>
      <w:r>
        <w:rPr>
          <w:rFonts w:hint="default" w:ascii="Times New Roman" w:hAnsi="Times New Roman" w:eastAsia="宋体" w:cs="Times New Roman"/>
          <w:color w:val="auto"/>
          <w:kern w:val="0"/>
          <w:sz w:val="21"/>
          <w:szCs w:val="21"/>
          <w:highlight w:val="none"/>
        </w:rPr>
        <w:t>》等法律法规的规定，甲乙双方按照</w:t>
      </w:r>
      <w:r>
        <w:rPr>
          <w:rFonts w:hint="default" w:ascii="Times New Roman" w:hAnsi="Times New Roman" w:eastAsia="宋体" w:cs="Times New Roman"/>
          <w:color w:val="auto"/>
          <w:kern w:val="0"/>
          <w:sz w:val="21"/>
          <w:szCs w:val="21"/>
          <w:highlight w:val="none"/>
          <w:u w:val="single"/>
        </w:rPr>
        <w:t xml:space="preserve"> </w:t>
      </w:r>
      <w:r>
        <w:rPr>
          <w:rFonts w:hint="default" w:ascii="Times New Roman" w:hAnsi="Times New Roman" w:eastAsia="宋体" w:cs="Times New Roman"/>
          <w:color w:val="auto"/>
          <w:kern w:val="0"/>
          <w:sz w:val="21"/>
          <w:szCs w:val="21"/>
          <w:highlight w:val="none"/>
          <w:u w:val="single"/>
          <w:lang w:eastAsia="zh-CN"/>
        </w:rPr>
        <w:t>县城公共环境病媒生物防制消杀服务</w:t>
      </w:r>
      <w:r>
        <w:rPr>
          <w:rFonts w:hint="default" w:ascii="Times New Roman" w:hAnsi="Times New Roman" w:eastAsia="宋体" w:cs="Times New Roman"/>
          <w:color w:val="auto"/>
          <w:kern w:val="0"/>
          <w:sz w:val="21"/>
          <w:szCs w:val="21"/>
          <w:highlight w:val="none"/>
          <w:u w:val="single"/>
        </w:rPr>
        <w:t xml:space="preserve"> </w:t>
      </w:r>
      <w:r>
        <w:rPr>
          <w:rFonts w:hint="default" w:ascii="Times New Roman" w:hAnsi="Times New Roman" w:eastAsia="宋体" w:cs="Times New Roman"/>
          <w:color w:val="auto"/>
          <w:kern w:val="0"/>
          <w:sz w:val="21"/>
          <w:szCs w:val="21"/>
          <w:highlight w:val="none"/>
        </w:rPr>
        <w:t>项目采购结果签订本合同。</w:t>
      </w:r>
    </w:p>
    <w:p w14:paraId="66F7FF1E">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第一条 合同组成</w:t>
      </w:r>
    </w:p>
    <w:p w14:paraId="46585C5C">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本次政府采购活动的相关文件为本合同的组成部分，这些文件包括但不限于：</w:t>
      </w:r>
    </w:p>
    <w:p w14:paraId="25662FD2">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（1）本合同文本；</w:t>
      </w:r>
    </w:p>
    <w:p w14:paraId="7E81D877">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（2）采购文件与采购响应文件；</w:t>
      </w:r>
    </w:p>
    <w:p w14:paraId="49143AA7">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（3）中标或成交通知书；</w:t>
      </w:r>
    </w:p>
    <w:p w14:paraId="5486F10F">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组成本合同的所有文件必须为书面形式。政府采购合同备案时，须提供以上（1）、（3）两项，如由社会中介机构代理，须提供代理协议，合同如有变更的，须提供变更协议。</w:t>
      </w:r>
    </w:p>
    <w:p w14:paraId="5A56D0D2">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b/>
          <w:bCs/>
          <w:color w:val="auto"/>
          <w:kern w:val="0"/>
          <w:sz w:val="21"/>
          <w:szCs w:val="21"/>
          <w:highlight w:val="none"/>
        </w:rPr>
        <w:t>第二条 合同标的与相关属性</w:t>
      </w:r>
    </w:p>
    <w:p w14:paraId="4A3260FE">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本次采购的是</w:t>
      </w:r>
      <w:r>
        <w:rPr>
          <w:rFonts w:hint="default" w:ascii="Times New Roman" w:hAnsi="Times New Roman" w:eastAsia="宋体" w:cs="Times New Roman"/>
          <w:color w:val="auto"/>
          <w:kern w:val="0"/>
          <w:sz w:val="21"/>
          <w:szCs w:val="21"/>
          <w:highlight w:val="none"/>
          <w:u w:val="single"/>
        </w:rPr>
        <w:t xml:space="preserve"> </w:t>
      </w:r>
      <w:r>
        <w:rPr>
          <w:rFonts w:hint="eastAsia" w:cs="Times New Roman"/>
          <w:color w:val="auto"/>
          <w:kern w:val="0"/>
          <w:sz w:val="21"/>
          <w:szCs w:val="21"/>
          <w:highlight w:val="none"/>
          <w:u w:val="single"/>
          <w:lang w:eastAsia="zh-CN"/>
        </w:rPr>
        <w:t>县城公共环境病媒生物防制消杀服务项目（重新招标）</w:t>
      </w:r>
      <w:r>
        <w:rPr>
          <w:rFonts w:hint="default" w:ascii="Times New Roman" w:hAnsi="Times New Roman" w:eastAsia="宋体" w:cs="Times New Roman"/>
          <w:color w:val="auto"/>
          <w:kern w:val="0"/>
          <w:sz w:val="21"/>
          <w:szCs w:val="21"/>
          <w:highlight w:val="none"/>
          <w:u w:val="single"/>
        </w:rPr>
        <w:t xml:space="preserve"> </w:t>
      </w:r>
      <w:r>
        <w:rPr>
          <w:rFonts w:hint="default" w:ascii="Times New Roman" w:hAnsi="Times New Roman" w:eastAsia="宋体" w:cs="Times New Roman"/>
          <w:color w:val="auto"/>
          <w:kern w:val="0"/>
          <w:sz w:val="21"/>
          <w:szCs w:val="21"/>
          <w:highlight w:val="none"/>
        </w:rPr>
        <w:t>。</w:t>
      </w:r>
    </w:p>
    <w:p w14:paraId="30212B7E">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乙方是否属于中小微企业：□是□否</w:t>
      </w:r>
    </w:p>
    <w:p w14:paraId="5863EA3F">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b/>
          <w:bCs/>
          <w:color w:val="auto"/>
          <w:kern w:val="0"/>
          <w:sz w:val="21"/>
          <w:szCs w:val="21"/>
          <w:highlight w:val="none"/>
        </w:rPr>
        <w:t>第三条 合同价款</w:t>
      </w:r>
    </w:p>
    <w:p w14:paraId="11A85A5C">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本合同项下总价款为（大写）</w:t>
      </w:r>
      <w:r>
        <w:rPr>
          <w:rFonts w:hint="default" w:ascii="Times New Roman" w:hAnsi="Times New Roman" w:eastAsia="宋体" w:cs="Times New Roman"/>
          <w:color w:val="auto"/>
          <w:kern w:val="0"/>
          <w:sz w:val="21"/>
          <w:szCs w:val="21"/>
          <w:highlight w:val="none"/>
          <w:u w:val="single"/>
        </w:rPr>
        <w:t xml:space="preserve">              </w:t>
      </w:r>
      <w:r>
        <w:rPr>
          <w:rFonts w:hint="default" w:ascii="Times New Roman" w:hAnsi="Times New Roman" w:eastAsia="宋体" w:cs="Times New Roman"/>
          <w:color w:val="auto"/>
          <w:kern w:val="0"/>
          <w:sz w:val="21"/>
          <w:szCs w:val="21"/>
          <w:highlight w:val="none"/>
        </w:rPr>
        <w:t>人民币，</w:t>
      </w:r>
      <w:r>
        <w:rPr>
          <w:rFonts w:hint="default" w:ascii="Times New Roman" w:hAnsi="Times New Roman" w:eastAsia="宋体" w:cs="Times New Roman"/>
          <w:color w:val="auto"/>
          <w:kern w:val="0"/>
          <w:sz w:val="21"/>
          <w:szCs w:val="21"/>
          <w:highlight w:val="none"/>
          <w:lang w:eastAsia="zh-CN"/>
        </w:rPr>
        <w:t>（小写）</w:t>
      </w:r>
      <w:r>
        <w:rPr>
          <w:rFonts w:hint="default" w:ascii="Times New Roman" w:hAnsi="Times New Roman" w:eastAsia="宋体" w:cs="Times New Roman"/>
          <w:color w:val="auto"/>
          <w:kern w:val="0"/>
          <w:sz w:val="21"/>
          <w:szCs w:val="21"/>
          <w:highlight w:val="none"/>
          <w:u w:val="single"/>
          <w:lang w:val="en-US" w:eastAsia="zh-CN"/>
        </w:rPr>
        <w:t xml:space="preserve">      </w:t>
      </w:r>
      <w:r>
        <w:rPr>
          <w:rFonts w:hint="default" w:ascii="Times New Roman" w:hAnsi="Times New Roman" w:eastAsia="宋体" w:cs="Times New Roman"/>
          <w:color w:val="auto"/>
          <w:kern w:val="0"/>
          <w:sz w:val="21"/>
          <w:szCs w:val="21"/>
          <w:highlight w:val="none"/>
          <w:lang w:val="en-US" w:eastAsia="zh-CN"/>
        </w:rPr>
        <w:t>元</w:t>
      </w:r>
      <w:r>
        <w:rPr>
          <w:rFonts w:hint="default" w:ascii="Times New Roman" w:hAnsi="Times New Roman" w:eastAsia="宋体" w:cs="Times New Roman"/>
          <w:color w:val="auto"/>
          <w:kern w:val="0"/>
          <w:sz w:val="21"/>
          <w:szCs w:val="21"/>
          <w:highlight w:val="none"/>
        </w:rPr>
        <w:t>。</w:t>
      </w:r>
    </w:p>
    <w:p w14:paraId="7709A0BA">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2</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合同价格为履行合同的最终价格，包括招标文件中所要求的承包服务范围内所有消杀服务所需的药物、器械、人工、运杂、税金（包含关税</w:t>
      </w:r>
      <w:r>
        <w:rPr>
          <w:rFonts w:hint="eastAsia"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由</w:t>
      </w:r>
      <w:r>
        <w:rPr>
          <w:rFonts w:hint="eastAsia" w:ascii="Times New Roman" w:hAnsi="Times New Roman" w:eastAsia="宋体" w:cs="Times New Roman"/>
          <w:color w:val="auto"/>
          <w:kern w:val="0"/>
          <w:sz w:val="21"/>
          <w:szCs w:val="21"/>
          <w:highlight w:val="none"/>
          <w:lang w:eastAsia="zh-CN"/>
        </w:rPr>
        <w:t>乙方</w:t>
      </w:r>
      <w:r>
        <w:rPr>
          <w:rFonts w:hint="default" w:ascii="Times New Roman" w:hAnsi="Times New Roman" w:eastAsia="宋体" w:cs="Times New Roman"/>
          <w:color w:val="auto"/>
          <w:kern w:val="0"/>
          <w:sz w:val="21"/>
          <w:szCs w:val="21"/>
          <w:highlight w:val="none"/>
        </w:rPr>
        <w:t>承担的）、相关服务承诺等各项可能涉及的费用。以及完成合同所需的一切本身和不可或缺的所有工作开支、政策性文件规定及合同包含的所有风险、责任等各项全部费用并承担一切风险责任</w:t>
      </w:r>
      <w:r>
        <w:rPr>
          <w:rFonts w:hint="default" w:ascii="Times New Roman" w:hAnsi="Times New Roman" w:eastAsia="宋体" w:cs="Times New Roman"/>
          <w:color w:val="auto"/>
          <w:kern w:val="0"/>
          <w:sz w:val="21"/>
          <w:szCs w:val="21"/>
          <w:highlight w:val="none"/>
          <w:lang w:eastAsia="zh-CN"/>
        </w:rPr>
        <w:t>。</w:t>
      </w:r>
    </w:p>
    <w:p w14:paraId="47E0CD6B">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3</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本合同付款方式为以下第</w:t>
      </w:r>
      <w:r>
        <w:rPr>
          <w:rFonts w:hint="default" w:ascii="Times New Roman" w:hAnsi="Times New Roman" w:eastAsia="宋体" w:cs="Times New Roman"/>
          <w:color w:val="auto"/>
          <w:kern w:val="0"/>
          <w:sz w:val="21"/>
          <w:szCs w:val="21"/>
          <w:highlight w:val="none"/>
          <w:u w:val="single"/>
        </w:rPr>
        <w:t>（1）</w:t>
      </w:r>
      <w:r>
        <w:rPr>
          <w:rFonts w:hint="default" w:ascii="Times New Roman" w:hAnsi="Times New Roman" w:eastAsia="宋体" w:cs="Times New Roman"/>
          <w:color w:val="auto"/>
          <w:kern w:val="0"/>
          <w:sz w:val="21"/>
          <w:szCs w:val="21"/>
          <w:highlight w:val="none"/>
        </w:rPr>
        <w:t>项：</w:t>
      </w:r>
    </w:p>
    <w:p w14:paraId="04529D4A">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u w:val="single"/>
          <w:lang w:val="en-US" w:eastAsia="zh-CN"/>
        </w:rPr>
      </w:pPr>
      <w:r>
        <w:rPr>
          <w:rFonts w:hint="default" w:ascii="Times New Roman" w:hAnsi="Times New Roman" w:eastAsia="宋体" w:cs="Times New Roman"/>
          <w:color w:val="auto"/>
          <w:kern w:val="0"/>
          <w:sz w:val="21"/>
          <w:szCs w:val="21"/>
          <w:highlight w:val="none"/>
        </w:rPr>
        <w:t>（1）本合同项下的采购资金系甲方自行支付，</w:t>
      </w:r>
      <w:r>
        <w:rPr>
          <w:rFonts w:hint="default" w:ascii="Times New Roman" w:hAnsi="Times New Roman" w:eastAsia="宋体" w:cs="Times New Roman"/>
          <w:color w:val="auto"/>
          <w:kern w:val="0"/>
          <w:sz w:val="21"/>
          <w:szCs w:val="21"/>
          <w:highlight w:val="none"/>
          <w:lang w:eastAsia="zh-CN"/>
        </w:rPr>
        <w:t>每年年度合同价为合同总价的三分之一，</w:t>
      </w:r>
      <w:r>
        <w:rPr>
          <w:rFonts w:hint="default" w:ascii="Times New Roman" w:hAnsi="Times New Roman" w:eastAsia="宋体" w:cs="Times New Roman"/>
          <w:color w:val="auto"/>
          <w:kern w:val="0"/>
          <w:sz w:val="21"/>
          <w:szCs w:val="21"/>
          <w:highlight w:val="none"/>
        </w:rPr>
        <w:t>付款程序为</w:t>
      </w:r>
      <w:r>
        <w:rPr>
          <w:rFonts w:hint="default" w:ascii="Times New Roman" w:hAnsi="Times New Roman" w:eastAsia="宋体" w:cs="Times New Roman"/>
          <w:color w:val="auto"/>
          <w:kern w:val="0"/>
          <w:sz w:val="21"/>
          <w:szCs w:val="21"/>
          <w:highlight w:val="none"/>
          <w:lang w:val="en-US" w:eastAsia="zh-CN"/>
        </w:rPr>
        <w:t>：</w:t>
      </w:r>
      <w:r>
        <w:rPr>
          <w:rFonts w:hint="eastAsia" w:cs="Times New Roman"/>
          <w:color w:val="auto"/>
          <w:kern w:val="0"/>
          <w:sz w:val="21"/>
          <w:szCs w:val="21"/>
          <w:highlight w:val="none"/>
          <w:u w:val="single"/>
          <w:lang w:eastAsia="zh-CN"/>
        </w:rPr>
        <w:t>具体付款条件如下：第一年，合同生效以及具备实施条件后3个月内支付当年预算金额的40%，作为预付款；根据县、街道爱卫办和社区以及第三方对供应商消杀质量的考核评估，每次考核评估均达到合同要求或整改到位的，当年实际工作6个月后支付当年预算金额的30%；年底前经第三方综合评估且达到合同要求后于12月份支付当年预算金额的尾款。第二年和第三年，每年3月底前支付当年预算金额的40%，余款支付条件同第一年。如出现因整改而产生的需扣除供应商应付款时，在当期支付时予以扣除</w:t>
      </w:r>
      <w:r>
        <w:rPr>
          <w:rFonts w:hint="default" w:ascii="Times New Roman" w:hAnsi="Times New Roman" w:eastAsia="宋体" w:cs="Times New Roman"/>
          <w:color w:val="auto"/>
          <w:kern w:val="0"/>
          <w:sz w:val="21"/>
          <w:szCs w:val="21"/>
          <w:highlight w:val="none"/>
          <w:u w:val="single"/>
          <w:lang w:eastAsia="zh-CN"/>
        </w:rPr>
        <w:t>。</w:t>
      </w:r>
    </w:p>
    <w:p w14:paraId="1932C291">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（2）本合同项下的采购资金须财政直接支付，付款程序为</w:t>
      </w:r>
      <w:r>
        <w:rPr>
          <w:rFonts w:hint="default" w:ascii="Times New Roman" w:hAnsi="Times New Roman" w:eastAsia="宋体" w:cs="Times New Roman"/>
          <w:color w:val="auto"/>
          <w:kern w:val="0"/>
          <w:sz w:val="21"/>
          <w:szCs w:val="21"/>
          <w:highlight w:val="none"/>
          <w:u w:val="single"/>
        </w:rPr>
        <w:t xml:space="preserve">  </w:t>
      </w:r>
      <w:r>
        <w:rPr>
          <w:rFonts w:hint="default" w:ascii="Times New Roman" w:hAnsi="Times New Roman" w:eastAsia="宋体" w:cs="Times New Roman"/>
          <w:color w:val="auto"/>
          <w:kern w:val="0"/>
          <w:sz w:val="21"/>
          <w:szCs w:val="21"/>
          <w:highlight w:val="none"/>
          <w:u w:val="single"/>
          <w:lang w:val="en-US" w:eastAsia="zh-CN"/>
        </w:rPr>
        <w:t>/</w:t>
      </w:r>
      <w:r>
        <w:rPr>
          <w:rFonts w:hint="default" w:ascii="Times New Roman" w:hAnsi="Times New Roman" w:eastAsia="宋体" w:cs="Times New Roman"/>
          <w:color w:val="auto"/>
          <w:kern w:val="0"/>
          <w:sz w:val="21"/>
          <w:szCs w:val="21"/>
          <w:highlight w:val="none"/>
          <w:u w:val="single"/>
        </w:rPr>
        <w:t xml:space="preserve">  </w:t>
      </w:r>
      <w:r>
        <w:rPr>
          <w:rFonts w:hint="default" w:ascii="Times New Roman" w:hAnsi="Times New Roman" w:eastAsia="宋体" w:cs="Times New Roman"/>
          <w:color w:val="auto"/>
          <w:kern w:val="0"/>
          <w:sz w:val="21"/>
          <w:szCs w:val="21"/>
          <w:highlight w:val="none"/>
        </w:rPr>
        <w:t>；</w:t>
      </w:r>
    </w:p>
    <w:p w14:paraId="50F0E628">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（3）其他方式：</w:t>
      </w:r>
      <w:r>
        <w:rPr>
          <w:rFonts w:hint="default" w:ascii="Times New Roman" w:hAnsi="Times New Roman" w:eastAsia="宋体" w:cs="Times New Roman"/>
          <w:color w:val="auto"/>
          <w:kern w:val="0"/>
          <w:sz w:val="21"/>
          <w:szCs w:val="21"/>
          <w:highlight w:val="none"/>
          <w:u w:val="single"/>
        </w:rPr>
        <w:t xml:space="preserve">  </w:t>
      </w:r>
      <w:r>
        <w:rPr>
          <w:rFonts w:hint="default" w:ascii="Times New Roman" w:hAnsi="Times New Roman" w:eastAsia="宋体" w:cs="Times New Roman"/>
          <w:color w:val="auto"/>
          <w:kern w:val="0"/>
          <w:sz w:val="21"/>
          <w:szCs w:val="21"/>
          <w:highlight w:val="none"/>
          <w:u w:val="single"/>
          <w:lang w:val="en-US" w:eastAsia="zh-CN"/>
        </w:rPr>
        <w:t xml:space="preserve">/ </w:t>
      </w:r>
      <w:r>
        <w:rPr>
          <w:rFonts w:hint="default" w:ascii="Times New Roman" w:hAnsi="Times New Roman" w:eastAsia="宋体" w:cs="Times New Roman"/>
          <w:color w:val="auto"/>
          <w:kern w:val="0"/>
          <w:sz w:val="21"/>
          <w:szCs w:val="21"/>
          <w:highlight w:val="none"/>
          <w:u w:val="none"/>
          <w:lang w:val="en-US" w:eastAsia="zh-CN"/>
        </w:rPr>
        <w:t>。</w:t>
      </w:r>
      <w:r>
        <w:rPr>
          <w:rFonts w:hint="default" w:ascii="Times New Roman" w:hAnsi="Times New Roman" w:eastAsia="宋体" w:cs="Times New Roman"/>
          <w:color w:val="auto"/>
          <w:kern w:val="0"/>
          <w:sz w:val="21"/>
          <w:szCs w:val="21"/>
          <w:highlight w:val="none"/>
          <w:u w:val="single"/>
          <w:lang w:val="en-US" w:eastAsia="zh-CN"/>
        </w:rPr>
        <w:t xml:space="preserve">  </w:t>
      </w:r>
      <w:r>
        <w:rPr>
          <w:rFonts w:hint="default" w:ascii="Times New Roman" w:hAnsi="Times New Roman" w:eastAsia="宋体" w:cs="Times New Roman"/>
          <w:color w:val="auto"/>
          <w:kern w:val="0"/>
          <w:sz w:val="21"/>
          <w:szCs w:val="21"/>
          <w:highlight w:val="none"/>
          <w:u w:val="single"/>
        </w:rPr>
        <w:t xml:space="preserve">  </w:t>
      </w:r>
    </w:p>
    <w:p w14:paraId="14D5C85C">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4</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本合同项下的采购资金付款进度按招投标文件规定，未规定时按以下第</w:t>
      </w:r>
      <w:r>
        <w:rPr>
          <w:rFonts w:hint="default" w:ascii="Times New Roman" w:hAnsi="Times New Roman" w:eastAsia="宋体" w:cs="Times New Roman"/>
          <w:color w:val="auto"/>
          <w:kern w:val="0"/>
          <w:sz w:val="21"/>
          <w:szCs w:val="21"/>
          <w:highlight w:val="none"/>
          <w:u w:val="single"/>
        </w:rPr>
        <w:t>（2）</w:t>
      </w:r>
      <w:r>
        <w:rPr>
          <w:rFonts w:hint="default" w:ascii="Times New Roman" w:hAnsi="Times New Roman" w:eastAsia="宋体" w:cs="Times New Roman"/>
          <w:color w:val="auto"/>
          <w:kern w:val="0"/>
          <w:sz w:val="21"/>
          <w:szCs w:val="21"/>
          <w:highlight w:val="none"/>
        </w:rPr>
        <w:t>项支付：</w:t>
      </w:r>
    </w:p>
    <w:p w14:paraId="46C249CF">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（1）一次性付款：乙方合同履行达到</w:t>
      </w:r>
      <w:r>
        <w:rPr>
          <w:rFonts w:hint="default" w:ascii="Times New Roman" w:hAnsi="Times New Roman" w:eastAsia="宋体" w:cs="Times New Roman"/>
          <w:color w:val="auto"/>
          <w:kern w:val="0"/>
          <w:sz w:val="21"/>
          <w:szCs w:val="21"/>
          <w:highlight w:val="none"/>
          <w:u w:val="single"/>
        </w:rPr>
        <w:t xml:space="preserve">  </w:t>
      </w:r>
      <w:r>
        <w:rPr>
          <w:rFonts w:hint="default" w:ascii="Times New Roman" w:hAnsi="Times New Roman" w:eastAsia="宋体" w:cs="Times New Roman"/>
          <w:color w:val="auto"/>
          <w:kern w:val="0"/>
          <w:sz w:val="21"/>
          <w:szCs w:val="21"/>
          <w:highlight w:val="none"/>
          <w:u w:val="single"/>
          <w:lang w:val="en-US" w:eastAsia="zh-CN"/>
        </w:rPr>
        <w:t>/</w:t>
      </w:r>
      <w:r>
        <w:rPr>
          <w:rFonts w:hint="default" w:ascii="Times New Roman" w:hAnsi="Times New Roman" w:eastAsia="宋体" w:cs="Times New Roman"/>
          <w:color w:val="auto"/>
          <w:kern w:val="0"/>
          <w:sz w:val="21"/>
          <w:szCs w:val="21"/>
          <w:highlight w:val="none"/>
          <w:u w:val="single"/>
        </w:rPr>
        <w:t xml:space="preserve">  </w:t>
      </w:r>
      <w:r>
        <w:rPr>
          <w:rFonts w:hint="default" w:ascii="Times New Roman" w:hAnsi="Times New Roman" w:eastAsia="宋体" w:cs="Times New Roman"/>
          <w:color w:val="auto"/>
          <w:kern w:val="0"/>
          <w:sz w:val="21"/>
          <w:szCs w:val="21"/>
          <w:highlight w:val="none"/>
        </w:rPr>
        <w:t>（条件）时，一次性付款；</w:t>
      </w:r>
    </w:p>
    <w:p w14:paraId="6277C308">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u w:val="single"/>
          <w:lang w:val="en-US" w:eastAsia="zh-CN"/>
        </w:rPr>
      </w:pPr>
      <w:r>
        <w:rPr>
          <w:rFonts w:hint="default" w:ascii="Times New Roman" w:hAnsi="Times New Roman" w:eastAsia="宋体" w:cs="Times New Roman"/>
          <w:color w:val="auto"/>
          <w:kern w:val="0"/>
          <w:sz w:val="21"/>
          <w:szCs w:val="21"/>
          <w:highlight w:val="none"/>
        </w:rPr>
        <w:t>（2）分期付款</w:t>
      </w:r>
      <w:r>
        <w:rPr>
          <w:rFonts w:hint="default" w:ascii="Times New Roman" w:hAnsi="Times New Roman" w:eastAsia="宋体" w:cs="Times New Roman"/>
          <w:color w:val="auto"/>
          <w:kern w:val="0"/>
          <w:sz w:val="21"/>
          <w:szCs w:val="21"/>
          <w:highlight w:val="none"/>
          <w:lang w:eastAsia="zh-CN"/>
        </w:rPr>
        <w:t>：</w:t>
      </w:r>
      <w:r>
        <w:rPr>
          <w:rFonts w:hint="eastAsia" w:cs="Times New Roman"/>
          <w:color w:val="auto"/>
          <w:kern w:val="0"/>
          <w:sz w:val="21"/>
          <w:szCs w:val="21"/>
          <w:highlight w:val="none"/>
          <w:u w:val="single"/>
          <w:lang w:eastAsia="zh-CN"/>
        </w:rPr>
        <w:t>具体付款条件如下：第一年，合同生效以及具备实施条件后3个月内支付当年预算金额的40%，作为预付款；根据县、街道爱卫办和社区以及第三方对供应商消杀质量的考核评估，每次考核评估均达到合同要求或整改到位的，当年实际工作6个月后支付当年预算金额的30%；年底前经第三方综合评估且达到合同要求后于12月份支付当年预算金额的尾款。第二年和第三年，每年3月底前支付当年预算金额的40%，余款支付条件同第一年。如出现因整改而产生的需扣除供应商应付款时，在当期支付时予以扣除。</w:t>
      </w:r>
    </w:p>
    <w:p w14:paraId="161DDB8A">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第四条 履约保证金</w:t>
      </w:r>
    </w:p>
    <w:p w14:paraId="3091B89B">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按以下第</w:t>
      </w:r>
      <w:r>
        <w:rPr>
          <w:rFonts w:hint="default" w:ascii="Times New Roman" w:hAnsi="Times New Roman" w:eastAsia="宋体" w:cs="Times New Roman"/>
          <w:color w:val="auto"/>
          <w:kern w:val="0"/>
          <w:sz w:val="21"/>
          <w:szCs w:val="21"/>
          <w:highlight w:val="none"/>
          <w:u w:val="single"/>
        </w:rPr>
        <w:t>(</w:t>
      </w:r>
      <w:r>
        <w:rPr>
          <w:rFonts w:hint="default" w:ascii="Times New Roman" w:hAnsi="Times New Roman" w:eastAsia="宋体" w:cs="Times New Roman"/>
          <w:color w:val="auto"/>
          <w:kern w:val="0"/>
          <w:sz w:val="21"/>
          <w:szCs w:val="21"/>
          <w:highlight w:val="none"/>
          <w:u w:val="single"/>
          <w:lang w:val="en-US" w:eastAsia="zh-CN"/>
        </w:rPr>
        <w:t>2</w:t>
      </w:r>
      <w:r>
        <w:rPr>
          <w:rFonts w:hint="default" w:ascii="Times New Roman" w:hAnsi="Times New Roman" w:eastAsia="宋体" w:cs="Times New Roman"/>
          <w:color w:val="auto"/>
          <w:kern w:val="0"/>
          <w:sz w:val="21"/>
          <w:szCs w:val="21"/>
          <w:highlight w:val="none"/>
          <w:u w:val="single"/>
        </w:rPr>
        <w:t>)</w:t>
      </w:r>
      <w:r>
        <w:rPr>
          <w:rFonts w:hint="default" w:ascii="Times New Roman" w:hAnsi="Times New Roman" w:eastAsia="宋体" w:cs="Times New Roman"/>
          <w:color w:val="auto"/>
          <w:kern w:val="0"/>
          <w:sz w:val="21"/>
          <w:szCs w:val="21"/>
          <w:highlight w:val="none"/>
        </w:rPr>
        <w:t>项处理：</w:t>
      </w:r>
    </w:p>
    <w:p w14:paraId="1D2B4C55">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lang w:val="en-US" w:eastAsia="zh-CN"/>
        </w:rPr>
        <w:t>1</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本项目设置履约保证金，按合同总金额的</w:t>
      </w:r>
      <w:r>
        <w:rPr>
          <w:rFonts w:hint="default" w:ascii="Times New Roman" w:hAnsi="Times New Roman" w:eastAsia="宋体" w:cs="Times New Roman"/>
          <w:color w:val="auto"/>
          <w:kern w:val="0"/>
          <w:sz w:val="21"/>
          <w:szCs w:val="21"/>
          <w:highlight w:val="none"/>
          <w:u w:val="single"/>
        </w:rPr>
        <w:t xml:space="preserve">  </w:t>
      </w:r>
      <w:r>
        <w:rPr>
          <w:rFonts w:hint="default" w:ascii="Times New Roman" w:hAnsi="Times New Roman" w:eastAsia="宋体" w:cs="Times New Roman"/>
          <w:color w:val="auto"/>
          <w:kern w:val="0"/>
          <w:sz w:val="21"/>
          <w:szCs w:val="21"/>
          <w:highlight w:val="none"/>
          <w:u w:val="single"/>
          <w:lang w:val="en-US" w:eastAsia="zh-CN"/>
        </w:rPr>
        <w:t>/</w:t>
      </w:r>
      <w:r>
        <w:rPr>
          <w:rFonts w:hint="default" w:ascii="Times New Roman" w:hAnsi="Times New Roman" w:eastAsia="宋体" w:cs="Times New Roman"/>
          <w:color w:val="auto"/>
          <w:kern w:val="0"/>
          <w:sz w:val="21"/>
          <w:szCs w:val="21"/>
          <w:highlight w:val="none"/>
          <w:u w:val="single"/>
        </w:rPr>
        <w:t xml:space="preserve">  </w:t>
      </w:r>
      <w:r>
        <w:rPr>
          <w:rFonts w:hint="default" w:ascii="Times New Roman" w:hAnsi="Times New Roman" w:eastAsia="宋体" w:cs="Times New Roman"/>
          <w:color w:val="auto"/>
          <w:kern w:val="0"/>
          <w:sz w:val="21"/>
          <w:szCs w:val="21"/>
          <w:highlight w:val="none"/>
        </w:rPr>
        <w:t>计收，成交人在中标通知书发出后7日内缴到</w:t>
      </w:r>
      <w:r>
        <w:rPr>
          <w:rFonts w:hint="eastAsia" w:ascii="Times New Roman" w:hAnsi="Times New Roman" w:eastAsia="宋体" w:cs="Times New Roman"/>
          <w:color w:val="auto"/>
          <w:kern w:val="0"/>
          <w:sz w:val="21"/>
          <w:szCs w:val="21"/>
          <w:highlight w:val="none"/>
          <w:lang w:eastAsia="zh-CN"/>
        </w:rPr>
        <w:t>甲方</w:t>
      </w:r>
      <w:r>
        <w:rPr>
          <w:rFonts w:hint="default" w:ascii="Times New Roman" w:hAnsi="Times New Roman" w:eastAsia="宋体" w:cs="Times New Roman"/>
          <w:color w:val="auto"/>
          <w:kern w:val="0"/>
          <w:sz w:val="21"/>
          <w:szCs w:val="21"/>
          <w:highlight w:val="none"/>
        </w:rPr>
        <w:t>指定帐户，合同履行完毕后凭《政府采购验收单》向成交人无息退还。</w:t>
      </w:r>
    </w:p>
    <w:p w14:paraId="2EAF3C7B">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本项目不设置履约保证金</w:t>
      </w:r>
      <w:r>
        <w:rPr>
          <w:rFonts w:hint="default" w:ascii="Times New Roman" w:hAnsi="Times New Roman" w:eastAsia="宋体" w:cs="Times New Roman"/>
          <w:color w:val="auto"/>
          <w:kern w:val="0"/>
          <w:sz w:val="21"/>
          <w:szCs w:val="21"/>
          <w:highlight w:val="none"/>
          <w:lang w:eastAsia="zh-CN"/>
        </w:rPr>
        <w:t>。</w:t>
      </w:r>
    </w:p>
    <w:p w14:paraId="59E06346">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第五条 合同的变更和终止</w:t>
      </w:r>
    </w:p>
    <w:p w14:paraId="39902B8E">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除《政府采购法》第49条、第50条第二款规定的情形外，本合同一经签订，甲乙双方不得擅自终止合同或对合同实质性条款进行变更。确有特殊情况的，须经同级财政部门备案同意</w:t>
      </w:r>
      <w:r>
        <w:rPr>
          <w:rFonts w:hint="default" w:ascii="Times New Roman" w:hAnsi="Times New Roman" w:eastAsia="宋体" w:cs="Times New Roman"/>
          <w:color w:val="auto"/>
          <w:kern w:val="0"/>
          <w:sz w:val="21"/>
          <w:szCs w:val="21"/>
          <w:highlight w:val="none"/>
          <w:lang w:eastAsia="zh-CN"/>
        </w:rPr>
        <w:t>，如果第三方评估不达标或考核不通过即终止合同。</w:t>
      </w:r>
    </w:p>
    <w:p w14:paraId="5A4021D1">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第六条 合同的转让与分包</w:t>
      </w:r>
    </w:p>
    <w:p w14:paraId="42EBEDD3">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乙方不得擅自部分或全部转让其应履行的合同义务。乙方分包的，应经过甲方书面同意。</w:t>
      </w:r>
    </w:p>
    <w:p w14:paraId="0D4EF48C">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第七条 违约责任</w:t>
      </w:r>
    </w:p>
    <w:p w14:paraId="753B7DBC">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1</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甲方每季度考核，乙方未能达到承包质量要求的，给予书面警告、并限期改正，在限期内整改达到合同要求的，扣</w:t>
      </w:r>
      <w:r>
        <w:rPr>
          <w:rFonts w:hint="default" w:ascii="Times New Roman" w:hAnsi="Times New Roman" w:eastAsia="宋体" w:cs="Times New Roman"/>
          <w:color w:val="auto"/>
          <w:kern w:val="0"/>
          <w:sz w:val="21"/>
          <w:szCs w:val="21"/>
          <w:highlight w:val="none"/>
          <w:lang w:eastAsia="zh-CN"/>
        </w:rPr>
        <w:t>年度</w:t>
      </w:r>
      <w:r>
        <w:rPr>
          <w:rFonts w:hint="default" w:ascii="Times New Roman" w:hAnsi="Times New Roman" w:eastAsia="宋体" w:cs="Times New Roman"/>
          <w:color w:val="auto"/>
          <w:kern w:val="0"/>
          <w:sz w:val="21"/>
          <w:szCs w:val="21"/>
          <w:highlight w:val="none"/>
        </w:rPr>
        <w:t>应付金额的</w:t>
      </w:r>
      <w:r>
        <w:rPr>
          <w:rFonts w:hint="default" w:ascii="Times New Roman" w:hAnsi="Times New Roman" w:eastAsia="宋体" w:cs="Times New Roman"/>
          <w:color w:val="auto"/>
          <w:kern w:val="0"/>
          <w:sz w:val="21"/>
          <w:szCs w:val="21"/>
          <w:highlight w:val="none"/>
          <w:lang w:val="en-US" w:eastAsia="zh-CN"/>
        </w:rPr>
        <w:t>0.5</w:t>
      </w:r>
      <w:r>
        <w:rPr>
          <w:rFonts w:hint="default" w:ascii="Times New Roman" w:hAnsi="Times New Roman" w:eastAsia="宋体" w:cs="Times New Roman"/>
          <w:color w:val="auto"/>
          <w:kern w:val="0"/>
          <w:sz w:val="21"/>
          <w:szCs w:val="21"/>
          <w:highlight w:val="none"/>
        </w:rPr>
        <w:t>-</w:t>
      </w:r>
      <w:r>
        <w:rPr>
          <w:rFonts w:hint="default" w:ascii="Times New Roman" w:hAnsi="Times New Roman" w:eastAsia="宋体"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rPr>
        <w:t>%；未在限期内改正，或经两次整改后仍不能达到合同要求的，即时终止合同，余下部分不再执行。</w:t>
      </w:r>
    </w:p>
    <w:p w14:paraId="3163F386">
      <w:pPr>
        <w:keepNext w:val="0"/>
        <w:keepLines w:val="0"/>
        <w:pageBreakBefore w:val="0"/>
        <w:widowControl w:val="0"/>
        <w:kinsoku/>
        <w:wordWrap/>
        <w:overflowPunct/>
        <w:topLinePunct w:val="0"/>
        <w:autoSpaceDE/>
        <w:autoSpaceDN/>
        <w:bidi w:val="0"/>
        <w:adjustRightInd/>
        <w:snapToGrid w:val="0"/>
        <w:spacing w:before="0" w:after="0" w:line="360" w:lineRule="auto"/>
        <w:ind w:firstLine="426" w:firstLineChars="200"/>
        <w:jc w:val="both"/>
        <w:textAlignment w:val="auto"/>
        <w:rPr>
          <w:rFonts w:hint="default"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2.甲方</w:t>
      </w:r>
      <w:r>
        <w:rPr>
          <w:rFonts w:hint="default" w:ascii="Times New Roman" w:hAnsi="Times New Roman" w:eastAsia="宋体" w:cs="Times New Roman"/>
          <w:color w:val="auto"/>
          <w:kern w:val="2"/>
          <w:sz w:val="21"/>
          <w:szCs w:val="21"/>
          <w:highlight w:val="none"/>
          <w:lang w:val="en-US" w:eastAsia="zh-CN" w:bidi="ar-SA"/>
        </w:rPr>
        <w:t>会同武原街道爱卫办每半年组织1次考核，</w:t>
      </w:r>
      <w:r>
        <w:rPr>
          <w:rFonts w:hint="default" w:ascii="Times New Roman" w:hAnsi="Times New Roman" w:eastAsia="宋体" w:cs="Times New Roman"/>
          <w:color w:val="auto"/>
          <w:kern w:val="0"/>
          <w:sz w:val="21"/>
          <w:szCs w:val="21"/>
          <w:highlight w:val="none"/>
          <w:lang w:val="en-US" w:eastAsia="zh-CN" w:bidi="ar-SA"/>
        </w:rPr>
        <w:t>乙方</w:t>
      </w:r>
      <w:r>
        <w:rPr>
          <w:rFonts w:hint="default" w:ascii="Times New Roman" w:hAnsi="Times New Roman" w:eastAsia="宋体" w:cs="Times New Roman"/>
          <w:color w:val="auto"/>
          <w:kern w:val="2"/>
          <w:sz w:val="21"/>
          <w:szCs w:val="21"/>
          <w:highlight w:val="none"/>
          <w:lang w:val="en-US" w:eastAsia="zh-CN" w:bidi="ar-SA"/>
        </w:rPr>
        <w:t>未能达到质量要求的，给予书面警告、并限期改正，在限期内整改达到合同要求的，扣年度应付金额的5-15%；未在限期内改正，或经两次整改后仍不能达到合同要求的，即时终止合同，余下部分不再执行。</w:t>
      </w:r>
    </w:p>
    <w:p w14:paraId="54847A42">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甲方不按第八条规定执行，乙方有权向甲方提出要求，也可向甲方上级部门申诉，督促甲方执行。</w:t>
      </w:r>
    </w:p>
    <w:p w14:paraId="2682FDD0">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第八条 不可抗力事件处理</w:t>
      </w:r>
    </w:p>
    <w:p w14:paraId="6DE9BF4C">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在合同有效期内，任何一方因不可抗力事件导致不能履行合同的，合同履行期可延长，其延长期与不可抗力影响期相同。</w:t>
      </w:r>
    </w:p>
    <w:p w14:paraId="501CD014">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不可抗力事件发生后，应立即通知对方，并寄送有关权威机构出具的证明。</w:t>
      </w:r>
    </w:p>
    <w:p w14:paraId="4569F60C">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rPr>
        <w:t>3</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不可抗力事件延续120天以上，双方应通过友好协商，确定是否继续履行合同。</w:t>
      </w:r>
    </w:p>
    <w:p w14:paraId="0103799C">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第</w:t>
      </w:r>
      <w:r>
        <w:rPr>
          <w:rFonts w:hint="default" w:ascii="Times New Roman" w:hAnsi="Times New Roman" w:eastAsia="宋体" w:cs="Times New Roman"/>
          <w:b/>
          <w:bCs/>
          <w:color w:val="auto"/>
          <w:kern w:val="0"/>
          <w:sz w:val="21"/>
          <w:szCs w:val="21"/>
          <w:highlight w:val="none"/>
          <w:lang w:eastAsia="zh-CN"/>
        </w:rPr>
        <w:t>九</w:t>
      </w:r>
      <w:r>
        <w:rPr>
          <w:rFonts w:hint="default" w:ascii="Times New Roman" w:hAnsi="Times New Roman" w:eastAsia="宋体" w:cs="Times New Roman"/>
          <w:b/>
          <w:bCs/>
          <w:color w:val="auto"/>
          <w:kern w:val="0"/>
          <w:sz w:val="21"/>
          <w:szCs w:val="21"/>
          <w:highlight w:val="none"/>
        </w:rPr>
        <w:t>条 争议的解决</w:t>
      </w:r>
    </w:p>
    <w:p w14:paraId="13B5CBF7">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因履行本合同引起的或与本合同有关的争议，甲、乙双方应首先通过友好协商解决，如果协商不能解决争议，则采取以下第（1）种方式解决争议：</w:t>
      </w:r>
    </w:p>
    <w:p w14:paraId="289DA7E4">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（1）向甲方所在地有管辖权的人民法院提起诉讼；</w:t>
      </w:r>
    </w:p>
    <w:p w14:paraId="1345976B">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（2）向</w:t>
      </w:r>
      <w:r>
        <w:rPr>
          <w:rFonts w:hint="default" w:ascii="Times New Roman" w:hAnsi="Times New Roman" w:eastAsia="宋体" w:cs="Times New Roman"/>
          <w:color w:val="auto"/>
          <w:kern w:val="0"/>
          <w:sz w:val="21"/>
          <w:szCs w:val="21"/>
          <w:highlight w:val="none"/>
          <w:u w:val="single"/>
        </w:rPr>
        <w:t xml:space="preserve">    </w:t>
      </w:r>
      <w:r>
        <w:rPr>
          <w:rFonts w:hint="eastAsia" w:ascii="Times New Roman" w:hAnsi="Times New Roman" w:eastAsia="宋体" w:cs="Times New Roman"/>
          <w:color w:val="auto"/>
          <w:kern w:val="0"/>
          <w:sz w:val="21"/>
          <w:szCs w:val="21"/>
          <w:highlight w:val="none"/>
          <w:u w:val="single"/>
          <w:lang w:val="en-US" w:eastAsia="zh-CN"/>
        </w:rPr>
        <w:t>/</w:t>
      </w:r>
      <w:r>
        <w:rPr>
          <w:rFonts w:hint="default" w:ascii="Times New Roman" w:hAnsi="Times New Roman" w:eastAsia="宋体" w:cs="Times New Roman"/>
          <w:color w:val="auto"/>
          <w:kern w:val="0"/>
          <w:sz w:val="21"/>
          <w:szCs w:val="21"/>
          <w:highlight w:val="none"/>
          <w:u w:val="single"/>
        </w:rPr>
        <w:t xml:space="preserve">     </w:t>
      </w:r>
      <w:r>
        <w:rPr>
          <w:rFonts w:hint="default" w:ascii="Times New Roman" w:hAnsi="Times New Roman" w:eastAsia="宋体" w:cs="Times New Roman"/>
          <w:color w:val="auto"/>
          <w:kern w:val="0"/>
          <w:sz w:val="21"/>
          <w:szCs w:val="21"/>
          <w:highlight w:val="none"/>
        </w:rPr>
        <w:t>仲裁委员申请仲裁。</w:t>
      </w:r>
    </w:p>
    <w:p w14:paraId="01ABBA47">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第</w:t>
      </w:r>
      <w:r>
        <w:rPr>
          <w:rFonts w:hint="default" w:ascii="Times New Roman" w:hAnsi="Times New Roman" w:eastAsia="宋体" w:cs="Times New Roman"/>
          <w:b/>
          <w:bCs/>
          <w:color w:val="auto"/>
          <w:kern w:val="0"/>
          <w:sz w:val="21"/>
          <w:szCs w:val="21"/>
          <w:highlight w:val="none"/>
          <w:lang w:eastAsia="zh-CN"/>
        </w:rPr>
        <w:t>十</w:t>
      </w:r>
      <w:r>
        <w:rPr>
          <w:rFonts w:hint="default" w:ascii="Times New Roman" w:hAnsi="Times New Roman" w:eastAsia="宋体" w:cs="Times New Roman"/>
          <w:b/>
          <w:bCs/>
          <w:color w:val="auto"/>
          <w:kern w:val="0"/>
          <w:sz w:val="21"/>
          <w:szCs w:val="21"/>
          <w:highlight w:val="none"/>
        </w:rPr>
        <w:t>条 合同备案及其他</w:t>
      </w:r>
    </w:p>
    <w:p w14:paraId="43D89AB5">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FF0000"/>
          <w:kern w:val="0"/>
          <w:sz w:val="21"/>
          <w:szCs w:val="21"/>
          <w:highlight w:val="none"/>
        </w:rPr>
      </w:pPr>
      <w:r>
        <w:rPr>
          <w:rFonts w:hint="default" w:ascii="Times New Roman" w:hAnsi="Times New Roman" w:eastAsia="宋体" w:cs="Times New Roman"/>
          <w:color w:val="auto"/>
          <w:kern w:val="0"/>
          <w:sz w:val="21"/>
          <w:szCs w:val="21"/>
          <w:highlight w:val="none"/>
        </w:rPr>
        <w:t>本合同一式</w:t>
      </w:r>
      <w:r>
        <w:rPr>
          <w:rFonts w:hint="default" w:ascii="Times New Roman" w:hAnsi="Times New Roman" w:eastAsia="宋体" w:cs="Times New Roman"/>
          <w:color w:val="auto"/>
          <w:kern w:val="0"/>
          <w:sz w:val="21"/>
          <w:szCs w:val="21"/>
          <w:highlight w:val="none"/>
          <w:u w:val="single"/>
        </w:rPr>
        <w:t xml:space="preserve"> </w:t>
      </w:r>
      <w:r>
        <w:rPr>
          <w:rFonts w:hint="default" w:ascii="Times New Roman" w:hAnsi="Times New Roman" w:eastAsia="宋体" w:cs="Times New Roman"/>
          <w:color w:val="auto"/>
          <w:kern w:val="0"/>
          <w:sz w:val="21"/>
          <w:szCs w:val="21"/>
          <w:highlight w:val="none"/>
          <w:u w:val="single"/>
          <w:lang w:eastAsia="zh-CN"/>
        </w:rPr>
        <w:t>伍</w:t>
      </w:r>
      <w:r>
        <w:rPr>
          <w:rFonts w:hint="default" w:ascii="Times New Roman" w:hAnsi="Times New Roman" w:eastAsia="宋体" w:cs="Times New Roman"/>
          <w:color w:val="auto"/>
          <w:kern w:val="0"/>
          <w:sz w:val="21"/>
          <w:szCs w:val="21"/>
          <w:highlight w:val="none"/>
          <w:u w:val="single"/>
        </w:rPr>
        <w:t xml:space="preserve"> </w:t>
      </w:r>
      <w:r>
        <w:rPr>
          <w:rFonts w:hint="default" w:ascii="Times New Roman" w:hAnsi="Times New Roman" w:eastAsia="宋体" w:cs="Times New Roman"/>
          <w:color w:val="auto"/>
          <w:kern w:val="0"/>
          <w:sz w:val="21"/>
          <w:szCs w:val="21"/>
          <w:highlight w:val="none"/>
        </w:rPr>
        <w:t>份，甲乙双方各执</w:t>
      </w:r>
      <w:r>
        <w:rPr>
          <w:rFonts w:hint="default" w:ascii="Times New Roman" w:hAnsi="Times New Roman" w:eastAsia="宋体" w:cs="Times New Roman"/>
          <w:color w:val="auto"/>
          <w:kern w:val="0"/>
          <w:sz w:val="21"/>
          <w:szCs w:val="21"/>
          <w:highlight w:val="none"/>
          <w:u w:val="single"/>
        </w:rPr>
        <w:t xml:space="preserve"> 贰 </w:t>
      </w:r>
      <w:r>
        <w:rPr>
          <w:rFonts w:hint="default" w:ascii="Times New Roman" w:hAnsi="Times New Roman" w:eastAsia="宋体" w:cs="Times New Roman"/>
          <w:color w:val="auto"/>
          <w:kern w:val="0"/>
          <w:sz w:val="21"/>
          <w:szCs w:val="21"/>
          <w:highlight w:val="none"/>
        </w:rPr>
        <w:t>份，</w:t>
      </w:r>
      <w:r>
        <w:rPr>
          <w:rFonts w:hint="default" w:ascii="Times New Roman" w:hAnsi="Times New Roman" w:eastAsia="宋体" w:cs="Times New Roman"/>
          <w:color w:val="auto"/>
          <w:kern w:val="0"/>
          <w:sz w:val="21"/>
          <w:szCs w:val="21"/>
          <w:highlight w:val="none"/>
          <w:u w:val="single"/>
          <w:lang w:val="en-US" w:eastAsia="zh-CN"/>
        </w:rPr>
        <w:t xml:space="preserve"> 壹 </w:t>
      </w:r>
      <w:r>
        <w:rPr>
          <w:rFonts w:hint="default" w:ascii="Times New Roman" w:hAnsi="Times New Roman" w:eastAsia="宋体" w:cs="Times New Roman"/>
          <w:color w:val="auto"/>
          <w:kern w:val="0"/>
          <w:sz w:val="21"/>
          <w:szCs w:val="21"/>
          <w:highlight w:val="none"/>
        </w:rPr>
        <w:t>份送</w:t>
      </w:r>
      <w:r>
        <w:rPr>
          <w:rFonts w:hint="default" w:ascii="Times New Roman" w:hAnsi="Times New Roman" w:eastAsia="宋体" w:cs="Times New Roman"/>
          <w:color w:val="auto"/>
          <w:kern w:val="0"/>
          <w:sz w:val="21"/>
          <w:szCs w:val="21"/>
          <w:highlight w:val="none"/>
          <w:lang w:val="en-US" w:eastAsia="zh-CN"/>
        </w:rPr>
        <w:t>代理机构</w:t>
      </w:r>
      <w:r>
        <w:rPr>
          <w:rFonts w:hint="default" w:ascii="Times New Roman" w:hAnsi="Times New Roman" w:eastAsia="宋体" w:cs="Times New Roman"/>
          <w:color w:val="auto"/>
          <w:kern w:val="0"/>
          <w:sz w:val="21"/>
          <w:szCs w:val="21"/>
          <w:highlight w:val="none"/>
        </w:rPr>
        <w:t>备案。</w:t>
      </w:r>
    </w:p>
    <w:p w14:paraId="5D077813">
      <w:pPr>
        <w:keepNext w:val="0"/>
        <w:keepLines w:val="0"/>
        <w:pageBreakBefore w:val="0"/>
        <w:kinsoku/>
        <w:wordWrap/>
        <w:overflowPunct/>
        <w:topLinePunct w:val="0"/>
        <w:autoSpaceDE/>
        <w:autoSpaceDN/>
        <w:bidi w:val="0"/>
        <w:adjustRightInd/>
        <w:spacing w:line="360" w:lineRule="auto"/>
        <w:ind w:firstLine="426" w:firstLineChars="20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二、特殊专用条款部分</w:t>
      </w:r>
    </w:p>
    <w:p w14:paraId="5BE59F92">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第十一条 承包范围</w:t>
      </w:r>
    </w:p>
    <w:p w14:paraId="34526A0F">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本次采购项目为海盐县城公共环境病媒生物防制消杀服务，服务范围为武原街道下辖中心城区，总面积约18平方公里，涉及16个社区。</w:t>
      </w:r>
    </w:p>
    <w:p w14:paraId="387575E7">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第十二条 承包内容</w:t>
      </w:r>
    </w:p>
    <w:p w14:paraId="3455473D">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r>
        <w:rPr>
          <w:rFonts w:hint="eastAsia" w:cs="Times New Roman"/>
          <w:color w:val="auto"/>
          <w:kern w:val="0"/>
          <w:sz w:val="21"/>
          <w:szCs w:val="21"/>
          <w:highlight w:val="none"/>
          <w:lang w:eastAsia="zh-CN"/>
        </w:rPr>
        <w:t>针对县城公共环境（包含生活小区、城中村、主次道路、背街小巷、垃圾中转站、公园、绿地、河道岸坡、窨井、下水道，以及公共厕所、食品行业等病媒防制重点场所周边等）组织开展灭鼠、灭蚊、灭蝇、灭蟑螂相关消杀服务</w:t>
      </w:r>
      <w:r>
        <w:rPr>
          <w:rFonts w:hint="default" w:ascii="Times New Roman" w:hAnsi="Times New Roman" w:eastAsia="宋体" w:cs="Times New Roman"/>
          <w:color w:val="auto"/>
          <w:kern w:val="0"/>
          <w:sz w:val="21"/>
          <w:szCs w:val="21"/>
          <w:highlight w:val="none"/>
        </w:rPr>
        <w:t>。</w:t>
      </w:r>
    </w:p>
    <w:p w14:paraId="5C84213C">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w:t>
      </w:r>
      <w:r>
        <w:rPr>
          <w:rFonts w:hint="eastAsia" w:cs="Times New Roman"/>
          <w:color w:val="auto"/>
          <w:kern w:val="0"/>
          <w:sz w:val="21"/>
          <w:szCs w:val="21"/>
          <w:highlight w:val="none"/>
          <w:lang w:eastAsia="zh-CN"/>
        </w:rPr>
        <w:t>消杀服务方式：每年4-5月和10月集中灭鼠活动；每年1-12月根据实际需要每月开展灭蚊蝇和蟑螂；其中有物业的居民小区仅开展春秋两季灭鼠</w:t>
      </w:r>
      <w:r>
        <w:rPr>
          <w:rFonts w:hint="default" w:ascii="Times New Roman" w:hAnsi="Times New Roman" w:eastAsia="宋体" w:cs="Times New Roman"/>
          <w:color w:val="auto"/>
          <w:kern w:val="0"/>
          <w:sz w:val="21"/>
          <w:szCs w:val="21"/>
          <w:highlight w:val="none"/>
        </w:rPr>
        <w:t>。</w:t>
      </w:r>
    </w:p>
    <w:p w14:paraId="33B02EDD">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3.每年新增毒鼠屋2000只，诱蝇笼1000只，布放到指定区域。</w:t>
      </w:r>
    </w:p>
    <w:p w14:paraId="22FB60D1">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4.突发公共卫生应急事件环境消杀。</w:t>
      </w:r>
    </w:p>
    <w:p w14:paraId="40CEFFEB">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5.县、街道爱卫办组织的其它除四害活动（包括要求承担的公益性服务）。</w:t>
      </w:r>
    </w:p>
    <w:p w14:paraId="5460C830">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6.向所服务社区困难家庭无偿提供病媒生物防制药品及技术指导。</w:t>
      </w:r>
    </w:p>
    <w:p w14:paraId="6CADCAD0">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第十三条 承包期限</w:t>
      </w:r>
    </w:p>
    <w:p w14:paraId="67B49256">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rPr>
        <w:t>合同签订之日起三年</w:t>
      </w:r>
      <w:r>
        <w:rPr>
          <w:rFonts w:hint="default" w:ascii="Times New Roman" w:hAnsi="Times New Roman" w:eastAsia="宋体" w:cs="Times New Roman"/>
          <w:color w:val="auto"/>
          <w:kern w:val="0"/>
          <w:sz w:val="21"/>
          <w:szCs w:val="21"/>
          <w:highlight w:val="none"/>
          <w:lang w:eastAsia="zh-CN"/>
        </w:rPr>
        <w:t>。</w:t>
      </w:r>
    </w:p>
    <w:p w14:paraId="3F9F82BF">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第十四条 承包质量要求</w:t>
      </w:r>
    </w:p>
    <w:p w14:paraId="3D64F545">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乙方须严格执行中标时提供的</w:t>
      </w:r>
      <w:r>
        <w:rPr>
          <w:rFonts w:hint="default" w:ascii="Times New Roman" w:hAnsi="Times New Roman" w:eastAsia="宋体" w:cs="Times New Roman"/>
          <w:color w:val="auto"/>
          <w:kern w:val="0"/>
          <w:sz w:val="21"/>
          <w:szCs w:val="21"/>
          <w:highlight w:val="none"/>
          <w:lang w:eastAsia="zh-CN"/>
        </w:rPr>
        <w:t>病媒生物防制</w:t>
      </w:r>
      <w:r>
        <w:rPr>
          <w:rFonts w:hint="default" w:ascii="Times New Roman" w:hAnsi="Times New Roman" w:eastAsia="宋体" w:cs="Times New Roman"/>
          <w:color w:val="auto"/>
          <w:kern w:val="0"/>
          <w:sz w:val="21"/>
          <w:szCs w:val="21"/>
          <w:highlight w:val="none"/>
        </w:rPr>
        <w:t>实施方案、工作计划。</w:t>
      </w:r>
    </w:p>
    <w:p w14:paraId="1323B0F8">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乙方</w:t>
      </w:r>
      <w:r>
        <w:rPr>
          <w:rFonts w:hint="default" w:ascii="Times New Roman" w:hAnsi="Times New Roman" w:eastAsia="宋体" w:cs="Times New Roman"/>
          <w:color w:val="auto"/>
          <w:kern w:val="0"/>
          <w:sz w:val="21"/>
          <w:szCs w:val="21"/>
          <w:highlight w:val="none"/>
          <w:lang w:eastAsia="zh-CN"/>
        </w:rPr>
        <w:t>病媒生物防制</w:t>
      </w:r>
      <w:r>
        <w:rPr>
          <w:rFonts w:hint="default" w:ascii="Times New Roman" w:hAnsi="Times New Roman" w:eastAsia="宋体" w:cs="Times New Roman"/>
          <w:color w:val="auto"/>
          <w:kern w:val="0"/>
          <w:sz w:val="21"/>
          <w:szCs w:val="21"/>
          <w:highlight w:val="none"/>
        </w:rPr>
        <w:t>药物需选用符合国家规定要求的药物；鼠药必须由有生产资质的厂家提供，不得自行配制；蚊蝇消杀药物向甲方提供原液发票和数量。</w:t>
      </w:r>
    </w:p>
    <w:p w14:paraId="6E67247C">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3</w:t>
      </w:r>
      <w:r>
        <w:rPr>
          <w:rFonts w:hint="default" w:ascii="Times New Roman" w:hAnsi="Times New Roman" w:eastAsia="宋体" w:cs="Times New Roman"/>
          <w:color w:val="auto"/>
          <w:kern w:val="0"/>
          <w:sz w:val="21"/>
          <w:szCs w:val="21"/>
          <w:highlight w:val="none"/>
        </w:rPr>
        <w:t>.</w:t>
      </w:r>
      <w:r>
        <w:rPr>
          <w:rFonts w:hint="default" w:ascii="Times New Roman" w:hAnsi="Times New Roman" w:eastAsia="宋体" w:cs="Times New Roman"/>
          <w:color w:val="auto"/>
          <w:kern w:val="0"/>
          <w:sz w:val="21"/>
          <w:szCs w:val="21"/>
          <w:highlight w:val="none"/>
          <w:lang w:eastAsia="zh-CN"/>
        </w:rPr>
        <w:t>服务质量达到</w:t>
      </w:r>
      <w:r>
        <w:rPr>
          <w:rFonts w:hint="default" w:ascii="Times New Roman" w:hAnsi="Times New Roman" w:eastAsia="宋体" w:cs="Times New Roman"/>
          <w:color w:val="auto"/>
          <w:kern w:val="0"/>
          <w:sz w:val="21"/>
          <w:szCs w:val="21"/>
          <w:highlight w:val="none"/>
        </w:rPr>
        <w:t>《中华人民共和国国家标准》（GB／[T27770－27773]—2011〔鼠、蚊、蝇、蟑螂〕）规定标准</w:t>
      </w:r>
      <w:r>
        <w:rPr>
          <w:rFonts w:hint="default" w:ascii="Times New Roman" w:hAnsi="Times New Roman" w:eastAsia="宋体" w:cs="Times New Roman"/>
          <w:color w:val="auto"/>
          <w:kern w:val="0"/>
          <w:sz w:val="21"/>
          <w:szCs w:val="21"/>
          <w:highlight w:val="none"/>
          <w:lang w:val="en-US" w:eastAsia="zh-CN"/>
        </w:rPr>
        <w:t>B</w:t>
      </w:r>
      <w:r>
        <w:rPr>
          <w:rFonts w:hint="default" w:ascii="Times New Roman" w:hAnsi="Times New Roman" w:eastAsia="宋体" w:cs="Times New Roman"/>
          <w:color w:val="auto"/>
          <w:kern w:val="0"/>
          <w:sz w:val="21"/>
          <w:szCs w:val="21"/>
          <w:highlight w:val="none"/>
        </w:rPr>
        <w:t>级及以上水平</w:t>
      </w:r>
      <w:r>
        <w:rPr>
          <w:rFonts w:hint="default" w:ascii="Times New Roman" w:hAnsi="Times New Roman" w:eastAsia="宋体" w:cs="Times New Roman"/>
          <w:color w:val="auto"/>
          <w:kern w:val="0"/>
          <w:sz w:val="21"/>
          <w:szCs w:val="21"/>
          <w:highlight w:val="none"/>
          <w:lang w:eastAsia="zh-CN"/>
        </w:rPr>
        <w:t>。</w:t>
      </w:r>
    </w:p>
    <w:p w14:paraId="15DE764B">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4</w:t>
      </w:r>
      <w:r>
        <w:rPr>
          <w:rFonts w:hint="default" w:ascii="Times New Roman" w:hAnsi="Times New Roman" w:eastAsia="宋体" w:cs="Times New Roman"/>
          <w:color w:val="auto"/>
          <w:kern w:val="0"/>
          <w:sz w:val="21"/>
          <w:szCs w:val="21"/>
          <w:highlight w:val="none"/>
        </w:rPr>
        <w:t>.社区居民满意率达90%（含）以上；</w:t>
      </w:r>
    </w:p>
    <w:p w14:paraId="3BC7A05E">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5</w:t>
      </w:r>
      <w:r>
        <w:rPr>
          <w:rFonts w:hint="default" w:ascii="Times New Roman" w:hAnsi="Times New Roman" w:eastAsia="宋体" w:cs="Times New Roman"/>
          <w:color w:val="auto"/>
          <w:kern w:val="0"/>
          <w:sz w:val="21"/>
          <w:szCs w:val="21"/>
          <w:highlight w:val="none"/>
        </w:rPr>
        <w:t>.确保</w:t>
      </w:r>
      <w:r>
        <w:rPr>
          <w:rFonts w:hint="default" w:ascii="Times New Roman" w:hAnsi="Times New Roman" w:eastAsia="宋体" w:cs="Times New Roman"/>
          <w:color w:val="auto"/>
          <w:kern w:val="0"/>
          <w:sz w:val="21"/>
          <w:szCs w:val="21"/>
          <w:highlight w:val="none"/>
          <w:lang w:eastAsia="zh-CN"/>
        </w:rPr>
        <w:t>病媒生物防制</w:t>
      </w:r>
      <w:r>
        <w:rPr>
          <w:rFonts w:hint="default" w:ascii="Times New Roman" w:hAnsi="Times New Roman" w:eastAsia="宋体" w:cs="Times New Roman"/>
          <w:color w:val="auto"/>
          <w:kern w:val="0"/>
          <w:sz w:val="21"/>
          <w:szCs w:val="21"/>
          <w:highlight w:val="none"/>
        </w:rPr>
        <w:t>工作在国家卫生县城复查和病媒生物控制水平等级认定考核中达到标准。</w:t>
      </w:r>
    </w:p>
    <w:p w14:paraId="47630923">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26"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6.</w:t>
      </w:r>
      <w:r>
        <w:rPr>
          <w:rFonts w:hint="default" w:ascii="Times New Roman" w:hAnsi="Times New Roman" w:eastAsia="宋体" w:cs="Times New Roman"/>
          <w:color w:val="auto"/>
          <w:kern w:val="2"/>
          <w:sz w:val="21"/>
          <w:szCs w:val="21"/>
          <w:highlight w:val="none"/>
          <w:lang w:val="en-US" w:eastAsia="zh-CN" w:bidi="ar-SA"/>
        </w:rPr>
        <w:t>现场常驻工作人员不少于6名。（</w:t>
      </w:r>
      <w:r>
        <w:rPr>
          <w:rFonts w:hint="default" w:ascii="Times New Roman" w:hAnsi="Times New Roman" w:eastAsia="宋体" w:cs="Times New Roman"/>
          <w:color w:val="auto"/>
          <w:kern w:val="0"/>
          <w:sz w:val="21"/>
          <w:szCs w:val="21"/>
          <w:highlight w:val="none"/>
          <w:lang w:val="en-US" w:eastAsia="zh-CN" w:bidi="ar-SA"/>
        </w:rPr>
        <w:t>乙方</w:t>
      </w:r>
      <w:r>
        <w:rPr>
          <w:rFonts w:hint="default" w:ascii="Times New Roman" w:hAnsi="Times New Roman" w:eastAsia="宋体" w:cs="Times New Roman"/>
          <w:color w:val="auto"/>
          <w:kern w:val="2"/>
          <w:sz w:val="21"/>
          <w:szCs w:val="21"/>
          <w:highlight w:val="none"/>
          <w:lang w:val="en-US" w:eastAsia="zh-CN" w:bidi="ar-SA"/>
        </w:rPr>
        <w:t>常驻全职消杀人员和负责人，合同签订后一周内提供具体名单、联系电话。）</w:t>
      </w:r>
    </w:p>
    <w:p w14:paraId="32359AB1">
      <w:pPr>
        <w:keepNext w:val="0"/>
        <w:keepLines w:val="0"/>
        <w:pageBreakBefore w:val="0"/>
        <w:kinsoku/>
        <w:overflowPunct/>
        <w:topLinePunct w:val="0"/>
        <w:autoSpaceDE/>
        <w:autoSpaceDN/>
        <w:bidi w:val="0"/>
        <w:adjustRightInd/>
        <w:spacing w:line="360" w:lineRule="auto"/>
        <w:ind w:firstLine="426" w:firstLineChars="20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7.每月15日前上报上月消杀记录资料（包括消杀对象、时间、人员、内容等）以及新增的毒鼠屋、诱蝇笼情况，及时反馈孳生地和不配合消杀的部门、单位等。</w:t>
      </w:r>
    </w:p>
    <w:p w14:paraId="77490890">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left="0" w:right="0" w:firstLine="426" w:firstLineChars="200"/>
        <w:jc w:val="both"/>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8.</w:t>
      </w:r>
      <w:r>
        <w:rPr>
          <w:rFonts w:hint="default" w:ascii="Times New Roman" w:hAnsi="Times New Roman" w:eastAsia="宋体" w:cs="Times New Roman"/>
          <w:color w:val="auto"/>
          <w:kern w:val="0"/>
          <w:sz w:val="21"/>
          <w:szCs w:val="21"/>
          <w:highlight w:val="none"/>
        </w:rPr>
        <w:t>乙方</w:t>
      </w:r>
      <w:r>
        <w:rPr>
          <w:rFonts w:hint="default" w:ascii="Times New Roman" w:hAnsi="Times New Roman" w:eastAsia="宋体" w:cs="Times New Roman"/>
          <w:color w:val="auto"/>
          <w:kern w:val="2"/>
          <w:sz w:val="21"/>
          <w:szCs w:val="21"/>
          <w:highlight w:val="none"/>
          <w:lang w:val="en-US" w:eastAsia="zh-CN" w:bidi="ar-SA"/>
        </w:rPr>
        <w:t>在签订合同后的三个月内突击完成除“四害”的任务，并达到国家除四害标准，同时完成“四害”密度情况的摸底，并根据测试摸底情况制订除“四害”长年计划，所有资料上报</w:t>
      </w:r>
      <w:r>
        <w:rPr>
          <w:rFonts w:hint="default" w:ascii="Times New Roman" w:hAnsi="Times New Roman" w:eastAsia="宋体" w:cs="Times New Roman"/>
          <w:color w:val="auto"/>
          <w:kern w:val="0"/>
          <w:sz w:val="21"/>
          <w:szCs w:val="21"/>
          <w:highlight w:val="none"/>
        </w:rPr>
        <w:t>甲方</w:t>
      </w:r>
      <w:r>
        <w:rPr>
          <w:rFonts w:hint="default" w:ascii="Times New Roman" w:hAnsi="Times New Roman" w:eastAsia="宋体" w:cs="Times New Roman"/>
          <w:color w:val="auto"/>
          <w:kern w:val="2"/>
          <w:sz w:val="21"/>
          <w:szCs w:val="21"/>
          <w:highlight w:val="none"/>
          <w:lang w:val="en-US" w:eastAsia="zh-CN" w:bidi="ar-SA"/>
        </w:rPr>
        <w:t>。</w:t>
      </w:r>
    </w:p>
    <w:p w14:paraId="4B896DE7">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left="0" w:right="0" w:firstLine="426" w:firstLineChars="200"/>
        <w:jc w:val="both"/>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9.对规定区域内有举报“四害”情况的，</w:t>
      </w:r>
      <w:r>
        <w:rPr>
          <w:rFonts w:hint="eastAsia" w:ascii="Times New Roman" w:hAnsi="Times New Roman" w:eastAsia="宋体" w:cs="Times New Roman"/>
          <w:color w:val="auto"/>
          <w:kern w:val="2"/>
          <w:sz w:val="21"/>
          <w:szCs w:val="21"/>
          <w:highlight w:val="none"/>
          <w:lang w:val="en-US" w:eastAsia="zh-CN" w:bidi="ar-SA"/>
        </w:rPr>
        <w:t>乙方</w:t>
      </w:r>
      <w:r>
        <w:rPr>
          <w:rFonts w:hint="default" w:ascii="Times New Roman" w:hAnsi="Times New Roman" w:eastAsia="宋体" w:cs="Times New Roman"/>
          <w:color w:val="auto"/>
          <w:kern w:val="2"/>
          <w:sz w:val="21"/>
          <w:szCs w:val="21"/>
          <w:highlight w:val="none"/>
          <w:lang w:val="en-US" w:eastAsia="zh-CN" w:bidi="ar-SA"/>
        </w:rPr>
        <w:t>应48小时内实施消杀并做好记录。</w:t>
      </w:r>
    </w:p>
    <w:p w14:paraId="405AFAAC">
      <w:pPr>
        <w:keepNext w:val="0"/>
        <w:keepLines w:val="0"/>
        <w:pageBreakBefore w:val="0"/>
        <w:widowControl w:val="0"/>
        <w:kinsoku/>
        <w:wordWrap/>
        <w:overflowPunct/>
        <w:topLinePunct w:val="0"/>
        <w:autoSpaceDE/>
        <w:autoSpaceDN/>
        <w:bidi w:val="0"/>
        <w:adjustRightInd/>
        <w:snapToGrid w:val="0"/>
        <w:spacing w:before="0" w:after="0" w:line="360" w:lineRule="auto"/>
        <w:ind w:firstLine="426" w:firstLineChars="200"/>
        <w:jc w:val="both"/>
        <w:textAlignment w:val="auto"/>
        <w:outlineLvl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10.在工作或施药期间，</w:t>
      </w:r>
      <w:r>
        <w:rPr>
          <w:rFonts w:hint="default" w:ascii="Times New Roman" w:hAnsi="Times New Roman" w:eastAsia="宋体" w:cs="Times New Roman"/>
          <w:color w:val="auto"/>
          <w:kern w:val="0"/>
          <w:sz w:val="21"/>
          <w:szCs w:val="21"/>
          <w:highlight w:val="none"/>
          <w:lang w:val="en-US" w:eastAsia="zh-CN" w:bidi="ar-SA"/>
        </w:rPr>
        <w:t>乙方</w:t>
      </w:r>
      <w:r>
        <w:rPr>
          <w:rFonts w:hint="default" w:ascii="Times New Roman" w:hAnsi="Times New Roman" w:eastAsia="宋体" w:cs="Times New Roman"/>
          <w:color w:val="auto"/>
          <w:kern w:val="2"/>
          <w:sz w:val="21"/>
          <w:szCs w:val="21"/>
          <w:highlight w:val="none"/>
          <w:lang w:val="en-US" w:eastAsia="zh-CN" w:bidi="ar-SA"/>
        </w:rPr>
        <w:t>要对被服务单位（场所）实行告知制度并做好相关记录，告知在规定时间内不要揩抹、挪动药物，以确保消杀工作不留死角，同时预防意外发生。</w:t>
      </w:r>
    </w:p>
    <w:p w14:paraId="7F617C4E">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left="0" w:right="0" w:firstLine="426" w:firstLineChars="200"/>
        <w:jc w:val="both"/>
        <w:textAlignment w:val="baseline"/>
        <w:rPr>
          <w:rFonts w:hint="default" w:ascii="Times New Roman" w:hAnsi="Times New Roman" w:eastAsia="宋体" w:cs="Times New Roman"/>
          <w:highlight w:val="none"/>
        </w:rPr>
      </w:pPr>
      <w:r>
        <w:rPr>
          <w:rFonts w:hint="default" w:ascii="Times New Roman" w:hAnsi="Times New Roman" w:eastAsia="宋体" w:cs="Times New Roman"/>
          <w:color w:val="auto"/>
          <w:kern w:val="2"/>
          <w:sz w:val="21"/>
          <w:szCs w:val="21"/>
          <w:highlight w:val="none"/>
          <w:lang w:val="en-US" w:eastAsia="zh-CN" w:bidi="ar-SA"/>
        </w:rPr>
        <w:t>11.合同履行过程中，在规定消杀区域内因突发公共卫生应急事件需环境消杀的，</w:t>
      </w:r>
      <w:r>
        <w:rPr>
          <w:rFonts w:hint="default" w:ascii="Times New Roman" w:hAnsi="Times New Roman" w:eastAsia="宋体" w:cs="Times New Roman"/>
          <w:color w:val="auto"/>
          <w:kern w:val="0"/>
          <w:sz w:val="21"/>
          <w:szCs w:val="21"/>
          <w:highlight w:val="none"/>
        </w:rPr>
        <w:t>乙方</w:t>
      </w:r>
      <w:r>
        <w:rPr>
          <w:rFonts w:hint="default" w:ascii="Times New Roman" w:hAnsi="Times New Roman" w:eastAsia="宋体" w:cs="Times New Roman"/>
          <w:color w:val="auto"/>
          <w:kern w:val="2"/>
          <w:sz w:val="21"/>
          <w:szCs w:val="21"/>
          <w:highlight w:val="none"/>
          <w:lang w:val="en-US" w:eastAsia="zh-CN" w:bidi="ar-SA"/>
        </w:rPr>
        <w:t>须无条件配合实施，费用由</w:t>
      </w:r>
      <w:r>
        <w:rPr>
          <w:rFonts w:hint="default" w:ascii="Times New Roman" w:hAnsi="Times New Roman" w:eastAsia="宋体" w:cs="Times New Roman"/>
          <w:color w:val="auto"/>
          <w:kern w:val="0"/>
          <w:sz w:val="21"/>
          <w:szCs w:val="21"/>
          <w:highlight w:val="none"/>
        </w:rPr>
        <w:t>乙方</w:t>
      </w:r>
      <w:r>
        <w:rPr>
          <w:rFonts w:hint="default" w:ascii="Times New Roman" w:hAnsi="Times New Roman" w:eastAsia="宋体" w:cs="Times New Roman"/>
          <w:color w:val="auto"/>
          <w:kern w:val="2"/>
          <w:sz w:val="21"/>
          <w:szCs w:val="21"/>
          <w:highlight w:val="none"/>
          <w:lang w:val="en-US" w:eastAsia="zh-CN" w:bidi="ar-SA"/>
        </w:rPr>
        <w:t>与街道办事处另行协商落实。</w:t>
      </w:r>
    </w:p>
    <w:p w14:paraId="68586969">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第十</w:t>
      </w:r>
      <w:r>
        <w:rPr>
          <w:rFonts w:hint="default" w:ascii="Times New Roman" w:hAnsi="Times New Roman" w:eastAsia="宋体" w:cs="Times New Roman"/>
          <w:b/>
          <w:bCs/>
          <w:color w:val="auto"/>
          <w:kern w:val="0"/>
          <w:sz w:val="21"/>
          <w:szCs w:val="21"/>
          <w:highlight w:val="none"/>
          <w:lang w:eastAsia="zh-CN"/>
        </w:rPr>
        <w:t>五</w:t>
      </w:r>
      <w:r>
        <w:rPr>
          <w:rFonts w:hint="default" w:ascii="Times New Roman" w:hAnsi="Times New Roman" w:eastAsia="宋体" w:cs="Times New Roman"/>
          <w:b/>
          <w:bCs/>
          <w:color w:val="auto"/>
          <w:kern w:val="0"/>
          <w:sz w:val="21"/>
          <w:szCs w:val="21"/>
          <w:highlight w:val="none"/>
        </w:rPr>
        <w:t>条 结算</w:t>
      </w:r>
    </w:p>
    <w:p w14:paraId="3F9E9EF0">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1</w:t>
      </w:r>
      <w:r>
        <w:rPr>
          <w:rFonts w:hint="default" w:ascii="Times New Roman" w:hAnsi="Times New Roman" w:eastAsia="宋体" w:cs="Times New Roman"/>
          <w:color w:val="auto"/>
          <w:kern w:val="0"/>
          <w:sz w:val="21"/>
          <w:szCs w:val="21"/>
          <w:highlight w:val="none"/>
          <w:lang w:eastAsia="zh-CN"/>
        </w:rPr>
        <w:t>.本项目分三年结算，每年年度合同价为合同总价的三分之一。具体付款条件如下：</w:t>
      </w:r>
      <w:r>
        <w:rPr>
          <w:rFonts w:hint="eastAsia" w:cs="Times New Roman"/>
          <w:color w:val="auto"/>
          <w:kern w:val="0"/>
          <w:sz w:val="21"/>
          <w:szCs w:val="21"/>
          <w:highlight w:val="none"/>
          <w:lang w:eastAsia="zh-CN"/>
        </w:rPr>
        <w:t>具体付款条件如下：第一年，合同生效以及具备实施条件后3个月内支付当年预算金额的40%，作为预付款；根据县、街道爱卫办和社区以及第三方对供应商消杀质量的考核评估，每次考核评估均达到合同要求或整改到位的，当年实际工作6个月后支付当年预算金额的30%；年底前经第三方综合评估且达到合同要求后于12月份支付当年预算金额的尾款。第二年和第三年，每年3月底前支付当年预算金额的40%，余款支付条件同第一年。如出现因整改而产生的需扣除供应商应付款时，在当期支付时予以扣除。</w:t>
      </w:r>
      <w:r>
        <w:rPr>
          <w:rFonts w:hint="default" w:ascii="Times New Roman" w:hAnsi="Times New Roman" w:eastAsia="宋体" w:cs="Times New Roman"/>
          <w:color w:val="auto"/>
          <w:kern w:val="0"/>
          <w:sz w:val="21"/>
          <w:szCs w:val="21"/>
          <w:highlight w:val="none"/>
          <w:lang w:val="en-US" w:eastAsia="zh-CN"/>
        </w:rPr>
        <w:t>。支付时乙方需提供符合国家相关规定的发票。</w:t>
      </w:r>
    </w:p>
    <w:p w14:paraId="5850861C">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rPr>
        <w:t>对突发应急事件消杀和其他公益性消杀，费用另行结算。</w:t>
      </w:r>
    </w:p>
    <w:p w14:paraId="78CDE13B">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第十</w:t>
      </w:r>
      <w:r>
        <w:rPr>
          <w:rFonts w:hint="default" w:ascii="Times New Roman" w:hAnsi="Times New Roman" w:eastAsia="宋体" w:cs="Times New Roman"/>
          <w:b/>
          <w:bCs/>
          <w:color w:val="auto"/>
          <w:kern w:val="0"/>
          <w:sz w:val="21"/>
          <w:szCs w:val="21"/>
          <w:highlight w:val="none"/>
          <w:lang w:eastAsia="zh-CN"/>
        </w:rPr>
        <w:t>六</w:t>
      </w:r>
      <w:r>
        <w:rPr>
          <w:rFonts w:hint="default" w:ascii="Times New Roman" w:hAnsi="Times New Roman" w:eastAsia="宋体" w:cs="Times New Roman"/>
          <w:b/>
          <w:bCs/>
          <w:color w:val="auto"/>
          <w:kern w:val="0"/>
          <w:sz w:val="21"/>
          <w:szCs w:val="21"/>
          <w:highlight w:val="none"/>
        </w:rPr>
        <w:t>条 甲方职责</w:t>
      </w:r>
    </w:p>
    <w:p w14:paraId="40D0590A">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负责</w:t>
      </w:r>
      <w:r>
        <w:rPr>
          <w:rFonts w:hint="default" w:ascii="Times New Roman" w:hAnsi="Times New Roman" w:eastAsia="宋体" w:cs="Times New Roman"/>
          <w:color w:val="auto"/>
          <w:kern w:val="0"/>
          <w:sz w:val="21"/>
          <w:szCs w:val="21"/>
          <w:highlight w:val="none"/>
          <w:lang w:eastAsia="zh-CN"/>
        </w:rPr>
        <w:t>督促街道办</w:t>
      </w:r>
      <w:r>
        <w:rPr>
          <w:rFonts w:hint="default" w:ascii="Times New Roman" w:hAnsi="Times New Roman" w:eastAsia="宋体" w:cs="Times New Roman"/>
          <w:color w:val="auto"/>
          <w:kern w:val="0"/>
          <w:sz w:val="21"/>
          <w:szCs w:val="21"/>
          <w:highlight w:val="none"/>
          <w:lang w:val="en-US" w:eastAsia="zh-CN"/>
        </w:rPr>
        <w:t>事处</w:t>
      </w:r>
      <w:r>
        <w:rPr>
          <w:rFonts w:hint="default" w:ascii="Times New Roman" w:hAnsi="Times New Roman" w:eastAsia="宋体" w:cs="Times New Roman"/>
          <w:color w:val="auto"/>
          <w:kern w:val="0"/>
          <w:sz w:val="21"/>
          <w:szCs w:val="21"/>
          <w:highlight w:val="none"/>
          <w:lang w:eastAsia="zh-CN"/>
        </w:rPr>
        <w:t>落实</w:t>
      </w:r>
      <w:r>
        <w:rPr>
          <w:rFonts w:hint="default" w:ascii="Times New Roman" w:hAnsi="Times New Roman" w:eastAsia="宋体" w:cs="Times New Roman"/>
          <w:color w:val="auto"/>
          <w:kern w:val="0"/>
          <w:sz w:val="21"/>
          <w:szCs w:val="21"/>
          <w:highlight w:val="none"/>
        </w:rPr>
        <w:t>承包范围内公共环境环卫基础设施建设、维护，保持环境清洁卫生。</w:t>
      </w:r>
    </w:p>
    <w:p w14:paraId="06F7D91A">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rPr>
        <w:t>负责</w:t>
      </w:r>
      <w:r>
        <w:rPr>
          <w:rFonts w:hint="default" w:ascii="Times New Roman" w:hAnsi="Times New Roman" w:eastAsia="宋体" w:cs="Times New Roman"/>
          <w:color w:val="auto"/>
          <w:kern w:val="0"/>
          <w:sz w:val="21"/>
          <w:szCs w:val="21"/>
          <w:highlight w:val="none"/>
          <w:lang w:eastAsia="zh-CN"/>
        </w:rPr>
        <w:t>督促街道办</w:t>
      </w:r>
      <w:r>
        <w:rPr>
          <w:rFonts w:hint="default" w:ascii="Times New Roman" w:hAnsi="Times New Roman" w:eastAsia="宋体" w:cs="Times New Roman"/>
          <w:color w:val="auto"/>
          <w:kern w:val="0"/>
          <w:sz w:val="21"/>
          <w:szCs w:val="21"/>
          <w:highlight w:val="none"/>
          <w:lang w:val="en-US" w:eastAsia="zh-CN"/>
        </w:rPr>
        <w:t>事处</w:t>
      </w:r>
      <w:r>
        <w:rPr>
          <w:rFonts w:hint="default" w:ascii="Times New Roman" w:hAnsi="Times New Roman" w:eastAsia="宋体" w:cs="Times New Roman"/>
          <w:color w:val="auto"/>
          <w:kern w:val="0"/>
          <w:sz w:val="21"/>
          <w:szCs w:val="21"/>
          <w:highlight w:val="none"/>
          <w:lang w:eastAsia="zh-CN"/>
        </w:rPr>
        <w:t>落实</w:t>
      </w:r>
      <w:r>
        <w:rPr>
          <w:rFonts w:hint="default" w:ascii="Times New Roman" w:hAnsi="Times New Roman" w:eastAsia="宋体" w:cs="Times New Roman"/>
          <w:color w:val="auto"/>
          <w:kern w:val="0"/>
          <w:sz w:val="21"/>
          <w:szCs w:val="21"/>
          <w:highlight w:val="none"/>
        </w:rPr>
        <w:t>开展对社区居民的</w:t>
      </w:r>
      <w:r>
        <w:rPr>
          <w:rFonts w:hint="default" w:ascii="Times New Roman" w:hAnsi="Times New Roman" w:eastAsia="宋体" w:cs="Times New Roman"/>
          <w:color w:val="auto"/>
          <w:kern w:val="0"/>
          <w:sz w:val="21"/>
          <w:szCs w:val="21"/>
          <w:highlight w:val="none"/>
          <w:lang w:eastAsia="zh-CN"/>
        </w:rPr>
        <w:t>病媒生物防制</w:t>
      </w:r>
      <w:r>
        <w:rPr>
          <w:rFonts w:hint="default" w:ascii="Times New Roman" w:hAnsi="Times New Roman" w:eastAsia="宋体" w:cs="Times New Roman"/>
          <w:color w:val="auto"/>
          <w:kern w:val="0"/>
          <w:sz w:val="21"/>
          <w:szCs w:val="21"/>
          <w:highlight w:val="none"/>
        </w:rPr>
        <w:t>工作的宣传。</w:t>
      </w:r>
    </w:p>
    <w:p w14:paraId="502CBB73">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w:t>
      </w:r>
      <w:r>
        <w:rPr>
          <w:rFonts w:hint="default" w:ascii="Times New Roman" w:hAnsi="Times New Roman" w:eastAsia="宋体" w:cs="Times New Roman"/>
          <w:color w:val="auto"/>
          <w:kern w:val="0"/>
          <w:sz w:val="21"/>
          <w:szCs w:val="21"/>
          <w:highlight w:val="none"/>
          <w:lang w:eastAsia="zh-CN"/>
        </w:rPr>
        <w:t>.负责</w:t>
      </w:r>
      <w:r>
        <w:rPr>
          <w:rFonts w:hint="default" w:ascii="Times New Roman" w:hAnsi="Times New Roman" w:eastAsia="宋体" w:cs="Times New Roman"/>
          <w:color w:val="auto"/>
          <w:kern w:val="0"/>
          <w:sz w:val="21"/>
          <w:szCs w:val="21"/>
          <w:highlight w:val="none"/>
        </w:rPr>
        <w:t>督促乙方落实</w:t>
      </w:r>
      <w:r>
        <w:rPr>
          <w:rFonts w:hint="default" w:ascii="Times New Roman" w:hAnsi="Times New Roman" w:eastAsia="宋体" w:cs="Times New Roman"/>
          <w:color w:val="auto"/>
          <w:kern w:val="0"/>
          <w:sz w:val="21"/>
          <w:szCs w:val="21"/>
          <w:highlight w:val="none"/>
          <w:lang w:eastAsia="zh-CN"/>
        </w:rPr>
        <w:t>病媒生物防制消杀服务</w:t>
      </w:r>
      <w:r>
        <w:rPr>
          <w:rFonts w:hint="default" w:ascii="Times New Roman" w:hAnsi="Times New Roman" w:eastAsia="宋体" w:cs="Times New Roman"/>
          <w:color w:val="auto"/>
          <w:kern w:val="0"/>
          <w:sz w:val="21"/>
          <w:szCs w:val="21"/>
          <w:highlight w:val="none"/>
        </w:rPr>
        <w:t>措施。</w:t>
      </w:r>
    </w:p>
    <w:p w14:paraId="4E3AEAE1">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p>
    <w:p w14:paraId="70CB3DE5">
      <w:pPr>
        <w:keepNext w:val="0"/>
        <w:keepLines w:val="0"/>
        <w:pageBreakBefore w:val="0"/>
        <w:kinsoku/>
        <w:wordWrap/>
        <w:overflowPunct/>
        <w:topLinePunct w:val="0"/>
        <w:autoSpaceDE/>
        <w:autoSpaceDN/>
        <w:bidi w:val="0"/>
        <w:adjustRightInd/>
        <w:spacing w:line="360" w:lineRule="auto"/>
        <w:ind w:firstLine="426"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甲方：                                乙方：</w:t>
      </w:r>
    </w:p>
    <w:p w14:paraId="7FC5A05A">
      <w:pPr>
        <w:keepNext w:val="0"/>
        <w:keepLines w:val="0"/>
        <w:pageBreakBefore w:val="0"/>
        <w:kinsoku/>
        <w:overflowPunct/>
        <w:topLinePunct w:val="0"/>
        <w:autoSpaceDE/>
        <w:autoSpaceDN/>
        <w:bidi w:val="0"/>
        <w:adjustRightInd/>
        <w:spacing w:before="0" w:after="0" w:line="360" w:lineRule="auto"/>
        <w:ind w:firstLine="426" w:firstLineChars="200"/>
        <w:rPr>
          <w:rFonts w:hint="default" w:ascii="Times New Roman" w:hAnsi="Times New Roman" w:eastAsia="宋体" w:cs="Times New Roman"/>
          <w:sz w:val="21"/>
          <w:highlight w:val="none"/>
          <w:lang w:val="en-US" w:eastAsia="zh-CN" w:bidi="ar-SA"/>
        </w:rPr>
      </w:pPr>
    </w:p>
    <w:p w14:paraId="11379146">
      <w:pPr>
        <w:keepNext w:val="0"/>
        <w:keepLines w:val="0"/>
        <w:pageBreakBefore w:val="0"/>
        <w:widowControl w:val="0"/>
        <w:kinsoku/>
        <w:wordWrap/>
        <w:overflowPunct/>
        <w:topLinePunct w:val="0"/>
        <w:autoSpaceDE/>
        <w:autoSpaceDN/>
        <w:bidi w:val="0"/>
        <w:adjustRightInd/>
        <w:snapToGrid w:val="0"/>
        <w:spacing w:before="0" w:after="0" w:line="360" w:lineRule="auto"/>
        <w:ind w:firstLine="426"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地址：                                地址：</w:t>
      </w:r>
    </w:p>
    <w:p w14:paraId="4F39B3B4">
      <w:pPr>
        <w:keepNext w:val="0"/>
        <w:keepLines w:val="0"/>
        <w:pageBreakBefore w:val="0"/>
        <w:kinsoku/>
        <w:overflowPunct/>
        <w:topLinePunct w:val="0"/>
        <w:autoSpaceDE/>
        <w:autoSpaceDN/>
        <w:bidi w:val="0"/>
        <w:adjustRightInd/>
        <w:spacing w:line="360" w:lineRule="auto"/>
        <w:ind w:firstLine="426" w:firstLineChars="200"/>
        <w:rPr>
          <w:rFonts w:hint="default" w:ascii="Times New Roman" w:hAnsi="Times New Roman" w:eastAsia="宋体" w:cs="Times New Roman"/>
          <w:highlight w:val="none"/>
        </w:rPr>
      </w:pPr>
    </w:p>
    <w:p w14:paraId="1CCCB49C">
      <w:pPr>
        <w:keepNext w:val="0"/>
        <w:keepLines w:val="0"/>
        <w:pageBreakBefore w:val="0"/>
        <w:widowControl w:val="0"/>
        <w:kinsoku/>
        <w:wordWrap/>
        <w:overflowPunct/>
        <w:topLinePunct w:val="0"/>
        <w:autoSpaceDE/>
        <w:autoSpaceDN/>
        <w:bidi w:val="0"/>
        <w:adjustRightInd/>
        <w:snapToGrid w:val="0"/>
        <w:spacing w:before="0" w:after="0" w:line="360" w:lineRule="auto"/>
        <w:ind w:firstLine="426"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法定代表人：                          法定代表人：</w:t>
      </w:r>
    </w:p>
    <w:p w14:paraId="40E0D433">
      <w:pPr>
        <w:keepNext w:val="0"/>
        <w:keepLines w:val="0"/>
        <w:pageBreakBefore w:val="0"/>
        <w:widowControl w:val="0"/>
        <w:kinsoku/>
        <w:wordWrap/>
        <w:overflowPunct/>
        <w:topLinePunct w:val="0"/>
        <w:autoSpaceDE/>
        <w:autoSpaceDN/>
        <w:bidi w:val="0"/>
        <w:adjustRightInd/>
        <w:snapToGrid w:val="0"/>
        <w:spacing w:line="360" w:lineRule="auto"/>
        <w:ind w:firstLine="426"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p>
    <w:p w14:paraId="65E3F91D">
      <w:pPr>
        <w:keepNext w:val="0"/>
        <w:keepLines w:val="0"/>
        <w:pageBreakBefore w:val="0"/>
        <w:widowControl w:val="0"/>
        <w:kinsoku/>
        <w:wordWrap/>
        <w:overflowPunct/>
        <w:topLinePunct w:val="0"/>
        <w:autoSpaceDE/>
        <w:autoSpaceDN/>
        <w:bidi w:val="0"/>
        <w:adjustRightInd/>
        <w:snapToGrid w:val="0"/>
        <w:spacing w:line="360" w:lineRule="auto"/>
        <w:ind w:firstLine="426"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签订地点：                            签订日期：  年   月  日</w:t>
      </w:r>
    </w:p>
    <w:p w14:paraId="36E5DF25">
      <w:pPr>
        <w:keepNext w:val="0"/>
        <w:keepLines w:val="0"/>
        <w:pageBreakBefore w:val="0"/>
        <w:widowControl w:val="0"/>
        <w:kinsoku/>
        <w:wordWrap/>
        <w:overflowPunct/>
        <w:topLinePunct w:val="0"/>
        <w:autoSpaceDE/>
        <w:autoSpaceDN/>
        <w:bidi w:val="0"/>
        <w:adjustRightInd/>
        <w:snapToGrid w:val="0"/>
        <w:spacing w:line="360" w:lineRule="auto"/>
        <w:ind w:firstLine="426" w:firstLineChars="200"/>
        <w:jc w:val="both"/>
        <w:textAlignment w:val="auto"/>
        <w:rPr>
          <w:rFonts w:ascii="Times New Roman" w:hAnsi="Times New Roman" w:eastAsia="宋体" w:cs="Times New Roman"/>
          <w:highlight w:val="none"/>
        </w:rPr>
      </w:pPr>
      <w:r>
        <w:rPr>
          <w:rFonts w:hint="default" w:ascii="Times New Roman" w:hAnsi="Times New Roman" w:eastAsia="宋体" w:cs="Times New Roman"/>
          <w:b/>
          <w:color w:val="auto"/>
          <w:sz w:val="21"/>
          <w:szCs w:val="21"/>
          <w:highlight w:val="none"/>
        </w:rPr>
        <w:t>注：本合同作为示范文本，具体以成交供应商与采购人所签定正式合同为准。</w:t>
      </w:r>
    </w:p>
    <w:p w14:paraId="5E1F9B17">
      <w:pPr>
        <w:pStyle w:val="4"/>
        <w:keepNext w:val="0"/>
        <w:keepLines w:val="0"/>
        <w:pageBreakBefore/>
        <w:spacing w:beforeLines="100" w:afterLines="100" w:line="240" w:lineRule="auto"/>
        <w:jc w:val="center"/>
        <w:rPr>
          <w:rFonts w:ascii="Arial" w:hAnsi="Arial" w:cs="Arial"/>
          <w:sz w:val="28"/>
          <w:szCs w:val="36"/>
          <w:highlight w:val="none"/>
        </w:rPr>
      </w:pPr>
      <w:r>
        <w:rPr>
          <w:rFonts w:hint="eastAsia" w:ascii="Arial" w:hAnsi="Arial" w:cs="Arial"/>
          <w:color w:val="auto"/>
          <w:sz w:val="28"/>
          <w:szCs w:val="36"/>
          <w:highlight w:val="none"/>
        </w:rPr>
        <w:t>第五部分</w:t>
      </w:r>
      <w:r>
        <w:rPr>
          <w:rFonts w:hint="eastAsia" w:ascii="Arial" w:hAnsi="Arial" w:cs="Arial"/>
          <w:color w:val="auto"/>
          <w:sz w:val="28"/>
          <w:szCs w:val="36"/>
          <w:highlight w:val="none"/>
          <w:lang w:val="en-US" w:eastAsia="zh-CN"/>
        </w:rPr>
        <w:t xml:space="preserve"> </w:t>
      </w:r>
      <w:r>
        <w:rPr>
          <w:rFonts w:hint="eastAsia" w:ascii="Arial" w:hAnsi="Arial" w:cs="Arial"/>
          <w:color w:val="auto"/>
          <w:sz w:val="28"/>
          <w:szCs w:val="36"/>
          <w:highlight w:val="none"/>
        </w:rPr>
        <w:t>竞争性</w:t>
      </w:r>
      <w:r>
        <w:rPr>
          <w:rFonts w:hint="eastAsia" w:ascii="Arial" w:hAnsi="Arial" w:cs="Arial"/>
          <w:sz w:val="28"/>
          <w:szCs w:val="36"/>
          <w:highlight w:val="none"/>
        </w:rPr>
        <w:t>磋商评定办法</w:t>
      </w:r>
      <w:bookmarkEnd w:id="16"/>
    </w:p>
    <w:p w14:paraId="283812A9">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cs="Times New Roman"/>
          <w:bCs/>
          <w:kern w:val="28"/>
          <w:szCs w:val="21"/>
          <w:highlight w:val="none"/>
        </w:rPr>
      </w:pPr>
      <w:r>
        <w:rPr>
          <w:rFonts w:hint="default" w:ascii="Times New Roman" w:hAnsi="Times New Roman" w:cs="Times New Roman"/>
          <w:bCs/>
          <w:kern w:val="28"/>
          <w:szCs w:val="21"/>
          <w:highlight w:val="none"/>
        </w:rPr>
        <w:t>根据《中华人民共和国政府采购法》和本项目竞争性磋商文件，按照公平、公正、科学、择优的原则选择成交单位，特制定本办法。</w:t>
      </w:r>
    </w:p>
    <w:p w14:paraId="5C44ADC3">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cs="Times New Roman"/>
          <w:b/>
          <w:bCs/>
          <w:kern w:val="28"/>
          <w:szCs w:val="21"/>
          <w:highlight w:val="none"/>
        </w:rPr>
      </w:pPr>
      <w:r>
        <w:rPr>
          <w:rFonts w:hint="default" w:ascii="Times New Roman" w:hAnsi="Times New Roman" w:cs="Times New Roman"/>
          <w:b/>
          <w:bCs/>
          <w:kern w:val="28"/>
          <w:szCs w:val="21"/>
          <w:highlight w:val="none"/>
        </w:rPr>
        <w:t>一、 评定原则</w:t>
      </w:r>
    </w:p>
    <w:p w14:paraId="22D57DFE">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cs="Times New Roman"/>
          <w:bCs/>
          <w:kern w:val="28"/>
          <w:szCs w:val="21"/>
          <w:highlight w:val="none"/>
        </w:rPr>
      </w:pPr>
      <w:r>
        <w:rPr>
          <w:rFonts w:hint="default" w:ascii="Times New Roman" w:hAnsi="Times New Roman" w:cs="Times New Roman"/>
          <w:bCs/>
          <w:kern w:val="28"/>
          <w:szCs w:val="21"/>
          <w:highlight w:val="none"/>
        </w:rPr>
        <w:t>评审工作遵循公平、公正、民主、科学的原则和诚实、信誉、效率的服务原则。本着科学、严谨的态度，认真进行评审，择优选定服务单位。确保服务质量，节约投资，最大限度的保护当事人权益，严格按照竞争性磋商文件的商务、技术要求，对竞争性磋商响应文件进行综合评定，编写评标报告。评定人员必须严格遵守保密规定，不得泄漏评定的有关情况，不得索贿受贿，不得接受吃请和礼品，不得参加影响公正评标的有关活动。供应商不得以任何方式干扰采购工作的进行，一经发现其竞争性磋商响应文件将被拒绝。</w:t>
      </w:r>
    </w:p>
    <w:p w14:paraId="01116FF2">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cs="Times New Roman"/>
          <w:b/>
          <w:bCs/>
          <w:kern w:val="28"/>
          <w:szCs w:val="21"/>
          <w:highlight w:val="none"/>
        </w:rPr>
      </w:pPr>
      <w:r>
        <w:rPr>
          <w:rFonts w:hint="default" w:ascii="Times New Roman" w:hAnsi="Times New Roman" w:cs="Times New Roman"/>
          <w:b/>
          <w:bCs/>
          <w:kern w:val="28"/>
          <w:szCs w:val="21"/>
          <w:highlight w:val="none"/>
        </w:rPr>
        <w:t>二、评标组织</w:t>
      </w:r>
    </w:p>
    <w:p w14:paraId="0E05EFC2">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cs="Times New Roman"/>
          <w:bCs/>
          <w:kern w:val="28"/>
          <w:szCs w:val="21"/>
          <w:highlight w:val="none"/>
        </w:rPr>
      </w:pPr>
      <w:r>
        <w:rPr>
          <w:rFonts w:hint="default" w:ascii="Times New Roman" w:hAnsi="Times New Roman" w:cs="Times New Roman"/>
          <w:bCs/>
          <w:kern w:val="28"/>
          <w:szCs w:val="21"/>
          <w:highlight w:val="none"/>
        </w:rPr>
        <w:t>开标后，采购人代表或招标代理机构首先对竞争性磋商响应文件进行资格性检查，凡供应商资格不符合竞争性磋商文件要求；竞争性磋商响应文件实质性内容和格式严重不符合有关规定或不响应竞争性磋商文件要求者，经竞争性磋商小组认定作为无效投标，不再进入后续竞争性磋商。</w:t>
      </w:r>
    </w:p>
    <w:p w14:paraId="6FF78BEC">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cs="Times New Roman"/>
          <w:bCs/>
          <w:kern w:val="28"/>
          <w:szCs w:val="21"/>
          <w:highlight w:val="none"/>
        </w:rPr>
      </w:pPr>
      <w:r>
        <w:rPr>
          <w:rFonts w:hint="default" w:ascii="Times New Roman" w:hAnsi="Times New Roman" w:cs="Times New Roman"/>
          <w:bCs/>
          <w:kern w:val="28"/>
          <w:szCs w:val="21"/>
          <w:highlight w:val="none"/>
        </w:rPr>
        <w:t>经资格性检查，竞争性磋商期间出现符合专业条件的供应商或者对竞争性磋商文件作出实质响应的供应商（有效供应商）不足三家，或供应商的报价均超过采购预算，按政府采购法律法规有关规定，依法继续进行或转为其它政府采购方式进行采购，或宣布本次招标失败，重新组织招标。</w:t>
      </w:r>
    </w:p>
    <w:p w14:paraId="4D4941CA">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cs="Times New Roman"/>
          <w:b/>
          <w:szCs w:val="21"/>
          <w:highlight w:val="none"/>
        </w:rPr>
      </w:pPr>
      <w:r>
        <w:rPr>
          <w:rFonts w:hint="default" w:ascii="Times New Roman" w:hAnsi="Times New Roman" w:cs="Times New Roman"/>
          <w:b/>
          <w:szCs w:val="21"/>
          <w:highlight w:val="none"/>
        </w:rPr>
        <w:t>三、磋商流程</w:t>
      </w:r>
    </w:p>
    <w:p w14:paraId="64E0B67F">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cs="Times New Roman"/>
          <w:bCs/>
          <w:kern w:val="28"/>
          <w:szCs w:val="21"/>
          <w:highlight w:val="none"/>
        </w:rPr>
      </w:pPr>
      <w:r>
        <w:rPr>
          <w:rFonts w:hint="default" w:ascii="Times New Roman" w:hAnsi="Times New Roman" w:cs="Times New Roman"/>
          <w:bCs/>
          <w:kern w:val="28"/>
          <w:szCs w:val="21"/>
          <w:highlight w:val="none"/>
        </w:rPr>
        <w:t>1</w:t>
      </w:r>
      <w:r>
        <w:rPr>
          <w:rFonts w:hint="eastAsia" w:ascii="Times New Roman" w:hAnsi="Times New Roman" w:cs="Times New Roman"/>
          <w:bCs/>
          <w:kern w:val="28"/>
          <w:szCs w:val="21"/>
          <w:highlight w:val="none"/>
          <w:lang w:val="en-US" w:eastAsia="zh-CN"/>
        </w:rPr>
        <w:t>.</w:t>
      </w:r>
      <w:r>
        <w:rPr>
          <w:rFonts w:hint="default" w:ascii="Times New Roman" w:hAnsi="Times New Roman" w:cs="Times New Roman"/>
          <w:bCs/>
          <w:kern w:val="28"/>
          <w:szCs w:val="21"/>
          <w:highlight w:val="none"/>
        </w:rPr>
        <w:t>主持人宣布磋商的有关事项；</w:t>
      </w:r>
    </w:p>
    <w:p w14:paraId="1A38BD35">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cs="Times New Roman"/>
          <w:bCs/>
          <w:kern w:val="28"/>
          <w:szCs w:val="21"/>
          <w:highlight w:val="none"/>
        </w:rPr>
      </w:pPr>
      <w:bookmarkStart w:id="17" w:name="_Toc182848998"/>
      <w:r>
        <w:rPr>
          <w:rFonts w:hint="default" w:ascii="Times New Roman" w:hAnsi="Times New Roman" w:cs="Times New Roman"/>
          <w:bCs/>
          <w:kern w:val="28"/>
          <w:szCs w:val="21"/>
          <w:highlight w:val="none"/>
        </w:rPr>
        <w:t>2</w:t>
      </w:r>
      <w:r>
        <w:rPr>
          <w:rFonts w:hint="eastAsia" w:ascii="Times New Roman" w:hAnsi="Times New Roman" w:cs="Times New Roman"/>
          <w:bCs/>
          <w:kern w:val="28"/>
          <w:szCs w:val="21"/>
          <w:highlight w:val="none"/>
          <w:lang w:eastAsia="zh-CN"/>
        </w:rPr>
        <w:t>.</w:t>
      </w:r>
      <w:r>
        <w:rPr>
          <w:rFonts w:hint="default" w:ascii="Times New Roman" w:hAnsi="Times New Roman" w:cs="Times New Roman"/>
          <w:bCs/>
          <w:kern w:val="28"/>
          <w:szCs w:val="21"/>
          <w:highlight w:val="none"/>
        </w:rPr>
        <w:t>工作人员</w:t>
      </w:r>
      <w:bookmarkEnd w:id="17"/>
      <w:r>
        <w:rPr>
          <w:rFonts w:hint="default" w:ascii="Times New Roman" w:hAnsi="Times New Roman" w:cs="Times New Roman"/>
          <w:bCs/>
          <w:kern w:val="28"/>
          <w:szCs w:val="21"/>
          <w:highlight w:val="none"/>
        </w:rPr>
        <w:t>开启磋商响应文件，供应商应在收到解密提示后30分钟内解密；</w:t>
      </w:r>
    </w:p>
    <w:p w14:paraId="3ACB68A0">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cs="Times New Roman"/>
          <w:bCs/>
          <w:kern w:val="28"/>
          <w:szCs w:val="21"/>
          <w:highlight w:val="none"/>
        </w:rPr>
      </w:pPr>
      <w:r>
        <w:rPr>
          <w:rFonts w:hint="default" w:ascii="Times New Roman" w:hAnsi="Times New Roman" w:cs="Times New Roman"/>
          <w:bCs/>
          <w:kern w:val="28"/>
          <w:szCs w:val="21"/>
          <w:highlight w:val="none"/>
        </w:rPr>
        <w:t>3</w:t>
      </w:r>
      <w:r>
        <w:rPr>
          <w:rFonts w:hint="eastAsia" w:ascii="Times New Roman" w:hAnsi="Times New Roman" w:cs="Times New Roman"/>
          <w:bCs/>
          <w:kern w:val="28"/>
          <w:szCs w:val="21"/>
          <w:highlight w:val="none"/>
          <w:lang w:eastAsia="zh-CN"/>
        </w:rPr>
        <w:t>.</w:t>
      </w:r>
      <w:r>
        <w:rPr>
          <w:rFonts w:hint="default" w:ascii="Times New Roman" w:hAnsi="Times New Roman" w:cs="Times New Roman"/>
          <w:bCs/>
          <w:kern w:val="28"/>
          <w:szCs w:val="21"/>
          <w:highlight w:val="none"/>
        </w:rPr>
        <w:t>磋商小组对所提交的磋商响应资信及商务、技术文件进行审查，审查结束后，由主持人在线公布无效磋商响应方名单、磋商响应无效的原因、标项废标情况；</w:t>
      </w:r>
    </w:p>
    <w:p w14:paraId="1AFB9E7A">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cs="Times New Roman"/>
          <w:bCs/>
          <w:kern w:val="28"/>
          <w:szCs w:val="21"/>
          <w:highlight w:val="none"/>
        </w:rPr>
      </w:pPr>
      <w:r>
        <w:rPr>
          <w:rFonts w:hint="default" w:ascii="Times New Roman" w:hAnsi="Times New Roman" w:cs="Times New Roman"/>
          <w:bCs/>
          <w:kern w:val="28"/>
          <w:szCs w:val="21"/>
          <w:highlight w:val="none"/>
        </w:rPr>
        <w:t>4</w:t>
      </w:r>
      <w:r>
        <w:rPr>
          <w:rFonts w:hint="eastAsia" w:ascii="Times New Roman" w:hAnsi="Times New Roman" w:cs="Times New Roman"/>
          <w:bCs/>
          <w:kern w:val="28"/>
          <w:szCs w:val="21"/>
          <w:highlight w:val="none"/>
          <w:lang w:eastAsia="zh-CN"/>
        </w:rPr>
        <w:t>.</w:t>
      </w:r>
      <w:r>
        <w:rPr>
          <w:rFonts w:hint="default" w:ascii="Times New Roman" w:hAnsi="Times New Roman" w:cs="Times New Roman"/>
          <w:bCs/>
          <w:kern w:val="28"/>
          <w:szCs w:val="21"/>
          <w:highlight w:val="none"/>
        </w:rPr>
        <w:t>磋商小组视情况与各磋商响应方就公司情况、项目需求、售后服务、价格构成、供货时间、付款方式等要素分别进行磋商。逐家磋商一次为一个轮次，磋商轮次由磋商小组视情况决定。</w:t>
      </w:r>
    </w:p>
    <w:p w14:paraId="3E2B0A59">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cs="Times New Roman"/>
          <w:bCs/>
          <w:kern w:val="28"/>
          <w:szCs w:val="21"/>
          <w:highlight w:val="none"/>
        </w:rPr>
      </w:pPr>
      <w:r>
        <w:rPr>
          <w:rFonts w:hint="default" w:ascii="Times New Roman" w:hAnsi="Times New Roman" w:cs="Times New Roman"/>
          <w:bCs/>
          <w:kern w:val="28"/>
          <w:szCs w:val="21"/>
          <w:highlight w:val="none"/>
        </w:rPr>
        <w:t>5</w:t>
      </w:r>
      <w:r>
        <w:rPr>
          <w:rFonts w:hint="eastAsia" w:ascii="Times New Roman" w:hAnsi="Times New Roman" w:cs="Times New Roman"/>
          <w:bCs/>
          <w:kern w:val="28"/>
          <w:szCs w:val="21"/>
          <w:highlight w:val="none"/>
          <w:lang w:eastAsia="zh-CN"/>
        </w:rPr>
        <w:t>.</w:t>
      </w:r>
      <w:r>
        <w:rPr>
          <w:rFonts w:hint="default" w:ascii="Times New Roman" w:hAnsi="Times New Roman" w:cs="Times New Roman"/>
          <w:bCs/>
          <w:kern w:val="28"/>
          <w:szCs w:val="21"/>
          <w:highlight w:val="none"/>
        </w:rPr>
        <w:t>磋商结束后，主持人宣布本次最终报价的最高限价，并要求各磋商响应方在规定时间（30分钟）内进行最终报价。在规定时间内没有提交最终报价的磋商供应商，视为放弃第二轮报价，其最终报价按上一轮报价为准（供应商明确放弃投标的情况除外）。</w:t>
      </w:r>
    </w:p>
    <w:p w14:paraId="1CE1ADA6">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cs="Times New Roman"/>
          <w:bCs/>
          <w:kern w:val="28"/>
          <w:szCs w:val="21"/>
          <w:highlight w:val="none"/>
        </w:rPr>
      </w:pPr>
      <w:r>
        <w:rPr>
          <w:rFonts w:hint="default" w:ascii="Times New Roman" w:hAnsi="Times New Roman" w:cs="Times New Roman"/>
          <w:bCs/>
          <w:kern w:val="28"/>
          <w:szCs w:val="21"/>
          <w:highlight w:val="none"/>
        </w:rPr>
        <w:t>6</w:t>
      </w:r>
      <w:r>
        <w:rPr>
          <w:rFonts w:hint="eastAsia" w:ascii="Times New Roman" w:hAnsi="Times New Roman" w:cs="Times New Roman"/>
          <w:bCs/>
          <w:kern w:val="28"/>
          <w:szCs w:val="21"/>
          <w:highlight w:val="none"/>
          <w:lang w:eastAsia="zh-CN"/>
        </w:rPr>
        <w:t>.</w:t>
      </w:r>
      <w:r>
        <w:rPr>
          <w:rFonts w:hint="default" w:ascii="Times New Roman" w:hAnsi="Times New Roman" w:cs="Times New Roman"/>
          <w:bCs/>
          <w:kern w:val="28"/>
          <w:szCs w:val="21"/>
          <w:highlight w:val="none"/>
        </w:rPr>
        <w:t>磋商小组根据评审方法对各磋商响应方的资信及商务、技术情况进行评审打分。系统按照磋商小组独立评定结果进行算术平均值计算。</w:t>
      </w:r>
    </w:p>
    <w:p w14:paraId="4E05BDB0">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cs="Times New Roman"/>
          <w:bCs/>
          <w:kern w:val="28"/>
          <w:szCs w:val="21"/>
          <w:highlight w:val="none"/>
        </w:rPr>
      </w:pPr>
      <w:r>
        <w:rPr>
          <w:rFonts w:hint="default" w:ascii="Times New Roman" w:hAnsi="Times New Roman" w:cs="Times New Roman"/>
          <w:bCs/>
          <w:kern w:val="28"/>
          <w:szCs w:val="21"/>
          <w:highlight w:val="none"/>
        </w:rPr>
        <w:t>7</w:t>
      </w:r>
      <w:r>
        <w:rPr>
          <w:rFonts w:hint="eastAsia" w:ascii="Times New Roman" w:hAnsi="Times New Roman" w:cs="Times New Roman"/>
          <w:bCs/>
          <w:kern w:val="28"/>
          <w:szCs w:val="21"/>
          <w:highlight w:val="none"/>
          <w:lang w:eastAsia="zh-CN"/>
        </w:rPr>
        <w:t>.</w:t>
      </w:r>
      <w:r>
        <w:rPr>
          <w:rFonts w:hint="default" w:ascii="Times New Roman" w:hAnsi="Times New Roman" w:cs="Times New Roman"/>
          <w:bCs/>
          <w:kern w:val="28"/>
          <w:szCs w:val="21"/>
          <w:highlight w:val="none"/>
        </w:rPr>
        <w:t>主持人宣布磋商最终报价评审的有关事项。</w:t>
      </w:r>
    </w:p>
    <w:p w14:paraId="5346CF90">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cs="Times New Roman"/>
          <w:bCs/>
          <w:kern w:val="28"/>
          <w:szCs w:val="21"/>
          <w:highlight w:val="none"/>
        </w:rPr>
      </w:pPr>
      <w:r>
        <w:rPr>
          <w:rFonts w:hint="default" w:ascii="Times New Roman" w:hAnsi="Times New Roman" w:cs="Times New Roman"/>
          <w:bCs/>
          <w:kern w:val="28"/>
          <w:szCs w:val="21"/>
          <w:highlight w:val="none"/>
        </w:rPr>
        <w:t>8</w:t>
      </w:r>
      <w:r>
        <w:rPr>
          <w:rFonts w:hint="eastAsia" w:ascii="Times New Roman" w:hAnsi="Times New Roman" w:cs="Times New Roman"/>
          <w:bCs/>
          <w:kern w:val="28"/>
          <w:szCs w:val="21"/>
          <w:highlight w:val="none"/>
          <w:lang w:eastAsia="zh-CN"/>
        </w:rPr>
        <w:t>.</w:t>
      </w:r>
      <w:r>
        <w:rPr>
          <w:rFonts w:hint="default" w:ascii="Times New Roman" w:hAnsi="Times New Roman" w:cs="Times New Roman"/>
          <w:bCs/>
          <w:kern w:val="28"/>
          <w:szCs w:val="21"/>
          <w:highlight w:val="none"/>
        </w:rPr>
        <w:t>磋商结束后，系统公布有效磋商响应方的总得分结果和推荐的中标候选人。</w:t>
      </w:r>
    </w:p>
    <w:p w14:paraId="647141AA">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cs="Times New Roman"/>
          <w:bCs/>
          <w:kern w:val="28"/>
          <w:szCs w:val="21"/>
          <w:highlight w:val="none"/>
        </w:rPr>
      </w:pPr>
      <w:r>
        <w:rPr>
          <w:rFonts w:hint="default" w:ascii="Times New Roman" w:hAnsi="Times New Roman" w:cs="Times New Roman"/>
          <w:bCs/>
          <w:kern w:val="28"/>
          <w:szCs w:val="21"/>
          <w:highlight w:val="none"/>
        </w:rPr>
        <w:t>9</w:t>
      </w:r>
      <w:r>
        <w:rPr>
          <w:rFonts w:hint="eastAsia" w:ascii="Times New Roman" w:hAnsi="Times New Roman" w:cs="Times New Roman"/>
          <w:bCs/>
          <w:kern w:val="28"/>
          <w:szCs w:val="21"/>
          <w:highlight w:val="none"/>
          <w:lang w:eastAsia="zh-CN"/>
        </w:rPr>
        <w:t>.</w:t>
      </w:r>
      <w:r>
        <w:rPr>
          <w:rFonts w:hint="default" w:ascii="Times New Roman" w:hAnsi="Times New Roman" w:cs="Times New Roman"/>
          <w:bCs/>
          <w:kern w:val="28"/>
          <w:szCs w:val="21"/>
          <w:highlight w:val="none"/>
        </w:rPr>
        <w:t>磋商原则：磋商小组必须公平、公正、客观，不带任何倾向性和启发性；不得向外界透露任何与磋商有关的内容；任何单位和个人不得干扰、影响磋商的正常进行；磋商小组及有关工作人员不得私下与磋商响应方接触。</w:t>
      </w:r>
    </w:p>
    <w:p w14:paraId="18ADD6B2">
      <w:pPr>
        <w:keepNext w:val="0"/>
        <w:keepLines w:val="0"/>
        <w:pageBreakBefore w:val="0"/>
        <w:widowControl w:val="0"/>
        <w:kinsoku/>
        <w:wordWrap/>
        <w:overflowPunct/>
        <w:topLinePunct w:val="0"/>
        <w:autoSpaceDE/>
        <w:autoSpaceDN/>
        <w:bidi w:val="0"/>
        <w:adjustRightInd/>
        <w:snapToGrid/>
        <w:spacing w:line="360" w:lineRule="auto"/>
        <w:ind w:firstLine="416" w:firstLineChars="196"/>
        <w:jc w:val="both"/>
        <w:textAlignment w:val="auto"/>
        <w:outlineLvl w:val="0"/>
        <w:rPr>
          <w:rFonts w:hint="default" w:ascii="Times New Roman" w:hAnsi="Times New Roman" w:cs="Times New Roman"/>
          <w:b/>
          <w:bCs/>
          <w:szCs w:val="21"/>
          <w:highlight w:val="none"/>
        </w:rPr>
      </w:pPr>
      <w:bookmarkStart w:id="18" w:name="_Toc11298"/>
      <w:bookmarkStart w:id="19" w:name="_Toc27912"/>
      <w:bookmarkStart w:id="20" w:name="_Toc423610067"/>
      <w:r>
        <w:rPr>
          <w:rFonts w:hint="default" w:ascii="Times New Roman" w:hAnsi="Times New Roman" w:cs="Times New Roman"/>
          <w:b/>
          <w:bCs/>
          <w:szCs w:val="21"/>
          <w:highlight w:val="none"/>
        </w:rPr>
        <w:t>四、竞争性磋商评标办法</w:t>
      </w:r>
      <w:bookmarkEnd w:id="18"/>
      <w:bookmarkEnd w:id="19"/>
      <w:bookmarkEnd w:id="20"/>
    </w:p>
    <w:p w14:paraId="3C2356C7">
      <w:pPr>
        <w:keepNext w:val="0"/>
        <w:keepLines w:val="0"/>
        <w:pageBreakBefore w:val="0"/>
        <w:kinsoku/>
        <w:wordWrap/>
        <w:overflowPunct/>
        <w:topLinePunct w:val="0"/>
        <w:autoSpaceDE/>
        <w:autoSpaceDN/>
        <w:bidi w:val="0"/>
        <w:adjustRightInd/>
        <w:snapToGrid/>
        <w:spacing w:line="360" w:lineRule="auto"/>
        <w:ind w:firstLine="420"/>
        <w:textAlignment w:val="auto"/>
        <w:outlineLvl w:val="0"/>
        <w:rPr>
          <w:rFonts w:hint="default" w:ascii="Times New Roman" w:hAnsi="Times New Roman" w:cs="Times New Roman"/>
          <w:szCs w:val="21"/>
          <w:highlight w:val="none"/>
        </w:rPr>
      </w:pPr>
      <w:bookmarkStart w:id="21" w:name="_Toc423610068"/>
      <w:bookmarkStart w:id="22" w:name="_Toc31540"/>
      <w:bookmarkStart w:id="23" w:name="_Toc26970"/>
      <w:r>
        <w:rPr>
          <w:rFonts w:hint="default" w:ascii="Times New Roman" w:hAnsi="Times New Roman" w:cs="Times New Roman"/>
          <w:szCs w:val="21"/>
          <w:highlight w:val="none"/>
        </w:rPr>
        <w:t>（一）本评标办法采用百分制综合评估法。</w:t>
      </w:r>
      <w:r>
        <w:rPr>
          <w:rFonts w:hint="default" w:ascii="Times New Roman" w:hAnsi="Times New Roman" w:cs="Times New Roman"/>
          <w:szCs w:val="21"/>
          <w:highlight w:val="none"/>
          <w:lang w:val="en-US" w:eastAsia="zh-CN"/>
        </w:rPr>
        <w:t>总分100分，其中</w:t>
      </w:r>
      <w:r>
        <w:rPr>
          <w:rFonts w:hint="default" w:ascii="Times New Roman" w:hAnsi="Times New Roman" w:cs="Times New Roman"/>
          <w:szCs w:val="21"/>
          <w:highlight w:val="none"/>
        </w:rPr>
        <w:t>资信技术</w:t>
      </w:r>
      <w:r>
        <w:rPr>
          <w:rFonts w:hint="eastAsia" w:cs="Times New Roman"/>
          <w:szCs w:val="21"/>
          <w:highlight w:val="none"/>
          <w:lang w:val="en-US" w:eastAsia="zh-CN"/>
        </w:rPr>
        <w:t>90</w:t>
      </w:r>
      <w:r>
        <w:rPr>
          <w:rFonts w:hint="default" w:ascii="Times New Roman" w:hAnsi="Times New Roman" w:cs="Times New Roman"/>
          <w:szCs w:val="21"/>
          <w:highlight w:val="none"/>
        </w:rPr>
        <w:t>分，报价</w:t>
      </w:r>
      <w:r>
        <w:rPr>
          <w:rFonts w:hint="eastAsia" w:cs="Times New Roman"/>
          <w:szCs w:val="21"/>
          <w:highlight w:val="none"/>
          <w:lang w:val="en-US" w:eastAsia="zh-CN"/>
        </w:rPr>
        <w:t>10</w:t>
      </w:r>
      <w:r>
        <w:rPr>
          <w:rFonts w:hint="default" w:ascii="Times New Roman" w:hAnsi="Times New Roman" w:cs="Times New Roman"/>
          <w:szCs w:val="21"/>
          <w:highlight w:val="none"/>
        </w:rPr>
        <w:t>分。最大限度地满足采购需求中规定的各项综合评价标准且综合得分最高的投标人，将被推荐为排序第一的中标候选人。</w:t>
      </w:r>
      <w:bookmarkEnd w:id="21"/>
      <w:bookmarkEnd w:id="22"/>
      <w:bookmarkEnd w:id="23"/>
    </w:p>
    <w:p w14:paraId="21DA3AD3">
      <w:pPr>
        <w:keepNext w:val="0"/>
        <w:keepLines w:val="0"/>
        <w:pageBreakBefore w:val="0"/>
        <w:widowControl w:val="0"/>
        <w:kinsoku/>
        <w:wordWrap/>
        <w:overflowPunct/>
        <w:topLinePunct w:val="0"/>
        <w:autoSpaceDE/>
        <w:autoSpaceDN/>
        <w:bidi w:val="0"/>
        <w:adjustRightInd/>
        <w:snapToGrid/>
        <w:spacing w:line="360" w:lineRule="auto"/>
        <w:ind w:firstLine="312" w:firstLineChars="147"/>
        <w:jc w:val="both"/>
        <w:textAlignment w:val="auto"/>
        <w:outlineLvl w:val="0"/>
        <w:rPr>
          <w:rFonts w:hint="default" w:ascii="Times New Roman" w:hAnsi="Times New Roman" w:cs="Times New Roman"/>
          <w:szCs w:val="21"/>
          <w:highlight w:val="none"/>
        </w:rPr>
      </w:pPr>
      <w:bookmarkStart w:id="24" w:name="_Toc32438"/>
      <w:bookmarkStart w:id="25" w:name="_Toc19850"/>
      <w:bookmarkStart w:id="26" w:name="_Toc423610113"/>
      <w:r>
        <w:rPr>
          <w:rFonts w:hint="default" w:ascii="Times New Roman" w:hAnsi="Times New Roman" w:cs="Times New Roman"/>
          <w:szCs w:val="21"/>
          <w:highlight w:val="none"/>
        </w:rPr>
        <w:t>各磋商小组成员按下列评分项目进行评定，每人一张评分计算表，由磋商小组成员各自评定打分并记实名。如任何一张表的一项评分内容分值超过规定的范围，则该张表无效。各磋商小组成员对各供应商的各项评分内容进行评审、独立打分，所有磋商小组成员的评分的算术平均值为该供应商技术资信部分的最终得分（四舍五入，保留小数点后二位）。下述评分项缺项按0分计。</w:t>
      </w:r>
      <w:bookmarkEnd w:id="24"/>
      <w:bookmarkEnd w:id="25"/>
    </w:p>
    <w:p w14:paraId="75F9EA4E">
      <w:pPr>
        <w:keepNext/>
        <w:keepLines/>
        <w:widowControl w:val="0"/>
        <w:adjustRightInd w:val="0"/>
        <w:snapToGrid w:val="0"/>
        <w:spacing w:line="360" w:lineRule="auto"/>
        <w:ind w:firstLine="639" w:firstLineChars="300"/>
        <w:jc w:val="both"/>
        <w:outlineLvl w:val="0"/>
        <w:rPr>
          <w:rFonts w:hint="default" w:ascii="Times New Roman" w:hAnsi="Times New Roman" w:eastAsia="宋体" w:cs="Times New Roman"/>
          <w:b w:val="0"/>
          <w:color w:val="auto"/>
          <w:kern w:val="0"/>
          <w:sz w:val="21"/>
          <w:szCs w:val="21"/>
          <w:highlight w:val="none"/>
          <w:lang w:val="en-US" w:eastAsia="zh-CN" w:bidi="ar-SA"/>
        </w:rPr>
      </w:pPr>
      <w:bookmarkStart w:id="27" w:name="_Toc13204"/>
      <w:bookmarkStart w:id="28" w:name="_Toc10334"/>
      <w:r>
        <w:rPr>
          <w:rFonts w:hint="default" w:ascii="Times New Roman" w:hAnsi="Times New Roman" w:eastAsia="宋体" w:cs="Times New Roman"/>
          <w:b/>
          <w:kern w:val="0"/>
          <w:sz w:val="21"/>
          <w:szCs w:val="21"/>
          <w:highlight w:val="none"/>
          <w:lang w:val="en-US" w:eastAsia="zh-CN" w:bidi="ar-SA"/>
        </w:rPr>
        <w:t>1.资信部分（</w:t>
      </w:r>
      <w:r>
        <w:rPr>
          <w:rFonts w:hint="eastAsia" w:cs="Times New Roman"/>
          <w:b/>
          <w:kern w:val="0"/>
          <w:sz w:val="21"/>
          <w:szCs w:val="21"/>
          <w:highlight w:val="none"/>
          <w:lang w:val="en-US" w:eastAsia="zh-CN" w:bidi="ar-SA"/>
        </w:rPr>
        <w:t>10</w:t>
      </w:r>
      <w:r>
        <w:rPr>
          <w:rFonts w:hint="default" w:ascii="Times New Roman" w:hAnsi="Times New Roman" w:eastAsia="宋体" w:cs="Times New Roman"/>
          <w:b/>
          <w:kern w:val="0"/>
          <w:sz w:val="21"/>
          <w:szCs w:val="21"/>
          <w:highlight w:val="none"/>
          <w:lang w:val="en-US" w:eastAsia="zh-CN" w:bidi="ar-SA"/>
        </w:rPr>
        <w:t>分）</w:t>
      </w:r>
    </w:p>
    <w:tbl>
      <w:tblPr>
        <w:tblStyle w:val="27"/>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433"/>
        <w:gridCol w:w="874"/>
        <w:gridCol w:w="1102"/>
        <w:gridCol w:w="5366"/>
      </w:tblGrid>
      <w:tr w14:paraId="76D2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14:paraId="0C18A585">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序号</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0932BCF2">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内容</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67499F1A">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评分</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eastAsia="zh-CN"/>
              </w:rPr>
              <w:t>设置</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549166D1">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分值</w:t>
            </w:r>
          </w:p>
        </w:tc>
        <w:tc>
          <w:tcPr>
            <w:tcW w:w="5366" w:type="dxa"/>
            <w:tcBorders>
              <w:top w:val="single" w:color="auto" w:sz="4" w:space="0"/>
              <w:left w:val="single" w:color="auto" w:sz="4" w:space="0"/>
              <w:bottom w:val="single" w:color="auto" w:sz="4" w:space="0"/>
              <w:right w:val="single" w:color="auto" w:sz="4" w:space="0"/>
            </w:tcBorders>
            <w:noWrap w:val="0"/>
            <w:vAlign w:val="center"/>
          </w:tcPr>
          <w:p w14:paraId="7CA631C3">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评分标准</w:t>
            </w:r>
          </w:p>
        </w:tc>
      </w:tr>
      <w:tr w14:paraId="2D95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14:paraId="1B8592BD">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74FAD32C">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企业信誉</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4AAEC886">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客观分</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0927CE0F">
            <w:pPr>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分</w:t>
            </w:r>
          </w:p>
        </w:tc>
        <w:tc>
          <w:tcPr>
            <w:tcW w:w="5366" w:type="dxa"/>
            <w:tcBorders>
              <w:top w:val="single" w:color="auto" w:sz="4" w:space="0"/>
              <w:left w:val="single" w:color="auto" w:sz="4" w:space="0"/>
              <w:bottom w:val="single" w:color="auto" w:sz="4" w:space="0"/>
              <w:right w:val="single" w:color="auto" w:sz="4" w:space="0"/>
            </w:tcBorders>
            <w:noWrap w:val="0"/>
            <w:vAlign w:val="center"/>
          </w:tcPr>
          <w:p w14:paraId="7F5F3727">
            <w:pP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根据投标</w:t>
            </w:r>
            <w:r>
              <w:rPr>
                <w:rFonts w:hint="eastAsia" w:ascii="Times New Roman" w:hAnsi="Times New Roman" w:cs="Times New Roman"/>
                <w:color w:val="auto"/>
                <w:sz w:val="21"/>
                <w:szCs w:val="21"/>
                <w:highlight w:val="none"/>
                <w:lang w:eastAsia="zh-CN"/>
              </w:rPr>
              <w:t>人</w:t>
            </w:r>
            <w:r>
              <w:rPr>
                <w:rFonts w:hint="default" w:ascii="Times New Roman" w:hAnsi="Times New Roman" w:eastAsia="宋体" w:cs="Times New Roman"/>
                <w:color w:val="auto"/>
                <w:sz w:val="21"/>
                <w:szCs w:val="21"/>
                <w:highlight w:val="none"/>
                <w:lang w:eastAsia="zh-CN"/>
              </w:rPr>
              <w:t>获得的各类政府机构颁发的各类荣誉对应得分，选择荣誉最高的一项进行计分，省级及以上得3分，市级得2分，县区级得1分。</w:t>
            </w:r>
            <w:r>
              <w:rPr>
                <w:rFonts w:hint="eastAsia" w:ascii="Times New Roman" w:hAnsi="Times New Roman" w:cs="Times New Roman"/>
                <w:color w:val="auto"/>
                <w:sz w:val="21"/>
                <w:szCs w:val="21"/>
                <w:highlight w:val="none"/>
                <w:lang w:eastAsia="zh-CN"/>
              </w:rPr>
              <w:t>最高得</w:t>
            </w:r>
            <w:r>
              <w:rPr>
                <w:rFonts w:hint="eastAsia" w:ascii="Times New Roman" w:hAnsi="Times New Roman" w:cs="Times New Roman"/>
                <w:color w:val="auto"/>
                <w:sz w:val="21"/>
                <w:szCs w:val="21"/>
                <w:highlight w:val="none"/>
                <w:lang w:val="en-US" w:eastAsia="zh-CN"/>
              </w:rPr>
              <w:t>3分。</w:t>
            </w:r>
          </w:p>
        </w:tc>
      </w:tr>
      <w:tr w14:paraId="106C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14:paraId="5039FE4E">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4EC55775">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等级评定</w:t>
            </w:r>
            <w:r>
              <w:rPr>
                <w:rFonts w:hint="default" w:ascii="Times New Roman" w:hAnsi="Times New Roman" w:eastAsia="宋体" w:cs="Times New Roman"/>
                <w:color w:val="auto"/>
                <w:sz w:val="21"/>
                <w:szCs w:val="21"/>
                <w:highlight w:val="none"/>
                <w:lang w:val="en-US" w:eastAsia="zh-CN"/>
              </w:rPr>
              <w:t xml:space="preserve">    </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482A7226">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客观分</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7FAB0953">
            <w:pPr>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分</w:t>
            </w:r>
          </w:p>
        </w:tc>
        <w:tc>
          <w:tcPr>
            <w:tcW w:w="5366" w:type="dxa"/>
            <w:tcBorders>
              <w:top w:val="single" w:color="auto" w:sz="4" w:space="0"/>
              <w:left w:val="single" w:color="auto" w:sz="4" w:space="0"/>
              <w:bottom w:val="single" w:color="auto" w:sz="4" w:space="0"/>
              <w:right w:val="single" w:color="auto" w:sz="4" w:space="0"/>
            </w:tcBorders>
            <w:noWrap w:val="0"/>
            <w:vAlign w:val="center"/>
          </w:tcPr>
          <w:p w14:paraId="10829C0A">
            <w:pP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投标</w:t>
            </w:r>
            <w:r>
              <w:rPr>
                <w:rFonts w:hint="eastAsia" w:ascii="Times New Roman" w:hAnsi="Times New Roman" w:cs="Times New Roman"/>
                <w:color w:val="auto"/>
                <w:sz w:val="21"/>
                <w:szCs w:val="21"/>
                <w:highlight w:val="none"/>
                <w:lang w:eastAsia="zh-CN"/>
              </w:rPr>
              <w:t>人</w:t>
            </w:r>
            <w:r>
              <w:rPr>
                <w:rFonts w:hint="default" w:ascii="Times New Roman" w:hAnsi="Times New Roman" w:cs="Times New Roman"/>
                <w:color w:val="auto"/>
                <w:sz w:val="21"/>
                <w:szCs w:val="21"/>
                <w:highlight w:val="none"/>
              </w:rPr>
              <w:t>被省</w:t>
            </w:r>
            <w:r>
              <w:rPr>
                <w:rFonts w:hint="default" w:ascii="Times New Roman" w:hAnsi="Times New Roman" w:eastAsia="宋体" w:cs="Times New Roman"/>
                <w:color w:val="auto"/>
                <w:sz w:val="21"/>
                <w:szCs w:val="21"/>
                <w:highlight w:val="none"/>
                <w:lang w:eastAsia="zh-CN"/>
              </w:rPr>
              <w:t>级及以上</w:t>
            </w:r>
            <w:r>
              <w:rPr>
                <w:rFonts w:hint="default" w:ascii="Times New Roman" w:hAnsi="Times New Roman" w:cs="Times New Roman"/>
                <w:color w:val="auto"/>
                <w:sz w:val="21"/>
                <w:szCs w:val="21"/>
                <w:highlight w:val="none"/>
              </w:rPr>
              <w:t>除四害协会评定为</w:t>
            </w:r>
            <w:r>
              <w:rPr>
                <w:rFonts w:hint="default" w:ascii="Times New Roman" w:hAnsi="Times New Roman" w:cs="Times New Roman"/>
                <w:color w:val="auto"/>
                <w:sz w:val="21"/>
                <w:szCs w:val="21"/>
                <w:highlight w:val="none"/>
                <w:lang w:eastAsia="zh-CN"/>
              </w:rPr>
              <w:t>一</w:t>
            </w:r>
            <w:r>
              <w:rPr>
                <w:rFonts w:hint="default" w:ascii="Times New Roman" w:hAnsi="Times New Roman" w:cs="Times New Roman"/>
                <w:color w:val="auto"/>
                <w:sz w:val="21"/>
                <w:szCs w:val="21"/>
                <w:highlight w:val="none"/>
              </w:rPr>
              <w:t>级</w:t>
            </w:r>
            <w:r>
              <w:rPr>
                <w:rFonts w:hint="default" w:ascii="Times New Roman" w:hAnsi="Times New Roman" w:cs="Times New Roman"/>
                <w:color w:val="auto"/>
                <w:sz w:val="21"/>
                <w:szCs w:val="21"/>
                <w:highlight w:val="none"/>
                <w:lang w:eastAsia="zh-CN"/>
              </w:rPr>
              <w:t>及以上</w:t>
            </w:r>
            <w:r>
              <w:rPr>
                <w:rFonts w:hint="default" w:ascii="Times New Roman" w:hAnsi="Times New Roman" w:cs="Times New Roman"/>
                <w:color w:val="auto"/>
                <w:sz w:val="21"/>
                <w:szCs w:val="21"/>
                <w:highlight w:val="none"/>
              </w:rPr>
              <w:t>单位，得</w:t>
            </w:r>
            <w:r>
              <w:rPr>
                <w:rFonts w:hint="default"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分；二级单位，得2分；三级单位得1分；未</w:t>
            </w:r>
            <w:r>
              <w:rPr>
                <w:rFonts w:hint="default" w:ascii="Times New Roman" w:hAnsi="Times New Roman" w:cs="Times New Roman"/>
                <w:color w:val="auto"/>
                <w:sz w:val="21"/>
                <w:szCs w:val="21"/>
                <w:highlight w:val="none"/>
              </w:rPr>
              <w:t>获得</w:t>
            </w:r>
            <w:r>
              <w:rPr>
                <w:rFonts w:hint="default" w:ascii="Times New Roman" w:hAnsi="Times New Roman" w:eastAsia="宋体" w:cs="Times New Roman"/>
                <w:color w:val="auto"/>
                <w:sz w:val="21"/>
                <w:szCs w:val="21"/>
                <w:highlight w:val="none"/>
                <w:lang w:val="en-US" w:eastAsia="zh-CN"/>
              </w:rPr>
              <w:t>评定等级的单位不得分。</w:t>
            </w:r>
            <w:r>
              <w:rPr>
                <w:rFonts w:hint="eastAsia" w:ascii="Times New Roman" w:hAnsi="Times New Roman" w:cs="Times New Roman"/>
                <w:color w:val="auto"/>
                <w:sz w:val="21"/>
                <w:szCs w:val="21"/>
                <w:highlight w:val="none"/>
                <w:lang w:eastAsia="zh-CN"/>
              </w:rPr>
              <w:t>最高得</w:t>
            </w:r>
            <w:r>
              <w:rPr>
                <w:rFonts w:hint="eastAsia" w:ascii="Times New Roman" w:hAnsi="Times New Roman" w:cs="Times New Roman"/>
                <w:color w:val="auto"/>
                <w:sz w:val="21"/>
                <w:szCs w:val="21"/>
                <w:highlight w:val="none"/>
                <w:lang w:val="en-US" w:eastAsia="zh-CN"/>
              </w:rPr>
              <w:t>3分。</w:t>
            </w:r>
          </w:p>
        </w:tc>
      </w:tr>
      <w:tr w14:paraId="346F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14:paraId="3F215C88">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7E03D3B4">
            <w:pPr>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管理体系</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认证</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3FCB3C6C">
            <w:pPr>
              <w:jc w:val="center"/>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客观分</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366A2BC6">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3分</w:t>
            </w:r>
          </w:p>
        </w:tc>
        <w:tc>
          <w:tcPr>
            <w:tcW w:w="5366" w:type="dxa"/>
            <w:tcBorders>
              <w:top w:val="single" w:color="auto" w:sz="4" w:space="0"/>
              <w:left w:val="single" w:color="auto" w:sz="4" w:space="0"/>
              <w:right w:val="single" w:color="auto" w:sz="4" w:space="0"/>
            </w:tcBorders>
            <w:noWrap w:val="0"/>
            <w:vAlign w:val="center"/>
          </w:tcPr>
          <w:p w14:paraId="39C0AB46">
            <w:pPr>
              <w:spacing w:line="276" w:lineRule="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投标</w:t>
            </w:r>
            <w:r>
              <w:rPr>
                <w:rFonts w:hint="eastAsia" w:ascii="Times New Roman" w:hAnsi="Times New Roman" w:cs="Times New Roman"/>
                <w:color w:val="auto"/>
                <w:sz w:val="21"/>
                <w:szCs w:val="21"/>
                <w:highlight w:val="none"/>
                <w:lang w:eastAsia="zh-CN"/>
              </w:rPr>
              <w:t>人</w:t>
            </w:r>
            <w:r>
              <w:rPr>
                <w:rFonts w:hint="default" w:ascii="Times New Roman" w:hAnsi="Times New Roman" w:eastAsia="宋体" w:cs="Times New Roman"/>
                <w:color w:val="auto"/>
                <w:sz w:val="21"/>
                <w:szCs w:val="21"/>
                <w:highlight w:val="none"/>
                <w:lang w:val="en-US" w:eastAsia="zh-CN"/>
              </w:rPr>
              <w:t>具有有效的质量管理体系认证证书、环境管理体系认证证书、职业健康安全管理体系认证证书</w:t>
            </w:r>
            <w:r>
              <w:rPr>
                <w:rFonts w:hint="eastAsia" w:ascii="Times New Roman" w:hAnsi="Times New Roman" w:cs="Times New Roman"/>
                <w:color w:val="auto"/>
                <w:sz w:val="21"/>
                <w:szCs w:val="21"/>
                <w:highlight w:val="none"/>
                <w:lang w:val="en-US" w:eastAsia="zh-CN"/>
              </w:rPr>
              <w:t>的</w:t>
            </w:r>
            <w:r>
              <w:rPr>
                <w:rFonts w:hint="default" w:ascii="Times New Roman" w:hAnsi="Times New Roman" w:eastAsia="宋体" w:cs="Times New Roman"/>
                <w:color w:val="auto"/>
                <w:sz w:val="21"/>
                <w:szCs w:val="21"/>
                <w:highlight w:val="none"/>
                <w:lang w:val="en-US" w:eastAsia="zh-CN"/>
              </w:rPr>
              <w:t>，每提供一个得1分，最高得3分</w:t>
            </w:r>
            <w:r>
              <w:rPr>
                <w:rFonts w:hint="eastAsia" w:ascii="Times New Roman" w:hAnsi="Times New Roman" w:cs="Times New Roman"/>
                <w:color w:val="auto"/>
                <w:sz w:val="21"/>
                <w:szCs w:val="21"/>
                <w:highlight w:val="none"/>
                <w:lang w:val="en-US" w:eastAsia="zh-CN"/>
              </w:rPr>
              <w:t>。</w:t>
            </w:r>
          </w:p>
        </w:tc>
      </w:tr>
      <w:tr w14:paraId="4C5F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14:paraId="6F6CC70C">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57A888B0">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服务资历</w:t>
            </w:r>
            <w:r>
              <w:rPr>
                <w:rFonts w:hint="default" w:ascii="Times New Roman" w:hAnsi="Times New Roman" w:cs="Times New Roman"/>
                <w:color w:val="auto"/>
                <w:sz w:val="21"/>
                <w:szCs w:val="21"/>
                <w:highlight w:val="none"/>
                <w:lang w:val="en-US" w:eastAsia="zh-CN"/>
              </w:rPr>
              <w:t xml:space="preserve">                  </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1EAB169E">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客观分</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5E3E737">
            <w:pPr>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分</w:t>
            </w:r>
          </w:p>
        </w:tc>
        <w:tc>
          <w:tcPr>
            <w:tcW w:w="5366" w:type="dxa"/>
            <w:tcBorders>
              <w:top w:val="single" w:color="auto" w:sz="4" w:space="0"/>
              <w:left w:val="single" w:color="auto" w:sz="4" w:space="0"/>
              <w:right w:val="single" w:color="auto" w:sz="4" w:space="0"/>
            </w:tcBorders>
            <w:noWrap w:val="0"/>
            <w:vAlign w:val="center"/>
          </w:tcPr>
          <w:p w14:paraId="5BE11452">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同类成功案例：投标人提供自</w:t>
            </w:r>
            <w:r>
              <w:rPr>
                <w:rFonts w:hint="default" w:ascii="Times New Roman" w:hAnsi="Times New Roman" w:eastAsia="宋体" w:cs="Times New Roman"/>
                <w:color w:val="auto"/>
                <w:sz w:val="21"/>
                <w:szCs w:val="21"/>
                <w:highlight w:val="none"/>
                <w:lang w:val="en-US" w:eastAsia="zh-CN"/>
              </w:rPr>
              <w:t>2022年1月1日以</w:t>
            </w:r>
            <w:r>
              <w:rPr>
                <w:rFonts w:hint="default" w:ascii="Times New Roman" w:hAnsi="Times New Roman" w:cs="Times New Roman"/>
                <w:color w:val="auto"/>
                <w:sz w:val="21"/>
                <w:szCs w:val="21"/>
                <w:highlight w:val="none"/>
              </w:rPr>
              <w:t>来</w:t>
            </w:r>
            <w:r>
              <w:rPr>
                <w:rFonts w:hint="default" w:ascii="Times New Roman" w:hAnsi="Times New Roman" w:eastAsia="宋体" w:cs="Times New Roman"/>
                <w:color w:val="auto"/>
                <w:sz w:val="21"/>
                <w:szCs w:val="21"/>
                <w:highlight w:val="none"/>
                <w:lang w:eastAsia="zh-CN"/>
              </w:rPr>
              <w:t>承接的</w:t>
            </w:r>
            <w:r>
              <w:rPr>
                <w:rFonts w:hint="default" w:ascii="Times New Roman" w:hAnsi="Times New Roman" w:cs="Times New Roman"/>
                <w:color w:val="auto"/>
                <w:sz w:val="21"/>
                <w:szCs w:val="21"/>
                <w:highlight w:val="none"/>
              </w:rPr>
              <w:t>同类项目（指政府</w:t>
            </w:r>
            <w:r>
              <w:rPr>
                <w:rFonts w:hint="default" w:ascii="Times New Roman" w:hAnsi="Times New Roman" w:eastAsia="宋体" w:cs="Times New Roman"/>
                <w:color w:val="auto"/>
                <w:sz w:val="21"/>
                <w:szCs w:val="21"/>
                <w:highlight w:val="none"/>
                <w:lang w:eastAsia="zh-CN"/>
              </w:rPr>
              <w:t>服务</w:t>
            </w:r>
            <w:r>
              <w:rPr>
                <w:rFonts w:hint="default" w:ascii="Times New Roman" w:hAnsi="Times New Roman" w:cs="Times New Roman"/>
                <w:color w:val="auto"/>
                <w:sz w:val="21"/>
                <w:szCs w:val="21"/>
                <w:highlight w:val="none"/>
              </w:rPr>
              <w:t>项目），</w:t>
            </w:r>
            <w:r>
              <w:rPr>
                <w:rFonts w:hint="default" w:ascii="Times New Roman" w:hAnsi="Times New Roman" w:eastAsia="宋体" w:cs="Times New Roman"/>
                <w:color w:val="auto"/>
                <w:sz w:val="21"/>
                <w:szCs w:val="21"/>
                <w:highlight w:val="none"/>
                <w:lang w:eastAsia="zh-CN"/>
              </w:rPr>
              <w:t>每个项目得</w:t>
            </w:r>
            <w:r>
              <w:rPr>
                <w:rFonts w:hint="default" w:ascii="Times New Roman" w:hAnsi="Times New Roman" w:eastAsia="宋体" w:cs="Times New Roman"/>
                <w:color w:val="auto"/>
                <w:sz w:val="21"/>
                <w:szCs w:val="21"/>
                <w:highlight w:val="none"/>
                <w:lang w:val="en-US" w:eastAsia="zh-CN"/>
              </w:rPr>
              <w:t>0.25分，最高1分。</w:t>
            </w:r>
            <w:r>
              <w:rPr>
                <w:rFonts w:hint="default" w:ascii="Times New Roman" w:hAnsi="Times New Roman"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时间以合同签订日期为准，</w:t>
            </w:r>
            <w:r>
              <w:rPr>
                <w:rFonts w:hint="default" w:ascii="Times New Roman" w:hAnsi="Times New Roman" w:cs="Times New Roman"/>
                <w:color w:val="auto"/>
                <w:sz w:val="21"/>
                <w:szCs w:val="21"/>
                <w:highlight w:val="none"/>
              </w:rPr>
              <w:t>投标</w:t>
            </w:r>
            <w:r>
              <w:rPr>
                <w:rFonts w:hint="default" w:ascii="Times New Roman" w:hAnsi="Times New Roman" w:eastAsia="宋体" w:cs="Times New Roman"/>
                <w:color w:val="auto"/>
                <w:sz w:val="21"/>
                <w:szCs w:val="21"/>
                <w:highlight w:val="none"/>
                <w:lang w:eastAsia="zh-CN"/>
              </w:rPr>
              <w:t>文件中需提供</w:t>
            </w:r>
            <w:r>
              <w:rPr>
                <w:rFonts w:hint="default" w:ascii="Times New Roman" w:hAnsi="Times New Roman" w:eastAsia="宋体" w:cs="Times New Roman"/>
                <w:b/>
                <w:bCs/>
                <w:color w:val="auto"/>
                <w:sz w:val="21"/>
                <w:szCs w:val="21"/>
                <w:highlight w:val="none"/>
                <w:lang w:eastAsia="zh-CN"/>
              </w:rPr>
              <w:t>合同</w:t>
            </w:r>
            <w:r>
              <w:rPr>
                <w:rFonts w:hint="default" w:ascii="Times New Roman" w:hAnsi="Times New Roman" w:eastAsia="宋体" w:cs="Times New Roman"/>
                <w:color w:val="auto"/>
                <w:sz w:val="21"/>
                <w:szCs w:val="21"/>
                <w:highlight w:val="none"/>
                <w:lang w:eastAsia="zh-CN"/>
              </w:rPr>
              <w:t>和</w:t>
            </w:r>
            <w:r>
              <w:rPr>
                <w:rFonts w:hint="default" w:ascii="Times New Roman" w:hAnsi="Times New Roman" w:eastAsia="宋体" w:cs="Times New Roman"/>
                <w:b/>
                <w:bCs/>
                <w:color w:val="auto"/>
                <w:sz w:val="21"/>
                <w:szCs w:val="21"/>
                <w:highlight w:val="none"/>
                <w:lang w:eastAsia="zh-CN"/>
              </w:rPr>
              <w:t>中标通知书</w:t>
            </w:r>
            <w:r>
              <w:rPr>
                <w:rFonts w:hint="default" w:ascii="Times New Roman" w:hAnsi="Times New Roman" w:eastAsia="宋体" w:cs="Times New Roman"/>
                <w:b w:val="0"/>
                <w:bCs w:val="0"/>
                <w:color w:val="auto"/>
                <w:sz w:val="21"/>
                <w:szCs w:val="21"/>
                <w:highlight w:val="none"/>
                <w:lang w:eastAsia="zh-CN"/>
              </w:rPr>
              <w:t>复印件</w:t>
            </w:r>
            <w:r>
              <w:rPr>
                <w:rFonts w:hint="default" w:ascii="Times New Roman" w:hAnsi="Times New Roman" w:eastAsia="宋体" w:cs="Times New Roman"/>
                <w:color w:val="auto"/>
                <w:sz w:val="21"/>
                <w:szCs w:val="21"/>
                <w:highlight w:val="none"/>
                <w:lang w:eastAsia="zh-CN"/>
              </w:rPr>
              <w:t>，两者缺一不可。</w:t>
            </w:r>
            <w:r>
              <w:rPr>
                <w:rFonts w:hint="default" w:ascii="Times New Roman" w:hAnsi="Times New Roman" w:cs="Times New Roman"/>
                <w:color w:val="auto"/>
                <w:sz w:val="21"/>
                <w:szCs w:val="21"/>
                <w:highlight w:val="none"/>
              </w:rPr>
              <w:t>）</w:t>
            </w:r>
            <w:r>
              <w:rPr>
                <w:rFonts w:hint="default" w:ascii="Times New Roman" w:hAnsi="Times New Roman" w:eastAsia="宋体" w:cs="Times New Roman"/>
                <w:b/>
                <w:bCs/>
                <w:color w:val="auto"/>
                <w:sz w:val="21"/>
                <w:szCs w:val="21"/>
                <w:highlight w:val="none"/>
                <w:lang w:eastAsia="zh-CN"/>
              </w:rPr>
              <w:t>是否属于类似项目由磋商小组根据合同的内容、特点以及与本项目的类似程度等进行认定。</w:t>
            </w:r>
          </w:p>
        </w:tc>
      </w:tr>
    </w:tbl>
    <w:p w14:paraId="16994907">
      <w:pPr>
        <w:adjustRightInd w:val="0"/>
        <w:snapToGrid w:val="0"/>
        <w:spacing w:line="400" w:lineRule="exact"/>
        <w:ind w:firstLine="639" w:firstLineChars="30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color w:val="auto"/>
          <w:szCs w:val="21"/>
          <w:highlight w:val="none"/>
          <w:lang w:val="en-US" w:eastAsia="zh-CN"/>
        </w:rPr>
        <w:t>2.</w:t>
      </w:r>
      <w:r>
        <w:rPr>
          <w:rFonts w:hint="default" w:ascii="Times New Roman" w:hAnsi="Times New Roman" w:eastAsia="宋体" w:cs="Times New Roman"/>
          <w:b/>
          <w:color w:val="auto"/>
          <w:szCs w:val="21"/>
          <w:highlight w:val="none"/>
        </w:rPr>
        <w:t>技术部分（</w:t>
      </w:r>
      <w:r>
        <w:rPr>
          <w:rFonts w:hint="eastAsia" w:cs="Times New Roman"/>
          <w:b/>
          <w:color w:val="auto"/>
          <w:szCs w:val="21"/>
          <w:highlight w:val="none"/>
          <w:lang w:val="en-US" w:eastAsia="zh-CN"/>
        </w:rPr>
        <w:t>80</w:t>
      </w:r>
      <w:r>
        <w:rPr>
          <w:rFonts w:hint="default" w:ascii="Times New Roman" w:hAnsi="Times New Roman" w:eastAsia="宋体" w:cs="Times New Roman"/>
          <w:b/>
          <w:color w:val="auto"/>
          <w:szCs w:val="21"/>
          <w:highlight w:val="none"/>
        </w:rPr>
        <w:t>分）</w:t>
      </w:r>
    </w:p>
    <w:tbl>
      <w:tblPr>
        <w:tblStyle w:val="27"/>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613"/>
        <w:gridCol w:w="873"/>
        <w:gridCol w:w="983"/>
        <w:gridCol w:w="5339"/>
      </w:tblGrid>
      <w:tr w14:paraId="7E8C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C64DF01">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1613" w:type="dxa"/>
            <w:tcBorders>
              <w:top w:val="single" w:color="auto" w:sz="4" w:space="0"/>
              <w:left w:val="single" w:color="auto" w:sz="4" w:space="0"/>
              <w:bottom w:val="single" w:color="auto" w:sz="4" w:space="0"/>
              <w:right w:val="single" w:color="auto" w:sz="4" w:space="0"/>
            </w:tcBorders>
            <w:noWrap w:val="0"/>
            <w:vAlign w:val="center"/>
          </w:tcPr>
          <w:p w14:paraId="6259CECF">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内容</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3BEA861">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评分</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eastAsia="zh-CN"/>
              </w:rPr>
              <w:t>设置</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0B9EFF3D">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分值</w:t>
            </w:r>
          </w:p>
        </w:tc>
        <w:tc>
          <w:tcPr>
            <w:tcW w:w="5339" w:type="dxa"/>
            <w:tcBorders>
              <w:top w:val="single" w:color="auto" w:sz="4" w:space="0"/>
              <w:left w:val="single" w:color="auto" w:sz="4" w:space="0"/>
              <w:bottom w:val="single" w:color="auto" w:sz="4" w:space="0"/>
              <w:right w:val="single" w:color="auto" w:sz="4" w:space="0"/>
            </w:tcBorders>
            <w:noWrap w:val="0"/>
            <w:vAlign w:val="center"/>
          </w:tcPr>
          <w:p w14:paraId="437F2180">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评分标准</w:t>
            </w:r>
          </w:p>
        </w:tc>
      </w:tr>
      <w:tr w14:paraId="3ABD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33635D3A">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3" w:type="dxa"/>
            <w:tcBorders>
              <w:top w:val="single" w:color="auto" w:sz="4" w:space="0"/>
              <w:left w:val="single" w:color="auto" w:sz="4" w:space="0"/>
              <w:bottom w:val="single" w:color="auto" w:sz="4" w:space="0"/>
              <w:right w:val="single" w:color="auto" w:sz="4" w:space="0"/>
            </w:tcBorders>
            <w:noWrap w:val="0"/>
            <w:vAlign w:val="center"/>
          </w:tcPr>
          <w:p w14:paraId="711557E9">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本底调查</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7C62C58">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主观分</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2539A27A">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8分</w:t>
            </w:r>
          </w:p>
        </w:tc>
        <w:tc>
          <w:tcPr>
            <w:tcW w:w="5339" w:type="dxa"/>
            <w:tcBorders>
              <w:top w:val="single" w:color="auto" w:sz="4" w:space="0"/>
              <w:left w:val="single" w:color="auto" w:sz="4" w:space="0"/>
              <w:bottom w:val="single" w:color="auto" w:sz="4" w:space="0"/>
              <w:right w:val="single" w:color="auto" w:sz="4" w:space="0"/>
            </w:tcBorders>
            <w:noWrap w:val="0"/>
            <w:vAlign w:val="center"/>
          </w:tcPr>
          <w:p w14:paraId="7BDD58E5">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开展本底调查，掌握</w:t>
            </w:r>
            <w:r>
              <w:rPr>
                <w:rFonts w:hint="default" w:ascii="Times New Roman" w:hAnsi="Times New Roman" w:eastAsia="宋体" w:cs="Times New Roman"/>
                <w:color w:val="auto"/>
                <w:sz w:val="21"/>
                <w:szCs w:val="21"/>
                <w:highlight w:val="none"/>
                <w:lang w:eastAsia="zh-CN"/>
              </w:rPr>
              <w:t>服务区域内各类环境具体</w:t>
            </w:r>
            <w:r>
              <w:rPr>
                <w:rFonts w:hint="default" w:ascii="Times New Roman" w:hAnsi="Times New Roman" w:eastAsia="宋体" w:cs="Times New Roman"/>
                <w:color w:val="auto"/>
                <w:sz w:val="21"/>
                <w:szCs w:val="21"/>
                <w:highlight w:val="none"/>
              </w:rPr>
              <w:t>数量，</w:t>
            </w:r>
            <w:r>
              <w:rPr>
                <w:rFonts w:hint="default" w:ascii="Times New Roman" w:hAnsi="Times New Roman" w:eastAsia="宋体" w:cs="Times New Roman"/>
                <w:color w:val="auto"/>
                <w:sz w:val="21"/>
                <w:szCs w:val="21"/>
                <w:highlight w:val="none"/>
                <w:lang w:eastAsia="zh-CN"/>
              </w:rPr>
              <w:t>以及当地“四害”的优势种群，</w:t>
            </w:r>
            <w:r>
              <w:rPr>
                <w:rFonts w:hint="default" w:ascii="Times New Roman" w:hAnsi="Times New Roman" w:eastAsia="宋体" w:cs="Times New Roman"/>
                <w:color w:val="auto"/>
                <w:sz w:val="21"/>
                <w:szCs w:val="21"/>
                <w:highlight w:val="none"/>
              </w:rPr>
              <w:t>根据提供的本底资料的</w:t>
            </w:r>
            <w:r>
              <w:rPr>
                <w:rFonts w:hint="default" w:ascii="Times New Roman" w:hAnsi="Times New Roman" w:eastAsia="宋体" w:cs="Times New Roman"/>
                <w:bCs/>
                <w:color w:val="auto"/>
                <w:sz w:val="21"/>
                <w:szCs w:val="21"/>
                <w:highlight w:val="none"/>
              </w:rPr>
              <w:t>完整性</w:t>
            </w:r>
            <w:r>
              <w:rPr>
                <w:rFonts w:hint="default" w:ascii="Times New Roman" w:hAnsi="Times New Roman" w:eastAsia="宋体" w:cs="Times New Roman"/>
                <w:color w:val="auto"/>
                <w:sz w:val="21"/>
                <w:szCs w:val="21"/>
                <w:highlight w:val="none"/>
              </w:rPr>
              <w:t>和真实性，酌情</w:t>
            </w:r>
            <w:r>
              <w:rPr>
                <w:rFonts w:hint="default" w:ascii="Times New Roman" w:hAnsi="Times New Roman" w:eastAsia="宋体" w:cs="Times New Roman"/>
                <w:color w:val="auto"/>
                <w:sz w:val="21"/>
                <w:szCs w:val="21"/>
                <w:highlight w:val="none"/>
                <w:lang w:eastAsia="zh-CN"/>
              </w:rPr>
              <w:t>评</w:t>
            </w:r>
            <w:r>
              <w:rPr>
                <w:rFonts w:hint="default" w:ascii="Times New Roman" w:hAnsi="Times New Roman" w:eastAsia="宋体" w:cs="Times New Roman"/>
                <w:color w:val="auto"/>
                <w:sz w:val="21"/>
                <w:szCs w:val="21"/>
                <w:highlight w:val="none"/>
              </w:rPr>
              <w:t>分。</w:t>
            </w:r>
          </w:p>
          <w:p w14:paraId="46DAF712">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针对资料的完整性，是否与采购需求符合性或匹配度进行</w:t>
            </w:r>
            <w:r>
              <w:rPr>
                <w:rFonts w:hint="default" w:ascii="Times New Roman" w:hAnsi="Times New Roman" w:eastAsia="宋体" w:cs="Times New Roman"/>
                <w:color w:val="auto"/>
                <w:sz w:val="21"/>
                <w:szCs w:val="21"/>
                <w:highlight w:val="none"/>
                <w:lang w:eastAsia="zh-CN"/>
              </w:rPr>
              <w:t>评</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b/>
                <w:bCs/>
                <w:color w:val="auto"/>
                <w:sz w:val="21"/>
                <w:szCs w:val="21"/>
                <w:highlight w:val="none"/>
              </w:rPr>
              <w:t>（评分范围：</w:t>
            </w:r>
            <w:r>
              <w:rPr>
                <w:rFonts w:hint="default" w:ascii="Times New Roman" w:hAnsi="Times New Roman" w:eastAsia="宋体" w:cs="Times New Roman"/>
                <w:b/>
                <w:bCs/>
                <w:color w:val="auto"/>
                <w:sz w:val="21"/>
                <w:szCs w:val="21"/>
                <w:highlight w:val="none"/>
                <w:lang w:val="en-US" w:eastAsia="zh-CN"/>
              </w:rPr>
              <w:t>4分</w:t>
            </w:r>
            <w:r>
              <w:rPr>
                <w:rFonts w:hint="eastAsia"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3</w:t>
            </w:r>
            <w:r>
              <w:rPr>
                <w:rFonts w:hint="default" w:ascii="Times New Roman" w:hAnsi="Times New Roman" w:eastAsia="宋体" w:cs="Times New Roman"/>
                <w:b/>
                <w:bCs/>
                <w:color w:val="auto"/>
                <w:sz w:val="21"/>
                <w:szCs w:val="21"/>
                <w:highlight w:val="none"/>
                <w:lang w:eastAsia="zh-CN"/>
              </w:rPr>
              <w:t>分</w:t>
            </w:r>
            <w:r>
              <w:rPr>
                <w:rFonts w:hint="eastAsia"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2</w:t>
            </w:r>
            <w:r>
              <w:rPr>
                <w:rFonts w:hint="default" w:ascii="Times New Roman" w:hAnsi="Times New Roman" w:eastAsia="宋体" w:cs="Times New Roman"/>
                <w:b/>
                <w:bCs/>
                <w:color w:val="auto"/>
                <w:sz w:val="21"/>
                <w:szCs w:val="21"/>
                <w:highlight w:val="none"/>
                <w:lang w:eastAsia="zh-CN"/>
              </w:rPr>
              <w:t>分</w:t>
            </w:r>
            <w:r>
              <w:rPr>
                <w:rFonts w:hint="eastAsia"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1</w:t>
            </w:r>
            <w:r>
              <w:rPr>
                <w:rFonts w:hint="default" w:ascii="Times New Roman" w:hAnsi="Times New Roman" w:eastAsia="宋体" w:cs="Times New Roman"/>
                <w:b/>
                <w:bCs/>
                <w:color w:val="auto"/>
                <w:sz w:val="21"/>
                <w:szCs w:val="21"/>
                <w:highlight w:val="none"/>
                <w:lang w:eastAsia="zh-CN"/>
              </w:rPr>
              <w:t>分</w:t>
            </w:r>
            <w:r>
              <w:rPr>
                <w:rFonts w:hint="eastAsia"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没有不得分）</w:t>
            </w:r>
          </w:p>
          <w:p w14:paraId="3B7F3F96">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针对资料的真实性，是否与采购需求符合性或匹配度进行</w:t>
            </w:r>
            <w:r>
              <w:rPr>
                <w:rFonts w:hint="default" w:ascii="Times New Roman" w:hAnsi="Times New Roman" w:eastAsia="宋体" w:cs="Times New Roman"/>
                <w:color w:val="auto"/>
                <w:sz w:val="21"/>
                <w:szCs w:val="21"/>
                <w:highlight w:val="none"/>
                <w:lang w:eastAsia="zh-CN"/>
              </w:rPr>
              <w:t>评</w:t>
            </w:r>
            <w:r>
              <w:rPr>
                <w:rFonts w:hint="default" w:ascii="Times New Roman" w:hAnsi="Times New Roman" w:eastAsia="宋体" w:cs="Times New Roman"/>
                <w:color w:val="auto"/>
                <w:sz w:val="21"/>
                <w:szCs w:val="21"/>
                <w:highlight w:val="none"/>
              </w:rPr>
              <w:t>分</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
                <w:bCs/>
                <w:color w:val="auto"/>
                <w:sz w:val="21"/>
                <w:szCs w:val="21"/>
                <w:highlight w:val="none"/>
              </w:rPr>
              <w:t>（评分范围：</w:t>
            </w:r>
            <w:r>
              <w:rPr>
                <w:rFonts w:hint="default" w:ascii="Times New Roman" w:hAnsi="Times New Roman" w:eastAsia="宋体" w:cs="Times New Roman"/>
                <w:b/>
                <w:bCs/>
                <w:color w:val="auto"/>
                <w:sz w:val="21"/>
                <w:szCs w:val="21"/>
                <w:highlight w:val="none"/>
                <w:lang w:val="en-US" w:eastAsia="zh-CN"/>
              </w:rPr>
              <w:t>4分</w:t>
            </w:r>
            <w:r>
              <w:rPr>
                <w:rFonts w:hint="eastAsia"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3</w:t>
            </w:r>
            <w:r>
              <w:rPr>
                <w:rFonts w:hint="default" w:ascii="Times New Roman" w:hAnsi="Times New Roman" w:eastAsia="宋体" w:cs="Times New Roman"/>
                <w:b/>
                <w:bCs/>
                <w:color w:val="auto"/>
                <w:sz w:val="21"/>
                <w:szCs w:val="21"/>
                <w:highlight w:val="none"/>
                <w:lang w:eastAsia="zh-CN"/>
              </w:rPr>
              <w:t>分</w:t>
            </w:r>
            <w:r>
              <w:rPr>
                <w:rFonts w:hint="eastAsia"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2</w:t>
            </w:r>
            <w:r>
              <w:rPr>
                <w:rFonts w:hint="default" w:ascii="Times New Roman" w:hAnsi="Times New Roman" w:eastAsia="宋体" w:cs="Times New Roman"/>
                <w:b/>
                <w:bCs/>
                <w:color w:val="auto"/>
                <w:sz w:val="21"/>
                <w:szCs w:val="21"/>
                <w:highlight w:val="none"/>
                <w:lang w:eastAsia="zh-CN"/>
              </w:rPr>
              <w:t>分</w:t>
            </w:r>
            <w:r>
              <w:rPr>
                <w:rFonts w:hint="eastAsia"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1</w:t>
            </w:r>
            <w:r>
              <w:rPr>
                <w:rFonts w:hint="default" w:ascii="Times New Roman" w:hAnsi="Times New Roman" w:eastAsia="宋体" w:cs="Times New Roman"/>
                <w:b/>
                <w:bCs/>
                <w:color w:val="auto"/>
                <w:sz w:val="21"/>
                <w:szCs w:val="21"/>
                <w:highlight w:val="none"/>
                <w:lang w:eastAsia="zh-CN"/>
              </w:rPr>
              <w:t>分</w:t>
            </w:r>
            <w:r>
              <w:rPr>
                <w:rFonts w:hint="eastAsia"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没有不得分）</w:t>
            </w:r>
          </w:p>
        </w:tc>
      </w:tr>
      <w:tr w14:paraId="2E31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712" w:type="dxa"/>
            <w:tcBorders>
              <w:top w:val="single" w:color="auto" w:sz="4" w:space="0"/>
              <w:left w:val="single" w:color="auto" w:sz="4" w:space="0"/>
              <w:right w:val="single" w:color="auto" w:sz="4" w:space="0"/>
            </w:tcBorders>
            <w:noWrap w:val="0"/>
            <w:vAlign w:val="center"/>
          </w:tcPr>
          <w:p w14:paraId="24F28EFB">
            <w:pPr>
              <w:ind w:firstLine="213" w:firstLineChars="1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613" w:type="dxa"/>
            <w:tcBorders>
              <w:top w:val="single" w:color="auto" w:sz="4" w:space="0"/>
              <w:left w:val="single" w:color="auto" w:sz="4" w:space="0"/>
              <w:right w:val="single" w:color="auto" w:sz="4" w:space="0"/>
            </w:tcBorders>
            <w:noWrap w:val="0"/>
            <w:vAlign w:val="center"/>
          </w:tcPr>
          <w:p w14:paraId="6A2BCEEB">
            <w:pPr>
              <w:spacing w:line="30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总体</w:t>
            </w:r>
            <w:r>
              <w:rPr>
                <w:rFonts w:hint="default" w:ascii="Times New Roman" w:hAnsi="Times New Roman" w:eastAsia="宋体" w:cs="Times New Roman"/>
                <w:color w:val="auto"/>
                <w:sz w:val="21"/>
                <w:szCs w:val="21"/>
                <w:highlight w:val="none"/>
              </w:rPr>
              <w:t>方案</w:t>
            </w:r>
          </w:p>
        </w:tc>
        <w:tc>
          <w:tcPr>
            <w:tcW w:w="873" w:type="dxa"/>
            <w:tcBorders>
              <w:top w:val="single" w:color="auto" w:sz="4" w:space="0"/>
              <w:left w:val="single" w:color="auto" w:sz="4" w:space="0"/>
              <w:right w:val="single" w:color="auto" w:sz="4" w:space="0"/>
            </w:tcBorders>
            <w:noWrap w:val="0"/>
            <w:vAlign w:val="center"/>
          </w:tcPr>
          <w:p w14:paraId="25E18EB9">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主观分</w:t>
            </w:r>
          </w:p>
        </w:tc>
        <w:tc>
          <w:tcPr>
            <w:tcW w:w="983" w:type="dxa"/>
            <w:tcBorders>
              <w:top w:val="single" w:color="auto" w:sz="4" w:space="0"/>
              <w:left w:val="single" w:color="auto" w:sz="4" w:space="0"/>
              <w:right w:val="single" w:color="auto" w:sz="4" w:space="0"/>
            </w:tcBorders>
            <w:noWrap w:val="0"/>
            <w:vAlign w:val="center"/>
          </w:tcPr>
          <w:p w14:paraId="516C025B">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分</w:t>
            </w:r>
          </w:p>
        </w:tc>
        <w:tc>
          <w:tcPr>
            <w:tcW w:w="5339" w:type="dxa"/>
            <w:tcBorders>
              <w:top w:val="single" w:color="auto" w:sz="4" w:space="0"/>
              <w:left w:val="single" w:color="auto" w:sz="4" w:space="0"/>
              <w:right w:val="single" w:color="auto" w:sz="4" w:space="0"/>
            </w:tcBorders>
            <w:noWrap w:val="0"/>
            <w:vAlign w:val="center"/>
          </w:tcPr>
          <w:p w14:paraId="4F6489A0">
            <w:pPr>
              <w:keepNext w:val="0"/>
              <w:keepLines w:val="0"/>
              <w:pageBreakBefore w:val="0"/>
              <w:widowControl/>
              <w:tabs>
                <w:tab w:val="left" w:pos="3060"/>
              </w:tabs>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根</w:t>
            </w:r>
            <w:r>
              <w:rPr>
                <w:rFonts w:hint="default" w:ascii="Times New Roman" w:hAnsi="Times New Roman" w:eastAsia="宋体" w:cs="Times New Roman"/>
                <w:color w:val="auto"/>
                <w:sz w:val="21"/>
                <w:szCs w:val="21"/>
                <w:highlight w:val="none"/>
              </w:rPr>
              <w:t>据项目</w:t>
            </w:r>
            <w:r>
              <w:rPr>
                <w:rFonts w:hint="default" w:ascii="Times New Roman" w:hAnsi="Times New Roman" w:eastAsia="宋体" w:cs="Times New Roman"/>
                <w:color w:val="auto"/>
                <w:sz w:val="21"/>
                <w:szCs w:val="21"/>
                <w:highlight w:val="none"/>
                <w:lang w:eastAsia="zh-CN"/>
              </w:rPr>
              <w:t>区域</w:t>
            </w:r>
            <w:r>
              <w:rPr>
                <w:rFonts w:hint="default" w:ascii="Times New Roman" w:hAnsi="Times New Roman" w:eastAsia="宋体" w:cs="Times New Roman"/>
                <w:color w:val="auto"/>
                <w:sz w:val="21"/>
                <w:szCs w:val="21"/>
                <w:highlight w:val="none"/>
              </w:rPr>
              <w:t>“四害”种群分布，制定出</w:t>
            </w:r>
            <w:r>
              <w:rPr>
                <w:rFonts w:hint="default" w:ascii="Times New Roman" w:hAnsi="Times New Roman" w:eastAsia="宋体" w:cs="Times New Roman"/>
                <w:color w:val="auto"/>
                <w:sz w:val="21"/>
                <w:szCs w:val="21"/>
                <w:highlight w:val="none"/>
                <w:lang w:eastAsia="zh-CN"/>
              </w:rPr>
              <w:t>县城</w:t>
            </w:r>
            <w:r>
              <w:rPr>
                <w:rFonts w:hint="default" w:ascii="Times New Roman" w:hAnsi="Times New Roman" w:eastAsia="宋体" w:cs="Times New Roman"/>
                <w:color w:val="auto"/>
                <w:sz w:val="21"/>
                <w:szCs w:val="21"/>
                <w:highlight w:val="none"/>
              </w:rPr>
              <w:t>公共环境病媒生物防制总体实施方案，根据方案制定的</w:t>
            </w:r>
            <w:r>
              <w:rPr>
                <w:rFonts w:hint="default" w:ascii="Times New Roman" w:hAnsi="Times New Roman" w:eastAsia="宋体" w:cs="Times New Roman"/>
                <w:bCs/>
                <w:color w:val="auto"/>
                <w:sz w:val="21"/>
                <w:szCs w:val="21"/>
                <w:highlight w:val="none"/>
              </w:rPr>
              <w:t>完整性</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color w:val="auto"/>
                <w:sz w:val="21"/>
                <w:szCs w:val="21"/>
                <w:highlight w:val="none"/>
              </w:rPr>
              <w:t>合理性、可行性酌情</w:t>
            </w:r>
            <w:r>
              <w:rPr>
                <w:rFonts w:hint="default" w:ascii="Times New Roman" w:hAnsi="Times New Roman" w:eastAsia="宋体" w:cs="Times New Roman"/>
                <w:color w:val="auto"/>
                <w:sz w:val="21"/>
                <w:szCs w:val="21"/>
                <w:highlight w:val="none"/>
                <w:lang w:eastAsia="zh-CN"/>
              </w:rPr>
              <w:t>评</w:t>
            </w:r>
            <w:r>
              <w:rPr>
                <w:rFonts w:hint="default" w:ascii="Times New Roman" w:hAnsi="Times New Roman" w:eastAsia="宋体" w:cs="Times New Roman"/>
                <w:color w:val="auto"/>
                <w:sz w:val="21"/>
                <w:szCs w:val="21"/>
                <w:highlight w:val="none"/>
              </w:rPr>
              <w:t>分。</w:t>
            </w:r>
          </w:p>
          <w:p w14:paraId="2944CEAA">
            <w:pPr>
              <w:keepNext w:val="0"/>
              <w:keepLines w:val="0"/>
              <w:pageBreakBefore w:val="0"/>
              <w:widowControl/>
              <w:tabs>
                <w:tab w:val="left" w:pos="3060"/>
              </w:tabs>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b/>
                <w:bCs/>
                <w:color w:val="auto"/>
                <w:sz w:val="21"/>
                <w:szCs w:val="21"/>
                <w:highlight w:val="none"/>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针对方案的完整性，是否与采购需求符合性或匹配度进行</w:t>
            </w:r>
            <w:r>
              <w:rPr>
                <w:rFonts w:hint="default" w:ascii="Times New Roman" w:hAnsi="Times New Roman" w:eastAsia="宋体" w:cs="Times New Roman"/>
                <w:color w:val="auto"/>
                <w:sz w:val="21"/>
                <w:szCs w:val="21"/>
                <w:highlight w:val="none"/>
                <w:lang w:eastAsia="zh-CN"/>
              </w:rPr>
              <w:t>评</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b/>
                <w:bCs/>
                <w:color w:val="auto"/>
                <w:sz w:val="21"/>
                <w:szCs w:val="21"/>
                <w:highlight w:val="none"/>
              </w:rPr>
              <w:t>（评分范围：</w:t>
            </w:r>
            <w:r>
              <w:rPr>
                <w:rFonts w:hint="default" w:ascii="Times New Roman" w:hAnsi="Times New Roman" w:eastAsia="宋体" w:cs="Times New Roman"/>
                <w:b/>
                <w:bCs/>
                <w:color w:val="auto"/>
                <w:sz w:val="21"/>
                <w:szCs w:val="21"/>
                <w:highlight w:val="none"/>
                <w:lang w:val="en-US" w:eastAsia="zh-CN"/>
              </w:rPr>
              <w:t>4分</w:t>
            </w:r>
            <w:r>
              <w:rPr>
                <w:rFonts w:hint="eastAsia"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3</w:t>
            </w:r>
            <w:r>
              <w:rPr>
                <w:rFonts w:hint="default" w:ascii="Times New Roman" w:hAnsi="Times New Roman" w:eastAsia="宋体" w:cs="Times New Roman"/>
                <w:b/>
                <w:bCs/>
                <w:color w:val="auto"/>
                <w:sz w:val="21"/>
                <w:szCs w:val="21"/>
                <w:highlight w:val="none"/>
                <w:lang w:eastAsia="zh-CN"/>
              </w:rPr>
              <w:t>分</w:t>
            </w:r>
            <w:r>
              <w:rPr>
                <w:rFonts w:hint="eastAsia"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2</w:t>
            </w:r>
            <w:r>
              <w:rPr>
                <w:rFonts w:hint="default" w:ascii="Times New Roman" w:hAnsi="Times New Roman" w:eastAsia="宋体" w:cs="Times New Roman"/>
                <w:b/>
                <w:bCs/>
                <w:color w:val="auto"/>
                <w:sz w:val="21"/>
                <w:szCs w:val="21"/>
                <w:highlight w:val="none"/>
                <w:lang w:eastAsia="zh-CN"/>
              </w:rPr>
              <w:t>分</w:t>
            </w:r>
            <w:r>
              <w:rPr>
                <w:rFonts w:hint="eastAsia"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1</w:t>
            </w:r>
            <w:r>
              <w:rPr>
                <w:rFonts w:hint="default" w:ascii="Times New Roman" w:hAnsi="Times New Roman" w:eastAsia="宋体" w:cs="Times New Roman"/>
                <w:b/>
                <w:bCs/>
                <w:color w:val="auto"/>
                <w:sz w:val="21"/>
                <w:szCs w:val="21"/>
                <w:highlight w:val="none"/>
                <w:lang w:eastAsia="zh-CN"/>
              </w:rPr>
              <w:t>分</w:t>
            </w:r>
            <w:r>
              <w:rPr>
                <w:rFonts w:hint="eastAsia"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没有不得分）</w:t>
            </w:r>
          </w:p>
          <w:p w14:paraId="74E8B34B">
            <w:pPr>
              <w:keepNext w:val="0"/>
              <w:keepLines w:val="0"/>
              <w:pageBreakBefore w:val="0"/>
              <w:widowControl/>
              <w:tabs>
                <w:tab w:val="left" w:pos="3060"/>
              </w:tabs>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b/>
                <w:bCs/>
                <w:color w:val="auto"/>
                <w:sz w:val="21"/>
                <w:szCs w:val="21"/>
                <w:highlight w:val="none"/>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针对方案</w:t>
            </w:r>
            <w:r>
              <w:rPr>
                <w:rFonts w:hint="default" w:ascii="Times New Roman" w:hAnsi="Times New Roman" w:eastAsia="宋体" w:cs="Times New Roman"/>
                <w:color w:val="auto"/>
                <w:sz w:val="21"/>
                <w:szCs w:val="21"/>
                <w:highlight w:val="none"/>
                <w:lang w:eastAsia="zh-CN"/>
              </w:rPr>
              <w:t>的</w:t>
            </w:r>
            <w:r>
              <w:rPr>
                <w:rFonts w:hint="default" w:ascii="Times New Roman" w:hAnsi="Times New Roman" w:eastAsia="宋体" w:cs="Times New Roman"/>
                <w:color w:val="auto"/>
                <w:sz w:val="21"/>
                <w:szCs w:val="21"/>
                <w:highlight w:val="none"/>
              </w:rPr>
              <w:t>合理</w:t>
            </w:r>
            <w:r>
              <w:rPr>
                <w:rFonts w:hint="default" w:ascii="Times New Roman" w:hAnsi="Times New Roman" w:eastAsia="宋体" w:cs="Times New Roman"/>
                <w:color w:val="auto"/>
                <w:sz w:val="21"/>
                <w:szCs w:val="21"/>
                <w:highlight w:val="none"/>
                <w:lang w:eastAsia="zh-CN"/>
              </w:rPr>
              <w:t>性</w:t>
            </w:r>
            <w:r>
              <w:rPr>
                <w:rFonts w:hint="default" w:ascii="Times New Roman" w:hAnsi="Times New Roman" w:eastAsia="宋体" w:cs="Times New Roman"/>
                <w:color w:val="auto"/>
                <w:sz w:val="21"/>
                <w:szCs w:val="21"/>
                <w:highlight w:val="none"/>
              </w:rPr>
              <w:t>，是否与采购需求符合性或匹配度进行</w:t>
            </w:r>
            <w:r>
              <w:rPr>
                <w:rFonts w:hint="default" w:ascii="Times New Roman" w:hAnsi="Times New Roman" w:eastAsia="宋体" w:cs="Times New Roman"/>
                <w:color w:val="auto"/>
                <w:sz w:val="21"/>
                <w:szCs w:val="21"/>
                <w:highlight w:val="none"/>
                <w:lang w:eastAsia="zh-CN"/>
              </w:rPr>
              <w:t>评</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b/>
                <w:bCs/>
                <w:color w:val="auto"/>
                <w:sz w:val="21"/>
                <w:szCs w:val="21"/>
                <w:highlight w:val="none"/>
              </w:rPr>
              <w:t>（评分范围：</w:t>
            </w:r>
            <w:r>
              <w:rPr>
                <w:rFonts w:hint="default" w:ascii="Times New Roman" w:hAnsi="Times New Roman" w:eastAsia="宋体" w:cs="Times New Roman"/>
                <w:b/>
                <w:bCs/>
                <w:color w:val="auto"/>
                <w:sz w:val="21"/>
                <w:szCs w:val="21"/>
                <w:highlight w:val="none"/>
                <w:lang w:val="en-US" w:eastAsia="zh-CN"/>
              </w:rPr>
              <w:t>4分</w:t>
            </w:r>
            <w:r>
              <w:rPr>
                <w:rFonts w:hint="eastAsia"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3</w:t>
            </w:r>
            <w:r>
              <w:rPr>
                <w:rFonts w:hint="default" w:ascii="Times New Roman" w:hAnsi="Times New Roman" w:eastAsia="宋体" w:cs="Times New Roman"/>
                <w:b/>
                <w:bCs/>
                <w:color w:val="auto"/>
                <w:sz w:val="21"/>
                <w:szCs w:val="21"/>
                <w:highlight w:val="none"/>
                <w:lang w:eastAsia="zh-CN"/>
              </w:rPr>
              <w:t>分</w:t>
            </w:r>
            <w:r>
              <w:rPr>
                <w:rFonts w:hint="eastAsia"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2</w:t>
            </w:r>
            <w:r>
              <w:rPr>
                <w:rFonts w:hint="default" w:ascii="Times New Roman" w:hAnsi="Times New Roman" w:eastAsia="宋体" w:cs="Times New Roman"/>
                <w:b/>
                <w:bCs/>
                <w:color w:val="auto"/>
                <w:sz w:val="21"/>
                <w:szCs w:val="21"/>
                <w:highlight w:val="none"/>
                <w:lang w:eastAsia="zh-CN"/>
              </w:rPr>
              <w:t>分</w:t>
            </w:r>
            <w:r>
              <w:rPr>
                <w:rFonts w:hint="eastAsia"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1</w:t>
            </w:r>
            <w:r>
              <w:rPr>
                <w:rFonts w:hint="default" w:ascii="Times New Roman" w:hAnsi="Times New Roman" w:eastAsia="宋体" w:cs="Times New Roman"/>
                <w:b/>
                <w:bCs/>
                <w:color w:val="auto"/>
                <w:sz w:val="21"/>
                <w:szCs w:val="21"/>
                <w:highlight w:val="none"/>
                <w:lang w:eastAsia="zh-CN"/>
              </w:rPr>
              <w:t>分</w:t>
            </w:r>
            <w:r>
              <w:rPr>
                <w:rFonts w:hint="eastAsia"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没有不得分）</w:t>
            </w:r>
          </w:p>
          <w:p w14:paraId="09A09D96">
            <w:pPr>
              <w:keepNext w:val="0"/>
              <w:keepLines w:val="0"/>
              <w:pageBreakBefore w:val="0"/>
              <w:widowControl/>
              <w:tabs>
                <w:tab w:val="left" w:pos="3060"/>
              </w:tabs>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针对方案的可行性，是否与采购需求符合性或匹配度进行</w:t>
            </w:r>
            <w:r>
              <w:rPr>
                <w:rFonts w:hint="default" w:ascii="Times New Roman" w:hAnsi="Times New Roman" w:eastAsia="宋体" w:cs="Times New Roman"/>
                <w:color w:val="auto"/>
                <w:sz w:val="21"/>
                <w:szCs w:val="21"/>
                <w:highlight w:val="none"/>
                <w:lang w:eastAsia="zh-CN"/>
              </w:rPr>
              <w:t>评</w:t>
            </w:r>
            <w:r>
              <w:rPr>
                <w:rFonts w:hint="default" w:ascii="Times New Roman" w:hAnsi="Times New Roman" w:eastAsia="宋体" w:cs="Times New Roman"/>
                <w:color w:val="auto"/>
                <w:sz w:val="21"/>
                <w:szCs w:val="21"/>
                <w:highlight w:val="none"/>
              </w:rPr>
              <w:t>分</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
                <w:bCs/>
                <w:color w:val="auto"/>
                <w:sz w:val="21"/>
                <w:szCs w:val="21"/>
                <w:highlight w:val="none"/>
              </w:rPr>
              <w:t>（评分范围：</w:t>
            </w:r>
            <w:r>
              <w:rPr>
                <w:rFonts w:hint="default" w:ascii="Times New Roman" w:hAnsi="Times New Roman" w:eastAsia="宋体" w:cs="Times New Roman"/>
                <w:b/>
                <w:bCs/>
                <w:color w:val="auto"/>
                <w:sz w:val="21"/>
                <w:szCs w:val="21"/>
                <w:highlight w:val="none"/>
                <w:lang w:val="en-US" w:eastAsia="zh-CN"/>
              </w:rPr>
              <w:t>4分</w:t>
            </w:r>
            <w:r>
              <w:rPr>
                <w:rFonts w:hint="eastAsia"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3</w:t>
            </w:r>
            <w:r>
              <w:rPr>
                <w:rFonts w:hint="default" w:ascii="Times New Roman" w:hAnsi="Times New Roman" w:eastAsia="宋体" w:cs="Times New Roman"/>
                <w:b/>
                <w:bCs/>
                <w:color w:val="auto"/>
                <w:sz w:val="21"/>
                <w:szCs w:val="21"/>
                <w:highlight w:val="none"/>
                <w:lang w:eastAsia="zh-CN"/>
              </w:rPr>
              <w:t>分</w:t>
            </w:r>
            <w:r>
              <w:rPr>
                <w:rFonts w:hint="eastAsia"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2</w:t>
            </w:r>
            <w:r>
              <w:rPr>
                <w:rFonts w:hint="default" w:ascii="Times New Roman" w:hAnsi="Times New Roman" w:eastAsia="宋体" w:cs="Times New Roman"/>
                <w:b/>
                <w:bCs/>
                <w:color w:val="auto"/>
                <w:sz w:val="21"/>
                <w:szCs w:val="21"/>
                <w:highlight w:val="none"/>
                <w:lang w:eastAsia="zh-CN"/>
              </w:rPr>
              <w:t>分</w:t>
            </w:r>
            <w:r>
              <w:rPr>
                <w:rFonts w:hint="eastAsia"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1</w:t>
            </w:r>
            <w:r>
              <w:rPr>
                <w:rFonts w:hint="default" w:ascii="Times New Roman" w:hAnsi="Times New Roman" w:eastAsia="宋体" w:cs="Times New Roman"/>
                <w:b/>
                <w:bCs/>
                <w:color w:val="auto"/>
                <w:sz w:val="21"/>
                <w:szCs w:val="21"/>
                <w:highlight w:val="none"/>
                <w:lang w:eastAsia="zh-CN"/>
              </w:rPr>
              <w:t>分</w:t>
            </w:r>
            <w:r>
              <w:rPr>
                <w:rFonts w:hint="eastAsia"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没有不得分）</w:t>
            </w:r>
          </w:p>
        </w:tc>
      </w:tr>
      <w:tr w14:paraId="3F57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1B333C1F">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613" w:type="dxa"/>
            <w:tcBorders>
              <w:top w:val="single" w:color="auto" w:sz="4" w:space="0"/>
              <w:left w:val="single" w:color="auto" w:sz="4" w:space="0"/>
              <w:bottom w:val="single" w:color="auto" w:sz="4" w:space="0"/>
              <w:right w:val="single" w:color="auto" w:sz="4" w:space="0"/>
            </w:tcBorders>
            <w:noWrap w:val="0"/>
            <w:vAlign w:val="center"/>
          </w:tcPr>
          <w:p w14:paraId="6F2F63CE">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具体计划</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B301DDC">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主观分</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5D31B1B6">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分</w:t>
            </w:r>
          </w:p>
        </w:tc>
        <w:tc>
          <w:tcPr>
            <w:tcW w:w="5339" w:type="dxa"/>
            <w:tcBorders>
              <w:top w:val="single" w:color="auto" w:sz="4" w:space="0"/>
              <w:left w:val="single" w:color="auto" w:sz="4" w:space="0"/>
              <w:bottom w:val="single" w:color="auto" w:sz="4" w:space="0"/>
              <w:right w:val="single" w:color="auto" w:sz="4" w:space="0"/>
            </w:tcBorders>
            <w:noWrap w:val="0"/>
            <w:vAlign w:val="center"/>
          </w:tcPr>
          <w:p w14:paraId="4EFC1236">
            <w:pPr>
              <w:keepNext w:val="0"/>
              <w:keepLines w:val="0"/>
              <w:pageBreakBefore w:val="0"/>
              <w:widowControl/>
              <w:tabs>
                <w:tab w:val="left" w:pos="3060"/>
              </w:tabs>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根据项目区域具体情况，从服务目标、消杀范围、药物及器械使用类型、具体消杀方式方法、人员配备及质量目标等内容，分别对春季灭鼠、夏季灭蚊蝇、秋季灭鼠</w:t>
            </w:r>
            <w:r>
              <w:rPr>
                <w:rFonts w:hint="default" w:ascii="Times New Roman" w:hAnsi="Times New Roman" w:eastAsia="宋体" w:cs="Times New Roman"/>
                <w:color w:val="auto"/>
                <w:sz w:val="21"/>
                <w:szCs w:val="21"/>
                <w:highlight w:val="none"/>
                <w:lang w:eastAsia="zh-CN"/>
              </w:rPr>
              <w:t>、日常除四害</w:t>
            </w:r>
            <w:r>
              <w:rPr>
                <w:rFonts w:hint="default" w:ascii="Times New Roman" w:hAnsi="Times New Roman" w:eastAsia="宋体" w:cs="Times New Roman"/>
                <w:color w:val="auto"/>
                <w:sz w:val="21"/>
                <w:szCs w:val="21"/>
                <w:highlight w:val="none"/>
              </w:rPr>
              <w:t>工作做出相应的工作计划，是否与采购需求符合性或匹配度进行</w:t>
            </w:r>
            <w:r>
              <w:rPr>
                <w:rFonts w:hint="default" w:ascii="Times New Roman" w:hAnsi="Times New Roman" w:eastAsia="宋体" w:cs="Times New Roman"/>
                <w:color w:val="auto"/>
                <w:sz w:val="21"/>
                <w:szCs w:val="21"/>
                <w:highlight w:val="none"/>
                <w:lang w:eastAsia="zh-CN"/>
              </w:rPr>
              <w:t>评</w:t>
            </w:r>
            <w:r>
              <w:rPr>
                <w:rFonts w:hint="default" w:ascii="Times New Roman" w:hAnsi="Times New Roman" w:eastAsia="宋体" w:cs="Times New Roman"/>
                <w:color w:val="auto"/>
                <w:sz w:val="21"/>
                <w:szCs w:val="21"/>
                <w:highlight w:val="none"/>
              </w:rPr>
              <w:t>分；内容包含</w:t>
            </w:r>
            <w:r>
              <w:rPr>
                <w:rFonts w:hint="eastAsia" w:ascii="Times New Roman" w:hAnsi="Times New Roman" w:eastAsia="宋体" w:cs="Times New Roman"/>
                <w:color w:val="auto"/>
                <w:sz w:val="21"/>
                <w:szCs w:val="21"/>
                <w:highlight w:val="none"/>
                <w:lang w:eastAsia="zh-CN"/>
              </w:rPr>
              <w:t>：</w:t>
            </w:r>
          </w:p>
          <w:p w14:paraId="66CFDDDC">
            <w:pPr>
              <w:keepNext w:val="0"/>
              <w:keepLines w:val="0"/>
              <w:pageBreakBefore w:val="0"/>
              <w:widowControl/>
              <w:tabs>
                <w:tab w:val="left" w:pos="3060"/>
              </w:tabs>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人员配备</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
                <w:bCs/>
                <w:color w:val="auto"/>
                <w:sz w:val="21"/>
                <w:szCs w:val="21"/>
                <w:highlight w:val="none"/>
              </w:rPr>
              <w:t>（评分范围：3</w:t>
            </w:r>
            <w:r>
              <w:rPr>
                <w:rFonts w:hint="eastAsia" w:ascii="Times New Roman" w:hAnsi="Times New Roman" w:eastAsia="宋体" w:cs="Times New Roman"/>
                <w:b/>
                <w:bCs/>
                <w:color w:val="auto"/>
                <w:sz w:val="21"/>
                <w:szCs w:val="21"/>
                <w:highlight w:val="none"/>
                <w:lang w:eastAsia="zh-CN"/>
              </w:rPr>
              <w:t>分，</w:t>
            </w:r>
            <w:r>
              <w:rPr>
                <w:rFonts w:hint="default" w:ascii="Times New Roman" w:hAnsi="Times New Roman" w:eastAsia="宋体" w:cs="Times New Roman"/>
                <w:b/>
                <w:bCs/>
                <w:color w:val="auto"/>
                <w:sz w:val="21"/>
                <w:szCs w:val="21"/>
                <w:highlight w:val="none"/>
              </w:rPr>
              <w:t>2</w:t>
            </w:r>
            <w:r>
              <w:rPr>
                <w:rFonts w:hint="eastAsia" w:ascii="Times New Roman" w:hAnsi="Times New Roman" w:eastAsia="宋体" w:cs="Times New Roman"/>
                <w:b/>
                <w:bCs/>
                <w:color w:val="auto"/>
                <w:sz w:val="21"/>
                <w:szCs w:val="21"/>
                <w:highlight w:val="none"/>
                <w:lang w:eastAsia="zh-CN"/>
              </w:rPr>
              <w:t>分，</w:t>
            </w:r>
            <w:r>
              <w:rPr>
                <w:rFonts w:hint="default" w:ascii="Times New Roman" w:hAnsi="Times New Roman" w:eastAsia="宋体" w:cs="Times New Roman"/>
                <w:b/>
                <w:bCs/>
                <w:color w:val="auto"/>
                <w:sz w:val="21"/>
                <w:szCs w:val="21"/>
                <w:highlight w:val="none"/>
              </w:rPr>
              <w:t>1</w:t>
            </w:r>
            <w:r>
              <w:rPr>
                <w:rFonts w:hint="eastAsia" w:ascii="Times New Roman" w:hAnsi="Times New Roman" w:eastAsia="宋体" w:cs="Times New Roman"/>
                <w:b/>
                <w:bCs/>
                <w:color w:val="auto"/>
                <w:sz w:val="21"/>
                <w:szCs w:val="21"/>
                <w:highlight w:val="none"/>
                <w:lang w:eastAsia="zh-CN"/>
              </w:rPr>
              <w:t>分，</w:t>
            </w:r>
            <w:r>
              <w:rPr>
                <w:rFonts w:hint="default" w:ascii="Times New Roman" w:hAnsi="Times New Roman" w:eastAsia="宋体" w:cs="Times New Roman"/>
                <w:b/>
                <w:bCs/>
                <w:color w:val="auto"/>
                <w:sz w:val="21"/>
                <w:szCs w:val="21"/>
                <w:highlight w:val="none"/>
              </w:rPr>
              <w:t>没有不得分）</w:t>
            </w:r>
          </w:p>
          <w:p w14:paraId="4A0BC5C6">
            <w:pPr>
              <w:keepNext w:val="0"/>
              <w:keepLines w:val="0"/>
              <w:pageBreakBefore w:val="0"/>
              <w:widowControl/>
              <w:tabs>
                <w:tab w:val="left" w:pos="3060"/>
              </w:tabs>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药物和器械正确使用</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
                <w:bCs/>
                <w:color w:val="auto"/>
                <w:sz w:val="21"/>
                <w:szCs w:val="21"/>
                <w:highlight w:val="none"/>
              </w:rPr>
              <w:t>（评分范围：3</w:t>
            </w:r>
            <w:r>
              <w:rPr>
                <w:rFonts w:hint="eastAsia" w:ascii="Times New Roman" w:hAnsi="Times New Roman" w:eastAsia="宋体" w:cs="Times New Roman"/>
                <w:b/>
                <w:bCs/>
                <w:color w:val="auto"/>
                <w:sz w:val="21"/>
                <w:szCs w:val="21"/>
                <w:highlight w:val="none"/>
                <w:lang w:eastAsia="zh-CN"/>
              </w:rPr>
              <w:t>分，</w:t>
            </w:r>
            <w:r>
              <w:rPr>
                <w:rFonts w:hint="default" w:ascii="Times New Roman" w:hAnsi="Times New Roman" w:eastAsia="宋体" w:cs="Times New Roman"/>
                <w:b/>
                <w:bCs/>
                <w:color w:val="auto"/>
                <w:sz w:val="21"/>
                <w:szCs w:val="21"/>
                <w:highlight w:val="none"/>
              </w:rPr>
              <w:t>2</w:t>
            </w:r>
            <w:r>
              <w:rPr>
                <w:rFonts w:hint="eastAsia" w:ascii="Times New Roman" w:hAnsi="Times New Roman" w:eastAsia="宋体" w:cs="Times New Roman"/>
                <w:b/>
                <w:bCs/>
                <w:color w:val="auto"/>
                <w:sz w:val="21"/>
                <w:szCs w:val="21"/>
                <w:highlight w:val="none"/>
                <w:lang w:eastAsia="zh-CN"/>
              </w:rPr>
              <w:t>分，</w:t>
            </w:r>
            <w:r>
              <w:rPr>
                <w:rFonts w:hint="default" w:ascii="Times New Roman" w:hAnsi="Times New Roman" w:eastAsia="宋体" w:cs="Times New Roman"/>
                <w:b/>
                <w:bCs/>
                <w:color w:val="auto"/>
                <w:sz w:val="21"/>
                <w:szCs w:val="21"/>
                <w:highlight w:val="none"/>
              </w:rPr>
              <w:t>1</w:t>
            </w:r>
            <w:r>
              <w:rPr>
                <w:rFonts w:hint="eastAsia" w:ascii="Times New Roman" w:hAnsi="Times New Roman" w:eastAsia="宋体" w:cs="Times New Roman"/>
                <w:b/>
                <w:bCs/>
                <w:color w:val="auto"/>
                <w:sz w:val="21"/>
                <w:szCs w:val="21"/>
                <w:highlight w:val="none"/>
                <w:lang w:eastAsia="zh-CN"/>
              </w:rPr>
              <w:t>分，</w:t>
            </w:r>
            <w:r>
              <w:rPr>
                <w:rFonts w:hint="default" w:ascii="Times New Roman" w:hAnsi="Times New Roman" w:eastAsia="宋体" w:cs="Times New Roman"/>
                <w:b/>
                <w:bCs/>
                <w:color w:val="auto"/>
                <w:sz w:val="21"/>
                <w:szCs w:val="21"/>
                <w:highlight w:val="none"/>
              </w:rPr>
              <w:t>没有不得分）</w:t>
            </w:r>
          </w:p>
          <w:p w14:paraId="193B3859">
            <w:pPr>
              <w:keepNext w:val="0"/>
              <w:keepLines w:val="0"/>
              <w:pageBreakBefore w:val="0"/>
              <w:widowControl/>
              <w:tabs>
                <w:tab w:val="left" w:pos="3060"/>
              </w:tabs>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春、秋二季灭鼠</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
                <w:bCs/>
                <w:color w:val="auto"/>
                <w:sz w:val="21"/>
                <w:szCs w:val="21"/>
                <w:highlight w:val="none"/>
              </w:rPr>
              <w:t>（评分范围：2</w:t>
            </w:r>
            <w:r>
              <w:rPr>
                <w:rFonts w:hint="eastAsia" w:ascii="Times New Roman" w:hAnsi="Times New Roman" w:eastAsia="宋体" w:cs="Times New Roman"/>
                <w:b/>
                <w:bCs/>
                <w:color w:val="auto"/>
                <w:sz w:val="21"/>
                <w:szCs w:val="21"/>
                <w:highlight w:val="none"/>
                <w:lang w:eastAsia="zh-CN"/>
              </w:rPr>
              <w:t>分，</w:t>
            </w:r>
            <w:r>
              <w:rPr>
                <w:rFonts w:hint="default" w:ascii="Times New Roman" w:hAnsi="Times New Roman" w:eastAsia="宋体" w:cs="Times New Roman"/>
                <w:b/>
                <w:bCs/>
                <w:color w:val="auto"/>
                <w:sz w:val="21"/>
                <w:szCs w:val="21"/>
                <w:highlight w:val="none"/>
              </w:rPr>
              <w:t>1</w:t>
            </w:r>
            <w:r>
              <w:rPr>
                <w:rFonts w:hint="eastAsia" w:ascii="Times New Roman" w:hAnsi="Times New Roman" w:eastAsia="宋体" w:cs="Times New Roman"/>
                <w:b/>
                <w:bCs/>
                <w:color w:val="auto"/>
                <w:sz w:val="21"/>
                <w:szCs w:val="21"/>
                <w:highlight w:val="none"/>
                <w:lang w:eastAsia="zh-CN"/>
              </w:rPr>
              <w:t>分，</w:t>
            </w:r>
            <w:r>
              <w:rPr>
                <w:rFonts w:hint="default" w:ascii="Times New Roman" w:hAnsi="Times New Roman" w:eastAsia="宋体" w:cs="Times New Roman"/>
                <w:b/>
                <w:bCs/>
                <w:color w:val="auto"/>
                <w:sz w:val="21"/>
                <w:szCs w:val="21"/>
                <w:highlight w:val="none"/>
              </w:rPr>
              <w:t>没有不得分）</w:t>
            </w:r>
          </w:p>
          <w:p w14:paraId="4F4BE97B">
            <w:pPr>
              <w:keepNext w:val="0"/>
              <w:keepLines w:val="0"/>
              <w:pageBreakBefore w:val="0"/>
              <w:widowControl/>
              <w:tabs>
                <w:tab w:val="left" w:pos="3060"/>
              </w:tabs>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b/>
                <w:bCs/>
                <w:color w:val="auto"/>
                <w:sz w:val="21"/>
                <w:szCs w:val="21"/>
                <w:highlight w:val="none"/>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夏季灭蚊蝇</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
                <w:bCs/>
                <w:color w:val="auto"/>
                <w:sz w:val="21"/>
                <w:szCs w:val="21"/>
                <w:highlight w:val="none"/>
              </w:rPr>
              <w:t>（评分范围：2</w:t>
            </w:r>
            <w:r>
              <w:rPr>
                <w:rFonts w:hint="eastAsia" w:ascii="Times New Roman" w:hAnsi="Times New Roman" w:eastAsia="宋体" w:cs="Times New Roman"/>
                <w:b/>
                <w:bCs/>
                <w:color w:val="auto"/>
                <w:sz w:val="21"/>
                <w:szCs w:val="21"/>
                <w:highlight w:val="none"/>
                <w:lang w:eastAsia="zh-CN"/>
              </w:rPr>
              <w:t>分，</w:t>
            </w:r>
            <w:r>
              <w:rPr>
                <w:rFonts w:hint="default" w:ascii="Times New Roman" w:hAnsi="Times New Roman" w:eastAsia="宋体" w:cs="Times New Roman"/>
                <w:b/>
                <w:bCs/>
                <w:color w:val="auto"/>
                <w:sz w:val="21"/>
                <w:szCs w:val="21"/>
                <w:highlight w:val="none"/>
              </w:rPr>
              <w:t>1</w:t>
            </w:r>
            <w:r>
              <w:rPr>
                <w:rFonts w:hint="eastAsia" w:ascii="Times New Roman" w:hAnsi="Times New Roman" w:eastAsia="宋体" w:cs="Times New Roman"/>
                <w:b/>
                <w:bCs/>
                <w:color w:val="auto"/>
                <w:sz w:val="21"/>
                <w:szCs w:val="21"/>
                <w:highlight w:val="none"/>
                <w:lang w:eastAsia="zh-CN"/>
              </w:rPr>
              <w:t>分，</w:t>
            </w:r>
            <w:r>
              <w:rPr>
                <w:rFonts w:hint="default" w:ascii="Times New Roman" w:hAnsi="Times New Roman" w:eastAsia="宋体" w:cs="Times New Roman"/>
                <w:b/>
                <w:bCs/>
                <w:color w:val="auto"/>
                <w:sz w:val="21"/>
                <w:szCs w:val="21"/>
                <w:highlight w:val="none"/>
              </w:rPr>
              <w:t>没有不得分）</w:t>
            </w:r>
          </w:p>
          <w:p w14:paraId="6BF6D787">
            <w:pPr>
              <w:keepNext w:val="0"/>
              <w:keepLines w:val="0"/>
              <w:pageBreakBefore w:val="0"/>
              <w:widowControl/>
              <w:tabs>
                <w:tab w:val="left" w:pos="3060"/>
              </w:tabs>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5</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日常除四害</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
                <w:bCs/>
                <w:color w:val="auto"/>
                <w:sz w:val="21"/>
                <w:szCs w:val="21"/>
                <w:highlight w:val="none"/>
              </w:rPr>
              <w:t>（评分范围：2</w:t>
            </w:r>
            <w:r>
              <w:rPr>
                <w:rFonts w:hint="eastAsia" w:ascii="Times New Roman" w:hAnsi="Times New Roman" w:eastAsia="宋体" w:cs="Times New Roman"/>
                <w:b/>
                <w:bCs/>
                <w:color w:val="auto"/>
                <w:sz w:val="21"/>
                <w:szCs w:val="21"/>
                <w:highlight w:val="none"/>
                <w:lang w:eastAsia="zh-CN"/>
              </w:rPr>
              <w:t>分，</w:t>
            </w:r>
            <w:r>
              <w:rPr>
                <w:rFonts w:hint="default" w:ascii="Times New Roman" w:hAnsi="Times New Roman" w:eastAsia="宋体" w:cs="Times New Roman"/>
                <w:b/>
                <w:bCs/>
                <w:color w:val="auto"/>
                <w:sz w:val="21"/>
                <w:szCs w:val="21"/>
                <w:highlight w:val="none"/>
              </w:rPr>
              <w:t>1</w:t>
            </w:r>
            <w:r>
              <w:rPr>
                <w:rFonts w:hint="eastAsia" w:ascii="Times New Roman" w:hAnsi="Times New Roman" w:eastAsia="宋体" w:cs="Times New Roman"/>
                <w:b/>
                <w:bCs/>
                <w:color w:val="auto"/>
                <w:sz w:val="21"/>
                <w:szCs w:val="21"/>
                <w:highlight w:val="none"/>
                <w:lang w:eastAsia="zh-CN"/>
              </w:rPr>
              <w:t>分，</w:t>
            </w:r>
            <w:r>
              <w:rPr>
                <w:rFonts w:hint="default" w:ascii="Times New Roman" w:hAnsi="Times New Roman" w:eastAsia="宋体" w:cs="Times New Roman"/>
                <w:b/>
                <w:bCs/>
                <w:color w:val="auto"/>
                <w:sz w:val="21"/>
                <w:szCs w:val="21"/>
                <w:highlight w:val="none"/>
              </w:rPr>
              <w:t>没有不得分）</w:t>
            </w:r>
          </w:p>
          <w:p w14:paraId="567D24BE">
            <w:pPr>
              <w:keepNext w:val="0"/>
              <w:keepLines w:val="0"/>
              <w:pageBreakBefore w:val="0"/>
              <w:widowControl/>
              <w:tabs>
                <w:tab w:val="left" w:pos="3060"/>
              </w:tabs>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质量控制</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bCs/>
                <w:color w:val="auto"/>
                <w:sz w:val="21"/>
                <w:szCs w:val="21"/>
                <w:highlight w:val="none"/>
              </w:rPr>
              <w:t>（评分范围：3</w:t>
            </w:r>
            <w:r>
              <w:rPr>
                <w:rFonts w:hint="eastAsia" w:ascii="Times New Roman" w:hAnsi="Times New Roman" w:eastAsia="宋体" w:cs="Times New Roman"/>
                <w:b/>
                <w:bCs/>
                <w:color w:val="auto"/>
                <w:sz w:val="21"/>
                <w:szCs w:val="21"/>
                <w:highlight w:val="none"/>
                <w:lang w:eastAsia="zh-CN"/>
              </w:rPr>
              <w:t>分，</w:t>
            </w:r>
            <w:r>
              <w:rPr>
                <w:rFonts w:hint="default" w:ascii="Times New Roman" w:hAnsi="Times New Roman" w:eastAsia="宋体" w:cs="Times New Roman"/>
                <w:b/>
                <w:bCs/>
                <w:color w:val="auto"/>
                <w:sz w:val="21"/>
                <w:szCs w:val="21"/>
                <w:highlight w:val="none"/>
              </w:rPr>
              <w:t>2</w:t>
            </w:r>
            <w:r>
              <w:rPr>
                <w:rFonts w:hint="eastAsia" w:ascii="Times New Roman" w:hAnsi="Times New Roman" w:eastAsia="宋体" w:cs="Times New Roman"/>
                <w:b/>
                <w:bCs/>
                <w:color w:val="auto"/>
                <w:sz w:val="21"/>
                <w:szCs w:val="21"/>
                <w:highlight w:val="none"/>
                <w:lang w:eastAsia="zh-CN"/>
              </w:rPr>
              <w:t>分，</w:t>
            </w:r>
            <w:r>
              <w:rPr>
                <w:rFonts w:hint="default" w:ascii="Times New Roman" w:hAnsi="Times New Roman" w:eastAsia="宋体" w:cs="Times New Roman"/>
                <w:b/>
                <w:bCs/>
                <w:color w:val="auto"/>
                <w:sz w:val="21"/>
                <w:szCs w:val="21"/>
                <w:highlight w:val="none"/>
              </w:rPr>
              <w:t>1</w:t>
            </w:r>
            <w:r>
              <w:rPr>
                <w:rFonts w:hint="eastAsia" w:ascii="Times New Roman" w:hAnsi="Times New Roman" w:eastAsia="宋体" w:cs="Times New Roman"/>
                <w:b/>
                <w:bCs/>
                <w:color w:val="auto"/>
                <w:sz w:val="21"/>
                <w:szCs w:val="21"/>
                <w:highlight w:val="none"/>
                <w:lang w:eastAsia="zh-CN"/>
              </w:rPr>
              <w:t>分，</w:t>
            </w:r>
            <w:r>
              <w:rPr>
                <w:rFonts w:hint="default" w:ascii="Times New Roman" w:hAnsi="Times New Roman" w:eastAsia="宋体" w:cs="Times New Roman"/>
                <w:b/>
                <w:bCs/>
                <w:color w:val="auto"/>
                <w:sz w:val="21"/>
                <w:szCs w:val="21"/>
                <w:highlight w:val="none"/>
              </w:rPr>
              <w:t>没有不得分）</w:t>
            </w:r>
          </w:p>
        </w:tc>
      </w:tr>
      <w:tr w14:paraId="0FE3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12BEA951">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613" w:type="dxa"/>
            <w:tcBorders>
              <w:top w:val="single" w:color="auto" w:sz="4" w:space="0"/>
              <w:left w:val="single" w:color="auto" w:sz="4" w:space="0"/>
              <w:bottom w:val="single" w:color="auto" w:sz="4" w:space="0"/>
              <w:right w:val="single" w:color="auto" w:sz="4" w:space="0"/>
            </w:tcBorders>
            <w:noWrap w:val="0"/>
            <w:vAlign w:val="center"/>
          </w:tcPr>
          <w:p w14:paraId="063FB44C">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制度</w:t>
            </w:r>
            <w:r>
              <w:rPr>
                <w:rFonts w:hint="default" w:ascii="Times New Roman" w:hAnsi="Times New Roman" w:eastAsia="宋体" w:cs="Times New Roman"/>
                <w:color w:val="auto"/>
                <w:sz w:val="21"/>
                <w:szCs w:val="21"/>
                <w:highlight w:val="none"/>
              </w:rPr>
              <w:t>预案</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752439D">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主观分</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74A64D1A">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13分</w:t>
            </w:r>
          </w:p>
        </w:tc>
        <w:tc>
          <w:tcPr>
            <w:tcW w:w="5339" w:type="dxa"/>
            <w:tcBorders>
              <w:top w:val="single" w:color="auto" w:sz="4" w:space="0"/>
              <w:left w:val="single" w:color="auto" w:sz="4" w:space="0"/>
              <w:bottom w:val="single" w:color="auto" w:sz="4" w:space="0"/>
              <w:right w:val="single" w:color="auto" w:sz="4" w:space="0"/>
            </w:tcBorders>
            <w:noWrap w:val="0"/>
            <w:vAlign w:val="center"/>
          </w:tcPr>
          <w:p w14:paraId="5598E956">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根据投标人提供的保证项目实施的各项</w:t>
            </w:r>
            <w:r>
              <w:rPr>
                <w:rFonts w:hint="default" w:ascii="Times New Roman" w:hAnsi="Times New Roman" w:eastAsia="宋体" w:cs="Times New Roman"/>
                <w:color w:val="auto"/>
                <w:sz w:val="21"/>
                <w:szCs w:val="21"/>
                <w:highlight w:val="none"/>
                <w:lang w:eastAsia="zh-CN"/>
              </w:rPr>
              <w:t>工作制度和</w:t>
            </w:r>
            <w:r>
              <w:rPr>
                <w:rFonts w:hint="default" w:ascii="Times New Roman" w:hAnsi="Times New Roman" w:eastAsia="宋体" w:cs="Times New Roman"/>
                <w:color w:val="auto"/>
                <w:sz w:val="21"/>
                <w:szCs w:val="21"/>
                <w:highlight w:val="none"/>
              </w:rPr>
              <w:t>应对各类突发事件的处理预案等，酌情</w:t>
            </w:r>
            <w:r>
              <w:rPr>
                <w:rFonts w:hint="default" w:ascii="Times New Roman" w:hAnsi="Times New Roman" w:eastAsia="宋体" w:cs="Times New Roman"/>
                <w:color w:val="auto"/>
                <w:sz w:val="21"/>
                <w:szCs w:val="21"/>
                <w:highlight w:val="none"/>
                <w:lang w:eastAsia="zh-CN"/>
              </w:rPr>
              <w:t>评</w:t>
            </w:r>
            <w:r>
              <w:rPr>
                <w:rFonts w:hint="default" w:ascii="Times New Roman" w:hAnsi="Times New Roman" w:eastAsia="宋体" w:cs="Times New Roman"/>
                <w:color w:val="auto"/>
                <w:sz w:val="21"/>
                <w:szCs w:val="21"/>
                <w:highlight w:val="none"/>
              </w:rPr>
              <w:t>分。</w:t>
            </w:r>
          </w:p>
          <w:p w14:paraId="28865C28">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根据投标人针对本项目的管理制度，根据其完整性、合理性、科学性</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color w:val="auto"/>
                <w:sz w:val="21"/>
                <w:szCs w:val="21"/>
                <w:highlight w:val="none"/>
              </w:rPr>
              <w:t>是否与采购需求符合性或匹配度进行</w:t>
            </w:r>
            <w:r>
              <w:rPr>
                <w:rFonts w:hint="default" w:ascii="Times New Roman" w:hAnsi="Times New Roman" w:eastAsia="宋体" w:cs="Times New Roman"/>
                <w:color w:val="auto"/>
                <w:sz w:val="21"/>
                <w:szCs w:val="21"/>
                <w:highlight w:val="none"/>
                <w:lang w:eastAsia="zh-CN"/>
              </w:rPr>
              <w:t>评</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b/>
                <w:bCs/>
                <w:color w:val="auto"/>
                <w:kern w:val="0"/>
                <w:sz w:val="21"/>
                <w:szCs w:val="21"/>
                <w:highlight w:val="none"/>
              </w:rPr>
              <w:t>评分范围：5</w:t>
            </w:r>
            <w:r>
              <w:rPr>
                <w:rFonts w:hint="eastAsia" w:ascii="Times New Roman" w:hAnsi="Times New Roman" w:eastAsia="宋体" w:cs="Times New Roman"/>
                <w:b/>
                <w:bCs/>
                <w:color w:val="auto"/>
                <w:kern w:val="0"/>
                <w:sz w:val="21"/>
                <w:szCs w:val="21"/>
                <w:highlight w:val="none"/>
                <w:lang w:eastAsia="zh-CN"/>
              </w:rPr>
              <w:t>分，</w:t>
            </w:r>
            <w:r>
              <w:rPr>
                <w:rFonts w:hint="default" w:ascii="Times New Roman" w:hAnsi="Times New Roman" w:eastAsia="宋体" w:cs="Times New Roman"/>
                <w:b/>
                <w:bCs/>
                <w:color w:val="auto"/>
                <w:kern w:val="0"/>
                <w:sz w:val="21"/>
                <w:szCs w:val="21"/>
                <w:highlight w:val="none"/>
              </w:rPr>
              <w:t>4</w:t>
            </w:r>
            <w:r>
              <w:rPr>
                <w:rFonts w:hint="eastAsia" w:ascii="Times New Roman" w:hAnsi="Times New Roman" w:eastAsia="宋体" w:cs="Times New Roman"/>
                <w:b/>
                <w:bCs/>
                <w:color w:val="auto"/>
                <w:kern w:val="0"/>
                <w:sz w:val="21"/>
                <w:szCs w:val="21"/>
                <w:highlight w:val="none"/>
                <w:lang w:eastAsia="zh-CN"/>
              </w:rPr>
              <w:t>分，</w:t>
            </w:r>
            <w:r>
              <w:rPr>
                <w:rFonts w:hint="default" w:ascii="Times New Roman" w:hAnsi="Times New Roman" w:eastAsia="宋体" w:cs="Times New Roman"/>
                <w:b/>
                <w:bCs/>
                <w:color w:val="auto"/>
                <w:kern w:val="0"/>
                <w:sz w:val="21"/>
                <w:szCs w:val="21"/>
                <w:highlight w:val="none"/>
              </w:rPr>
              <w:t>3</w:t>
            </w:r>
            <w:r>
              <w:rPr>
                <w:rFonts w:hint="eastAsia" w:ascii="Times New Roman" w:hAnsi="Times New Roman" w:eastAsia="宋体" w:cs="Times New Roman"/>
                <w:b/>
                <w:bCs/>
                <w:color w:val="auto"/>
                <w:kern w:val="0"/>
                <w:sz w:val="21"/>
                <w:szCs w:val="21"/>
                <w:highlight w:val="none"/>
                <w:lang w:eastAsia="zh-CN"/>
              </w:rPr>
              <w:t>分，</w:t>
            </w:r>
            <w:r>
              <w:rPr>
                <w:rFonts w:hint="default" w:ascii="Times New Roman" w:hAnsi="Times New Roman" w:eastAsia="宋体" w:cs="Times New Roman"/>
                <w:b/>
                <w:bCs/>
                <w:color w:val="auto"/>
                <w:kern w:val="0"/>
                <w:sz w:val="21"/>
                <w:szCs w:val="21"/>
                <w:highlight w:val="none"/>
              </w:rPr>
              <w:t>2</w:t>
            </w:r>
            <w:r>
              <w:rPr>
                <w:rFonts w:hint="eastAsia" w:ascii="Times New Roman" w:hAnsi="Times New Roman" w:eastAsia="宋体" w:cs="Times New Roman"/>
                <w:b/>
                <w:bCs/>
                <w:color w:val="auto"/>
                <w:kern w:val="0"/>
                <w:sz w:val="21"/>
                <w:szCs w:val="21"/>
                <w:highlight w:val="none"/>
                <w:lang w:eastAsia="zh-CN"/>
              </w:rPr>
              <w:t>分，</w:t>
            </w:r>
            <w:r>
              <w:rPr>
                <w:rFonts w:hint="default" w:ascii="Times New Roman" w:hAnsi="Times New Roman" w:eastAsia="宋体" w:cs="Times New Roman"/>
                <w:b/>
                <w:bCs/>
                <w:color w:val="auto"/>
                <w:kern w:val="0"/>
                <w:sz w:val="21"/>
                <w:szCs w:val="21"/>
                <w:highlight w:val="none"/>
              </w:rPr>
              <w:t>1</w:t>
            </w:r>
            <w:r>
              <w:rPr>
                <w:rFonts w:hint="eastAsia" w:ascii="Times New Roman" w:hAnsi="Times New Roman" w:eastAsia="宋体" w:cs="Times New Roman"/>
                <w:b/>
                <w:bCs/>
                <w:color w:val="auto"/>
                <w:kern w:val="0"/>
                <w:sz w:val="21"/>
                <w:szCs w:val="21"/>
                <w:highlight w:val="none"/>
                <w:lang w:eastAsia="zh-CN"/>
              </w:rPr>
              <w:t>分，</w:t>
            </w:r>
            <w:r>
              <w:rPr>
                <w:rFonts w:hint="default" w:ascii="Times New Roman" w:hAnsi="Times New Roman" w:eastAsia="宋体" w:cs="Times New Roman"/>
                <w:b/>
                <w:bCs/>
                <w:color w:val="auto"/>
                <w:kern w:val="0"/>
                <w:sz w:val="21"/>
                <w:szCs w:val="21"/>
                <w:highlight w:val="none"/>
              </w:rPr>
              <w:t>没有不得分</w:t>
            </w:r>
            <w:r>
              <w:rPr>
                <w:rFonts w:hint="default" w:ascii="Times New Roman" w:hAnsi="Times New Roman" w:eastAsia="宋体" w:cs="Times New Roman"/>
                <w:color w:val="auto"/>
                <w:sz w:val="21"/>
                <w:szCs w:val="21"/>
                <w:highlight w:val="none"/>
              </w:rPr>
              <w:t>）</w:t>
            </w:r>
          </w:p>
          <w:p w14:paraId="28FC09C0">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根据投标人提供的保证项目实施的</w:t>
            </w:r>
            <w:r>
              <w:rPr>
                <w:rFonts w:hint="default" w:ascii="Times New Roman" w:hAnsi="Times New Roman" w:eastAsia="宋体" w:cs="Times New Roman"/>
                <w:color w:val="auto"/>
                <w:sz w:val="21"/>
                <w:szCs w:val="21"/>
                <w:highlight w:val="none"/>
                <w:lang w:eastAsia="zh-CN"/>
              </w:rPr>
              <w:t>相关</w:t>
            </w:r>
            <w:r>
              <w:rPr>
                <w:rFonts w:hint="default" w:ascii="Times New Roman" w:hAnsi="Times New Roman" w:eastAsia="宋体" w:cs="Times New Roman"/>
                <w:color w:val="auto"/>
                <w:sz w:val="21"/>
                <w:szCs w:val="21"/>
                <w:highlight w:val="none"/>
              </w:rPr>
              <w:t>措施</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color w:val="auto"/>
                <w:sz w:val="21"/>
                <w:szCs w:val="21"/>
                <w:highlight w:val="none"/>
              </w:rPr>
              <w:t>是否与采购需求符合性或匹配度进行</w:t>
            </w:r>
            <w:r>
              <w:rPr>
                <w:rFonts w:hint="default" w:ascii="Times New Roman" w:hAnsi="Times New Roman" w:eastAsia="宋体" w:cs="Times New Roman"/>
                <w:color w:val="auto"/>
                <w:sz w:val="21"/>
                <w:szCs w:val="21"/>
                <w:highlight w:val="none"/>
                <w:lang w:eastAsia="zh-CN"/>
              </w:rPr>
              <w:t>评</w:t>
            </w:r>
            <w:r>
              <w:rPr>
                <w:rFonts w:hint="default" w:ascii="Times New Roman" w:hAnsi="Times New Roman" w:eastAsia="宋体" w:cs="Times New Roman"/>
                <w:color w:val="auto"/>
                <w:sz w:val="21"/>
                <w:szCs w:val="21"/>
                <w:highlight w:val="none"/>
              </w:rPr>
              <w:t>分</w:t>
            </w:r>
          </w:p>
          <w:p w14:paraId="2B8F9F22">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①</w:t>
            </w:r>
            <w:r>
              <w:rPr>
                <w:rFonts w:hint="default" w:ascii="Times New Roman" w:hAnsi="Times New Roman" w:eastAsia="宋体" w:cs="Times New Roman"/>
                <w:color w:val="auto"/>
                <w:sz w:val="21"/>
                <w:szCs w:val="21"/>
                <w:highlight w:val="none"/>
              </w:rPr>
              <w:t>药物中毒处置预案</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
                <w:bCs/>
                <w:color w:val="auto"/>
                <w:sz w:val="21"/>
                <w:szCs w:val="21"/>
                <w:highlight w:val="none"/>
              </w:rPr>
              <w:t>（评分范围：</w:t>
            </w:r>
            <w:r>
              <w:rPr>
                <w:rFonts w:hint="default" w:ascii="Times New Roman" w:hAnsi="Times New Roman" w:eastAsia="宋体" w:cs="Times New Roman"/>
                <w:b/>
                <w:bCs/>
                <w:color w:val="auto"/>
                <w:sz w:val="21"/>
                <w:szCs w:val="21"/>
                <w:highlight w:val="none"/>
                <w:lang w:val="en-US" w:eastAsia="zh-CN"/>
              </w:rPr>
              <w:t>4分</w:t>
            </w:r>
            <w:r>
              <w:rPr>
                <w:rFonts w:hint="eastAsia"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3</w:t>
            </w:r>
            <w:r>
              <w:rPr>
                <w:rFonts w:hint="default" w:ascii="Times New Roman" w:hAnsi="Times New Roman" w:eastAsia="宋体" w:cs="Times New Roman"/>
                <w:b/>
                <w:bCs/>
                <w:color w:val="auto"/>
                <w:sz w:val="21"/>
                <w:szCs w:val="21"/>
                <w:highlight w:val="none"/>
                <w:lang w:eastAsia="zh-CN"/>
              </w:rPr>
              <w:t>分</w:t>
            </w:r>
            <w:r>
              <w:rPr>
                <w:rFonts w:hint="eastAsia"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2</w:t>
            </w:r>
            <w:r>
              <w:rPr>
                <w:rFonts w:hint="default" w:ascii="Times New Roman" w:hAnsi="Times New Roman" w:eastAsia="宋体" w:cs="Times New Roman"/>
                <w:b/>
                <w:bCs/>
                <w:color w:val="auto"/>
                <w:sz w:val="21"/>
                <w:szCs w:val="21"/>
                <w:highlight w:val="none"/>
                <w:lang w:eastAsia="zh-CN"/>
              </w:rPr>
              <w:t>分</w:t>
            </w:r>
            <w:r>
              <w:rPr>
                <w:rFonts w:hint="eastAsia"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1</w:t>
            </w:r>
            <w:r>
              <w:rPr>
                <w:rFonts w:hint="default" w:ascii="Times New Roman" w:hAnsi="Times New Roman" w:eastAsia="宋体" w:cs="Times New Roman"/>
                <w:b/>
                <w:bCs/>
                <w:color w:val="auto"/>
                <w:sz w:val="21"/>
                <w:szCs w:val="21"/>
                <w:highlight w:val="none"/>
                <w:lang w:eastAsia="zh-CN"/>
              </w:rPr>
              <w:t>分</w:t>
            </w:r>
            <w:r>
              <w:rPr>
                <w:rFonts w:hint="eastAsia"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没有不得分）</w:t>
            </w:r>
          </w:p>
          <w:p w14:paraId="21A919DB">
            <w:pPr>
              <w:keepNext w:val="0"/>
              <w:keepLines w:val="0"/>
              <w:pageBreakBefore w:val="0"/>
              <w:widowControl/>
              <w:kinsoku/>
              <w:wordWrap/>
              <w:overflowPunct/>
              <w:topLinePunct w:val="0"/>
              <w:autoSpaceDE/>
              <w:autoSpaceDN/>
              <w:bidi w:val="0"/>
              <w:adjustRightInd/>
              <w:snapToGrid/>
              <w:spacing w:after="120" w:line="320" w:lineRule="exact"/>
              <w:ind w:left="0" w:leftChars="0" w:firstLine="0" w:firstLineChars="0"/>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②</w:t>
            </w:r>
            <w:r>
              <w:rPr>
                <w:rFonts w:hint="default" w:ascii="Times New Roman" w:hAnsi="Times New Roman" w:eastAsia="宋体" w:cs="Times New Roman"/>
                <w:color w:val="auto"/>
                <w:kern w:val="2"/>
                <w:sz w:val="21"/>
                <w:szCs w:val="21"/>
                <w:highlight w:val="none"/>
                <w:lang w:val="en-US" w:eastAsia="zh-CN" w:bidi="ar-SA"/>
              </w:rPr>
              <w:t>突发事件应急预案</w:t>
            </w:r>
            <w:r>
              <w:rPr>
                <w:rFonts w:hint="eastAsia" w:ascii="Times New Roman" w:hAnsi="Times New Roman" w:eastAsia="宋体" w:cs="Times New Roman"/>
                <w:b w:val="0"/>
                <w:bCs w:val="0"/>
                <w:color w:val="auto"/>
                <w:kern w:val="2"/>
                <w:sz w:val="21"/>
                <w:szCs w:val="21"/>
                <w:highlight w:val="none"/>
                <w:lang w:val="en-US" w:eastAsia="zh-CN" w:bidi="ar-SA"/>
              </w:rPr>
              <w:t>。</w:t>
            </w:r>
            <w:r>
              <w:rPr>
                <w:rFonts w:hint="default" w:ascii="Times New Roman" w:hAnsi="Times New Roman" w:eastAsia="宋体" w:cs="Times New Roman"/>
                <w:b/>
                <w:bCs/>
                <w:color w:val="auto"/>
                <w:sz w:val="21"/>
                <w:szCs w:val="21"/>
                <w:highlight w:val="none"/>
              </w:rPr>
              <w:t>（评分范围：</w:t>
            </w:r>
            <w:r>
              <w:rPr>
                <w:rFonts w:hint="default" w:ascii="Times New Roman" w:hAnsi="Times New Roman" w:eastAsia="宋体" w:cs="Times New Roman"/>
                <w:b/>
                <w:bCs/>
                <w:color w:val="auto"/>
                <w:sz w:val="21"/>
                <w:szCs w:val="21"/>
                <w:highlight w:val="none"/>
                <w:lang w:val="en-US" w:eastAsia="zh-CN"/>
              </w:rPr>
              <w:t>4分</w:t>
            </w:r>
            <w:r>
              <w:rPr>
                <w:rFonts w:hint="eastAsia"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3</w:t>
            </w:r>
            <w:r>
              <w:rPr>
                <w:rFonts w:hint="default" w:ascii="Times New Roman" w:hAnsi="Times New Roman" w:eastAsia="宋体" w:cs="Times New Roman"/>
                <w:b/>
                <w:bCs/>
                <w:color w:val="auto"/>
                <w:sz w:val="21"/>
                <w:szCs w:val="21"/>
                <w:highlight w:val="none"/>
                <w:lang w:eastAsia="zh-CN"/>
              </w:rPr>
              <w:t>分</w:t>
            </w:r>
            <w:r>
              <w:rPr>
                <w:rFonts w:hint="eastAsia"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2</w:t>
            </w:r>
            <w:r>
              <w:rPr>
                <w:rFonts w:hint="default" w:ascii="Times New Roman" w:hAnsi="Times New Roman" w:eastAsia="宋体" w:cs="Times New Roman"/>
                <w:b/>
                <w:bCs/>
                <w:color w:val="auto"/>
                <w:sz w:val="21"/>
                <w:szCs w:val="21"/>
                <w:highlight w:val="none"/>
                <w:lang w:eastAsia="zh-CN"/>
              </w:rPr>
              <w:t>分</w:t>
            </w:r>
            <w:r>
              <w:rPr>
                <w:rFonts w:hint="eastAsia"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1</w:t>
            </w:r>
            <w:r>
              <w:rPr>
                <w:rFonts w:hint="default" w:ascii="Times New Roman" w:hAnsi="Times New Roman" w:eastAsia="宋体" w:cs="Times New Roman"/>
                <w:b/>
                <w:bCs/>
                <w:color w:val="auto"/>
                <w:sz w:val="21"/>
                <w:szCs w:val="21"/>
                <w:highlight w:val="none"/>
                <w:lang w:eastAsia="zh-CN"/>
              </w:rPr>
              <w:t>分</w:t>
            </w:r>
            <w:r>
              <w:rPr>
                <w:rFonts w:hint="eastAsia"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没有不得分）</w:t>
            </w:r>
          </w:p>
        </w:tc>
      </w:tr>
      <w:tr w14:paraId="342D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2896666E">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613" w:type="dxa"/>
            <w:tcBorders>
              <w:top w:val="single" w:color="auto" w:sz="4" w:space="0"/>
              <w:left w:val="single" w:color="auto" w:sz="4" w:space="0"/>
              <w:bottom w:val="single" w:color="auto" w:sz="4" w:space="0"/>
              <w:right w:val="single" w:color="auto" w:sz="4" w:space="0"/>
            </w:tcBorders>
            <w:noWrap w:val="0"/>
            <w:vAlign w:val="center"/>
          </w:tcPr>
          <w:p w14:paraId="17B621C6">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人员</w:t>
            </w:r>
            <w:r>
              <w:rPr>
                <w:rFonts w:hint="default" w:ascii="Times New Roman" w:hAnsi="Times New Roman" w:eastAsia="宋体" w:cs="Times New Roman"/>
                <w:color w:val="auto"/>
                <w:sz w:val="21"/>
                <w:szCs w:val="21"/>
                <w:highlight w:val="none"/>
                <w:lang w:eastAsia="zh-CN"/>
              </w:rPr>
              <w:t>保障</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65C8447">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客观分</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2699C624">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12分</w:t>
            </w:r>
          </w:p>
        </w:tc>
        <w:tc>
          <w:tcPr>
            <w:tcW w:w="5339" w:type="dxa"/>
            <w:tcBorders>
              <w:top w:val="single" w:color="auto" w:sz="4" w:space="0"/>
              <w:left w:val="single" w:color="auto" w:sz="4" w:space="0"/>
              <w:right w:val="single" w:color="auto" w:sz="4" w:space="0"/>
            </w:tcBorders>
            <w:noWrap w:val="0"/>
            <w:vAlign w:val="center"/>
          </w:tcPr>
          <w:p w14:paraId="3478A9EC">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根据投标人</w:t>
            </w:r>
            <w:r>
              <w:rPr>
                <w:rFonts w:hint="default" w:ascii="Times New Roman" w:hAnsi="Times New Roman" w:eastAsia="宋体" w:cs="Times New Roman"/>
                <w:color w:val="auto"/>
                <w:sz w:val="21"/>
                <w:szCs w:val="21"/>
                <w:highlight w:val="none"/>
                <w:lang w:eastAsia="zh-CN"/>
              </w:rPr>
              <w:t>管理人员和消杀人员配备现状</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eastAsia="zh-CN"/>
              </w:rPr>
              <w:t>酌情</w:t>
            </w:r>
            <w:r>
              <w:rPr>
                <w:rFonts w:hint="default" w:ascii="Times New Roman" w:hAnsi="Times New Roman" w:eastAsia="宋体" w:cs="Times New Roman"/>
                <w:color w:val="auto"/>
                <w:sz w:val="21"/>
                <w:szCs w:val="21"/>
                <w:highlight w:val="none"/>
                <w:lang w:eastAsia="zh-CN"/>
              </w:rPr>
              <w:t>评</w:t>
            </w:r>
            <w:r>
              <w:rPr>
                <w:rFonts w:hint="default" w:ascii="Times New Roman" w:hAnsi="Times New Roman" w:eastAsia="宋体" w:cs="Times New Roman"/>
                <w:color w:val="auto"/>
                <w:sz w:val="21"/>
                <w:szCs w:val="21"/>
                <w:highlight w:val="none"/>
              </w:rPr>
              <w:t>分。重点考虑管理人员和防制操作人员的管理经历和具备的操作资质。</w:t>
            </w:r>
          </w:p>
          <w:p w14:paraId="008E18E1">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eastAsia="zh-CN"/>
              </w:rPr>
              <w:t>项目</w:t>
            </w:r>
            <w:r>
              <w:rPr>
                <w:rFonts w:hint="default" w:ascii="Times New Roman" w:hAnsi="Times New Roman" w:eastAsia="宋体" w:cs="Times New Roman"/>
                <w:color w:val="auto"/>
                <w:sz w:val="21"/>
                <w:szCs w:val="21"/>
                <w:highlight w:val="none"/>
              </w:rPr>
              <w:t>管理人员</w:t>
            </w:r>
            <w:r>
              <w:rPr>
                <w:rFonts w:hint="default" w:ascii="Times New Roman" w:hAnsi="Times New Roman" w:eastAsia="宋体" w:cs="Times New Roman"/>
                <w:color w:val="auto"/>
                <w:sz w:val="21"/>
                <w:szCs w:val="21"/>
                <w:highlight w:val="none"/>
                <w:lang w:eastAsia="zh-CN"/>
              </w:rPr>
              <w:t>需有</w:t>
            </w:r>
            <w:r>
              <w:rPr>
                <w:rFonts w:hint="default" w:ascii="Times New Roman" w:hAnsi="Times New Roman" w:eastAsia="宋体" w:cs="Times New Roman"/>
                <w:color w:val="auto"/>
                <w:sz w:val="21"/>
                <w:szCs w:val="21"/>
                <w:highlight w:val="none"/>
              </w:rPr>
              <w:t>人社部颁发</w:t>
            </w:r>
            <w:r>
              <w:rPr>
                <w:rFonts w:hint="default" w:ascii="Times New Roman" w:hAnsi="Times New Roman" w:eastAsia="宋体" w:cs="Times New Roman"/>
                <w:color w:val="auto"/>
                <w:sz w:val="21"/>
                <w:szCs w:val="21"/>
                <w:highlight w:val="none"/>
                <w:lang w:eastAsia="zh-CN"/>
              </w:rPr>
              <w:t>的与本项目相关的职称证书</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中级以下不得分</w:t>
            </w:r>
            <w:r>
              <w:rPr>
                <w:rFonts w:hint="default" w:ascii="Times New Roman" w:hAnsi="Times New Roman" w:eastAsia="宋体" w:cs="Times New Roman"/>
                <w:color w:val="auto"/>
                <w:sz w:val="21"/>
                <w:szCs w:val="21"/>
                <w:highlight w:val="none"/>
              </w:rPr>
              <w:t>，中级得</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分，高级</w:t>
            </w:r>
            <w:r>
              <w:rPr>
                <w:rFonts w:hint="eastAsia" w:ascii="Times New Roman" w:hAnsi="Times New Roman" w:eastAsia="宋体" w:cs="Times New Roman"/>
                <w:color w:val="auto"/>
                <w:sz w:val="21"/>
                <w:szCs w:val="21"/>
                <w:highlight w:val="none"/>
                <w:lang w:eastAsia="zh-CN"/>
              </w:rPr>
              <w:t>及以上</w:t>
            </w:r>
            <w:r>
              <w:rPr>
                <w:rFonts w:hint="default" w:ascii="Times New Roman" w:hAnsi="Times New Roman" w:eastAsia="宋体" w:cs="Times New Roman"/>
                <w:color w:val="auto"/>
                <w:sz w:val="21"/>
                <w:szCs w:val="21"/>
                <w:highlight w:val="none"/>
              </w:rPr>
              <w:t>得</w:t>
            </w:r>
            <w:r>
              <w:rPr>
                <w:rFonts w:hint="default" w:ascii="Times New Roman" w:hAnsi="Times New Roman" w:eastAsia="宋体" w:cs="Times New Roman"/>
                <w:color w:val="auto"/>
                <w:sz w:val="21"/>
                <w:szCs w:val="21"/>
                <w:highlight w:val="none"/>
                <w:lang w:val="en-US" w:eastAsia="zh-CN"/>
              </w:rPr>
              <w:t>2分</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，最高得</w:t>
            </w:r>
            <w:r>
              <w:rPr>
                <w:rFonts w:hint="default" w:ascii="Times New Roman" w:hAnsi="Times New Roman" w:eastAsia="宋体" w:cs="Times New Roman"/>
                <w:color w:val="auto"/>
                <w:sz w:val="21"/>
                <w:szCs w:val="21"/>
                <w:highlight w:val="none"/>
                <w:lang w:val="en-US" w:eastAsia="zh-CN"/>
              </w:rPr>
              <w:t>2分</w:t>
            </w:r>
            <w:r>
              <w:rPr>
                <w:rFonts w:hint="default" w:ascii="Times New Roman" w:hAnsi="Times New Roman" w:eastAsia="宋体" w:cs="Times New Roman"/>
                <w:color w:val="auto"/>
                <w:sz w:val="21"/>
                <w:szCs w:val="21"/>
                <w:highlight w:val="none"/>
              </w:rPr>
              <w:t>。</w:t>
            </w:r>
          </w:p>
          <w:p w14:paraId="57C09A73">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（2）现场</w:t>
            </w:r>
            <w:r>
              <w:rPr>
                <w:rFonts w:hint="default" w:ascii="Times New Roman" w:hAnsi="Times New Roman" w:eastAsia="宋体" w:cs="Times New Roman"/>
                <w:color w:val="auto"/>
                <w:sz w:val="21"/>
                <w:szCs w:val="21"/>
                <w:highlight w:val="none"/>
                <w:lang w:eastAsia="zh-CN"/>
              </w:rPr>
              <w:t>消杀</w:t>
            </w:r>
            <w:r>
              <w:rPr>
                <w:rFonts w:hint="default" w:ascii="Times New Roman" w:hAnsi="Times New Roman" w:eastAsia="宋体" w:cs="Times New Roman"/>
                <w:color w:val="auto"/>
                <w:sz w:val="21"/>
                <w:szCs w:val="21"/>
                <w:highlight w:val="none"/>
              </w:rPr>
              <w:t>人员</w:t>
            </w:r>
            <w:r>
              <w:rPr>
                <w:rFonts w:hint="default" w:ascii="Times New Roman" w:hAnsi="Times New Roman" w:eastAsia="宋体" w:cs="Times New Roman"/>
                <w:color w:val="auto"/>
                <w:sz w:val="21"/>
                <w:szCs w:val="21"/>
                <w:highlight w:val="none"/>
                <w:lang w:eastAsia="zh-CN"/>
              </w:rPr>
              <w:t>需</w:t>
            </w:r>
            <w:r>
              <w:rPr>
                <w:rFonts w:hint="default" w:ascii="Times New Roman" w:hAnsi="Times New Roman" w:eastAsia="宋体" w:cs="Times New Roman"/>
                <w:color w:val="auto"/>
                <w:sz w:val="21"/>
                <w:szCs w:val="21"/>
                <w:highlight w:val="none"/>
              </w:rPr>
              <w:t>提供有效期内省</w:t>
            </w:r>
            <w:r>
              <w:rPr>
                <w:rFonts w:hint="default" w:ascii="Times New Roman" w:hAnsi="Times New Roman" w:eastAsia="宋体" w:cs="Times New Roman"/>
                <w:color w:val="auto"/>
                <w:sz w:val="21"/>
                <w:szCs w:val="21"/>
                <w:highlight w:val="none"/>
                <w:lang w:eastAsia="zh-CN"/>
              </w:rPr>
              <w:t>级</w:t>
            </w:r>
            <w:r>
              <w:rPr>
                <w:rFonts w:hint="default" w:ascii="Times New Roman" w:hAnsi="Times New Roman" w:eastAsia="宋体" w:cs="Times New Roman"/>
                <w:color w:val="auto"/>
                <w:sz w:val="21"/>
                <w:szCs w:val="21"/>
                <w:highlight w:val="none"/>
              </w:rPr>
              <w:t>病媒生物防制从业人员培训合格证明</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6人以下不得分，6人以上每增加1人得1分，</w:t>
            </w:r>
            <w:r>
              <w:rPr>
                <w:rFonts w:hint="default" w:ascii="Times New Roman" w:hAnsi="Times New Roman" w:eastAsia="宋体" w:cs="Times New Roman"/>
                <w:color w:val="auto"/>
                <w:sz w:val="21"/>
                <w:szCs w:val="21"/>
                <w:highlight w:val="none"/>
                <w:lang w:eastAsia="zh-CN"/>
              </w:rPr>
              <w:t>最高得</w:t>
            </w:r>
            <w:r>
              <w:rPr>
                <w:rFonts w:hint="default" w:ascii="Times New Roman" w:hAnsi="Times New Roman" w:eastAsia="宋体" w:cs="Times New Roman"/>
                <w:color w:val="auto"/>
                <w:sz w:val="21"/>
                <w:szCs w:val="21"/>
                <w:highlight w:val="none"/>
                <w:lang w:val="en-US" w:eastAsia="zh-CN"/>
              </w:rPr>
              <w:t>10分</w:t>
            </w:r>
            <w:r>
              <w:rPr>
                <w:rFonts w:hint="default" w:ascii="Times New Roman" w:hAnsi="Times New Roman" w:eastAsia="宋体" w:cs="Times New Roman"/>
                <w:color w:val="auto"/>
                <w:sz w:val="21"/>
                <w:szCs w:val="21"/>
                <w:highlight w:val="none"/>
              </w:rPr>
              <w:t>。</w:t>
            </w:r>
          </w:p>
          <w:p w14:paraId="4EC7F615">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(投标文件中需提供合格证明及参保证明，注：未到退休年龄需提供职工社保证明，达到退休年龄职工需提供银行半年度工资发放回单证明)</w:t>
            </w:r>
          </w:p>
        </w:tc>
      </w:tr>
      <w:tr w14:paraId="380E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3EC1F28">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613" w:type="dxa"/>
            <w:tcBorders>
              <w:top w:val="single" w:color="auto" w:sz="4" w:space="0"/>
              <w:left w:val="single" w:color="auto" w:sz="4" w:space="0"/>
              <w:bottom w:val="single" w:color="auto" w:sz="4" w:space="0"/>
              <w:right w:val="single" w:color="auto" w:sz="4" w:space="0"/>
            </w:tcBorders>
            <w:noWrap w:val="0"/>
            <w:vAlign w:val="center"/>
          </w:tcPr>
          <w:p w14:paraId="1276A451">
            <w:pPr>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器</w:t>
            </w:r>
            <w:r>
              <w:rPr>
                <w:rFonts w:hint="default" w:ascii="Times New Roman" w:hAnsi="Times New Roman" w:cs="Times New Roman"/>
                <w:color w:val="auto"/>
                <w:sz w:val="21"/>
                <w:szCs w:val="21"/>
                <w:highlight w:val="none"/>
                <w:lang w:eastAsia="zh-CN"/>
              </w:rPr>
              <w:t>械保障</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7A93B80">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主观分</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5E9171D9">
            <w:pPr>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分</w:t>
            </w:r>
          </w:p>
        </w:tc>
        <w:tc>
          <w:tcPr>
            <w:tcW w:w="5339" w:type="dxa"/>
            <w:tcBorders>
              <w:top w:val="single" w:color="auto" w:sz="4" w:space="0"/>
              <w:left w:val="single" w:color="auto" w:sz="4" w:space="0"/>
              <w:right w:val="single" w:color="auto" w:sz="4" w:space="0"/>
            </w:tcBorders>
            <w:noWrap w:val="0"/>
            <w:vAlign w:val="center"/>
          </w:tcPr>
          <w:p w14:paraId="5D3AD908">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根据要求的格式，提供器材、设备清单，并附器材、设备购置发票及器材照片。本项</w:t>
            </w:r>
            <w:r>
              <w:rPr>
                <w:rFonts w:hint="default" w:ascii="Times New Roman" w:hAnsi="Times New Roman" w:cs="Times New Roman"/>
                <w:color w:val="auto"/>
                <w:sz w:val="21"/>
                <w:szCs w:val="21"/>
                <w:highlight w:val="none"/>
                <w:lang w:eastAsia="zh-CN"/>
              </w:rPr>
              <w:t>评</w:t>
            </w:r>
            <w:r>
              <w:rPr>
                <w:rFonts w:hint="default" w:ascii="Times New Roman" w:hAnsi="Times New Roman" w:cs="Times New Roman"/>
                <w:color w:val="auto"/>
                <w:sz w:val="21"/>
                <w:szCs w:val="21"/>
                <w:highlight w:val="none"/>
              </w:rPr>
              <w:t>分从以下几方面考虑：</w:t>
            </w:r>
          </w:p>
          <w:p w14:paraId="23332846">
            <w:pPr>
              <w:keepNext w:val="0"/>
              <w:keepLines w:val="0"/>
              <w:pageBreakBefore w:val="0"/>
              <w:widowControl/>
              <w:tabs>
                <w:tab w:val="left" w:pos="3870"/>
                <w:tab w:val="left" w:pos="4085"/>
              </w:tabs>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Cs w:val="21"/>
                <w:highlight w:val="none"/>
              </w:rPr>
              <w:t>配备</w:t>
            </w:r>
            <w:r>
              <w:rPr>
                <w:rFonts w:hint="default" w:ascii="Times New Roman" w:hAnsi="Times New Roman" w:cs="Times New Roman"/>
                <w:color w:val="auto"/>
                <w:sz w:val="21"/>
                <w:szCs w:val="21"/>
                <w:highlight w:val="none"/>
                <w:lang w:eastAsia="zh-CN"/>
              </w:rPr>
              <w:t>车载式大型消杀</w:t>
            </w:r>
            <w:r>
              <w:rPr>
                <w:rFonts w:hint="default" w:ascii="Times New Roman" w:hAnsi="Times New Roman" w:cs="Times New Roman"/>
                <w:color w:val="auto"/>
                <w:sz w:val="21"/>
                <w:szCs w:val="21"/>
                <w:highlight w:val="none"/>
              </w:rPr>
              <w:t>器械</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Cs w:val="21"/>
                <w:highlight w:val="none"/>
              </w:rPr>
              <w:t>背负式及手动喷雾器</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超低容量喷雾器、热烟雾器等大型器械</w:t>
            </w:r>
            <w:r>
              <w:rPr>
                <w:rFonts w:hint="default" w:ascii="Times New Roman" w:hAnsi="Times New Roman" w:cs="Times New Roman"/>
                <w:color w:val="auto"/>
                <w:sz w:val="21"/>
                <w:szCs w:val="21"/>
                <w:highlight w:val="none"/>
                <w:lang w:val="en-US" w:eastAsia="zh-CN"/>
              </w:rPr>
              <w:t>（以采购发票证明为准）</w:t>
            </w:r>
            <w:r>
              <w:rPr>
                <w:rFonts w:hint="default" w:ascii="Times New Roman" w:hAnsi="Times New Roman" w:cs="Times New Roman"/>
                <w:bCs/>
                <w:color w:val="auto"/>
                <w:szCs w:val="21"/>
                <w:highlight w:val="none"/>
              </w:rPr>
              <w:t>，</w:t>
            </w:r>
            <w:r>
              <w:rPr>
                <w:rFonts w:hint="default" w:ascii="Times New Roman" w:hAnsi="Times New Roman" w:cs="Times New Roman"/>
                <w:color w:val="auto"/>
                <w:szCs w:val="21"/>
                <w:highlight w:val="none"/>
              </w:rPr>
              <w:t>是否与采购需求符合性或匹配度进行</w:t>
            </w:r>
            <w:r>
              <w:rPr>
                <w:rFonts w:hint="default" w:ascii="Times New Roman" w:hAnsi="Times New Roman" w:cs="Times New Roman"/>
                <w:color w:val="auto"/>
                <w:szCs w:val="21"/>
                <w:highlight w:val="none"/>
                <w:lang w:eastAsia="zh-CN"/>
              </w:rPr>
              <w:t>评</w:t>
            </w:r>
            <w:r>
              <w:rPr>
                <w:rFonts w:hint="default" w:ascii="Times New Roman" w:hAnsi="Times New Roman" w:cs="Times New Roman"/>
                <w:color w:val="auto"/>
                <w:szCs w:val="21"/>
                <w:highlight w:val="none"/>
              </w:rPr>
              <w:t>分</w:t>
            </w:r>
            <w:r>
              <w:rPr>
                <w:rFonts w:hint="default" w:ascii="Times New Roman" w:hAnsi="Times New Roman" w:cs="Times New Roman"/>
                <w:color w:val="auto"/>
                <w:szCs w:val="21"/>
                <w:highlight w:val="none"/>
                <w:lang w:eastAsia="zh-CN"/>
              </w:rPr>
              <w:t>；</w:t>
            </w:r>
            <w:r>
              <w:rPr>
                <w:rFonts w:hint="default" w:ascii="Times New Roman" w:hAnsi="Times New Roman" w:eastAsia="宋体" w:cs="Times New Roman"/>
                <w:b/>
                <w:bCs/>
                <w:color w:val="auto"/>
                <w:sz w:val="21"/>
                <w:szCs w:val="21"/>
                <w:highlight w:val="none"/>
              </w:rPr>
              <w:t>（评分范围：</w:t>
            </w:r>
            <w:r>
              <w:rPr>
                <w:rFonts w:hint="default" w:ascii="Times New Roman" w:hAnsi="Times New Roman" w:eastAsia="宋体" w:cs="Times New Roman"/>
                <w:b/>
                <w:bCs/>
                <w:color w:val="auto"/>
                <w:sz w:val="21"/>
                <w:szCs w:val="21"/>
                <w:highlight w:val="none"/>
                <w:lang w:val="en-US" w:eastAsia="zh-CN"/>
              </w:rPr>
              <w:t>4分</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3</w:t>
            </w:r>
            <w:r>
              <w:rPr>
                <w:rFonts w:hint="default" w:ascii="Times New Roman" w:hAnsi="Times New Roman" w:eastAsia="宋体" w:cs="Times New Roman"/>
                <w:b/>
                <w:bCs/>
                <w:color w:val="auto"/>
                <w:sz w:val="21"/>
                <w:szCs w:val="21"/>
                <w:highlight w:val="none"/>
                <w:lang w:eastAsia="zh-CN"/>
              </w:rPr>
              <w:t>分，</w:t>
            </w:r>
            <w:r>
              <w:rPr>
                <w:rFonts w:hint="default" w:ascii="Times New Roman" w:hAnsi="Times New Roman" w:eastAsia="宋体" w:cs="Times New Roman"/>
                <w:b/>
                <w:bCs/>
                <w:color w:val="auto"/>
                <w:sz w:val="21"/>
                <w:szCs w:val="21"/>
                <w:highlight w:val="none"/>
              </w:rPr>
              <w:t>2</w:t>
            </w:r>
            <w:r>
              <w:rPr>
                <w:rFonts w:hint="default" w:ascii="Times New Roman" w:hAnsi="Times New Roman" w:eastAsia="宋体" w:cs="Times New Roman"/>
                <w:b/>
                <w:bCs/>
                <w:color w:val="auto"/>
                <w:sz w:val="21"/>
                <w:szCs w:val="21"/>
                <w:highlight w:val="none"/>
                <w:lang w:eastAsia="zh-CN"/>
              </w:rPr>
              <w:t>分，</w:t>
            </w:r>
            <w:r>
              <w:rPr>
                <w:rFonts w:hint="default" w:ascii="Times New Roman" w:hAnsi="Times New Roman" w:eastAsia="宋体" w:cs="Times New Roman"/>
                <w:b/>
                <w:bCs/>
                <w:color w:val="auto"/>
                <w:sz w:val="21"/>
                <w:szCs w:val="21"/>
                <w:highlight w:val="none"/>
              </w:rPr>
              <w:t>1</w:t>
            </w:r>
            <w:r>
              <w:rPr>
                <w:rFonts w:hint="default" w:ascii="Times New Roman" w:hAnsi="Times New Roman" w:eastAsia="宋体" w:cs="Times New Roman"/>
                <w:b/>
                <w:bCs/>
                <w:color w:val="auto"/>
                <w:sz w:val="21"/>
                <w:szCs w:val="21"/>
                <w:highlight w:val="none"/>
                <w:lang w:eastAsia="zh-CN"/>
              </w:rPr>
              <w:t>分，</w:t>
            </w:r>
            <w:r>
              <w:rPr>
                <w:rFonts w:hint="default" w:ascii="Times New Roman" w:hAnsi="Times New Roman" w:eastAsia="宋体" w:cs="Times New Roman"/>
                <w:b/>
                <w:bCs/>
                <w:color w:val="auto"/>
                <w:sz w:val="21"/>
                <w:szCs w:val="21"/>
                <w:highlight w:val="none"/>
              </w:rPr>
              <w:t>没有不得分）</w:t>
            </w:r>
          </w:p>
          <w:p w14:paraId="6E5F421C">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（2）配备相应的工作器具：天平、稀释量筒、搅拌器具、手电筒、工具箱等用具；鼠、蚊、蝇、蟑螂密度监测工具；适于不同季节穿着的工作服、帽子、防护口罩（面具）、防护眼镜及防护手套等个人防护用品</w:t>
            </w:r>
            <w:r>
              <w:rPr>
                <w:rFonts w:hint="default" w:ascii="Times New Roman" w:hAnsi="Times New Roman" w:cs="Times New Roman"/>
                <w:bCs/>
                <w:color w:val="auto"/>
                <w:szCs w:val="21"/>
                <w:highlight w:val="none"/>
              </w:rPr>
              <w:t>，</w:t>
            </w:r>
            <w:r>
              <w:rPr>
                <w:rFonts w:hint="default" w:ascii="Times New Roman" w:hAnsi="Times New Roman" w:cs="Times New Roman"/>
                <w:color w:val="auto"/>
                <w:szCs w:val="21"/>
                <w:highlight w:val="none"/>
              </w:rPr>
              <w:t>是否与采购需求符合性或匹配度进行</w:t>
            </w:r>
            <w:r>
              <w:rPr>
                <w:rFonts w:hint="default" w:ascii="Times New Roman" w:hAnsi="Times New Roman" w:cs="Times New Roman"/>
                <w:color w:val="auto"/>
                <w:szCs w:val="21"/>
                <w:highlight w:val="none"/>
                <w:lang w:eastAsia="zh-CN"/>
              </w:rPr>
              <w:t>评</w:t>
            </w:r>
            <w:r>
              <w:rPr>
                <w:rFonts w:hint="default" w:ascii="Times New Roman" w:hAnsi="Times New Roman" w:cs="Times New Roman"/>
                <w:color w:val="auto"/>
                <w:szCs w:val="21"/>
                <w:highlight w:val="none"/>
              </w:rPr>
              <w:t>分</w:t>
            </w:r>
            <w:r>
              <w:rPr>
                <w:rFonts w:hint="default" w:ascii="Times New Roman" w:hAnsi="Times New Roman" w:cs="Times New Roman"/>
                <w:color w:val="auto"/>
                <w:szCs w:val="21"/>
                <w:highlight w:val="none"/>
                <w:lang w:eastAsia="zh-CN"/>
              </w:rPr>
              <w:t>。</w:t>
            </w:r>
            <w:r>
              <w:rPr>
                <w:rFonts w:hint="default" w:ascii="Times New Roman" w:hAnsi="Times New Roman" w:eastAsia="宋体" w:cs="Times New Roman"/>
                <w:b/>
                <w:bCs/>
                <w:color w:val="auto"/>
                <w:sz w:val="21"/>
                <w:szCs w:val="21"/>
                <w:highlight w:val="none"/>
              </w:rPr>
              <w:t>（评分范围：3</w:t>
            </w:r>
            <w:r>
              <w:rPr>
                <w:rFonts w:hint="default" w:ascii="Times New Roman" w:hAnsi="Times New Roman" w:eastAsia="宋体" w:cs="Times New Roman"/>
                <w:b/>
                <w:bCs/>
                <w:color w:val="auto"/>
                <w:sz w:val="21"/>
                <w:szCs w:val="21"/>
                <w:highlight w:val="none"/>
                <w:lang w:eastAsia="zh-CN"/>
              </w:rPr>
              <w:t>分，</w:t>
            </w:r>
            <w:r>
              <w:rPr>
                <w:rFonts w:hint="default" w:ascii="Times New Roman" w:hAnsi="Times New Roman" w:eastAsia="宋体" w:cs="Times New Roman"/>
                <w:b/>
                <w:bCs/>
                <w:color w:val="auto"/>
                <w:sz w:val="21"/>
                <w:szCs w:val="21"/>
                <w:highlight w:val="none"/>
              </w:rPr>
              <w:t>2</w:t>
            </w:r>
            <w:r>
              <w:rPr>
                <w:rFonts w:hint="default" w:ascii="Times New Roman" w:hAnsi="Times New Roman" w:eastAsia="宋体" w:cs="Times New Roman"/>
                <w:b/>
                <w:bCs/>
                <w:color w:val="auto"/>
                <w:sz w:val="21"/>
                <w:szCs w:val="21"/>
                <w:highlight w:val="none"/>
                <w:lang w:eastAsia="zh-CN"/>
              </w:rPr>
              <w:t>分，</w:t>
            </w:r>
            <w:r>
              <w:rPr>
                <w:rFonts w:hint="default" w:ascii="Times New Roman" w:hAnsi="Times New Roman" w:eastAsia="宋体" w:cs="Times New Roman"/>
                <w:b/>
                <w:bCs/>
                <w:color w:val="auto"/>
                <w:sz w:val="21"/>
                <w:szCs w:val="21"/>
                <w:highlight w:val="none"/>
              </w:rPr>
              <w:t>1</w:t>
            </w:r>
            <w:r>
              <w:rPr>
                <w:rFonts w:hint="default" w:ascii="Times New Roman" w:hAnsi="Times New Roman" w:eastAsia="宋体" w:cs="Times New Roman"/>
                <w:b/>
                <w:bCs/>
                <w:color w:val="auto"/>
                <w:sz w:val="21"/>
                <w:szCs w:val="21"/>
                <w:highlight w:val="none"/>
                <w:lang w:eastAsia="zh-CN"/>
              </w:rPr>
              <w:t>分，</w:t>
            </w:r>
            <w:r>
              <w:rPr>
                <w:rFonts w:hint="default" w:ascii="Times New Roman" w:hAnsi="Times New Roman" w:eastAsia="宋体" w:cs="Times New Roman"/>
                <w:b/>
                <w:bCs/>
                <w:color w:val="auto"/>
                <w:sz w:val="21"/>
                <w:szCs w:val="21"/>
                <w:highlight w:val="none"/>
              </w:rPr>
              <w:t>没有不得分）</w:t>
            </w:r>
          </w:p>
        </w:tc>
      </w:tr>
      <w:tr w14:paraId="5E08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AF5CB40">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w:t>
            </w:r>
          </w:p>
        </w:tc>
        <w:tc>
          <w:tcPr>
            <w:tcW w:w="1613" w:type="dxa"/>
            <w:tcBorders>
              <w:top w:val="single" w:color="auto" w:sz="4" w:space="0"/>
              <w:left w:val="single" w:color="auto" w:sz="4" w:space="0"/>
              <w:bottom w:val="single" w:color="auto" w:sz="4" w:space="0"/>
              <w:right w:val="single" w:color="auto" w:sz="4" w:space="0"/>
            </w:tcBorders>
            <w:noWrap w:val="0"/>
            <w:vAlign w:val="center"/>
          </w:tcPr>
          <w:p w14:paraId="29C52DCB">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车辆保障</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31C512B">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eastAsia="zh-CN"/>
              </w:rPr>
              <w:t>客观分</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63C3DE31">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6分</w:t>
            </w:r>
          </w:p>
        </w:tc>
        <w:tc>
          <w:tcPr>
            <w:tcW w:w="5339" w:type="dxa"/>
            <w:tcBorders>
              <w:top w:val="single" w:color="auto" w:sz="4" w:space="0"/>
              <w:left w:val="single" w:color="auto" w:sz="4" w:space="0"/>
              <w:bottom w:val="single" w:color="auto" w:sz="4" w:space="0"/>
              <w:right w:val="single" w:color="auto" w:sz="4" w:space="0"/>
            </w:tcBorders>
            <w:noWrap w:val="0"/>
            <w:vAlign w:val="center"/>
          </w:tcPr>
          <w:p w14:paraId="37C13D8D">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 w:val="21"/>
                <w:szCs w:val="21"/>
                <w:highlight w:val="none"/>
              </w:rPr>
              <w:t>配备有服务用交通工具：</w:t>
            </w:r>
            <w:r>
              <w:rPr>
                <w:rFonts w:hint="default" w:ascii="Times New Roman" w:hAnsi="Times New Roman" w:cs="Times New Roman"/>
                <w:color w:val="auto"/>
                <w:szCs w:val="21"/>
                <w:highlight w:val="none"/>
              </w:rPr>
              <w:t>喷有宣传标识的小型汽车</w:t>
            </w:r>
            <w:r>
              <w:rPr>
                <w:rFonts w:hint="default" w:ascii="Times New Roman" w:hAnsi="Times New Roman" w:eastAsia="宋体" w:cs="Times New Roman"/>
                <w:color w:val="auto"/>
                <w:sz w:val="21"/>
                <w:szCs w:val="21"/>
                <w:highlight w:val="none"/>
              </w:rPr>
              <w:t>（自有或租赁）</w:t>
            </w:r>
            <w:r>
              <w:rPr>
                <w:rFonts w:hint="default" w:ascii="Times New Roman" w:hAnsi="Times New Roman" w:cs="Times New Roman"/>
                <w:color w:val="auto"/>
                <w:szCs w:val="21"/>
                <w:highlight w:val="none"/>
              </w:rPr>
              <w:t>1辆得2分，每多</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辆加2分。（</w:t>
            </w:r>
            <w:r>
              <w:rPr>
                <w:rFonts w:hint="default" w:ascii="Times New Roman" w:hAnsi="Times New Roman" w:cs="Times New Roman"/>
                <w:b/>
                <w:bCs/>
                <w:color w:val="auto"/>
                <w:kern w:val="0"/>
                <w:szCs w:val="21"/>
                <w:highlight w:val="none"/>
              </w:rPr>
              <w:t>评分范围：</w:t>
            </w:r>
            <w:r>
              <w:rPr>
                <w:rFonts w:hint="default" w:ascii="Times New Roman" w:hAnsi="Times New Roman" w:cs="Times New Roman"/>
                <w:b/>
                <w:bCs/>
                <w:color w:val="auto"/>
                <w:kern w:val="0"/>
                <w:szCs w:val="21"/>
                <w:highlight w:val="none"/>
                <w:lang w:val="en-US" w:eastAsia="zh-CN"/>
              </w:rPr>
              <w:t>6</w:t>
            </w:r>
            <w:r>
              <w:rPr>
                <w:rFonts w:hint="eastAsia" w:ascii="Times New Roman" w:hAnsi="Times New Roman" w:cs="Times New Roman"/>
                <w:b/>
                <w:bCs/>
                <w:color w:val="auto"/>
                <w:kern w:val="0"/>
                <w:szCs w:val="21"/>
                <w:highlight w:val="none"/>
                <w:lang w:eastAsia="zh-CN"/>
              </w:rPr>
              <w:t>分，</w:t>
            </w:r>
            <w:r>
              <w:rPr>
                <w:rFonts w:hint="default" w:ascii="Times New Roman" w:hAnsi="Times New Roman" w:cs="Times New Roman"/>
                <w:b/>
                <w:bCs/>
                <w:color w:val="auto"/>
                <w:kern w:val="0"/>
                <w:szCs w:val="21"/>
                <w:highlight w:val="none"/>
                <w:lang w:val="en-US" w:eastAsia="zh-CN"/>
              </w:rPr>
              <w:t>4</w:t>
            </w:r>
            <w:r>
              <w:rPr>
                <w:rFonts w:hint="eastAsia" w:ascii="Times New Roman" w:hAnsi="Times New Roman" w:cs="Times New Roman"/>
                <w:b/>
                <w:bCs/>
                <w:color w:val="auto"/>
                <w:kern w:val="0"/>
                <w:szCs w:val="21"/>
                <w:highlight w:val="none"/>
                <w:lang w:eastAsia="zh-CN"/>
              </w:rPr>
              <w:t>分，</w:t>
            </w:r>
            <w:r>
              <w:rPr>
                <w:rFonts w:hint="default" w:ascii="Times New Roman" w:hAnsi="Times New Roman" w:cs="Times New Roman"/>
                <w:b/>
                <w:bCs/>
                <w:color w:val="auto"/>
                <w:kern w:val="0"/>
                <w:szCs w:val="21"/>
                <w:highlight w:val="none"/>
              </w:rPr>
              <w:t>2</w:t>
            </w:r>
            <w:r>
              <w:rPr>
                <w:rFonts w:hint="eastAsia" w:ascii="Times New Roman" w:hAnsi="Times New Roman" w:cs="Times New Roman"/>
                <w:b/>
                <w:bCs/>
                <w:color w:val="auto"/>
                <w:kern w:val="0"/>
                <w:szCs w:val="21"/>
                <w:highlight w:val="none"/>
                <w:lang w:eastAsia="zh-CN"/>
              </w:rPr>
              <w:t>分</w:t>
            </w:r>
            <w:r>
              <w:rPr>
                <w:rFonts w:hint="default" w:ascii="Times New Roman" w:hAnsi="Times New Roman" w:cs="Times New Roman"/>
                <w:b/>
                <w:bCs/>
                <w:color w:val="auto"/>
                <w:kern w:val="0"/>
                <w:szCs w:val="21"/>
                <w:highlight w:val="none"/>
              </w:rPr>
              <w:t>没有不得分</w:t>
            </w:r>
            <w:r>
              <w:rPr>
                <w:rFonts w:hint="default" w:ascii="Times New Roman" w:hAnsi="Times New Roman" w:cs="Times New Roman"/>
                <w:color w:val="auto"/>
                <w:szCs w:val="21"/>
                <w:highlight w:val="none"/>
              </w:rPr>
              <w:t>）。</w:t>
            </w:r>
          </w:p>
          <w:p w14:paraId="28D15B6B">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Cs w:val="21"/>
                <w:highlight w:val="none"/>
              </w:rPr>
              <w:t>（提供车辆机动车登记证复印件</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车辆</w:t>
            </w:r>
            <w:r>
              <w:rPr>
                <w:rFonts w:hint="default" w:ascii="Times New Roman" w:hAnsi="Times New Roman" w:cs="Times New Roman"/>
                <w:color w:val="auto"/>
                <w:szCs w:val="21"/>
                <w:highlight w:val="none"/>
                <w:lang w:eastAsia="zh-CN"/>
              </w:rPr>
              <w:t>照片</w:t>
            </w:r>
            <w:r>
              <w:rPr>
                <w:rFonts w:hint="eastAsia" w:ascii="Times New Roman" w:hAnsi="Times New Roman" w:cs="Times New Roman"/>
                <w:color w:val="auto"/>
                <w:szCs w:val="21"/>
                <w:highlight w:val="none"/>
                <w:lang w:eastAsia="zh-CN"/>
              </w:rPr>
              <w:t>；</w:t>
            </w:r>
            <w:r>
              <w:rPr>
                <w:rFonts w:hint="default" w:ascii="Times New Roman" w:hAnsi="Times New Roman" w:eastAsia="宋体" w:cs="Times New Roman"/>
                <w:color w:val="auto"/>
                <w:sz w:val="21"/>
                <w:szCs w:val="21"/>
                <w:highlight w:val="none"/>
              </w:rPr>
              <w:t>车辆租赁的，提供租赁协议</w:t>
            </w:r>
            <w:r>
              <w:rPr>
                <w:rFonts w:hint="default" w:ascii="Times New Roman" w:hAnsi="Times New Roman" w:eastAsia="宋体" w:cs="Times New Roman"/>
                <w:color w:val="auto"/>
                <w:sz w:val="21"/>
                <w:szCs w:val="21"/>
                <w:highlight w:val="none"/>
                <w:lang w:eastAsia="zh-CN"/>
              </w:rPr>
              <w:t>和行驶证</w:t>
            </w:r>
            <w:r>
              <w:rPr>
                <w:rFonts w:hint="eastAsia" w:cs="Times New Roman"/>
                <w:color w:val="auto"/>
                <w:sz w:val="21"/>
                <w:szCs w:val="21"/>
                <w:highlight w:val="none"/>
                <w:lang w:eastAsia="zh-CN"/>
              </w:rPr>
              <w:t>，</w:t>
            </w:r>
            <w:r>
              <w:rPr>
                <w:rFonts w:hint="default" w:ascii="Times New Roman" w:hAnsi="Times New Roman" w:cs="Times New Roman"/>
                <w:color w:val="auto"/>
                <w:szCs w:val="21"/>
                <w:highlight w:val="none"/>
              </w:rPr>
              <w:t>做在投标文件中）</w:t>
            </w:r>
          </w:p>
        </w:tc>
      </w:tr>
      <w:tr w14:paraId="505B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A841778">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c>
          <w:tcPr>
            <w:tcW w:w="1613" w:type="dxa"/>
            <w:tcBorders>
              <w:top w:val="single" w:color="auto" w:sz="4" w:space="0"/>
              <w:left w:val="single" w:color="auto" w:sz="4" w:space="0"/>
              <w:bottom w:val="single" w:color="auto" w:sz="4" w:space="0"/>
              <w:right w:val="single" w:color="auto" w:sz="4" w:space="0"/>
            </w:tcBorders>
            <w:noWrap w:val="0"/>
            <w:vAlign w:val="center"/>
          </w:tcPr>
          <w:p w14:paraId="0714FC2D">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药品</w:t>
            </w:r>
            <w:r>
              <w:rPr>
                <w:rFonts w:hint="default" w:ascii="Times New Roman" w:hAnsi="Times New Roman" w:eastAsia="宋体" w:cs="Times New Roman"/>
                <w:color w:val="auto"/>
                <w:sz w:val="21"/>
                <w:szCs w:val="21"/>
                <w:highlight w:val="none"/>
                <w:lang w:eastAsia="zh-CN"/>
              </w:rPr>
              <w:t>保障</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CB966A7">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主观分</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76DFA4FF">
            <w:pPr>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分</w:t>
            </w:r>
          </w:p>
        </w:tc>
        <w:tc>
          <w:tcPr>
            <w:tcW w:w="5339" w:type="dxa"/>
            <w:tcBorders>
              <w:top w:val="single" w:color="auto" w:sz="4" w:space="0"/>
              <w:left w:val="single" w:color="auto" w:sz="4" w:space="0"/>
              <w:bottom w:val="single" w:color="auto" w:sz="4" w:space="0"/>
              <w:right w:val="single" w:color="auto" w:sz="4" w:space="0"/>
            </w:tcBorders>
            <w:noWrap w:val="0"/>
            <w:vAlign w:val="center"/>
          </w:tcPr>
          <w:p w14:paraId="6D4FAB02">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根据使用药剂的情况，要求提供药品使用计划</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使用品牌、规格、产地</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药品使用符合国家有关规定，建立索证制度，药品“三证”齐全(做在技术文件中)</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是否与采购需求符合性或匹配度进行</w:t>
            </w:r>
            <w:r>
              <w:rPr>
                <w:rFonts w:hint="default" w:ascii="Times New Roman" w:hAnsi="Times New Roman" w:eastAsia="宋体" w:cs="Times New Roman"/>
                <w:color w:val="auto"/>
                <w:sz w:val="21"/>
                <w:szCs w:val="21"/>
                <w:highlight w:val="none"/>
                <w:lang w:eastAsia="zh-CN"/>
              </w:rPr>
              <w:t>评</w:t>
            </w:r>
            <w:r>
              <w:rPr>
                <w:rFonts w:hint="default" w:ascii="Times New Roman" w:hAnsi="Times New Roman" w:eastAsia="宋体" w:cs="Times New Roman"/>
                <w:color w:val="auto"/>
                <w:sz w:val="21"/>
                <w:szCs w:val="21"/>
                <w:highlight w:val="none"/>
              </w:rPr>
              <w:t>分</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bCs/>
                <w:color w:val="auto"/>
                <w:kern w:val="0"/>
                <w:sz w:val="21"/>
                <w:szCs w:val="21"/>
                <w:highlight w:val="none"/>
              </w:rPr>
              <w:t>评分范围：4</w:t>
            </w:r>
            <w:r>
              <w:rPr>
                <w:rFonts w:hint="eastAsia" w:ascii="Times New Roman" w:hAnsi="Times New Roman" w:eastAsia="宋体" w:cs="Times New Roman"/>
                <w:b/>
                <w:bCs/>
                <w:color w:val="auto"/>
                <w:kern w:val="0"/>
                <w:sz w:val="21"/>
                <w:szCs w:val="21"/>
                <w:highlight w:val="none"/>
                <w:lang w:eastAsia="zh-CN"/>
              </w:rPr>
              <w:t>分，</w:t>
            </w:r>
            <w:r>
              <w:rPr>
                <w:rFonts w:hint="default" w:ascii="Times New Roman" w:hAnsi="Times New Roman" w:eastAsia="宋体" w:cs="Times New Roman"/>
                <w:b/>
                <w:bCs/>
                <w:color w:val="auto"/>
                <w:kern w:val="0"/>
                <w:sz w:val="21"/>
                <w:szCs w:val="21"/>
                <w:highlight w:val="none"/>
              </w:rPr>
              <w:t>3</w:t>
            </w:r>
            <w:r>
              <w:rPr>
                <w:rFonts w:hint="eastAsia" w:ascii="Times New Roman" w:hAnsi="Times New Roman" w:eastAsia="宋体" w:cs="Times New Roman"/>
                <w:b/>
                <w:bCs/>
                <w:color w:val="auto"/>
                <w:kern w:val="0"/>
                <w:sz w:val="21"/>
                <w:szCs w:val="21"/>
                <w:highlight w:val="none"/>
                <w:lang w:eastAsia="zh-CN"/>
              </w:rPr>
              <w:t>分，</w:t>
            </w:r>
            <w:r>
              <w:rPr>
                <w:rFonts w:hint="default" w:ascii="Times New Roman" w:hAnsi="Times New Roman" w:eastAsia="宋体" w:cs="Times New Roman"/>
                <w:b/>
                <w:bCs/>
                <w:color w:val="auto"/>
                <w:kern w:val="0"/>
                <w:sz w:val="21"/>
                <w:szCs w:val="21"/>
                <w:highlight w:val="none"/>
              </w:rPr>
              <w:t>2</w:t>
            </w:r>
            <w:r>
              <w:rPr>
                <w:rFonts w:hint="eastAsia" w:ascii="Times New Roman" w:hAnsi="Times New Roman" w:eastAsia="宋体" w:cs="Times New Roman"/>
                <w:b/>
                <w:bCs/>
                <w:color w:val="auto"/>
                <w:kern w:val="0"/>
                <w:sz w:val="21"/>
                <w:szCs w:val="21"/>
                <w:highlight w:val="none"/>
                <w:lang w:eastAsia="zh-CN"/>
              </w:rPr>
              <w:t>分，</w:t>
            </w:r>
            <w:r>
              <w:rPr>
                <w:rFonts w:hint="default" w:ascii="Times New Roman" w:hAnsi="Times New Roman" w:eastAsia="宋体" w:cs="Times New Roman"/>
                <w:b/>
                <w:bCs/>
                <w:color w:val="auto"/>
                <w:kern w:val="0"/>
                <w:sz w:val="21"/>
                <w:szCs w:val="21"/>
                <w:highlight w:val="none"/>
              </w:rPr>
              <w:t>1</w:t>
            </w:r>
            <w:r>
              <w:rPr>
                <w:rFonts w:hint="eastAsia" w:ascii="Times New Roman" w:hAnsi="Times New Roman" w:eastAsia="宋体" w:cs="Times New Roman"/>
                <w:b/>
                <w:bCs/>
                <w:color w:val="auto"/>
                <w:kern w:val="0"/>
                <w:sz w:val="21"/>
                <w:szCs w:val="21"/>
                <w:highlight w:val="none"/>
                <w:lang w:eastAsia="zh-CN"/>
              </w:rPr>
              <w:t>分，</w:t>
            </w:r>
            <w:r>
              <w:rPr>
                <w:rFonts w:hint="default" w:ascii="Times New Roman" w:hAnsi="Times New Roman" w:eastAsia="宋体" w:cs="Times New Roman"/>
                <w:b/>
                <w:bCs/>
                <w:color w:val="auto"/>
                <w:kern w:val="0"/>
                <w:sz w:val="21"/>
                <w:szCs w:val="21"/>
                <w:highlight w:val="none"/>
              </w:rPr>
              <w:t>没有不得分</w:t>
            </w:r>
            <w:r>
              <w:rPr>
                <w:rFonts w:hint="default" w:ascii="Times New Roman" w:hAnsi="Times New Roman" w:eastAsia="宋体" w:cs="Times New Roman"/>
                <w:color w:val="auto"/>
                <w:sz w:val="21"/>
                <w:szCs w:val="21"/>
                <w:highlight w:val="none"/>
              </w:rPr>
              <w:t>）</w:t>
            </w:r>
          </w:p>
        </w:tc>
      </w:tr>
      <w:tr w14:paraId="5B28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0E2640B2">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w:t>
            </w:r>
          </w:p>
        </w:tc>
        <w:tc>
          <w:tcPr>
            <w:tcW w:w="1613" w:type="dxa"/>
            <w:tcBorders>
              <w:top w:val="single" w:color="auto" w:sz="4" w:space="0"/>
              <w:left w:val="single" w:color="auto" w:sz="4" w:space="0"/>
              <w:bottom w:val="single" w:color="auto" w:sz="4" w:space="0"/>
              <w:right w:val="single" w:color="auto" w:sz="4" w:space="0"/>
            </w:tcBorders>
            <w:noWrap w:val="0"/>
            <w:vAlign w:val="center"/>
          </w:tcPr>
          <w:p w14:paraId="3441B43A">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合理建议</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3D0EA16">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主观分</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677E7A99">
            <w:pPr>
              <w:jc w:val="center"/>
              <w:rPr>
                <w:rFonts w:hint="default" w:ascii="Times New Roman" w:hAnsi="Times New Roman" w:eastAsia="宋体" w:cs="Times New Roman"/>
                <w:color w:val="auto"/>
                <w:sz w:val="21"/>
                <w:szCs w:val="21"/>
                <w:highlight w:val="none"/>
                <w:lang w:val="en-US" w:eastAsia="zh-CN" w:bidi="ar-SA"/>
              </w:rPr>
            </w:pP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分</w:t>
            </w:r>
          </w:p>
        </w:tc>
        <w:tc>
          <w:tcPr>
            <w:tcW w:w="5339" w:type="dxa"/>
            <w:tcBorders>
              <w:top w:val="single" w:color="auto" w:sz="4" w:space="0"/>
              <w:left w:val="single" w:color="auto" w:sz="4" w:space="0"/>
              <w:bottom w:val="single" w:color="auto" w:sz="4" w:space="0"/>
              <w:right w:val="single" w:color="auto" w:sz="4" w:space="0"/>
            </w:tcBorders>
            <w:noWrap w:val="0"/>
            <w:vAlign w:val="center"/>
          </w:tcPr>
          <w:p w14:paraId="29A91D61">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根据对本项目需求深入了解，针对项目推进和实施中可能会出现的问题和存在的困难，进行客观仔细地分析，并结合实际情况，提出合理化建议以及解决对策</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是否与采购需求符合性匹配度进行</w:t>
            </w:r>
            <w:r>
              <w:rPr>
                <w:rFonts w:hint="default" w:ascii="Times New Roman" w:hAnsi="Times New Roman" w:eastAsia="宋体" w:cs="Times New Roman"/>
                <w:color w:val="auto"/>
                <w:sz w:val="21"/>
                <w:szCs w:val="21"/>
                <w:highlight w:val="none"/>
                <w:lang w:eastAsia="zh-CN"/>
              </w:rPr>
              <w:t>评</w:t>
            </w:r>
            <w:r>
              <w:rPr>
                <w:rFonts w:hint="default" w:ascii="Times New Roman" w:hAnsi="Times New Roman" w:eastAsia="宋体" w:cs="Times New Roman"/>
                <w:color w:val="auto"/>
                <w:sz w:val="21"/>
                <w:szCs w:val="21"/>
                <w:highlight w:val="none"/>
              </w:rPr>
              <w:t>分</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bCs/>
                <w:color w:val="auto"/>
                <w:kern w:val="0"/>
                <w:sz w:val="21"/>
                <w:szCs w:val="21"/>
                <w:highlight w:val="none"/>
              </w:rPr>
              <w:t>评分范围：3</w:t>
            </w:r>
            <w:r>
              <w:rPr>
                <w:rFonts w:hint="eastAsia" w:ascii="Times New Roman" w:hAnsi="Times New Roman" w:eastAsia="宋体" w:cs="Times New Roman"/>
                <w:b/>
                <w:bCs/>
                <w:color w:val="auto"/>
                <w:kern w:val="0"/>
                <w:sz w:val="21"/>
                <w:szCs w:val="21"/>
                <w:highlight w:val="none"/>
                <w:lang w:eastAsia="zh-CN"/>
              </w:rPr>
              <w:t>分，</w:t>
            </w:r>
            <w:r>
              <w:rPr>
                <w:rFonts w:hint="default" w:ascii="Times New Roman" w:hAnsi="Times New Roman" w:eastAsia="宋体" w:cs="Times New Roman"/>
                <w:b/>
                <w:bCs/>
                <w:color w:val="auto"/>
                <w:kern w:val="0"/>
                <w:sz w:val="21"/>
                <w:szCs w:val="21"/>
                <w:highlight w:val="none"/>
              </w:rPr>
              <w:t>2</w:t>
            </w:r>
            <w:r>
              <w:rPr>
                <w:rFonts w:hint="eastAsia" w:ascii="Times New Roman" w:hAnsi="Times New Roman" w:eastAsia="宋体" w:cs="Times New Roman"/>
                <w:b/>
                <w:bCs/>
                <w:color w:val="auto"/>
                <w:kern w:val="0"/>
                <w:sz w:val="21"/>
                <w:szCs w:val="21"/>
                <w:highlight w:val="none"/>
                <w:lang w:eastAsia="zh-CN"/>
              </w:rPr>
              <w:t>分，</w:t>
            </w:r>
            <w:r>
              <w:rPr>
                <w:rFonts w:hint="default" w:ascii="Times New Roman" w:hAnsi="Times New Roman" w:eastAsia="宋体" w:cs="Times New Roman"/>
                <w:b/>
                <w:bCs/>
                <w:color w:val="auto"/>
                <w:kern w:val="0"/>
                <w:sz w:val="21"/>
                <w:szCs w:val="21"/>
                <w:highlight w:val="none"/>
              </w:rPr>
              <w:t>1</w:t>
            </w:r>
            <w:r>
              <w:rPr>
                <w:rFonts w:hint="eastAsia" w:ascii="Times New Roman" w:hAnsi="Times New Roman" w:eastAsia="宋体" w:cs="Times New Roman"/>
                <w:b/>
                <w:bCs/>
                <w:color w:val="auto"/>
                <w:kern w:val="0"/>
                <w:sz w:val="21"/>
                <w:szCs w:val="21"/>
                <w:highlight w:val="none"/>
                <w:lang w:eastAsia="zh-CN"/>
              </w:rPr>
              <w:t>分，</w:t>
            </w:r>
            <w:r>
              <w:rPr>
                <w:rFonts w:hint="default" w:ascii="Times New Roman" w:hAnsi="Times New Roman" w:eastAsia="宋体" w:cs="Times New Roman"/>
                <w:b/>
                <w:bCs/>
                <w:color w:val="auto"/>
                <w:kern w:val="0"/>
                <w:sz w:val="21"/>
                <w:szCs w:val="21"/>
                <w:highlight w:val="none"/>
              </w:rPr>
              <w:t>没有不得分</w:t>
            </w:r>
            <w:r>
              <w:rPr>
                <w:rFonts w:hint="default" w:ascii="Times New Roman" w:hAnsi="Times New Roman" w:eastAsia="宋体" w:cs="Times New Roman"/>
                <w:color w:val="auto"/>
                <w:sz w:val="21"/>
                <w:szCs w:val="21"/>
                <w:highlight w:val="none"/>
              </w:rPr>
              <w:t>）</w:t>
            </w:r>
          </w:p>
        </w:tc>
      </w:tr>
    </w:tbl>
    <w:p w14:paraId="077D4A57">
      <w:pPr>
        <w:keepNext w:val="0"/>
        <w:keepLines w:val="0"/>
        <w:pageBreakBefore w:val="0"/>
        <w:kinsoku/>
        <w:wordWrap/>
        <w:overflowPunct/>
        <w:topLinePunct w:val="0"/>
        <w:autoSpaceDE/>
        <w:autoSpaceDN/>
        <w:bidi w:val="0"/>
        <w:spacing w:line="360" w:lineRule="auto"/>
        <w:ind w:firstLine="426" w:firstLineChars="200"/>
        <w:textAlignment w:val="auto"/>
        <w:outlineLvl w:val="0"/>
        <w:rPr>
          <w:rFonts w:hint="default" w:ascii="Times New Roman" w:hAnsi="Times New Roman" w:cs="Times New Roman"/>
          <w:b/>
          <w:szCs w:val="21"/>
          <w:highlight w:val="none"/>
        </w:rPr>
      </w:pPr>
      <w:r>
        <w:rPr>
          <w:rFonts w:hint="default" w:ascii="Times New Roman" w:hAnsi="Times New Roman" w:cs="Times New Roman"/>
          <w:b/>
          <w:szCs w:val="21"/>
          <w:highlight w:val="none"/>
        </w:rPr>
        <w:t>(二)商务报价评分（</w:t>
      </w:r>
      <w:r>
        <w:rPr>
          <w:rFonts w:hint="eastAsia" w:cs="Times New Roman"/>
          <w:b/>
          <w:szCs w:val="21"/>
          <w:highlight w:val="none"/>
          <w:lang w:val="en-US" w:eastAsia="zh-CN"/>
        </w:rPr>
        <w:t>10</w:t>
      </w:r>
      <w:r>
        <w:rPr>
          <w:rFonts w:hint="default" w:ascii="Times New Roman" w:hAnsi="Times New Roman" w:cs="Times New Roman"/>
          <w:b/>
          <w:szCs w:val="21"/>
          <w:highlight w:val="none"/>
        </w:rPr>
        <w:t>分）</w:t>
      </w:r>
      <w:bookmarkEnd w:id="27"/>
      <w:bookmarkEnd w:id="28"/>
    </w:p>
    <w:bookmarkEnd w:id="26"/>
    <w:p w14:paraId="2D30898B">
      <w:pPr>
        <w:keepNext w:val="0"/>
        <w:keepLines w:val="0"/>
        <w:pageBreakBefore w:val="0"/>
        <w:kinsoku/>
        <w:wordWrap/>
        <w:overflowPunct/>
        <w:topLinePunct w:val="0"/>
        <w:autoSpaceDE/>
        <w:autoSpaceDN/>
        <w:bidi w:val="0"/>
        <w:adjustRightInd w:val="0"/>
        <w:snapToGrid w:val="0"/>
        <w:spacing w:line="360" w:lineRule="auto"/>
        <w:ind w:firstLine="426" w:firstLineChars="200"/>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各供应商的报价得分统一采用低价优先法计算，即满足磋商文件要求且最后价格最低的报价为评标基准价，其价格分为满分。其他供应商的报价得分统一按照下列公式计算：</w:t>
      </w:r>
    </w:p>
    <w:p w14:paraId="1B2DC0FE">
      <w:pPr>
        <w:keepNext w:val="0"/>
        <w:keepLines w:val="0"/>
        <w:pageBreakBefore w:val="0"/>
        <w:kinsoku/>
        <w:wordWrap/>
        <w:overflowPunct/>
        <w:topLinePunct w:val="0"/>
        <w:autoSpaceDE/>
        <w:autoSpaceDN/>
        <w:bidi w:val="0"/>
        <w:adjustRightInd w:val="0"/>
        <w:snapToGrid w:val="0"/>
        <w:spacing w:line="360" w:lineRule="auto"/>
        <w:ind w:firstLine="426" w:firstLineChars="200"/>
        <w:textAlignment w:val="auto"/>
        <w:rPr>
          <w:rFonts w:hint="default" w:ascii="Times New Roman" w:hAnsi="Times New Roman" w:cs="Times New Roman"/>
          <w:bCs/>
          <w:highlight w:val="none"/>
        </w:rPr>
      </w:pPr>
      <w:r>
        <w:rPr>
          <w:rFonts w:hint="default" w:ascii="Times New Roman" w:hAnsi="Times New Roman" w:cs="Times New Roman"/>
          <w:szCs w:val="21"/>
          <w:highlight w:val="none"/>
        </w:rPr>
        <w:t>报价得分=（评标基准价/最后报价）×价格权值（即</w:t>
      </w:r>
      <w:r>
        <w:rPr>
          <w:rFonts w:hint="eastAsia" w:cs="Times New Roman"/>
          <w:bCs/>
          <w:highlight w:val="none"/>
          <w:lang w:val="en-US" w:eastAsia="zh-CN"/>
        </w:rPr>
        <w:t>10</w:t>
      </w:r>
      <w:r>
        <w:rPr>
          <w:rFonts w:hint="default" w:ascii="Times New Roman" w:hAnsi="Times New Roman" w:cs="Times New Roman"/>
          <w:szCs w:val="21"/>
          <w:highlight w:val="none"/>
        </w:rPr>
        <w:t>%）×100</w:t>
      </w:r>
    </w:p>
    <w:p w14:paraId="16FCD528">
      <w:pPr>
        <w:keepNext w:val="0"/>
        <w:keepLines w:val="0"/>
        <w:pageBreakBefore w:val="0"/>
        <w:kinsoku/>
        <w:wordWrap/>
        <w:overflowPunct/>
        <w:topLinePunct w:val="0"/>
        <w:autoSpaceDE/>
        <w:autoSpaceDN/>
        <w:bidi w:val="0"/>
        <w:spacing w:line="360" w:lineRule="auto"/>
        <w:ind w:firstLine="426" w:firstLineChars="200"/>
        <w:textAlignment w:val="auto"/>
        <w:rPr>
          <w:rFonts w:hint="default" w:ascii="Times New Roman" w:hAnsi="Times New Roman" w:cs="Times New Roman"/>
          <w:highlight w:val="none"/>
        </w:rPr>
      </w:pPr>
      <w:r>
        <w:rPr>
          <w:rFonts w:hint="default" w:ascii="Times New Roman" w:hAnsi="Times New Roman" w:cs="Times New Roman"/>
          <w:bCs/>
          <w:highlight w:val="none"/>
        </w:rPr>
        <w:t>评标委员会在评审时发现供应商得报价明显高于其市场报价或明显低于其他通过符合性审查的投标人报价的，应当要求供应商书面说明并提供相关证明材料。供应商不能当场合理说明原因并提供证明材料的，评标委员会应将该供应商的投标文件作无效处理，并在评审报告中说明。</w:t>
      </w:r>
    </w:p>
    <w:p w14:paraId="23B8975E">
      <w:pPr>
        <w:keepNext w:val="0"/>
        <w:keepLines w:val="0"/>
        <w:pageBreakBefore w:val="0"/>
        <w:kinsoku/>
        <w:wordWrap/>
        <w:overflowPunct/>
        <w:topLinePunct w:val="0"/>
        <w:autoSpaceDE/>
        <w:autoSpaceDN/>
        <w:bidi w:val="0"/>
        <w:spacing w:line="360" w:lineRule="auto"/>
        <w:ind w:firstLine="426" w:firstLineChars="200"/>
        <w:textAlignment w:val="auto"/>
        <w:outlineLvl w:val="0"/>
        <w:rPr>
          <w:rFonts w:hint="default" w:ascii="Times New Roman" w:hAnsi="Times New Roman" w:cs="Times New Roman"/>
          <w:szCs w:val="21"/>
          <w:highlight w:val="none"/>
        </w:rPr>
      </w:pPr>
      <w:bookmarkStart w:id="29" w:name="_Toc4307"/>
      <w:bookmarkStart w:id="30" w:name="_Toc12525"/>
      <w:r>
        <w:rPr>
          <w:rFonts w:hint="default" w:ascii="Times New Roman" w:hAnsi="Times New Roman" w:cs="Times New Roman"/>
          <w:szCs w:val="21"/>
          <w:highlight w:val="none"/>
        </w:rPr>
        <w:t>所有供应商的商务报价均超出上限价，本次招标失败，应重新组织招标。</w:t>
      </w:r>
      <w:bookmarkEnd w:id="29"/>
      <w:bookmarkStart w:id="31" w:name="_Toc24489"/>
      <w:r>
        <w:rPr>
          <w:rFonts w:hint="default" w:ascii="Times New Roman" w:hAnsi="Times New Roman" w:cs="Times New Roman"/>
          <w:szCs w:val="21"/>
          <w:highlight w:val="none"/>
        </w:rPr>
        <w:t>有效供应商的综合得分为技术分和商务分的总和。</w:t>
      </w:r>
      <w:bookmarkEnd w:id="30"/>
      <w:bookmarkEnd w:id="31"/>
    </w:p>
    <w:p w14:paraId="6B2D25B8">
      <w:pPr>
        <w:keepNext w:val="0"/>
        <w:keepLines w:val="0"/>
        <w:pageBreakBefore w:val="0"/>
        <w:widowControl w:val="0"/>
        <w:kinsoku/>
        <w:wordWrap/>
        <w:overflowPunct/>
        <w:topLinePunct w:val="0"/>
        <w:autoSpaceDE/>
        <w:autoSpaceDN/>
        <w:bidi w:val="0"/>
        <w:spacing w:line="360" w:lineRule="auto"/>
        <w:ind w:firstLine="426" w:firstLineChars="200"/>
        <w:jc w:val="both"/>
        <w:textAlignment w:val="auto"/>
        <w:outlineLvl w:val="0"/>
        <w:rPr>
          <w:rFonts w:hint="default" w:ascii="Times New Roman" w:hAnsi="Times New Roman" w:cs="Times New Roman"/>
          <w:szCs w:val="21"/>
          <w:highlight w:val="none"/>
        </w:rPr>
      </w:pPr>
      <w:bookmarkStart w:id="32" w:name="_Toc22781"/>
      <w:bookmarkStart w:id="33" w:name="_Toc32402"/>
      <w:r>
        <w:rPr>
          <w:rFonts w:hint="default" w:ascii="Times New Roman" w:hAnsi="Times New Roman" w:cs="Times New Roman"/>
          <w:szCs w:val="21"/>
          <w:highlight w:val="none"/>
        </w:rPr>
        <w:t>（三）评标委员会按综合得分高低顺序排列，综合得分前3名供应商作为推荐中标候选人，并提交评标报告。得分相同的，按投标报价由低到高顺序排列。得分相同报价也相同的，由评委投票决定排序。</w:t>
      </w:r>
      <w:bookmarkEnd w:id="32"/>
      <w:bookmarkEnd w:id="33"/>
    </w:p>
    <w:p w14:paraId="2ED48B6B">
      <w:pPr>
        <w:keepNext w:val="0"/>
        <w:keepLines w:val="0"/>
        <w:pageBreakBefore w:val="0"/>
        <w:widowControl w:val="0"/>
        <w:kinsoku/>
        <w:wordWrap/>
        <w:overflowPunct/>
        <w:topLinePunct w:val="0"/>
        <w:autoSpaceDE/>
        <w:autoSpaceDN/>
        <w:bidi w:val="0"/>
        <w:spacing w:line="360" w:lineRule="auto"/>
        <w:ind w:firstLine="426" w:firstLineChars="200"/>
        <w:jc w:val="both"/>
        <w:textAlignment w:val="auto"/>
        <w:outlineLvl w:val="0"/>
        <w:rPr>
          <w:rFonts w:hint="default" w:ascii="Times New Roman" w:hAnsi="Times New Roman" w:cs="Times New Roman"/>
          <w:szCs w:val="21"/>
          <w:highlight w:val="none"/>
        </w:rPr>
      </w:pPr>
      <w:bookmarkStart w:id="34" w:name="_Toc2138"/>
      <w:bookmarkStart w:id="35" w:name="_Toc10349"/>
      <w:r>
        <w:rPr>
          <w:rFonts w:hint="default" w:ascii="Times New Roman" w:hAnsi="Times New Roman" w:cs="Times New Roman"/>
          <w:szCs w:val="21"/>
          <w:highlight w:val="none"/>
        </w:rPr>
        <w:t>（四）本办法解释权归采购人所有。</w:t>
      </w:r>
      <w:bookmarkEnd w:id="34"/>
      <w:bookmarkEnd w:id="35"/>
    </w:p>
    <w:p w14:paraId="74045276">
      <w:pPr>
        <w:pStyle w:val="4"/>
        <w:keepNext w:val="0"/>
        <w:keepLines w:val="0"/>
        <w:pageBreakBefore/>
        <w:spacing w:beforeLines="100" w:afterLines="100" w:line="240" w:lineRule="auto"/>
        <w:jc w:val="center"/>
        <w:rPr>
          <w:rFonts w:ascii="Arial" w:hAnsi="Arial" w:cs="Arial"/>
          <w:sz w:val="28"/>
          <w:szCs w:val="36"/>
          <w:highlight w:val="none"/>
        </w:rPr>
      </w:pPr>
      <w:bookmarkStart w:id="36" w:name="_Toc22727"/>
      <w:r>
        <w:rPr>
          <w:rFonts w:hint="eastAsia" w:ascii="Arial" w:hAnsi="Arial" w:cs="Arial"/>
          <w:sz w:val="28"/>
          <w:szCs w:val="36"/>
          <w:highlight w:val="none"/>
        </w:rPr>
        <w:t>第六部分竞争性磋商响应文件格式</w:t>
      </w:r>
      <w:bookmarkEnd w:id="36"/>
    </w:p>
    <w:p w14:paraId="4271368E">
      <w:pPr>
        <w:snapToGrid w:val="0"/>
        <w:spacing w:beforeLines="200" w:afterLines="50"/>
        <w:jc w:val="center"/>
        <w:rPr>
          <w:rFonts w:ascii="Arial" w:hAnsi="Arial" w:cs="Arial"/>
          <w:b/>
          <w:bCs/>
          <w:sz w:val="28"/>
          <w:highlight w:val="none"/>
        </w:rPr>
      </w:pPr>
      <w:r>
        <w:rPr>
          <w:rFonts w:ascii="Arial" w:hAnsi="Arial" w:cs="Arial"/>
          <w:b/>
          <w:bCs/>
          <w:sz w:val="28"/>
          <w:highlight w:val="none"/>
        </w:rPr>
        <w:t>竞争性磋商供应商提交竞争性磋商响应文件须知</w:t>
      </w:r>
    </w:p>
    <w:p w14:paraId="492C5AFE">
      <w:pPr>
        <w:snapToGrid w:val="0"/>
        <w:jc w:val="center"/>
        <w:rPr>
          <w:rFonts w:ascii="Arial" w:hAnsi="Arial" w:cs="Arial"/>
          <w:sz w:val="28"/>
          <w:szCs w:val="21"/>
          <w:highlight w:val="none"/>
        </w:rPr>
      </w:pPr>
    </w:p>
    <w:p w14:paraId="5718DACF">
      <w:pPr>
        <w:pStyle w:val="74"/>
        <w:numPr>
          <w:ilvl w:val="1"/>
          <w:numId w:val="9"/>
        </w:numPr>
        <w:snapToGrid w:val="0"/>
        <w:spacing w:line="360" w:lineRule="auto"/>
        <w:ind w:left="850" w:hanging="357" w:firstLineChars="0"/>
        <w:rPr>
          <w:rFonts w:ascii="Arial" w:hAnsi="Arial" w:cs="Arial"/>
          <w:szCs w:val="22"/>
          <w:highlight w:val="none"/>
        </w:rPr>
      </w:pPr>
      <w:r>
        <w:rPr>
          <w:rFonts w:ascii="Arial" w:hAnsi="Arial" w:cs="Arial"/>
          <w:szCs w:val="22"/>
          <w:highlight w:val="none"/>
        </w:rPr>
        <w:t>竞争性磋商供应商应严格按照竞争性磋商响应文件的组成提交下述规定的全部格式文件以及其他有关资料，混乱的编排导致竞争性磋商响应文件被误读或采购代理机构、竞争性磋商小组查找不到有效文件是竞争性磋商供应商的风险。</w:t>
      </w:r>
    </w:p>
    <w:p w14:paraId="3807E15A">
      <w:pPr>
        <w:pStyle w:val="74"/>
        <w:numPr>
          <w:ilvl w:val="1"/>
          <w:numId w:val="9"/>
        </w:numPr>
        <w:snapToGrid w:val="0"/>
        <w:spacing w:line="360" w:lineRule="auto"/>
        <w:ind w:left="850" w:hanging="357" w:firstLineChars="0"/>
        <w:rPr>
          <w:rFonts w:ascii="Arial" w:hAnsi="Arial" w:cs="Arial"/>
          <w:szCs w:val="22"/>
          <w:highlight w:val="none"/>
        </w:rPr>
      </w:pPr>
      <w:r>
        <w:rPr>
          <w:rFonts w:ascii="Arial" w:hAnsi="Arial" w:cs="Arial"/>
          <w:szCs w:val="22"/>
          <w:highlight w:val="none"/>
        </w:rPr>
        <w:t>所附表格中要求回答的全部问题和/或信息都必须正面回答。</w:t>
      </w:r>
    </w:p>
    <w:p w14:paraId="656DB790">
      <w:pPr>
        <w:pStyle w:val="74"/>
        <w:numPr>
          <w:ilvl w:val="1"/>
          <w:numId w:val="9"/>
        </w:numPr>
        <w:snapToGrid w:val="0"/>
        <w:spacing w:line="360" w:lineRule="auto"/>
        <w:ind w:left="850" w:hanging="357" w:firstLineChars="0"/>
        <w:rPr>
          <w:rFonts w:ascii="Arial" w:hAnsi="Arial" w:cs="Arial"/>
          <w:szCs w:val="22"/>
          <w:highlight w:val="none"/>
        </w:rPr>
      </w:pPr>
      <w:r>
        <w:rPr>
          <w:rFonts w:ascii="Arial" w:hAnsi="Arial" w:cs="Arial"/>
          <w:szCs w:val="22"/>
          <w:highlight w:val="none"/>
        </w:rPr>
        <w:t>本资格声明的签字人应保证全部声明和问题的回答是真实的和准确的。</w:t>
      </w:r>
    </w:p>
    <w:p w14:paraId="6D25754E">
      <w:pPr>
        <w:pStyle w:val="74"/>
        <w:numPr>
          <w:ilvl w:val="1"/>
          <w:numId w:val="9"/>
        </w:numPr>
        <w:snapToGrid w:val="0"/>
        <w:spacing w:line="360" w:lineRule="auto"/>
        <w:ind w:left="850" w:hanging="357" w:firstLineChars="0"/>
        <w:rPr>
          <w:rFonts w:ascii="Arial" w:hAnsi="Arial" w:cs="Arial"/>
          <w:szCs w:val="22"/>
          <w:highlight w:val="none"/>
        </w:rPr>
      </w:pPr>
      <w:r>
        <w:rPr>
          <w:rFonts w:ascii="Arial" w:hAnsi="Arial" w:cs="Arial"/>
          <w:szCs w:val="22"/>
          <w:highlight w:val="none"/>
        </w:rPr>
        <w:t>采购代理机构将应用竞争性磋商供应商提交的资料根据自己的判断和考虑决定竞争性磋商供应商履行合同的合格性及能力。</w:t>
      </w:r>
    </w:p>
    <w:p w14:paraId="32796B6B">
      <w:pPr>
        <w:pStyle w:val="74"/>
        <w:numPr>
          <w:ilvl w:val="1"/>
          <w:numId w:val="9"/>
        </w:numPr>
        <w:snapToGrid w:val="0"/>
        <w:spacing w:line="360" w:lineRule="auto"/>
        <w:ind w:left="850" w:hanging="357" w:firstLineChars="0"/>
        <w:rPr>
          <w:rFonts w:ascii="Arial" w:hAnsi="Arial" w:cs="Arial"/>
          <w:szCs w:val="22"/>
          <w:highlight w:val="none"/>
        </w:rPr>
      </w:pPr>
      <w:r>
        <w:rPr>
          <w:rFonts w:ascii="Arial" w:hAnsi="Arial" w:cs="Arial"/>
          <w:szCs w:val="22"/>
          <w:highlight w:val="none"/>
        </w:rPr>
        <w:t>竞争性磋商供应商提交的材料将被保密保存，但不退还。</w:t>
      </w:r>
    </w:p>
    <w:p w14:paraId="569124F2">
      <w:pPr>
        <w:pStyle w:val="74"/>
        <w:numPr>
          <w:ilvl w:val="1"/>
          <w:numId w:val="9"/>
        </w:numPr>
        <w:snapToGrid w:val="0"/>
        <w:spacing w:line="360" w:lineRule="auto"/>
        <w:ind w:left="850" w:hanging="357" w:firstLineChars="0"/>
        <w:rPr>
          <w:rFonts w:ascii="Arial" w:hAnsi="Arial" w:cs="Arial"/>
          <w:highlight w:val="none"/>
        </w:rPr>
      </w:pPr>
      <w:r>
        <w:rPr>
          <w:rFonts w:ascii="Arial" w:hAnsi="Arial" w:cs="Arial"/>
          <w:szCs w:val="22"/>
          <w:highlight w:val="none"/>
        </w:rPr>
        <w:t>全部文件应按竞争性磋商供应商须知中规定的语言提交。</w:t>
      </w:r>
    </w:p>
    <w:p w14:paraId="7DB3CA89">
      <w:pPr>
        <w:pStyle w:val="74"/>
        <w:snapToGrid w:val="0"/>
        <w:spacing w:line="400" w:lineRule="exact"/>
        <w:ind w:left="851" w:firstLine="0" w:firstLineChars="0"/>
        <w:rPr>
          <w:rFonts w:ascii="Arial" w:hAnsi="Arial" w:cs="Arial"/>
          <w:highlight w:val="none"/>
        </w:rPr>
      </w:pPr>
    </w:p>
    <w:p w14:paraId="4AF94689">
      <w:pPr>
        <w:rPr>
          <w:rFonts w:ascii="Arial" w:hAnsi="Arial" w:cs="Arial"/>
          <w:szCs w:val="21"/>
          <w:highlight w:val="none"/>
        </w:rPr>
      </w:pPr>
    </w:p>
    <w:p w14:paraId="3A0F9D21">
      <w:pPr>
        <w:jc w:val="center"/>
        <w:outlineLvl w:val="1"/>
        <w:rPr>
          <w:b/>
          <w:sz w:val="28"/>
          <w:highlight w:val="none"/>
        </w:rPr>
        <w:sectPr>
          <w:headerReference r:id="rId13" w:type="default"/>
          <w:footerReference r:id="rId14" w:type="default"/>
          <w:pgSz w:w="11849" w:h="16781"/>
          <w:pgMar w:top="1417" w:right="1417" w:bottom="1417" w:left="1417" w:header="850" w:footer="992" w:gutter="0"/>
          <w:pgNumType w:fmt="decimal"/>
          <w:cols w:space="0" w:num="1"/>
          <w:rtlGutter w:val="0"/>
          <w:docGrid w:type="linesAndChars" w:linePitch="324" w:charSpace="819"/>
        </w:sectPr>
      </w:pPr>
    </w:p>
    <w:p w14:paraId="399DDDFB">
      <w:pPr>
        <w:rPr>
          <w:rFonts w:ascii="宋体" w:hAnsi="宋体" w:cs="宋体"/>
          <w:b/>
          <w:sz w:val="30"/>
          <w:szCs w:val="30"/>
          <w:highlight w:val="none"/>
        </w:rPr>
      </w:pPr>
      <w:r>
        <w:rPr>
          <w:rFonts w:hint="eastAsia" w:ascii="宋体" w:hAnsi="宋体" w:cs="宋体"/>
          <w:b/>
          <w:sz w:val="30"/>
          <w:szCs w:val="30"/>
          <w:highlight w:val="none"/>
        </w:rPr>
        <w:t>附件一              投标文件封面（格式供参考）</w:t>
      </w:r>
    </w:p>
    <w:p w14:paraId="2E556D9C">
      <w:pPr>
        <w:autoSpaceDE w:val="0"/>
        <w:autoSpaceDN w:val="0"/>
        <w:adjustRightInd w:val="0"/>
        <w:spacing w:line="360" w:lineRule="auto"/>
        <w:rPr>
          <w:rFonts w:ascii="宋体" w:hAnsi="宋体" w:cs="宋体"/>
          <w:b/>
          <w:sz w:val="32"/>
          <w:szCs w:val="32"/>
          <w:highlight w:val="none"/>
        </w:rPr>
      </w:pPr>
      <w:r>
        <w:rPr>
          <w:rFonts w:hint="eastAsia" w:ascii="宋体" w:hAnsi="宋体" w:cs="宋体"/>
          <w:b/>
          <w:sz w:val="32"/>
          <w:szCs w:val="32"/>
          <w:highlight w:val="none"/>
        </w:rPr>
        <w:t>投标文件封面</w:t>
      </w:r>
    </w:p>
    <w:p w14:paraId="1F1F5FA4">
      <w:pPr>
        <w:autoSpaceDE w:val="0"/>
        <w:autoSpaceDN w:val="0"/>
        <w:adjustRightInd w:val="0"/>
        <w:spacing w:line="360" w:lineRule="auto"/>
        <w:jc w:val="right"/>
        <w:rPr>
          <w:rFonts w:ascii="宋体" w:hAnsi="宋体" w:cs="宋体"/>
          <w:b/>
          <w:sz w:val="28"/>
          <w:szCs w:val="28"/>
          <w:highlight w:val="none"/>
        </w:rPr>
      </w:pPr>
      <w:r>
        <w:rPr>
          <w:rFonts w:hint="eastAsia" w:ascii="宋体" w:hAnsi="宋体" w:cs="宋体"/>
          <w:b/>
          <w:sz w:val="28"/>
          <w:szCs w:val="28"/>
          <w:highlight w:val="none"/>
        </w:rPr>
        <w:t>正本/副本</w:t>
      </w:r>
    </w:p>
    <w:p w14:paraId="6667248A">
      <w:pPr>
        <w:autoSpaceDE w:val="0"/>
        <w:autoSpaceDN w:val="0"/>
        <w:adjustRightInd w:val="0"/>
        <w:spacing w:line="360" w:lineRule="auto"/>
        <w:jc w:val="center"/>
        <w:rPr>
          <w:rFonts w:ascii="宋体" w:hAnsi="宋体" w:cs="宋体"/>
          <w:b/>
          <w:sz w:val="48"/>
          <w:szCs w:val="48"/>
          <w:highlight w:val="none"/>
        </w:rPr>
      </w:pPr>
    </w:p>
    <w:p w14:paraId="3937394D">
      <w:pPr>
        <w:autoSpaceDE w:val="0"/>
        <w:autoSpaceDN w:val="0"/>
        <w:adjustRightInd w:val="0"/>
        <w:spacing w:line="360" w:lineRule="auto"/>
        <w:jc w:val="center"/>
        <w:rPr>
          <w:rFonts w:ascii="宋体" w:hAnsi="宋体" w:cs="宋体"/>
          <w:b/>
          <w:sz w:val="48"/>
          <w:szCs w:val="48"/>
          <w:highlight w:val="none"/>
        </w:rPr>
      </w:pPr>
    </w:p>
    <w:p w14:paraId="03095062">
      <w:pPr>
        <w:autoSpaceDE w:val="0"/>
        <w:autoSpaceDN w:val="0"/>
        <w:adjustRightInd w:val="0"/>
        <w:spacing w:line="360" w:lineRule="auto"/>
        <w:jc w:val="center"/>
        <w:rPr>
          <w:rFonts w:ascii="宋体" w:hAnsi="宋体" w:cs="宋体"/>
          <w:b/>
          <w:sz w:val="48"/>
          <w:szCs w:val="48"/>
          <w:highlight w:val="none"/>
        </w:rPr>
      </w:pPr>
      <w:r>
        <w:rPr>
          <w:rFonts w:hint="eastAsia" w:ascii="宋体" w:hAnsi="宋体" w:cs="宋体"/>
          <w:b/>
          <w:sz w:val="48"/>
          <w:szCs w:val="48"/>
          <w:highlight w:val="none"/>
        </w:rPr>
        <w:t>竞争性磋商响应性文件</w:t>
      </w:r>
    </w:p>
    <w:p w14:paraId="60F051B4">
      <w:pPr>
        <w:autoSpaceDE w:val="0"/>
        <w:autoSpaceDN w:val="0"/>
        <w:adjustRightInd w:val="0"/>
        <w:spacing w:line="360" w:lineRule="auto"/>
        <w:rPr>
          <w:rFonts w:ascii="宋体" w:hAnsi="宋体" w:cs="宋体"/>
          <w:b/>
          <w:sz w:val="32"/>
          <w:szCs w:val="32"/>
          <w:highlight w:val="none"/>
        </w:rPr>
      </w:pPr>
    </w:p>
    <w:p w14:paraId="3D9F65EE">
      <w:pPr>
        <w:autoSpaceDE w:val="0"/>
        <w:autoSpaceDN w:val="0"/>
        <w:adjustRightInd w:val="0"/>
        <w:spacing w:line="360" w:lineRule="auto"/>
        <w:jc w:val="center"/>
        <w:rPr>
          <w:rFonts w:hint="eastAsia" w:ascii="宋体" w:hAnsi="宋体" w:eastAsia="宋体" w:cs="宋体"/>
          <w:b/>
          <w:sz w:val="32"/>
          <w:szCs w:val="32"/>
          <w:highlight w:val="none"/>
          <w:lang w:eastAsia="zh-CN"/>
        </w:rPr>
      </w:pPr>
      <w:r>
        <w:rPr>
          <w:rFonts w:hint="eastAsia" w:ascii="宋体" w:hAnsi="宋体" w:cs="宋体"/>
          <w:b/>
          <w:sz w:val="32"/>
          <w:szCs w:val="32"/>
          <w:highlight w:val="none"/>
          <w:lang w:eastAsia="zh-CN"/>
        </w:rPr>
        <w:t>（</w:t>
      </w:r>
      <w:r>
        <w:rPr>
          <w:rFonts w:hint="eastAsia" w:ascii="宋体" w:hAnsi="宋体" w:cs="宋体"/>
          <w:b/>
          <w:sz w:val="32"/>
          <w:szCs w:val="32"/>
          <w:highlight w:val="none"/>
          <w:lang w:val="en-US" w:eastAsia="zh-CN"/>
        </w:rPr>
        <w:t>资格响应文件/商务技术响应文件/报价响应文件</w:t>
      </w:r>
      <w:r>
        <w:rPr>
          <w:rFonts w:hint="eastAsia" w:ascii="宋体" w:hAnsi="宋体" w:cs="宋体"/>
          <w:b/>
          <w:sz w:val="32"/>
          <w:szCs w:val="32"/>
          <w:highlight w:val="none"/>
          <w:lang w:eastAsia="zh-CN"/>
        </w:rPr>
        <w:t>）</w:t>
      </w:r>
    </w:p>
    <w:p w14:paraId="48C61F2B">
      <w:pPr>
        <w:autoSpaceDE w:val="0"/>
        <w:autoSpaceDN w:val="0"/>
        <w:adjustRightInd w:val="0"/>
        <w:spacing w:line="360" w:lineRule="auto"/>
        <w:rPr>
          <w:rFonts w:ascii="宋体" w:hAnsi="宋体" w:cs="宋体"/>
          <w:b/>
          <w:sz w:val="32"/>
          <w:szCs w:val="32"/>
          <w:highlight w:val="none"/>
        </w:rPr>
      </w:pPr>
    </w:p>
    <w:p w14:paraId="26E4FDB8">
      <w:pPr>
        <w:autoSpaceDE w:val="0"/>
        <w:autoSpaceDN w:val="0"/>
        <w:adjustRightInd w:val="0"/>
        <w:spacing w:line="360" w:lineRule="auto"/>
        <w:rPr>
          <w:rFonts w:ascii="宋体" w:hAnsi="宋体" w:cs="宋体"/>
          <w:b/>
          <w:sz w:val="32"/>
          <w:szCs w:val="32"/>
          <w:highlight w:val="none"/>
        </w:rPr>
      </w:pPr>
    </w:p>
    <w:p w14:paraId="5F7B33E0">
      <w:pPr>
        <w:autoSpaceDE w:val="0"/>
        <w:autoSpaceDN w:val="0"/>
        <w:adjustRightInd w:val="0"/>
        <w:spacing w:line="360" w:lineRule="auto"/>
        <w:rPr>
          <w:rFonts w:hint="eastAsia" w:ascii="宋体" w:hAnsi="宋体" w:cs="宋体"/>
          <w:b/>
          <w:sz w:val="32"/>
          <w:szCs w:val="32"/>
          <w:highlight w:val="none"/>
        </w:rPr>
      </w:pPr>
      <w:r>
        <w:rPr>
          <w:rFonts w:hint="eastAsia" w:ascii="宋体" w:hAnsi="宋体" w:cs="宋体"/>
          <w:b/>
          <w:sz w:val="32"/>
          <w:szCs w:val="32"/>
          <w:highlight w:val="none"/>
        </w:rPr>
        <w:t>项目名称：</w:t>
      </w:r>
    </w:p>
    <w:p w14:paraId="32A3E16B">
      <w:pPr>
        <w:autoSpaceDE w:val="0"/>
        <w:autoSpaceDN w:val="0"/>
        <w:adjustRightInd w:val="0"/>
        <w:spacing w:line="360" w:lineRule="auto"/>
        <w:rPr>
          <w:rFonts w:hint="eastAsia" w:ascii="宋体" w:hAnsi="宋体" w:eastAsia="宋体" w:cs="宋体"/>
          <w:b/>
          <w:sz w:val="32"/>
          <w:szCs w:val="32"/>
          <w:highlight w:val="none"/>
          <w:lang w:eastAsia="zh-CN"/>
        </w:rPr>
      </w:pPr>
      <w:r>
        <w:rPr>
          <w:rFonts w:hint="eastAsia" w:ascii="宋体" w:hAnsi="宋体" w:cs="宋体"/>
          <w:b/>
          <w:sz w:val="32"/>
          <w:szCs w:val="32"/>
          <w:highlight w:val="none"/>
          <w:lang w:val="en-US" w:eastAsia="zh-CN"/>
        </w:rPr>
        <w:t>标项：</w:t>
      </w:r>
      <w:r>
        <w:rPr>
          <w:rFonts w:hint="eastAsia" w:ascii="宋体" w:hAnsi="宋体" w:cs="宋体"/>
          <w:b/>
          <w:sz w:val="32"/>
          <w:szCs w:val="32"/>
          <w:highlight w:val="none"/>
        </w:rPr>
        <w:t xml:space="preserve"> </w:t>
      </w:r>
    </w:p>
    <w:p w14:paraId="6D625407">
      <w:pPr>
        <w:autoSpaceDE w:val="0"/>
        <w:autoSpaceDN w:val="0"/>
        <w:adjustRightInd w:val="0"/>
        <w:spacing w:line="360" w:lineRule="auto"/>
        <w:rPr>
          <w:rFonts w:hint="eastAsia" w:ascii="宋体" w:hAnsi="宋体" w:eastAsia="宋体" w:cs="宋体"/>
          <w:b/>
          <w:sz w:val="32"/>
          <w:szCs w:val="32"/>
          <w:highlight w:val="none"/>
          <w:u w:val="single"/>
          <w:lang w:eastAsia="zh-CN"/>
        </w:rPr>
      </w:pPr>
      <w:r>
        <w:rPr>
          <w:rFonts w:hint="eastAsia" w:ascii="宋体" w:hAnsi="宋体" w:cs="宋体"/>
          <w:b/>
          <w:sz w:val="32"/>
          <w:szCs w:val="32"/>
          <w:highlight w:val="none"/>
        </w:rPr>
        <w:t>项目编号：</w:t>
      </w:r>
      <w:r>
        <w:rPr>
          <w:rFonts w:hint="eastAsia" w:ascii="宋体" w:hAnsi="宋体" w:cs="宋体"/>
          <w:b/>
          <w:sz w:val="32"/>
          <w:szCs w:val="32"/>
          <w:highlight w:val="none"/>
          <w:u w:val="single"/>
          <w:lang w:eastAsia="zh-CN"/>
        </w:rPr>
        <w:t>华信HY[2024]D032-1号</w:t>
      </w:r>
    </w:p>
    <w:p w14:paraId="7C0FE398">
      <w:pPr>
        <w:autoSpaceDE w:val="0"/>
        <w:autoSpaceDN w:val="0"/>
        <w:adjustRightInd w:val="0"/>
        <w:spacing w:line="360" w:lineRule="auto"/>
        <w:rPr>
          <w:rFonts w:ascii="宋体" w:hAnsi="宋体" w:cs="宋体"/>
          <w:b/>
          <w:sz w:val="32"/>
          <w:szCs w:val="32"/>
          <w:highlight w:val="none"/>
        </w:rPr>
      </w:pPr>
      <w:r>
        <w:rPr>
          <w:rFonts w:hint="eastAsia" w:ascii="宋体" w:hAnsi="宋体" w:cs="宋体"/>
          <w:b/>
          <w:sz w:val="32"/>
          <w:szCs w:val="32"/>
          <w:highlight w:val="none"/>
        </w:rPr>
        <w:t>投标人名称（盖章）：</w:t>
      </w:r>
      <w:bookmarkStart w:id="37" w:name="_Toc339872474"/>
    </w:p>
    <w:p w14:paraId="2F4F02A2">
      <w:pPr>
        <w:autoSpaceDE w:val="0"/>
        <w:autoSpaceDN w:val="0"/>
        <w:adjustRightInd w:val="0"/>
        <w:spacing w:line="360" w:lineRule="auto"/>
        <w:rPr>
          <w:rFonts w:ascii="宋体" w:hAnsi="宋体" w:cs="宋体"/>
          <w:b/>
          <w:sz w:val="32"/>
          <w:szCs w:val="32"/>
          <w:highlight w:val="none"/>
        </w:rPr>
      </w:pPr>
      <w:r>
        <w:rPr>
          <w:rFonts w:hint="eastAsia" w:ascii="宋体" w:hAnsi="宋体" w:cs="宋体"/>
          <w:b/>
          <w:sz w:val="32"/>
          <w:szCs w:val="32"/>
          <w:highlight w:val="none"/>
        </w:rPr>
        <w:t>投标人代表签字：</w:t>
      </w:r>
      <w:bookmarkEnd w:id="37"/>
    </w:p>
    <w:p w14:paraId="0CB99D9E">
      <w:pPr>
        <w:autoSpaceDE w:val="0"/>
        <w:autoSpaceDN w:val="0"/>
        <w:adjustRightInd w:val="0"/>
        <w:spacing w:line="360" w:lineRule="auto"/>
        <w:rPr>
          <w:rFonts w:ascii="宋体" w:hAnsi="宋体" w:cs="宋体"/>
          <w:b/>
          <w:sz w:val="32"/>
          <w:szCs w:val="32"/>
          <w:highlight w:val="none"/>
          <w:u w:val="single"/>
        </w:rPr>
      </w:pPr>
      <w:r>
        <w:rPr>
          <w:rFonts w:hint="eastAsia" w:ascii="宋体" w:hAnsi="宋体" w:cs="宋体"/>
          <w:b/>
          <w:sz w:val="32"/>
          <w:szCs w:val="32"/>
          <w:highlight w:val="none"/>
        </w:rPr>
        <w:t>投标人地址：</w:t>
      </w:r>
    </w:p>
    <w:p w14:paraId="76709A51">
      <w:pPr>
        <w:autoSpaceDE w:val="0"/>
        <w:autoSpaceDN w:val="0"/>
        <w:adjustRightInd w:val="0"/>
        <w:spacing w:line="360" w:lineRule="auto"/>
        <w:rPr>
          <w:rFonts w:ascii="宋体" w:hAnsi="宋体" w:cs="宋体"/>
          <w:b/>
          <w:sz w:val="32"/>
          <w:szCs w:val="32"/>
          <w:highlight w:val="none"/>
          <w:u w:val="single"/>
        </w:rPr>
      </w:pPr>
      <w:r>
        <w:rPr>
          <w:rFonts w:hint="eastAsia" w:ascii="宋体" w:hAnsi="宋体" w:cs="宋体"/>
          <w:b/>
          <w:sz w:val="32"/>
          <w:szCs w:val="32"/>
          <w:highlight w:val="none"/>
        </w:rPr>
        <w:t>电  话：</w:t>
      </w:r>
    </w:p>
    <w:p w14:paraId="6C3F0A79">
      <w:pPr>
        <w:rPr>
          <w:rFonts w:ascii="Arial" w:hAnsi="Arial" w:cs="Arial"/>
          <w:szCs w:val="21"/>
          <w:highlight w:val="none"/>
        </w:rPr>
      </w:pPr>
      <w:r>
        <w:rPr>
          <w:rFonts w:hint="eastAsia" w:ascii="宋体" w:hAnsi="宋体" w:cs="宋体"/>
          <w:b/>
          <w:sz w:val="32"/>
          <w:szCs w:val="32"/>
          <w:highlight w:val="none"/>
        </w:rPr>
        <w:t>联系人：</w:t>
      </w:r>
    </w:p>
    <w:p w14:paraId="4A2CD95B">
      <w:pPr>
        <w:jc w:val="center"/>
        <w:outlineLvl w:val="1"/>
        <w:rPr>
          <w:b/>
          <w:sz w:val="28"/>
          <w:highlight w:val="none"/>
        </w:rPr>
        <w:sectPr>
          <w:headerReference r:id="rId15" w:type="default"/>
          <w:footerReference r:id="rId16" w:type="default"/>
          <w:pgSz w:w="11849" w:h="16781"/>
          <w:pgMar w:top="1417" w:right="1417" w:bottom="1417" w:left="1417" w:header="850" w:footer="992" w:gutter="0"/>
          <w:pgNumType w:fmt="decimal"/>
          <w:cols w:space="0" w:num="1"/>
          <w:rtlGutter w:val="0"/>
          <w:docGrid w:type="linesAndChars" w:linePitch="324" w:charSpace="819"/>
        </w:sectPr>
      </w:pPr>
      <w:bookmarkStart w:id="38" w:name="_Toc339979553"/>
    </w:p>
    <w:bookmarkEnd w:id="38"/>
    <w:p w14:paraId="06C7C2C9">
      <w:pPr>
        <w:wordWrap w:val="0"/>
        <w:overflowPunct w:val="0"/>
        <w:autoSpaceDE w:val="0"/>
        <w:autoSpaceDN w:val="0"/>
        <w:snapToGrid w:val="0"/>
        <w:spacing w:line="360" w:lineRule="auto"/>
        <w:ind w:firstLine="480"/>
        <w:rPr>
          <w:rFonts w:hint="eastAsia" w:ascii="宋体" w:hAnsi="宋体" w:cs="宋体"/>
          <w:b/>
          <w:color w:val="auto"/>
          <w:sz w:val="32"/>
          <w:highlight w:val="none"/>
        </w:rPr>
      </w:pPr>
      <w:r>
        <w:rPr>
          <w:rFonts w:hint="eastAsia" w:ascii="宋体" w:hAnsi="宋体" w:cs="宋体"/>
          <w:b/>
          <w:color w:val="auto"/>
          <w:sz w:val="24"/>
          <w:highlight w:val="none"/>
          <w:lang w:val="en-US" w:eastAsia="zh-CN"/>
        </w:rPr>
        <w:t>1.</w:t>
      </w:r>
      <w:r>
        <w:rPr>
          <w:rFonts w:hint="eastAsia" w:ascii="宋体" w:hAnsi="宋体" w:cs="宋体"/>
          <w:b/>
          <w:bCs/>
          <w:color w:val="auto"/>
          <w:sz w:val="24"/>
          <w:highlight w:val="none"/>
        </w:rPr>
        <w:t>资格声明格式：</w:t>
      </w:r>
    </w:p>
    <w:p w14:paraId="5D161C1A">
      <w:pPr>
        <w:wordWrap w:val="0"/>
        <w:spacing w:line="400" w:lineRule="exact"/>
        <w:jc w:val="center"/>
        <w:rPr>
          <w:rFonts w:hint="eastAsia" w:ascii="宋体" w:hAnsi="宋体" w:cs="宋体"/>
          <w:b/>
          <w:color w:val="auto"/>
          <w:sz w:val="32"/>
          <w:highlight w:val="none"/>
        </w:rPr>
      </w:pPr>
      <w:r>
        <w:rPr>
          <w:rFonts w:hint="eastAsia" w:ascii="宋体" w:hAnsi="宋体" w:cs="宋体"/>
          <w:b/>
          <w:color w:val="auto"/>
          <w:sz w:val="32"/>
          <w:highlight w:val="none"/>
        </w:rPr>
        <w:t>资格声明</w:t>
      </w:r>
    </w:p>
    <w:p w14:paraId="6A6D90E2">
      <w:pPr>
        <w:wordWrap w:val="0"/>
        <w:spacing w:line="400" w:lineRule="exact"/>
        <w:jc w:val="center"/>
        <w:rPr>
          <w:rFonts w:hint="eastAsia" w:ascii="宋体" w:hAnsi="宋体" w:cs="宋体"/>
          <w:b/>
          <w:color w:val="auto"/>
          <w:sz w:val="32"/>
          <w:highlight w:val="none"/>
        </w:rPr>
      </w:pPr>
    </w:p>
    <w:tbl>
      <w:tblPr>
        <w:tblStyle w:val="27"/>
        <w:tblpPr w:leftFromText="180" w:rightFromText="180" w:vertAnchor="text" w:horzAnchor="page" w:tblpX="1510" w:tblpY="393"/>
        <w:tblOverlap w:val="never"/>
        <w:tblW w:w="9300" w:type="dxa"/>
        <w:tblInd w:w="0" w:type="dxa"/>
        <w:tblLayout w:type="fixed"/>
        <w:tblCellMar>
          <w:top w:w="0" w:type="dxa"/>
          <w:left w:w="0" w:type="dxa"/>
          <w:bottom w:w="0" w:type="dxa"/>
          <w:right w:w="0" w:type="dxa"/>
        </w:tblCellMar>
      </w:tblPr>
      <w:tblGrid>
        <w:gridCol w:w="9300"/>
      </w:tblGrid>
      <w:tr w14:paraId="614C954F">
        <w:trPr>
          <w:trHeight w:val="623" w:hRule="atLeast"/>
        </w:trPr>
        <w:tc>
          <w:tcPr>
            <w:tcW w:w="9300" w:type="dxa"/>
            <w:vAlign w:val="center"/>
          </w:tcPr>
          <w:p w14:paraId="3DDA29C2">
            <w:pPr>
              <w:wordWrap w:val="0"/>
              <w:spacing w:line="480" w:lineRule="auto"/>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（采购人全称）</w:t>
            </w:r>
            <w:r>
              <w:rPr>
                <w:rFonts w:hint="eastAsia" w:ascii="宋体" w:hAnsi="宋体" w:cs="宋体"/>
                <w:color w:val="auto"/>
                <w:sz w:val="24"/>
                <w:highlight w:val="none"/>
              </w:rPr>
              <w:t>：</w:t>
            </w:r>
          </w:p>
        </w:tc>
      </w:tr>
      <w:tr w14:paraId="6F5E0A7D">
        <w:tblPrEx>
          <w:tblCellMar>
            <w:top w:w="0" w:type="dxa"/>
            <w:left w:w="0" w:type="dxa"/>
            <w:bottom w:w="0" w:type="dxa"/>
            <w:right w:w="0" w:type="dxa"/>
          </w:tblCellMar>
        </w:tblPrEx>
        <w:trPr>
          <w:trHeight w:val="4370" w:hRule="atLeast"/>
        </w:trPr>
        <w:tc>
          <w:tcPr>
            <w:tcW w:w="9300" w:type="dxa"/>
            <w:vAlign w:val="top"/>
          </w:tcPr>
          <w:p w14:paraId="38D7EA70">
            <w:pPr>
              <w:wordWrap w:val="0"/>
              <w:spacing w:line="480" w:lineRule="auto"/>
              <w:ind w:left="-3" w:firstLine="519" w:firstLineChars="214"/>
              <w:rPr>
                <w:rFonts w:hint="eastAsia" w:ascii="宋体" w:hAnsi="宋体" w:cs="宋体"/>
                <w:color w:val="auto"/>
                <w:sz w:val="24"/>
                <w:highlight w:val="none"/>
              </w:rPr>
            </w:pPr>
            <w:r>
              <w:rPr>
                <w:rFonts w:hint="eastAsia" w:ascii="宋体" w:hAnsi="宋体" w:cs="宋体"/>
                <w:color w:val="auto"/>
                <w:sz w:val="24"/>
                <w:highlight w:val="none"/>
              </w:rPr>
              <w:t>1、我方承诺符合参与政府采购活动的资格条件。</w:t>
            </w:r>
          </w:p>
          <w:p w14:paraId="35433564">
            <w:pPr>
              <w:wordWrap w:val="0"/>
              <w:spacing w:line="480" w:lineRule="auto"/>
              <w:ind w:left="-3" w:firstLine="519" w:firstLineChars="214"/>
              <w:rPr>
                <w:rFonts w:hint="eastAsia" w:ascii="宋体" w:hAnsi="宋体" w:cs="宋体"/>
                <w:color w:val="auto"/>
                <w:sz w:val="24"/>
                <w:highlight w:val="none"/>
              </w:rPr>
            </w:pPr>
            <w:r>
              <w:rPr>
                <w:rFonts w:hint="eastAsia" w:ascii="宋体" w:hAnsi="宋体" w:cs="宋体"/>
                <w:color w:val="auto"/>
                <w:sz w:val="24"/>
                <w:highlight w:val="none"/>
              </w:rPr>
              <w:t>2、我方对提交的资格条件资料的真实性负责，如有任何不实，愿按采购文件和相关法律法规的有关规定接受处理。</w:t>
            </w:r>
          </w:p>
          <w:p w14:paraId="13FF6531">
            <w:pPr>
              <w:wordWrap w:val="0"/>
              <w:spacing w:line="480" w:lineRule="auto"/>
              <w:ind w:left="-3" w:firstLine="519" w:firstLineChars="214"/>
              <w:rPr>
                <w:rFonts w:hint="eastAsia" w:ascii="宋体" w:hAnsi="宋体" w:cs="宋体"/>
                <w:color w:val="auto"/>
                <w:sz w:val="24"/>
                <w:highlight w:val="none"/>
              </w:rPr>
            </w:pPr>
            <w:r>
              <w:rPr>
                <w:rFonts w:hint="eastAsia" w:ascii="宋体" w:hAnsi="宋体" w:cs="宋体"/>
                <w:color w:val="auto"/>
                <w:sz w:val="24"/>
                <w:highlight w:val="none"/>
              </w:rPr>
              <w:t>3、我方提交的资格条件资料是响应文件的组成部分，愿承担采购文件规定的全部责任和义务。</w:t>
            </w:r>
          </w:p>
          <w:p w14:paraId="3FBEADF9">
            <w:pPr>
              <w:tabs>
                <w:tab w:val="left" w:pos="5760"/>
              </w:tabs>
              <w:wordWrap w:val="0"/>
              <w:spacing w:line="480" w:lineRule="auto"/>
              <w:ind w:right="482"/>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（盖章）：</w:t>
            </w:r>
            <w:r>
              <w:rPr>
                <w:rFonts w:hint="eastAsia" w:ascii="宋体" w:hAnsi="宋体" w:cs="宋体"/>
                <w:color w:val="auto"/>
                <w:sz w:val="24"/>
                <w:highlight w:val="none"/>
                <w:u w:val="single"/>
              </w:rPr>
              <w:t xml:space="preserve">                       </w:t>
            </w:r>
          </w:p>
          <w:p w14:paraId="1529AF81">
            <w:pPr>
              <w:tabs>
                <w:tab w:val="left" w:pos="5760"/>
              </w:tabs>
              <w:wordWrap w:val="0"/>
              <w:spacing w:line="480" w:lineRule="auto"/>
              <w:ind w:firstLine="720"/>
              <w:jc w:val="center"/>
              <w:rPr>
                <w:rFonts w:hint="eastAsia" w:ascii="宋体" w:hAnsi="宋体" w:cs="宋体"/>
                <w:color w:val="auto"/>
                <w:sz w:val="24"/>
                <w:highlight w:val="none"/>
              </w:rPr>
            </w:pPr>
            <w:r>
              <w:rPr>
                <w:rFonts w:hint="eastAsia" w:ascii="宋体" w:hAnsi="宋体" w:cs="宋体"/>
                <w:color w:val="auto"/>
                <w:sz w:val="24"/>
                <w:highlight w:val="none"/>
              </w:rPr>
              <w:t xml:space="preserve">                      法定代表人或授权代表人签字（或盖章）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2CCC7823">
            <w:pPr>
              <w:wordWrap w:val="0"/>
              <w:spacing w:line="480" w:lineRule="auto"/>
              <w:ind w:firstLine="480"/>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tc>
      </w:tr>
    </w:tbl>
    <w:p w14:paraId="3C06C1BE">
      <w:pPr>
        <w:wordWrap w:val="0"/>
        <w:overflowPunct w:val="0"/>
        <w:autoSpaceDE w:val="0"/>
        <w:autoSpaceDN w:val="0"/>
        <w:adjustRightInd w:val="0"/>
        <w:snapToGrid w:val="0"/>
        <w:spacing w:line="360" w:lineRule="auto"/>
        <w:rPr>
          <w:rFonts w:hint="eastAsia" w:ascii="宋体" w:hAnsi="宋体" w:cs="宋体"/>
          <w:b/>
          <w:bCs/>
          <w:color w:val="auto"/>
          <w:sz w:val="24"/>
          <w:highlight w:val="none"/>
        </w:rPr>
      </w:pPr>
    </w:p>
    <w:p w14:paraId="35F249AC">
      <w:pPr>
        <w:pStyle w:val="2"/>
        <w:wordWrap w:val="0"/>
        <w:overflowPunct w:val="0"/>
        <w:autoSpaceDE w:val="0"/>
        <w:autoSpaceDN w:val="0"/>
        <w:spacing w:line="360" w:lineRule="auto"/>
        <w:ind w:firstLine="241"/>
        <w:rPr>
          <w:rFonts w:hint="eastAsia" w:ascii="宋体" w:hAnsi="宋体" w:cs="宋体"/>
          <w:b/>
          <w:bCs/>
          <w:color w:val="auto"/>
          <w:sz w:val="24"/>
          <w:highlight w:val="none"/>
        </w:rPr>
      </w:pPr>
    </w:p>
    <w:p w14:paraId="0C167C06">
      <w:pPr>
        <w:pStyle w:val="2"/>
        <w:wordWrap w:val="0"/>
        <w:overflowPunct w:val="0"/>
        <w:autoSpaceDE w:val="0"/>
        <w:autoSpaceDN w:val="0"/>
        <w:spacing w:line="360" w:lineRule="auto"/>
        <w:ind w:firstLine="0" w:firstLineChars="0"/>
        <w:rPr>
          <w:rFonts w:hint="eastAsia" w:ascii="宋体" w:hAnsi="宋体" w:cs="宋体"/>
          <w:b/>
          <w:bCs/>
          <w:color w:val="auto"/>
          <w:sz w:val="24"/>
          <w:highlight w:val="none"/>
        </w:rPr>
      </w:pPr>
    </w:p>
    <w:p w14:paraId="528878CA">
      <w:pPr>
        <w:pStyle w:val="2"/>
        <w:wordWrap w:val="0"/>
        <w:overflowPunct w:val="0"/>
        <w:autoSpaceDE w:val="0"/>
        <w:autoSpaceDN w:val="0"/>
        <w:spacing w:line="360" w:lineRule="auto"/>
        <w:ind w:firstLine="0" w:firstLineChars="0"/>
        <w:rPr>
          <w:rFonts w:hint="eastAsia" w:ascii="宋体" w:hAnsi="宋体" w:cs="宋体"/>
          <w:b/>
          <w:bCs/>
          <w:color w:val="auto"/>
          <w:sz w:val="24"/>
          <w:highlight w:val="none"/>
        </w:rPr>
      </w:pPr>
    </w:p>
    <w:p w14:paraId="2241B8A1">
      <w:pPr>
        <w:pStyle w:val="2"/>
        <w:wordWrap w:val="0"/>
        <w:overflowPunct w:val="0"/>
        <w:autoSpaceDE w:val="0"/>
        <w:autoSpaceDN w:val="0"/>
        <w:spacing w:line="360" w:lineRule="auto"/>
        <w:ind w:firstLine="0" w:firstLineChars="0"/>
        <w:rPr>
          <w:rFonts w:hint="eastAsia" w:ascii="宋体" w:hAnsi="宋体" w:cs="宋体"/>
          <w:b/>
          <w:bCs/>
          <w:color w:val="auto"/>
          <w:sz w:val="24"/>
          <w:highlight w:val="none"/>
        </w:rPr>
      </w:pPr>
    </w:p>
    <w:p w14:paraId="08223F01">
      <w:pPr>
        <w:rPr>
          <w:rFonts w:hint="eastAsia" w:ascii="宋体" w:hAnsi="宋体" w:cs="宋体"/>
          <w:b/>
          <w:bCs/>
          <w:color w:val="auto"/>
          <w:sz w:val="24"/>
          <w:highlight w:val="none"/>
        </w:rPr>
      </w:pPr>
    </w:p>
    <w:p w14:paraId="3824D4A0">
      <w:pPr>
        <w:pStyle w:val="5"/>
        <w:rPr>
          <w:rFonts w:hint="eastAsia" w:ascii="宋体" w:hAnsi="宋体" w:cs="宋体"/>
          <w:b w:val="0"/>
          <w:bCs w:val="0"/>
          <w:color w:val="auto"/>
          <w:sz w:val="24"/>
          <w:highlight w:val="none"/>
        </w:rPr>
      </w:pPr>
    </w:p>
    <w:p w14:paraId="0D1C6D74">
      <w:pPr>
        <w:rPr>
          <w:rFonts w:hint="eastAsia" w:ascii="宋体" w:hAnsi="宋体" w:cs="宋体"/>
          <w:b/>
          <w:bCs/>
          <w:color w:val="auto"/>
          <w:sz w:val="24"/>
          <w:highlight w:val="none"/>
        </w:rPr>
      </w:pPr>
    </w:p>
    <w:p w14:paraId="1262AA06">
      <w:pPr>
        <w:pStyle w:val="2"/>
        <w:wordWrap w:val="0"/>
        <w:overflowPunct w:val="0"/>
        <w:autoSpaceDE w:val="0"/>
        <w:autoSpaceDN w:val="0"/>
        <w:spacing w:line="360" w:lineRule="auto"/>
        <w:ind w:firstLine="0" w:firstLineChars="0"/>
        <w:rPr>
          <w:rFonts w:hint="eastAsia" w:ascii="宋体" w:hAnsi="宋体" w:cs="宋体"/>
          <w:b/>
          <w:bCs/>
          <w:color w:val="auto"/>
          <w:sz w:val="24"/>
          <w:highlight w:val="none"/>
        </w:rPr>
      </w:pPr>
    </w:p>
    <w:p w14:paraId="488AD209">
      <w:pPr>
        <w:rPr>
          <w:rFonts w:hint="eastAsia" w:ascii="宋体" w:hAnsi="宋体" w:cs="宋体"/>
          <w:b/>
          <w:bCs/>
          <w:color w:val="auto"/>
          <w:sz w:val="24"/>
          <w:highlight w:val="none"/>
        </w:rPr>
      </w:pPr>
    </w:p>
    <w:p w14:paraId="149AF245">
      <w:pPr>
        <w:pStyle w:val="2"/>
        <w:rPr>
          <w:rFonts w:hint="eastAsia" w:ascii="宋体" w:hAnsi="宋体" w:cs="宋体"/>
          <w:b/>
          <w:bCs/>
          <w:color w:val="auto"/>
          <w:sz w:val="24"/>
          <w:highlight w:val="none"/>
        </w:rPr>
      </w:pPr>
    </w:p>
    <w:p w14:paraId="75264867">
      <w:pPr>
        <w:pStyle w:val="23"/>
        <w:rPr>
          <w:rFonts w:hint="eastAsia"/>
          <w:highlight w:val="none"/>
        </w:rPr>
      </w:pPr>
    </w:p>
    <w:p w14:paraId="0DC8FD7E">
      <w:pPr>
        <w:wordWrap w:val="0"/>
        <w:overflowPunct w:val="0"/>
        <w:autoSpaceDE w:val="0"/>
        <w:autoSpaceDN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.投标声明书格式：</w:t>
      </w:r>
    </w:p>
    <w:p w14:paraId="6580294C">
      <w:pPr>
        <w:wordWrap w:val="0"/>
        <w:overflowPunct w:val="0"/>
        <w:autoSpaceDE w:val="0"/>
        <w:autoSpaceDN w:val="0"/>
        <w:spacing w:line="360" w:lineRule="auto"/>
        <w:ind w:firstLine="667"/>
        <w:jc w:val="center"/>
        <w:rPr>
          <w:rFonts w:hint="eastAsia" w:ascii="宋体" w:hAnsi="宋体" w:cs="宋体"/>
          <w:b/>
          <w:color w:val="auto"/>
          <w:spacing w:val="6"/>
          <w:sz w:val="32"/>
          <w:highlight w:val="none"/>
        </w:rPr>
      </w:pPr>
      <w:r>
        <w:rPr>
          <w:rFonts w:hint="eastAsia" w:ascii="宋体" w:hAnsi="宋体" w:cs="宋体"/>
          <w:b/>
          <w:color w:val="auto"/>
          <w:spacing w:val="6"/>
          <w:sz w:val="32"/>
          <w:highlight w:val="none"/>
        </w:rPr>
        <w:t>投标声明书</w:t>
      </w:r>
    </w:p>
    <w:p w14:paraId="530B0F83">
      <w:pPr>
        <w:wordWrap w:val="0"/>
        <w:overflowPunct w:val="0"/>
        <w:autoSpaceDE w:val="0"/>
        <w:autoSpaceDN w:val="0"/>
        <w:spacing w:line="360" w:lineRule="auto"/>
        <w:ind w:firstLine="667"/>
        <w:jc w:val="center"/>
        <w:rPr>
          <w:rFonts w:hint="eastAsia" w:ascii="宋体" w:hAnsi="宋体" w:cs="宋体"/>
          <w:b/>
          <w:color w:val="auto"/>
          <w:spacing w:val="6"/>
          <w:sz w:val="32"/>
          <w:highlight w:val="none"/>
        </w:rPr>
      </w:pPr>
    </w:p>
    <w:p w14:paraId="6BCDC5C7">
      <w:pPr>
        <w:wordWrap w:val="0"/>
        <w:overflowPunct w:val="0"/>
        <w:autoSpaceDE w:val="0"/>
        <w:autoSpaceDN w:val="0"/>
        <w:snapToGrid w:val="0"/>
        <w:spacing w:line="400" w:lineRule="exact"/>
        <w:rPr>
          <w:rFonts w:hint="eastAsia"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（采购单位名称）：</w:t>
      </w:r>
    </w:p>
    <w:p w14:paraId="1C45104C">
      <w:pPr>
        <w:wordWrap w:val="0"/>
        <w:overflowPunct w:val="0"/>
        <w:autoSpaceDE w:val="0"/>
        <w:autoSpaceDN w:val="0"/>
        <w:spacing w:line="400" w:lineRule="exact"/>
        <w:ind w:firstLine="482"/>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（供应商名称）系中华人民共和国合法企业，经营地址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 我</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w:t>
      </w:r>
      <w:r>
        <w:rPr>
          <w:rFonts w:hint="eastAsia" w:ascii="宋体" w:hAnsi="宋体" w:cs="宋体"/>
          <w:color w:val="auto"/>
          <w:sz w:val="24"/>
          <w:highlight w:val="none"/>
        </w:rPr>
        <w:t>的法定代表人，我方愿意参加贵方组织的</w:t>
      </w:r>
      <w:r>
        <w:rPr>
          <w:rFonts w:hint="eastAsia" w:ascii="宋体" w:hAnsi="宋体" w:cs="宋体"/>
          <w:color w:val="auto"/>
          <w:sz w:val="24"/>
          <w:highlight w:val="none"/>
          <w:u w:val="single"/>
          <w:lang w:eastAsia="zh-CN"/>
        </w:rPr>
        <w:t>（项目名称 ）</w:t>
      </w:r>
      <w:r>
        <w:rPr>
          <w:rFonts w:hint="eastAsia" w:ascii="宋体" w:hAnsi="宋体" w:cs="宋体"/>
          <w:color w:val="auto"/>
          <w:sz w:val="24"/>
          <w:highlight w:val="none"/>
          <w:u w:val="single"/>
        </w:rPr>
        <w:t>（项目编号）</w:t>
      </w:r>
      <w:r>
        <w:rPr>
          <w:rFonts w:hint="eastAsia" w:ascii="宋体" w:hAnsi="宋体" w:cs="宋体"/>
          <w:color w:val="auto"/>
          <w:sz w:val="24"/>
          <w:highlight w:val="none"/>
        </w:rPr>
        <w:t xml:space="preserve">的投标，为此，我方就本次投标有关事项郑重声明如下： </w:t>
      </w:r>
    </w:p>
    <w:p w14:paraId="38271FC0">
      <w:pPr>
        <w:wordWrap w:val="0"/>
        <w:overflowPunct w:val="0"/>
        <w:autoSpaceDE w:val="0"/>
        <w:autoSpaceDN w:val="0"/>
        <w:spacing w:line="400" w:lineRule="exact"/>
        <w:ind w:firstLine="482"/>
        <w:rPr>
          <w:rFonts w:hint="eastAsia" w:ascii="宋体" w:hAnsi="宋体" w:cs="宋体"/>
          <w:color w:val="auto"/>
          <w:sz w:val="24"/>
          <w:highlight w:val="none"/>
        </w:rPr>
      </w:pPr>
      <w:r>
        <w:rPr>
          <w:rFonts w:hint="eastAsia" w:ascii="宋体" w:hAnsi="宋体" w:cs="宋体"/>
          <w:color w:val="auto"/>
          <w:sz w:val="24"/>
          <w:highlight w:val="none"/>
        </w:rPr>
        <w:t xml:space="preserve">1、我方已详细审查全部招标文件，同意招标文件的各项要求。 </w:t>
      </w:r>
    </w:p>
    <w:p w14:paraId="06AD5457">
      <w:pPr>
        <w:wordWrap w:val="0"/>
        <w:overflowPunct w:val="0"/>
        <w:autoSpaceDE w:val="0"/>
        <w:autoSpaceDN w:val="0"/>
        <w:spacing w:line="400" w:lineRule="exact"/>
        <w:ind w:firstLine="482"/>
        <w:rPr>
          <w:rFonts w:hint="eastAsia" w:ascii="宋体" w:hAnsi="宋体" w:cs="宋体"/>
          <w:color w:val="auto"/>
          <w:sz w:val="24"/>
          <w:highlight w:val="none"/>
        </w:rPr>
      </w:pPr>
      <w:r>
        <w:rPr>
          <w:rFonts w:hint="eastAsia" w:ascii="宋体" w:hAnsi="宋体" w:cs="宋体"/>
          <w:color w:val="auto"/>
          <w:sz w:val="24"/>
          <w:highlight w:val="none"/>
        </w:rPr>
        <w:t xml:space="preserve">2、我方向贵方提交的所有投标文件、资料都是准确的和真实的。 </w:t>
      </w:r>
    </w:p>
    <w:p w14:paraId="23AD5CED">
      <w:pPr>
        <w:wordWrap w:val="0"/>
        <w:overflowPunct w:val="0"/>
        <w:autoSpaceDE w:val="0"/>
        <w:autoSpaceDN w:val="0"/>
        <w:spacing w:line="400" w:lineRule="exact"/>
        <w:ind w:firstLine="482"/>
        <w:rPr>
          <w:rFonts w:hint="eastAsia" w:ascii="宋体" w:hAnsi="宋体" w:cs="宋体"/>
          <w:color w:val="auto"/>
          <w:sz w:val="24"/>
          <w:highlight w:val="none"/>
        </w:rPr>
      </w:pPr>
      <w:r>
        <w:rPr>
          <w:rFonts w:hint="eastAsia" w:ascii="宋体" w:hAnsi="宋体" w:cs="宋体"/>
          <w:color w:val="auto"/>
          <w:sz w:val="24"/>
          <w:highlight w:val="none"/>
        </w:rPr>
        <w:t xml:space="preserve">3、若中标，我方将按招标文件规定履行合同责任和义务。 </w:t>
      </w:r>
    </w:p>
    <w:p w14:paraId="0D7CC58A">
      <w:pPr>
        <w:wordWrap w:val="0"/>
        <w:overflowPunct w:val="0"/>
        <w:autoSpaceDE w:val="0"/>
        <w:autoSpaceDN w:val="0"/>
        <w:spacing w:line="400" w:lineRule="exact"/>
        <w:ind w:firstLine="482"/>
        <w:rPr>
          <w:rFonts w:hint="eastAsia" w:ascii="宋体" w:hAnsi="宋体" w:cs="宋体"/>
          <w:color w:val="auto"/>
          <w:sz w:val="24"/>
          <w:highlight w:val="none"/>
        </w:rPr>
      </w:pPr>
      <w:r>
        <w:rPr>
          <w:rFonts w:hint="eastAsia" w:ascii="宋体" w:hAnsi="宋体" w:cs="宋体"/>
          <w:color w:val="auto"/>
          <w:sz w:val="24"/>
          <w:highlight w:val="none"/>
        </w:rPr>
        <w:t xml:space="preserve">4、我方不是采购人的附属机构；在获知本项目采购信息后，与采购人聘请的为此项目提供咨询服务的公司及其附属机构没有任何联系。 </w:t>
      </w:r>
    </w:p>
    <w:p w14:paraId="24D10077">
      <w:pPr>
        <w:wordWrap w:val="0"/>
        <w:overflowPunct w:val="0"/>
        <w:autoSpaceDE w:val="0"/>
        <w:autoSpaceDN w:val="0"/>
        <w:spacing w:line="400" w:lineRule="exact"/>
        <w:ind w:firstLine="482"/>
        <w:rPr>
          <w:rFonts w:hint="eastAsia" w:ascii="宋体" w:hAnsi="宋体" w:cs="宋体"/>
          <w:color w:val="auto"/>
          <w:sz w:val="24"/>
          <w:highlight w:val="none"/>
        </w:rPr>
      </w:pPr>
      <w:r>
        <w:rPr>
          <w:rFonts w:hint="eastAsia" w:ascii="宋体" w:hAnsi="宋体" w:cs="宋体"/>
          <w:color w:val="auto"/>
          <w:sz w:val="24"/>
          <w:highlight w:val="none"/>
        </w:rPr>
        <w:t>5、投标文件自开标日起有效期为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60 </w:t>
      </w:r>
      <w:r>
        <w:rPr>
          <w:rFonts w:hint="eastAsia" w:ascii="宋体" w:hAnsi="宋体" w:cs="宋体"/>
          <w:color w:val="auto"/>
          <w:sz w:val="24"/>
          <w:highlight w:val="none"/>
        </w:rPr>
        <w:t xml:space="preserve">天。 </w:t>
      </w:r>
    </w:p>
    <w:p w14:paraId="7733418F">
      <w:pPr>
        <w:wordWrap w:val="0"/>
        <w:overflowPunct w:val="0"/>
        <w:autoSpaceDE w:val="0"/>
        <w:autoSpaceDN w:val="0"/>
        <w:spacing w:line="400" w:lineRule="exact"/>
        <w:ind w:firstLine="482"/>
        <w:rPr>
          <w:rFonts w:hint="eastAsia" w:ascii="宋体" w:hAnsi="宋体" w:cs="宋体"/>
          <w:color w:val="auto"/>
          <w:sz w:val="24"/>
          <w:highlight w:val="none"/>
        </w:rPr>
      </w:pPr>
      <w:r>
        <w:rPr>
          <w:rFonts w:hint="eastAsia" w:ascii="宋体" w:hAnsi="宋体" w:cs="宋体"/>
          <w:color w:val="auto"/>
          <w:sz w:val="24"/>
          <w:highlight w:val="none"/>
        </w:rPr>
        <w:t xml:space="preserve">6、我方承诺已经具备参与政府采购活动的资格条件并且没有税收缴纳、社会保障等方面 的失信记录。 </w:t>
      </w:r>
    </w:p>
    <w:p w14:paraId="2E1CADAE">
      <w:pPr>
        <w:wordWrap w:val="0"/>
        <w:overflowPunct w:val="0"/>
        <w:autoSpaceDE w:val="0"/>
        <w:autoSpaceDN w:val="0"/>
        <w:spacing w:line="400" w:lineRule="exact"/>
        <w:ind w:firstLine="482"/>
        <w:rPr>
          <w:rFonts w:hint="eastAsia" w:ascii="宋体" w:hAnsi="宋体" w:cs="宋体"/>
          <w:color w:val="auto"/>
          <w:sz w:val="24"/>
          <w:highlight w:val="none"/>
        </w:rPr>
      </w:pPr>
      <w:r>
        <w:rPr>
          <w:rFonts w:hint="eastAsia" w:ascii="宋体" w:hAnsi="宋体" w:cs="宋体"/>
          <w:color w:val="auto"/>
          <w:sz w:val="24"/>
          <w:highlight w:val="none"/>
        </w:rPr>
        <w:t xml:space="preserve">7、我方通过“信用中国”网站（ www.creditchina.gov.cn）、中国政府采购网（www.ccgp.gov.cn）查询，未被列入失信被执行人、重大税收违法案件当事人名单、政府采购严重违法失信行为记录名单。 </w:t>
      </w:r>
    </w:p>
    <w:p w14:paraId="29658B57">
      <w:pPr>
        <w:numPr>
          <w:ilvl w:val="0"/>
          <w:numId w:val="10"/>
        </w:numPr>
        <w:wordWrap w:val="0"/>
        <w:overflowPunct w:val="0"/>
        <w:autoSpaceDE w:val="0"/>
        <w:autoSpaceDN w:val="0"/>
        <w:spacing w:line="400" w:lineRule="exact"/>
        <w:ind w:firstLine="482"/>
        <w:rPr>
          <w:rFonts w:hint="eastAsia" w:ascii="宋体" w:hAnsi="宋体" w:cs="宋体"/>
          <w:color w:val="auto"/>
          <w:sz w:val="24"/>
          <w:highlight w:val="none"/>
        </w:rPr>
      </w:pPr>
      <w:r>
        <w:rPr>
          <w:rFonts w:hint="eastAsia" w:ascii="宋体" w:hAnsi="宋体" w:cs="宋体"/>
          <w:color w:val="auto"/>
          <w:sz w:val="24"/>
          <w:highlight w:val="none"/>
        </w:rPr>
        <w:t>以上事项如有虚假或隐瞒，我方愿意承担一切后果，并不再寻求任何旨在减轻或免除法律责任的辩解。</w:t>
      </w:r>
    </w:p>
    <w:p w14:paraId="4BE9E2CF">
      <w:pPr>
        <w:wordWrap w:val="0"/>
        <w:overflowPunct w:val="0"/>
        <w:autoSpaceDE w:val="0"/>
        <w:autoSpaceDN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391DB82">
      <w:pPr>
        <w:wordWrap w:val="0"/>
        <w:overflowPunct w:val="0"/>
        <w:autoSpaceDE w:val="0"/>
        <w:autoSpaceDN w:val="0"/>
        <w:spacing w:line="400" w:lineRule="exact"/>
        <w:rPr>
          <w:rFonts w:hint="eastAsia" w:ascii="宋体" w:hAns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D6D7850">
      <w:pPr>
        <w:wordWrap w:val="0"/>
        <w:overflowPunct w:val="0"/>
        <w:autoSpaceDE w:val="0"/>
        <w:autoSpaceDN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法定代表人（签字或盖章）： </w:t>
      </w:r>
      <w:r>
        <w:rPr>
          <w:rFonts w:hint="eastAsia" w:ascii="宋体" w:hAnsi="宋体" w:cs="宋体"/>
          <w:color w:val="auto"/>
          <w:sz w:val="24"/>
          <w:highlight w:val="none"/>
          <w:u w:val="single"/>
        </w:rPr>
        <w:t xml:space="preserve">        </w:t>
      </w:r>
    </w:p>
    <w:p w14:paraId="7D87B136">
      <w:pPr>
        <w:wordWrap w:val="0"/>
        <w:overflowPunct w:val="0"/>
        <w:autoSpaceDE w:val="0"/>
        <w:autoSpaceDN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2A28A04">
      <w:pPr>
        <w:pStyle w:val="2"/>
        <w:wordWrap w:val="0"/>
        <w:overflowPunct w:val="0"/>
        <w:autoSpaceDE w:val="0"/>
        <w:autoSpaceDN w:val="0"/>
        <w:spacing w:line="360" w:lineRule="auto"/>
        <w:ind w:firstLine="241"/>
        <w:rPr>
          <w:rFonts w:hint="eastAsia" w:ascii="宋体" w:hAnsi="宋体" w:cs="宋体"/>
          <w:b/>
          <w:bCs/>
          <w:color w:val="auto"/>
          <w:sz w:val="24"/>
          <w:highlight w:val="none"/>
        </w:rPr>
      </w:pPr>
    </w:p>
    <w:p w14:paraId="59147253">
      <w:pPr>
        <w:rPr>
          <w:rFonts w:hint="eastAsia" w:ascii="宋体" w:hAnsi="宋体" w:cs="宋体"/>
          <w:b/>
          <w:bCs/>
          <w:color w:val="auto"/>
          <w:sz w:val="24"/>
          <w:highlight w:val="none"/>
        </w:rPr>
      </w:pPr>
    </w:p>
    <w:p w14:paraId="2885BD5A">
      <w:pPr>
        <w:pStyle w:val="81"/>
        <w:rPr>
          <w:rFonts w:hint="eastAsia"/>
          <w:color w:val="auto"/>
          <w:highlight w:val="none"/>
        </w:rPr>
      </w:pPr>
    </w:p>
    <w:p w14:paraId="6D5A49E6">
      <w:pPr>
        <w:pStyle w:val="81"/>
        <w:rPr>
          <w:rFonts w:hint="eastAsia"/>
          <w:color w:val="auto"/>
          <w:highlight w:val="none"/>
        </w:rPr>
      </w:pPr>
    </w:p>
    <w:p w14:paraId="74293B3B">
      <w:pPr>
        <w:pStyle w:val="81"/>
        <w:rPr>
          <w:rFonts w:hint="eastAsia"/>
          <w:color w:val="auto"/>
          <w:highlight w:val="none"/>
        </w:rPr>
      </w:pPr>
    </w:p>
    <w:p w14:paraId="768C8CC0">
      <w:pPr>
        <w:pStyle w:val="81"/>
        <w:rPr>
          <w:rFonts w:hint="eastAsia"/>
          <w:color w:val="auto"/>
          <w:highlight w:val="none"/>
        </w:rPr>
      </w:pPr>
    </w:p>
    <w:p w14:paraId="2268B640">
      <w:pPr>
        <w:pStyle w:val="81"/>
        <w:rPr>
          <w:rFonts w:hint="eastAsia"/>
          <w:color w:val="auto"/>
          <w:highlight w:val="none"/>
        </w:rPr>
      </w:pPr>
    </w:p>
    <w:p w14:paraId="5178B01C">
      <w:pPr>
        <w:pStyle w:val="81"/>
        <w:rPr>
          <w:rFonts w:hint="eastAsia"/>
          <w:color w:val="auto"/>
          <w:highlight w:val="none"/>
        </w:rPr>
      </w:pPr>
    </w:p>
    <w:p w14:paraId="09F943C1">
      <w:pPr>
        <w:pStyle w:val="81"/>
        <w:rPr>
          <w:rFonts w:hint="eastAsia"/>
          <w:color w:val="auto"/>
          <w:highlight w:val="none"/>
        </w:rPr>
      </w:pPr>
    </w:p>
    <w:p w14:paraId="3D983326">
      <w:pPr>
        <w:pStyle w:val="81"/>
        <w:rPr>
          <w:rFonts w:hint="eastAsia"/>
          <w:color w:val="auto"/>
          <w:highlight w:val="none"/>
        </w:rPr>
      </w:pPr>
    </w:p>
    <w:p w14:paraId="708BE912">
      <w:pPr>
        <w:pStyle w:val="81"/>
        <w:rPr>
          <w:rFonts w:hint="eastAsia"/>
          <w:color w:val="auto"/>
          <w:highlight w:val="none"/>
        </w:rPr>
      </w:pPr>
    </w:p>
    <w:p w14:paraId="1CDCF7CF">
      <w:pPr>
        <w:pStyle w:val="81"/>
        <w:rPr>
          <w:rFonts w:hint="eastAsia"/>
          <w:color w:val="auto"/>
          <w:highlight w:val="none"/>
        </w:rPr>
      </w:pPr>
    </w:p>
    <w:p w14:paraId="16229A35">
      <w:pPr>
        <w:wordWrap w:val="0"/>
        <w:overflowPunct w:val="0"/>
        <w:autoSpaceDE w:val="0"/>
        <w:autoSpaceDN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.诚信承诺书格式：</w:t>
      </w:r>
    </w:p>
    <w:p w14:paraId="308D8F70">
      <w:pPr>
        <w:wordWrap w:val="0"/>
        <w:overflowPunct w:val="0"/>
        <w:autoSpaceDE w:val="0"/>
        <w:autoSpaceDN w:val="0"/>
        <w:spacing w:before="120" w:beforeLines="50" w:line="360" w:lineRule="auto"/>
        <w:ind w:firstLine="562"/>
        <w:jc w:val="center"/>
        <w:rPr>
          <w:rFonts w:hint="eastAsia" w:ascii="宋体" w:hAnsi="宋体" w:cs="宋体"/>
          <w:b/>
          <w:color w:val="auto"/>
          <w:sz w:val="28"/>
          <w:szCs w:val="30"/>
          <w:highlight w:val="none"/>
        </w:rPr>
      </w:pPr>
      <w:r>
        <w:rPr>
          <w:rFonts w:hint="eastAsia" w:ascii="宋体" w:hAnsi="宋体" w:cs="宋体"/>
          <w:b/>
          <w:color w:val="auto"/>
          <w:sz w:val="28"/>
          <w:szCs w:val="30"/>
          <w:highlight w:val="none"/>
        </w:rPr>
        <w:t>诚信承诺书</w:t>
      </w:r>
    </w:p>
    <w:p w14:paraId="557C0DDB">
      <w:pPr>
        <w:wordWrap w:val="0"/>
        <w:overflowPunct w:val="0"/>
        <w:autoSpaceDE w:val="0"/>
        <w:autoSpaceDN w:val="0"/>
        <w:spacing w:before="120" w:beforeLines="50" w:line="360" w:lineRule="auto"/>
        <w:ind w:firstLine="562"/>
        <w:jc w:val="center"/>
        <w:rPr>
          <w:rFonts w:hint="eastAsia" w:ascii="宋体" w:hAnsi="宋体" w:cs="宋体"/>
          <w:b/>
          <w:color w:val="auto"/>
          <w:sz w:val="28"/>
          <w:szCs w:val="30"/>
          <w:highlight w:val="none"/>
        </w:rPr>
      </w:pPr>
    </w:p>
    <w:p w14:paraId="1E020943">
      <w:pPr>
        <w:wordWrap w:val="0"/>
        <w:overflowPunct w:val="0"/>
        <w:autoSpaceDE w:val="0"/>
        <w:autoSpaceDN w:val="0"/>
        <w:spacing w:line="360" w:lineRule="auto"/>
        <w:ind w:firstLine="482"/>
        <w:rPr>
          <w:rFonts w:hint="eastAsia" w:ascii="宋体" w:hAnsi="宋体" w:cs="宋体"/>
          <w:color w:val="auto"/>
          <w:sz w:val="24"/>
          <w:highlight w:val="none"/>
        </w:rPr>
      </w:pPr>
      <w:r>
        <w:rPr>
          <w:rFonts w:hint="eastAsia" w:ascii="宋体" w:hAnsi="宋体" w:cs="宋体"/>
          <w:color w:val="auto"/>
          <w:sz w:val="24"/>
          <w:highlight w:val="none"/>
          <w:u w:val="single"/>
          <w:lang w:eastAsia="zh-CN"/>
        </w:rPr>
        <w:t>嘉兴市华信工程咨询有限公司</w:t>
      </w:r>
      <w:r>
        <w:rPr>
          <w:rFonts w:hint="eastAsia" w:ascii="宋体" w:hAnsi="宋体" w:cs="宋体"/>
          <w:color w:val="auto"/>
          <w:sz w:val="24"/>
          <w:highlight w:val="none"/>
        </w:rPr>
        <w:t>：</w:t>
      </w:r>
    </w:p>
    <w:p w14:paraId="3C6906C4">
      <w:pPr>
        <w:wordWrap w:val="0"/>
        <w:overflowPunct w:val="0"/>
        <w:autoSpaceDE w:val="0"/>
        <w:autoSpaceDN w:val="0"/>
        <w:spacing w:line="360" w:lineRule="auto"/>
        <w:ind w:firstLine="482"/>
        <w:rPr>
          <w:rFonts w:hint="eastAsia" w:ascii="宋体" w:hAnsi="宋体" w:cs="宋体"/>
          <w:color w:val="auto"/>
          <w:sz w:val="24"/>
          <w:highlight w:val="none"/>
        </w:rPr>
      </w:pPr>
      <w:r>
        <w:rPr>
          <w:rFonts w:hint="eastAsia" w:ascii="宋体" w:hAnsi="宋体" w:cs="宋体"/>
          <w:color w:val="auto"/>
          <w:sz w:val="24"/>
          <w:highlight w:val="none"/>
        </w:rPr>
        <w:t>我方在参加贵单位的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政府采购项目的招投标活动中，郑重承诺如下：</w:t>
      </w:r>
    </w:p>
    <w:p w14:paraId="63FF7E56">
      <w:pPr>
        <w:wordWrap w:val="0"/>
        <w:overflowPunct w:val="0"/>
        <w:autoSpaceDE w:val="0"/>
        <w:autoSpaceDN w:val="0"/>
        <w:spacing w:line="360" w:lineRule="auto"/>
        <w:ind w:firstLine="482"/>
        <w:rPr>
          <w:rFonts w:hint="eastAsia" w:ascii="宋体" w:hAnsi="宋体" w:cs="宋体"/>
          <w:color w:val="auto"/>
          <w:sz w:val="24"/>
          <w:highlight w:val="none"/>
        </w:rPr>
      </w:pPr>
      <w:r>
        <w:rPr>
          <w:rFonts w:hint="eastAsia" w:ascii="宋体" w:hAnsi="宋体" w:cs="宋体"/>
          <w:color w:val="auto"/>
          <w:sz w:val="24"/>
          <w:highlight w:val="none"/>
        </w:rPr>
        <w:t>1、我方申报的所有资料都是真实、准确、完整的；</w:t>
      </w:r>
    </w:p>
    <w:p w14:paraId="2ADB317B">
      <w:pPr>
        <w:wordWrap w:val="0"/>
        <w:overflowPunct w:val="0"/>
        <w:autoSpaceDE w:val="0"/>
        <w:autoSpaceDN w:val="0"/>
        <w:spacing w:line="360" w:lineRule="auto"/>
        <w:ind w:firstLine="482"/>
        <w:rPr>
          <w:rFonts w:hint="eastAsia" w:ascii="宋体" w:hAnsi="宋体" w:cs="宋体"/>
          <w:color w:val="auto"/>
          <w:sz w:val="24"/>
          <w:highlight w:val="none"/>
        </w:rPr>
      </w:pPr>
      <w:r>
        <w:rPr>
          <w:rFonts w:hint="eastAsia" w:ascii="宋体" w:hAnsi="宋体" w:cs="宋体"/>
          <w:color w:val="auto"/>
          <w:sz w:val="24"/>
          <w:highlight w:val="none"/>
        </w:rPr>
        <w:t>2、我方无资质挂靠情形，保证不参与串标、围标及抬标；</w:t>
      </w:r>
    </w:p>
    <w:p w14:paraId="19C0B20A">
      <w:pPr>
        <w:wordWrap w:val="0"/>
        <w:overflowPunct w:val="0"/>
        <w:autoSpaceDE w:val="0"/>
        <w:autoSpaceDN w:val="0"/>
        <w:spacing w:line="360" w:lineRule="auto"/>
        <w:ind w:firstLine="482"/>
        <w:rPr>
          <w:rFonts w:hint="eastAsia" w:ascii="宋体" w:hAnsi="宋体" w:cs="宋体"/>
          <w:color w:val="auto"/>
          <w:sz w:val="24"/>
          <w:highlight w:val="none"/>
        </w:rPr>
      </w:pPr>
      <w:r>
        <w:rPr>
          <w:rFonts w:hint="eastAsia" w:ascii="宋体" w:hAnsi="宋体" w:cs="宋体"/>
          <w:color w:val="auto"/>
          <w:sz w:val="24"/>
          <w:highlight w:val="none"/>
        </w:rPr>
        <w:t>3、我方没有被各级行政主管部门做出停止市场行为的处罚；</w:t>
      </w:r>
    </w:p>
    <w:p w14:paraId="019F47D8">
      <w:pPr>
        <w:wordWrap w:val="0"/>
        <w:overflowPunct w:val="0"/>
        <w:autoSpaceDE w:val="0"/>
        <w:autoSpaceDN w:val="0"/>
        <w:spacing w:line="360" w:lineRule="auto"/>
        <w:ind w:firstLine="482"/>
        <w:rPr>
          <w:rFonts w:hint="eastAsia" w:ascii="宋体" w:hAnsi="宋体" w:cs="宋体"/>
          <w:color w:val="auto"/>
          <w:sz w:val="24"/>
          <w:highlight w:val="none"/>
        </w:rPr>
      </w:pPr>
      <w:r>
        <w:rPr>
          <w:rFonts w:hint="eastAsia" w:ascii="宋体" w:hAnsi="宋体" w:cs="宋体"/>
          <w:color w:val="auto"/>
          <w:sz w:val="24"/>
          <w:highlight w:val="none"/>
        </w:rPr>
        <w:t>4、若我方中标，将严格按照规定及时与采购人签订合同；</w:t>
      </w:r>
    </w:p>
    <w:p w14:paraId="6D9AACA0">
      <w:pPr>
        <w:wordWrap w:val="0"/>
        <w:overflowPunct w:val="0"/>
        <w:autoSpaceDE w:val="0"/>
        <w:autoSpaceDN w:val="0"/>
        <w:spacing w:line="360" w:lineRule="auto"/>
        <w:ind w:firstLine="482"/>
        <w:rPr>
          <w:rFonts w:hint="eastAsia" w:ascii="宋体" w:hAnsi="宋体" w:cs="宋体"/>
          <w:color w:val="auto"/>
          <w:sz w:val="24"/>
          <w:highlight w:val="none"/>
        </w:rPr>
      </w:pPr>
      <w:r>
        <w:rPr>
          <w:rFonts w:hint="eastAsia" w:ascii="宋体" w:hAnsi="宋体" w:cs="宋体"/>
          <w:color w:val="auto"/>
          <w:sz w:val="24"/>
          <w:highlight w:val="none"/>
        </w:rPr>
        <w:t>5、若我方中标，将严格按照招标文件及投标文件所承诺的报价、质量、工期、投标方案、项目负责人等内容组织实施；</w:t>
      </w:r>
    </w:p>
    <w:p w14:paraId="4F2E511D">
      <w:pPr>
        <w:wordWrap w:val="0"/>
        <w:overflowPunct w:val="0"/>
        <w:autoSpaceDE w:val="0"/>
        <w:autoSpaceDN w:val="0"/>
        <w:spacing w:line="360" w:lineRule="auto"/>
        <w:ind w:firstLine="482"/>
        <w:rPr>
          <w:rFonts w:hint="eastAsia" w:ascii="宋体" w:hAnsi="宋体" w:cs="宋体"/>
          <w:color w:val="auto"/>
          <w:sz w:val="24"/>
          <w:highlight w:val="none"/>
        </w:rPr>
      </w:pPr>
      <w:r>
        <w:rPr>
          <w:rFonts w:hint="eastAsia" w:ascii="宋体" w:hAnsi="宋体" w:cs="宋体"/>
          <w:color w:val="auto"/>
          <w:sz w:val="24"/>
          <w:highlight w:val="none"/>
        </w:rPr>
        <w:t>我方若违反上述承诺，隐瞒、提供虚假资料或不按招标文件要求组织实施或参与串标围标等行为，被贵方发现或被他人举报查实，无条件接受贵方、行政主管部门作出的取消投标资格、中标资格、解除合同、拒绝后续政府采购投标、不良行为记录等的处罚。对造成的损失，任何法律和经济责任完全由我方负责。</w:t>
      </w:r>
    </w:p>
    <w:p w14:paraId="3F7D2C7A">
      <w:pPr>
        <w:wordWrap w:val="0"/>
        <w:overflowPunct w:val="0"/>
        <w:autoSpaceDE w:val="0"/>
        <w:autoSpaceDN w:val="0"/>
        <w:spacing w:line="360" w:lineRule="auto"/>
        <w:ind w:firstLine="482"/>
        <w:rPr>
          <w:rFonts w:hint="eastAsia" w:ascii="宋体" w:hAnsi="宋体" w:cs="宋体"/>
          <w:color w:val="auto"/>
          <w:sz w:val="24"/>
          <w:highlight w:val="none"/>
        </w:rPr>
      </w:pPr>
      <w:r>
        <w:rPr>
          <w:rFonts w:hint="eastAsia" w:ascii="宋体" w:hAnsi="宋体" w:cs="宋体"/>
          <w:color w:val="auto"/>
          <w:sz w:val="24"/>
          <w:highlight w:val="none"/>
        </w:rPr>
        <w:t>特此承诺。</w:t>
      </w:r>
    </w:p>
    <w:p w14:paraId="2C836903">
      <w:pPr>
        <w:wordWrap w:val="0"/>
        <w:overflowPunct w:val="0"/>
        <w:autoSpaceDE w:val="0"/>
        <w:autoSpaceDN w:val="0"/>
        <w:spacing w:line="360" w:lineRule="auto"/>
        <w:ind w:firstLine="482"/>
        <w:rPr>
          <w:rFonts w:hint="eastAsia" w:ascii="宋体" w:hAnsi="宋体" w:cs="宋体"/>
          <w:color w:val="auto"/>
          <w:sz w:val="24"/>
          <w:highlight w:val="none"/>
        </w:rPr>
      </w:pPr>
    </w:p>
    <w:p w14:paraId="05E9A1BA">
      <w:pPr>
        <w:wordWrap w:val="0"/>
        <w:overflowPunct w:val="0"/>
        <w:autoSpaceDE w:val="0"/>
        <w:autoSpaceDN w:val="0"/>
        <w:spacing w:line="360" w:lineRule="auto"/>
        <w:ind w:firstLine="482"/>
        <w:rPr>
          <w:rFonts w:hint="eastAsia" w:ascii="宋体" w:hAnsi="宋体" w:cs="宋体"/>
          <w:color w:val="auto"/>
          <w:sz w:val="24"/>
          <w:highlight w:val="none"/>
        </w:rPr>
      </w:pPr>
      <w:r>
        <w:rPr>
          <w:rFonts w:hint="eastAsia" w:ascii="宋体" w:hAnsi="宋体" w:cs="宋体"/>
          <w:color w:val="auto"/>
          <w:sz w:val="24"/>
          <w:highlight w:val="none"/>
        </w:rPr>
        <w:t>承诺单位：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（加盖公章）</w:t>
      </w:r>
    </w:p>
    <w:p w14:paraId="2C4C09D3">
      <w:pPr>
        <w:wordWrap w:val="0"/>
        <w:overflowPunct w:val="0"/>
        <w:autoSpaceDE w:val="0"/>
        <w:autoSpaceDN w:val="0"/>
        <w:spacing w:line="360" w:lineRule="auto"/>
        <w:ind w:firstLine="482"/>
        <w:rPr>
          <w:rFonts w:hint="eastAsia" w:ascii="宋体" w:hAnsi="宋体" w:cs="宋体"/>
          <w:color w:val="auto"/>
          <w:sz w:val="24"/>
          <w:highlight w:val="none"/>
        </w:rPr>
      </w:pPr>
      <w:r>
        <w:rPr>
          <w:rFonts w:hint="eastAsia" w:ascii="宋体" w:hAnsi="宋体" w:cs="宋体"/>
          <w:color w:val="auto"/>
          <w:sz w:val="24"/>
          <w:highlight w:val="none"/>
        </w:rPr>
        <w:t>法定代表人或被授权人签字（或盖章）：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2B94F44">
      <w:pPr>
        <w:wordWrap w:val="0"/>
        <w:overflowPunct w:val="0"/>
        <w:autoSpaceDE w:val="0"/>
        <w:autoSpaceDN w:val="0"/>
        <w:spacing w:line="360" w:lineRule="auto"/>
        <w:ind w:firstLine="482"/>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2809B60">
      <w:pPr>
        <w:wordWrap w:val="0"/>
        <w:overflowPunct w:val="0"/>
        <w:autoSpaceDE w:val="0"/>
        <w:autoSpaceDN w:val="0"/>
        <w:spacing w:line="360" w:lineRule="auto"/>
        <w:ind w:firstLine="482"/>
        <w:rPr>
          <w:rFonts w:hint="eastAsia" w:ascii="宋体" w:hAnsi="宋体" w:cs="宋体"/>
          <w:color w:val="auto"/>
          <w:sz w:val="24"/>
          <w:highlight w:val="none"/>
          <w:u w:val="single"/>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 xml:space="preserve">                                           </w:t>
      </w:r>
    </w:p>
    <w:p w14:paraId="79542E69">
      <w:pPr>
        <w:wordWrap w:val="0"/>
        <w:overflowPunct w:val="0"/>
        <w:autoSpaceDE w:val="0"/>
        <w:autoSpaceDN w:val="0"/>
        <w:spacing w:line="360" w:lineRule="auto"/>
        <w:ind w:firstLine="482"/>
        <w:rPr>
          <w:rFonts w:hint="eastAsia"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                                           </w:t>
      </w:r>
    </w:p>
    <w:p w14:paraId="43B00E9C">
      <w:pPr>
        <w:wordWrap w:val="0"/>
        <w:overflowPunct w:val="0"/>
        <w:autoSpaceDE w:val="0"/>
        <w:autoSpaceDN w:val="0"/>
        <w:spacing w:line="360" w:lineRule="auto"/>
        <w:ind w:firstLine="482"/>
        <w:rPr>
          <w:rFonts w:hint="eastAsia"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62A57F2">
      <w:pPr>
        <w:wordWrap w:val="0"/>
        <w:overflowPunct w:val="0"/>
        <w:autoSpaceDE w:val="0"/>
        <w:autoSpaceDN w:val="0"/>
        <w:spacing w:line="360" w:lineRule="auto"/>
        <w:ind w:firstLine="480"/>
        <w:rPr>
          <w:rFonts w:hint="eastAsia" w:ascii="宋体" w:hAnsi="宋体" w:cs="宋体"/>
          <w:color w:val="auto"/>
          <w:sz w:val="24"/>
          <w:highlight w:val="none"/>
        </w:rPr>
      </w:pPr>
    </w:p>
    <w:p w14:paraId="58A38352">
      <w:pPr>
        <w:wordWrap w:val="0"/>
        <w:overflowPunct w:val="0"/>
        <w:autoSpaceDE w:val="0"/>
        <w:autoSpaceDN w:val="0"/>
        <w:spacing w:line="360" w:lineRule="auto"/>
        <w:ind w:firstLine="480"/>
        <w:rPr>
          <w:rFonts w:hint="eastAsia" w:ascii="宋体" w:hAnsi="宋体" w:cs="宋体"/>
          <w:color w:val="auto"/>
          <w:sz w:val="24"/>
          <w:highlight w:val="none"/>
        </w:rPr>
      </w:pPr>
    </w:p>
    <w:p w14:paraId="09F5F8F0">
      <w:pPr>
        <w:pStyle w:val="2"/>
        <w:rPr>
          <w:rFonts w:hint="eastAsia"/>
          <w:highlight w:val="none"/>
        </w:rPr>
      </w:pPr>
    </w:p>
    <w:p w14:paraId="1C489634">
      <w:pPr>
        <w:wordWrap w:val="0"/>
        <w:overflowPunct w:val="0"/>
        <w:autoSpaceDE w:val="0"/>
        <w:autoSpaceDN w:val="0"/>
        <w:snapToGrid w:val="0"/>
        <w:spacing w:before="50" w:after="120" w:afterLines="50" w:line="360" w:lineRule="auto"/>
        <w:rPr>
          <w:rFonts w:hint="eastAsia" w:ascii="宋体" w:hAnsi="宋体" w:cs="宋体"/>
          <w:b/>
          <w:bCs/>
          <w:color w:val="auto"/>
          <w:sz w:val="24"/>
          <w:highlight w:val="none"/>
          <w:lang w:val="en-US" w:eastAsia="zh-CN"/>
        </w:rPr>
      </w:pPr>
    </w:p>
    <w:p w14:paraId="222440D8">
      <w:pPr>
        <w:wordWrap w:val="0"/>
        <w:overflowPunct w:val="0"/>
        <w:autoSpaceDE w:val="0"/>
        <w:autoSpaceDN w:val="0"/>
        <w:snapToGrid w:val="0"/>
        <w:spacing w:before="50" w:after="120" w:afterLines="50" w:line="360" w:lineRule="auto"/>
        <w:rPr>
          <w:rFonts w:hint="eastAsia" w:ascii="宋体" w:hAnsi="宋体" w:cs="宋体"/>
          <w:b/>
          <w:bCs/>
          <w:color w:val="auto"/>
          <w:sz w:val="24"/>
          <w:highlight w:val="none"/>
          <w:lang w:val="en-US" w:eastAsia="zh-CN"/>
        </w:rPr>
      </w:pPr>
    </w:p>
    <w:p w14:paraId="1B889888">
      <w:pPr>
        <w:wordWrap w:val="0"/>
        <w:overflowPunct w:val="0"/>
        <w:autoSpaceDE w:val="0"/>
        <w:autoSpaceDN w:val="0"/>
        <w:snapToGrid w:val="0"/>
        <w:spacing w:before="50" w:after="120" w:afterLines="50"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.无重大违法记录声明函</w:t>
      </w:r>
    </w:p>
    <w:p w14:paraId="27C41996">
      <w:pPr>
        <w:wordWrap w:val="0"/>
        <w:overflowPunct w:val="0"/>
        <w:autoSpaceDE w:val="0"/>
        <w:autoSpaceDN w:val="0"/>
        <w:snapToGrid w:val="0"/>
        <w:spacing w:before="50" w:after="120" w:afterLines="50" w:line="360" w:lineRule="auto"/>
        <w:rPr>
          <w:rFonts w:hint="eastAsia" w:ascii="宋体" w:hAnsi="宋体" w:cs="宋体"/>
          <w:b/>
          <w:color w:val="auto"/>
          <w:sz w:val="24"/>
          <w:highlight w:val="none"/>
        </w:rPr>
      </w:pPr>
    </w:p>
    <w:p w14:paraId="590DA55F">
      <w:pPr>
        <w:wordWrap w:val="0"/>
        <w:overflowPunct w:val="0"/>
        <w:autoSpaceDE w:val="0"/>
        <w:autoSpaceDN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无重大违法记录声明函</w:t>
      </w:r>
    </w:p>
    <w:p w14:paraId="40A3D55F">
      <w:pPr>
        <w:wordWrap w:val="0"/>
        <w:overflowPunct w:val="0"/>
        <w:autoSpaceDE w:val="0"/>
        <w:autoSpaceDN w:val="0"/>
        <w:spacing w:line="360" w:lineRule="auto"/>
        <w:jc w:val="center"/>
        <w:rPr>
          <w:rFonts w:hint="eastAsia" w:ascii="宋体" w:hAnsi="宋体" w:cs="宋体"/>
          <w:b/>
          <w:color w:val="auto"/>
          <w:sz w:val="32"/>
          <w:highlight w:val="none"/>
        </w:rPr>
      </w:pPr>
    </w:p>
    <w:p w14:paraId="231D2D89">
      <w:pPr>
        <w:wordWrap w:val="0"/>
        <w:overflowPunct w:val="0"/>
        <w:autoSpaceDE w:val="0"/>
        <w:autoSpaceDN w:val="0"/>
        <w:spacing w:line="600" w:lineRule="exact"/>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color w:val="auto"/>
          <w:sz w:val="24"/>
          <w:highlight w:val="none"/>
          <w:lang w:eastAsia="zh-CN"/>
        </w:rPr>
        <w:t>嘉兴市华信工程咨询有限公司</w:t>
      </w:r>
    </w:p>
    <w:p w14:paraId="47B56D9C">
      <w:pPr>
        <w:wordWrap w:val="0"/>
        <w:overflowPunct w:val="0"/>
        <w:autoSpaceDE w:val="0"/>
        <w:autoSpaceDN w:val="0"/>
        <w:spacing w:line="60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    针对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投标，本公司作出如下承诺：</w:t>
      </w:r>
    </w:p>
    <w:p w14:paraId="7CD0DBC5">
      <w:pPr>
        <w:wordWrap w:val="0"/>
        <w:overflowPunct w:val="0"/>
        <w:autoSpaceDE w:val="0"/>
        <w:autoSpaceDN w:val="0"/>
        <w:spacing w:line="600" w:lineRule="exact"/>
        <w:ind w:firstLine="480"/>
        <w:rPr>
          <w:rFonts w:hint="eastAsia" w:ascii="宋体" w:hAnsi="宋体" w:cs="宋体"/>
          <w:color w:val="auto"/>
          <w:sz w:val="24"/>
          <w:highlight w:val="none"/>
        </w:rPr>
      </w:pPr>
      <w:r>
        <w:rPr>
          <w:rFonts w:hint="eastAsia" w:ascii="宋体" w:hAnsi="宋体" w:cs="宋体"/>
          <w:color w:val="auto"/>
          <w:sz w:val="24"/>
          <w:highlight w:val="none"/>
        </w:rPr>
        <w:t>本公司参加政府采购活动前三年内，没有因违法经营受到刑事处罚或者停产停业、吊销许可证或者执照、较大数额罚款等行政处罚。</w:t>
      </w:r>
    </w:p>
    <w:p w14:paraId="04264147">
      <w:pPr>
        <w:pStyle w:val="91"/>
        <w:rPr>
          <w:rFonts w:hint="eastAsia"/>
          <w:color w:val="auto"/>
          <w:highlight w:val="none"/>
        </w:rPr>
      </w:pPr>
    </w:p>
    <w:p w14:paraId="790494FA">
      <w:pPr>
        <w:tabs>
          <w:tab w:val="left" w:pos="5760"/>
        </w:tabs>
        <w:wordWrap w:val="0"/>
        <w:spacing w:line="480" w:lineRule="exact"/>
        <w:ind w:firstLine="720"/>
        <w:jc w:val="right"/>
        <w:rPr>
          <w:rFonts w:hint="eastAsia" w:ascii="宋体" w:hAnsi="宋体" w:cs="宋体"/>
          <w:color w:val="auto"/>
          <w:sz w:val="24"/>
          <w:highlight w:val="none"/>
        </w:rPr>
      </w:pPr>
      <w:r>
        <w:rPr>
          <w:rFonts w:hint="eastAsia" w:ascii="宋体" w:hAnsi="宋体" w:cs="宋体"/>
          <w:color w:val="auto"/>
          <w:sz w:val="24"/>
          <w:highlight w:val="none"/>
        </w:rPr>
        <w:t>投标人（盖章）：</w:t>
      </w:r>
      <w:r>
        <w:rPr>
          <w:rFonts w:hint="eastAsia" w:ascii="宋体" w:hAnsi="宋体" w:cs="宋体"/>
          <w:color w:val="auto"/>
          <w:sz w:val="24"/>
          <w:highlight w:val="none"/>
          <w:u w:val="single"/>
        </w:rPr>
        <w:t xml:space="preserve">                       </w:t>
      </w:r>
    </w:p>
    <w:p w14:paraId="7A8F4EA7">
      <w:pPr>
        <w:tabs>
          <w:tab w:val="left" w:pos="5760"/>
        </w:tabs>
        <w:wordWrap w:val="0"/>
        <w:spacing w:line="480" w:lineRule="exact"/>
        <w:ind w:firstLine="720"/>
        <w:jc w:val="right"/>
        <w:rPr>
          <w:rFonts w:hint="eastAsia" w:ascii="宋体" w:hAnsi="宋体" w:cs="宋体"/>
          <w:color w:val="auto"/>
          <w:sz w:val="24"/>
          <w:highlight w:val="none"/>
        </w:rPr>
      </w:pPr>
      <w:r>
        <w:rPr>
          <w:rFonts w:hint="eastAsia" w:ascii="宋体" w:hAnsi="宋体" w:cs="宋体"/>
          <w:color w:val="auto"/>
          <w:sz w:val="24"/>
          <w:highlight w:val="none"/>
        </w:rPr>
        <w:t xml:space="preserve">             法定代表人或授权代表人签字（或盖章）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111F8FD3">
      <w:pPr>
        <w:wordWrap w:val="0"/>
        <w:spacing w:line="480" w:lineRule="exact"/>
        <w:ind w:firstLine="480"/>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D42821E">
      <w:pPr>
        <w:wordWrap w:val="0"/>
        <w:overflowPunct w:val="0"/>
        <w:autoSpaceDE w:val="0"/>
        <w:autoSpaceDN w:val="0"/>
        <w:spacing w:line="360" w:lineRule="auto"/>
        <w:ind w:firstLine="480"/>
        <w:jc w:val="right"/>
        <w:rPr>
          <w:rFonts w:hint="eastAsia" w:ascii="宋体" w:hAnsi="宋体" w:cs="宋体"/>
          <w:color w:val="auto"/>
          <w:sz w:val="24"/>
          <w:highlight w:val="none"/>
        </w:rPr>
      </w:pPr>
    </w:p>
    <w:p w14:paraId="0868CF59">
      <w:pPr>
        <w:wordWrap w:val="0"/>
        <w:overflowPunct w:val="0"/>
        <w:autoSpaceDE w:val="0"/>
        <w:autoSpaceDN w:val="0"/>
        <w:snapToGrid w:val="0"/>
        <w:spacing w:before="50" w:after="120" w:afterLines="50" w:line="360" w:lineRule="auto"/>
        <w:ind w:firstLine="480"/>
        <w:rPr>
          <w:rFonts w:hint="eastAsia" w:ascii="宋体" w:hAnsi="宋体" w:cs="宋体"/>
          <w:color w:val="auto"/>
          <w:sz w:val="24"/>
          <w:highlight w:val="none"/>
        </w:rPr>
      </w:pPr>
    </w:p>
    <w:p w14:paraId="72942FFC">
      <w:pPr>
        <w:wordWrap w:val="0"/>
        <w:overflowPunct w:val="0"/>
        <w:autoSpaceDE w:val="0"/>
        <w:autoSpaceDN w:val="0"/>
        <w:snapToGrid w:val="0"/>
        <w:spacing w:before="50" w:after="120" w:afterLines="50" w:line="360" w:lineRule="auto"/>
        <w:ind w:firstLine="480"/>
        <w:rPr>
          <w:rFonts w:hint="eastAsia" w:ascii="宋体" w:hAnsi="宋体" w:cs="宋体"/>
          <w:color w:val="auto"/>
          <w:sz w:val="24"/>
          <w:highlight w:val="none"/>
        </w:rPr>
      </w:pPr>
    </w:p>
    <w:p w14:paraId="4802988B">
      <w:pPr>
        <w:wordWrap w:val="0"/>
        <w:overflowPunct w:val="0"/>
        <w:autoSpaceDE w:val="0"/>
        <w:autoSpaceDN w:val="0"/>
        <w:snapToGrid w:val="0"/>
        <w:spacing w:before="50" w:after="120" w:afterLines="50" w:line="360" w:lineRule="auto"/>
        <w:ind w:firstLine="480"/>
        <w:rPr>
          <w:rFonts w:hint="eastAsia" w:ascii="宋体" w:hAnsi="宋体" w:cs="宋体"/>
          <w:color w:val="auto"/>
          <w:sz w:val="24"/>
          <w:highlight w:val="none"/>
        </w:rPr>
      </w:pPr>
    </w:p>
    <w:p w14:paraId="40EB685F">
      <w:pPr>
        <w:wordWrap w:val="0"/>
        <w:overflowPunct w:val="0"/>
        <w:autoSpaceDE w:val="0"/>
        <w:autoSpaceDN w:val="0"/>
        <w:snapToGrid w:val="0"/>
        <w:spacing w:before="50" w:after="120" w:afterLines="50" w:line="360" w:lineRule="auto"/>
        <w:ind w:firstLine="480"/>
        <w:rPr>
          <w:rFonts w:hint="eastAsia" w:ascii="宋体" w:hAnsi="宋体" w:cs="宋体"/>
          <w:color w:val="auto"/>
          <w:sz w:val="24"/>
          <w:highlight w:val="none"/>
        </w:rPr>
      </w:pPr>
    </w:p>
    <w:p w14:paraId="3A49779A">
      <w:pPr>
        <w:wordWrap w:val="0"/>
        <w:overflowPunct w:val="0"/>
        <w:autoSpaceDE w:val="0"/>
        <w:autoSpaceDN w:val="0"/>
        <w:snapToGrid w:val="0"/>
        <w:spacing w:before="50" w:after="120" w:afterLines="50" w:line="360" w:lineRule="auto"/>
        <w:ind w:firstLine="480"/>
        <w:rPr>
          <w:rFonts w:hint="eastAsia" w:ascii="宋体" w:hAnsi="宋体" w:cs="宋体"/>
          <w:color w:val="auto"/>
          <w:sz w:val="24"/>
          <w:highlight w:val="none"/>
        </w:rPr>
      </w:pPr>
    </w:p>
    <w:p w14:paraId="1B02334B">
      <w:pPr>
        <w:wordWrap w:val="0"/>
        <w:overflowPunct w:val="0"/>
        <w:autoSpaceDE w:val="0"/>
        <w:autoSpaceDN w:val="0"/>
        <w:snapToGrid w:val="0"/>
        <w:spacing w:before="50" w:after="120" w:afterLines="50" w:line="360" w:lineRule="auto"/>
        <w:ind w:firstLine="480"/>
        <w:rPr>
          <w:rFonts w:hint="eastAsia" w:ascii="宋体" w:hAnsi="宋体" w:cs="宋体"/>
          <w:color w:val="auto"/>
          <w:sz w:val="24"/>
          <w:highlight w:val="none"/>
        </w:rPr>
      </w:pPr>
    </w:p>
    <w:p w14:paraId="606D5E1E">
      <w:pPr>
        <w:wordWrap w:val="0"/>
        <w:overflowPunct w:val="0"/>
        <w:autoSpaceDE w:val="0"/>
        <w:autoSpaceDN w:val="0"/>
        <w:snapToGrid w:val="0"/>
        <w:spacing w:before="50" w:after="120" w:afterLines="50" w:line="360" w:lineRule="auto"/>
        <w:ind w:firstLine="480"/>
        <w:rPr>
          <w:rFonts w:hint="eastAsia" w:ascii="宋体" w:hAnsi="宋体" w:cs="宋体"/>
          <w:color w:val="auto"/>
          <w:sz w:val="24"/>
          <w:highlight w:val="none"/>
        </w:rPr>
      </w:pPr>
    </w:p>
    <w:p w14:paraId="7B196A35">
      <w:pPr>
        <w:wordWrap w:val="0"/>
        <w:overflowPunct w:val="0"/>
        <w:autoSpaceDE w:val="0"/>
        <w:autoSpaceDN w:val="0"/>
        <w:snapToGrid w:val="0"/>
        <w:spacing w:before="50" w:after="120" w:afterLines="50" w:line="360" w:lineRule="auto"/>
        <w:ind w:firstLine="480"/>
        <w:rPr>
          <w:rFonts w:hint="eastAsia" w:ascii="宋体" w:hAnsi="宋体" w:cs="宋体"/>
          <w:color w:val="auto"/>
          <w:sz w:val="24"/>
          <w:highlight w:val="none"/>
        </w:rPr>
      </w:pPr>
    </w:p>
    <w:p w14:paraId="4934DDF6">
      <w:pPr>
        <w:wordWrap w:val="0"/>
        <w:overflowPunct w:val="0"/>
        <w:autoSpaceDE w:val="0"/>
        <w:autoSpaceDN w:val="0"/>
        <w:snapToGrid w:val="0"/>
        <w:spacing w:before="50" w:after="120" w:afterLines="50" w:line="360" w:lineRule="auto"/>
        <w:rPr>
          <w:rFonts w:hint="eastAsia" w:ascii="宋体" w:hAnsi="宋体" w:cs="宋体"/>
          <w:b/>
          <w:bCs/>
          <w:color w:val="auto"/>
          <w:sz w:val="24"/>
          <w:highlight w:val="none"/>
          <w:lang w:val="en-US" w:eastAsia="zh-CN"/>
        </w:rPr>
      </w:pPr>
    </w:p>
    <w:p w14:paraId="2DDCA36C">
      <w:pPr>
        <w:wordWrap w:val="0"/>
        <w:overflowPunct w:val="0"/>
        <w:autoSpaceDE w:val="0"/>
        <w:autoSpaceDN w:val="0"/>
        <w:snapToGrid w:val="0"/>
        <w:spacing w:before="50" w:after="120" w:afterLines="50" w:line="360" w:lineRule="auto"/>
        <w:rPr>
          <w:rFonts w:hint="eastAsia" w:ascii="宋体" w:hAnsi="宋体" w:cs="宋体"/>
          <w:b/>
          <w:bCs/>
          <w:color w:val="auto"/>
          <w:sz w:val="24"/>
          <w:highlight w:val="none"/>
          <w:lang w:val="en-US" w:eastAsia="zh-CN"/>
        </w:rPr>
      </w:pPr>
    </w:p>
    <w:p w14:paraId="5AE4FF92">
      <w:pPr>
        <w:wordWrap w:val="0"/>
        <w:overflowPunct w:val="0"/>
        <w:autoSpaceDE w:val="0"/>
        <w:autoSpaceDN w:val="0"/>
        <w:snapToGrid w:val="0"/>
        <w:spacing w:before="50" w:after="120" w:afterLines="50" w:line="360" w:lineRule="auto"/>
        <w:rPr>
          <w:rFonts w:hint="eastAsia" w:ascii="宋体" w:hAnsi="宋体" w:cs="宋体"/>
          <w:b/>
          <w:color w:val="auto"/>
          <w:sz w:val="24"/>
          <w:highlight w:val="none"/>
        </w:rPr>
      </w:pP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w:t>
      </w:r>
      <w:r>
        <w:rPr>
          <w:rFonts w:hint="eastAsia" w:ascii="宋体" w:hAnsi="宋体" w:cs="宋体"/>
          <w:b/>
          <w:color w:val="auto"/>
          <w:sz w:val="24"/>
          <w:highlight w:val="none"/>
        </w:rPr>
        <w:t>法定代表人资格证明书格式</w:t>
      </w:r>
    </w:p>
    <w:p w14:paraId="06CC6809">
      <w:pPr>
        <w:wordWrap w:val="0"/>
        <w:overflowPunct w:val="0"/>
        <w:autoSpaceDE w:val="0"/>
        <w:autoSpaceDN w:val="0"/>
        <w:snapToGrid w:val="0"/>
        <w:spacing w:before="50" w:after="120" w:afterLines="50" w:line="360" w:lineRule="auto"/>
        <w:rPr>
          <w:rFonts w:hint="eastAsia" w:ascii="宋体" w:hAnsi="宋体" w:cs="宋体"/>
          <w:b/>
          <w:color w:val="auto"/>
          <w:sz w:val="24"/>
          <w:highlight w:val="none"/>
        </w:rPr>
      </w:pPr>
    </w:p>
    <w:p w14:paraId="23E2643D">
      <w:pPr>
        <w:wordWrap w:val="0"/>
        <w:overflowPunct w:val="0"/>
        <w:autoSpaceDE w:val="0"/>
        <w:autoSpaceDN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法定代表人资格证明书</w:t>
      </w:r>
    </w:p>
    <w:p w14:paraId="06B2CE50">
      <w:pPr>
        <w:wordWrap w:val="0"/>
        <w:overflowPunct w:val="0"/>
        <w:autoSpaceDE w:val="0"/>
        <w:autoSpaceDN w:val="0"/>
        <w:spacing w:line="360" w:lineRule="auto"/>
        <w:jc w:val="center"/>
        <w:rPr>
          <w:rFonts w:hint="eastAsia" w:ascii="宋体" w:hAnsi="宋体" w:cs="宋体"/>
          <w:b/>
          <w:color w:val="auto"/>
          <w:sz w:val="32"/>
          <w:highlight w:val="none"/>
        </w:rPr>
      </w:pPr>
    </w:p>
    <w:p w14:paraId="2F21C265">
      <w:pPr>
        <w:pStyle w:val="16"/>
        <w:wordWrap w:val="0"/>
        <w:overflowPunct w:val="0"/>
        <w:autoSpaceDE w:val="0"/>
        <w:autoSpaceDN w:val="0"/>
        <w:spacing w:before="0" w:beforeLines="0" w:after="0" w:afterLines="0" w:line="360" w:lineRule="auto"/>
        <w:ind w:firstLine="486" w:firstLineChars="200"/>
        <w:rPr>
          <w:rFonts w:hint="eastAsia" w:hAnsi="宋体" w:eastAsia="宋体" w:cs="宋体"/>
          <w:color w:val="auto"/>
          <w:sz w:val="24"/>
          <w:szCs w:val="24"/>
          <w:highlight w:val="none"/>
          <w:u w:val="single"/>
        </w:rPr>
      </w:pPr>
      <w:r>
        <w:rPr>
          <w:rFonts w:hint="eastAsia" w:hAnsi="宋体" w:eastAsia="宋体" w:cs="宋体"/>
          <w:color w:val="auto"/>
          <w:sz w:val="24"/>
          <w:szCs w:val="24"/>
          <w:highlight w:val="none"/>
        </w:rPr>
        <w:t>投标人名称：</w:t>
      </w:r>
      <w:r>
        <w:rPr>
          <w:rFonts w:hint="eastAsia" w:hAnsi="宋体" w:eastAsia="宋体" w:cs="宋体"/>
          <w:color w:val="auto"/>
          <w:sz w:val="24"/>
          <w:szCs w:val="24"/>
          <w:highlight w:val="none"/>
          <w:u w:val="single"/>
        </w:rPr>
        <w:t xml:space="preserve">                                                     </w:t>
      </w:r>
    </w:p>
    <w:p w14:paraId="302BFF01">
      <w:pPr>
        <w:pStyle w:val="16"/>
        <w:wordWrap w:val="0"/>
        <w:overflowPunct w:val="0"/>
        <w:autoSpaceDE w:val="0"/>
        <w:autoSpaceDN w:val="0"/>
        <w:spacing w:before="0" w:beforeLines="0" w:after="0" w:afterLines="0" w:line="360" w:lineRule="auto"/>
        <w:ind w:firstLine="486" w:firstLineChars="200"/>
        <w:rPr>
          <w:rFonts w:hint="eastAsia" w:hAnsi="宋体" w:eastAsia="宋体" w:cs="宋体"/>
          <w:color w:val="auto"/>
          <w:sz w:val="24"/>
          <w:szCs w:val="24"/>
          <w:highlight w:val="none"/>
          <w:u w:val="single"/>
        </w:rPr>
      </w:pPr>
      <w:r>
        <w:rPr>
          <w:rFonts w:hint="eastAsia" w:hAnsi="宋体" w:eastAsia="宋体" w:cs="宋体"/>
          <w:color w:val="auto"/>
          <w:sz w:val="24"/>
          <w:szCs w:val="24"/>
          <w:highlight w:val="none"/>
        </w:rPr>
        <w:t>地址：</w:t>
      </w:r>
      <w:r>
        <w:rPr>
          <w:rFonts w:hint="eastAsia" w:hAnsi="宋体" w:eastAsia="宋体" w:cs="宋体"/>
          <w:color w:val="auto"/>
          <w:sz w:val="24"/>
          <w:szCs w:val="24"/>
          <w:highlight w:val="none"/>
          <w:u w:val="single"/>
        </w:rPr>
        <w:t xml:space="preserve">                                                           </w:t>
      </w:r>
    </w:p>
    <w:p w14:paraId="03661DE8">
      <w:pPr>
        <w:pStyle w:val="16"/>
        <w:wordWrap w:val="0"/>
        <w:overflowPunct w:val="0"/>
        <w:autoSpaceDE w:val="0"/>
        <w:autoSpaceDN w:val="0"/>
        <w:spacing w:before="0" w:beforeLines="0" w:after="0" w:afterLines="0" w:line="360" w:lineRule="auto"/>
        <w:ind w:firstLine="486"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成立时间：</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年</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月</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日</w:t>
      </w:r>
    </w:p>
    <w:p w14:paraId="395E6CED">
      <w:pPr>
        <w:pStyle w:val="16"/>
        <w:wordWrap w:val="0"/>
        <w:overflowPunct w:val="0"/>
        <w:autoSpaceDE w:val="0"/>
        <w:autoSpaceDN w:val="0"/>
        <w:spacing w:before="0" w:beforeLines="0" w:after="0" w:afterLines="0" w:line="360" w:lineRule="auto"/>
        <w:ind w:firstLine="486" w:firstLineChars="200"/>
        <w:rPr>
          <w:rFonts w:hint="eastAsia" w:hAnsi="宋体" w:eastAsia="宋体" w:cs="宋体"/>
          <w:color w:val="auto"/>
          <w:sz w:val="24"/>
          <w:szCs w:val="24"/>
          <w:highlight w:val="none"/>
          <w:u w:val="single"/>
        </w:rPr>
      </w:pPr>
      <w:r>
        <w:rPr>
          <w:rFonts w:hint="eastAsia" w:hAnsi="宋体" w:eastAsia="宋体" w:cs="宋体"/>
          <w:color w:val="auto"/>
          <w:sz w:val="24"/>
          <w:szCs w:val="24"/>
          <w:highlight w:val="none"/>
        </w:rPr>
        <w:t>经营期限：</w:t>
      </w:r>
      <w:r>
        <w:rPr>
          <w:rFonts w:hint="eastAsia" w:hAnsi="宋体" w:eastAsia="宋体" w:cs="宋体"/>
          <w:color w:val="auto"/>
          <w:sz w:val="24"/>
          <w:szCs w:val="24"/>
          <w:highlight w:val="none"/>
          <w:u w:val="single"/>
        </w:rPr>
        <w:t xml:space="preserve">                                                      </w:t>
      </w:r>
    </w:p>
    <w:p w14:paraId="593D4B5F">
      <w:pPr>
        <w:pStyle w:val="16"/>
        <w:wordWrap w:val="0"/>
        <w:overflowPunct w:val="0"/>
        <w:autoSpaceDE w:val="0"/>
        <w:autoSpaceDN w:val="0"/>
        <w:spacing w:before="0" w:beforeLines="0" w:after="0" w:afterLines="0" w:line="360" w:lineRule="auto"/>
        <w:ind w:firstLine="486" w:firstLineChars="200"/>
        <w:rPr>
          <w:rFonts w:hint="eastAsia" w:hAnsi="宋体" w:eastAsia="宋体" w:cs="宋体"/>
          <w:color w:val="auto"/>
          <w:sz w:val="24"/>
          <w:szCs w:val="24"/>
          <w:highlight w:val="none"/>
          <w:u w:val="single"/>
        </w:rPr>
      </w:pPr>
      <w:r>
        <w:rPr>
          <w:rFonts w:hint="eastAsia" w:hAnsi="宋体" w:eastAsia="宋体" w:cs="宋体"/>
          <w:color w:val="auto"/>
          <w:sz w:val="24"/>
          <w:szCs w:val="24"/>
          <w:highlight w:val="none"/>
        </w:rPr>
        <w:t>姓名：</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 xml:space="preserve"> 性别：</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 xml:space="preserve"> 年龄：</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 xml:space="preserve"> 职务：</w:t>
      </w:r>
      <w:r>
        <w:rPr>
          <w:rFonts w:hint="eastAsia" w:hAnsi="宋体" w:eastAsia="宋体" w:cs="宋体"/>
          <w:color w:val="auto"/>
          <w:sz w:val="24"/>
          <w:szCs w:val="24"/>
          <w:highlight w:val="none"/>
          <w:u w:val="single"/>
        </w:rPr>
        <w:t xml:space="preserve">               </w:t>
      </w:r>
    </w:p>
    <w:p w14:paraId="7819792F">
      <w:pPr>
        <w:pStyle w:val="16"/>
        <w:wordWrap w:val="0"/>
        <w:overflowPunct w:val="0"/>
        <w:autoSpaceDE w:val="0"/>
        <w:autoSpaceDN w:val="0"/>
        <w:spacing w:before="0" w:beforeLines="0" w:after="0" w:afterLines="0" w:line="360" w:lineRule="auto"/>
        <w:ind w:firstLine="486"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系</w:t>
      </w:r>
      <w:r>
        <w:rPr>
          <w:rFonts w:hint="eastAsia" w:hAnsi="宋体" w:eastAsia="宋体" w:cs="宋体"/>
          <w:color w:val="auto"/>
          <w:sz w:val="24"/>
          <w:szCs w:val="24"/>
          <w:highlight w:val="none"/>
          <w:u w:val="single"/>
        </w:rPr>
        <w:t xml:space="preserve">       （投标人名称）                   </w:t>
      </w:r>
      <w:r>
        <w:rPr>
          <w:rFonts w:hint="eastAsia" w:hAnsi="宋体" w:eastAsia="宋体" w:cs="宋体"/>
          <w:color w:val="auto"/>
          <w:sz w:val="24"/>
          <w:szCs w:val="24"/>
          <w:highlight w:val="none"/>
        </w:rPr>
        <w:t>的法定代表人。</w:t>
      </w:r>
    </w:p>
    <w:p w14:paraId="49183DA1">
      <w:pPr>
        <w:pStyle w:val="16"/>
        <w:wordWrap w:val="0"/>
        <w:overflowPunct w:val="0"/>
        <w:autoSpaceDE w:val="0"/>
        <w:autoSpaceDN w:val="0"/>
        <w:spacing w:before="0" w:beforeLines="0" w:after="0" w:afterLines="0" w:line="360" w:lineRule="auto"/>
        <w:ind w:firstLine="486"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特此证明。</w:t>
      </w:r>
    </w:p>
    <w:p w14:paraId="762772BD">
      <w:pPr>
        <w:pStyle w:val="16"/>
        <w:wordWrap w:val="0"/>
        <w:spacing w:before="120" w:after="120"/>
        <w:ind w:firstLine="486"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法定代表人身份证复印件（正反面）： </w:t>
      </w:r>
    </w:p>
    <w:p w14:paraId="614E2CCF">
      <w:pPr>
        <w:rPr>
          <w:rFonts w:hint="eastAsia" w:ascii="宋体" w:hAnsi="宋体" w:cs="宋体"/>
          <w:color w:val="auto"/>
          <w:sz w:val="24"/>
          <w:szCs w:val="24"/>
          <w:highlight w:val="none"/>
        </w:rPr>
      </w:pPr>
    </w:p>
    <w:tbl>
      <w:tblPr>
        <w:tblStyle w:val="27"/>
        <w:tblW w:w="8670" w:type="dxa"/>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4305"/>
      </w:tblGrid>
      <w:tr w14:paraId="6524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4365" w:type="dxa"/>
            <w:vAlign w:val="top"/>
          </w:tcPr>
          <w:p w14:paraId="08502133">
            <w:pPr>
              <w:pStyle w:val="5"/>
              <w:outlineLvl w:val="1"/>
              <w:rPr>
                <w:rFonts w:hint="eastAsia" w:ascii="宋体" w:hAnsi="宋体" w:eastAsia="宋体" w:cs="宋体"/>
                <w:color w:val="auto"/>
                <w:sz w:val="24"/>
                <w:szCs w:val="24"/>
                <w:highlight w:val="none"/>
              </w:rPr>
            </w:pPr>
          </w:p>
        </w:tc>
        <w:tc>
          <w:tcPr>
            <w:tcW w:w="4305" w:type="dxa"/>
            <w:vAlign w:val="top"/>
          </w:tcPr>
          <w:p w14:paraId="70BB2592">
            <w:pPr>
              <w:pStyle w:val="5"/>
              <w:outlineLvl w:val="1"/>
              <w:rPr>
                <w:rFonts w:hint="eastAsia" w:ascii="宋体" w:hAnsi="宋体" w:eastAsia="宋体" w:cs="宋体"/>
                <w:color w:val="auto"/>
                <w:sz w:val="24"/>
                <w:szCs w:val="24"/>
                <w:highlight w:val="none"/>
              </w:rPr>
            </w:pPr>
          </w:p>
        </w:tc>
      </w:tr>
    </w:tbl>
    <w:p w14:paraId="11F65130">
      <w:pPr>
        <w:pStyle w:val="16"/>
        <w:wordWrap w:val="0"/>
        <w:overflowPunct w:val="0"/>
        <w:autoSpaceDE w:val="0"/>
        <w:autoSpaceDN w:val="0"/>
        <w:spacing w:before="0" w:beforeLines="0" w:after="0" w:afterLines="0" w:line="360" w:lineRule="auto"/>
        <w:rPr>
          <w:rFonts w:hint="eastAsia" w:hAnsi="宋体" w:eastAsia="宋体" w:cs="宋体"/>
          <w:color w:val="auto"/>
          <w:sz w:val="24"/>
          <w:szCs w:val="24"/>
          <w:highlight w:val="none"/>
        </w:rPr>
      </w:pPr>
    </w:p>
    <w:p w14:paraId="20655BD6">
      <w:pPr>
        <w:pStyle w:val="16"/>
        <w:wordWrap w:val="0"/>
        <w:overflowPunct w:val="0"/>
        <w:autoSpaceDE w:val="0"/>
        <w:autoSpaceDN w:val="0"/>
        <w:spacing w:before="0" w:beforeLines="0" w:after="0" w:afterLines="0" w:line="360" w:lineRule="auto"/>
        <w:ind w:right="482"/>
        <w:jc w:val="right"/>
        <w:rPr>
          <w:rFonts w:hint="eastAsia" w:hAnsi="宋体" w:eastAsia="宋体" w:cs="宋体"/>
          <w:color w:val="auto"/>
          <w:sz w:val="24"/>
          <w:szCs w:val="24"/>
          <w:highlight w:val="none"/>
          <w:u w:val="single"/>
        </w:rPr>
      </w:pPr>
      <w:r>
        <w:rPr>
          <w:rFonts w:hint="eastAsia" w:hAnsi="宋体" w:eastAsia="宋体" w:cs="宋体"/>
          <w:color w:val="auto"/>
          <w:sz w:val="24"/>
          <w:szCs w:val="24"/>
          <w:highlight w:val="none"/>
        </w:rPr>
        <w:t xml:space="preserve">         投标人（盖章）：</w:t>
      </w:r>
      <w:r>
        <w:rPr>
          <w:rFonts w:hint="eastAsia" w:hAnsi="宋体" w:eastAsia="宋体" w:cs="宋体"/>
          <w:color w:val="auto"/>
          <w:sz w:val="24"/>
          <w:szCs w:val="24"/>
          <w:highlight w:val="none"/>
          <w:u w:val="single"/>
        </w:rPr>
        <w:t xml:space="preserve">                         </w:t>
      </w:r>
    </w:p>
    <w:p w14:paraId="56B060F2">
      <w:pPr>
        <w:pStyle w:val="16"/>
        <w:wordWrap w:val="0"/>
        <w:overflowPunct w:val="0"/>
        <w:autoSpaceDE w:val="0"/>
        <w:autoSpaceDN w:val="0"/>
        <w:spacing w:before="0" w:beforeLines="0" w:after="0" w:afterLines="0" w:line="360" w:lineRule="auto"/>
        <w:ind w:left="134" w:leftChars="63" w:firstLine="2004" w:firstLineChars="825"/>
        <w:jc w:val="center"/>
        <w:rPr>
          <w:rFonts w:hint="eastAsia" w:hAnsi="宋体" w:eastAsia="宋体" w:cs="宋体"/>
          <w:color w:val="auto"/>
          <w:highlight w:val="none"/>
          <w:u w:val="none"/>
          <w:lang w:val="en-US" w:eastAsia="zh-CN"/>
        </w:rPr>
      </w:pPr>
      <w:r>
        <w:rPr>
          <w:rFonts w:hint="eastAsia" w:hAnsi="宋体" w:eastAsia="宋体" w:cs="宋体"/>
          <w:color w:val="auto"/>
          <w:sz w:val="24"/>
          <w:szCs w:val="24"/>
          <w:highlight w:val="none"/>
          <w:lang w:val="en-US" w:eastAsia="zh-CN"/>
        </w:rPr>
        <w:t xml:space="preserve">         </w:t>
      </w:r>
      <w:r>
        <w:rPr>
          <w:rFonts w:hint="eastAsia" w:hAnsi="宋体" w:cs="宋体"/>
          <w:color w:val="auto"/>
          <w:sz w:val="24"/>
          <w:szCs w:val="24"/>
          <w:highlight w:val="none"/>
          <w:lang w:val="en-US" w:eastAsia="zh-CN"/>
        </w:rPr>
        <w:t xml:space="preserve"> </w:t>
      </w:r>
      <w:r>
        <w:rPr>
          <w:rFonts w:hint="eastAsia" w:hAnsi="宋体" w:eastAsia="宋体" w:cs="宋体"/>
          <w:color w:val="auto"/>
          <w:sz w:val="24"/>
          <w:szCs w:val="24"/>
          <w:highlight w:val="none"/>
        </w:rPr>
        <w:t>日       期：</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 xml:space="preserve"> </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 xml:space="preserve"> </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年</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月</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none"/>
          <w:lang w:val="en-US" w:eastAsia="zh-CN"/>
        </w:rPr>
        <w:t>日</w:t>
      </w:r>
    </w:p>
    <w:p w14:paraId="1C1C6C59">
      <w:pPr>
        <w:wordWrap w:val="0"/>
        <w:overflowPunct w:val="0"/>
        <w:autoSpaceDE w:val="0"/>
        <w:autoSpaceDN w:val="0"/>
        <w:snapToGrid w:val="0"/>
        <w:spacing w:before="50" w:after="120" w:afterLines="50" w:line="360" w:lineRule="auto"/>
        <w:rPr>
          <w:rFonts w:hint="eastAsia" w:ascii="宋体" w:hAnsi="宋体" w:cs="宋体"/>
          <w:b/>
          <w:color w:val="auto"/>
          <w:sz w:val="24"/>
          <w:highlight w:val="none"/>
        </w:rPr>
      </w:pPr>
    </w:p>
    <w:p w14:paraId="0C392877">
      <w:pPr>
        <w:wordWrap w:val="0"/>
        <w:overflowPunct w:val="0"/>
        <w:autoSpaceDE w:val="0"/>
        <w:autoSpaceDN w:val="0"/>
        <w:snapToGrid w:val="0"/>
        <w:spacing w:before="50" w:after="120" w:afterLines="50" w:line="360" w:lineRule="auto"/>
        <w:rPr>
          <w:rFonts w:hint="eastAsia" w:ascii="宋体" w:hAnsi="宋体" w:cs="宋体"/>
          <w:b/>
          <w:color w:val="auto"/>
          <w:sz w:val="24"/>
          <w:highlight w:val="none"/>
        </w:rPr>
      </w:pPr>
    </w:p>
    <w:p w14:paraId="1F8DB47C">
      <w:pPr>
        <w:pStyle w:val="3"/>
        <w:rPr>
          <w:rFonts w:hint="eastAsia" w:ascii="宋体" w:hAnsi="宋体" w:cs="宋体"/>
          <w:b/>
          <w:color w:val="auto"/>
          <w:sz w:val="24"/>
          <w:highlight w:val="none"/>
        </w:rPr>
      </w:pPr>
    </w:p>
    <w:p w14:paraId="61EE88CF">
      <w:pPr>
        <w:pStyle w:val="2"/>
        <w:rPr>
          <w:rFonts w:hint="eastAsia"/>
          <w:highlight w:val="none"/>
        </w:rPr>
      </w:pPr>
    </w:p>
    <w:p w14:paraId="6A51F085">
      <w:pPr>
        <w:wordWrap w:val="0"/>
        <w:overflowPunct w:val="0"/>
        <w:autoSpaceDE w:val="0"/>
        <w:autoSpaceDN w:val="0"/>
        <w:snapToGrid w:val="0"/>
        <w:spacing w:before="50" w:after="120" w:afterLines="50" w:line="360" w:lineRule="auto"/>
        <w:rPr>
          <w:rFonts w:hint="eastAsia" w:ascii="宋体" w:hAnsi="宋体" w:cs="宋体"/>
          <w:b/>
          <w:color w:val="auto"/>
          <w:sz w:val="24"/>
          <w:highlight w:val="none"/>
          <w:lang w:val="en-US" w:eastAsia="zh-CN"/>
        </w:rPr>
      </w:pPr>
    </w:p>
    <w:p w14:paraId="2C2A7C74">
      <w:pPr>
        <w:wordWrap w:val="0"/>
        <w:overflowPunct w:val="0"/>
        <w:autoSpaceDE w:val="0"/>
        <w:autoSpaceDN w:val="0"/>
        <w:snapToGrid w:val="0"/>
        <w:spacing w:before="50" w:after="120" w:afterLines="50" w:line="360" w:lineRule="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.法定代表人授权委托书格式：</w:t>
      </w:r>
    </w:p>
    <w:p w14:paraId="23341334">
      <w:pPr>
        <w:wordWrap w:val="0"/>
        <w:overflowPunct w:val="0"/>
        <w:autoSpaceDE w:val="0"/>
        <w:autoSpaceDN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法定代表人授权委托书</w:t>
      </w:r>
    </w:p>
    <w:p w14:paraId="66205E62">
      <w:pPr>
        <w:wordWrap w:val="0"/>
        <w:overflowPunct w:val="0"/>
        <w:autoSpaceDE w:val="0"/>
        <w:autoSpaceDN w:val="0"/>
        <w:snapToGrid w:val="0"/>
        <w:spacing w:before="120" w:beforeLines="50" w:line="360" w:lineRule="auto"/>
        <w:rPr>
          <w:rFonts w:hint="eastAsia" w:ascii="宋体" w:hAnsi="宋体" w:cs="宋体"/>
          <w:b/>
          <w:bCs/>
          <w:color w:val="auto"/>
          <w:sz w:val="24"/>
          <w:szCs w:val="24"/>
          <w:highlight w:val="none"/>
        </w:rPr>
      </w:pPr>
      <w:r>
        <w:rPr>
          <w:rFonts w:hint="eastAsia" w:ascii="宋体" w:hAnsi="宋体" w:cs="宋体"/>
          <w:bCs/>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（招标采购单位名称）：</w:t>
      </w:r>
    </w:p>
    <w:p w14:paraId="5E1BDB87">
      <w:pPr>
        <w:wordWrap w:val="0"/>
        <w:overflowPunct w:val="0"/>
        <w:autoSpaceDE w:val="0"/>
        <w:autoSpaceDN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我</w:t>
      </w:r>
      <w:r>
        <w:rPr>
          <w:rFonts w:hint="eastAsia" w:ascii="宋体" w:hAnsi="宋体" w:cs="宋体"/>
          <w:color w:val="auto"/>
          <w:sz w:val="24"/>
          <w:szCs w:val="24"/>
          <w:highlight w:val="none"/>
          <w:u w:val="single"/>
        </w:rPr>
        <w:t xml:space="preserve">          （姓名）</w:t>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（投标人名称）    </w:t>
      </w:r>
      <w:r>
        <w:rPr>
          <w:rFonts w:hint="eastAsia" w:ascii="宋体" w:hAnsi="宋体" w:cs="宋体"/>
          <w:color w:val="auto"/>
          <w:sz w:val="24"/>
          <w:szCs w:val="24"/>
          <w:highlight w:val="none"/>
        </w:rPr>
        <w:t xml:space="preserve">的法定代表人，现授权委托本单位在职职工 </w:t>
      </w:r>
      <w:r>
        <w:rPr>
          <w:rFonts w:hint="eastAsia" w:ascii="宋体" w:hAnsi="宋体" w:cs="宋体"/>
          <w:color w:val="auto"/>
          <w:sz w:val="24"/>
          <w:szCs w:val="24"/>
          <w:highlight w:val="none"/>
          <w:u w:val="single"/>
        </w:rPr>
        <w:t xml:space="preserve">         （姓名）</w:t>
      </w:r>
      <w:r>
        <w:rPr>
          <w:rFonts w:hint="eastAsia" w:ascii="宋体" w:hAnsi="宋体" w:cs="宋体"/>
          <w:color w:val="auto"/>
          <w:sz w:val="24"/>
          <w:szCs w:val="24"/>
          <w:highlight w:val="none"/>
        </w:rPr>
        <w:t>以我方的名义参加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（项目名称）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项目的投标活动，并代表我方全权办理针对上述项目的投标、开标、评标、签约等具体事务和签署相关文件。</w:t>
      </w:r>
    </w:p>
    <w:p w14:paraId="6E76E481">
      <w:pPr>
        <w:wordWrap w:val="0"/>
        <w:overflowPunct w:val="0"/>
        <w:autoSpaceDE w:val="0"/>
        <w:autoSpaceDN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我方对被授权人的签名事项负全部责任。</w:t>
      </w:r>
    </w:p>
    <w:p w14:paraId="31B830C6">
      <w:pPr>
        <w:wordWrap w:val="0"/>
        <w:overflowPunct w:val="0"/>
        <w:autoSpaceDE w:val="0"/>
        <w:autoSpaceDN w:val="0"/>
        <w:snapToGrid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在撤销授权的书面通知以前，本授权书一直有效。</w:t>
      </w:r>
      <w:r>
        <w:rPr>
          <w:rFonts w:hint="eastAsia" w:ascii="宋体" w:hAnsi="宋体" w:cs="宋体"/>
          <w:color w:val="auto"/>
          <w:sz w:val="24"/>
          <w:szCs w:val="24"/>
          <w:highlight w:val="none"/>
        </w:rPr>
        <w:t>被授权人在授权书有效期内签署的所有文件不因授权的撤销而失效。</w:t>
      </w:r>
    </w:p>
    <w:p w14:paraId="434E0083">
      <w:pPr>
        <w:wordWrap w:val="0"/>
        <w:overflowPunct w:val="0"/>
        <w:autoSpaceDE w:val="0"/>
        <w:autoSpaceDN w:val="0"/>
        <w:snapToGrid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被授权人无转委托权，特此委托。</w:t>
      </w:r>
    </w:p>
    <w:p w14:paraId="564F47CB">
      <w:pPr>
        <w:wordWrap w:val="0"/>
        <w:overflowPunct w:val="0"/>
        <w:autoSpaceDE w:val="0"/>
        <w:autoSpaceDN w:val="0"/>
        <w:snapToGrid w:val="0"/>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被授权人签字（或盖章）：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法定代表人签字（或盖章）：</w:t>
      </w:r>
      <w:r>
        <w:rPr>
          <w:rFonts w:hint="eastAsia" w:ascii="宋体" w:hAnsi="宋体" w:cs="宋体"/>
          <w:color w:val="auto"/>
          <w:sz w:val="24"/>
          <w:szCs w:val="24"/>
          <w:highlight w:val="none"/>
          <w:u w:val="single"/>
        </w:rPr>
        <w:t xml:space="preserve">           </w:t>
      </w:r>
    </w:p>
    <w:p w14:paraId="78004E74">
      <w:pPr>
        <w:wordWrap w:val="0"/>
        <w:overflowPunct w:val="0"/>
        <w:autoSpaceDE w:val="0"/>
        <w:autoSpaceDN w:val="0"/>
        <w:snapToGrid w:val="0"/>
        <w:spacing w:line="360" w:lineRule="auto"/>
        <w:ind w:firstLine="972" w:firstLineChars="4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职务：</w:t>
      </w:r>
      <w:r>
        <w:rPr>
          <w:rFonts w:hint="eastAsia" w:ascii="宋体" w:hAnsi="宋体" w:cs="宋体"/>
          <w:color w:val="auto"/>
          <w:sz w:val="24"/>
          <w:szCs w:val="24"/>
          <w:highlight w:val="none"/>
          <w:u w:val="single"/>
        </w:rPr>
        <w:t xml:space="preserve">              </w:t>
      </w:r>
    </w:p>
    <w:p w14:paraId="6443240E">
      <w:pPr>
        <w:wordWrap w:val="0"/>
        <w:overflowPunct w:val="0"/>
        <w:autoSpaceDE w:val="0"/>
        <w:autoSpaceDN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被授权人身份证号码：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258CD06E">
      <w:pPr>
        <w:wordWrap w:val="0"/>
        <w:snapToGrid w:val="0"/>
        <w:spacing w:line="360" w:lineRule="auto"/>
        <w:jc w:val="righ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投标人（盖章）：</w:t>
      </w:r>
      <w:r>
        <w:rPr>
          <w:rFonts w:hint="eastAsia" w:ascii="宋体" w:hAnsi="宋体" w:cs="宋体"/>
          <w:color w:val="auto"/>
          <w:sz w:val="24"/>
          <w:szCs w:val="24"/>
          <w:highlight w:val="none"/>
          <w:u w:val="single"/>
        </w:rPr>
        <w:t xml:space="preserve">                </w:t>
      </w:r>
    </w:p>
    <w:p w14:paraId="1659B86E">
      <w:pPr>
        <w:wordWrap w:val="0"/>
        <w:snapToGrid w:val="0"/>
        <w:spacing w:line="360" w:lineRule="auto"/>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7DFB5DEF">
      <w:pPr>
        <w:wordWrap w:val="0"/>
        <w:snapToGrid w:val="0"/>
        <w:spacing w:before="120" w:beforeLines="50" w:line="360" w:lineRule="auto"/>
        <w:rPr>
          <w:rFonts w:hint="eastAsia" w:ascii="宋体" w:hAnsi="宋体" w:cs="宋体"/>
          <w:color w:val="auto"/>
          <w:sz w:val="21"/>
          <w:szCs w:val="21"/>
          <w:highlight w:val="none"/>
        </w:rPr>
      </w:pPr>
      <w:r>
        <w:rPr>
          <w:rFonts w:hint="eastAsia" w:ascii="宋体" w:hAnsi="宋体" w:cs="宋体"/>
          <w:color w:val="auto"/>
          <w:sz w:val="24"/>
          <w:szCs w:val="24"/>
          <w:highlight w:val="none"/>
        </w:rPr>
        <w:t>法定代表人身份证复印件（正反面）：            授权代表身份证复印件（正反面）：</w:t>
      </w:r>
    </w:p>
    <w:p w14:paraId="7680364A">
      <w:pPr>
        <w:wordWrap w:val="0"/>
        <w:snapToGrid w:val="0"/>
        <w:spacing w:before="120" w:beforeLines="50" w:after="50"/>
        <w:outlineLvl w:val="1"/>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zh-CN"/>
        </w:rPr>
        <mc:AlternateContent>
          <mc:Choice Requires="wps">
            <w:drawing>
              <wp:anchor distT="0" distB="0" distL="114300" distR="114300" simplePos="0" relativeHeight="251661312" behindDoc="0" locked="0" layoutInCell="1" allowOverlap="1">
                <wp:simplePos x="0" y="0"/>
                <wp:positionH relativeFrom="column">
                  <wp:posOffset>3302000</wp:posOffset>
                </wp:positionH>
                <wp:positionV relativeFrom="paragraph">
                  <wp:posOffset>20955</wp:posOffset>
                </wp:positionV>
                <wp:extent cx="2821305" cy="2640965"/>
                <wp:effectExtent l="4445" t="4445" r="12700" b="21590"/>
                <wp:wrapNone/>
                <wp:docPr id="8" name="矩形 8"/>
                <wp:cNvGraphicFramePr/>
                <a:graphic xmlns:a="http://schemas.openxmlformats.org/drawingml/2006/main">
                  <a:graphicData uri="http://schemas.microsoft.com/office/word/2010/wordprocessingShape">
                    <wps:wsp>
                      <wps:cNvSpPr/>
                      <wps:spPr>
                        <a:xfrm>
                          <a:off x="0" y="0"/>
                          <a:ext cx="2821305" cy="2640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3EF3C2"/>
                        </w:txbxContent>
                      </wps:txbx>
                      <wps:bodyPr upright="1"/>
                    </wps:wsp>
                  </a:graphicData>
                </a:graphic>
              </wp:anchor>
            </w:drawing>
          </mc:Choice>
          <mc:Fallback>
            <w:pict>
              <v:rect id="_x0000_s1026" o:spid="_x0000_s1026" o:spt="1" style="position:absolute;left:0pt;margin-left:260pt;margin-top:1.65pt;height:207.95pt;width:222.15pt;z-index:251661312;mso-width-relative:page;mso-height-relative:page;" fillcolor="#FFFFFF" filled="t" stroked="t" coordsize="21600,21600" o:gfxdata="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pM+LrXAAAACQEAAA8AAAAAAAAAAQAgAAAAIgAAAGRycy9kb3du&#10;cmV2LnhtbFBLAQIUABQAAAAIAIdO4kCr5PjRAAIAACoEAAAOAAAAAAAAAAEAIAAAACYBAABkcnMv&#10;ZTJvRG9jLnhtbFBLBQYAAAAABgAGAFkBAACYBQAAAAA=&#10;">
                <v:fill on="t" focussize="0,0"/>
                <v:stroke color="#000000" joinstyle="miter"/>
                <v:imagedata o:title=""/>
                <o:lock v:ext="edit" aspectratio="f"/>
                <v:textbox>
                  <w:txbxContent>
                    <w:p w14:paraId="283EF3C2"/>
                  </w:txbxContent>
                </v:textbox>
              </v:rect>
            </w:pict>
          </mc:Fallback>
        </mc:AlternateContent>
      </w:r>
      <w:r>
        <w:rPr>
          <w:rFonts w:hint="eastAsia" w:ascii="宋体" w:hAnsi="宋体" w:cs="宋体"/>
          <w:color w:val="auto"/>
          <w:sz w:val="21"/>
          <w:szCs w:val="21"/>
          <w:highlight w:val="none"/>
          <w:lang w:val="zh-CN"/>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16510</wp:posOffset>
                </wp:positionV>
                <wp:extent cx="2806065" cy="2632075"/>
                <wp:effectExtent l="4445" t="4445" r="8890" b="11430"/>
                <wp:wrapNone/>
                <wp:docPr id="9" name="矩形 9"/>
                <wp:cNvGraphicFramePr/>
                <a:graphic xmlns:a="http://schemas.openxmlformats.org/drawingml/2006/main">
                  <a:graphicData uri="http://schemas.microsoft.com/office/word/2010/wordprocessingShape">
                    <wps:wsp>
                      <wps:cNvSpPr/>
                      <wps:spPr>
                        <a:xfrm>
                          <a:off x="0" y="0"/>
                          <a:ext cx="2806065" cy="26320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DF50B2"/>
                        </w:txbxContent>
                      </wps:txbx>
                      <wps:bodyPr upright="1"/>
                    </wps:wsp>
                  </a:graphicData>
                </a:graphic>
              </wp:anchor>
            </w:drawing>
          </mc:Choice>
          <mc:Fallback>
            <w:pict>
              <v:rect id="_x0000_s1026" o:spid="_x0000_s1026" o:spt="1" style="position:absolute;left:0pt;margin-left:-0.85pt;margin-top:1.3pt;height:207.25pt;width:220.95pt;z-index:251660288;mso-width-relative:page;mso-height-relative:page;" fillcolor="#FFFFFF" filled="t" stroked="t" coordsize="21600,21600" o:gfxdata="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QJFEfXAAAACAEAAA8AAAAAAAAAAQAgAAAAIgAAAGRycy9kb3du&#10;cmV2LnhtbFBLAQIUABQAAAAIAIdO4kBCesnCAAIAACoEAAAOAAAAAAAAAAEAIAAAACYBAABkcnMv&#10;ZTJvRG9jLnhtbFBLBQYAAAAABgAGAFkBAACYBQAAAAA=&#10;">
                <v:fill on="t" focussize="0,0"/>
                <v:stroke color="#000000" joinstyle="miter"/>
                <v:imagedata o:title=""/>
                <o:lock v:ext="edit" aspectratio="f"/>
                <v:textbox>
                  <w:txbxContent>
                    <w:p w14:paraId="5FDF50B2"/>
                  </w:txbxContent>
                </v:textbox>
              </v:rect>
            </w:pict>
          </mc:Fallback>
        </mc:AlternateContent>
      </w:r>
    </w:p>
    <w:p w14:paraId="6551CDA7">
      <w:pPr>
        <w:wordWrap w:val="0"/>
        <w:snapToGrid w:val="0"/>
        <w:spacing w:before="120" w:beforeLines="50" w:after="50"/>
        <w:outlineLvl w:val="1"/>
        <w:rPr>
          <w:rFonts w:hint="eastAsia" w:ascii="宋体" w:hAnsi="宋体" w:cs="宋体"/>
          <w:b/>
          <w:bCs/>
          <w:color w:val="auto"/>
          <w:sz w:val="21"/>
          <w:szCs w:val="21"/>
          <w:highlight w:val="none"/>
        </w:rPr>
      </w:pPr>
    </w:p>
    <w:p w14:paraId="235D2084">
      <w:pPr>
        <w:wordWrap w:val="0"/>
        <w:snapToGrid w:val="0"/>
        <w:spacing w:before="120" w:beforeLines="50" w:after="50"/>
        <w:outlineLvl w:val="1"/>
        <w:rPr>
          <w:rFonts w:hint="eastAsia" w:ascii="宋体" w:hAnsi="宋体" w:cs="宋体"/>
          <w:b/>
          <w:bCs/>
          <w:color w:val="auto"/>
          <w:sz w:val="21"/>
          <w:szCs w:val="21"/>
          <w:highlight w:val="none"/>
        </w:rPr>
      </w:pPr>
    </w:p>
    <w:p w14:paraId="2A9489F4">
      <w:pPr>
        <w:wordWrap w:val="0"/>
        <w:snapToGrid w:val="0"/>
        <w:spacing w:before="120" w:beforeLines="50" w:after="50"/>
        <w:outlineLvl w:val="1"/>
        <w:rPr>
          <w:rFonts w:hint="eastAsia" w:ascii="宋体" w:hAnsi="宋体" w:cs="宋体"/>
          <w:b/>
          <w:bCs/>
          <w:color w:val="auto"/>
          <w:sz w:val="21"/>
          <w:szCs w:val="21"/>
          <w:highlight w:val="none"/>
        </w:rPr>
      </w:pPr>
    </w:p>
    <w:p w14:paraId="07901A2A">
      <w:pPr>
        <w:wordWrap w:val="0"/>
        <w:snapToGrid w:val="0"/>
        <w:spacing w:before="120" w:beforeLines="50" w:after="50"/>
        <w:outlineLvl w:val="1"/>
        <w:rPr>
          <w:rFonts w:hint="eastAsia" w:ascii="宋体" w:hAnsi="宋体" w:cs="宋体"/>
          <w:b/>
          <w:bCs/>
          <w:color w:val="auto"/>
          <w:sz w:val="21"/>
          <w:szCs w:val="21"/>
          <w:highlight w:val="none"/>
        </w:rPr>
      </w:pPr>
      <w:r>
        <w:rPr>
          <w:rFonts w:hint="eastAsia" w:ascii="宋体" w:hAnsi="宋体" w:cs="宋体"/>
          <w:color w:val="auto"/>
          <w:sz w:val="21"/>
          <w:szCs w:val="21"/>
          <w:highlight w:val="none"/>
        </w:rPr>
        <mc:AlternateContent>
          <mc:Choice Requires="wps">
            <w:drawing>
              <wp:anchor distT="0" distB="0" distL="114300" distR="114300" simplePos="0" relativeHeight="251663360" behindDoc="0" locked="0" layoutInCell="1" allowOverlap="1">
                <wp:simplePos x="0" y="0"/>
                <wp:positionH relativeFrom="column">
                  <wp:posOffset>3301365</wp:posOffset>
                </wp:positionH>
                <wp:positionV relativeFrom="paragraph">
                  <wp:posOffset>232410</wp:posOffset>
                </wp:positionV>
                <wp:extent cx="2838450"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28384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9.95pt;margin-top:18.3pt;height:0.05pt;width:223.5pt;z-index:251663360;mso-width-relative:page;mso-height-relative:page;" filled="f" stroked="t" coordsize="21600,21600" o:gfxdata="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taToTXAAAACQEAAA8AAAAAAAAAAQAgAAAAIgAAAGRycy9kb3ducmV2LnhtbFBL&#10;AQIUABQAAAAIAIdO4kC8T7PW9wEAAOgDAAAOAAAAAAAAAAEAIAAAACYBAABkcnMvZTJvRG9jLnht&#10;bFBLBQYAAAAABgAGAFkBAACPBQAAAAA=&#10;">
                <v:fill on="f" focussize="0,0"/>
                <v:stroke color="#000000" joinstyle="round"/>
                <v:imagedata o:title=""/>
                <o:lock v:ext="edit" aspectratio="f"/>
              </v:line>
            </w:pict>
          </mc:Fallback>
        </mc:AlternateContent>
      </w:r>
      <w:r>
        <w:rPr>
          <w:rFonts w:hint="eastAsia" w:ascii="宋体" w:hAnsi="宋体" w:cs="宋体"/>
          <w:color w:val="auto"/>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221615</wp:posOffset>
                </wp:positionV>
                <wp:extent cx="279082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27908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17.45pt;height:0.05pt;width:219.75pt;z-index:251662336;mso-width-relative:page;mso-height-relative:page;" filled="f" stroked="t" coordsize="21600,21600" o:gfxdata="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wuZzVAAAABgEAAA8AAAAAAAAAAQAgAAAAIgAAAGRycy9kb3ducmV2LnhtbFBLAQIU&#10;ABQAAAAIAIdO4kD6gV469gEAAOYDAAAOAAAAAAAAAAEAIAAAACQBAABkcnMvZTJvRG9jLnhtbFBL&#10;BQYAAAAABgAGAFkBAACMBQAAAAA=&#10;">
                <v:fill on="f" focussize="0,0"/>
                <v:stroke color="#000000" joinstyle="round"/>
                <v:imagedata o:title=""/>
                <o:lock v:ext="edit" aspectratio="f"/>
              </v:line>
            </w:pict>
          </mc:Fallback>
        </mc:AlternateContent>
      </w:r>
    </w:p>
    <w:p w14:paraId="4CD47876">
      <w:pPr>
        <w:wordWrap w:val="0"/>
        <w:snapToGrid w:val="0"/>
        <w:spacing w:before="120" w:beforeLines="50" w:after="50"/>
        <w:outlineLvl w:val="1"/>
        <w:rPr>
          <w:rFonts w:hint="eastAsia" w:ascii="宋体" w:hAnsi="宋体" w:cs="宋体"/>
          <w:b/>
          <w:bCs/>
          <w:color w:val="auto"/>
          <w:sz w:val="21"/>
          <w:szCs w:val="21"/>
          <w:highlight w:val="none"/>
        </w:rPr>
      </w:pPr>
    </w:p>
    <w:p w14:paraId="473F4B0E">
      <w:pPr>
        <w:wordWrap w:val="0"/>
        <w:snapToGrid w:val="0"/>
        <w:spacing w:before="120" w:beforeLines="50" w:after="50"/>
        <w:outlineLvl w:val="1"/>
        <w:rPr>
          <w:rFonts w:hint="eastAsia" w:ascii="宋体" w:hAnsi="宋体" w:cs="宋体"/>
          <w:b/>
          <w:bCs/>
          <w:color w:val="auto"/>
          <w:sz w:val="21"/>
          <w:szCs w:val="21"/>
          <w:highlight w:val="none"/>
        </w:rPr>
      </w:pPr>
    </w:p>
    <w:p w14:paraId="47D50FA2">
      <w:pPr>
        <w:wordWrap w:val="0"/>
        <w:snapToGrid w:val="0"/>
        <w:spacing w:before="120" w:beforeLines="50" w:after="50"/>
        <w:outlineLvl w:val="1"/>
        <w:rPr>
          <w:rFonts w:hint="eastAsia" w:ascii="宋体" w:hAnsi="宋体" w:cs="宋体"/>
          <w:b/>
          <w:bCs/>
          <w:color w:val="auto"/>
          <w:sz w:val="21"/>
          <w:szCs w:val="21"/>
          <w:highlight w:val="none"/>
        </w:rPr>
      </w:pPr>
    </w:p>
    <w:p w14:paraId="1490DCFC">
      <w:pPr>
        <w:wordWrap w:val="0"/>
        <w:snapToGrid w:val="0"/>
        <w:spacing w:before="120" w:beforeLines="50" w:after="50"/>
        <w:ind w:firstLine="174" w:firstLineChars="82"/>
        <w:outlineLvl w:val="1"/>
        <w:rPr>
          <w:rFonts w:hint="eastAsia" w:ascii="宋体" w:hAnsi="宋体" w:cs="宋体"/>
          <w:b/>
          <w:bCs/>
          <w:color w:val="auto"/>
          <w:sz w:val="21"/>
          <w:szCs w:val="21"/>
          <w:highlight w:val="none"/>
        </w:rPr>
      </w:pPr>
    </w:p>
    <w:p w14:paraId="14457762">
      <w:pPr>
        <w:wordWrap w:val="0"/>
        <w:overflowPunct w:val="0"/>
        <w:autoSpaceDE w:val="0"/>
        <w:autoSpaceDN w:val="0"/>
        <w:adjustRightInd w:val="0"/>
        <w:snapToGrid w:val="0"/>
        <w:spacing w:line="360" w:lineRule="auto"/>
        <w:rPr>
          <w:rFonts w:hint="eastAsia" w:ascii="宋体" w:hAnsi="宋体" w:cs="宋体"/>
          <w:b/>
          <w:bCs/>
          <w:color w:val="auto"/>
          <w:sz w:val="24"/>
          <w:highlight w:val="none"/>
          <w:lang w:val="en-US" w:eastAsia="zh-CN"/>
        </w:rPr>
      </w:pPr>
    </w:p>
    <w:p w14:paraId="3B65D490">
      <w:pPr>
        <w:wordWrap w:val="0"/>
        <w:overflowPunct w:val="0"/>
        <w:autoSpaceDE w:val="0"/>
        <w:autoSpaceDN w:val="0"/>
        <w:adjustRightInd w:val="0"/>
        <w:snapToGrid w:val="0"/>
        <w:spacing w:line="360" w:lineRule="auto"/>
        <w:rPr>
          <w:rFonts w:hint="eastAsia" w:ascii="宋体" w:hAnsi="宋体" w:cs="宋体"/>
          <w:b/>
          <w:bCs/>
          <w:color w:val="auto"/>
          <w:sz w:val="24"/>
          <w:highlight w:val="none"/>
          <w:lang w:val="en-US" w:eastAsia="zh-CN"/>
        </w:rPr>
      </w:pPr>
    </w:p>
    <w:p w14:paraId="12B66254">
      <w:pPr>
        <w:wordWrap w:val="0"/>
        <w:overflowPunct w:val="0"/>
        <w:autoSpaceDE w:val="0"/>
        <w:autoSpaceDN w:val="0"/>
        <w:adjustRightInd w:val="0"/>
        <w:snapToGrid w:val="0"/>
        <w:spacing w:line="360" w:lineRule="auto"/>
        <w:rPr>
          <w:rFonts w:hint="eastAsia" w:ascii="宋体" w:hAnsi="宋体" w:cs="宋体"/>
          <w:b/>
          <w:color w:val="auto"/>
          <w:sz w:val="32"/>
          <w:szCs w:val="36"/>
          <w:highlight w:val="none"/>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投标人基本情况表格式</w:t>
      </w:r>
    </w:p>
    <w:p w14:paraId="37E97552">
      <w:pPr>
        <w:wordWrap w:val="0"/>
        <w:overflowPunct w:val="0"/>
        <w:autoSpaceDE w:val="0"/>
        <w:autoSpaceDN w:val="0"/>
        <w:spacing w:before="120" w:beforeLines="50" w:line="360" w:lineRule="auto"/>
        <w:ind w:firstLine="562"/>
        <w:jc w:val="center"/>
        <w:rPr>
          <w:rFonts w:hint="eastAsia" w:ascii="宋体" w:hAnsi="宋体" w:cs="宋体"/>
          <w:b/>
          <w:color w:val="auto"/>
          <w:sz w:val="28"/>
          <w:szCs w:val="30"/>
          <w:highlight w:val="none"/>
        </w:rPr>
      </w:pPr>
      <w:r>
        <w:rPr>
          <w:rFonts w:hint="eastAsia" w:ascii="宋体" w:hAnsi="宋体" w:cs="宋体"/>
          <w:b/>
          <w:color w:val="auto"/>
          <w:sz w:val="28"/>
          <w:szCs w:val="30"/>
          <w:highlight w:val="none"/>
        </w:rPr>
        <w:t>投标人基本情况表</w:t>
      </w:r>
    </w:p>
    <w:tbl>
      <w:tblPr>
        <w:tblStyle w:val="27"/>
        <w:tblW w:w="991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542"/>
        <w:gridCol w:w="1434"/>
        <w:gridCol w:w="1423"/>
        <w:gridCol w:w="1431"/>
        <w:gridCol w:w="2075"/>
        <w:gridCol w:w="2009"/>
      </w:tblGrid>
      <w:tr w14:paraId="11EB9D0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14:paraId="33BD63B3">
            <w:pPr>
              <w:wordWrap w:val="0"/>
              <w:overflowPunct w:val="0"/>
              <w:autoSpaceDE w:val="0"/>
              <w:autoSpaceDN w:val="0"/>
              <w:spacing w:line="400" w:lineRule="exact"/>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投标人名称</w:t>
            </w:r>
          </w:p>
        </w:tc>
        <w:tc>
          <w:tcPr>
            <w:tcW w:w="8372" w:type="dxa"/>
            <w:gridSpan w:val="5"/>
            <w:tcBorders>
              <w:top w:val="single" w:color="auto" w:sz="4" w:space="0"/>
              <w:left w:val="single" w:color="auto" w:sz="4" w:space="0"/>
              <w:bottom w:val="single" w:color="auto" w:sz="4" w:space="0"/>
              <w:right w:val="single" w:color="auto" w:sz="4" w:space="0"/>
            </w:tcBorders>
            <w:vAlign w:val="center"/>
          </w:tcPr>
          <w:p w14:paraId="689FA7CE">
            <w:pPr>
              <w:wordWrap w:val="0"/>
              <w:overflowPunct w:val="0"/>
              <w:autoSpaceDE w:val="0"/>
              <w:autoSpaceDN w:val="0"/>
              <w:spacing w:line="400" w:lineRule="exact"/>
              <w:ind w:firstLine="480"/>
              <w:jc w:val="center"/>
              <w:rPr>
                <w:rFonts w:hint="eastAsia" w:ascii="宋体" w:hAnsi="宋体" w:cs="宋体"/>
                <w:color w:val="auto"/>
                <w:sz w:val="24"/>
                <w:szCs w:val="24"/>
                <w:highlight w:val="none"/>
              </w:rPr>
            </w:pPr>
          </w:p>
        </w:tc>
      </w:tr>
      <w:tr w14:paraId="3AEF162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2"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14:paraId="3A95E425">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r>
              <w:rPr>
                <w:rFonts w:hint="eastAsia" w:ascii="宋体" w:hAnsi="宋体" w:cs="宋体"/>
                <w:bCs/>
                <w:color w:val="auto"/>
                <w:sz w:val="24"/>
                <w:szCs w:val="24"/>
                <w:highlight w:val="none"/>
                <w:lang w:bidi="ar"/>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14:paraId="40256267">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c>
          <w:tcPr>
            <w:tcW w:w="1423" w:type="dxa"/>
            <w:tcBorders>
              <w:top w:val="single" w:color="auto" w:sz="4" w:space="0"/>
              <w:left w:val="single" w:color="auto" w:sz="4" w:space="0"/>
              <w:bottom w:val="single" w:color="auto" w:sz="4" w:space="0"/>
              <w:right w:val="single" w:color="auto" w:sz="4" w:space="0"/>
            </w:tcBorders>
            <w:vAlign w:val="center"/>
          </w:tcPr>
          <w:p w14:paraId="26E4327E">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r>
              <w:rPr>
                <w:rFonts w:hint="eastAsia" w:ascii="宋体" w:hAnsi="宋体" w:cs="宋体"/>
                <w:bCs/>
                <w:color w:val="auto"/>
                <w:sz w:val="24"/>
                <w:szCs w:val="24"/>
                <w:highlight w:val="none"/>
                <w:lang w:bidi="ar"/>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122BFEF9">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14:paraId="49224126">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r>
              <w:rPr>
                <w:rFonts w:hint="eastAsia" w:ascii="宋体" w:hAnsi="宋体" w:cs="宋体"/>
                <w:bCs/>
                <w:color w:val="auto"/>
                <w:sz w:val="24"/>
                <w:szCs w:val="24"/>
                <w:highlight w:val="none"/>
                <w:lang w:bidi="ar"/>
              </w:rPr>
              <w:t>营业(经营)执照号码</w:t>
            </w:r>
          </w:p>
        </w:tc>
        <w:tc>
          <w:tcPr>
            <w:tcW w:w="2009" w:type="dxa"/>
            <w:tcBorders>
              <w:top w:val="single" w:color="auto" w:sz="4" w:space="0"/>
              <w:left w:val="single" w:color="auto" w:sz="4" w:space="0"/>
              <w:bottom w:val="single" w:color="auto" w:sz="4" w:space="0"/>
              <w:right w:val="single" w:color="auto" w:sz="4" w:space="0"/>
            </w:tcBorders>
            <w:vAlign w:val="center"/>
          </w:tcPr>
          <w:p w14:paraId="7CB1A3B4">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r>
      <w:tr w14:paraId="4FAC83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14:paraId="6C3E325D">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r>
              <w:rPr>
                <w:rFonts w:hint="eastAsia" w:ascii="宋体" w:hAnsi="宋体" w:cs="宋体"/>
                <w:bCs/>
                <w:color w:val="auto"/>
                <w:sz w:val="24"/>
                <w:szCs w:val="24"/>
                <w:highlight w:val="none"/>
                <w:lang w:bidi="ar"/>
              </w:rPr>
              <w:t>职工人数</w:t>
            </w:r>
          </w:p>
        </w:tc>
        <w:tc>
          <w:tcPr>
            <w:tcW w:w="1434" w:type="dxa"/>
            <w:tcBorders>
              <w:top w:val="single" w:color="auto" w:sz="4" w:space="0"/>
              <w:left w:val="single" w:color="auto" w:sz="4" w:space="0"/>
              <w:bottom w:val="single" w:color="auto" w:sz="4" w:space="0"/>
              <w:right w:val="single" w:color="auto" w:sz="4" w:space="0"/>
            </w:tcBorders>
            <w:vAlign w:val="center"/>
          </w:tcPr>
          <w:p w14:paraId="5AE4367E">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c>
          <w:tcPr>
            <w:tcW w:w="1423" w:type="dxa"/>
            <w:tcBorders>
              <w:top w:val="single" w:color="auto" w:sz="4" w:space="0"/>
              <w:left w:val="single" w:color="auto" w:sz="4" w:space="0"/>
              <w:bottom w:val="single" w:color="auto" w:sz="4" w:space="0"/>
              <w:right w:val="single" w:color="auto" w:sz="4" w:space="0"/>
            </w:tcBorders>
            <w:vAlign w:val="center"/>
          </w:tcPr>
          <w:p w14:paraId="7FBF0B44">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r>
              <w:rPr>
                <w:rFonts w:hint="eastAsia" w:ascii="宋体" w:hAnsi="宋体" w:cs="宋体"/>
                <w:bCs/>
                <w:color w:val="auto"/>
                <w:sz w:val="24"/>
                <w:szCs w:val="24"/>
                <w:highlight w:val="none"/>
                <w:lang w:bidi="ar"/>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6434820A">
            <w:pPr>
              <w:wordWrap w:val="0"/>
              <w:overflowPunct w:val="0"/>
              <w:autoSpaceDE w:val="0"/>
              <w:autoSpaceDN w:val="0"/>
              <w:spacing w:line="400" w:lineRule="exact"/>
              <w:ind w:right="-89"/>
              <w:jc w:val="center"/>
              <w:rPr>
                <w:rFonts w:hint="eastAsia" w:ascii="宋体" w:hAnsi="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14:paraId="2E31F450">
            <w:pPr>
              <w:wordWrap w:val="0"/>
              <w:overflowPunct w:val="0"/>
              <w:autoSpaceDE w:val="0"/>
              <w:autoSpaceDN w:val="0"/>
              <w:spacing w:line="400" w:lineRule="exact"/>
              <w:ind w:left="-108" w:leftChars="-51"/>
              <w:jc w:val="center"/>
              <w:rPr>
                <w:rFonts w:hint="eastAsia" w:ascii="宋体" w:hAnsi="宋体" w:cs="宋体"/>
                <w:bCs/>
                <w:color w:val="auto"/>
                <w:sz w:val="24"/>
                <w:szCs w:val="24"/>
                <w:highlight w:val="none"/>
                <w:lang w:bidi="ar"/>
              </w:rPr>
            </w:pPr>
            <w:r>
              <w:rPr>
                <w:rFonts w:hint="eastAsia" w:ascii="宋体" w:hAnsi="宋体" w:cs="宋体"/>
                <w:bCs/>
                <w:color w:val="auto"/>
                <w:sz w:val="24"/>
                <w:szCs w:val="24"/>
                <w:highlight w:val="none"/>
                <w:lang w:bidi="ar"/>
              </w:rPr>
              <w:t>注册资金</w:t>
            </w:r>
          </w:p>
        </w:tc>
        <w:tc>
          <w:tcPr>
            <w:tcW w:w="2009" w:type="dxa"/>
            <w:tcBorders>
              <w:top w:val="single" w:color="auto" w:sz="4" w:space="0"/>
              <w:left w:val="single" w:color="auto" w:sz="4" w:space="0"/>
              <w:bottom w:val="single" w:color="auto" w:sz="4" w:space="0"/>
              <w:right w:val="single" w:color="auto" w:sz="4" w:space="0"/>
            </w:tcBorders>
            <w:vAlign w:val="center"/>
          </w:tcPr>
          <w:p w14:paraId="09FB7F4C">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r>
              <w:rPr>
                <w:rFonts w:hint="eastAsia" w:ascii="宋体" w:hAnsi="宋体" w:cs="宋体"/>
                <w:bCs/>
                <w:color w:val="auto"/>
                <w:sz w:val="24"/>
                <w:szCs w:val="24"/>
                <w:highlight w:val="none"/>
                <w:lang w:bidi="ar"/>
              </w:rPr>
              <w:t>万元</w:t>
            </w:r>
          </w:p>
        </w:tc>
      </w:tr>
      <w:tr w14:paraId="6600627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14:paraId="77CFEE45">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r>
              <w:rPr>
                <w:rFonts w:hint="eastAsia" w:ascii="宋体" w:hAnsi="宋体" w:cs="宋体"/>
                <w:bCs/>
                <w:color w:val="auto"/>
                <w:sz w:val="24"/>
                <w:szCs w:val="24"/>
                <w:highlight w:val="none"/>
                <w:lang w:bidi="ar"/>
              </w:rPr>
              <w:t>地   址</w:t>
            </w:r>
          </w:p>
        </w:tc>
        <w:tc>
          <w:tcPr>
            <w:tcW w:w="8372" w:type="dxa"/>
            <w:gridSpan w:val="5"/>
            <w:tcBorders>
              <w:top w:val="single" w:color="auto" w:sz="4" w:space="0"/>
              <w:left w:val="single" w:color="auto" w:sz="4" w:space="0"/>
              <w:bottom w:val="single" w:color="auto" w:sz="4" w:space="0"/>
              <w:right w:val="single" w:color="auto" w:sz="4" w:space="0"/>
            </w:tcBorders>
            <w:vAlign w:val="center"/>
          </w:tcPr>
          <w:p w14:paraId="12E6075D">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r>
      <w:tr w14:paraId="6C748B3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1542" w:type="dxa"/>
            <w:vMerge w:val="restart"/>
            <w:tcBorders>
              <w:top w:val="single" w:color="auto" w:sz="4" w:space="0"/>
              <w:left w:val="single" w:color="auto" w:sz="4" w:space="0"/>
              <w:bottom w:val="nil"/>
              <w:right w:val="single" w:color="auto" w:sz="4" w:space="0"/>
            </w:tcBorders>
            <w:vAlign w:val="center"/>
          </w:tcPr>
          <w:p w14:paraId="607DC285">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r>
              <w:rPr>
                <w:rFonts w:hint="eastAsia" w:ascii="宋体" w:hAnsi="宋体" w:cs="宋体"/>
                <w:bCs/>
                <w:color w:val="auto"/>
                <w:sz w:val="24"/>
                <w:szCs w:val="24"/>
                <w:highlight w:val="none"/>
                <w:lang w:bidi="ar"/>
              </w:rPr>
              <w:t>所获资质</w:t>
            </w:r>
          </w:p>
          <w:p w14:paraId="0881E5BE">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r>
              <w:rPr>
                <w:rFonts w:hint="eastAsia" w:ascii="宋体" w:hAnsi="宋体" w:cs="宋体"/>
                <w:bCs/>
                <w:color w:val="auto"/>
                <w:sz w:val="24"/>
                <w:szCs w:val="24"/>
                <w:highlight w:val="none"/>
                <w:lang w:bidi="ar"/>
              </w:rPr>
              <w:t>或认证</w:t>
            </w:r>
          </w:p>
        </w:tc>
        <w:tc>
          <w:tcPr>
            <w:tcW w:w="1434" w:type="dxa"/>
            <w:tcBorders>
              <w:top w:val="single" w:color="auto" w:sz="4" w:space="0"/>
              <w:left w:val="single" w:color="auto" w:sz="4" w:space="0"/>
              <w:bottom w:val="single" w:color="auto" w:sz="4" w:space="0"/>
              <w:right w:val="single" w:color="auto" w:sz="4" w:space="0"/>
            </w:tcBorders>
            <w:vAlign w:val="center"/>
          </w:tcPr>
          <w:p w14:paraId="2145C6F2">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r>
              <w:rPr>
                <w:rFonts w:hint="eastAsia" w:ascii="宋体" w:hAnsi="宋体" w:cs="宋体"/>
                <w:bCs/>
                <w:color w:val="auto"/>
                <w:sz w:val="24"/>
                <w:szCs w:val="24"/>
                <w:highlight w:val="none"/>
                <w:lang w:bidi="ar"/>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E7651DD">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r>
              <w:rPr>
                <w:rFonts w:hint="eastAsia" w:ascii="宋体" w:hAnsi="宋体" w:cs="宋体"/>
                <w:bCs/>
                <w:color w:val="auto"/>
                <w:sz w:val="24"/>
                <w:szCs w:val="24"/>
                <w:highlight w:val="none"/>
                <w:lang w:bidi="ar"/>
              </w:rPr>
              <w:t>颁发部门</w:t>
            </w:r>
          </w:p>
        </w:tc>
        <w:tc>
          <w:tcPr>
            <w:tcW w:w="2075" w:type="dxa"/>
            <w:tcBorders>
              <w:top w:val="single" w:color="auto" w:sz="4" w:space="0"/>
              <w:left w:val="single" w:color="auto" w:sz="4" w:space="0"/>
              <w:bottom w:val="single" w:color="auto" w:sz="4" w:space="0"/>
              <w:right w:val="single" w:color="auto" w:sz="4" w:space="0"/>
            </w:tcBorders>
            <w:vAlign w:val="center"/>
          </w:tcPr>
          <w:p w14:paraId="5B2ED19E">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r>
              <w:rPr>
                <w:rFonts w:hint="eastAsia" w:ascii="宋体" w:hAnsi="宋体" w:cs="宋体"/>
                <w:bCs/>
                <w:color w:val="auto"/>
                <w:sz w:val="24"/>
                <w:szCs w:val="24"/>
                <w:highlight w:val="none"/>
                <w:lang w:bidi="ar"/>
              </w:rPr>
              <w:t>颁发时间</w:t>
            </w:r>
          </w:p>
        </w:tc>
        <w:tc>
          <w:tcPr>
            <w:tcW w:w="2009" w:type="dxa"/>
            <w:tcBorders>
              <w:top w:val="single" w:color="auto" w:sz="4" w:space="0"/>
              <w:left w:val="single" w:color="auto" w:sz="4" w:space="0"/>
              <w:bottom w:val="single" w:color="auto" w:sz="4" w:space="0"/>
              <w:right w:val="single" w:color="auto" w:sz="4" w:space="0"/>
            </w:tcBorders>
            <w:vAlign w:val="center"/>
          </w:tcPr>
          <w:p w14:paraId="145AAB01">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r>
              <w:rPr>
                <w:rFonts w:hint="eastAsia" w:ascii="宋体" w:hAnsi="宋体" w:cs="宋体"/>
                <w:bCs/>
                <w:color w:val="auto"/>
                <w:sz w:val="24"/>
                <w:szCs w:val="24"/>
                <w:highlight w:val="none"/>
                <w:lang w:bidi="ar"/>
              </w:rPr>
              <w:t>有效期</w:t>
            </w:r>
          </w:p>
        </w:tc>
      </w:tr>
      <w:tr w14:paraId="34CF290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1542" w:type="dxa"/>
            <w:vMerge w:val="continue"/>
            <w:tcBorders>
              <w:top w:val="single" w:color="auto" w:sz="4" w:space="0"/>
              <w:left w:val="single" w:color="auto" w:sz="4" w:space="0"/>
              <w:bottom w:val="nil"/>
              <w:right w:val="single" w:color="auto" w:sz="4" w:space="0"/>
            </w:tcBorders>
            <w:vAlign w:val="center"/>
          </w:tcPr>
          <w:p w14:paraId="224F6253">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14:paraId="4D17A542">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99F4216">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14:paraId="2D97D08B">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c>
          <w:tcPr>
            <w:tcW w:w="2009" w:type="dxa"/>
            <w:tcBorders>
              <w:top w:val="single" w:color="auto" w:sz="4" w:space="0"/>
              <w:left w:val="single" w:color="auto" w:sz="4" w:space="0"/>
              <w:bottom w:val="single" w:color="auto" w:sz="4" w:space="0"/>
              <w:right w:val="single" w:color="auto" w:sz="4" w:space="0"/>
            </w:tcBorders>
            <w:vAlign w:val="center"/>
          </w:tcPr>
          <w:p w14:paraId="0374F982">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r>
      <w:tr w14:paraId="5982879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1542" w:type="dxa"/>
            <w:vMerge w:val="continue"/>
            <w:tcBorders>
              <w:top w:val="single" w:color="auto" w:sz="4" w:space="0"/>
              <w:left w:val="single" w:color="auto" w:sz="4" w:space="0"/>
              <w:bottom w:val="nil"/>
              <w:right w:val="single" w:color="auto" w:sz="4" w:space="0"/>
            </w:tcBorders>
            <w:vAlign w:val="center"/>
          </w:tcPr>
          <w:p w14:paraId="7215896F">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14:paraId="24D79677">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BC1C8E3">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14:paraId="045CC197">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c>
          <w:tcPr>
            <w:tcW w:w="2009" w:type="dxa"/>
            <w:tcBorders>
              <w:top w:val="single" w:color="auto" w:sz="4" w:space="0"/>
              <w:left w:val="single" w:color="auto" w:sz="4" w:space="0"/>
              <w:bottom w:val="single" w:color="auto" w:sz="4" w:space="0"/>
              <w:right w:val="single" w:color="auto" w:sz="4" w:space="0"/>
            </w:tcBorders>
            <w:vAlign w:val="center"/>
          </w:tcPr>
          <w:p w14:paraId="45AE679A">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r>
      <w:tr w14:paraId="557EFEE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1542" w:type="dxa"/>
            <w:vMerge w:val="continue"/>
            <w:tcBorders>
              <w:top w:val="single" w:color="auto" w:sz="4" w:space="0"/>
              <w:left w:val="single" w:color="auto" w:sz="4" w:space="0"/>
              <w:bottom w:val="nil"/>
              <w:right w:val="single" w:color="auto" w:sz="4" w:space="0"/>
            </w:tcBorders>
            <w:vAlign w:val="center"/>
          </w:tcPr>
          <w:p w14:paraId="3694A986">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14:paraId="105DEAC9">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3B26B4B">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14:paraId="54BCF523">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c>
          <w:tcPr>
            <w:tcW w:w="2009" w:type="dxa"/>
            <w:tcBorders>
              <w:top w:val="single" w:color="auto" w:sz="4" w:space="0"/>
              <w:left w:val="single" w:color="auto" w:sz="4" w:space="0"/>
              <w:bottom w:val="single" w:color="auto" w:sz="4" w:space="0"/>
              <w:right w:val="single" w:color="auto" w:sz="4" w:space="0"/>
            </w:tcBorders>
            <w:vAlign w:val="center"/>
          </w:tcPr>
          <w:p w14:paraId="6C8E728C">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r>
      <w:tr w14:paraId="4A70FA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1542" w:type="dxa"/>
            <w:vMerge w:val="restart"/>
            <w:tcBorders>
              <w:top w:val="single" w:color="auto" w:sz="4" w:space="0"/>
              <w:left w:val="single" w:color="auto" w:sz="4" w:space="0"/>
              <w:bottom w:val="single" w:color="auto" w:sz="4" w:space="0"/>
              <w:right w:val="single" w:color="auto" w:sz="4" w:space="0"/>
            </w:tcBorders>
            <w:vAlign w:val="center"/>
          </w:tcPr>
          <w:p w14:paraId="391F2EFC">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r>
              <w:rPr>
                <w:rFonts w:hint="eastAsia" w:ascii="宋体" w:hAnsi="宋体" w:cs="宋体"/>
                <w:bCs/>
                <w:color w:val="auto"/>
                <w:sz w:val="24"/>
                <w:szCs w:val="24"/>
                <w:highlight w:val="none"/>
                <w:lang w:bidi="ar"/>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14:paraId="661AC79E">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r>
              <w:rPr>
                <w:rFonts w:hint="eastAsia" w:ascii="宋体" w:hAnsi="宋体" w:cs="宋体"/>
                <w:bCs/>
                <w:color w:val="auto"/>
                <w:sz w:val="24"/>
                <w:szCs w:val="24"/>
                <w:highlight w:val="none"/>
                <w:lang w:bidi="ar"/>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B8D6EC8">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r>
              <w:rPr>
                <w:rFonts w:hint="eastAsia" w:ascii="宋体" w:hAnsi="宋体" w:cs="宋体"/>
                <w:bCs/>
                <w:color w:val="auto"/>
                <w:sz w:val="24"/>
                <w:szCs w:val="24"/>
                <w:highlight w:val="none"/>
                <w:lang w:bidi="ar"/>
              </w:rPr>
              <w:t>颁发部门</w:t>
            </w:r>
          </w:p>
        </w:tc>
        <w:tc>
          <w:tcPr>
            <w:tcW w:w="2075" w:type="dxa"/>
            <w:tcBorders>
              <w:top w:val="single" w:color="auto" w:sz="4" w:space="0"/>
              <w:left w:val="single" w:color="auto" w:sz="4" w:space="0"/>
              <w:bottom w:val="single" w:color="auto" w:sz="4" w:space="0"/>
              <w:right w:val="single" w:color="auto" w:sz="4" w:space="0"/>
            </w:tcBorders>
            <w:vAlign w:val="center"/>
          </w:tcPr>
          <w:p w14:paraId="5695DC49">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r>
              <w:rPr>
                <w:rFonts w:hint="eastAsia" w:ascii="宋体" w:hAnsi="宋体" w:cs="宋体"/>
                <w:bCs/>
                <w:color w:val="auto"/>
                <w:sz w:val="24"/>
                <w:szCs w:val="24"/>
                <w:highlight w:val="none"/>
                <w:lang w:bidi="ar"/>
              </w:rPr>
              <w:t>颁发时间</w:t>
            </w:r>
          </w:p>
        </w:tc>
        <w:tc>
          <w:tcPr>
            <w:tcW w:w="2009" w:type="dxa"/>
            <w:tcBorders>
              <w:top w:val="single" w:color="auto" w:sz="4" w:space="0"/>
              <w:left w:val="single" w:color="auto" w:sz="4" w:space="0"/>
              <w:bottom w:val="single" w:color="auto" w:sz="4" w:space="0"/>
              <w:right w:val="single" w:color="auto" w:sz="4" w:space="0"/>
            </w:tcBorders>
            <w:vAlign w:val="center"/>
          </w:tcPr>
          <w:p w14:paraId="5F028330">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r>
              <w:rPr>
                <w:rFonts w:hint="eastAsia" w:ascii="宋体" w:hAnsi="宋体" w:cs="宋体"/>
                <w:bCs/>
                <w:color w:val="auto"/>
                <w:sz w:val="24"/>
                <w:szCs w:val="24"/>
                <w:highlight w:val="none"/>
                <w:lang w:bidi="ar"/>
              </w:rPr>
              <w:t>有效期</w:t>
            </w:r>
          </w:p>
        </w:tc>
      </w:tr>
      <w:tr w14:paraId="4407BE6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14:paraId="1573AAB6">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14:paraId="35D0DAE5">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84CE668">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14:paraId="4301642F">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c>
          <w:tcPr>
            <w:tcW w:w="2009" w:type="dxa"/>
            <w:tcBorders>
              <w:top w:val="single" w:color="auto" w:sz="4" w:space="0"/>
              <w:left w:val="single" w:color="auto" w:sz="4" w:space="0"/>
              <w:bottom w:val="single" w:color="auto" w:sz="4" w:space="0"/>
              <w:right w:val="single" w:color="auto" w:sz="4" w:space="0"/>
            </w:tcBorders>
            <w:vAlign w:val="center"/>
          </w:tcPr>
          <w:p w14:paraId="4741BB21">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r>
      <w:tr w14:paraId="153B5F0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14:paraId="30F91D32">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14:paraId="47C31AD3">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5B405C2">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14:paraId="0BA55481">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c>
          <w:tcPr>
            <w:tcW w:w="2009" w:type="dxa"/>
            <w:tcBorders>
              <w:top w:val="single" w:color="auto" w:sz="4" w:space="0"/>
              <w:left w:val="single" w:color="auto" w:sz="4" w:space="0"/>
              <w:bottom w:val="single" w:color="auto" w:sz="4" w:space="0"/>
              <w:right w:val="single" w:color="auto" w:sz="4" w:space="0"/>
            </w:tcBorders>
            <w:vAlign w:val="center"/>
          </w:tcPr>
          <w:p w14:paraId="3E2C5115">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r>
      <w:tr w14:paraId="1D54C5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14:paraId="3F4A42FC">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14:paraId="39CABDD6">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A22AE00">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14:paraId="59A2284E">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c>
          <w:tcPr>
            <w:tcW w:w="2009" w:type="dxa"/>
            <w:tcBorders>
              <w:top w:val="single" w:color="auto" w:sz="4" w:space="0"/>
              <w:left w:val="single" w:color="auto" w:sz="4" w:space="0"/>
              <w:bottom w:val="single" w:color="auto" w:sz="4" w:space="0"/>
              <w:right w:val="single" w:color="auto" w:sz="4" w:space="0"/>
            </w:tcBorders>
            <w:vAlign w:val="center"/>
          </w:tcPr>
          <w:p w14:paraId="6C144BEE">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r>
      <w:tr w14:paraId="08ECD2E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14:paraId="3FB8872F">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14:paraId="5A6FFE8F">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5CC116C">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14:paraId="7EB29277">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c>
          <w:tcPr>
            <w:tcW w:w="2009" w:type="dxa"/>
            <w:tcBorders>
              <w:top w:val="single" w:color="auto" w:sz="4" w:space="0"/>
              <w:left w:val="single" w:color="auto" w:sz="4" w:space="0"/>
              <w:bottom w:val="single" w:color="auto" w:sz="4" w:space="0"/>
              <w:right w:val="single" w:color="auto" w:sz="4" w:space="0"/>
            </w:tcBorders>
            <w:vAlign w:val="center"/>
          </w:tcPr>
          <w:p w14:paraId="22500A1D">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r>
      <w:tr w14:paraId="0EB60A9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1"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14:paraId="6CBF3B1E">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r>
              <w:rPr>
                <w:rFonts w:hint="eastAsia" w:ascii="宋体" w:hAnsi="宋体" w:cs="宋体"/>
                <w:bCs/>
                <w:color w:val="auto"/>
                <w:sz w:val="24"/>
                <w:szCs w:val="24"/>
                <w:highlight w:val="none"/>
                <w:lang w:bidi="ar"/>
              </w:rPr>
              <w:t>经营范围</w:t>
            </w:r>
          </w:p>
        </w:tc>
        <w:tc>
          <w:tcPr>
            <w:tcW w:w="8372" w:type="dxa"/>
            <w:gridSpan w:val="5"/>
            <w:tcBorders>
              <w:top w:val="single" w:color="auto" w:sz="4" w:space="0"/>
              <w:left w:val="single" w:color="auto" w:sz="4" w:space="0"/>
              <w:bottom w:val="single" w:color="auto" w:sz="4" w:space="0"/>
              <w:right w:val="single" w:color="auto" w:sz="4" w:space="0"/>
            </w:tcBorders>
            <w:vAlign w:val="center"/>
          </w:tcPr>
          <w:p w14:paraId="00CDF5B5">
            <w:pPr>
              <w:pStyle w:val="25"/>
              <w:widowControl w:val="0"/>
              <w:tabs>
                <w:tab w:val="left" w:pos="1800"/>
                <w:tab w:val="left" w:pos="1980"/>
              </w:tabs>
              <w:wordWrap w:val="0"/>
              <w:overflowPunct w:val="0"/>
              <w:autoSpaceDE w:val="0"/>
              <w:autoSpaceDN w:val="0"/>
              <w:spacing w:before="0" w:beforeAutospacing="0" w:after="0" w:afterAutospacing="0" w:line="400" w:lineRule="exact"/>
              <w:jc w:val="center"/>
              <w:rPr>
                <w:rFonts w:hint="eastAsia" w:cs="宋体"/>
                <w:bCs/>
                <w:color w:val="auto"/>
                <w:kern w:val="2"/>
                <w:sz w:val="24"/>
                <w:szCs w:val="24"/>
                <w:highlight w:val="none"/>
                <w:lang w:bidi="ar"/>
              </w:rPr>
            </w:pPr>
          </w:p>
        </w:tc>
      </w:tr>
      <w:tr w14:paraId="6C3DF7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9"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14:paraId="691D09B5">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r>
              <w:rPr>
                <w:rFonts w:hint="eastAsia" w:ascii="宋体" w:hAnsi="宋体" w:cs="宋体"/>
                <w:bCs/>
                <w:color w:val="auto"/>
                <w:sz w:val="24"/>
                <w:szCs w:val="24"/>
                <w:highlight w:val="none"/>
                <w:lang w:bidi="ar"/>
              </w:rPr>
              <w:t>其他</w:t>
            </w:r>
          </w:p>
        </w:tc>
        <w:tc>
          <w:tcPr>
            <w:tcW w:w="8372" w:type="dxa"/>
            <w:gridSpan w:val="5"/>
            <w:tcBorders>
              <w:top w:val="single" w:color="auto" w:sz="4" w:space="0"/>
              <w:left w:val="single" w:color="auto" w:sz="4" w:space="0"/>
              <w:bottom w:val="single" w:color="auto" w:sz="4" w:space="0"/>
              <w:right w:val="single" w:color="auto" w:sz="4" w:space="0"/>
            </w:tcBorders>
            <w:vAlign w:val="center"/>
          </w:tcPr>
          <w:p w14:paraId="6B709D08">
            <w:pPr>
              <w:wordWrap w:val="0"/>
              <w:overflowPunct w:val="0"/>
              <w:autoSpaceDE w:val="0"/>
              <w:autoSpaceDN w:val="0"/>
              <w:spacing w:line="400" w:lineRule="exact"/>
              <w:jc w:val="center"/>
              <w:rPr>
                <w:rFonts w:hint="eastAsia" w:ascii="宋体" w:hAnsi="宋体" w:cs="宋体"/>
                <w:bCs/>
                <w:color w:val="auto"/>
                <w:sz w:val="24"/>
                <w:szCs w:val="24"/>
                <w:highlight w:val="none"/>
                <w:lang w:bidi="ar"/>
              </w:rPr>
            </w:pPr>
          </w:p>
        </w:tc>
      </w:tr>
    </w:tbl>
    <w:p w14:paraId="6687877D">
      <w:pPr>
        <w:keepNext w:val="0"/>
        <w:keepLines w:val="0"/>
        <w:pageBreakBefore w:val="0"/>
        <w:widowControl/>
        <w:kinsoku/>
        <w:wordWrap w:val="0"/>
        <w:overflowPunct w:val="0"/>
        <w:topLinePunct w:val="0"/>
        <w:autoSpaceDE w:val="0"/>
        <w:autoSpaceDN w:val="0"/>
        <w:bidi w:val="0"/>
        <w:adjustRightInd/>
        <w:snapToGrid/>
        <w:spacing w:line="36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注：1、表格内容不够，可另附页。</w:t>
      </w:r>
    </w:p>
    <w:p w14:paraId="2422D770">
      <w:pPr>
        <w:keepNext w:val="0"/>
        <w:keepLines w:val="0"/>
        <w:pageBreakBefore w:val="0"/>
        <w:widowControl/>
        <w:numPr>
          <w:ilvl w:val="0"/>
          <w:numId w:val="11"/>
        </w:numPr>
        <w:kinsoku/>
        <w:wordWrap w:val="0"/>
        <w:overflowPunct w:val="0"/>
        <w:topLinePunct w:val="0"/>
        <w:autoSpaceDE w:val="0"/>
        <w:autoSpaceDN w:val="0"/>
        <w:bidi w:val="0"/>
        <w:adjustRightInd/>
        <w:snapToGrid/>
        <w:spacing w:line="360" w:lineRule="auto"/>
        <w:ind w:firstLine="480"/>
        <w:textAlignment w:val="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所获认证证书、荣誉资料的复印件附后。</w:t>
      </w:r>
    </w:p>
    <w:p w14:paraId="4C6C88B9">
      <w:pPr>
        <w:wordWrap w:val="0"/>
        <w:overflowPunct w:val="0"/>
        <w:autoSpaceDE w:val="0"/>
        <w:autoSpaceDN w:val="0"/>
        <w:spacing w:line="400" w:lineRule="exact"/>
        <w:ind w:firstLine="480"/>
        <w:jc w:val="right"/>
        <w:rPr>
          <w:rFonts w:hint="eastAsia" w:ascii="宋体" w:hAnsi="宋体" w:cs="宋体"/>
          <w:color w:val="auto"/>
          <w:sz w:val="24"/>
          <w:szCs w:val="24"/>
          <w:highlight w:val="none"/>
          <w:u w:val="singl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（盖章）</w:t>
      </w:r>
      <w:r>
        <w:rPr>
          <w:rFonts w:hint="eastAsia" w:ascii="宋体" w:hAnsi="宋体" w:cs="宋体"/>
          <w:color w:val="auto"/>
          <w:sz w:val="24"/>
          <w:szCs w:val="24"/>
          <w:highlight w:val="none"/>
          <w:lang w:bidi="ar"/>
        </w:rPr>
        <w:t>：</w:t>
      </w:r>
      <w:r>
        <w:rPr>
          <w:rFonts w:hint="eastAsia" w:ascii="宋体" w:hAnsi="宋体" w:cs="宋体"/>
          <w:color w:val="auto"/>
          <w:sz w:val="24"/>
          <w:szCs w:val="24"/>
          <w:highlight w:val="none"/>
          <w:u w:val="single"/>
          <w:lang w:bidi="ar"/>
        </w:rPr>
        <w:t xml:space="preserve">                  </w:t>
      </w:r>
    </w:p>
    <w:p w14:paraId="44C5935A">
      <w:pPr>
        <w:wordWrap w:val="0"/>
        <w:overflowPunct w:val="0"/>
        <w:autoSpaceDE w:val="0"/>
        <w:autoSpaceDN w:val="0"/>
        <w:spacing w:line="400" w:lineRule="exact"/>
        <w:ind w:firstLine="480"/>
        <w:jc w:val="right"/>
        <w:rPr>
          <w:rFonts w:hint="eastAsia" w:ascii="宋体" w:hAnsi="宋体" w:cs="宋体"/>
          <w:color w:val="auto"/>
          <w:sz w:val="24"/>
          <w:szCs w:val="24"/>
          <w:highlight w:val="none"/>
          <w:u w:val="single"/>
          <w:lang w:bidi="ar"/>
        </w:rPr>
      </w:pPr>
      <w:r>
        <w:rPr>
          <w:rFonts w:hint="eastAsia" w:ascii="宋体" w:hAnsi="宋体" w:cs="宋体"/>
          <w:color w:val="auto"/>
          <w:sz w:val="24"/>
          <w:szCs w:val="24"/>
          <w:highlight w:val="none"/>
        </w:rPr>
        <w:t>法定代表人或被授权人签字（或盖章）：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bidi="ar"/>
        </w:rPr>
        <w:t xml:space="preserve"> </w:t>
      </w:r>
    </w:p>
    <w:p w14:paraId="6189A9F0">
      <w:pPr>
        <w:wordWrap w:val="0"/>
        <w:overflowPunct w:val="0"/>
        <w:autoSpaceDE w:val="0"/>
        <w:autoSpaceDN w:val="0"/>
        <w:spacing w:line="400" w:lineRule="exact"/>
        <w:rPr>
          <w:rFonts w:hint="eastAsia" w:ascii="宋体" w:hAnsi="宋体" w:cs="宋体"/>
          <w:color w:val="auto"/>
          <w:sz w:val="21"/>
          <w:szCs w:val="21"/>
          <w:highlight w:val="none"/>
        </w:rPr>
      </w:pPr>
      <w:r>
        <w:rPr>
          <w:rFonts w:hint="eastAsia" w:ascii="宋体" w:hAnsi="宋体" w:cs="宋体"/>
          <w:color w:val="auto"/>
          <w:sz w:val="24"/>
          <w:szCs w:val="24"/>
          <w:highlight w:val="none"/>
          <w:lang w:bidi="ar"/>
        </w:rPr>
        <w:t xml:space="preserve">                                        日期：</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年</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月</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日</w:t>
      </w:r>
    </w:p>
    <w:p w14:paraId="234EA7FA">
      <w:pPr>
        <w:wordWrap w:val="0"/>
        <w:overflowPunct w:val="0"/>
        <w:autoSpaceDE w:val="0"/>
        <w:autoSpaceDN w:val="0"/>
        <w:snapToGrid w:val="0"/>
        <w:spacing w:before="50" w:after="120" w:afterLines="50" w:line="360" w:lineRule="auto"/>
        <w:ind w:firstLine="420"/>
        <w:rPr>
          <w:rFonts w:hint="eastAsia" w:ascii="宋体" w:hAnsi="宋体" w:cs="宋体"/>
          <w:color w:val="auto"/>
          <w:sz w:val="21"/>
          <w:szCs w:val="21"/>
          <w:highlight w:val="none"/>
        </w:rPr>
        <w:sectPr>
          <w:pgSz w:w="11849" w:h="16781"/>
          <w:pgMar w:top="1134" w:right="1417" w:bottom="1134" w:left="1417" w:header="850" w:footer="992" w:gutter="0"/>
          <w:pgNumType w:fmt="decimal"/>
          <w:cols w:space="0" w:num="1"/>
          <w:rtlGutter w:val="0"/>
          <w:docGrid w:type="linesAndChars" w:linePitch="324" w:charSpace="819"/>
        </w:sectPr>
      </w:pPr>
    </w:p>
    <w:p w14:paraId="7C2AB91D">
      <w:pPr>
        <w:wordWrap w:val="0"/>
        <w:overflowPunct w:val="0"/>
        <w:autoSpaceDE w:val="0"/>
        <w:autoSpaceDN w:val="0"/>
        <w:snapToGrid w:val="0"/>
        <w:spacing w:line="360" w:lineRule="auto"/>
        <w:rPr>
          <w:rFonts w:hint="eastAsia" w:ascii="宋体" w:hAnsi="宋体" w:cs="宋体"/>
          <w:color w:val="auto"/>
          <w:highlight w:val="none"/>
        </w:rPr>
      </w:pP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.投标人的同类成功案例的业绩证明文件：</w:t>
      </w:r>
    </w:p>
    <w:p w14:paraId="5172F531">
      <w:pPr>
        <w:pStyle w:val="22"/>
        <w:wordWrap w:val="0"/>
        <w:overflowPunct w:val="0"/>
        <w:autoSpaceDE w:val="0"/>
        <w:autoSpaceDN w:val="0"/>
        <w:snapToGrid w:val="0"/>
        <w:spacing w:line="400" w:lineRule="exact"/>
        <w:ind w:left="480" w:hanging="480"/>
        <w:rPr>
          <w:rFonts w:hint="eastAsia" w:ascii="宋体" w:hAnsi="宋体" w:cs="宋体"/>
          <w:color w:val="auto"/>
          <w:sz w:val="24"/>
          <w:highlight w:val="none"/>
        </w:rPr>
      </w:pPr>
      <w:r>
        <w:rPr>
          <w:rFonts w:hint="eastAsia" w:ascii="宋体" w:hAnsi="宋体" w:cs="宋体"/>
          <w:color w:val="auto"/>
          <w:sz w:val="24"/>
          <w:highlight w:val="none"/>
        </w:rPr>
        <w:t>投标人同类项目实施情况一览表格式（</w:t>
      </w:r>
      <w:r>
        <w:rPr>
          <w:rFonts w:hint="eastAsia" w:ascii="宋体" w:hAnsi="宋体" w:cs="宋体"/>
          <w:color w:val="auto"/>
          <w:sz w:val="24"/>
          <w:highlight w:val="none"/>
          <w:lang w:eastAsia="zh-CN"/>
        </w:rPr>
        <w:t>提供</w:t>
      </w:r>
      <w:r>
        <w:rPr>
          <w:rFonts w:hint="eastAsia" w:ascii="宋体" w:hAnsi="宋体" w:cs="宋体"/>
          <w:color w:val="auto"/>
          <w:sz w:val="24"/>
          <w:highlight w:val="none"/>
        </w:rPr>
        <w:t>合同</w:t>
      </w:r>
      <w:r>
        <w:rPr>
          <w:rFonts w:hint="eastAsia" w:ascii="宋体" w:hAnsi="宋体" w:cs="宋体"/>
          <w:color w:val="auto"/>
          <w:sz w:val="24"/>
          <w:highlight w:val="none"/>
          <w:lang w:val="en-US" w:eastAsia="zh-CN"/>
        </w:rPr>
        <w:t>等</w:t>
      </w:r>
      <w:r>
        <w:rPr>
          <w:rFonts w:hint="eastAsia" w:ascii="宋体" w:hAnsi="宋体" w:cs="宋体"/>
          <w:color w:val="auto"/>
          <w:sz w:val="24"/>
          <w:highlight w:val="none"/>
        </w:rPr>
        <w:t>）</w:t>
      </w:r>
    </w:p>
    <w:tbl>
      <w:tblPr>
        <w:tblStyle w:val="27"/>
        <w:tblW w:w="13678" w:type="dxa"/>
        <w:tblInd w:w="17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6"/>
        <w:gridCol w:w="3300"/>
        <w:gridCol w:w="3028"/>
        <w:gridCol w:w="2434"/>
        <w:gridCol w:w="1666"/>
        <w:gridCol w:w="2344"/>
      </w:tblGrid>
      <w:tr w14:paraId="245F8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3" w:hRule="atLeast"/>
        </w:trPr>
        <w:tc>
          <w:tcPr>
            <w:tcW w:w="906" w:type="dxa"/>
            <w:vMerge w:val="restart"/>
            <w:tcBorders>
              <w:top w:val="single" w:color="auto" w:sz="4" w:space="0"/>
              <w:left w:val="single" w:color="auto" w:sz="4" w:space="0"/>
              <w:right w:val="single" w:color="auto" w:sz="4" w:space="0"/>
            </w:tcBorders>
            <w:vAlign w:val="center"/>
          </w:tcPr>
          <w:p w14:paraId="0FF620AC">
            <w:pPr>
              <w:wordWrap w:val="0"/>
              <w:overflowPunct w:val="0"/>
              <w:autoSpaceDE w:val="0"/>
              <w:autoSpaceDN w:val="0"/>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3300" w:type="dxa"/>
            <w:vMerge w:val="restart"/>
            <w:tcBorders>
              <w:top w:val="single" w:color="auto" w:sz="4" w:space="0"/>
              <w:left w:val="single" w:color="auto" w:sz="4" w:space="0"/>
              <w:bottom w:val="single" w:color="auto" w:sz="4" w:space="0"/>
              <w:right w:val="single" w:color="auto" w:sz="4" w:space="0"/>
            </w:tcBorders>
            <w:vAlign w:val="center"/>
          </w:tcPr>
          <w:p w14:paraId="15D107A9">
            <w:pPr>
              <w:wordWrap w:val="0"/>
              <w:overflowPunct w:val="0"/>
              <w:autoSpaceDE w:val="0"/>
              <w:autoSpaceDN w:val="0"/>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采购单位名称</w:t>
            </w:r>
          </w:p>
        </w:tc>
        <w:tc>
          <w:tcPr>
            <w:tcW w:w="3028" w:type="dxa"/>
            <w:vMerge w:val="restart"/>
            <w:tcBorders>
              <w:top w:val="single" w:color="auto" w:sz="4" w:space="0"/>
              <w:left w:val="single" w:color="auto" w:sz="4" w:space="0"/>
              <w:bottom w:val="single" w:color="auto" w:sz="4" w:space="0"/>
              <w:right w:val="single" w:color="auto" w:sz="4" w:space="0"/>
            </w:tcBorders>
            <w:vAlign w:val="center"/>
          </w:tcPr>
          <w:p w14:paraId="2B7EFDDB">
            <w:pPr>
              <w:wordWrap w:val="0"/>
              <w:overflowPunct w:val="0"/>
              <w:autoSpaceDE w:val="0"/>
              <w:autoSpaceDN w:val="0"/>
              <w:snapToGrid w:val="0"/>
              <w:spacing w:line="400" w:lineRule="exact"/>
              <w:ind w:firstLine="201" w:firstLineChars="83"/>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2434" w:type="dxa"/>
            <w:vMerge w:val="restart"/>
            <w:tcBorders>
              <w:top w:val="single" w:color="auto" w:sz="4" w:space="0"/>
              <w:left w:val="single" w:color="auto" w:sz="4" w:space="0"/>
              <w:right w:val="single" w:color="auto" w:sz="4" w:space="0"/>
            </w:tcBorders>
            <w:vAlign w:val="center"/>
          </w:tcPr>
          <w:p w14:paraId="5A3B4B0E">
            <w:pPr>
              <w:wordWrap w:val="0"/>
              <w:overflowPunct w:val="0"/>
              <w:autoSpaceDE w:val="0"/>
              <w:autoSpaceDN w:val="0"/>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合同金额（万元）</w:t>
            </w:r>
          </w:p>
        </w:tc>
        <w:tc>
          <w:tcPr>
            <w:tcW w:w="4010" w:type="dxa"/>
            <w:gridSpan w:val="2"/>
            <w:tcBorders>
              <w:top w:val="single" w:color="auto" w:sz="4" w:space="0"/>
              <w:left w:val="single" w:color="auto" w:sz="4" w:space="0"/>
              <w:bottom w:val="single" w:color="auto" w:sz="4" w:space="0"/>
            </w:tcBorders>
            <w:vAlign w:val="center"/>
          </w:tcPr>
          <w:p w14:paraId="558170DA">
            <w:pPr>
              <w:wordWrap w:val="0"/>
              <w:overflowPunct w:val="0"/>
              <w:autoSpaceDE w:val="0"/>
              <w:autoSpaceDN w:val="0"/>
              <w:snapToGrid w:val="0"/>
              <w:spacing w:line="400" w:lineRule="exact"/>
              <w:ind w:firstLine="201" w:firstLineChars="83"/>
              <w:jc w:val="center"/>
              <w:rPr>
                <w:rFonts w:hint="eastAsia" w:ascii="宋体" w:hAnsi="宋体" w:cs="宋体"/>
                <w:color w:val="auto"/>
                <w:sz w:val="24"/>
                <w:highlight w:val="none"/>
              </w:rPr>
            </w:pPr>
            <w:r>
              <w:rPr>
                <w:rFonts w:hint="eastAsia" w:ascii="宋体" w:hAnsi="宋体" w:cs="宋体"/>
                <w:color w:val="auto"/>
                <w:sz w:val="24"/>
                <w:highlight w:val="none"/>
              </w:rPr>
              <w:t>附件页码</w:t>
            </w:r>
          </w:p>
        </w:tc>
      </w:tr>
      <w:tr w14:paraId="60974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3" w:hRule="atLeast"/>
        </w:trPr>
        <w:tc>
          <w:tcPr>
            <w:tcW w:w="906" w:type="dxa"/>
            <w:vMerge w:val="continue"/>
            <w:tcBorders>
              <w:left w:val="single" w:color="auto" w:sz="4" w:space="0"/>
              <w:bottom w:val="single" w:color="auto" w:sz="4" w:space="0"/>
              <w:right w:val="single" w:color="auto" w:sz="4" w:space="0"/>
            </w:tcBorders>
            <w:vAlign w:val="center"/>
          </w:tcPr>
          <w:p w14:paraId="0619728F">
            <w:pPr>
              <w:wordWrap w:val="0"/>
              <w:overflowPunct w:val="0"/>
              <w:autoSpaceDE w:val="0"/>
              <w:autoSpaceDN w:val="0"/>
              <w:spacing w:line="400" w:lineRule="exact"/>
              <w:ind w:firstLine="480"/>
              <w:jc w:val="center"/>
              <w:rPr>
                <w:rFonts w:hint="eastAsia" w:ascii="宋体" w:hAnsi="宋体" w:cs="宋体"/>
                <w:color w:val="auto"/>
                <w:sz w:val="24"/>
                <w:highlight w:val="none"/>
              </w:rPr>
            </w:pPr>
          </w:p>
        </w:tc>
        <w:tc>
          <w:tcPr>
            <w:tcW w:w="3300" w:type="dxa"/>
            <w:vMerge w:val="continue"/>
            <w:tcBorders>
              <w:top w:val="single" w:color="auto" w:sz="4" w:space="0"/>
              <w:left w:val="single" w:color="auto" w:sz="4" w:space="0"/>
              <w:bottom w:val="single" w:color="auto" w:sz="4" w:space="0"/>
              <w:right w:val="single" w:color="auto" w:sz="4" w:space="0"/>
            </w:tcBorders>
            <w:vAlign w:val="center"/>
          </w:tcPr>
          <w:p w14:paraId="1DDBD127">
            <w:pPr>
              <w:wordWrap w:val="0"/>
              <w:overflowPunct w:val="0"/>
              <w:autoSpaceDE w:val="0"/>
              <w:autoSpaceDN w:val="0"/>
              <w:spacing w:line="400" w:lineRule="exact"/>
              <w:ind w:firstLine="480"/>
              <w:jc w:val="center"/>
              <w:rPr>
                <w:rFonts w:hint="eastAsia" w:ascii="宋体" w:hAnsi="宋体" w:cs="宋体"/>
                <w:color w:val="auto"/>
                <w:sz w:val="24"/>
                <w:highlight w:val="none"/>
              </w:rPr>
            </w:pPr>
          </w:p>
        </w:tc>
        <w:tc>
          <w:tcPr>
            <w:tcW w:w="3028" w:type="dxa"/>
            <w:vMerge w:val="continue"/>
            <w:tcBorders>
              <w:top w:val="single" w:color="auto" w:sz="4" w:space="0"/>
              <w:left w:val="single" w:color="auto" w:sz="4" w:space="0"/>
              <w:bottom w:val="single" w:color="auto" w:sz="4" w:space="0"/>
              <w:right w:val="single" w:color="auto" w:sz="4" w:space="0"/>
            </w:tcBorders>
            <w:vAlign w:val="center"/>
          </w:tcPr>
          <w:p w14:paraId="04719518">
            <w:pPr>
              <w:wordWrap w:val="0"/>
              <w:overflowPunct w:val="0"/>
              <w:autoSpaceDE w:val="0"/>
              <w:autoSpaceDN w:val="0"/>
              <w:spacing w:line="400" w:lineRule="exact"/>
              <w:ind w:firstLine="480"/>
              <w:jc w:val="center"/>
              <w:rPr>
                <w:rFonts w:hint="eastAsia" w:ascii="宋体" w:hAnsi="宋体" w:cs="宋体"/>
                <w:color w:val="auto"/>
                <w:sz w:val="24"/>
                <w:highlight w:val="none"/>
              </w:rPr>
            </w:pPr>
          </w:p>
        </w:tc>
        <w:tc>
          <w:tcPr>
            <w:tcW w:w="2434" w:type="dxa"/>
            <w:vMerge w:val="continue"/>
            <w:tcBorders>
              <w:left w:val="single" w:color="auto" w:sz="4" w:space="0"/>
              <w:bottom w:val="single" w:color="auto" w:sz="4" w:space="0"/>
              <w:right w:val="single" w:color="auto" w:sz="4" w:space="0"/>
            </w:tcBorders>
            <w:vAlign w:val="center"/>
          </w:tcPr>
          <w:p w14:paraId="7F2682CF">
            <w:pPr>
              <w:wordWrap w:val="0"/>
              <w:overflowPunct w:val="0"/>
              <w:autoSpaceDE w:val="0"/>
              <w:autoSpaceDN w:val="0"/>
              <w:spacing w:line="400" w:lineRule="exact"/>
              <w:ind w:firstLine="480"/>
              <w:jc w:val="center"/>
              <w:rPr>
                <w:rFonts w:hint="eastAsia" w:ascii="宋体" w:hAnsi="宋体" w:cs="宋体"/>
                <w:color w:val="auto"/>
                <w:sz w:val="24"/>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18B8FF05">
            <w:pPr>
              <w:wordWrap w:val="0"/>
              <w:overflowPunct w:val="0"/>
              <w:autoSpaceDE w:val="0"/>
              <w:autoSpaceDN w:val="0"/>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中标通知书</w:t>
            </w:r>
          </w:p>
        </w:tc>
        <w:tc>
          <w:tcPr>
            <w:tcW w:w="2344" w:type="dxa"/>
            <w:tcBorders>
              <w:top w:val="single" w:color="auto" w:sz="4" w:space="0"/>
              <w:left w:val="single" w:color="auto" w:sz="4" w:space="0"/>
              <w:bottom w:val="single" w:color="auto" w:sz="4" w:space="0"/>
              <w:right w:val="single" w:color="auto" w:sz="4" w:space="0"/>
            </w:tcBorders>
            <w:vAlign w:val="center"/>
          </w:tcPr>
          <w:p w14:paraId="10A12E6B">
            <w:pPr>
              <w:wordWrap w:val="0"/>
              <w:overflowPunct w:val="0"/>
              <w:autoSpaceDE w:val="0"/>
              <w:autoSpaceDN w:val="0"/>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合同</w:t>
            </w:r>
          </w:p>
        </w:tc>
      </w:tr>
      <w:tr w14:paraId="76DA0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06" w:type="dxa"/>
            <w:tcBorders>
              <w:top w:val="single" w:color="auto" w:sz="4" w:space="0"/>
              <w:left w:val="single" w:color="auto" w:sz="4" w:space="0"/>
              <w:bottom w:val="single" w:color="auto" w:sz="4" w:space="0"/>
              <w:right w:val="single" w:color="auto" w:sz="4" w:space="0"/>
            </w:tcBorders>
            <w:vAlign w:val="center"/>
          </w:tcPr>
          <w:p w14:paraId="659890BF">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14:paraId="64CEB678">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c>
          <w:tcPr>
            <w:tcW w:w="3028" w:type="dxa"/>
            <w:tcBorders>
              <w:top w:val="single" w:color="auto" w:sz="4" w:space="0"/>
              <w:left w:val="single" w:color="auto" w:sz="4" w:space="0"/>
              <w:bottom w:val="single" w:color="auto" w:sz="4" w:space="0"/>
              <w:right w:val="single" w:color="auto" w:sz="4" w:space="0"/>
            </w:tcBorders>
            <w:vAlign w:val="center"/>
          </w:tcPr>
          <w:p w14:paraId="63A01D06">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38317BD5">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6D937563">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00A75E7D">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r>
      <w:tr w14:paraId="3D86E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06" w:type="dxa"/>
            <w:tcBorders>
              <w:top w:val="single" w:color="auto" w:sz="4" w:space="0"/>
              <w:left w:val="single" w:color="auto" w:sz="4" w:space="0"/>
              <w:bottom w:val="single" w:color="auto" w:sz="4" w:space="0"/>
              <w:right w:val="single" w:color="auto" w:sz="4" w:space="0"/>
            </w:tcBorders>
            <w:vAlign w:val="center"/>
          </w:tcPr>
          <w:p w14:paraId="4308EDFA">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14:paraId="168B6355">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c>
          <w:tcPr>
            <w:tcW w:w="3028" w:type="dxa"/>
            <w:tcBorders>
              <w:top w:val="single" w:color="auto" w:sz="4" w:space="0"/>
              <w:left w:val="single" w:color="auto" w:sz="4" w:space="0"/>
              <w:bottom w:val="single" w:color="auto" w:sz="4" w:space="0"/>
              <w:right w:val="single" w:color="auto" w:sz="4" w:space="0"/>
            </w:tcBorders>
            <w:vAlign w:val="center"/>
          </w:tcPr>
          <w:p w14:paraId="7151927A">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1E4D9167">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22A187AE">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4AFFE94E">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r>
      <w:tr w14:paraId="66BFE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906" w:type="dxa"/>
            <w:tcBorders>
              <w:top w:val="single" w:color="auto" w:sz="4" w:space="0"/>
              <w:left w:val="single" w:color="auto" w:sz="4" w:space="0"/>
              <w:bottom w:val="single" w:color="auto" w:sz="4" w:space="0"/>
              <w:right w:val="single" w:color="auto" w:sz="4" w:space="0"/>
            </w:tcBorders>
            <w:vAlign w:val="center"/>
          </w:tcPr>
          <w:p w14:paraId="744CD846">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14:paraId="142FAFB5">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c>
          <w:tcPr>
            <w:tcW w:w="3028" w:type="dxa"/>
            <w:tcBorders>
              <w:top w:val="single" w:color="auto" w:sz="4" w:space="0"/>
              <w:left w:val="single" w:color="auto" w:sz="4" w:space="0"/>
              <w:bottom w:val="single" w:color="auto" w:sz="4" w:space="0"/>
              <w:right w:val="single" w:color="auto" w:sz="4" w:space="0"/>
            </w:tcBorders>
            <w:vAlign w:val="center"/>
          </w:tcPr>
          <w:p w14:paraId="44BB8E40">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5285E145">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100FE03E">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1630A06D">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r>
      <w:tr w14:paraId="00FA6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06" w:type="dxa"/>
            <w:tcBorders>
              <w:top w:val="single" w:color="auto" w:sz="4" w:space="0"/>
              <w:left w:val="single" w:color="auto" w:sz="4" w:space="0"/>
              <w:bottom w:val="single" w:color="auto" w:sz="4" w:space="0"/>
              <w:right w:val="single" w:color="auto" w:sz="4" w:space="0"/>
            </w:tcBorders>
            <w:vAlign w:val="center"/>
          </w:tcPr>
          <w:p w14:paraId="2AAB16C5">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14:paraId="0A01E05A">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c>
          <w:tcPr>
            <w:tcW w:w="3028" w:type="dxa"/>
            <w:tcBorders>
              <w:top w:val="single" w:color="auto" w:sz="4" w:space="0"/>
              <w:left w:val="single" w:color="auto" w:sz="4" w:space="0"/>
              <w:bottom w:val="single" w:color="auto" w:sz="4" w:space="0"/>
              <w:right w:val="single" w:color="auto" w:sz="4" w:space="0"/>
            </w:tcBorders>
            <w:vAlign w:val="center"/>
          </w:tcPr>
          <w:p w14:paraId="39673431">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47127EC8">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79622B29">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298CCF5C">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r>
      <w:tr w14:paraId="34345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06" w:type="dxa"/>
            <w:tcBorders>
              <w:top w:val="single" w:color="auto" w:sz="4" w:space="0"/>
              <w:left w:val="single" w:color="auto" w:sz="4" w:space="0"/>
              <w:bottom w:val="single" w:color="auto" w:sz="4" w:space="0"/>
              <w:right w:val="single" w:color="auto" w:sz="4" w:space="0"/>
            </w:tcBorders>
            <w:vAlign w:val="center"/>
          </w:tcPr>
          <w:p w14:paraId="54BF863F">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14:paraId="41CABB50">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c>
          <w:tcPr>
            <w:tcW w:w="3028" w:type="dxa"/>
            <w:tcBorders>
              <w:top w:val="single" w:color="auto" w:sz="4" w:space="0"/>
              <w:left w:val="single" w:color="auto" w:sz="4" w:space="0"/>
              <w:bottom w:val="single" w:color="auto" w:sz="4" w:space="0"/>
              <w:right w:val="single" w:color="auto" w:sz="4" w:space="0"/>
            </w:tcBorders>
            <w:vAlign w:val="center"/>
          </w:tcPr>
          <w:p w14:paraId="261CB30E">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04F8154C">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17FF0C9F">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344D87E4">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r>
      <w:tr w14:paraId="07478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06" w:type="dxa"/>
            <w:tcBorders>
              <w:top w:val="single" w:color="auto" w:sz="4" w:space="0"/>
              <w:left w:val="single" w:color="auto" w:sz="4" w:space="0"/>
              <w:bottom w:val="single" w:color="auto" w:sz="4" w:space="0"/>
              <w:right w:val="single" w:color="auto" w:sz="4" w:space="0"/>
            </w:tcBorders>
            <w:vAlign w:val="center"/>
          </w:tcPr>
          <w:p w14:paraId="15D55391">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14:paraId="3A569E97">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c>
          <w:tcPr>
            <w:tcW w:w="3028" w:type="dxa"/>
            <w:tcBorders>
              <w:top w:val="single" w:color="auto" w:sz="4" w:space="0"/>
              <w:left w:val="single" w:color="auto" w:sz="4" w:space="0"/>
              <w:bottom w:val="single" w:color="auto" w:sz="4" w:space="0"/>
              <w:right w:val="single" w:color="auto" w:sz="4" w:space="0"/>
            </w:tcBorders>
            <w:vAlign w:val="center"/>
          </w:tcPr>
          <w:p w14:paraId="26604640">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1D73FC52">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2146E8BA">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31CD3451">
            <w:pPr>
              <w:wordWrap w:val="0"/>
              <w:overflowPunct w:val="0"/>
              <w:autoSpaceDE w:val="0"/>
              <w:autoSpaceDN w:val="0"/>
              <w:snapToGrid w:val="0"/>
              <w:spacing w:line="700" w:lineRule="exact"/>
              <w:ind w:firstLine="480"/>
              <w:jc w:val="center"/>
              <w:rPr>
                <w:rFonts w:hint="eastAsia" w:ascii="宋体" w:hAnsi="宋体" w:cs="宋体"/>
                <w:color w:val="auto"/>
                <w:sz w:val="24"/>
                <w:highlight w:val="none"/>
              </w:rPr>
            </w:pPr>
          </w:p>
        </w:tc>
      </w:tr>
    </w:tbl>
    <w:p w14:paraId="64962DC1">
      <w:pPr>
        <w:overflowPunct w:val="0"/>
        <w:autoSpaceDE w:val="0"/>
        <w:autoSpaceDN w:val="0"/>
        <w:spacing w:before="156" w:beforeLines="50" w:line="480" w:lineRule="exact"/>
        <w:ind w:firstLine="480"/>
        <w:jc w:val="left"/>
        <w:rPr>
          <w:rFonts w:hint="eastAsia" w:ascii="宋体" w:hAnsi="宋体" w:cs="宋体"/>
          <w:color w:val="auto"/>
          <w:sz w:val="24"/>
          <w:highlight w:val="none"/>
          <w:u w:val="single"/>
        </w:rPr>
      </w:pPr>
      <w:r>
        <w:rPr>
          <w:rFonts w:hint="eastAsia" w:ascii="宋体" w:hAnsi="宋体" w:cs="宋体"/>
          <w:color w:val="auto"/>
          <w:sz w:val="24"/>
          <w:highlight w:val="none"/>
          <w:lang w:bidi="ar"/>
        </w:rPr>
        <w:t xml:space="preserve">                                                                            </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（盖章）</w:t>
      </w:r>
      <w:r>
        <w:rPr>
          <w:rFonts w:hint="eastAsia" w:ascii="宋体" w:hAnsi="宋体" w:cs="宋体"/>
          <w:color w:val="auto"/>
          <w:sz w:val="24"/>
          <w:highlight w:val="none"/>
          <w:lang w:bidi="ar"/>
        </w:rPr>
        <w:t>：</w:t>
      </w:r>
      <w:r>
        <w:rPr>
          <w:rFonts w:hint="eastAsia" w:ascii="宋体" w:hAnsi="宋体" w:cs="宋体"/>
          <w:color w:val="auto"/>
          <w:sz w:val="24"/>
          <w:highlight w:val="none"/>
          <w:u w:val="single"/>
          <w:lang w:bidi="ar"/>
        </w:rPr>
        <w:t xml:space="preserve">                         </w:t>
      </w:r>
    </w:p>
    <w:p w14:paraId="39C3167F">
      <w:pPr>
        <w:wordWrap w:val="0"/>
        <w:overflowPunct w:val="0"/>
        <w:autoSpaceDE w:val="0"/>
        <w:autoSpaceDN w:val="0"/>
        <w:spacing w:line="480" w:lineRule="exact"/>
        <w:jc w:val="left"/>
        <w:rPr>
          <w:rFonts w:hint="eastAsia" w:ascii="宋体" w:hAnsi="宋体" w:cs="宋体"/>
          <w:color w:val="auto"/>
          <w:sz w:val="24"/>
          <w:highlight w:val="none"/>
        </w:rPr>
      </w:pPr>
      <w:r>
        <w:rPr>
          <w:rFonts w:hint="eastAsia" w:ascii="宋体" w:hAnsi="宋体" w:cs="宋体"/>
          <w:color w:val="auto"/>
          <w:sz w:val="24"/>
          <w:highlight w:val="none"/>
        </w:rPr>
        <w:t xml:space="preserve">                                                             法定代表人或被授权人签字（或盖章）</w:t>
      </w:r>
      <w:r>
        <w:rPr>
          <w:rFonts w:hint="eastAsia" w:ascii="宋体" w:hAnsi="宋体" w:cs="宋体"/>
          <w:color w:val="auto"/>
          <w:sz w:val="24"/>
          <w:highlight w:val="none"/>
          <w:lang w:bidi="ar"/>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bidi="ar"/>
        </w:rPr>
        <w:t>日期：</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年</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月</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日</w:t>
      </w:r>
    </w:p>
    <w:p w14:paraId="545701D3">
      <w:pPr>
        <w:wordWrap w:val="0"/>
        <w:overflowPunct w:val="0"/>
        <w:autoSpaceDE w:val="0"/>
        <w:autoSpaceDN w:val="0"/>
        <w:snapToGrid w:val="0"/>
        <w:spacing w:before="50" w:line="360" w:lineRule="auto"/>
        <w:ind w:firstLine="480"/>
        <w:rPr>
          <w:rFonts w:hint="eastAsia" w:ascii="宋体" w:hAnsi="宋体" w:cs="宋体"/>
          <w:color w:val="auto"/>
          <w:sz w:val="24"/>
          <w:highlight w:val="none"/>
        </w:rPr>
        <w:sectPr>
          <w:headerReference r:id="rId17" w:type="default"/>
          <w:footerReference r:id="rId18" w:type="default"/>
          <w:pgSz w:w="16781" w:h="11849" w:orient="landscape"/>
          <w:pgMar w:top="1134" w:right="1417" w:bottom="1134" w:left="1417" w:header="850" w:footer="992" w:gutter="0"/>
          <w:pgNumType w:fmt="decimal"/>
          <w:cols w:space="0" w:num="1"/>
          <w:rtlGutter w:val="0"/>
          <w:docGrid w:type="linesAndChars" w:linePitch="324" w:charSpace="819"/>
        </w:sectPr>
      </w:pPr>
    </w:p>
    <w:p w14:paraId="6DD533D8">
      <w:pPr>
        <w:wordWrap w:val="0"/>
        <w:overflowPunct w:val="0"/>
        <w:autoSpaceDE w:val="0"/>
        <w:autoSpaceDN w:val="0"/>
        <w:snapToGrid w:val="0"/>
        <w:spacing w:before="50" w:after="156" w:afterLines="50" w:line="360" w:lineRule="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.商务响应表格式：</w:t>
      </w:r>
    </w:p>
    <w:p w14:paraId="383ECBA2">
      <w:pPr>
        <w:pStyle w:val="92"/>
        <w:spacing w:line="276" w:lineRule="auto"/>
        <w:jc w:val="center"/>
        <w:rPr>
          <w:rFonts w:hint="eastAsia" w:hAnsi="宋体" w:eastAsia="宋体" w:cs="宋体"/>
          <w:b/>
          <w:color w:val="auto"/>
          <w:sz w:val="28"/>
          <w:szCs w:val="28"/>
          <w:highlight w:val="none"/>
        </w:rPr>
      </w:pPr>
      <w:r>
        <w:rPr>
          <w:rFonts w:hint="eastAsia" w:hAnsi="宋体" w:eastAsia="宋体" w:cs="宋体"/>
          <w:b/>
          <w:color w:val="auto"/>
          <w:sz w:val="28"/>
          <w:szCs w:val="28"/>
          <w:highlight w:val="none"/>
        </w:rPr>
        <w:t>商务响应表</w:t>
      </w:r>
    </w:p>
    <w:tbl>
      <w:tblPr>
        <w:tblStyle w:val="27"/>
        <w:tblW w:w="9579" w:type="dxa"/>
        <w:tblInd w:w="14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0"/>
        <w:gridCol w:w="2546"/>
        <w:gridCol w:w="2468"/>
        <w:gridCol w:w="2468"/>
        <w:gridCol w:w="1317"/>
      </w:tblGrid>
      <w:tr w14:paraId="410DE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780" w:type="dxa"/>
            <w:vAlign w:val="top"/>
          </w:tcPr>
          <w:p w14:paraId="40D80FFA">
            <w:pPr>
              <w:spacing w:before="240" w:after="240"/>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2546" w:type="dxa"/>
            <w:vAlign w:val="top"/>
          </w:tcPr>
          <w:p w14:paraId="5A8E8BDB">
            <w:pPr>
              <w:spacing w:before="240" w:after="240"/>
              <w:jc w:val="center"/>
              <w:rPr>
                <w:rFonts w:hint="eastAsia" w:ascii="宋体" w:hAnsi="宋体" w:cs="宋体"/>
                <w:b/>
                <w:bCs/>
                <w:color w:val="auto"/>
                <w:sz w:val="24"/>
                <w:highlight w:val="none"/>
              </w:rPr>
            </w:pPr>
            <w:r>
              <w:rPr>
                <w:rFonts w:hint="eastAsia" w:ascii="宋体" w:hAnsi="宋体" w:cs="宋体"/>
                <w:b/>
                <w:bCs/>
                <w:color w:val="auto"/>
                <w:sz w:val="24"/>
                <w:highlight w:val="none"/>
              </w:rPr>
              <w:t>内容</w:t>
            </w:r>
          </w:p>
        </w:tc>
        <w:tc>
          <w:tcPr>
            <w:tcW w:w="2468" w:type="dxa"/>
            <w:vAlign w:val="top"/>
          </w:tcPr>
          <w:p w14:paraId="75A7BA3E">
            <w:pPr>
              <w:spacing w:before="240" w:after="240"/>
              <w:jc w:val="center"/>
              <w:rPr>
                <w:rFonts w:hint="eastAsia" w:ascii="宋体" w:hAnsi="宋体" w:cs="宋体"/>
                <w:b/>
                <w:bCs/>
                <w:color w:val="auto"/>
                <w:sz w:val="24"/>
                <w:highlight w:val="none"/>
              </w:rPr>
            </w:pPr>
            <w:r>
              <w:rPr>
                <w:rFonts w:hint="eastAsia" w:ascii="宋体" w:hAnsi="宋体" w:cs="宋体"/>
                <w:b/>
                <w:bCs/>
                <w:color w:val="auto"/>
                <w:sz w:val="24"/>
                <w:highlight w:val="none"/>
              </w:rPr>
              <w:t>采购文件的规定</w:t>
            </w:r>
          </w:p>
        </w:tc>
        <w:tc>
          <w:tcPr>
            <w:tcW w:w="2468" w:type="dxa"/>
            <w:vAlign w:val="top"/>
          </w:tcPr>
          <w:p w14:paraId="16B7F7C3">
            <w:pPr>
              <w:spacing w:before="240" w:after="240"/>
              <w:jc w:val="center"/>
              <w:rPr>
                <w:rFonts w:hint="eastAsia" w:ascii="宋体" w:hAnsi="宋体" w:cs="宋体"/>
                <w:b/>
                <w:bCs/>
                <w:color w:val="auto"/>
                <w:sz w:val="24"/>
                <w:highlight w:val="none"/>
              </w:rPr>
            </w:pPr>
            <w:r>
              <w:rPr>
                <w:rFonts w:hint="eastAsia" w:ascii="宋体" w:hAnsi="宋体" w:cs="宋体"/>
                <w:b/>
                <w:bCs/>
                <w:color w:val="auto"/>
                <w:sz w:val="24"/>
                <w:highlight w:val="none"/>
              </w:rPr>
              <w:t>文件的响应</w:t>
            </w:r>
          </w:p>
        </w:tc>
        <w:tc>
          <w:tcPr>
            <w:tcW w:w="1317" w:type="dxa"/>
            <w:vAlign w:val="top"/>
          </w:tcPr>
          <w:p w14:paraId="4797553E">
            <w:pPr>
              <w:spacing w:before="240" w:after="240"/>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29CA8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80" w:type="dxa"/>
            <w:vAlign w:val="top"/>
          </w:tcPr>
          <w:p w14:paraId="3E2E142E">
            <w:pPr>
              <w:spacing w:before="156" w:beforeLines="50" w:after="156" w:afterLines="50" w:line="276"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546" w:type="dxa"/>
            <w:vAlign w:val="center"/>
          </w:tcPr>
          <w:p w14:paraId="6A13258B">
            <w:pPr>
              <w:spacing w:before="156" w:beforeLines="50" w:after="156" w:afterLines="50" w:line="276" w:lineRule="auto"/>
              <w:jc w:val="center"/>
              <w:rPr>
                <w:rFonts w:hint="eastAsia" w:ascii="宋体" w:hAnsi="宋体" w:cs="宋体"/>
                <w:color w:val="auto"/>
                <w:sz w:val="24"/>
                <w:highlight w:val="none"/>
              </w:rPr>
            </w:pPr>
          </w:p>
        </w:tc>
        <w:tc>
          <w:tcPr>
            <w:tcW w:w="2468" w:type="dxa"/>
            <w:vAlign w:val="center"/>
          </w:tcPr>
          <w:p w14:paraId="512C5903">
            <w:pPr>
              <w:spacing w:before="156" w:beforeLines="50" w:after="156" w:afterLines="50" w:line="300" w:lineRule="auto"/>
              <w:jc w:val="center"/>
              <w:rPr>
                <w:rFonts w:hint="eastAsia" w:ascii="宋体" w:hAnsi="宋体" w:cs="宋体"/>
                <w:color w:val="auto"/>
                <w:sz w:val="24"/>
                <w:highlight w:val="none"/>
              </w:rPr>
            </w:pPr>
          </w:p>
        </w:tc>
        <w:tc>
          <w:tcPr>
            <w:tcW w:w="2468" w:type="dxa"/>
            <w:vAlign w:val="top"/>
          </w:tcPr>
          <w:p w14:paraId="30568BD9">
            <w:pPr>
              <w:spacing w:before="156" w:beforeLines="50" w:after="156" w:afterLines="50" w:line="276" w:lineRule="auto"/>
              <w:ind w:firstLine="480"/>
              <w:rPr>
                <w:rFonts w:hint="eastAsia" w:ascii="宋体" w:hAnsi="宋体" w:cs="宋体"/>
                <w:color w:val="auto"/>
                <w:sz w:val="24"/>
                <w:highlight w:val="none"/>
              </w:rPr>
            </w:pPr>
          </w:p>
        </w:tc>
        <w:tc>
          <w:tcPr>
            <w:tcW w:w="1317" w:type="dxa"/>
            <w:vAlign w:val="top"/>
          </w:tcPr>
          <w:p w14:paraId="053AED18">
            <w:pPr>
              <w:spacing w:before="156" w:beforeLines="50" w:after="156" w:afterLines="50" w:line="276" w:lineRule="auto"/>
              <w:ind w:firstLine="480"/>
              <w:rPr>
                <w:rFonts w:hint="eastAsia" w:ascii="宋体" w:hAnsi="宋体" w:cs="宋体"/>
                <w:color w:val="auto"/>
                <w:sz w:val="24"/>
                <w:highlight w:val="none"/>
              </w:rPr>
            </w:pPr>
          </w:p>
        </w:tc>
      </w:tr>
      <w:tr w14:paraId="24A56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780" w:type="dxa"/>
            <w:vAlign w:val="top"/>
          </w:tcPr>
          <w:p w14:paraId="36703AFF">
            <w:pPr>
              <w:spacing w:before="156" w:beforeLines="50" w:after="156" w:afterLines="50" w:line="276"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546" w:type="dxa"/>
            <w:vAlign w:val="center"/>
          </w:tcPr>
          <w:p w14:paraId="456F4B1B">
            <w:pPr>
              <w:spacing w:before="156" w:beforeLines="50" w:after="156" w:afterLines="50" w:line="276" w:lineRule="auto"/>
              <w:jc w:val="center"/>
              <w:rPr>
                <w:rFonts w:hint="eastAsia" w:ascii="宋体" w:hAnsi="宋体" w:cs="宋体"/>
                <w:color w:val="auto"/>
                <w:sz w:val="24"/>
                <w:highlight w:val="none"/>
              </w:rPr>
            </w:pPr>
          </w:p>
        </w:tc>
        <w:tc>
          <w:tcPr>
            <w:tcW w:w="2468" w:type="dxa"/>
            <w:vAlign w:val="center"/>
          </w:tcPr>
          <w:p w14:paraId="4E1F8C63">
            <w:pPr>
              <w:spacing w:before="156" w:beforeLines="50" w:after="156" w:afterLines="50" w:line="300" w:lineRule="auto"/>
              <w:jc w:val="center"/>
              <w:rPr>
                <w:rFonts w:hint="eastAsia" w:ascii="宋体" w:hAnsi="宋体" w:cs="宋体"/>
                <w:color w:val="auto"/>
                <w:sz w:val="24"/>
                <w:highlight w:val="none"/>
              </w:rPr>
            </w:pPr>
          </w:p>
        </w:tc>
        <w:tc>
          <w:tcPr>
            <w:tcW w:w="2468" w:type="dxa"/>
            <w:vAlign w:val="top"/>
          </w:tcPr>
          <w:p w14:paraId="1ED48A87">
            <w:pPr>
              <w:spacing w:before="156" w:beforeLines="50" w:after="156" w:afterLines="50" w:line="276" w:lineRule="auto"/>
              <w:ind w:firstLine="480"/>
              <w:rPr>
                <w:rFonts w:hint="eastAsia" w:ascii="宋体" w:hAnsi="宋体" w:cs="宋体"/>
                <w:color w:val="auto"/>
                <w:sz w:val="24"/>
                <w:highlight w:val="none"/>
              </w:rPr>
            </w:pPr>
          </w:p>
        </w:tc>
        <w:tc>
          <w:tcPr>
            <w:tcW w:w="1317" w:type="dxa"/>
            <w:vAlign w:val="top"/>
          </w:tcPr>
          <w:p w14:paraId="642C627E">
            <w:pPr>
              <w:spacing w:before="156" w:beforeLines="50" w:after="156" w:afterLines="50" w:line="276" w:lineRule="auto"/>
              <w:ind w:firstLine="480"/>
              <w:rPr>
                <w:rFonts w:hint="eastAsia" w:ascii="宋体" w:hAnsi="宋体" w:cs="宋体"/>
                <w:color w:val="auto"/>
                <w:sz w:val="24"/>
                <w:highlight w:val="none"/>
              </w:rPr>
            </w:pPr>
          </w:p>
        </w:tc>
      </w:tr>
      <w:tr w14:paraId="5A7AA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80" w:type="dxa"/>
            <w:vAlign w:val="top"/>
          </w:tcPr>
          <w:p w14:paraId="07483CC6">
            <w:pPr>
              <w:spacing w:before="156" w:beforeLines="50" w:after="156" w:afterLines="50" w:line="276"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546" w:type="dxa"/>
            <w:vAlign w:val="top"/>
          </w:tcPr>
          <w:p w14:paraId="405A0E33">
            <w:pPr>
              <w:spacing w:before="156" w:beforeLines="50" w:after="156" w:afterLines="50" w:line="276" w:lineRule="auto"/>
              <w:ind w:firstLine="480"/>
              <w:rPr>
                <w:rFonts w:hint="eastAsia" w:ascii="宋体" w:hAnsi="宋体" w:cs="宋体"/>
                <w:color w:val="auto"/>
                <w:sz w:val="24"/>
                <w:highlight w:val="none"/>
              </w:rPr>
            </w:pPr>
          </w:p>
        </w:tc>
        <w:tc>
          <w:tcPr>
            <w:tcW w:w="2468" w:type="dxa"/>
            <w:vAlign w:val="top"/>
          </w:tcPr>
          <w:p w14:paraId="36B1322D">
            <w:pPr>
              <w:spacing w:before="156" w:beforeLines="50" w:after="156" w:afterLines="50" w:line="276" w:lineRule="auto"/>
              <w:ind w:firstLine="480"/>
              <w:rPr>
                <w:rFonts w:hint="eastAsia" w:ascii="宋体" w:hAnsi="宋体" w:cs="宋体"/>
                <w:color w:val="auto"/>
                <w:sz w:val="24"/>
                <w:highlight w:val="none"/>
              </w:rPr>
            </w:pPr>
          </w:p>
        </w:tc>
        <w:tc>
          <w:tcPr>
            <w:tcW w:w="2468" w:type="dxa"/>
            <w:vAlign w:val="top"/>
          </w:tcPr>
          <w:p w14:paraId="70E71EF3">
            <w:pPr>
              <w:spacing w:before="156" w:beforeLines="50" w:after="156" w:afterLines="50" w:line="276" w:lineRule="auto"/>
              <w:ind w:firstLine="480"/>
              <w:rPr>
                <w:rFonts w:hint="eastAsia" w:ascii="宋体" w:hAnsi="宋体" w:cs="宋体"/>
                <w:color w:val="auto"/>
                <w:sz w:val="24"/>
                <w:highlight w:val="none"/>
              </w:rPr>
            </w:pPr>
          </w:p>
        </w:tc>
        <w:tc>
          <w:tcPr>
            <w:tcW w:w="1317" w:type="dxa"/>
            <w:vAlign w:val="top"/>
          </w:tcPr>
          <w:p w14:paraId="7C526CE1">
            <w:pPr>
              <w:spacing w:before="156" w:beforeLines="50" w:after="156" w:afterLines="50" w:line="276" w:lineRule="auto"/>
              <w:ind w:firstLine="480"/>
              <w:rPr>
                <w:rFonts w:hint="eastAsia" w:ascii="宋体" w:hAnsi="宋体" w:cs="宋体"/>
                <w:color w:val="auto"/>
                <w:sz w:val="24"/>
                <w:highlight w:val="none"/>
              </w:rPr>
            </w:pPr>
          </w:p>
        </w:tc>
      </w:tr>
      <w:tr w14:paraId="78B21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80" w:type="dxa"/>
            <w:vAlign w:val="top"/>
          </w:tcPr>
          <w:p w14:paraId="647265D0">
            <w:pPr>
              <w:spacing w:before="156" w:beforeLines="50" w:after="156" w:afterLines="50" w:line="276" w:lineRule="auto"/>
              <w:ind w:firstLine="480"/>
              <w:rPr>
                <w:rFonts w:hint="eastAsia" w:ascii="宋体" w:hAnsi="宋体" w:cs="宋体"/>
                <w:color w:val="auto"/>
                <w:sz w:val="24"/>
                <w:highlight w:val="none"/>
              </w:rPr>
            </w:pPr>
          </w:p>
        </w:tc>
        <w:tc>
          <w:tcPr>
            <w:tcW w:w="2546" w:type="dxa"/>
            <w:vAlign w:val="top"/>
          </w:tcPr>
          <w:p w14:paraId="2C362990">
            <w:pPr>
              <w:spacing w:before="156" w:beforeLines="50" w:after="156" w:afterLines="50" w:line="276" w:lineRule="auto"/>
              <w:ind w:firstLine="480"/>
              <w:rPr>
                <w:rFonts w:hint="eastAsia" w:ascii="宋体" w:hAnsi="宋体" w:cs="宋体"/>
                <w:color w:val="auto"/>
                <w:sz w:val="24"/>
                <w:highlight w:val="none"/>
              </w:rPr>
            </w:pPr>
          </w:p>
        </w:tc>
        <w:tc>
          <w:tcPr>
            <w:tcW w:w="2468" w:type="dxa"/>
            <w:vAlign w:val="top"/>
          </w:tcPr>
          <w:p w14:paraId="39CFA0B8">
            <w:pPr>
              <w:spacing w:before="156" w:beforeLines="50" w:after="156" w:afterLines="50" w:line="276" w:lineRule="auto"/>
              <w:ind w:firstLine="480"/>
              <w:rPr>
                <w:rFonts w:hint="eastAsia" w:ascii="宋体" w:hAnsi="宋体" w:cs="宋体"/>
                <w:color w:val="auto"/>
                <w:sz w:val="24"/>
                <w:highlight w:val="none"/>
              </w:rPr>
            </w:pPr>
          </w:p>
        </w:tc>
        <w:tc>
          <w:tcPr>
            <w:tcW w:w="2468" w:type="dxa"/>
            <w:vAlign w:val="top"/>
          </w:tcPr>
          <w:p w14:paraId="5415C03A">
            <w:pPr>
              <w:spacing w:before="156" w:beforeLines="50" w:after="156" w:afterLines="50" w:line="276" w:lineRule="auto"/>
              <w:ind w:firstLine="480"/>
              <w:rPr>
                <w:rFonts w:hint="eastAsia" w:ascii="宋体" w:hAnsi="宋体" w:cs="宋体"/>
                <w:color w:val="auto"/>
                <w:sz w:val="24"/>
                <w:highlight w:val="none"/>
              </w:rPr>
            </w:pPr>
          </w:p>
        </w:tc>
        <w:tc>
          <w:tcPr>
            <w:tcW w:w="1317" w:type="dxa"/>
            <w:vAlign w:val="top"/>
          </w:tcPr>
          <w:p w14:paraId="21E7D6F8">
            <w:pPr>
              <w:spacing w:before="156" w:beforeLines="50" w:after="156" w:afterLines="50" w:line="276" w:lineRule="auto"/>
              <w:ind w:firstLine="480"/>
              <w:rPr>
                <w:rFonts w:hint="eastAsia" w:ascii="宋体" w:hAnsi="宋体" w:cs="宋体"/>
                <w:color w:val="auto"/>
                <w:sz w:val="24"/>
                <w:highlight w:val="none"/>
              </w:rPr>
            </w:pPr>
          </w:p>
        </w:tc>
      </w:tr>
      <w:tr w14:paraId="0D78B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80" w:type="dxa"/>
            <w:vAlign w:val="center"/>
          </w:tcPr>
          <w:p w14:paraId="105FC00F">
            <w:pPr>
              <w:spacing w:before="156" w:beforeLines="50" w:after="156" w:afterLines="50" w:line="276"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2546" w:type="dxa"/>
            <w:vAlign w:val="center"/>
          </w:tcPr>
          <w:p w14:paraId="03DEF1BF">
            <w:pPr>
              <w:spacing w:before="156" w:beforeLines="50" w:after="156" w:afterLines="50" w:line="276" w:lineRule="auto"/>
              <w:jc w:val="center"/>
              <w:rPr>
                <w:rFonts w:hint="eastAsia" w:ascii="宋体" w:hAnsi="宋体" w:cs="宋体"/>
                <w:color w:val="auto"/>
                <w:sz w:val="24"/>
                <w:highlight w:val="none"/>
              </w:rPr>
            </w:pPr>
          </w:p>
        </w:tc>
        <w:tc>
          <w:tcPr>
            <w:tcW w:w="2468" w:type="dxa"/>
            <w:vAlign w:val="center"/>
          </w:tcPr>
          <w:p w14:paraId="4C8C9284">
            <w:pPr>
              <w:spacing w:before="156" w:beforeLines="50" w:after="156" w:afterLines="50"/>
              <w:jc w:val="center"/>
              <w:rPr>
                <w:rFonts w:hint="eastAsia" w:ascii="宋体" w:hAnsi="宋体" w:cs="宋体"/>
                <w:color w:val="auto"/>
                <w:highlight w:val="none"/>
              </w:rPr>
            </w:pPr>
            <w:r>
              <w:rPr>
                <w:rFonts w:hint="eastAsia" w:ascii="宋体" w:hAnsi="宋体" w:cs="宋体"/>
                <w:color w:val="auto"/>
                <w:sz w:val="24"/>
                <w:highlight w:val="none"/>
              </w:rPr>
              <w:t>…</w:t>
            </w:r>
          </w:p>
        </w:tc>
        <w:tc>
          <w:tcPr>
            <w:tcW w:w="2468" w:type="dxa"/>
            <w:vAlign w:val="center"/>
          </w:tcPr>
          <w:p w14:paraId="067F6EF6">
            <w:pPr>
              <w:spacing w:before="156" w:beforeLines="50" w:after="156" w:afterLines="50"/>
              <w:jc w:val="center"/>
              <w:rPr>
                <w:rFonts w:hint="eastAsia" w:ascii="宋体" w:hAnsi="宋体" w:cs="宋体"/>
                <w:color w:val="auto"/>
                <w:highlight w:val="none"/>
              </w:rPr>
            </w:pPr>
            <w:r>
              <w:rPr>
                <w:rFonts w:hint="eastAsia" w:ascii="宋体" w:hAnsi="宋体" w:cs="宋体"/>
                <w:color w:val="auto"/>
                <w:sz w:val="24"/>
                <w:highlight w:val="none"/>
              </w:rPr>
              <w:t>…</w:t>
            </w:r>
          </w:p>
        </w:tc>
        <w:tc>
          <w:tcPr>
            <w:tcW w:w="1317" w:type="dxa"/>
            <w:vAlign w:val="center"/>
          </w:tcPr>
          <w:p w14:paraId="754169CB">
            <w:pPr>
              <w:spacing w:before="156" w:beforeLines="50" w:after="156" w:afterLines="50"/>
              <w:jc w:val="center"/>
              <w:rPr>
                <w:rFonts w:hint="eastAsia" w:ascii="宋体" w:hAnsi="宋体" w:cs="宋体"/>
                <w:color w:val="auto"/>
                <w:highlight w:val="none"/>
              </w:rPr>
            </w:pPr>
            <w:r>
              <w:rPr>
                <w:rFonts w:hint="eastAsia" w:ascii="宋体" w:hAnsi="宋体" w:cs="宋体"/>
                <w:color w:val="auto"/>
                <w:sz w:val="24"/>
                <w:highlight w:val="none"/>
              </w:rPr>
              <w:t>…</w:t>
            </w:r>
          </w:p>
        </w:tc>
      </w:tr>
    </w:tbl>
    <w:p w14:paraId="00CEAE74">
      <w:pPr>
        <w:spacing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注：供应商的响应文件（除技术规格部分）与采购文件之规定存在偏离的，应在此表中如实说明。未在上表中说明的，将被认为完全响应采购文件的规定。</w:t>
      </w:r>
    </w:p>
    <w:p w14:paraId="14AD2FFE">
      <w:pPr>
        <w:overflowPunct w:val="0"/>
        <w:autoSpaceDE w:val="0"/>
        <w:autoSpaceDN w:val="0"/>
        <w:spacing w:before="156" w:beforeLines="50" w:line="480" w:lineRule="exact"/>
        <w:ind w:firstLine="5589" w:firstLineChars="2300"/>
        <w:jc w:val="left"/>
        <w:rPr>
          <w:rFonts w:hint="eastAsia" w:ascii="宋体" w:hAnsi="宋体" w:cs="宋体"/>
          <w:color w:val="auto"/>
          <w:sz w:val="24"/>
          <w:highlight w:val="none"/>
          <w:u w:val="singl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（盖章）</w:t>
      </w:r>
      <w:r>
        <w:rPr>
          <w:rFonts w:hint="eastAsia" w:ascii="宋体" w:hAnsi="宋体" w:cs="宋体"/>
          <w:color w:val="auto"/>
          <w:sz w:val="24"/>
          <w:highlight w:val="none"/>
          <w:lang w:bidi="ar"/>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bidi="ar"/>
        </w:rPr>
        <w:t xml:space="preserve">                         </w:t>
      </w:r>
    </w:p>
    <w:p w14:paraId="6C9A9A9C">
      <w:pPr>
        <w:pStyle w:val="9"/>
        <w:wordWrap w:val="0"/>
        <w:snapToGrid w:val="0"/>
        <w:spacing w:before="156" w:beforeLines="50"/>
        <w:ind w:firstLine="480"/>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lang w:bidi="ar"/>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bidi="ar"/>
        </w:rPr>
        <w:t>日期：</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年</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月</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日</w:t>
      </w:r>
    </w:p>
    <w:p w14:paraId="34E5D71D">
      <w:pPr>
        <w:wordWrap w:val="0"/>
        <w:snapToGrid w:val="0"/>
        <w:spacing w:before="50" w:after="156" w:afterLines="50"/>
        <w:rPr>
          <w:rFonts w:hint="eastAsia" w:ascii="宋体" w:hAnsi="宋体" w:cs="宋体"/>
          <w:b/>
          <w:color w:val="auto"/>
          <w:sz w:val="24"/>
          <w:highlight w:val="none"/>
        </w:rPr>
      </w:pPr>
    </w:p>
    <w:p w14:paraId="4DFCA633">
      <w:pPr>
        <w:adjustRightInd w:val="0"/>
        <w:spacing w:line="276" w:lineRule="auto"/>
        <w:jc w:val="center"/>
        <w:textAlignment w:val="baseline"/>
        <w:rPr>
          <w:rFonts w:hint="eastAsia" w:ascii="宋体" w:hAnsi="宋体" w:eastAsia="宋体" w:cs="宋体"/>
          <w:b/>
          <w:color w:val="auto"/>
          <w:sz w:val="28"/>
          <w:szCs w:val="28"/>
          <w:highlight w:val="none"/>
          <w:lang w:val="en-US" w:eastAsia="zh-CN" w:bidi="ar-SA"/>
        </w:rPr>
      </w:pPr>
    </w:p>
    <w:p w14:paraId="6602C6ED">
      <w:pPr>
        <w:adjustRightInd w:val="0"/>
        <w:spacing w:line="276" w:lineRule="auto"/>
        <w:jc w:val="center"/>
        <w:textAlignment w:val="baseline"/>
        <w:rPr>
          <w:rFonts w:hint="eastAsia" w:ascii="宋体" w:hAnsi="宋体" w:eastAsia="宋体" w:cs="宋体"/>
          <w:b/>
          <w:color w:val="auto"/>
          <w:sz w:val="28"/>
          <w:szCs w:val="28"/>
          <w:highlight w:val="none"/>
          <w:lang w:val="en-US" w:eastAsia="zh-CN" w:bidi="ar-SA"/>
        </w:rPr>
      </w:pPr>
    </w:p>
    <w:p w14:paraId="354AB399">
      <w:pPr>
        <w:adjustRightInd w:val="0"/>
        <w:spacing w:line="276" w:lineRule="auto"/>
        <w:jc w:val="center"/>
        <w:textAlignment w:val="baseline"/>
        <w:rPr>
          <w:rFonts w:hint="eastAsia" w:ascii="宋体" w:hAnsi="宋体" w:eastAsia="宋体" w:cs="宋体"/>
          <w:b/>
          <w:color w:val="auto"/>
          <w:sz w:val="28"/>
          <w:szCs w:val="28"/>
          <w:highlight w:val="none"/>
          <w:lang w:val="en-US" w:eastAsia="zh-CN" w:bidi="ar-SA"/>
        </w:rPr>
      </w:pPr>
    </w:p>
    <w:p w14:paraId="0D109689">
      <w:pPr>
        <w:adjustRightInd w:val="0"/>
        <w:spacing w:line="276" w:lineRule="auto"/>
        <w:jc w:val="center"/>
        <w:textAlignment w:val="baseline"/>
        <w:rPr>
          <w:rFonts w:hint="eastAsia" w:ascii="宋体" w:hAnsi="宋体" w:eastAsia="宋体" w:cs="宋体"/>
          <w:b/>
          <w:color w:val="auto"/>
          <w:sz w:val="28"/>
          <w:szCs w:val="28"/>
          <w:highlight w:val="none"/>
          <w:lang w:val="en-US" w:eastAsia="zh-CN" w:bidi="ar-SA"/>
        </w:rPr>
      </w:pPr>
    </w:p>
    <w:p w14:paraId="18938D22">
      <w:pPr>
        <w:adjustRightInd w:val="0"/>
        <w:spacing w:line="276" w:lineRule="auto"/>
        <w:jc w:val="center"/>
        <w:textAlignment w:val="baseline"/>
        <w:rPr>
          <w:rFonts w:hint="eastAsia" w:ascii="宋体" w:hAnsi="宋体" w:eastAsia="宋体" w:cs="宋体"/>
          <w:b/>
          <w:color w:val="auto"/>
          <w:sz w:val="28"/>
          <w:szCs w:val="28"/>
          <w:highlight w:val="none"/>
          <w:lang w:val="en-US" w:eastAsia="zh-CN" w:bidi="ar-SA"/>
        </w:rPr>
      </w:pPr>
    </w:p>
    <w:p w14:paraId="43492622">
      <w:pPr>
        <w:adjustRightInd w:val="0"/>
        <w:spacing w:line="276" w:lineRule="auto"/>
        <w:jc w:val="center"/>
        <w:textAlignment w:val="baseline"/>
        <w:rPr>
          <w:rFonts w:hint="eastAsia" w:ascii="宋体" w:hAnsi="宋体" w:eastAsia="宋体" w:cs="宋体"/>
          <w:b/>
          <w:color w:val="auto"/>
          <w:sz w:val="28"/>
          <w:szCs w:val="28"/>
          <w:highlight w:val="none"/>
          <w:lang w:val="en-US" w:eastAsia="zh-CN" w:bidi="ar-SA"/>
        </w:rPr>
      </w:pPr>
    </w:p>
    <w:p w14:paraId="2AF65AF1">
      <w:pPr>
        <w:adjustRightInd w:val="0"/>
        <w:spacing w:line="276" w:lineRule="auto"/>
        <w:jc w:val="center"/>
        <w:textAlignment w:val="baseline"/>
        <w:rPr>
          <w:rFonts w:hint="eastAsia" w:ascii="宋体" w:hAnsi="宋体" w:eastAsia="宋体" w:cs="宋体"/>
          <w:b/>
          <w:color w:val="auto"/>
          <w:sz w:val="28"/>
          <w:szCs w:val="28"/>
          <w:highlight w:val="none"/>
          <w:lang w:val="en-US" w:eastAsia="zh-CN" w:bidi="ar-SA"/>
        </w:rPr>
      </w:pPr>
    </w:p>
    <w:p w14:paraId="3EF7957E">
      <w:pPr>
        <w:adjustRightInd w:val="0"/>
        <w:spacing w:line="276" w:lineRule="auto"/>
        <w:jc w:val="center"/>
        <w:textAlignment w:val="baseline"/>
        <w:rPr>
          <w:rFonts w:hint="eastAsia" w:ascii="宋体" w:hAnsi="宋体" w:eastAsia="宋体" w:cs="宋体"/>
          <w:b/>
          <w:color w:val="auto"/>
          <w:sz w:val="28"/>
          <w:szCs w:val="28"/>
          <w:highlight w:val="none"/>
          <w:lang w:val="en-US" w:eastAsia="zh-CN" w:bidi="ar-SA"/>
        </w:rPr>
        <w:sectPr>
          <w:pgSz w:w="11849" w:h="16781"/>
          <w:pgMar w:top="1417" w:right="1417" w:bottom="1417" w:left="1417" w:header="850" w:footer="992" w:gutter="0"/>
          <w:pgNumType w:fmt="decimal"/>
          <w:cols w:space="0" w:num="1"/>
          <w:rtlGutter w:val="0"/>
          <w:docGrid w:type="linesAndChars" w:linePitch="324" w:charSpace="819"/>
        </w:sectPr>
      </w:pPr>
    </w:p>
    <w:p w14:paraId="267E0519">
      <w:pPr>
        <w:wordWrap w:val="0"/>
        <w:snapToGrid w:val="0"/>
        <w:rPr>
          <w:rFonts w:hint="eastAsia" w:ascii="宋体" w:hAnsi="宋体" w:cs="宋体"/>
          <w:b/>
          <w:color w:val="auto"/>
          <w:sz w:val="24"/>
          <w:highlight w:val="none"/>
        </w:rPr>
      </w:pP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.投入本项目人员一览表格式：</w:t>
      </w:r>
    </w:p>
    <w:p w14:paraId="1155A198">
      <w:pPr>
        <w:pStyle w:val="92"/>
        <w:spacing w:line="360" w:lineRule="auto"/>
        <w:ind w:firstLine="562"/>
        <w:jc w:val="center"/>
        <w:rPr>
          <w:rFonts w:hint="eastAsia" w:hAnsi="宋体" w:eastAsia="宋体" w:cs="宋体"/>
          <w:b/>
          <w:color w:val="auto"/>
          <w:sz w:val="28"/>
          <w:szCs w:val="28"/>
          <w:highlight w:val="none"/>
        </w:rPr>
      </w:pPr>
      <w:r>
        <w:rPr>
          <w:rFonts w:hint="eastAsia" w:hAnsi="宋体" w:eastAsia="宋体" w:cs="宋体"/>
          <w:b/>
          <w:color w:val="auto"/>
          <w:sz w:val="28"/>
          <w:szCs w:val="28"/>
          <w:highlight w:val="none"/>
        </w:rPr>
        <w:t>投入本项目人员一览表</w:t>
      </w:r>
    </w:p>
    <w:tbl>
      <w:tblPr>
        <w:tblStyle w:val="27"/>
        <w:tblW w:w="14870" w:type="dxa"/>
        <w:tblInd w:w="7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2451"/>
        <w:gridCol w:w="1560"/>
        <w:gridCol w:w="1845"/>
        <w:gridCol w:w="2010"/>
        <w:gridCol w:w="3515"/>
        <w:gridCol w:w="2754"/>
      </w:tblGrid>
      <w:tr w14:paraId="2F784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735" w:type="dxa"/>
            <w:tcBorders>
              <w:top w:val="single" w:color="auto" w:sz="4" w:space="0"/>
              <w:left w:val="single" w:color="auto" w:sz="4" w:space="0"/>
              <w:bottom w:val="single" w:color="auto" w:sz="4" w:space="0"/>
              <w:right w:val="single" w:color="auto" w:sz="4" w:space="0"/>
            </w:tcBorders>
            <w:shd w:val="clear" w:color="auto" w:fill="EEECE1"/>
            <w:vAlign w:val="center"/>
          </w:tcPr>
          <w:p w14:paraId="12239C42">
            <w:pPr>
              <w:pStyle w:val="18"/>
              <w:spacing w:line="40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2451" w:type="dxa"/>
            <w:tcBorders>
              <w:top w:val="single" w:color="auto" w:sz="4" w:space="0"/>
              <w:left w:val="single" w:color="auto" w:sz="4" w:space="0"/>
              <w:bottom w:val="single" w:color="auto" w:sz="4" w:space="0"/>
              <w:right w:val="single" w:color="auto" w:sz="4" w:space="0"/>
            </w:tcBorders>
            <w:shd w:val="clear" w:color="auto" w:fill="EEECE1"/>
            <w:vAlign w:val="center"/>
          </w:tcPr>
          <w:p w14:paraId="6598E054">
            <w:pPr>
              <w:pStyle w:val="18"/>
              <w:spacing w:line="40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项目组所任职务</w:t>
            </w:r>
          </w:p>
        </w:tc>
        <w:tc>
          <w:tcPr>
            <w:tcW w:w="1560" w:type="dxa"/>
            <w:tcBorders>
              <w:top w:val="single" w:color="auto" w:sz="4" w:space="0"/>
              <w:left w:val="single" w:color="auto" w:sz="4" w:space="0"/>
              <w:bottom w:val="single" w:color="auto" w:sz="4" w:space="0"/>
              <w:right w:val="single" w:color="auto" w:sz="4" w:space="0"/>
            </w:tcBorders>
            <w:shd w:val="clear" w:color="auto" w:fill="EEECE1"/>
            <w:vAlign w:val="center"/>
          </w:tcPr>
          <w:p w14:paraId="0A7F8545">
            <w:pPr>
              <w:pStyle w:val="18"/>
              <w:spacing w:line="40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姓名</w:t>
            </w:r>
          </w:p>
        </w:tc>
        <w:tc>
          <w:tcPr>
            <w:tcW w:w="1845" w:type="dxa"/>
            <w:tcBorders>
              <w:top w:val="single" w:color="auto" w:sz="4" w:space="0"/>
              <w:left w:val="single" w:color="auto" w:sz="4" w:space="0"/>
              <w:bottom w:val="single" w:color="auto" w:sz="4" w:space="0"/>
              <w:right w:val="single" w:color="auto" w:sz="4" w:space="0"/>
            </w:tcBorders>
            <w:shd w:val="clear" w:color="auto" w:fill="EEECE1"/>
            <w:vAlign w:val="center"/>
          </w:tcPr>
          <w:p w14:paraId="68AB7938">
            <w:pPr>
              <w:pStyle w:val="18"/>
              <w:spacing w:line="40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职称</w:t>
            </w:r>
          </w:p>
        </w:tc>
        <w:tc>
          <w:tcPr>
            <w:tcW w:w="2010" w:type="dxa"/>
            <w:tcBorders>
              <w:top w:val="single" w:color="auto" w:sz="4" w:space="0"/>
              <w:left w:val="single" w:color="auto" w:sz="4" w:space="0"/>
              <w:bottom w:val="single" w:color="auto" w:sz="4" w:space="0"/>
              <w:right w:val="single" w:color="auto" w:sz="4" w:space="0"/>
            </w:tcBorders>
            <w:shd w:val="clear" w:color="auto" w:fill="EEECE1"/>
            <w:vAlign w:val="center"/>
          </w:tcPr>
          <w:p w14:paraId="5BD26A7B">
            <w:pPr>
              <w:pStyle w:val="18"/>
              <w:spacing w:line="40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专业技术资格</w:t>
            </w:r>
          </w:p>
        </w:tc>
        <w:tc>
          <w:tcPr>
            <w:tcW w:w="3515" w:type="dxa"/>
            <w:tcBorders>
              <w:top w:val="single" w:color="auto" w:sz="4" w:space="0"/>
              <w:left w:val="single" w:color="auto" w:sz="4" w:space="0"/>
              <w:bottom w:val="single" w:color="auto" w:sz="4" w:space="0"/>
              <w:right w:val="single" w:color="auto" w:sz="4" w:space="0"/>
            </w:tcBorders>
            <w:shd w:val="clear" w:color="auto" w:fill="EEECE1"/>
            <w:vAlign w:val="center"/>
          </w:tcPr>
          <w:p w14:paraId="7ED81CC5">
            <w:pPr>
              <w:pStyle w:val="18"/>
              <w:spacing w:line="40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专业技术资格证书编号</w:t>
            </w:r>
          </w:p>
        </w:tc>
        <w:tc>
          <w:tcPr>
            <w:tcW w:w="2754" w:type="dxa"/>
            <w:tcBorders>
              <w:top w:val="single" w:color="auto" w:sz="4" w:space="0"/>
              <w:left w:val="single" w:color="auto" w:sz="4" w:space="0"/>
              <w:bottom w:val="single" w:color="auto" w:sz="4" w:space="0"/>
              <w:right w:val="single" w:color="auto" w:sz="4" w:space="0"/>
            </w:tcBorders>
            <w:shd w:val="clear" w:color="auto" w:fill="EEECE1"/>
            <w:vAlign w:val="center"/>
          </w:tcPr>
          <w:p w14:paraId="03CB3408">
            <w:pPr>
              <w:pStyle w:val="18"/>
              <w:spacing w:line="40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从事本工作时间</w:t>
            </w:r>
          </w:p>
        </w:tc>
      </w:tr>
      <w:tr w14:paraId="35848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735" w:type="dxa"/>
            <w:tcBorders>
              <w:top w:val="single" w:color="auto" w:sz="4" w:space="0"/>
              <w:left w:val="single" w:color="auto" w:sz="4" w:space="0"/>
              <w:bottom w:val="single" w:color="auto" w:sz="4" w:space="0"/>
              <w:right w:val="single" w:color="auto" w:sz="4" w:space="0"/>
            </w:tcBorders>
            <w:vAlign w:val="center"/>
          </w:tcPr>
          <w:p w14:paraId="6126E380">
            <w:pPr>
              <w:pStyle w:val="18"/>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2451" w:type="dxa"/>
            <w:tcBorders>
              <w:top w:val="single" w:color="auto" w:sz="4" w:space="0"/>
              <w:left w:val="single" w:color="auto" w:sz="4" w:space="0"/>
              <w:bottom w:val="single" w:color="auto" w:sz="4" w:space="0"/>
              <w:right w:val="single" w:color="auto" w:sz="4" w:space="0"/>
            </w:tcBorders>
            <w:vAlign w:val="center"/>
          </w:tcPr>
          <w:p w14:paraId="43971A2A">
            <w:pPr>
              <w:pStyle w:val="18"/>
              <w:spacing w:line="360" w:lineRule="auto"/>
              <w:ind w:firstLine="480"/>
              <w:jc w:val="center"/>
              <w:rPr>
                <w:rFonts w:hint="eastAsia" w:ascii="宋体" w:hAnsi="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20F1C09">
            <w:pPr>
              <w:pStyle w:val="18"/>
              <w:spacing w:line="360" w:lineRule="auto"/>
              <w:ind w:firstLine="480"/>
              <w:jc w:val="center"/>
              <w:rPr>
                <w:rFonts w:hint="eastAsia" w:ascii="宋体" w:hAnsi="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vAlign w:val="center"/>
          </w:tcPr>
          <w:p w14:paraId="48D3FA66">
            <w:pPr>
              <w:pStyle w:val="18"/>
              <w:spacing w:line="400" w:lineRule="exact"/>
              <w:ind w:firstLine="480"/>
              <w:jc w:val="center"/>
              <w:rPr>
                <w:rFonts w:hint="eastAsia" w:ascii="宋体" w:hAnsi="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vAlign w:val="center"/>
          </w:tcPr>
          <w:p w14:paraId="7605201C">
            <w:pPr>
              <w:pStyle w:val="18"/>
              <w:spacing w:line="400" w:lineRule="exact"/>
              <w:ind w:firstLine="480"/>
              <w:jc w:val="center"/>
              <w:rPr>
                <w:rFonts w:hint="eastAsia" w:ascii="宋体" w:hAnsi="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vAlign w:val="center"/>
          </w:tcPr>
          <w:p w14:paraId="607270DA">
            <w:pPr>
              <w:pStyle w:val="18"/>
              <w:spacing w:line="400" w:lineRule="exact"/>
              <w:ind w:firstLine="480"/>
              <w:jc w:val="center"/>
              <w:rPr>
                <w:rFonts w:hint="eastAsia" w:ascii="宋体" w:hAnsi="宋体" w:cs="宋体"/>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vAlign w:val="center"/>
          </w:tcPr>
          <w:p w14:paraId="7A42FC68">
            <w:pPr>
              <w:pStyle w:val="18"/>
              <w:spacing w:line="400" w:lineRule="exact"/>
              <w:ind w:firstLine="480"/>
              <w:jc w:val="center"/>
              <w:rPr>
                <w:rFonts w:hint="eastAsia" w:ascii="宋体" w:hAnsi="宋体" w:cs="宋体"/>
                <w:color w:val="auto"/>
                <w:sz w:val="24"/>
                <w:szCs w:val="24"/>
                <w:highlight w:val="none"/>
              </w:rPr>
            </w:pPr>
          </w:p>
        </w:tc>
      </w:tr>
      <w:tr w14:paraId="5C9C4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735" w:type="dxa"/>
            <w:tcBorders>
              <w:top w:val="single" w:color="auto" w:sz="4" w:space="0"/>
              <w:left w:val="single" w:color="auto" w:sz="4" w:space="0"/>
              <w:bottom w:val="single" w:color="auto" w:sz="4" w:space="0"/>
              <w:right w:val="single" w:color="auto" w:sz="4" w:space="0"/>
            </w:tcBorders>
            <w:vAlign w:val="center"/>
          </w:tcPr>
          <w:p w14:paraId="794E8C16">
            <w:pPr>
              <w:pStyle w:val="18"/>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2451" w:type="dxa"/>
            <w:tcBorders>
              <w:top w:val="single" w:color="auto" w:sz="4" w:space="0"/>
              <w:left w:val="single" w:color="auto" w:sz="4" w:space="0"/>
              <w:bottom w:val="single" w:color="auto" w:sz="4" w:space="0"/>
              <w:right w:val="single" w:color="auto" w:sz="4" w:space="0"/>
            </w:tcBorders>
            <w:vAlign w:val="center"/>
          </w:tcPr>
          <w:p w14:paraId="60366384">
            <w:pPr>
              <w:pStyle w:val="18"/>
              <w:spacing w:line="360" w:lineRule="auto"/>
              <w:ind w:firstLine="480"/>
              <w:jc w:val="center"/>
              <w:rPr>
                <w:rFonts w:hint="eastAsia" w:ascii="宋体" w:hAnsi="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2E2F30B">
            <w:pPr>
              <w:pStyle w:val="18"/>
              <w:spacing w:line="360" w:lineRule="auto"/>
              <w:ind w:firstLine="480"/>
              <w:jc w:val="center"/>
              <w:rPr>
                <w:rFonts w:hint="eastAsia" w:ascii="宋体" w:hAnsi="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vAlign w:val="center"/>
          </w:tcPr>
          <w:p w14:paraId="6875B55A">
            <w:pPr>
              <w:pStyle w:val="18"/>
              <w:spacing w:line="400" w:lineRule="exact"/>
              <w:ind w:firstLine="480"/>
              <w:jc w:val="center"/>
              <w:rPr>
                <w:rFonts w:hint="eastAsia" w:ascii="宋体" w:hAnsi="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vAlign w:val="center"/>
          </w:tcPr>
          <w:p w14:paraId="595AE5C7">
            <w:pPr>
              <w:pStyle w:val="18"/>
              <w:spacing w:line="400" w:lineRule="exact"/>
              <w:ind w:firstLine="480"/>
              <w:jc w:val="center"/>
              <w:rPr>
                <w:rFonts w:hint="eastAsia" w:ascii="宋体" w:hAnsi="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vAlign w:val="center"/>
          </w:tcPr>
          <w:p w14:paraId="7B86F50D">
            <w:pPr>
              <w:pStyle w:val="18"/>
              <w:spacing w:line="400" w:lineRule="exact"/>
              <w:ind w:firstLine="480"/>
              <w:jc w:val="center"/>
              <w:rPr>
                <w:rFonts w:hint="eastAsia" w:ascii="宋体" w:hAnsi="宋体" w:cs="宋体"/>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vAlign w:val="center"/>
          </w:tcPr>
          <w:p w14:paraId="4B5DF29B">
            <w:pPr>
              <w:pStyle w:val="18"/>
              <w:spacing w:line="400" w:lineRule="exact"/>
              <w:ind w:firstLine="480"/>
              <w:jc w:val="center"/>
              <w:rPr>
                <w:rFonts w:hint="eastAsia" w:ascii="宋体" w:hAnsi="宋体" w:cs="宋体"/>
                <w:color w:val="auto"/>
                <w:sz w:val="24"/>
                <w:szCs w:val="24"/>
                <w:highlight w:val="none"/>
              </w:rPr>
            </w:pPr>
          </w:p>
        </w:tc>
      </w:tr>
      <w:tr w14:paraId="3E7CB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735" w:type="dxa"/>
            <w:tcBorders>
              <w:top w:val="single" w:color="auto" w:sz="4" w:space="0"/>
              <w:left w:val="single" w:color="auto" w:sz="4" w:space="0"/>
              <w:bottom w:val="single" w:color="auto" w:sz="4" w:space="0"/>
              <w:right w:val="single" w:color="auto" w:sz="4" w:space="0"/>
            </w:tcBorders>
            <w:vAlign w:val="center"/>
          </w:tcPr>
          <w:p w14:paraId="6A551E3F">
            <w:pPr>
              <w:pStyle w:val="18"/>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2451" w:type="dxa"/>
            <w:tcBorders>
              <w:top w:val="single" w:color="auto" w:sz="4" w:space="0"/>
              <w:left w:val="single" w:color="auto" w:sz="4" w:space="0"/>
              <w:bottom w:val="single" w:color="auto" w:sz="4" w:space="0"/>
              <w:right w:val="single" w:color="auto" w:sz="4" w:space="0"/>
            </w:tcBorders>
            <w:vAlign w:val="center"/>
          </w:tcPr>
          <w:p w14:paraId="693A4727">
            <w:pPr>
              <w:pStyle w:val="18"/>
              <w:spacing w:line="360" w:lineRule="auto"/>
              <w:ind w:firstLine="480"/>
              <w:jc w:val="center"/>
              <w:rPr>
                <w:rFonts w:hint="eastAsia" w:ascii="宋体" w:hAnsi="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6093AF09">
            <w:pPr>
              <w:pStyle w:val="18"/>
              <w:spacing w:line="360" w:lineRule="auto"/>
              <w:ind w:firstLine="480"/>
              <w:jc w:val="center"/>
              <w:rPr>
                <w:rFonts w:hint="eastAsia" w:ascii="宋体" w:hAnsi="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vAlign w:val="center"/>
          </w:tcPr>
          <w:p w14:paraId="25793818">
            <w:pPr>
              <w:pStyle w:val="18"/>
              <w:spacing w:line="400" w:lineRule="exact"/>
              <w:ind w:firstLine="480"/>
              <w:jc w:val="center"/>
              <w:rPr>
                <w:rFonts w:hint="eastAsia" w:ascii="宋体" w:hAnsi="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vAlign w:val="center"/>
          </w:tcPr>
          <w:p w14:paraId="1D6DBBE9">
            <w:pPr>
              <w:pStyle w:val="18"/>
              <w:spacing w:line="400" w:lineRule="exact"/>
              <w:ind w:firstLine="480"/>
              <w:jc w:val="center"/>
              <w:rPr>
                <w:rFonts w:hint="eastAsia" w:ascii="宋体" w:hAnsi="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vAlign w:val="center"/>
          </w:tcPr>
          <w:p w14:paraId="45616F98">
            <w:pPr>
              <w:pStyle w:val="18"/>
              <w:spacing w:line="400" w:lineRule="exact"/>
              <w:ind w:firstLine="480"/>
              <w:jc w:val="center"/>
              <w:rPr>
                <w:rFonts w:hint="eastAsia" w:ascii="宋体" w:hAnsi="宋体" w:cs="宋体"/>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vAlign w:val="center"/>
          </w:tcPr>
          <w:p w14:paraId="7AACFAEF">
            <w:pPr>
              <w:pStyle w:val="18"/>
              <w:spacing w:line="400" w:lineRule="exact"/>
              <w:ind w:firstLine="480"/>
              <w:jc w:val="center"/>
              <w:rPr>
                <w:rFonts w:hint="eastAsia" w:ascii="宋体" w:hAnsi="宋体" w:cs="宋体"/>
                <w:color w:val="auto"/>
                <w:sz w:val="24"/>
                <w:szCs w:val="24"/>
                <w:highlight w:val="none"/>
              </w:rPr>
            </w:pPr>
          </w:p>
        </w:tc>
      </w:tr>
      <w:tr w14:paraId="274A4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vAlign w:val="center"/>
          </w:tcPr>
          <w:p w14:paraId="763859E0">
            <w:pPr>
              <w:pStyle w:val="18"/>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2451" w:type="dxa"/>
            <w:tcBorders>
              <w:top w:val="single" w:color="auto" w:sz="4" w:space="0"/>
              <w:left w:val="single" w:color="auto" w:sz="4" w:space="0"/>
              <w:bottom w:val="single" w:color="auto" w:sz="4" w:space="0"/>
              <w:right w:val="single" w:color="auto" w:sz="4" w:space="0"/>
            </w:tcBorders>
            <w:vAlign w:val="center"/>
          </w:tcPr>
          <w:p w14:paraId="3BCD3B75">
            <w:pPr>
              <w:pStyle w:val="18"/>
              <w:spacing w:line="360" w:lineRule="auto"/>
              <w:ind w:firstLine="480"/>
              <w:jc w:val="center"/>
              <w:rPr>
                <w:rFonts w:hint="eastAsia" w:ascii="宋体" w:hAnsi="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1C264D99">
            <w:pPr>
              <w:pStyle w:val="18"/>
              <w:spacing w:line="360" w:lineRule="auto"/>
              <w:ind w:firstLine="480"/>
              <w:jc w:val="center"/>
              <w:rPr>
                <w:rFonts w:hint="eastAsia" w:ascii="宋体" w:hAnsi="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vAlign w:val="center"/>
          </w:tcPr>
          <w:p w14:paraId="6D28A2B9">
            <w:pPr>
              <w:pStyle w:val="18"/>
              <w:spacing w:line="400" w:lineRule="exact"/>
              <w:ind w:firstLine="480"/>
              <w:jc w:val="center"/>
              <w:rPr>
                <w:rFonts w:hint="eastAsia" w:ascii="宋体" w:hAnsi="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vAlign w:val="center"/>
          </w:tcPr>
          <w:p w14:paraId="1D715930">
            <w:pPr>
              <w:pStyle w:val="18"/>
              <w:spacing w:line="400" w:lineRule="exact"/>
              <w:ind w:firstLine="480"/>
              <w:jc w:val="center"/>
              <w:rPr>
                <w:rFonts w:hint="eastAsia" w:ascii="宋体" w:hAnsi="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vAlign w:val="center"/>
          </w:tcPr>
          <w:p w14:paraId="33080D18">
            <w:pPr>
              <w:pStyle w:val="18"/>
              <w:spacing w:line="400" w:lineRule="exact"/>
              <w:ind w:firstLine="480"/>
              <w:jc w:val="center"/>
              <w:rPr>
                <w:rFonts w:hint="eastAsia" w:ascii="宋体" w:hAnsi="宋体" w:cs="宋体"/>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vAlign w:val="center"/>
          </w:tcPr>
          <w:p w14:paraId="03D1B582">
            <w:pPr>
              <w:pStyle w:val="18"/>
              <w:spacing w:line="400" w:lineRule="exact"/>
              <w:ind w:firstLine="480"/>
              <w:jc w:val="center"/>
              <w:rPr>
                <w:rFonts w:hint="eastAsia" w:ascii="宋体" w:hAnsi="宋体" w:cs="宋体"/>
                <w:color w:val="auto"/>
                <w:sz w:val="24"/>
                <w:szCs w:val="24"/>
                <w:highlight w:val="none"/>
              </w:rPr>
            </w:pPr>
          </w:p>
        </w:tc>
      </w:tr>
      <w:tr w14:paraId="67C7D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vAlign w:val="center"/>
          </w:tcPr>
          <w:p w14:paraId="43705F61">
            <w:pPr>
              <w:pStyle w:val="18"/>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2451" w:type="dxa"/>
            <w:tcBorders>
              <w:top w:val="single" w:color="auto" w:sz="4" w:space="0"/>
              <w:left w:val="single" w:color="auto" w:sz="4" w:space="0"/>
              <w:bottom w:val="single" w:color="auto" w:sz="4" w:space="0"/>
              <w:right w:val="single" w:color="auto" w:sz="4" w:space="0"/>
            </w:tcBorders>
            <w:vAlign w:val="center"/>
          </w:tcPr>
          <w:p w14:paraId="3CD32AAB">
            <w:pPr>
              <w:pStyle w:val="18"/>
              <w:spacing w:line="360" w:lineRule="auto"/>
              <w:ind w:firstLine="480"/>
              <w:jc w:val="center"/>
              <w:rPr>
                <w:rFonts w:hint="eastAsia" w:ascii="宋体" w:hAnsi="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5D3AB3F1">
            <w:pPr>
              <w:pStyle w:val="18"/>
              <w:spacing w:line="360" w:lineRule="auto"/>
              <w:ind w:firstLine="480"/>
              <w:jc w:val="center"/>
              <w:rPr>
                <w:rFonts w:hint="eastAsia" w:ascii="宋体" w:hAnsi="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vAlign w:val="center"/>
          </w:tcPr>
          <w:p w14:paraId="6DAC1FA7">
            <w:pPr>
              <w:pStyle w:val="18"/>
              <w:spacing w:line="400" w:lineRule="exact"/>
              <w:ind w:firstLine="480"/>
              <w:jc w:val="center"/>
              <w:rPr>
                <w:rFonts w:hint="eastAsia" w:ascii="宋体" w:hAnsi="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vAlign w:val="center"/>
          </w:tcPr>
          <w:p w14:paraId="3E7079E1">
            <w:pPr>
              <w:pStyle w:val="18"/>
              <w:spacing w:line="400" w:lineRule="exact"/>
              <w:ind w:firstLine="480"/>
              <w:jc w:val="center"/>
              <w:rPr>
                <w:rFonts w:hint="eastAsia" w:ascii="宋体" w:hAnsi="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vAlign w:val="center"/>
          </w:tcPr>
          <w:p w14:paraId="22F5A897">
            <w:pPr>
              <w:pStyle w:val="18"/>
              <w:spacing w:line="400" w:lineRule="exact"/>
              <w:ind w:firstLine="480"/>
              <w:jc w:val="center"/>
              <w:rPr>
                <w:rFonts w:hint="eastAsia" w:ascii="宋体" w:hAnsi="宋体" w:cs="宋体"/>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vAlign w:val="center"/>
          </w:tcPr>
          <w:p w14:paraId="0F3EE95F">
            <w:pPr>
              <w:pStyle w:val="18"/>
              <w:spacing w:line="400" w:lineRule="exact"/>
              <w:ind w:firstLine="480"/>
              <w:jc w:val="center"/>
              <w:rPr>
                <w:rFonts w:hint="eastAsia" w:ascii="宋体" w:hAnsi="宋体" w:cs="宋体"/>
                <w:color w:val="auto"/>
                <w:sz w:val="24"/>
                <w:szCs w:val="24"/>
                <w:highlight w:val="none"/>
              </w:rPr>
            </w:pPr>
          </w:p>
        </w:tc>
      </w:tr>
      <w:tr w14:paraId="332C74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vAlign w:val="center"/>
          </w:tcPr>
          <w:p w14:paraId="1C21F928">
            <w:pPr>
              <w:pStyle w:val="18"/>
              <w:spacing w:line="360" w:lineRule="auto"/>
              <w:jc w:val="center"/>
              <w:rPr>
                <w:rFonts w:hint="eastAsia" w:ascii="宋体" w:hAnsi="宋体" w:cs="宋体"/>
                <w:color w:val="auto"/>
                <w:sz w:val="24"/>
                <w:szCs w:val="24"/>
                <w:highlight w:val="none"/>
              </w:rPr>
            </w:pPr>
          </w:p>
        </w:tc>
        <w:tc>
          <w:tcPr>
            <w:tcW w:w="2451" w:type="dxa"/>
            <w:tcBorders>
              <w:top w:val="single" w:color="auto" w:sz="4" w:space="0"/>
              <w:left w:val="single" w:color="auto" w:sz="4" w:space="0"/>
              <w:bottom w:val="single" w:color="auto" w:sz="4" w:space="0"/>
              <w:right w:val="single" w:color="auto" w:sz="4" w:space="0"/>
            </w:tcBorders>
            <w:vAlign w:val="center"/>
          </w:tcPr>
          <w:p w14:paraId="3CA29B57">
            <w:pPr>
              <w:pStyle w:val="18"/>
              <w:spacing w:line="360" w:lineRule="auto"/>
              <w:ind w:firstLine="480"/>
              <w:jc w:val="center"/>
              <w:rPr>
                <w:rFonts w:hint="eastAsia" w:ascii="宋体" w:hAnsi="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DFE2877">
            <w:pPr>
              <w:pStyle w:val="18"/>
              <w:spacing w:line="360" w:lineRule="auto"/>
              <w:ind w:firstLine="480"/>
              <w:jc w:val="center"/>
              <w:rPr>
                <w:rFonts w:hint="eastAsia" w:ascii="宋体" w:hAnsi="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vAlign w:val="center"/>
          </w:tcPr>
          <w:p w14:paraId="558FCC58">
            <w:pPr>
              <w:pStyle w:val="18"/>
              <w:spacing w:line="400" w:lineRule="exact"/>
              <w:ind w:firstLine="480"/>
              <w:jc w:val="center"/>
              <w:rPr>
                <w:rFonts w:hint="eastAsia" w:ascii="宋体" w:hAnsi="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vAlign w:val="center"/>
          </w:tcPr>
          <w:p w14:paraId="5C73976A">
            <w:pPr>
              <w:pStyle w:val="18"/>
              <w:spacing w:line="400" w:lineRule="exact"/>
              <w:ind w:firstLine="480"/>
              <w:jc w:val="center"/>
              <w:rPr>
                <w:rFonts w:hint="eastAsia" w:ascii="宋体" w:hAnsi="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vAlign w:val="center"/>
          </w:tcPr>
          <w:p w14:paraId="2BD463AA">
            <w:pPr>
              <w:pStyle w:val="18"/>
              <w:spacing w:line="400" w:lineRule="exact"/>
              <w:ind w:firstLine="480"/>
              <w:jc w:val="center"/>
              <w:rPr>
                <w:rFonts w:hint="eastAsia" w:ascii="宋体" w:hAnsi="宋体" w:cs="宋体"/>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vAlign w:val="center"/>
          </w:tcPr>
          <w:p w14:paraId="16D637E2">
            <w:pPr>
              <w:pStyle w:val="18"/>
              <w:spacing w:line="400" w:lineRule="exact"/>
              <w:ind w:firstLine="480"/>
              <w:jc w:val="center"/>
              <w:rPr>
                <w:rFonts w:hint="eastAsia" w:ascii="宋体" w:hAnsi="宋体" w:cs="宋体"/>
                <w:color w:val="auto"/>
                <w:sz w:val="24"/>
                <w:szCs w:val="24"/>
                <w:highlight w:val="none"/>
              </w:rPr>
            </w:pPr>
          </w:p>
        </w:tc>
      </w:tr>
      <w:tr w14:paraId="3C7E7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vAlign w:val="center"/>
          </w:tcPr>
          <w:p w14:paraId="3419AAD0">
            <w:pPr>
              <w:pStyle w:val="18"/>
              <w:spacing w:line="360" w:lineRule="auto"/>
              <w:jc w:val="center"/>
              <w:rPr>
                <w:rFonts w:hint="eastAsia" w:ascii="宋体" w:hAnsi="宋体" w:cs="宋体"/>
                <w:color w:val="auto"/>
                <w:sz w:val="24"/>
                <w:szCs w:val="24"/>
                <w:highlight w:val="none"/>
              </w:rPr>
            </w:pPr>
          </w:p>
        </w:tc>
        <w:tc>
          <w:tcPr>
            <w:tcW w:w="2451" w:type="dxa"/>
            <w:tcBorders>
              <w:top w:val="single" w:color="auto" w:sz="4" w:space="0"/>
              <w:left w:val="single" w:color="auto" w:sz="4" w:space="0"/>
              <w:bottom w:val="single" w:color="auto" w:sz="4" w:space="0"/>
              <w:right w:val="single" w:color="auto" w:sz="4" w:space="0"/>
            </w:tcBorders>
            <w:vAlign w:val="center"/>
          </w:tcPr>
          <w:p w14:paraId="6F9BE332">
            <w:pPr>
              <w:pStyle w:val="18"/>
              <w:spacing w:line="360" w:lineRule="auto"/>
              <w:ind w:firstLine="480"/>
              <w:jc w:val="center"/>
              <w:rPr>
                <w:rFonts w:hint="eastAsia" w:ascii="宋体" w:hAnsi="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C36EB9A">
            <w:pPr>
              <w:pStyle w:val="18"/>
              <w:spacing w:line="360" w:lineRule="auto"/>
              <w:ind w:firstLine="480"/>
              <w:jc w:val="center"/>
              <w:rPr>
                <w:rFonts w:hint="eastAsia" w:ascii="宋体" w:hAnsi="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vAlign w:val="center"/>
          </w:tcPr>
          <w:p w14:paraId="2608D7E9">
            <w:pPr>
              <w:pStyle w:val="18"/>
              <w:spacing w:line="400" w:lineRule="exact"/>
              <w:ind w:firstLine="480"/>
              <w:jc w:val="center"/>
              <w:rPr>
                <w:rFonts w:hint="eastAsia" w:ascii="宋体" w:hAnsi="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vAlign w:val="center"/>
          </w:tcPr>
          <w:p w14:paraId="2407E811">
            <w:pPr>
              <w:pStyle w:val="18"/>
              <w:spacing w:line="400" w:lineRule="exact"/>
              <w:ind w:firstLine="480"/>
              <w:jc w:val="center"/>
              <w:rPr>
                <w:rFonts w:hint="eastAsia" w:ascii="宋体" w:hAnsi="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vAlign w:val="center"/>
          </w:tcPr>
          <w:p w14:paraId="6B7CD6CE">
            <w:pPr>
              <w:pStyle w:val="18"/>
              <w:spacing w:line="400" w:lineRule="exact"/>
              <w:ind w:firstLine="480"/>
              <w:jc w:val="center"/>
              <w:rPr>
                <w:rFonts w:hint="eastAsia" w:ascii="宋体" w:hAnsi="宋体" w:cs="宋体"/>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vAlign w:val="center"/>
          </w:tcPr>
          <w:p w14:paraId="7342C7C9">
            <w:pPr>
              <w:pStyle w:val="18"/>
              <w:spacing w:line="400" w:lineRule="exact"/>
              <w:ind w:firstLine="480"/>
              <w:jc w:val="center"/>
              <w:rPr>
                <w:rFonts w:hint="eastAsia" w:ascii="宋体" w:hAnsi="宋体" w:cs="宋体"/>
                <w:color w:val="auto"/>
                <w:sz w:val="24"/>
                <w:szCs w:val="24"/>
                <w:highlight w:val="none"/>
              </w:rPr>
            </w:pPr>
          </w:p>
        </w:tc>
      </w:tr>
      <w:tr w14:paraId="3EFBB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vAlign w:val="center"/>
          </w:tcPr>
          <w:p w14:paraId="6207EB89">
            <w:pPr>
              <w:pStyle w:val="18"/>
              <w:spacing w:line="360" w:lineRule="auto"/>
              <w:jc w:val="center"/>
              <w:rPr>
                <w:rFonts w:hint="eastAsia" w:ascii="宋体" w:hAnsi="宋体" w:cs="宋体"/>
                <w:color w:val="auto"/>
                <w:sz w:val="24"/>
                <w:szCs w:val="24"/>
                <w:highlight w:val="none"/>
              </w:rPr>
            </w:pPr>
          </w:p>
        </w:tc>
        <w:tc>
          <w:tcPr>
            <w:tcW w:w="2451" w:type="dxa"/>
            <w:tcBorders>
              <w:top w:val="single" w:color="auto" w:sz="4" w:space="0"/>
              <w:left w:val="single" w:color="auto" w:sz="4" w:space="0"/>
              <w:bottom w:val="single" w:color="auto" w:sz="4" w:space="0"/>
              <w:right w:val="single" w:color="auto" w:sz="4" w:space="0"/>
            </w:tcBorders>
            <w:vAlign w:val="center"/>
          </w:tcPr>
          <w:p w14:paraId="27A82C8F">
            <w:pPr>
              <w:pStyle w:val="18"/>
              <w:spacing w:line="360" w:lineRule="auto"/>
              <w:ind w:firstLine="480"/>
              <w:jc w:val="center"/>
              <w:rPr>
                <w:rFonts w:hint="eastAsia" w:ascii="宋体" w:hAnsi="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0C4AA07">
            <w:pPr>
              <w:pStyle w:val="18"/>
              <w:spacing w:line="360" w:lineRule="auto"/>
              <w:ind w:firstLine="480"/>
              <w:jc w:val="center"/>
              <w:rPr>
                <w:rFonts w:hint="eastAsia" w:ascii="宋体" w:hAnsi="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vAlign w:val="center"/>
          </w:tcPr>
          <w:p w14:paraId="0D3DEB72">
            <w:pPr>
              <w:pStyle w:val="18"/>
              <w:spacing w:line="400" w:lineRule="exact"/>
              <w:ind w:firstLine="480"/>
              <w:jc w:val="center"/>
              <w:rPr>
                <w:rFonts w:hint="eastAsia" w:ascii="宋体" w:hAnsi="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vAlign w:val="center"/>
          </w:tcPr>
          <w:p w14:paraId="3A08099E">
            <w:pPr>
              <w:pStyle w:val="18"/>
              <w:spacing w:line="400" w:lineRule="exact"/>
              <w:ind w:firstLine="480"/>
              <w:jc w:val="center"/>
              <w:rPr>
                <w:rFonts w:hint="eastAsia" w:ascii="宋体" w:hAnsi="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vAlign w:val="center"/>
          </w:tcPr>
          <w:p w14:paraId="27641A3B">
            <w:pPr>
              <w:pStyle w:val="18"/>
              <w:spacing w:line="400" w:lineRule="exact"/>
              <w:ind w:firstLine="480"/>
              <w:jc w:val="center"/>
              <w:rPr>
                <w:rFonts w:hint="eastAsia" w:ascii="宋体" w:hAnsi="宋体" w:cs="宋体"/>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vAlign w:val="center"/>
          </w:tcPr>
          <w:p w14:paraId="268C41C8">
            <w:pPr>
              <w:pStyle w:val="18"/>
              <w:spacing w:line="400" w:lineRule="exact"/>
              <w:ind w:firstLine="480"/>
              <w:jc w:val="center"/>
              <w:rPr>
                <w:rFonts w:hint="eastAsia" w:ascii="宋体" w:hAnsi="宋体" w:cs="宋体"/>
                <w:color w:val="auto"/>
                <w:sz w:val="24"/>
                <w:szCs w:val="24"/>
                <w:highlight w:val="none"/>
              </w:rPr>
            </w:pPr>
          </w:p>
        </w:tc>
      </w:tr>
      <w:tr w14:paraId="4E6DA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vAlign w:val="center"/>
          </w:tcPr>
          <w:p w14:paraId="0C00B01B">
            <w:pPr>
              <w:pStyle w:val="18"/>
              <w:spacing w:line="360" w:lineRule="auto"/>
              <w:jc w:val="center"/>
              <w:rPr>
                <w:rFonts w:hint="eastAsia" w:ascii="宋体" w:hAnsi="宋体" w:cs="宋体"/>
                <w:color w:val="auto"/>
                <w:sz w:val="24"/>
                <w:szCs w:val="24"/>
                <w:highlight w:val="none"/>
              </w:rPr>
            </w:pPr>
          </w:p>
        </w:tc>
        <w:tc>
          <w:tcPr>
            <w:tcW w:w="2451" w:type="dxa"/>
            <w:tcBorders>
              <w:top w:val="single" w:color="auto" w:sz="4" w:space="0"/>
              <w:left w:val="single" w:color="auto" w:sz="4" w:space="0"/>
              <w:bottom w:val="single" w:color="auto" w:sz="4" w:space="0"/>
              <w:right w:val="single" w:color="auto" w:sz="4" w:space="0"/>
            </w:tcBorders>
            <w:vAlign w:val="center"/>
          </w:tcPr>
          <w:p w14:paraId="72968DA9">
            <w:pPr>
              <w:pStyle w:val="18"/>
              <w:spacing w:line="360" w:lineRule="auto"/>
              <w:ind w:firstLine="480"/>
              <w:jc w:val="center"/>
              <w:rPr>
                <w:rFonts w:hint="eastAsia" w:ascii="宋体" w:hAnsi="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56D95D82">
            <w:pPr>
              <w:pStyle w:val="18"/>
              <w:spacing w:line="360" w:lineRule="auto"/>
              <w:ind w:firstLine="480"/>
              <w:jc w:val="center"/>
              <w:rPr>
                <w:rFonts w:hint="eastAsia" w:ascii="宋体" w:hAnsi="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vAlign w:val="center"/>
          </w:tcPr>
          <w:p w14:paraId="229A5B5A">
            <w:pPr>
              <w:pStyle w:val="18"/>
              <w:spacing w:line="400" w:lineRule="exact"/>
              <w:ind w:firstLine="480"/>
              <w:jc w:val="center"/>
              <w:rPr>
                <w:rFonts w:hint="eastAsia" w:ascii="宋体" w:hAnsi="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vAlign w:val="center"/>
          </w:tcPr>
          <w:p w14:paraId="454C226B">
            <w:pPr>
              <w:pStyle w:val="18"/>
              <w:spacing w:line="400" w:lineRule="exact"/>
              <w:ind w:firstLine="480"/>
              <w:jc w:val="center"/>
              <w:rPr>
                <w:rFonts w:hint="eastAsia" w:ascii="宋体" w:hAnsi="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vAlign w:val="center"/>
          </w:tcPr>
          <w:p w14:paraId="61A1023A">
            <w:pPr>
              <w:pStyle w:val="18"/>
              <w:spacing w:line="400" w:lineRule="exact"/>
              <w:ind w:firstLine="480"/>
              <w:jc w:val="center"/>
              <w:rPr>
                <w:rFonts w:hint="eastAsia" w:ascii="宋体" w:hAnsi="宋体" w:cs="宋体"/>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vAlign w:val="center"/>
          </w:tcPr>
          <w:p w14:paraId="568E53F8">
            <w:pPr>
              <w:pStyle w:val="18"/>
              <w:spacing w:line="400" w:lineRule="exact"/>
              <w:ind w:firstLine="480"/>
              <w:jc w:val="center"/>
              <w:rPr>
                <w:rFonts w:hint="eastAsia" w:ascii="宋体" w:hAnsi="宋体" w:cs="宋体"/>
                <w:color w:val="auto"/>
                <w:sz w:val="24"/>
                <w:szCs w:val="24"/>
                <w:highlight w:val="none"/>
              </w:rPr>
            </w:pPr>
          </w:p>
        </w:tc>
      </w:tr>
      <w:tr w14:paraId="661E3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vAlign w:val="center"/>
          </w:tcPr>
          <w:p w14:paraId="2179923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2451" w:type="dxa"/>
            <w:tcBorders>
              <w:top w:val="single" w:color="auto" w:sz="4" w:space="0"/>
              <w:left w:val="single" w:color="auto" w:sz="4" w:space="0"/>
              <w:bottom w:val="single" w:color="auto" w:sz="4" w:space="0"/>
              <w:right w:val="single" w:color="auto" w:sz="4" w:space="0"/>
            </w:tcBorders>
            <w:vAlign w:val="center"/>
          </w:tcPr>
          <w:p w14:paraId="369E7BD7">
            <w:pPr>
              <w:spacing w:line="360" w:lineRule="auto"/>
              <w:ind w:firstLine="480"/>
              <w:jc w:val="center"/>
              <w:rPr>
                <w:rFonts w:hint="eastAsia" w:ascii="宋体" w:hAnsi="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6C1258CA">
            <w:pPr>
              <w:spacing w:line="360" w:lineRule="auto"/>
              <w:ind w:firstLine="480"/>
              <w:jc w:val="center"/>
              <w:rPr>
                <w:rFonts w:hint="eastAsia" w:ascii="宋体" w:hAnsi="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vAlign w:val="center"/>
          </w:tcPr>
          <w:p w14:paraId="2152B636">
            <w:pPr>
              <w:spacing w:line="400" w:lineRule="exact"/>
              <w:ind w:firstLine="480"/>
              <w:jc w:val="center"/>
              <w:rPr>
                <w:rFonts w:hint="eastAsia" w:ascii="宋体" w:hAnsi="宋体" w:cs="宋体"/>
                <w:color w:val="auto"/>
                <w:sz w:val="24"/>
                <w:highlight w:val="none"/>
              </w:rPr>
            </w:pPr>
          </w:p>
        </w:tc>
        <w:tc>
          <w:tcPr>
            <w:tcW w:w="2010" w:type="dxa"/>
            <w:tcBorders>
              <w:top w:val="single" w:color="auto" w:sz="4" w:space="0"/>
              <w:left w:val="single" w:color="auto" w:sz="4" w:space="0"/>
              <w:bottom w:val="single" w:color="auto" w:sz="4" w:space="0"/>
              <w:right w:val="single" w:color="auto" w:sz="4" w:space="0"/>
            </w:tcBorders>
            <w:vAlign w:val="center"/>
          </w:tcPr>
          <w:p w14:paraId="4FBB53E7">
            <w:pPr>
              <w:spacing w:line="400" w:lineRule="exact"/>
              <w:ind w:firstLine="480"/>
              <w:jc w:val="center"/>
              <w:rPr>
                <w:rFonts w:hint="eastAsia" w:ascii="宋体" w:hAnsi="宋体" w:cs="宋体"/>
                <w:color w:val="auto"/>
                <w:sz w:val="24"/>
                <w:highlight w:val="none"/>
              </w:rPr>
            </w:pPr>
          </w:p>
        </w:tc>
        <w:tc>
          <w:tcPr>
            <w:tcW w:w="3515" w:type="dxa"/>
            <w:tcBorders>
              <w:top w:val="single" w:color="auto" w:sz="4" w:space="0"/>
              <w:left w:val="single" w:color="auto" w:sz="4" w:space="0"/>
              <w:bottom w:val="single" w:color="auto" w:sz="4" w:space="0"/>
              <w:right w:val="single" w:color="auto" w:sz="4" w:space="0"/>
            </w:tcBorders>
            <w:vAlign w:val="center"/>
          </w:tcPr>
          <w:p w14:paraId="3B2BA3E4">
            <w:pPr>
              <w:spacing w:line="400" w:lineRule="exact"/>
              <w:ind w:firstLine="480"/>
              <w:jc w:val="center"/>
              <w:rPr>
                <w:rFonts w:hint="eastAsia" w:ascii="宋体" w:hAnsi="宋体" w:cs="宋体"/>
                <w:color w:val="auto"/>
                <w:sz w:val="24"/>
                <w:highlight w:val="none"/>
              </w:rPr>
            </w:pPr>
          </w:p>
        </w:tc>
        <w:tc>
          <w:tcPr>
            <w:tcW w:w="2754" w:type="dxa"/>
            <w:tcBorders>
              <w:top w:val="single" w:color="auto" w:sz="4" w:space="0"/>
              <w:left w:val="single" w:color="auto" w:sz="4" w:space="0"/>
              <w:bottom w:val="single" w:color="auto" w:sz="4" w:space="0"/>
              <w:right w:val="single" w:color="auto" w:sz="4" w:space="0"/>
            </w:tcBorders>
            <w:vAlign w:val="center"/>
          </w:tcPr>
          <w:p w14:paraId="3683F65B">
            <w:pPr>
              <w:spacing w:line="400" w:lineRule="exact"/>
              <w:ind w:firstLine="480"/>
              <w:jc w:val="center"/>
              <w:rPr>
                <w:rFonts w:hint="eastAsia" w:ascii="宋体" w:hAnsi="宋体" w:cs="宋体"/>
                <w:color w:val="auto"/>
                <w:sz w:val="24"/>
                <w:highlight w:val="none"/>
              </w:rPr>
            </w:pPr>
          </w:p>
        </w:tc>
      </w:tr>
    </w:tbl>
    <w:p w14:paraId="25781490">
      <w:pPr>
        <w:spacing w:line="400" w:lineRule="exact"/>
        <w:ind w:firstLine="482"/>
        <w:rPr>
          <w:rFonts w:hint="eastAsia" w:ascii="宋体" w:hAnsi="宋体" w:cs="宋体"/>
          <w:b/>
          <w:color w:val="auto"/>
          <w:sz w:val="24"/>
          <w:highlight w:val="none"/>
        </w:rPr>
      </w:pPr>
      <w:r>
        <w:rPr>
          <w:rFonts w:hint="eastAsia" w:ascii="宋体" w:hAnsi="宋体" w:cs="宋体"/>
          <w:b/>
          <w:color w:val="auto"/>
          <w:sz w:val="24"/>
          <w:highlight w:val="none"/>
        </w:rPr>
        <w:t>注：1、“投入本项目人员”指投标单位针对该项目的实施、售后服务等完成本项目所配备的人员。</w:t>
      </w:r>
    </w:p>
    <w:p w14:paraId="1D8C0280">
      <w:pPr>
        <w:spacing w:line="400" w:lineRule="exact"/>
        <w:ind w:firstLine="972" w:firstLineChars="400"/>
        <w:rPr>
          <w:rFonts w:hint="eastAsia" w:ascii="宋体" w:hAnsi="宋体" w:cs="宋体"/>
          <w:b/>
          <w:color w:val="auto"/>
          <w:sz w:val="24"/>
          <w:highlight w:val="none"/>
        </w:rPr>
      </w:pPr>
      <w:r>
        <w:rPr>
          <w:rFonts w:hint="eastAsia" w:ascii="宋体" w:hAnsi="宋体" w:cs="宋体"/>
          <w:b/>
          <w:color w:val="auto"/>
          <w:sz w:val="24"/>
          <w:highlight w:val="none"/>
        </w:rPr>
        <w:t>2、附各专业人员简历</w:t>
      </w:r>
      <w:r>
        <w:rPr>
          <w:rFonts w:hint="eastAsia" w:ascii="宋体" w:hAnsi="宋体" w:cs="宋体"/>
          <w:b/>
          <w:color w:val="auto"/>
          <w:sz w:val="24"/>
          <w:highlight w:val="none"/>
          <w:lang w:eastAsia="zh-CN"/>
        </w:rPr>
        <w:t>、</w:t>
      </w:r>
      <w:r>
        <w:rPr>
          <w:rFonts w:hint="eastAsia" w:ascii="宋体" w:hAnsi="宋体" w:cs="宋体"/>
          <w:b/>
          <w:color w:val="auto"/>
          <w:sz w:val="24"/>
          <w:highlight w:val="none"/>
        </w:rPr>
        <w:t>相关证明材料复印件；</w:t>
      </w:r>
    </w:p>
    <w:p w14:paraId="22F62CFA">
      <w:pPr>
        <w:spacing w:line="400" w:lineRule="exact"/>
        <w:ind w:firstLine="972" w:firstLineChars="400"/>
        <w:rPr>
          <w:rFonts w:hint="eastAsia" w:ascii="宋体" w:hAnsi="宋体" w:cs="宋体"/>
          <w:b/>
          <w:color w:val="auto"/>
          <w:sz w:val="24"/>
          <w:highlight w:val="none"/>
        </w:rPr>
      </w:pPr>
      <w:r>
        <w:rPr>
          <w:rFonts w:hint="eastAsia" w:ascii="宋体" w:hAnsi="宋体" w:cs="宋体"/>
          <w:b/>
          <w:color w:val="auto"/>
          <w:sz w:val="24"/>
          <w:highlight w:val="none"/>
        </w:rPr>
        <w:t>3、表格不够填写可添加。</w:t>
      </w:r>
    </w:p>
    <w:p w14:paraId="05ECF81A">
      <w:pPr>
        <w:overflowPunct w:val="0"/>
        <w:autoSpaceDE w:val="0"/>
        <w:autoSpaceDN w:val="0"/>
        <w:spacing w:before="156" w:beforeLines="50" w:line="480" w:lineRule="exact"/>
        <w:ind w:firstLine="5589" w:firstLineChars="2300"/>
        <w:jc w:val="left"/>
        <w:rPr>
          <w:rFonts w:hint="eastAsia" w:ascii="宋体" w:hAnsi="宋体" w:cs="宋体"/>
          <w:color w:val="auto"/>
          <w:sz w:val="24"/>
          <w:highlight w:val="none"/>
          <w:u w:val="singl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（盖章）</w:t>
      </w:r>
      <w:r>
        <w:rPr>
          <w:rFonts w:hint="eastAsia" w:ascii="宋体" w:hAnsi="宋体" w:cs="宋体"/>
          <w:color w:val="auto"/>
          <w:sz w:val="24"/>
          <w:highlight w:val="none"/>
          <w:lang w:bidi="ar"/>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bidi="ar"/>
        </w:rPr>
        <w:t xml:space="preserve">                         </w:t>
      </w:r>
    </w:p>
    <w:p w14:paraId="1E7F8553">
      <w:pPr>
        <w:wordWrap w:val="0"/>
        <w:spacing w:line="360" w:lineRule="auto"/>
        <w:ind w:firstLine="480"/>
        <w:rPr>
          <w:rFonts w:hint="eastAsia" w:ascii="宋体" w:hAnsi="宋体" w:cs="宋体"/>
          <w:b/>
          <w:color w:val="auto"/>
          <w:sz w:val="24"/>
          <w:highlight w:val="none"/>
        </w:rPr>
      </w:pPr>
      <w:r>
        <w:rPr>
          <w:rFonts w:hint="eastAsia" w:ascii="宋体" w:hAnsi="宋体" w:cs="宋体"/>
          <w:color w:val="auto"/>
          <w:sz w:val="24"/>
          <w:highlight w:val="none"/>
        </w:rPr>
        <w:t xml:space="preserve">                          法定代表人或被授权人签字（或盖章）</w:t>
      </w:r>
      <w:r>
        <w:rPr>
          <w:rFonts w:hint="eastAsia" w:ascii="宋体" w:hAnsi="宋体" w:cs="宋体"/>
          <w:color w:val="auto"/>
          <w:sz w:val="24"/>
          <w:highlight w:val="none"/>
          <w:lang w:bidi="ar"/>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bidi="ar"/>
        </w:rPr>
        <w:t>日期：</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年</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月</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日</w:t>
      </w:r>
    </w:p>
    <w:p w14:paraId="42DF5A50">
      <w:pPr>
        <w:wordWrap w:val="0"/>
        <w:snapToGrid w:val="0"/>
        <w:spacing w:before="50" w:after="156" w:afterLines="50"/>
        <w:rPr>
          <w:rFonts w:hint="eastAsia" w:ascii="宋体" w:hAnsi="宋体" w:cs="宋体"/>
          <w:color w:val="auto"/>
          <w:spacing w:val="20"/>
          <w:sz w:val="24"/>
          <w:szCs w:val="20"/>
          <w:highlight w:val="none"/>
          <w:u w:val="single"/>
        </w:rPr>
        <w:sectPr>
          <w:pgSz w:w="16781" w:h="11849" w:orient="landscape"/>
          <w:pgMar w:top="1134" w:right="1417" w:bottom="1134" w:left="1417" w:header="850" w:footer="992" w:gutter="0"/>
          <w:pgNumType w:fmt="decimal"/>
          <w:cols w:space="0" w:num="1"/>
          <w:rtlGutter w:val="0"/>
          <w:docGrid w:type="linesAndChars" w:linePitch="324" w:charSpace="819"/>
        </w:sectPr>
      </w:pPr>
    </w:p>
    <w:p w14:paraId="3084D302">
      <w:pPr>
        <w:pageBreakBefore w:val="0"/>
        <w:widowControl w:val="0"/>
        <w:wordWrap w:val="0"/>
        <w:topLinePunct w:val="0"/>
        <w:bidi w:val="0"/>
        <w:snapToGrid w:val="0"/>
        <w:spacing w:before="50" w:after="120" w:afterLines="50"/>
        <w:ind w:firstLine="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11</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投入</w:t>
      </w:r>
      <w:r>
        <w:rPr>
          <w:rFonts w:hint="eastAsia" w:ascii="宋体" w:hAnsi="宋体" w:eastAsia="宋体" w:cs="宋体"/>
          <w:b/>
          <w:color w:val="auto"/>
          <w:sz w:val="24"/>
          <w:highlight w:val="none"/>
          <w:lang w:eastAsia="zh-CN"/>
        </w:rPr>
        <w:t>本项目</w:t>
      </w:r>
      <w:r>
        <w:rPr>
          <w:rFonts w:hint="eastAsia" w:ascii="宋体" w:hAnsi="宋体" w:eastAsia="宋体" w:cs="宋体"/>
          <w:b/>
          <w:color w:val="auto"/>
          <w:sz w:val="24"/>
          <w:highlight w:val="none"/>
        </w:rPr>
        <w:t>设备一览表格式：</w:t>
      </w:r>
    </w:p>
    <w:p w14:paraId="05812117">
      <w:pPr>
        <w:pStyle w:val="8"/>
        <w:pageBreakBefore w:val="0"/>
        <w:widowControl w:val="0"/>
        <w:overflowPunct w:val="0"/>
        <w:topLinePunct w:val="0"/>
        <w:bidi w:val="0"/>
        <w:ind w:firstLine="56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投入</w:t>
      </w:r>
      <w:r>
        <w:rPr>
          <w:rFonts w:hint="eastAsia" w:ascii="宋体" w:hAnsi="宋体" w:eastAsia="宋体" w:cs="宋体"/>
          <w:b/>
          <w:color w:val="auto"/>
          <w:sz w:val="28"/>
          <w:szCs w:val="28"/>
          <w:highlight w:val="none"/>
          <w:lang w:eastAsia="zh-CN"/>
        </w:rPr>
        <w:t>本项目</w:t>
      </w:r>
      <w:r>
        <w:rPr>
          <w:rFonts w:hint="eastAsia" w:ascii="宋体" w:hAnsi="宋体" w:eastAsia="宋体" w:cs="宋体"/>
          <w:b/>
          <w:color w:val="auto"/>
          <w:sz w:val="28"/>
          <w:szCs w:val="28"/>
          <w:highlight w:val="none"/>
        </w:rPr>
        <w:t>设备一览表</w:t>
      </w:r>
    </w:p>
    <w:tbl>
      <w:tblPr>
        <w:tblStyle w:val="27"/>
        <w:tblW w:w="91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94"/>
        <w:gridCol w:w="3361"/>
        <w:gridCol w:w="1935"/>
        <w:gridCol w:w="1125"/>
        <w:gridCol w:w="1499"/>
      </w:tblGrid>
      <w:tr w14:paraId="0B785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94" w:type="dxa"/>
            <w:shd w:val="clear" w:color="auto" w:fill="EEECE1"/>
            <w:vAlign w:val="center"/>
          </w:tcPr>
          <w:p w14:paraId="64B58486">
            <w:pPr>
              <w:pStyle w:val="92"/>
              <w:pageBreakBefore w:val="0"/>
              <w:widowControl w:val="0"/>
              <w:topLinePunct w:val="0"/>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361" w:type="dxa"/>
            <w:shd w:val="clear" w:color="auto" w:fill="EEECE1"/>
            <w:vAlign w:val="center"/>
          </w:tcPr>
          <w:p w14:paraId="34E80C66">
            <w:pPr>
              <w:pStyle w:val="92"/>
              <w:pageBreakBefore w:val="0"/>
              <w:widowControl w:val="0"/>
              <w:topLinePunct w:val="0"/>
              <w:bidi w:val="0"/>
              <w:jc w:val="center"/>
              <w:rPr>
                <w:rFonts w:hint="eastAsia" w:ascii="宋体" w:hAnsi="宋体" w:eastAsia="宋体" w:cs="宋体"/>
                <w:b/>
                <w:bCs/>
                <w:color w:val="auto"/>
                <w:sz w:val="24"/>
                <w:szCs w:val="24"/>
                <w:highlight w:val="none"/>
              </w:rPr>
            </w:pPr>
            <w:r>
              <w:rPr>
                <w:rFonts w:hint="eastAsia" w:hAnsi="宋体" w:eastAsia="宋体" w:cs="宋体"/>
                <w:b/>
                <w:bCs/>
                <w:color w:val="auto"/>
                <w:sz w:val="24"/>
                <w:szCs w:val="24"/>
                <w:highlight w:val="none"/>
                <w:lang w:eastAsia="zh-CN"/>
              </w:rPr>
              <w:t>设备</w:t>
            </w:r>
            <w:r>
              <w:rPr>
                <w:rFonts w:hint="eastAsia" w:ascii="宋体" w:hAnsi="宋体" w:eastAsia="宋体" w:cs="宋体"/>
                <w:b/>
                <w:bCs/>
                <w:color w:val="auto"/>
                <w:sz w:val="24"/>
                <w:szCs w:val="24"/>
                <w:highlight w:val="none"/>
              </w:rPr>
              <w:t>名称</w:t>
            </w:r>
          </w:p>
        </w:tc>
        <w:tc>
          <w:tcPr>
            <w:tcW w:w="1935" w:type="dxa"/>
            <w:tcBorders>
              <w:bottom w:val="single" w:color="auto" w:sz="4" w:space="0"/>
            </w:tcBorders>
            <w:shd w:val="clear" w:color="auto" w:fill="EEECE1"/>
            <w:vAlign w:val="center"/>
          </w:tcPr>
          <w:p w14:paraId="4B8D2347">
            <w:pPr>
              <w:pStyle w:val="92"/>
              <w:pageBreakBefore w:val="0"/>
              <w:widowControl w:val="0"/>
              <w:topLinePunct w:val="0"/>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型号、规格</w:t>
            </w:r>
          </w:p>
        </w:tc>
        <w:tc>
          <w:tcPr>
            <w:tcW w:w="1125" w:type="dxa"/>
            <w:tcBorders>
              <w:right w:val="single" w:color="auto" w:sz="4" w:space="0"/>
            </w:tcBorders>
            <w:shd w:val="clear" w:color="auto" w:fill="EEECE1"/>
            <w:vAlign w:val="center"/>
          </w:tcPr>
          <w:p w14:paraId="3E8DAA38">
            <w:pPr>
              <w:pStyle w:val="92"/>
              <w:pageBreakBefore w:val="0"/>
              <w:widowControl w:val="0"/>
              <w:topLinePunct w:val="0"/>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1499" w:type="dxa"/>
            <w:tcBorders>
              <w:left w:val="single" w:color="auto" w:sz="4" w:space="0"/>
            </w:tcBorders>
            <w:shd w:val="clear" w:color="auto" w:fill="EEECE1"/>
            <w:vAlign w:val="center"/>
          </w:tcPr>
          <w:p w14:paraId="30ED8003">
            <w:pPr>
              <w:pStyle w:val="92"/>
              <w:pageBreakBefore w:val="0"/>
              <w:widowControl w:val="0"/>
              <w:topLinePunct w:val="0"/>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r>
      <w:tr w14:paraId="3D098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94" w:type="dxa"/>
            <w:vAlign w:val="center"/>
          </w:tcPr>
          <w:p w14:paraId="7C902EF2">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3361" w:type="dxa"/>
            <w:vAlign w:val="center"/>
          </w:tcPr>
          <w:p w14:paraId="636E181C">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935" w:type="dxa"/>
            <w:tcBorders>
              <w:top w:val="single" w:color="auto" w:sz="4" w:space="0"/>
            </w:tcBorders>
            <w:vAlign w:val="center"/>
          </w:tcPr>
          <w:p w14:paraId="29574566">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25" w:type="dxa"/>
            <w:tcBorders>
              <w:right w:val="single" w:color="auto" w:sz="4" w:space="0"/>
            </w:tcBorders>
            <w:vAlign w:val="center"/>
          </w:tcPr>
          <w:p w14:paraId="01E0FB84">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499" w:type="dxa"/>
            <w:tcBorders>
              <w:left w:val="single" w:color="auto" w:sz="4" w:space="0"/>
            </w:tcBorders>
            <w:vAlign w:val="center"/>
          </w:tcPr>
          <w:p w14:paraId="39A2CCB9">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r w14:paraId="6F1F3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94" w:type="dxa"/>
            <w:vAlign w:val="center"/>
          </w:tcPr>
          <w:p w14:paraId="2E44E4B3">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3361" w:type="dxa"/>
            <w:vAlign w:val="center"/>
          </w:tcPr>
          <w:p w14:paraId="02421262">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935" w:type="dxa"/>
            <w:vAlign w:val="center"/>
          </w:tcPr>
          <w:p w14:paraId="2D5C57E4">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25" w:type="dxa"/>
            <w:tcBorders>
              <w:right w:val="single" w:color="auto" w:sz="4" w:space="0"/>
            </w:tcBorders>
            <w:vAlign w:val="center"/>
          </w:tcPr>
          <w:p w14:paraId="2F321DA3">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499" w:type="dxa"/>
            <w:tcBorders>
              <w:left w:val="single" w:color="auto" w:sz="4" w:space="0"/>
            </w:tcBorders>
            <w:vAlign w:val="center"/>
          </w:tcPr>
          <w:p w14:paraId="2522C19E">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r w14:paraId="794C8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94" w:type="dxa"/>
            <w:vAlign w:val="center"/>
          </w:tcPr>
          <w:p w14:paraId="28D274DD">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3361" w:type="dxa"/>
            <w:vAlign w:val="center"/>
          </w:tcPr>
          <w:p w14:paraId="3D062F63">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935" w:type="dxa"/>
            <w:vAlign w:val="center"/>
          </w:tcPr>
          <w:p w14:paraId="2475208B">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25" w:type="dxa"/>
            <w:tcBorders>
              <w:right w:val="single" w:color="auto" w:sz="4" w:space="0"/>
            </w:tcBorders>
            <w:vAlign w:val="center"/>
          </w:tcPr>
          <w:p w14:paraId="67ACB79D">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499" w:type="dxa"/>
            <w:tcBorders>
              <w:left w:val="single" w:color="auto" w:sz="4" w:space="0"/>
            </w:tcBorders>
            <w:vAlign w:val="center"/>
          </w:tcPr>
          <w:p w14:paraId="76D4566C">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r w14:paraId="66D55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94" w:type="dxa"/>
            <w:vAlign w:val="center"/>
          </w:tcPr>
          <w:p w14:paraId="3681F1A0">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3361" w:type="dxa"/>
            <w:vAlign w:val="center"/>
          </w:tcPr>
          <w:p w14:paraId="78F3F2EB">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935" w:type="dxa"/>
            <w:vAlign w:val="center"/>
          </w:tcPr>
          <w:p w14:paraId="74603214">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25" w:type="dxa"/>
            <w:tcBorders>
              <w:right w:val="single" w:color="auto" w:sz="4" w:space="0"/>
            </w:tcBorders>
            <w:vAlign w:val="center"/>
          </w:tcPr>
          <w:p w14:paraId="2D655E25">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499" w:type="dxa"/>
            <w:tcBorders>
              <w:left w:val="single" w:color="auto" w:sz="4" w:space="0"/>
            </w:tcBorders>
            <w:vAlign w:val="center"/>
          </w:tcPr>
          <w:p w14:paraId="5DC577FF">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r w14:paraId="64357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94" w:type="dxa"/>
            <w:vAlign w:val="center"/>
          </w:tcPr>
          <w:p w14:paraId="4AAC9C4E">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3361" w:type="dxa"/>
            <w:vAlign w:val="center"/>
          </w:tcPr>
          <w:p w14:paraId="30E11BC1">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935" w:type="dxa"/>
            <w:vAlign w:val="center"/>
          </w:tcPr>
          <w:p w14:paraId="3B4720DD">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25" w:type="dxa"/>
            <w:tcBorders>
              <w:right w:val="single" w:color="auto" w:sz="4" w:space="0"/>
            </w:tcBorders>
            <w:vAlign w:val="center"/>
          </w:tcPr>
          <w:p w14:paraId="07F7E93A">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499" w:type="dxa"/>
            <w:tcBorders>
              <w:left w:val="single" w:color="auto" w:sz="4" w:space="0"/>
            </w:tcBorders>
            <w:vAlign w:val="center"/>
          </w:tcPr>
          <w:p w14:paraId="52037099">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r w14:paraId="5850D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94" w:type="dxa"/>
            <w:vAlign w:val="center"/>
          </w:tcPr>
          <w:p w14:paraId="0912E9AD">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3361" w:type="dxa"/>
            <w:vAlign w:val="center"/>
          </w:tcPr>
          <w:p w14:paraId="6691E02F">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935" w:type="dxa"/>
            <w:vAlign w:val="center"/>
          </w:tcPr>
          <w:p w14:paraId="0BE642EB">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25" w:type="dxa"/>
            <w:tcBorders>
              <w:right w:val="single" w:color="auto" w:sz="4" w:space="0"/>
            </w:tcBorders>
            <w:vAlign w:val="center"/>
          </w:tcPr>
          <w:p w14:paraId="78971C7D">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499" w:type="dxa"/>
            <w:tcBorders>
              <w:left w:val="single" w:color="auto" w:sz="4" w:space="0"/>
            </w:tcBorders>
            <w:vAlign w:val="center"/>
          </w:tcPr>
          <w:p w14:paraId="1BA9D281">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r w14:paraId="3DCB6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94" w:type="dxa"/>
            <w:vAlign w:val="center"/>
          </w:tcPr>
          <w:p w14:paraId="16A16B07">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3361" w:type="dxa"/>
            <w:vAlign w:val="center"/>
          </w:tcPr>
          <w:p w14:paraId="64FDDCB6">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935" w:type="dxa"/>
            <w:vAlign w:val="center"/>
          </w:tcPr>
          <w:p w14:paraId="4A498093">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25" w:type="dxa"/>
            <w:tcBorders>
              <w:right w:val="single" w:color="auto" w:sz="4" w:space="0"/>
            </w:tcBorders>
            <w:vAlign w:val="center"/>
          </w:tcPr>
          <w:p w14:paraId="770AB19A">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499" w:type="dxa"/>
            <w:tcBorders>
              <w:left w:val="single" w:color="auto" w:sz="4" w:space="0"/>
            </w:tcBorders>
            <w:vAlign w:val="center"/>
          </w:tcPr>
          <w:p w14:paraId="7F278CD2">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r w14:paraId="3DA20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94" w:type="dxa"/>
            <w:vAlign w:val="center"/>
          </w:tcPr>
          <w:p w14:paraId="2E15C766">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3361" w:type="dxa"/>
            <w:vAlign w:val="center"/>
          </w:tcPr>
          <w:p w14:paraId="460E52D1">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935" w:type="dxa"/>
            <w:vAlign w:val="center"/>
          </w:tcPr>
          <w:p w14:paraId="60D6D501">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25" w:type="dxa"/>
            <w:tcBorders>
              <w:right w:val="single" w:color="auto" w:sz="4" w:space="0"/>
            </w:tcBorders>
            <w:vAlign w:val="center"/>
          </w:tcPr>
          <w:p w14:paraId="7F92A152">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499" w:type="dxa"/>
            <w:tcBorders>
              <w:left w:val="single" w:color="auto" w:sz="4" w:space="0"/>
            </w:tcBorders>
            <w:vAlign w:val="center"/>
          </w:tcPr>
          <w:p w14:paraId="5E304095">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r w14:paraId="25AFA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94" w:type="dxa"/>
            <w:vAlign w:val="center"/>
          </w:tcPr>
          <w:p w14:paraId="586E4B16">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3361" w:type="dxa"/>
            <w:vAlign w:val="center"/>
          </w:tcPr>
          <w:p w14:paraId="70FFE7C2">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935" w:type="dxa"/>
            <w:vAlign w:val="center"/>
          </w:tcPr>
          <w:p w14:paraId="127F62F4">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25" w:type="dxa"/>
            <w:tcBorders>
              <w:right w:val="single" w:color="auto" w:sz="4" w:space="0"/>
            </w:tcBorders>
            <w:vAlign w:val="center"/>
          </w:tcPr>
          <w:p w14:paraId="321EE010">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499" w:type="dxa"/>
            <w:tcBorders>
              <w:left w:val="single" w:color="auto" w:sz="4" w:space="0"/>
            </w:tcBorders>
            <w:vAlign w:val="center"/>
          </w:tcPr>
          <w:p w14:paraId="36CED3D0">
            <w:pPr>
              <w:pStyle w:val="92"/>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bl>
    <w:p w14:paraId="2A3A9AAA">
      <w:pPr>
        <w:pageBreakBefore w:val="0"/>
        <w:widowControl w:val="0"/>
        <w:wordWrap w:val="0"/>
        <w:topLinePunct w:val="0"/>
        <w:bidi w:val="0"/>
        <w:snapToGrid w:val="0"/>
        <w:spacing w:before="120" w:beforeLines="50" w:line="400" w:lineRule="exact"/>
        <w:ind w:firstLine="480"/>
        <w:rPr>
          <w:rFonts w:hint="eastAsia" w:ascii="宋体" w:hAnsi="宋体" w:eastAsia="宋体" w:cs="宋体"/>
          <w:color w:val="auto"/>
          <w:sz w:val="24"/>
          <w:highlight w:val="none"/>
        </w:rPr>
      </w:pPr>
    </w:p>
    <w:p w14:paraId="100DA6F0">
      <w:pPr>
        <w:overflowPunct w:val="0"/>
        <w:autoSpaceDE w:val="0"/>
        <w:autoSpaceDN w:val="0"/>
        <w:spacing w:before="156" w:beforeLines="50" w:line="480" w:lineRule="exact"/>
        <w:ind w:firstLine="5589" w:firstLineChars="2300"/>
        <w:jc w:val="left"/>
        <w:rPr>
          <w:rFonts w:hint="eastAsia" w:ascii="宋体" w:hAnsi="宋体" w:cs="宋体"/>
          <w:color w:val="auto"/>
          <w:sz w:val="24"/>
          <w:highlight w:val="none"/>
          <w:u w:val="singl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（盖章）</w:t>
      </w:r>
      <w:r>
        <w:rPr>
          <w:rFonts w:hint="eastAsia" w:ascii="宋体" w:hAnsi="宋体" w:cs="宋体"/>
          <w:color w:val="auto"/>
          <w:sz w:val="24"/>
          <w:highlight w:val="none"/>
          <w:lang w:bidi="ar"/>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bidi="ar"/>
        </w:rPr>
        <w:t xml:space="preserve">                         </w:t>
      </w:r>
    </w:p>
    <w:p w14:paraId="740C90C5">
      <w:pPr>
        <w:pageBreakBefore w:val="0"/>
        <w:widowControl w:val="0"/>
        <w:wordWrap w:val="0"/>
        <w:topLinePunct w:val="0"/>
        <w:bidi w:val="0"/>
        <w:spacing w:line="360" w:lineRule="auto"/>
        <w:ind w:firstLine="480"/>
        <w:rPr>
          <w:rFonts w:hint="eastAsia" w:ascii="宋体" w:hAnsi="宋体" w:eastAsia="宋体" w:cs="宋体"/>
          <w:b/>
          <w:color w:val="auto"/>
          <w:sz w:val="24"/>
          <w:highlight w:val="none"/>
        </w:rPr>
      </w:pPr>
      <w:r>
        <w:rPr>
          <w:rFonts w:hint="eastAsia" w:ascii="宋体" w:hAnsi="宋体" w:cs="宋体"/>
          <w:color w:val="auto"/>
          <w:sz w:val="24"/>
          <w:highlight w:val="none"/>
        </w:rPr>
        <w:t xml:space="preserve">                          法定代表人或被授权人签字（或盖章）</w:t>
      </w:r>
      <w:r>
        <w:rPr>
          <w:rFonts w:hint="eastAsia" w:ascii="宋体" w:hAnsi="宋体" w:cs="宋体"/>
          <w:color w:val="auto"/>
          <w:sz w:val="24"/>
          <w:highlight w:val="none"/>
          <w:lang w:bidi="ar"/>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bidi="ar"/>
        </w:rPr>
        <w:t>日期：</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年</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月</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日</w:t>
      </w:r>
    </w:p>
    <w:p w14:paraId="7F5ED896">
      <w:pPr>
        <w:pStyle w:val="2"/>
        <w:ind w:firstLine="241"/>
        <w:rPr>
          <w:rFonts w:hint="eastAsia" w:ascii="宋体" w:hAnsi="宋体" w:cs="宋体"/>
          <w:b/>
          <w:bCs/>
          <w:color w:val="auto"/>
          <w:sz w:val="24"/>
          <w:highlight w:val="none"/>
        </w:rPr>
      </w:pPr>
    </w:p>
    <w:p w14:paraId="5BBA3B54">
      <w:pPr>
        <w:rPr>
          <w:rFonts w:hint="eastAsia" w:ascii="宋体" w:hAnsi="宋体" w:cs="宋体"/>
          <w:b/>
          <w:bCs/>
          <w:color w:val="auto"/>
          <w:sz w:val="24"/>
          <w:highlight w:val="none"/>
        </w:rPr>
      </w:pPr>
    </w:p>
    <w:p w14:paraId="36826BD6">
      <w:pPr>
        <w:pStyle w:val="5"/>
        <w:rPr>
          <w:rFonts w:hint="eastAsia" w:ascii="宋体" w:hAnsi="宋体" w:cs="宋体"/>
          <w:b w:val="0"/>
          <w:bCs w:val="0"/>
          <w:color w:val="auto"/>
          <w:sz w:val="24"/>
          <w:highlight w:val="none"/>
        </w:rPr>
      </w:pPr>
    </w:p>
    <w:p w14:paraId="6670176E">
      <w:pPr>
        <w:rPr>
          <w:rFonts w:hint="eastAsia" w:ascii="宋体" w:hAnsi="宋体" w:cs="宋体"/>
          <w:b/>
          <w:bCs/>
          <w:color w:val="auto"/>
          <w:sz w:val="24"/>
          <w:highlight w:val="none"/>
        </w:rPr>
      </w:pPr>
    </w:p>
    <w:p w14:paraId="19C9B29B">
      <w:pPr>
        <w:pStyle w:val="5"/>
        <w:rPr>
          <w:rFonts w:hint="eastAsia" w:ascii="宋体" w:hAnsi="宋体" w:cs="宋体"/>
          <w:b w:val="0"/>
          <w:bCs w:val="0"/>
          <w:color w:val="auto"/>
          <w:sz w:val="24"/>
          <w:highlight w:val="none"/>
        </w:rPr>
      </w:pPr>
    </w:p>
    <w:p w14:paraId="2C1B8C78">
      <w:pPr>
        <w:rPr>
          <w:rFonts w:hint="eastAsia" w:ascii="宋体" w:hAnsi="宋体" w:cs="宋体"/>
          <w:b/>
          <w:bCs/>
          <w:color w:val="auto"/>
          <w:sz w:val="24"/>
          <w:highlight w:val="none"/>
        </w:rPr>
      </w:pPr>
    </w:p>
    <w:p w14:paraId="69B15D8F">
      <w:pPr>
        <w:pStyle w:val="5"/>
        <w:rPr>
          <w:rFonts w:hint="eastAsia" w:ascii="宋体" w:hAnsi="宋体" w:cs="宋体"/>
          <w:b w:val="0"/>
          <w:bCs w:val="0"/>
          <w:color w:val="auto"/>
          <w:sz w:val="24"/>
          <w:highlight w:val="none"/>
        </w:rPr>
      </w:pPr>
    </w:p>
    <w:p w14:paraId="4D211A8C">
      <w:pPr>
        <w:rPr>
          <w:rFonts w:hint="eastAsia" w:ascii="宋体" w:hAnsi="宋体" w:cs="宋体"/>
          <w:b/>
          <w:bCs/>
          <w:color w:val="auto"/>
          <w:sz w:val="24"/>
          <w:highlight w:val="none"/>
        </w:rPr>
      </w:pPr>
    </w:p>
    <w:p w14:paraId="25A4BD26">
      <w:pPr>
        <w:pStyle w:val="2"/>
        <w:rPr>
          <w:rFonts w:hint="eastAsia"/>
          <w:highlight w:val="none"/>
        </w:rPr>
      </w:pPr>
    </w:p>
    <w:p w14:paraId="0536FEE2">
      <w:pPr>
        <w:rPr>
          <w:rFonts w:hint="eastAsia"/>
          <w:color w:val="auto"/>
          <w:highlight w:val="none"/>
        </w:rPr>
      </w:pPr>
    </w:p>
    <w:p w14:paraId="582507E8">
      <w:pPr>
        <w:wordWrap w:val="0"/>
        <w:overflowPunct w:val="0"/>
        <w:autoSpaceDE w:val="0"/>
        <w:autoSpaceDN w:val="0"/>
        <w:snapToGrid w:val="0"/>
        <w:spacing w:before="50" w:after="156" w:afterLines="50" w:line="360" w:lineRule="auto"/>
        <w:rPr>
          <w:rFonts w:hint="eastAsia" w:ascii="宋体" w:hAnsi="宋体" w:cs="宋体"/>
          <w:b/>
          <w:color w:val="auto"/>
          <w:sz w:val="24"/>
          <w:highlight w:val="none"/>
        </w:rPr>
      </w:pPr>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w:t>
      </w:r>
      <w:r>
        <w:rPr>
          <w:rFonts w:hint="eastAsia" w:ascii="宋体" w:hAnsi="宋体" w:cs="宋体"/>
          <w:b/>
          <w:color w:val="auto"/>
          <w:sz w:val="24"/>
          <w:highlight w:val="none"/>
        </w:rPr>
        <w:t>投标函格式：</w:t>
      </w:r>
    </w:p>
    <w:p w14:paraId="44140EF4">
      <w:pPr>
        <w:wordWrap w:val="0"/>
        <w:overflowPunct w:val="0"/>
        <w:autoSpaceDE w:val="0"/>
        <w:autoSpaceDN w:val="0"/>
        <w:snapToGrid w:val="0"/>
        <w:spacing w:before="156" w:beforeLines="50" w:after="50" w:line="360" w:lineRule="auto"/>
        <w:ind w:firstLine="562"/>
        <w:jc w:val="center"/>
        <w:rPr>
          <w:rFonts w:hint="eastAsia" w:ascii="宋体" w:hAnsi="宋体" w:cs="宋体"/>
          <w:b/>
          <w:color w:val="auto"/>
          <w:sz w:val="24"/>
          <w:highlight w:val="none"/>
        </w:rPr>
      </w:pPr>
      <w:r>
        <w:rPr>
          <w:rFonts w:hint="eastAsia" w:ascii="宋体" w:hAnsi="宋体" w:cs="宋体"/>
          <w:b/>
          <w:color w:val="auto"/>
          <w:sz w:val="28"/>
          <w:szCs w:val="28"/>
          <w:highlight w:val="none"/>
          <w:lang w:val="en-US" w:eastAsia="zh-CN"/>
        </w:rPr>
        <w:t>竞争性磋商</w:t>
      </w:r>
      <w:r>
        <w:rPr>
          <w:rFonts w:hint="eastAsia" w:ascii="宋体" w:hAnsi="宋体" w:cs="宋体"/>
          <w:b/>
          <w:color w:val="auto"/>
          <w:sz w:val="28"/>
          <w:szCs w:val="28"/>
          <w:highlight w:val="none"/>
        </w:rPr>
        <w:t>函</w:t>
      </w:r>
    </w:p>
    <w:p w14:paraId="5C2E4A4E">
      <w:pPr>
        <w:wordWrap w:val="0"/>
        <w:overflowPunct w:val="0"/>
        <w:autoSpaceDE w:val="0"/>
        <w:autoSpaceDN w:val="0"/>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2E95F7DA">
      <w:pPr>
        <w:wordWrap w:val="0"/>
        <w:overflowPunct w:val="0"/>
        <w:autoSpaceDE w:val="0"/>
        <w:autoSpaceDN w:val="0"/>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w:t>
      </w:r>
      <w:r>
        <w:rPr>
          <w:rFonts w:hint="eastAsia" w:ascii="宋体" w:hAnsi="宋体" w:cs="宋体"/>
          <w:color w:val="auto"/>
          <w:sz w:val="24"/>
          <w:highlight w:val="none"/>
          <w:lang w:val="en-US" w:eastAsia="zh-CN"/>
        </w:rPr>
        <w:t>采购公告</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w:t>
      </w:r>
      <w:r>
        <w:rPr>
          <w:rFonts w:hint="eastAsia" w:ascii="宋体" w:hAnsi="宋体" w:cs="宋体"/>
          <w:color w:val="auto"/>
          <w:sz w:val="24"/>
          <w:highlight w:val="none"/>
          <w:lang w:eastAsia="zh-CN"/>
        </w:rPr>
        <w:t>资格文件、</w:t>
      </w:r>
      <w:r>
        <w:rPr>
          <w:rFonts w:hint="eastAsia" w:ascii="宋体" w:hAnsi="宋体" w:cs="宋体"/>
          <w:color w:val="auto"/>
          <w:sz w:val="24"/>
          <w:highlight w:val="none"/>
        </w:rPr>
        <w:t>商务技术文件、报价文件正本各一份。</w:t>
      </w:r>
    </w:p>
    <w:p w14:paraId="52523D18">
      <w:pPr>
        <w:wordWrap w:val="0"/>
        <w:overflowPunct w:val="0"/>
        <w:autoSpaceDE w:val="0"/>
        <w:autoSpaceDN w:val="0"/>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据此函，签字代表宣布同意如下：</w:t>
      </w:r>
    </w:p>
    <w:p w14:paraId="2ACEB511">
      <w:pPr>
        <w:wordWrap w:val="0"/>
        <w:overflowPunct w:val="0"/>
        <w:autoSpaceDE w:val="0"/>
        <w:autoSpaceDN w:val="0"/>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1.投标人已详细审查全部“</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”，包括修改文件（如有的话）以及全部参考资料和有关附件，已经了解我方对于</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、采购过程、采购结果有依法进行询问、质疑、投诉的权利及相关渠道和要求。</w:t>
      </w:r>
    </w:p>
    <w:p w14:paraId="36636101">
      <w:pPr>
        <w:wordWrap w:val="0"/>
        <w:overflowPunct w:val="0"/>
        <w:autoSpaceDE w:val="0"/>
        <w:autoSpaceDN w:val="0"/>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2.投标人在投标之前已经与贵方进行了充分的沟通，完全理解并接受</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的各项规定和要求，对</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的合理性、合法性不再有异议。</w:t>
      </w:r>
    </w:p>
    <w:p w14:paraId="718C9474">
      <w:pPr>
        <w:wordWrap w:val="0"/>
        <w:overflowPunct w:val="0"/>
        <w:autoSpaceDE w:val="0"/>
        <w:autoSpaceDN w:val="0"/>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3.本投标有效期自开标日起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60</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en-US" w:eastAsia="zh-CN"/>
        </w:rPr>
        <w:t>天</w:t>
      </w:r>
      <w:r>
        <w:rPr>
          <w:rFonts w:hint="eastAsia" w:ascii="宋体" w:hAnsi="宋体" w:cs="宋体"/>
          <w:color w:val="auto"/>
          <w:sz w:val="24"/>
          <w:highlight w:val="none"/>
        </w:rPr>
        <w:t>。</w:t>
      </w:r>
    </w:p>
    <w:p w14:paraId="4CE23DBC">
      <w:pPr>
        <w:wordWrap w:val="0"/>
        <w:overflowPunct w:val="0"/>
        <w:autoSpaceDE w:val="0"/>
        <w:autoSpaceDN w:val="0"/>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4.如中标，本投标文件至本项目合同履行完毕止均保持有效，本投标人将按“</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”及政府采购法律、法规的规定履行合同责任和义务。</w:t>
      </w:r>
    </w:p>
    <w:p w14:paraId="1F5F1165">
      <w:pPr>
        <w:wordWrap w:val="0"/>
        <w:overflowPunct w:val="0"/>
        <w:autoSpaceDE w:val="0"/>
        <w:autoSpaceDN w:val="0"/>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5.投标人同意按照贵方要求提供与投标有关的一切数据或资料。</w:t>
      </w:r>
    </w:p>
    <w:p w14:paraId="6EED2AD0">
      <w:pPr>
        <w:wordWrap w:val="0"/>
        <w:overflowPunct w:val="0"/>
        <w:autoSpaceDE w:val="0"/>
        <w:autoSpaceDN w:val="0"/>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6.与本投标有关的一切正式往来信函请寄：</w:t>
      </w:r>
    </w:p>
    <w:p w14:paraId="200AE32F">
      <w:pPr>
        <w:wordWrap w:val="0"/>
        <w:overflowPunct w:val="0"/>
        <w:autoSpaceDE w:val="0"/>
        <w:autoSpaceDN w:val="0"/>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电话：</w:t>
      </w:r>
      <w:r>
        <w:rPr>
          <w:rFonts w:hint="eastAsia" w:ascii="宋体" w:hAnsi="宋体" w:cs="宋体"/>
          <w:color w:val="auto"/>
          <w:sz w:val="24"/>
          <w:highlight w:val="none"/>
          <w:u w:val="single"/>
        </w:rPr>
        <w:t xml:space="preserve">                   </w:t>
      </w:r>
    </w:p>
    <w:p w14:paraId="4C6D52FF">
      <w:pPr>
        <w:wordWrap w:val="0"/>
        <w:overflowPunct w:val="0"/>
        <w:autoSpaceDE w:val="0"/>
        <w:autoSpaceDN w:val="0"/>
        <w:snapToGrid w:val="0"/>
        <w:spacing w:line="360" w:lineRule="auto"/>
        <w:ind w:firstLine="480"/>
        <w:rPr>
          <w:rFonts w:hint="eastAsia" w:ascii="宋体" w:hAnsi="宋体" w:cs="宋体"/>
          <w:color w:val="auto"/>
          <w:sz w:val="24"/>
          <w:highlight w:val="none"/>
          <w:u w:val="single"/>
        </w:rPr>
      </w:pP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投标人代表姓名：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p>
    <w:p w14:paraId="4D990ED2">
      <w:pPr>
        <w:wordWrap w:val="0"/>
        <w:overflowPunct w:val="0"/>
        <w:autoSpaceDE w:val="0"/>
        <w:autoSpaceDN w:val="0"/>
        <w:snapToGrid w:val="0"/>
        <w:spacing w:line="360" w:lineRule="auto"/>
        <w:ind w:firstLine="480"/>
        <w:rPr>
          <w:rFonts w:hint="eastAsia" w:ascii="宋体" w:hAnsi="宋体" w:cs="宋体"/>
          <w:color w:val="auto"/>
          <w:sz w:val="24"/>
          <w:highlight w:val="none"/>
          <w:u w:val="single"/>
        </w:rPr>
      </w:pPr>
      <w:r>
        <w:rPr>
          <w:rFonts w:hint="eastAsia" w:ascii="宋体" w:hAnsi="宋体" w:cs="宋体"/>
          <w:color w:val="auto"/>
          <w:sz w:val="24"/>
          <w:highlight w:val="none"/>
        </w:rPr>
        <w:t>投标人（盖章）</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p>
    <w:p w14:paraId="02449429">
      <w:pPr>
        <w:wordWrap w:val="0"/>
        <w:overflowPunct w:val="0"/>
        <w:autoSpaceDE w:val="0"/>
        <w:autoSpaceDN w:val="0"/>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银行帐号：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782F791">
      <w:pPr>
        <w:wordWrap w:val="0"/>
        <w:overflowPunct w:val="0"/>
        <w:autoSpaceDE w:val="0"/>
        <w:autoSpaceDN w:val="0"/>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法定代表人签字（或盖章）：</w:t>
      </w:r>
      <w:r>
        <w:rPr>
          <w:rFonts w:hint="eastAsia" w:ascii="宋体" w:hAnsi="宋体" w:cs="宋体"/>
          <w:color w:val="auto"/>
          <w:sz w:val="24"/>
          <w:highlight w:val="none"/>
          <w:u w:val="single"/>
        </w:rPr>
        <w:t xml:space="preserve">                 </w:t>
      </w:r>
    </w:p>
    <w:p w14:paraId="6C8AAA80">
      <w:pPr>
        <w:wordWrap w:val="0"/>
        <w:overflowPunct w:val="0"/>
        <w:autoSpaceDE w:val="0"/>
        <w:autoSpaceDN w:val="0"/>
        <w:snapToGrid w:val="0"/>
        <w:spacing w:line="360" w:lineRule="auto"/>
        <w:ind w:firstLine="480"/>
        <w:rPr>
          <w:rFonts w:hint="eastAsia" w:ascii="宋体" w:hAnsi="宋体" w:cs="宋体"/>
          <w:color w:val="auto"/>
          <w:sz w:val="24"/>
          <w:highlight w:val="none"/>
          <w:u w:val="single"/>
        </w:rPr>
      </w:pPr>
      <w:r>
        <w:rPr>
          <w:rFonts w:hint="eastAsia" w:ascii="宋体" w:hAnsi="宋体" w:cs="宋体"/>
          <w:color w:val="auto"/>
          <w:sz w:val="24"/>
          <w:highlight w:val="none"/>
        </w:rPr>
        <w:t>授权代表签字</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p>
    <w:p w14:paraId="72D9B449">
      <w:pPr>
        <w:wordWrap w:val="0"/>
        <w:overflowPunct w:val="0"/>
        <w:autoSpaceDE w:val="0"/>
        <w:autoSpaceDN w:val="0"/>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lang w:eastAsia="zh-CN"/>
        </w:rPr>
        <w:t>：</w:t>
      </w:r>
      <w:r>
        <w:rPr>
          <w:rFonts w:hint="eastAsia" w:ascii="宋体" w:hAnsi="宋体" w:cs="宋体"/>
          <w:color w:val="auto"/>
          <w:sz w:val="24"/>
          <w:highlight w:val="none"/>
        </w:rPr>
        <w:t>_____年___月___日</w:t>
      </w:r>
    </w:p>
    <w:p w14:paraId="647115F7">
      <w:pPr>
        <w:pStyle w:val="2"/>
        <w:rPr>
          <w:rFonts w:hint="eastAsia"/>
          <w:highlight w:val="none"/>
        </w:rPr>
      </w:pPr>
    </w:p>
    <w:p w14:paraId="69F040CC">
      <w:pPr>
        <w:pStyle w:val="23"/>
        <w:rPr>
          <w:rFonts w:hint="eastAsia"/>
          <w:highlight w:val="none"/>
        </w:rPr>
      </w:pPr>
    </w:p>
    <w:p w14:paraId="0808DBF0">
      <w:pPr>
        <w:wordWrap w:val="0"/>
        <w:overflowPunct w:val="0"/>
        <w:autoSpaceDE w:val="0"/>
        <w:autoSpaceDN w:val="0"/>
        <w:snapToGrid w:val="0"/>
        <w:spacing w:line="360" w:lineRule="auto"/>
        <w:ind w:firstLine="480"/>
        <w:rPr>
          <w:rFonts w:hint="eastAsia" w:ascii="宋体" w:hAnsi="宋体" w:cs="宋体"/>
          <w:b/>
          <w:bCs/>
          <w:color w:val="auto"/>
          <w:sz w:val="24"/>
          <w:highlight w:val="none"/>
        </w:rPr>
      </w:pPr>
    </w:p>
    <w:p w14:paraId="49681C1E">
      <w:pPr>
        <w:pStyle w:val="2"/>
        <w:rPr>
          <w:rFonts w:hint="eastAsia"/>
          <w:highlight w:val="none"/>
        </w:rPr>
      </w:pPr>
    </w:p>
    <w:p w14:paraId="5FB5B63A">
      <w:pPr>
        <w:wordWrap w:val="0"/>
        <w:overflowPunct w:val="0"/>
        <w:autoSpaceDE w:val="0"/>
        <w:autoSpaceDN w:val="0"/>
        <w:snapToGrid w:val="0"/>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lang w:val="en-US" w:eastAsia="zh-CN"/>
        </w:rPr>
        <w:t>13.</w:t>
      </w:r>
      <w:r>
        <w:rPr>
          <w:rFonts w:hint="eastAsia" w:ascii="宋体" w:hAnsi="宋体" w:cs="宋体"/>
          <w:b/>
          <w:color w:val="auto"/>
          <w:sz w:val="24"/>
          <w:highlight w:val="none"/>
        </w:rPr>
        <w:t>开标一览表</w:t>
      </w:r>
    </w:p>
    <w:p w14:paraId="28527EEB">
      <w:pPr>
        <w:wordWrap w:val="0"/>
        <w:snapToGrid w:val="0"/>
        <w:spacing w:after="10"/>
        <w:ind w:firstLine="643"/>
        <w:jc w:val="center"/>
        <w:rPr>
          <w:rFonts w:hint="eastAsia" w:ascii="宋体" w:hAnsi="宋体" w:eastAsia="宋体" w:cs="宋体"/>
          <w:b/>
          <w:color w:val="auto"/>
          <w:sz w:val="32"/>
          <w:highlight w:val="none"/>
          <w:lang w:eastAsia="zh-CN"/>
        </w:rPr>
      </w:pPr>
      <w:r>
        <w:rPr>
          <w:rFonts w:hint="eastAsia" w:ascii="宋体" w:hAnsi="宋体" w:cs="宋体"/>
          <w:b/>
          <w:color w:val="auto"/>
          <w:sz w:val="32"/>
          <w:highlight w:val="none"/>
        </w:rPr>
        <w:t>开标一览表</w:t>
      </w:r>
      <w:r>
        <w:rPr>
          <w:rFonts w:hint="eastAsia" w:ascii="宋体" w:hAnsi="宋体" w:cs="宋体"/>
          <w:b/>
          <w:color w:val="auto"/>
          <w:sz w:val="32"/>
          <w:highlight w:val="none"/>
          <w:lang w:eastAsia="zh-CN"/>
        </w:rPr>
        <w:t>（</w:t>
      </w:r>
      <w:r>
        <w:rPr>
          <w:rFonts w:hint="eastAsia" w:ascii="宋体" w:hAnsi="宋体" w:cs="宋体"/>
          <w:b/>
          <w:color w:val="auto"/>
          <w:sz w:val="32"/>
          <w:highlight w:val="none"/>
          <w:lang w:val="en-US" w:eastAsia="zh-CN"/>
        </w:rPr>
        <w:t>第一轮报价</w:t>
      </w:r>
      <w:r>
        <w:rPr>
          <w:rFonts w:hint="eastAsia" w:ascii="宋体" w:hAnsi="宋体" w:cs="宋体"/>
          <w:b/>
          <w:color w:val="auto"/>
          <w:sz w:val="32"/>
          <w:highlight w:val="none"/>
          <w:lang w:eastAsia="zh-CN"/>
        </w:rPr>
        <w:t>）</w:t>
      </w:r>
    </w:p>
    <w:p w14:paraId="630C573F">
      <w:pPr>
        <w:wordWrap w:val="0"/>
        <w:snapToGrid w:val="0"/>
        <w:spacing w:line="360" w:lineRule="exact"/>
        <w:ind w:firstLine="480"/>
        <w:rPr>
          <w:rFonts w:hint="eastAsia" w:ascii="宋体" w:hAnsi="宋体" w:cs="宋体"/>
          <w:color w:val="auto"/>
          <w:sz w:val="24"/>
          <w:highlight w:val="none"/>
        </w:rPr>
      </w:pPr>
    </w:p>
    <w:p w14:paraId="214DA191">
      <w:pPr>
        <w:wordWrap w:val="0"/>
        <w:snapToGrid w:val="0"/>
        <w:spacing w:line="360" w:lineRule="exact"/>
        <w:ind w:firstLine="48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p>
    <w:p w14:paraId="614570E0">
      <w:pPr>
        <w:wordWrap w:val="0"/>
        <w:snapToGrid w:val="0"/>
        <w:spacing w:line="360" w:lineRule="exact"/>
        <w:ind w:firstLine="480"/>
        <w:rPr>
          <w:rFonts w:hint="eastAsia"/>
          <w:color w:val="auto"/>
          <w:highlight w:val="none"/>
        </w:rPr>
      </w:pPr>
      <w:r>
        <w:rPr>
          <w:rFonts w:hint="eastAsia" w:ascii="宋体" w:hAnsi="宋体" w:cs="宋体"/>
          <w:color w:val="auto"/>
          <w:sz w:val="24"/>
          <w:highlight w:val="none"/>
          <w:lang w:val="en-US" w:eastAsia="zh-CN"/>
        </w:rPr>
        <w:t>标项：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金额单位：人民币（元）</w:t>
      </w:r>
    </w:p>
    <w:tbl>
      <w:tblPr>
        <w:tblStyle w:val="28"/>
        <w:tblW w:w="986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2610"/>
        <w:gridCol w:w="6080"/>
      </w:tblGrid>
      <w:tr w14:paraId="66C4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shd w:val="clear" w:color="auto" w:fill="EEECE1"/>
            <w:vAlign w:val="center"/>
          </w:tcPr>
          <w:p w14:paraId="62BF3960">
            <w:pPr>
              <w:pStyle w:val="2"/>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序号</w:t>
            </w:r>
          </w:p>
        </w:tc>
        <w:tc>
          <w:tcPr>
            <w:tcW w:w="2610" w:type="dxa"/>
            <w:shd w:val="clear" w:color="auto" w:fill="EEECE1"/>
            <w:vAlign w:val="center"/>
          </w:tcPr>
          <w:p w14:paraId="0E363941">
            <w:pPr>
              <w:pStyle w:val="2"/>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项目</w:t>
            </w:r>
          </w:p>
        </w:tc>
        <w:tc>
          <w:tcPr>
            <w:tcW w:w="6080" w:type="dxa"/>
            <w:shd w:val="clear" w:color="auto" w:fill="EEECE1"/>
            <w:vAlign w:val="top"/>
          </w:tcPr>
          <w:p w14:paraId="3081BBFE">
            <w:pPr>
              <w:pStyle w:val="2"/>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内容</w:t>
            </w:r>
          </w:p>
        </w:tc>
      </w:tr>
      <w:tr w14:paraId="5002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restart"/>
            <w:vAlign w:val="center"/>
          </w:tcPr>
          <w:p w14:paraId="73D98BEC">
            <w:pPr>
              <w:pStyle w:val="2"/>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1</w:t>
            </w:r>
          </w:p>
        </w:tc>
        <w:tc>
          <w:tcPr>
            <w:tcW w:w="2610" w:type="dxa"/>
            <w:vMerge w:val="restart"/>
            <w:vAlign w:val="center"/>
          </w:tcPr>
          <w:p w14:paraId="6D40BB16">
            <w:pPr>
              <w:pStyle w:val="2"/>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投标报价</w:t>
            </w:r>
          </w:p>
        </w:tc>
        <w:tc>
          <w:tcPr>
            <w:tcW w:w="6080" w:type="dxa"/>
            <w:vAlign w:val="top"/>
          </w:tcPr>
          <w:p w14:paraId="27E68DCA">
            <w:pPr>
              <w:pStyle w:val="2"/>
              <w:keepNext w:val="0"/>
              <w:keepLines w:val="0"/>
              <w:pageBreakBefore w:val="0"/>
              <w:widowControl w:val="0"/>
              <w:kinsoku/>
              <w:wordWrap w:val="0"/>
              <w:overflowPunct w:val="0"/>
              <w:topLinePunct w:val="0"/>
              <w:autoSpaceDE w:val="0"/>
              <w:autoSpaceDN w:val="0"/>
              <w:bidi w:val="0"/>
              <w:adjustRightInd/>
              <w:snapToGrid/>
              <w:spacing w:before="313" w:beforeLines="100" w:after="157" w:afterLines="50" w:line="400" w:lineRule="exact"/>
              <w:ind w:left="0" w:leftChars="0" w:right="0" w:rightChars="0" w:firstLine="0" w:firstLineChars="0"/>
              <w:jc w:val="both"/>
              <w:textAlignment w:val="auto"/>
              <w:outlineLvl w:val="9"/>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bCs/>
                <w:color w:val="auto"/>
                <w:sz w:val="24"/>
                <w:szCs w:val="22"/>
                <w:highlight w:val="none"/>
                <w:lang w:eastAsia="zh-CN"/>
              </w:rPr>
              <w:t>人民币小写</w:t>
            </w:r>
            <w:r>
              <w:rPr>
                <w:rFonts w:hint="eastAsia" w:ascii="宋体" w:hAnsi="宋体" w:eastAsia="宋体" w:cs="宋体"/>
                <w:b/>
                <w:bCs/>
                <w:color w:val="auto"/>
                <w:sz w:val="24"/>
                <w:szCs w:val="22"/>
                <w:highlight w:val="none"/>
              </w:rPr>
              <w:t>：</w:t>
            </w:r>
            <w:r>
              <w:rPr>
                <w:rFonts w:hint="eastAsia" w:ascii="宋体" w:hAnsi="宋体" w:eastAsia="宋体" w:cs="宋体"/>
                <w:b/>
                <w:bCs/>
                <w:color w:val="auto"/>
                <w:sz w:val="24"/>
                <w:szCs w:val="22"/>
                <w:highlight w:val="none"/>
                <w:u w:val="single"/>
              </w:rPr>
              <w:t xml:space="preserve">                     </w:t>
            </w:r>
            <w:r>
              <w:rPr>
                <w:rFonts w:hint="eastAsia" w:ascii="宋体" w:hAnsi="宋体" w:eastAsia="宋体" w:cs="宋体"/>
                <w:b/>
                <w:bCs/>
                <w:color w:val="auto"/>
                <w:sz w:val="24"/>
                <w:szCs w:val="22"/>
                <w:highlight w:val="none"/>
                <w:u w:val="single"/>
                <w:lang w:val="en-US" w:eastAsia="zh-CN"/>
              </w:rPr>
              <w:t xml:space="preserve">   </w:t>
            </w:r>
            <w:r>
              <w:rPr>
                <w:rFonts w:hint="eastAsia" w:ascii="宋体" w:hAnsi="宋体" w:eastAsia="宋体" w:cs="宋体"/>
                <w:b/>
                <w:bCs/>
                <w:color w:val="auto"/>
                <w:sz w:val="24"/>
                <w:szCs w:val="22"/>
                <w:highlight w:val="none"/>
                <w:u w:val="single"/>
              </w:rPr>
              <w:t xml:space="preserve"> </w:t>
            </w:r>
          </w:p>
        </w:tc>
      </w:tr>
      <w:tr w14:paraId="3A6A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continue"/>
            <w:vAlign w:val="center"/>
          </w:tcPr>
          <w:p w14:paraId="69636AAA">
            <w:pPr>
              <w:pStyle w:val="2"/>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p>
        </w:tc>
        <w:tc>
          <w:tcPr>
            <w:tcW w:w="2610" w:type="dxa"/>
            <w:vMerge w:val="continue"/>
            <w:vAlign w:val="center"/>
          </w:tcPr>
          <w:p w14:paraId="10B9D5B4">
            <w:pPr>
              <w:pStyle w:val="2"/>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p>
        </w:tc>
        <w:tc>
          <w:tcPr>
            <w:tcW w:w="6080" w:type="dxa"/>
            <w:vAlign w:val="top"/>
          </w:tcPr>
          <w:p w14:paraId="214BB63B">
            <w:pPr>
              <w:pStyle w:val="2"/>
              <w:keepNext w:val="0"/>
              <w:keepLines w:val="0"/>
              <w:pageBreakBefore w:val="0"/>
              <w:widowControl w:val="0"/>
              <w:kinsoku/>
              <w:wordWrap w:val="0"/>
              <w:overflowPunct w:val="0"/>
              <w:topLinePunct w:val="0"/>
              <w:autoSpaceDE w:val="0"/>
              <w:autoSpaceDN w:val="0"/>
              <w:bidi w:val="0"/>
              <w:adjustRightInd/>
              <w:snapToGrid/>
              <w:spacing w:before="313" w:beforeLines="100" w:after="157" w:afterLines="50" w:line="400" w:lineRule="exact"/>
              <w:ind w:left="0" w:leftChars="0" w:right="0" w:rightChars="0" w:firstLine="0" w:firstLineChars="0"/>
              <w:jc w:val="both"/>
              <w:textAlignment w:val="auto"/>
              <w:outlineLvl w:val="9"/>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bCs/>
                <w:color w:val="auto"/>
                <w:sz w:val="24"/>
                <w:szCs w:val="22"/>
                <w:highlight w:val="none"/>
                <w:lang w:eastAsia="zh-CN"/>
              </w:rPr>
              <w:t>人民币大写</w:t>
            </w:r>
            <w:r>
              <w:rPr>
                <w:rFonts w:hint="eastAsia" w:ascii="宋体" w:hAnsi="宋体" w:eastAsia="宋体" w:cs="宋体"/>
                <w:b/>
                <w:bCs/>
                <w:color w:val="auto"/>
                <w:sz w:val="24"/>
                <w:szCs w:val="22"/>
                <w:highlight w:val="none"/>
              </w:rPr>
              <w:t>：</w:t>
            </w:r>
            <w:r>
              <w:rPr>
                <w:rFonts w:hint="eastAsia" w:ascii="宋体" w:hAnsi="宋体" w:eastAsia="宋体" w:cs="宋体"/>
                <w:b/>
                <w:bCs/>
                <w:color w:val="auto"/>
                <w:sz w:val="24"/>
                <w:szCs w:val="22"/>
                <w:highlight w:val="none"/>
                <w:u w:val="single"/>
              </w:rPr>
              <w:t xml:space="preserve">                   </w:t>
            </w:r>
            <w:r>
              <w:rPr>
                <w:rFonts w:hint="eastAsia" w:ascii="宋体" w:hAnsi="宋体" w:eastAsia="宋体" w:cs="宋体"/>
                <w:b/>
                <w:bCs/>
                <w:color w:val="auto"/>
                <w:sz w:val="24"/>
                <w:szCs w:val="22"/>
                <w:highlight w:val="none"/>
                <w:u w:val="single"/>
                <w:lang w:val="en-US" w:eastAsia="zh-CN"/>
              </w:rPr>
              <w:t xml:space="preserve">     </w:t>
            </w:r>
            <w:r>
              <w:rPr>
                <w:rFonts w:hint="eastAsia" w:ascii="宋体" w:hAnsi="宋体" w:eastAsia="宋体" w:cs="宋体"/>
                <w:b/>
                <w:bCs/>
                <w:color w:val="auto"/>
                <w:sz w:val="24"/>
                <w:szCs w:val="22"/>
                <w:highlight w:val="none"/>
                <w:u w:val="single"/>
              </w:rPr>
              <w:t xml:space="preserve"> </w:t>
            </w:r>
          </w:p>
        </w:tc>
      </w:tr>
      <w:tr w14:paraId="506C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14:paraId="1CF4FB7F">
            <w:pPr>
              <w:pStyle w:val="2"/>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2</w:t>
            </w:r>
          </w:p>
        </w:tc>
        <w:tc>
          <w:tcPr>
            <w:tcW w:w="2610" w:type="dxa"/>
            <w:vAlign w:val="center"/>
          </w:tcPr>
          <w:p w14:paraId="7C888AF7">
            <w:pPr>
              <w:pStyle w:val="2"/>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szCs w:val="22"/>
                <w:highlight w:val="none"/>
                <w:lang w:val="en-US" w:eastAsia="zh-CN" w:bidi="ar"/>
              </w:rPr>
              <w:t>合同履约期限</w:t>
            </w:r>
          </w:p>
        </w:tc>
        <w:tc>
          <w:tcPr>
            <w:tcW w:w="6080" w:type="dxa"/>
            <w:vAlign w:val="top"/>
          </w:tcPr>
          <w:p w14:paraId="7B5EEC5D">
            <w:pPr>
              <w:pStyle w:val="2"/>
              <w:keepNext w:val="0"/>
              <w:keepLines w:val="0"/>
              <w:pageBreakBefore w:val="0"/>
              <w:widowControl w:val="0"/>
              <w:kinsoku/>
              <w:wordWrap w:val="0"/>
              <w:overflowPunct w:val="0"/>
              <w:topLinePunct w:val="0"/>
              <w:autoSpaceDE w:val="0"/>
              <w:autoSpaceDN w:val="0"/>
              <w:bidi w:val="0"/>
              <w:adjustRightInd/>
              <w:snapToGrid/>
              <w:spacing w:before="313" w:beforeLines="100" w:after="157" w:afterLines="50" w:line="400" w:lineRule="exact"/>
              <w:ind w:left="0" w:leftChars="0" w:right="0" w:rightChars="0" w:firstLine="0" w:firstLineChars="0"/>
              <w:jc w:val="both"/>
              <w:textAlignment w:val="auto"/>
              <w:outlineLvl w:val="9"/>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bCs/>
                <w:color w:val="auto"/>
                <w:sz w:val="24"/>
                <w:szCs w:val="22"/>
                <w:highlight w:val="none"/>
                <w:u w:val="single"/>
              </w:rPr>
              <w:t xml:space="preserve">                   </w:t>
            </w:r>
            <w:r>
              <w:rPr>
                <w:rFonts w:hint="eastAsia" w:ascii="宋体" w:hAnsi="宋体" w:eastAsia="宋体" w:cs="宋体"/>
                <w:b/>
                <w:bCs/>
                <w:color w:val="auto"/>
                <w:sz w:val="24"/>
                <w:szCs w:val="22"/>
                <w:highlight w:val="none"/>
                <w:u w:val="single"/>
                <w:lang w:val="en-US" w:eastAsia="zh-CN"/>
              </w:rPr>
              <w:t xml:space="preserve">     </w:t>
            </w:r>
            <w:r>
              <w:rPr>
                <w:rFonts w:hint="eastAsia" w:ascii="宋体" w:hAnsi="宋体" w:eastAsia="宋体" w:cs="宋体"/>
                <w:b/>
                <w:bCs/>
                <w:color w:val="auto"/>
                <w:sz w:val="24"/>
                <w:szCs w:val="22"/>
                <w:highlight w:val="none"/>
                <w:u w:val="single"/>
              </w:rPr>
              <w:t xml:space="preserve"> </w:t>
            </w:r>
          </w:p>
        </w:tc>
      </w:tr>
      <w:tr w14:paraId="064F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14:paraId="721E5F96">
            <w:pPr>
              <w:pStyle w:val="2"/>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3</w:t>
            </w:r>
          </w:p>
        </w:tc>
        <w:tc>
          <w:tcPr>
            <w:tcW w:w="2610" w:type="dxa"/>
            <w:vAlign w:val="center"/>
          </w:tcPr>
          <w:p w14:paraId="42881DED">
            <w:pPr>
              <w:pStyle w:val="2"/>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项目负责人</w:t>
            </w:r>
          </w:p>
        </w:tc>
        <w:tc>
          <w:tcPr>
            <w:tcW w:w="6080" w:type="dxa"/>
            <w:vAlign w:val="top"/>
          </w:tcPr>
          <w:p w14:paraId="7BBF6DB6">
            <w:pPr>
              <w:pStyle w:val="2"/>
              <w:keepNext w:val="0"/>
              <w:keepLines w:val="0"/>
              <w:pageBreakBefore w:val="0"/>
              <w:widowControl w:val="0"/>
              <w:kinsoku/>
              <w:wordWrap w:val="0"/>
              <w:overflowPunct w:val="0"/>
              <w:topLinePunct w:val="0"/>
              <w:autoSpaceDE w:val="0"/>
              <w:autoSpaceDN w:val="0"/>
              <w:bidi w:val="0"/>
              <w:adjustRightInd/>
              <w:snapToGrid/>
              <w:spacing w:before="313" w:beforeLines="100" w:after="157" w:afterLines="50" w:line="400" w:lineRule="exact"/>
              <w:ind w:left="0" w:leftChars="0" w:right="0" w:rightChars="0" w:firstLine="0" w:firstLineChars="0"/>
              <w:jc w:val="both"/>
              <w:textAlignment w:val="auto"/>
              <w:outlineLvl w:val="9"/>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bCs/>
                <w:color w:val="auto"/>
                <w:sz w:val="24"/>
                <w:szCs w:val="22"/>
                <w:highlight w:val="none"/>
                <w:u w:val="single"/>
              </w:rPr>
              <w:t xml:space="preserve">                   </w:t>
            </w:r>
            <w:r>
              <w:rPr>
                <w:rFonts w:hint="eastAsia" w:ascii="宋体" w:hAnsi="宋体" w:eastAsia="宋体" w:cs="宋体"/>
                <w:b/>
                <w:bCs/>
                <w:color w:val="auto"/>
                <w:sz w:val="24"/>
                <w:szCs w:val="22"/>
                <w:highlight w:val="none"/>
                <w:u w:val="single"/>
                <w:lang w:val="en-US" w:eastAsia="zh-CN"/>
              </w:rPr>
              <w:t xml:space="preserve">     </w:t>
            </w:r>
            <w:r>
              <w:rPr>
                <w:rFonts w:hint="eastAsia" w:ascii="宋体" w:hAnsi="宋体" w:eastAsia="宋体" w:cs="宋体"/>
                <w:b/>
                <w:bCs/>
                <w:color w:val="auto"/>
                <w:sz w:val="24"/>
                <w:szCs w:val="22"/>
                <w:highlight w:val="none"/>
                <w:u w:val="single"/>
              </w:rPr>
              <w:t xml:space="preserve"> </w:t>
            </w:r>
          </w:p>
        </w:tc>
      </w:tr>
      <w:tr w14:paraId="6672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70" w:type="dxa"/>
            <w:vAlign w:val="center"/>
          </w:tcPr>
          <w:p w14:paraId="41403BCA">
            <w:pPr>
              <w:pStyle w:val="2"/>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4</w:t>
            </w:r>
          </w:p>
        </w:tc>
        <w:tc>
          <w:tcPr>
            <w:tcW w:w="2610" w:type="dxa"/>
            <w:vAlign w:val="center"/>
          </w:tcPr>
          <w:p w14:paraId="420C9887">
            <w:pPr>
              <w:pStyle w:val="2"/>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备注</w:t>
            </w:r>
          </w:p>
        </w:tc>
        <w:tc>
          <w:tcPr>
            <w:tcW w:w="6080" w:type="dxa"/>
            <w:vAlign w:val="top"/>
          </w:tcPr>
          <w:p w14:paraId="3E57C5DD">
            <w:pPr>
              <w:pStyle w:val="2"/>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243" w:firstLineChars="100"/>
              <w:jc w:val="both"/>
              <w:textAlignment w:val="auto"/>
              <w:outlineLvl w:val="9"/>
              <w:rPr>
                <w:rFonts w:hint="eastAsia" w:ascii="宋体" w:hAnsi="宋体" w:eastAsia="宋体" w:cs="宋体"/>
                <w:b w:val="0"/>
                <w:bCs/>
                <w:color w:val="auto"/>
                <w:sz w:val="24"/>
                <w:highlight w:val="none"/>
                <w:vertAlign w:val="baseline"/>
                <w:lang w:val="en-US" w:eastAsia="zh-CN"/>
              </w:rPr>
            </w:pPr>
          </w:p>
        </w:tc>
      </w:tr>
    </w:tbl>
    <w:p w14:paraId="4DBCC9EC">
      <w:pPr>
        <w:wordWrap w:val="0"/>
        <w:snapToGrid w:val="0"/>
        <w:spacing w:line="400" w:lineRule="exact"/>
        <w:rPr>
          <w:rFonts w:hint="eastAsia" w:ascii="宋体" w:hAnsi="宋体" w:cs="宋体"/>
          <w:color w:val="auto"/>
          <w:sz w:val="24"/>
          <w:highlight w:val="none"/>
        </w:rPr>
      </w:pPr>
    </w:p>
    <w:p w14:paraId="3911F428">
      <w:pPr>
        <w:wordWrap w:val="0"/>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799053E6">
      <w:pPr>
        <w:wordWrap w:val="0"/>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1、报价一经涂改，应在涂改处加盖单位公章或者由法定代表人或授权委托人签字或盖章，否则其投标作无效标处理。</w:t>
      </w:r>
    </w:p>
    <w:p w14:paraId="1F97B4EB">
      <w:pPr>
        <w:wordWrap w:val="0"/>
        <w:snapToGrid w:val="0"/>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eastAsia="zh-CN"/>
        </w:rPr>
        <w:t>投标报价应包括招标文件中所要求的承包服务范围内所有消杀服务所需的药物、器械、人工、运杂、税金（包含关税,由供应商承担的）、相关服务承诺等各项可能涉及的费用。以及完成合同所需的一切本身和不可或缺的所有工作开支、政策性文件规定及合同包含的所有风险、责任等各项全部费用并承担一切风险责任</w:t>
      </w:r>
      <w:r>
        <w:rPr>
          <w:rFonts w:hint="eastAsia" w:ascii="宋体" w:hAnsi="宋体" w:cs="宋体"/>
          <w:color w:val="auto"/>
          <w:sz w:val="24"/>
          <w:highlight w:val="none"/>
        </w:rPr>
        <w:t>。</w:t>
      </w:r>
    </w:p>
    <w:p w14:paraId="509B3B3C">
      <w:pPr>
        <w:wordWrap w:val="0"/>
        <w:snapToGrid w:val="0"/>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、以上报价应与“投标报价明细表”中的“投标总价”相一致。</w:t>
      </w:r>
    </w:p>
    <w:p w14:paraId="77C804D7">
      <w:pPr>
        <w:overflowPunct w:val="0"/>
        <w:autoSpaceDE w:val="0"/>
        <w:autoSpaceDN w:val="0"/>
        <w:spacing w:before="156" w:beforeLines="50" w:line="480" w:lineRule="exact"/>
        <w:ind w:firstLine="5589" w:firstLineChars="2300"/>
        <w:jc w:val="left"/>
        <w:rPr>
          <w:rFonts w:hint="eastAsia" w:ascii="宋体" w:hAnsi="宋体" w:eastAsia="宋体" w:cs="宋体"/>
          <w:color w:val="auto"/>
          <w:sz w:val="24"/>
          <w:highlight w:val="none"/>
          <w:u w:val="singl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（盖章）</w:t>
      </w:r>
      <w:r>
        <w:rPr>
          <w:rFonts w:hint="eastAsia" w:ascii="宋体" w:hAnsi="宋体" w:eastAsia="宋体" w:cs="宋体"/>
          <w:color w:val="auto"/>
          <w:sz w:val="24"/>
          <w:highlight w:val="none"/>
          <w:lang w:bidi="ar"/>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bidi="ar"/>
        </w:rPr>
        <w:t xml:space="preserve">                         </w:t>
      </w:r>
    </w:p>
    <w:p w14:paraId="1F4E4364">
      <w:pPr>
        <w:pStyle w:val="2"/>
        <w:spacing w:after="0" w:line="400" w:lineRule="exact"/>
        <w:ind w:left="5588" w:leftChars="114" w:hanging="5346" w:hanging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法定代表人或被授权人签字（或盖章）</w:t>
      </w:r>
      <w:r>
        <w:rPr>
          <w:rFonts w:hint="eastAsia" w:ascii="宋体" w:hAnsi="宋体" w:eastAsia="宋体" w:cs="宋体"/>
          <w:color w:val="auto"/>
          <w:sz w:val="24"/>
          <w:highlight w:val="none"/>
          <w:lang w:bidi="ar"/>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bidi="ar"/>
        </w:rPr>
        <w:t>日期：</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年</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月</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日</w:t>
      </w:r>
    </w:p>
    <w:p w14:paraId="50566730">
      <w:pPr>
        <w:rPr>
          <w:rFonts w:hint="eastAsia" w:ascii="宋体" w:hAnsi="宋体" w:cs="宋体"/>
          <w:color w:val="auto"/>
          <w:sz w:val="24"/>
          <w:highlight w:val="none"/>
        </w:rPr>
      </w:pPr>
    </w:p>
    <w:p w14:paraId="030E05B4">
      <w:pPr>
        <w:pStyle w:val="2"/>
        <w:rPr>
          <w:rFonts w:hint="eastAsia"/>
          <w:highlight w:val="none"/>
        </w:rPr>
      </w:pPr>
    </w:p>
    <w:p w14:paraId="3A2509B5">
      <w:pPr>
        <w:rPr>
          <w:rFonts w:hint="eastAsia" w:ascii="宋体" w:hAnsi="宋体" w:cs="宋体"/>
          <w:color w:val="auto"/>
          <w:sz w:val="24"/>
          <w:highlight w:val="none"/>
        </w:rPr>
      </w:pPr>
    </w:p>
    <w:p w14:paraId="632E76C6">
      <w:pPr>
        <w:pStyle w:val="3"/>
        <w:rPr>
          <w:rFonts w:hint="eastAsia"/>
          <w:highlight w:val="none"/>
        </w:rPr>
      </w:pPr>
    </w:p>
    <w:p w14:paraId="00909121">
      <w:pPr>
        <w:wordWrap w:val="0"/>
        <w:overflowPunct w:val="0"/>
        <w:autoSpaceDE w:val="0"/>
        <w:autoSpaceDN w:val="0"/>
        <w:snapToGrid w:val="0"/>
        <w:spacing w:before="50" w:after="50" w:line="360" w:lineRule="auto"/>
        <w:rPr>
          <w:rFonts w:hint="eastAsia" w:ascii="宋体" w:hAnsi="宋体" w:cs="宋体"/>
          <w:color w:val="auto"/>
          <w:spacing w:val="20"/>
          <w:sz w:val="24"/>
          <w:highlight w:val="none"/>
        </w:rPr>
      </w:pPr>
      <w:r>
        <w:rPr>
          <w:rFonts w:hint="eastAsia" w:ascii="宋体" w:hAnsi="宋体" w:cs="宋体"/>
          <w:b/>
          <w:color w:val="auto"/>
          <w:sz w:val="24"/>
          <w:highlight w:val="none"/>
          <w:lang w:val="en-US" w:eastAsia="zh-CN"/>
        </w:rPr>
        <w:t>14</w:t>
      </w:r>
      <w:r>
        <w:rPr>
          <w:rFonts w:hint="eastAsia" w:ascii="宋体" w:hAnsi="宋体" w:cs="宋体"/>
          <w:b/>
          <w:color w:val="auto"/>
          <w:sz w:val="24"/>
          <w:highlight w:val="none"/>
        </w:rPr>
        <w:t xml:space="preserve">.投标报价明细表格式：     </w:t>
      </w:r>
      <w:r>
        <w:rPr>
          <w:rFonts w:hint="eastAsia" w:ascii="宋体" w:hAnsi="宋体" w:cs="宋体"/>
          <w:b/>
          <w:color w:val="auto"/>
          <w:highlight w:val="none"/>
        </w:rPr>
        <w:t xml:space="preserve"> </w:t>
      </w:r>
    </w:p>
    <w:p w14:paraId="7E5DCFFA">
      <w:pPr>
        <w:wordWrap w:val="0"/>
        <w:snapToGrid w:val="0"/>
        <w:spacing w:before="10" w:after="10"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投标报价明细表</w:t>
      </w:r>
    </w:p>
    <w:p w14:paraId="196C73FF">
      <w:pPr>
        <w:pStyle w:val="16"/>
        <w:wordWrap w:val="0"/>
        <w:snapToGrid w:val="0"/>
        <w:spacing w:before="0" w:beforeLines="0" w:after="124" w:afterLines="0" w:line="240" w:lineRule="auto"/>
        <w:ind w:firstLine="480"/>
        <w:rPr>
          <w:rFonts w:hint="eastAsia"/>
          <w:color w:val="auto"/>
          <w:sz w:val="24"/>
          <w:szCs w:val="24"/>
          <w:highlight w:val="none"/>
        </w:rPr>
      </w:pPr>
      <w:r>
        <w:rPr>
          <w:rFonts w:hint="eastAsia" w:hAnsi="宋体" w:eastAsia="宋体" w:cs="宋体"/>
          <w:color w:val="auto"/>
          <w:sz w:val="24"/>
          <w:szCs w:val="24"/>
          <w:highlight w:val="none"/>
        </w:rPr>
        <w:t>项目名称：</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标项：</w:t>
      </w:r>
      <w:r>
        <w:rPr>
          <w:rFonts w:hint="eastAsia" w:hAnsi="宋体" w:eastAsia="宋体" w:cs="宋体"/>
          <w:color w:val="auto"/>
          <w:sz w:val="24"/>
          <w:szCs w:val="24"/>
          <w:highlight w:val="none"/>
          <w:u w:val="single"/>
          <w:lang w:val="en-US" w:eastAsia="zh-CN"/>
        </w:rPr>
        <w:t xml:space="preserve">             </w:t>
      </w:r>
      <w:r>
        <w:rPr>
          <w:rFonts w:hint="eastAsia" w:hAnsi="宋体" w:eastAsia="宋体" w:cs="宋体"/>
          <w:color w:val="auto"/>
          <w:sz w:val="24"/>
          <w:szCs w:val="24"/>
          <w:highlight w:val="none"/>
          <w:lang w:val="en-US" w:eastAsia="zh-CN"/>
        </w:rPr>
        <w:t xml:space="preserve"> </w:t>
      </w:r>
      <w:r>
        <w:rPr>
          <w:rFonts w:hint="eastAsia" w:hAnsi="宋体" w:eastAsia="宋体" w:cs="宋体"/>
          <w:color w:val="auto"/>
          <w:sz w:val="24"/>
          <w:szCs w:val="24"/>
          <w:highlight w:val="none"/>
        </w:rPr>
        <w:t xml:space="preserve">  金额单位：人民币（元）</w:t>
      </w:r>
    </w:p>
    <w:tbl>
      <w:tblPr>
        <w:tblStyle w:val="27"/>
        <w:tblW w:w="93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25"/>
        <w:gridCol w:w="826"/>
        <w:gridCol w:w="954"/>
        <w:gridCol w:w="906"/>
        <w:gridCol w:w="906"/>
        <w:gridCol w:w="4500"/>
      </w:tblGrid>
      <w:tr w14:paraId="4A075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trPr>
        <w:tc>
          <w:tcPr>
            <w:tcW w:w="1225" w:type="dxa"/>
            <w:tcBorders>
              <w:top w:val="single" w:color="000000" w:sz="4" w:space="0"/>
              <w:left w:val="single" w:color="000000" w:sz="4" w:space="0"/>
              <w:bottom w:val="single" w:color="000000" w:sz="4" w:space="0"/>
              <w:right w:val="single" w:color="000000" w:sz="4" w:space="0"/>
            </w:tcBorders>
            <w:vAlign w:val="center"/>
          </w:tcPr>
          <w:p w14:paraId="4EA0CEE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826" w:type="dxa"/>
            <w:tcBorders>
              <w:top w:val="single" w:color="000000" w:sz="4" w:space="0"/>
              <w:left w:val="single" w:color="000000" w:sz="4" w:space="0"/>
              <w:bottom w:val="single" w:color="000000" w:sz="4" w:space="0"/>
              <w:right w:val="single" w:color="000000" w:sz="4" w:space="0"/>
            </w:tcBorders>
            <w:vAlign w:val="center"/>
          </w:tcPr>
          <w:p w14:paraId="7088098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1F8ACE4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06" w:type="dxa"/>
            <w:tcBorders>
              <w:top w:val="single" w:color="000000" w:sz="4" w:space="0"/>
              <w:left w:val="single" w:color="000000" w:sz="4" w:space="0"/>
              <w:bottom w:val="single" w:color="000000" w:sz="4" w:space="0"/>
              <w:right w:val="single" w:color="000000" w:sz="4" w:space="0"/>
            </w:tcBorders>
            <w:vAlign w:val="center"/>
          </w:tcPr>
          <w:p w14:paraId="19ECFE8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06" w:type="dxa"/>
            <w:tcBorders>
              <w:top w:val="single" w:color="000000" w:sz="4" w:space="0"/>
              <w:left w:val="single" w:color="000000" w:sz="4" w:space="0"/>
              <w:bottom w:val="single" w:color="000000" w:sz="4" w:space="0"/>
              <w:right w:val="single" w:color="000000" w:sz="4" w:space="0"/>
            </w:tcBorders>
            <w:vAlign w:val="center"/>
          </w:tcPr>
          <w:p w14:paraId="53EE4CE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4500" w:type="dxa"/>
            <w:tcBorders>
              <w:top w:val="single" w:color="000000" w:sz="4" w:space="0"/>
              <w:left w:val="single" w:color="000000" w:sz="4" w:space="0"/>
              <w:bottom w:val="single" w:color="000000" w:sz="4" w:space="0"/>
              <w:right w:val="single" w:color="auto" w:sz="4" w:space="0"/>
            </w:tcBorders>
            <w:vAlign w:val="center"/>
          </w:tcPr>
          <w:p w14:paraId="70D802F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r>
      <w:tr w14:paraId="2CEDD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trPr>
        <w:tc>
          <w:tcPr>
            <w:tcW w:w="1225" w:type="dxa"/>
            <w:tcBorders>
              <w:top w:val="single" w:color="000000" w:sz="4" w:space="0"/>
              <w:left w:val="single" w:color="000000" w:sz="4" w:space="0"/>
              <w:bottom w:val="single" w:color="000000" w:sz="4" w:space="0"/>
              <w:right w:val="single" w:color="000000" w:sz="4" w:space="0"/>
            </w:tcBorders>
            <w:vAlign w:val="center"/>
          </w:tcPr>
          <w:p w14:paraId="5716661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826" w:type="dxa"/>
            <w:tcBorders>
              <w:top w:val="single" w:color="000000" w:sz="4" w:space="0"/>
              <w:left w:val="single" w:color="000000" w:sz="4" w:space="0"/>
              <w:bottom w:val="single" w:color="000000" w:sz="4" w:space="0"/>
              <w:right w:val="single" w:color="000000" w:sz="4" w:space="0"/>
            </w:tcBorders>
            <w:vAlign w:val="center"/>
          </w:tcPr>
          <w:p w14:paraId="1C69770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257B00C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06" w:type="dxa"/>
            <w:tcBorders>
              <w:top w:val="single" w:color="000000" w:sz="4" w:space="0"/>
              <w:left w:val="single" w:color="000000" w:sz="4" w:space="0"/>
              <w:bottom w:val="single" w:color="000000" w:sz="4" w:space="0"/>
              <w:right w:val="single" w:color="000000" w:sz="4" w:space="0"/>
            </w:tcBorders>
            <w:vAlign w:val="center"/>
          </w:tcPr>
          <w:p w14:paraId="30AEE26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06" w:type="dxa"/>
            <w:tcBorders>
              <w:top w:val="single" w:color="000000" w:sz="4" w:space="0"/>
              <w:left w:val="single" w:color="000000" w:sz="4" w:space="0"/>
              <w:bottom w:val="single" w:color="000000" w:sz="4" w:space="0"/>
              <w:right w:val="single" w:color="000000" w:sz="4" w:space="0"/>
            </w:tcBorders>
            <w:vAlign w:val="center"/>
          </w:tcPr>
          <w:p w14:paraId="5A4E423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4500" w:type="dxa"/>
            <w:tcBorders>
              <w:top w:val="single" w:color="000000" w:sz="4" w:space="0"/>
              <w:left w:val="single" w:color="000000" w:sz="4" w:space="0"/>
              <w:bottom w:val="single" w:color="000000" w:sz="4" w:space="0"/>
              <w:right w:val="single" w:color="auto" w:sz="4" w:space="0"/>
            </w:tcBorders>
            <w:vAlign w:val="center"/>
          </w:tcPr>
          <w:p w14:paraId="1C43B5B9">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p>
        </w:tc>
      </w:tr>
      <w:tr w14:paraId="4A3EF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trPr>
        <w:tc>
          <w:tcPr>
            <w:tcW w:w="1225" w:type="dxa"/>
            <w:tcBorders>
              <w:top w:val="single" w:color="000000" w:sz="4" w:space="0"/>
              <w:left w:val="single" w:color="000000" w:sz="4" w:space="0"/>
              <w:bottom w:val="single" w:color="000000" w:sz="4" w:space="0"/>
              <w:right w:val="single" w:color="000000" w:sz="4" w:space="0"/>
            </w:tcBorders>
            <w:vAlign w:val="center"/>
          </w:tcPr>
          <w:p w14:paraId="46A678F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826" w:type="dxa"/>
            <w:tcBorders>
              <w:top w:val="single" w:color="000000" w:sz="4" w:space="0"/>
              <w:left w:val="single" w:color="000000" w:sz="4" w:space="0"/>
              <w:bottom w:val="single" w:color="000000" w:sz="4" w:space="0"/>
              <w:right w:val="single" w:color="000000" w:sz="4" w:space="0"/>
            </w:tcBorders>
            <w:vAlign w:val="center"/>
          </w:tcPr>
          <w:p w14:paraId="682D8FD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2D8DE64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06" w:type="dxa"/>
            <w:tcBorders>
              <w:top w:val="single" w:color="000000" w:sz="4" w:space="0"/>
              <w:left w:val="single" w:color="000000" w:sz="4" w:space="0"/>
              <w:bottom w:val="single" w:color="000000" w:sz="4" w:space="0"/>
              <w:right w:val="single" w:color="000000" w:sz="4" w:space="0"/>
            </w:tcBorders>
            <w:vAlign w:val="center"/>
          </w:tcPr>
          <w:p w14:paraId="38E1EEE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06" w:type="dxa"/>
            <w:tcBorders>
              <w:top w:val="single" w:color="000000" w:sz="4" w:space="0"/>
              <w:left w:val="single" w:color="000000" w:sz="4" w:space="0"/>
              <w:bottom w:val="single" w:color="000000" w:sz="4" w:space="0"/>
              <w:right w:val="single" w:color="000000" w:sz="4" w:space="0"/>
            </w:tcBorders>
            <w:vAlign w:val="center"/>
          </w:tcPr>
          <w:p w14:paraId="1041A73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4500" w:type="dxa"/>
            <w:tcBorders>
              <w:top w:val="single" w:color="000000" w:sz="4" w:space="0"/>
              <w:left w:val="single" w:color="000000" w:sz="4" w:space="0"/>
              <w:bottom w:val="single" w:color="000000" w:sz="4" w:space="0"/>
              <w:right w:val="single" w:color="auto" w:sz="4" w:space="0"/>
            </w:tcBorders>
            <w:vAlign w:val="center"/>
          </w:tcPr>
          <w:p w14:paraId="57EF6AB1">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p>
        </w:tc>
      </w:tr>
      <w:tr w14:paraId="2A6A5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trPr>
        <w:tc>
          <w:tcPr>
            <w:tcW w:w="1225" w:type="dxa"/>
            <w:tcBorders>
              <w:top w:val="single" w:color="000000" w:sz="4" w:space="0"/>
              <w:left w:val="single" w:color="000000" w:sz="4" w:space="0"/>
              <w:bottom w:val="single" w:color="000000" w:sz="4" w:space="0"/>
              <w:right w:val="single" w:color="000000" w:sz="4" w:space="0"/>
            </w:tcBorders>
            <w:vAlign w:val="center"/>
          </w:tcPr>
          <w:p w14:paraId="538D858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826" w:type="dxa"/>
            <w:tcBorders>
              <w:top w:val="single" w:color="000000" w:sz="4" w:space="0"/>
              <w:left w:val="single" w:color="000000" w:sz="4" w:space="0"/>
              <w:bottom w:val="single" w:color="000000" w:sz="4" w:space="0"/>
              <w:right w:val="single" w:color="000000" w:sz="4" w:space="0"/>
            </w:tcBorders>
            <w:vAlign w:val="center"/>
          </w:tcPr>
          <w:p w14:paraId="66B14FE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107AEE2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06" w:type="dxa"/>
            <w:tcBorders>
              <w:top w:val="single" w:color="000000" w:sz="4" w:space="0"/>
              <w:left w:val="single" w:color="000000" w:sz="4" w:space="0"/>
              <w:bottom w:val="single" w:color="000000" w:sz="4" w:space="0"/>
              <w:right w:val="single" w:color="000000" w:sz="4" w:space="0"/>
            </w:tcBorders>
            <w:vAlign w:val="center"/>
          </w:tcPr>
          <w:p w14:paraId="467E53B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06" w:type="dxa"/>
            <w:tcBorders>
              <w:top w:val="single" w:color="000000" w:sz="4" w:space="0"/>
              <w:left w:val="single" w:color="000000" w:sz="4" w:space="0"/>
              <w:bottom w:val="single" w:color="000000" w:sz="4" w:space="0"/>
              <w:right w:val="single" w:color="000000" w:sz="4" w:space="0"/>
            </w:tcBorders>
            <w:vAlign w:val="center"/>
          </w:tcPr>
          <w:p w14:paraId="2268834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4500" w:type="dxa"/>
            <w:tcBorders>
              <w:top w:val="single" w:color="000000" w:sz="4" w:space="0"/>
              <w:left w:val="single" w:color="000000" w:sz="4" w:space="0"/>
              <w:bottom w:val="single" w:color="000000" w:sz="4" w:space="0"/>
              <w:right w:val="single" w:color="auto" w:sz="4" w:space="0"/>
            </w:tcBorders>
            <w:vAlign w:val="center"/>
          </w:tcPr>
          <w:p w14:paraId="431A107E">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p>
        </w:tc>
      </w:tr>
      <w:tr w14:paraId="71DE9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trPr>
        <w:tc>
          <w:tcPr>
            <w:tcW w:w="1225" w:type="dxa"/>
            <w:tcBorders>
              <w:top w:val="single" w:color="000000" w:sz="4" w:space="0"/>
              <w:left w:val="single" w:color="000000" w:sz="4" w:space="0"/>
              <w:bottom w:val="single" w:color="000000" w:sz="4" w:space="0"/>
              <w:right w:val="single" w:color="000000" w:sz="4" w:space="0"/>
            </w:tcBorders>
            <w:vAlign w:val="center"/>
          </w:tcPr>
          <w:p w14:paraId="6523C94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826" w:type="dxa"/>
            <w:tcBorders>
              <w:top w:val="single" w:color="000000" w:sz="4" w:space="0"/>
              <w:left w:val="single" w:color="000000" w:sz="4" w:space="0"/>
              <w:bottom w:val="single" w:color="000000" w:sz="4" w:space="0"/>
              <w:right w:val="single" w:color="000000" w:sz="4" w:space="0"/>
            </w:tcBorders>
            <w:vAlign w:val="center"/>
          </w:tcPr>
          <w:p w14:paraId="49E7E77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3CA6E78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06" w:type="dxa"/>
            <w:tcBorders>
              <w:top w:val="single" w:color="000000" w:sz="4" w:space="0"/>
              <w:left w:val="single" w:color="000000" w:sz="4" w:space="0"/>
              <w:bottom w:val="single" w:color="000000" w:sz="4" w:space="0"/>
              <w:right w:val="single" w:color="000000" w:sz="4" w:space="0"/>
            </w:tcBorders>
            <w:vAlign w:val="center"/>
          </w:tcPr>
          <w:p w14:paraId="57C7240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06" w:type="dxa"/>
            <w:tcBorders>
              <w:top w:val="single" w:color="000000" w:sz="4" w:space="0"/>
              <w:left w:val="single" w:color="000000" w:sz="4" w:space="0"/>
              <w:bottom w:val="single" w:color="000000" w:sz="4" w:space="0"/>
              <w:right w:val="single" w:color="000000" w:sz="4" w:space="0"/>
            </w:tcBorders>
            <w:vAlign w:val="center"/>
          </w:tcPr>
          <w:p w14:paraId="2DF3B2C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4500" w:type="dxa"/>
            <w:tcBorders>
              <w:top w:val="single" w:color="000000" w:sz="4" w:space="0"/>
              <w:left w:val="single" w:color="000000" w:sz="4" w:space="0"/>
              <w:bottom w:val="single" w:color="000000" w:sz="4" w:space="0"/>
              <w:right w:val="single" w:color="auto" w:sz="4" w:space="0"/>
            </w:tcBorders>
            <w:vAlign w:val="center"/>
          </w:tcPr>
          <w:p w14:paraId="2DAE75E3">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p>
        </w:tc>
      </w:tr>
      <w:tr w14:paraId="5D090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trPr>
        <w:tc>
          <w:tcPr>
            <w:tcW w:w="1225" w:type="dxa"/>
            <w:tcBorders>
              <w:top w:val="single" w:color="000000" w:sz="4" w:space="0"/>
              <w:left w:val="single" w:color="000000" w:sz="4" w:space="0"/>
              <w:bottom w:val="single" w:color="000000" w:sz="4" w:space="0"/>
              <w:right w:val="single" w:color="000000" w:sz="4" w:space="0"/>
            </w:tcBorders>
            <w:vAlign w:val="center"/>
          </w:tcPr>
          <w:p w14:paraId="2916389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826" w:type="dxa"/>
            <w:tcBorders>
              <w:top w:val="single" w:color="000000" w:sz="4" w:space="0"/>
              <w:left w:val="single" w:color="000000" w:sz="4" w:space="0"/>
              <w:bottom w:val="single" w:color="000000" w:sz="4" w:space="0"/>
              <w:right w:val="single" w:color="000000" w:sz="4" w:space="0"/>
            </w:tcBorders>
            <w:vAlign w:val="center"/>
          </w:tcPr>
          <w:p w14:paraId="4D3EF94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759FD2D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06" w:type="dxa"/>
            <w:tcBorders>
              <w:top w:val="single" w:color="000000" w:sz="4" w:space="0"/>
              <w:left w:val="single" w:color="000000" w:sz="4" w:space="0"/>
              <w:bottom w:val="single" w:color="000000" w:sz="4" w:space="0"/>
              <w:right w:val="single" w:color="000000" w:sz="4" w:space="0"/>
            </w:tcBorders>
            <w:vAlign w:val="center"/>
          </w:tcPr>
          <w:p w14:paraId="086283F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06" w:type="dxa"/>
            <w:tcBorders>
              <w:top w:val="single" w:color="000000" w:sz="4" w:space="0"/>
              <w:left w:val="single" w:color="000000" w:sz="4" w:space="0"/>
              <w:bottom w:val="single" w:color="000000" w:sz="4" w:space="0"/>
              <w:right w:val="single" w:color="000000" w:sz="4" w:space="0"/>
            </w:tcBorders>
            <w:vAlign w:val="center"/>
          </w:tcPr>
          <w:p w14:paraId="0EE5DE8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4500" w:type="dxa"/>
            <w:tcBorders>
              <w:top w:val="single" w:color="000000" w:sz="4" w:space="0"/>
              <w:left w:val="single" w:color="000000" w:sz="4" w:space="0"/>
              <w:bottom w:val="single" w:color="000000" w:sz="4" w:space="0"/>
              <w:right w:val="single" w:color="auto" w:sz="4" w:space="0"/>
            </w:tcBorders>
            <w:vAlign w:val="center"/>
          </w:tcPr>
          <w:p w14:paraId="6B20FDFB">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p>
        </w:tc>
      </w:tr>
      <w:tr w14:paraId="1C8B1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trPr>
        <w:tc>
          <w:tcPr>
            <w:tcW w:w="1225" w:type="dxa"/>
            <w:tcBorders>
              <w:top w:val="single" w:color="000000" w:sz="4" w:space="0"/>
              <w:left w:val="single" w:color="000000" w:sz="4" w:space="0"/>
              <w:bottom w:val="single" w:color="000000" w:sz="4" w:space="0"/>
              <w:right w:val="single" w:color="000000" w:sz="4" w:space="0"/>
            </w:tcBorders>
            <w:vAlign w:val="center"/>
          </w:tcPr>
          <w:p w14:paraId="7BF7E3A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826" w:type="dxa"/>
            <w:tcBorders>
              <w:top w:val="single" w:color="000000" w:sz="4" w:space="0"/>
              <w:left w:val="single" w:color="000000" w:sz="4" w:space="0"/>
              <w:bottom w:val="single" w:color="000000" w:sz="4" w:space="0"/>
              <w:right w:val="single" w:color="000000" w:sz="4" w:space="0"/>
            </w:tcBorders>
            <w:vAlign w:val="center"/>
          </w:tcPr>
          <w:p w14:paraId="7BA69D3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0E9DD8E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06" w:type="dxa"/>
            <w:tcBorders>
              <w:top w:val="single" w:color="000000" w:sz="4" w:space="0"/>
              <w:left w:val="single" w:color="000000" w:sz="4" w:space="0"/>
              <w:bottom w:val="single" w:color="000000" w:sz="4" w:space="0"/>
              <w:right w:val="single" w:color="000000" w:sz="4" w:space="0"/>
            </w:tcBorders>
            <w:vAlign w:val="center"/>
          </w:tcPr>
          <w:p w14:paraId="49CDDBC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06" w:type="dxa"/>
            <w:tcBorders>
              <w:top w:val="single" w:color="000000" w:sz="4" w:space="0"/>
              <w:left w:val="single" w:color="000000" w:sz="4" w:space="0"/>
              <w:bottom w:val="single" w:color="000000" w:sz="4" w:space="0"/>
              <w:right w:val="single" w:color="000000" w:sz="4" w:space="0"/>
            </w:tcBorders>
            <w:vAlign w:val="center"/>
          </w:tcPr>
          <w:p w14:paraId="2CFCF8F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4500" w:type="dxa"/>
            <w:tcBorders>
              <w:top w:val="single" w:color="000000" w:sz="4" w:space="0"/>
              <w:left w:val="single" w:color="000000" w:sz="4" w:space="0"/>
              <w:bottom w:val="single" w:color="000000" w:sz="4" w:space="0"/>
              <w:right w:val="single" w:color="auto" w:sz="4" w:space="0"/>
            </w:tcBorders>
            <w:vAlign w:val="center"/>
          </w:tcPr>
          <w:p w14:paraId="54ED2227">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p>
        </w:tc>
      </w:tr>
      <w:tr w14:paraId="5A8D7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trPr>
        <w:tc>
          <w:tcPr>
            <w:tcW w:w="1225" w:type="dxa"/>
            <w:tcBorders>
              <w:top w:val="single" w:color="000000" w:sz="4" w:space="0"/>
              <w:left w:val="single" w:color="000000" w:sz="4" w:space="0"/>
              <w:bottom w:val="single" w:color="000000" w:sz="4" w:space="0"/>
              <w:right w:val="single" w:color="000000" w:sz="4" w:space="0"/>
            </w:tcBorders>
            <w:vAlign w:val="center"/>
          </w:tcPr>
          <w:p w14:paraId="55863AA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826" w:type="dxa"/>
            <w:tcBorders>
              <w:top w:val="single" w:color="000000" w:sz="4" w:space="0"/>
              <w:left w:val="single" w:color="000000" w:sz="4" w:space="0"/>
              <w:bottom w:val="single" w:color="000000" w:sz="4" w:space="0"/>
              <w:right w:val="single" w:color="000000" w:sz="4" w:space="0"/>
            </w:tcBorders>
            <w:vAlign w:val="center"/>
          </w:tcPr>
          <w:p w14:paraId="22E6CD0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00AC9F3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06" w:type="dxa"/>
            <w:tcBorders>
              <w:top w:val="single" w:color="000000" w:sz="4" w:space="0"/>
              <w:left w:val="single" w:color="000000" w:sz="4" w:space="0"/>
              <w:bottom w:val="single" w:color="000000" w:sz="4" w:space="0"/>
              <w:right w:val="single" w:color="000000" w:sz="4" w:space="0"/>
            </w:tcBorders>
            <w:vAlign w:val="center"/>
          </w:tcPr>
          <w:p w14:paraId="61EB3BD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06" w:type="dxa"/>
            <w:tcBorders>
              <w:top w:val="single" w:color="000000" w:sz="4" w:space="0"/>
              <w:left w:val="single" w:color="000000" w:sz="4" w:space="0"/>
              <w:bottom w:val="single" w:color="000000" w:sz="4" w:space="0"/>
              <w:right w:val="single" w:color="000000" w:sz="4" w:space="0"/>
            </w:tcBorders>
            <w:vAlign w:val="center"/>
          </w:tcPr>
          <w:p w14:paraId="048706D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4500" w:type="dxa"/>
            <w:tcBorders>
              <w:top w:val="single" w:color="000000" w:sz="4" w:space="0"/>
              <w:left w:val="single" w:color="000000" w:sz="4" w:space="0"/>
              <w:bottom w:val="single" w:color="000000" w:sz="4" w:space="0"/>
              <w:right w:val="single" w:color="auto" w:sz="4" w:space="0"/>
            </w:tcBorders>
            <w:vAlign w:val="center"/>
          </w:tcPr>
          <w:p w14:paraId="1A4EADA4">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p>
        </w:tc>
      </w:tr>
      <w:tr w14:paraId="348C8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trPr>
        <w:tc>
          <w:tcPr>
            <w:tcW w:w="1225" w:type="dxa"/>
            <w:tcBorders>
              <w:top w:val="single" w:color="000000" w:sz="4" w:space="0"/>
              <w:left w:val="single" w:color="000000" w:sz="4" w:space="0"/>
              <w:bottom w:val="single" w:color="000000" w:sz="4" w:space="0"/>
              <w:right w:val="single" w:color="000000" w:sz="4" w:space="0"/>
            </w:tcBorders>
            <w:vAlign w:val="center"/>
          </w:tcPr>
          <w:p w14:paraId="0268573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826" w:type="dxa"/>
            <w:tcBorders>
              <w:top w:val="single" w:color="000000" w:sz="4" w:space="0"/>
              <w:left w:val="single" w:color="000000" w:sz="4" w:space="0"/>
              <w:bottom w:val="single" w:color="000000" w:sz="4" w:space="0"/>
              <w:right w:val="single" w:color="000000" w:sz="4" w:space="0"/>
            </w:tcBorders>
            <w:vAlign w:val="center"/>
          </w:tcPr>
          <w:p w14:paraId="4BD6777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0022101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06" w:type="dxa"/>
            <w:tcBorders>
              <w:top w:val="single" w:color="000000" w:sz="4" w:space="0"/>
              <w:left w:val="single" w:color="000000" w:sz="4" w:space="0"/>
              <w:bottom w:val="single" w:color="000000" w:sz="4" w:space="0"/>
              <w:right w:val="single" w:color="000000" w:sz="4" w:space="0"/>
            </w:tcBorders>
            <w:vAlign w:val="center"/>
          </w:tcPr>
          <w:p w14:paraId="238A53E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06" w:type="dxa"/>
            <w:tcBorders>
              <w:top w:val="single" w:color="000000" w:sz="4" w:space="0"/>
              <w:left w:val="single" w:color="000000" w:sz="4" w:space="0"/>
              <w:bottom w:val="single" w:color="000000" w:sz="4" w:space="0"/>
              <w:right w:val="single" w:color="000000" w:sz="4" w:space="0"/>
            </w:tcBorders>
            <w:vAlign w:val="center"/>
          </w:tcPr>
          <w:p w14:paraId="44E259D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4500" w:type="dxa"/>
            <w:tcBorders>
              <w:top w:val="single" w:color="000000" w:sz="4" w:space="0"/>
              <w:left w:val="single" w:color="000000" w:sz="4" w:space="0"/>
              <w:bottom w:val="single" w:color="000000" w:sz="4" w:space="0"/>
              <w:right w:val="single" w:color="auto" w:sz="4" w:space="0"/>
            </w:tcBorders>
            <w:vAlign w:val="center"/>
          </w:tcPr>
          <w:p w14:paraId="54CB0F71">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p>
        </w:tc>
      </w:tr>
      <w:tr w14:paraId="73D6C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trPr>
        <w:tc>
          <w:tcPr>
            <w:tcW w:w="1225" w:type="dxa"/>
            <w:tcBorders>
              <w:top w:val="single" w:color="000000" w:sz="4" w:space="0"/>
              <w:left w:val="single" w:color="000000" w:sz="4" w:space="0"/>
              <w:bottom w:val="single" w:color="000000" w:sz="4" w:space="0"/>
              <w:right w:val="single" w:color="000000" w:sz="4" w:space="0"/>
            </w:tcBorders>
            <w:vAlign w:val="center"/>
          </w:tcPr>
          <w:p w14:paraId="71E24EC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826" w:type="dxa"/>
            <w:tcBorders>
              <w:top w:val="single" w:color="000000" w:sz="4" w:space="0"/>
              <w:left w:val="single" w:color="000000" w:sz="4" w:space="0"/>
              <w:bottom w:val="single" w:color="000000" w:sz="4" w:space="0"/>
              <w:right w:val="single" w:color="000000" w:sz="4" w:space="0"/>
            </w:tcBorders>
            <w:vAlign w:val="center"/>
          </w:tcPr>
          <w:p w14:paraId="7124EE5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2271464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06" w:type="dxa"/>
            <w:tcBorders>
              <w:top w:val="single" w:color="000000" w:sz="4" w:space="0"/>
              <w:left w:val="single" w:color="000000" w:sz="4" w:space="0"/>
              <w:bottom w:val="single" w:color="000000" w:sz="4" w:space="0"/>
              <w:right w:val="single" w:color="000000" w:sz="4" w:space="0"/>
            </w:tcBorders>
            <w:vAlign w:val="center"/>
          </w:tcPr>
          <w:p w14:paraId="02CF851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06" w:type="dxa"/>
            <w:tcBorders>
              <w:top w:val="single" w:color="000000" w:sz="4" w:space="0"/>
              <w:left w:val="single" w:color="000000" w:sz="4" w:space="0"/>
              <w:bottom w:val="single" w:color="000000" w:sz="4" w:space="0"/>
              <w:right w:val="single" w:color="000000" w:sz="4" w:space="0"/>
            </w:tcBorders>
            <w:vAlign w:val="center"/>
          </w:tcPr>
          <w:p w14:paraId="7CA4349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4500" w:type="dxa"/>
            <w:tcBorders>
              <w:top w:val="single" w:color="000000" w:sz="4" w:space="0"/>
              <w:left w:val="single" w:color="000000" w:sz="4" w:space="0"/>
              <w:bottom w:val="single" w:color="000000" w:sz="4" w:space="0"/>
              <w:right w:val="single" w:color="auto" w:sz="4" w:space="0"/>
            </w:tcBorders>
            <w:vAlign w:val="center"/>
          </w:tcPr>
          <w:p w14:paraId="531D4AC2">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p>
        </w:tc>
      </w:tr>
      <w:tr w14:paraId="27D57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1225" w:type="dxa"/>
            <w:tcBorders>
              <w:top w:val="single" w:color="000000" w:sz="4" w:space="0"/>
              <w:left w:val="single" w:color="000000" w:sz="4" w:space="0"/>
              <w:bottom w:val="single" w:color="000000" w:sz="4" w:space="0"/>
              <w:right w:val="single" w:color="000000" w:sz="4" w:space="0"/>
            </w:tcBorders>
            <w:vAlign w:val="center"/>
          </w:tcPr>
          <w:p w14:paraId="22DB8F3D">
            <w:pPr>
              <w:keepNext w:val="0"/>
              <w:keepLines w:val="0"/>
              <w:widowControl/>
              <w:suppressLineNumbers w:val="0"/>
              <w:jc w:val="center"/>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合计</w:t>
            </w:r>
          </w:p>
        </w:tc>
        <w:tc>
          <w:tcPr>
            <w:tcW w:w="826" w:type="dxa"/>
            <w:tcBorders>
              <w:top w:val="single" w:color="000000" w:sz="4" w:space="0"/>
              <w:left w:val="single" w:color="000000" w:sz="4" w:space="0"/>
              <w:bottom w:val="single" w:color="000000" w:sz="4" w:space="0"/>
              <w:right w:val="single" w:color="000000" w:sz="4" w:space="0"/>
            </w:tcBorders>
            <w:vAlign w:val="center"/>
          </w:tcPr>
          <w:p w14:paraId="59DD93B9">
            <w:pPr>
              <w:keepNext w:val="0"/>
              <w:keepLines w:val="0"/>
              <w:widowControl/>
              <w:suppressLineNumbers w:val="0"/>
              <w:jc w:val="center"/>
              <w:textAlignment w:val="center"/>
              <w:rPr>
                <w:rStyle w:val="93"/>
                <w:rFonts w:hint="default"/>
                <w:highlight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6139ADD5">
            <w:pPr>
              <w:keepNext w:val="0"/>
              <w:keepLines w:val="0"/>
              <w:widowControl/>
              <w:suppressLineNumbers w:val="0"/>
              <w:jc w:val="center"/>
              <w:textAlignment w:val="center"/>
              <w:rPr>
                <w:rFonts w:hint="default" w:ascii="宋体" w:hAnsi="宋体" w:cs="宋体"/>
                <w:i w:val="0"/>
                <w:color w:val="000000"/>
                <w:kern w:val="0"/>
                <w:sz w:val="22"/>
                <w:szCs w:val="22"/>
                <w:highlight w:val="none"/>
                <w:u w:val="none"/>
                <w:lang w:val="en-US" w:eastAsia="zh-CN" w:bidi="ar"/>
              </w:rPr>
            </w:pPr>
          </w:p>
        </w:tc>
        <w:tc>
          <w:tcPr>
            <w:tcW w:w="906" w:type="dxa"/>
            <w:tcBorders>
              <w:top w:val="single" w:color="000000" w:sz="4" w:space="0"/>
              <w:left w:val="single" w:color="000000" w:sz="4" w:space="0"/>
              <w:bottom w:val="single" w:color="000000" w:sz="4" w:space="0"/>
              <w:right w:val="single" w:color="000000" w:sz="4" w:space="0"/>
            </w:tcBorders>
            <w:vAlign w:val="center"/>
          </w:tcPr>
          <w:p w14:paraId="3B50C9D8">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p>
        </w:tc>
        <w:tc>
          <w:tcPr>
            <w:tcW w:w="906" w:type="dxa"/>
            <w:tcBorders>
              <w:top w:val="single" w:color="000000" w:sz="4" w:space="0"/>
              <w:left w:val="single" w:color="000000" w:sz="4" w:space="0"/>
              <w:bottom w:val="single" w:color="000000" w:sz="4" w:space="0"/>
              <w:right w:val="single" w:color="000000" w:sz="4" w:space="0"/>
            </w:tcBorders>
            <w:vAlign w:val="center"/>
          </w:tcPr>
          <w:p w14:paraId="2B47DF8E">
            <w:pPr>
              <w:keepNext w:val="0"/>
              <w:keepLines w:val="0"/>
              <w:widowControl/>
              <w:suppressLineNumbers w:val="0"/>
              <w:jc w:val="center"/>
              <w:textAlignment w:val="center"/>
              <w:rPr>
                <w:rFonts w:hint="eastAsia" w:ascii="宋体" w:hAnsi="宋体" w:cs="宋体"/>
                <w:i w:val="0"/>
                <w:color w:val="000000"/>
                <w:kern w:val="0"/>
                <w:sz w:val="22"/>
                <w:szCs w:val="22"/>
                <w:highlight w:val="none"/>
                <w:u w:val="none"/>
                <w:lang w:val="en-US" w:eastAsia="zh-CN" w:bidi="ar"/>
              </w:rPr>
            </w:pPr>
          </w:p>
        </w:tc>
        <w:tc>
          <w:tcPr>
            <w:tcW w:w="4500" w:type="dxa"/>
            <w:tcBorders>
              <w:top w:val="single" w:color="000000" w:sz="4" w:space="0"/>
              <w:left w:val="single" w:color="000000" w:sz="4" w:space="0"/>
              <w:bottom w:val="single" w:color="000000" w:sz="4" w:space="0"/>
              <w:right w:val="single" w:color="auto" w:sz="4" w:space="0"/>
            </w:tcBorders>
            <w:vAlign w:val="center"/>
          </w:tcPr>
          <w:p w14:paraId="7D25D843">
            <w:pPr>
              <w:keepNext w:val="0"/>
              <w:keepLines w:val="0"/>
              <w:widowControl/>
              <w:suppressLineNumbers w:val="0"/>
              <w:jc w:val="left"/>
              <w:textAlignment w:val="center"/>
              <w:rPr>
                <w:rFonts w:hint="eastAsia" w:ascii="宋体" w:hAnsi="宋体" w:cs="宋体"/>
                <w:i w:val="0"/>
                <w:color w:val="000000"/>
                <w:kern w:val="0"/>
                <w:sz w:val="22"/>
                <w:szCs w:val="22"/>
                <w:highlight w:val="none"/>
                <w:u w:val="none"/>
                <w:lang w:val="en-US" w:eastAsia="zh-CN" w:bidi="ar"/>
              </w:rPr>
            </w:pPr>
          </w:p>
        </w:tc>
      </w:tr>
    </w:tbl>
    <w:p w14:paraId="02E56D3E">
      <w:pPr>
        <w:autoSpaceDE w:val="0"/>
        <w:autoSpaceDN w:val="0"/>
        <w:adjustRightInd w:val="0"/>
        <w:spacing w:line="360" w:lineRule="auto"/>
        <w:ind w:firstLine="207" w:firstLineChars="98"/>
        <w:rPr>
          <w:rFonts w:ascii="宋体" w:hAnsi="宋体"/>
          <w:b/>
          <w:szCs w:val="21"/>
          <w:highlight w:val="none"/>
        </w:rPr>
      </w:pPr>
      <w:r>
        <w:rPr>
          <w:rFonts w:hint="eastAsia" w:ascii="宋体" w:hAnsi="宋体"/>
          <w:b/>
          <w:szCs w:val="21"/>
          <w:highlight w:val="none"/>
        </w:rPr>
        <w:t>备注：1、报价明细表汇总合计数额应和对应标项开标一览表报价相同，否则做无效标处理；</w:t>
      </w:r>
    </w:p>
    <w:p w14:paraId="36206DBB">
      <w:pPr>
        <w:spacing w:line="360" w:lineRule="auto"/>
        <w:ind w:firstLine="852" w:firstLineChars="400"/>
        <w:rPr>
          <w:rFonts w:ascii="宋体" w:hAnsi="宋体"/>
          <w:b/>
          <w:szCs w:val="21"/>
          <w:highlight w:val="none"/>
        </w:rPr>
      </w:pPr>
      <w:r>
        <w:rPr>
          <w:rFonts w:hint="eastAsia" w:ascii="宋体" w:hAnsi="宋体"/>
          <w:b/>
          <w:szCs w:val="21"/>
          <w:highlight w:val="none"/>
        </w:rPr>
        <w:t>2、</w:t>
      </w:r>
      <w:r>
        <w:rPr>
          <w:rFonts w:hint="eastAsia" w:ascii="宋体" w:hAnsi="宋体"/>
          <w:b/>
          <w:szCs w:val="21"/>
          <w:highlight w:val="none"/>
          <w:lang w:eastAsia="zh-CN"/>
        </w:rPr>
        <w:t>投标报价应包括招标文件中所要求的承包服务范围内所有消杀服务所需的药物、器械、人工、运杂、税金（包含关税,由供应商承担的）、相关服务承诺等各项可能涉及的费用。以及完成合同所需的一切本身和不可或缺的所有工作开支、政策性文件规定及合同包含的所有风险、责任等各项全部费用并承担一切风险责任</w:t>
      </w:r>
      <w:r>
        <w:rPr>
          <w:rFonts w:ascii="宋体" w:hAnsi="宋体"/>
          <w:b/>
          <w:szCs w:val="21"/>
          <w:highlight w:val="none"/>
        </w:rPr>
        <w:t>。</w:t>
      </w:r>
    </w:p>
    <w:p w14:paraId="2366B26E">
      <w:pPr>
        <w:snapToGrid w:val="0"/>
        <w:spacing w:line="360" w:lineRule="auto"/>
        <w:ind w:left="745" w:leftChars="350" w:firstLine="106" w:firstLineChars="50"/>
        <w:rPr>
          <w:rFonts w:ascii="宋体" w:hAnsi="宋体" w:cs="宋体"/>
          <w:b/>
          <w:sz w:val="28"/>
          <w:highlight w:val="none"/>
        </w:rPr>
      </w:pPr>
      <w:r>
        <w:rPr>
          <w:rFonts w:hint="eastAsia" w:ascii="宋体" w:hAnsi="宋体"/>
          <w:b/>
          <w:szCs w:val="21"/>
          <w:highlight w:val="none"/>
        </w:rPr>
        <w:t>3、其他费用由供应商自行考虑到投标报价中。</w:t>
      </w:r>
    </w:p>
    <w:p w14:paraId="67FEB85F">
      <w:pPr>
        <w:overflowPunct w:val="0"/>
        <w:autoSpaceDE w:val="0"/>
        <w:autoSpaceDN w:val="0"/>
        <w:spacing w:before="156" w:beforeLines="50" w:line="480" w:lineRule="exact"/>
        <w:ind w:firstLine="5589" w:firstLineChars="2300"/>
        <w:jc w:val="left"/>
        <w:rPr>
          <w:rFonts w:hint="eastAsia" w:ascii="宋体" w:hAnsi="宋体" w:cs="宋体"/>
          <w:color w:val="auto"/>
          <w:sz w:val="24"/>
          <w:highlight w:val="none"/>
          <w:u w:val="single"/>
        </w:rPr>
      </w:pPr>
      <w:r>
        <w:rPr>
          <w:rFonts w:hint="eastAsia" w:ascii="宋体" w:hAnsi="宋体" w:cs="宋体"/>
          <w:color w:val="auto"/>
          <w:sz w:val="24"/>
          <w:highlight w:val="none"/>
        </w:rPr>
        <w:t xml:space="preserve"> 投标人（盖章）</w:t>
      </w:r>
      <w:r>
        <w:rPr>
          <w:rFonts w:hint="eastAsia" w:ascii="宋体" w:hAnsi="宋体" w:cs="宋体"/>
          <w:color w:val="auto"/>
          <w:sz w:val="24"/>
          <w:highlight w:val="none"/>
          <w:lang w:bidi="ar"/>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bidi="ar"/>
        </w:rPr>
        <w:t xml:space="preserve">                         </w:t>
      </w:r>
    </w:p>
    <w:p w14:paraId="3211533F">
      <w:pPr>
        <w:snapToGrid w:val="0"/>
        <w:spacing w:line="400" w:lineRule="exact"/>
        <w:ind w:left="5820" w:leftChars="156" w:right="-828" w:rightChars="-389" w:hanging="5488" w:hangingChars="2259"/>
        <w:rPr>
          <w:rFonts w:ascii="宋体" w:hAnsi="宋体"/>
          <w:szCs w:val="21"/>
          <w:highlight w:val="none"/>
        </w:rPr>
      </w:pPr>
      <w:r>
        <w:rPr>
          <w:rFonts w:hint="eastAsia" w:ascii="宋体" w:hAnsi="宋体" w:cs="宋体"/>
          <w:color w:val="auto"/>
          <w:sz w:val="24"/>
          <w:highlight w:val="none"/>
        </w:rPr>
        <w:t xml:space="preserve">                          法定代表人或被授权人签字（或盖章）</w:t>
      </w:r>
      <w:r>
        <w:rPr>
          <w:rFonts w:hint="eastAsia" w:ascii="宋体" w:hAnsi="宋体" w:cs="宋体"/>
          <w:color w:val="auto"/>
          <w:sz w:val="24"/>
          <w:highlight w:val="none"/>
          <w:lang w:bidi="ar"/>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bidi="ar"/>
        </w:rPr>
        <w:t>日期：</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年</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月</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日</w:t>
      </w:r>
    </w:p>
    <w:p w14:paraId="735B77B4">
      <w:pPr>
        <w:wordWrap w:val="0"/>
        <w:overflowPunct w:val="0"/>
        <w:autoSpaceDE w:val="0"/>
        <w:autoSpaceDN w:val="0"/>
        <w:snapToGrid w:val="0"/>
        <w:spacing w:before="50" w:after="156" w:afterLines="50" w:line="360" w:lineRule="auto"/>
        <w:rPr>
          <w:rFonts w:hint="eastAsia" w:ascii="宋体" w:hAnsi="宋体" w:cs="宋体"/>
          <w:b/>
          <w:color w:val="auto"/>
          <w:sz w:val="24"/>
          <w:highlight w:val="none"/>
          <w:lang w:val="en-US" w:eastAsia="zh-CN"/>
        </w:rPr>
      </w:pPr>
    </w:p>
    <w:p w14:paraId="176A0248">
      <w:pPr>
        <w:wordWrap w:val="0"/>
        <w:overflowPunct w:val="0"/>
        <w:autoSpaceDE w:val="0"/>
        <w:autoSpaceDN w:val="0"/>
        <w:snapToGrid w:val="0"/>
        <w:spacing w:before="50" w:after="156" w:afterLines="50" w:line="360" w:lineRule="auto"/>
        <w:rPr>
          <w:rFonts w:hint="eastAsia" w:ascii="宋体" w:hAnsi="宋体" w:cs="宋体"/>
          <w:b/>
          <w:color w:val="auto"/>
          <w:sz w:val="24"/>
          <w:highlight w:val="none"/>
          <w:lang w:val="en-US" w:eastAsia="zh-CN"/>
        </w:rPr>
      </w:pPr>
    </w:p>
    <w:p w14:paraId="2C908463">
      <w:pPr>
        <w:wordWrap w:val="0"/>
        <w:overflowPunct w:val="0"/>
        <w:autoSpaceDE w:val="0"/>
        <w:autoSpaceDN w:val="0"/>
        <w:snapToGrid w:val="0"/>
        <w:spacing w:before="50" w:after="156" w:afterLines="50" w:line="360" w:lineRule="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15</w:t>
      </w:r>
      <w:r>
        <w:rPr>
          <w:rFonts w:hint="eastAsia" w:ascii="宋体" w:hAnsi="宋体" w:cs="宋体"/>
          <w:b/>
          <w:color w:val="auto"/>
          <w:sz w:val="24"/>
          <w:highlight w:val="none"/>
        </w:rPr>
        <w:t>.中小企业证明格式：</w:t>
      </w:r>
    </w:p>
    <w:p w14:paraId="1379D0C4">
      <w:pPr>
        <w:snapToGrid w:val="0"/>
        <w:spacing w:before="50" w:after="156" w:afterLines="50" w:line="560" w:lineRule="exact"/>
        <w:jc w:val="center"/>
        <w:rPr>
          <w:b/>
          <w:bCs/>
          <w:sz w:val="30"/>
          <w:szCs w:val="30"/>
          <w:highlight w:val="none"/>
        </w:rPr>
      </w:pPr>
      <w:r>
        <w:rPr>
          <w:rFonts w:hint="eastAsia"/>
          <w:b/>
          <w:bCs/>
          <w:sz w:val="30"/>
          <w:szCs w:val="30"/>
          <w:highlight w:val="none"/>
        </w:rPr>
        <w:t>中小企业声明函（服务）</w:t>
      </w:r>
    </w:p>
    <w:p w14:paraId="31D14FC3">
      <w:pPr>
        <w:spacing w:line="480" w:lineRule="auto"/>
        <w:ind w:firstLine="426" w:firstLineChars="200"/>
        <w:rPr>
          <w:rFonts w:ascii="宋体" w:hAnsi="宋体" w:cs="Arial"/>
          <w:sz w:val="21"/>
          <w:szCs w:val="21"/>
          <w:highlight w:val="none"/>
        </w:rPr>
      </w:pPr>
      <w:r>
        <w:rPr>
          <w:rFonts w:ascii="宋体" w:hAnsi="宋体" w:cs="Arial"/>
          <w:sz w:val="21"/>
          <w:szCs w:val="21"/>
          <w:highlight w:val="none"/>
        </w:rPr>
        <w:t>本公司（联合体）郑重声明，根据《政府采购促进中小企业发展管理办法》（财库</w:t>
      </w:r>
      <w:r>
        <w:rPr>
          <w:rFonts w:ascii="宋体" w:hAnsi="宋体" w:cs="Courier New"/>
          <w:sz w:val="21"/>
          <w:szCs w:val="21"/>
          <w:highlight w:val="none"/>
        </w:rPr>
        <w:t>﹝</w:t>
      </w:r>
      <w:r>
        <w:rPr>
          <w:rFonts w:ascii="宋体" w:hAnsi="宋体" w:cs="Arial"/>
          <w:sz w:val="21"/>
          <w:szCs w:val="21"/>
          <w:highlight w:val="none"/>
        </w:rPr>
        <w:t>2020</w:t>
      </w:r>
      <w:r>
        <w:rPr>
          <w:rFonts w:ascii="宋体" w:hAnsi="宋体" w:cs="Courier New"/>
          <w:sz w:val="21"/>
          <w:szCs w:val="21"/>
          <w:highlight w:val="none"/>
        </w:rPr>
        <w:t>﹞</w:t>
      </w:r>
      <w:r>
        <w:rPr>
          <w:rFonts w:ascii="宋体" w:hAnsi="宋体" w:cs="Arial"/>
          <w:sz w:val="21"/>
          <w:szCs w:val="21"/>
          <w:highlight w:val="none"/>
        </w:rPr>
        <w:t>46号）的规定，本公司（联合体）参加（</w:t>
      </w:r>
      <w:r>
        <w:rPr>
          <w:rFonts w:hint="eastAsia" w:ascii="宋体" w:hAnsi="宋体" w:cs="Arial"/>
          <w:sz w:val="21"/>
          <w:szCs w:val="21"/>
          <w:highlight w:val="none"/>
          <w:u w:val="single"/>
        </w:rPr>
        <w:t>采购</w:t>
      </w:r>
      <w:r>
        <w:rPr>
          <w:rFonts w:ascii="宋体" w:hAnsi="宋体" w:cs="Arial"/>
          <w:sz w:val="21"/>
          <w:szCs w:val="21"/>
          <w:highlight w:val="none"/>
          <w:u w:val="single"/>
        </w:rPr>
        <w:t>单位名称</w:t>
      </w:r>
      <w:r>
        <w:rPr>
          <w:rFonts w:ascii="宋体" w:hAnsi="宋体" w:cs="Arial"/>
          <w:sz w:val="21"/>
          <w:szCs w:val="21"/>
          <w:highlight w:val="none"/>
        </w:rPr>
        <w:t>）的（</w:t>
      </w:r>
      <w:r>
        <w:rPr>
          <w:rFonts w:ascii="宋体" w:hAnsi="宋体" w:cs="Arial"/>
          <w:sz w:val="21"/>
          <w:szCs w:val="21"/>
          <w:highlight w:val="none"/>
          <w:u w:val="single"/>
        </w:rPr>
        <w:t>项目名称</w:t>
      </w:r>
      <w:r>
        <w:rPr>
          <w:rFonts w:ascii="宋体" w:hAnsi="宋体" w:cs="Arial"/>
          <w:sz w:val="21"/>
          <w:szCs w:val="21"/>
          <w:highlight w:val="none"/>
        </w:rPr>
        <w:t>）采购活动，</w:t>
      </w:r>
      <w:r>
        <w:rPr>
          <w:rFonts w:hint="eastAsia" w:ascii="宋体" w:hAnsi="宋体" w:cs="Arial"/>
          <w:sz w:val="21"/>
          <w:szCs w:val="21"/>
          <w:highlight w:val="none"/>
        </w:rPr>
        <w:t>服务</w:t>
      </w:r>
      <w:r>
        <w:rPr>
          <w:rFonts w:ascii="宋体" w:hAnsi="宋体" w:cs="Arial"/>
          <w:sz w:val="21"/>
          <w:szCs w:val="21"/>
          <w:highlight w:val="none"/>
        </w:rPr>
        <w:t>全部由符合政策要求的中小企业</w:t>
      </w:r>
      <w:r>
        <w:rPr>
          <w:rFonts w:hint="eastAsia" w:ascii="宋体" w:hAnsi="宋体" w:cs="Arial"/>
          <w:sz w:val="21"/>
          <w:szCs w:val="21"/>
          <w:highlight w:val="none"/>
        </w:rPr>
        <w:t>提供</w:t>
      </w:r>
      <w:r>
        <w:rPr>
          <w:rFonts w:ascii="宋体" w:hAnsi="宋体" w:cs="Arial"/>
          <w:sz w:val="21"/>
          <w:szCs w:val="21"/>
          <w:highlight w:val="none"/>
        </w:rPr>
        <w:t>。</w:t>
      </w:r>
      <w:r>
        <w:rPr>
          <w:rFonts w:ascii="宋体" w:hAnsi="宋体" w:cs="Arial"/>
          <w:color w:val="auto"/>
          <w:sz w:val="21"/>
          <w:szCs w:val="21"/>
          <w:highlight w:val="none"/>
        </w:rPr>
        <w:t>相关企业（含联合体中的中小企业、签订分包意向协议的中小企业）</w:t>
      </w:r>
      <w:r>
        <w:rPr>
          <w:rFonts w:ascii="宋体" w:hAnsi="宋体" w:cs="Arial"/>
          <w:sz w:val="21"/>
          <w:szCs w:val="21"/>
          <w:highlight w:val="none"/>
        </w:rPr>
        <w:t>的具体情况如下：</w:t>
      </w:r>
    </w:p>
    <w:p w14:paraId="5A28D60C">
      <w:pPr>
        <w:numPr>
          <w:ilvl w:val="0"/>
          <w:numId w:val="0"/>
        </w:numPr>
        <w:spacing w:line="480" w:lineRule="auto"/>
        <w:ind w:firstLine="639" w:firstLineChars="300"/>
        <w:rPr>
          <w:rFonts w:ascii="宋体" w:hAnsi="宋体" w:cs="Arial"/>
          <w:sz w:val="21"/>
          <w:szCs w:val="21"/>
          <w:highlight w:val="none"/>
        </w:rPr>
      </w:pPr>
      <w:r>
        <w:rPr>
          <w:rFonts w:hint="eastAsia" w:ascii="宋体" w:hAnsi="宋体" w:cs="Arial"/>
          <w:sz w:val="21"/>
          <w:szCs w:val="21"/>
          <w:highlight w:val="none"/>
          <w:lang w:val="en-US" w:eastAsia="zh-CN"/>
        </w:rPr>
        <w:t>1.</w:t>
      </w:r>
      <w:r>
        <w:rPr>
          <w:rFonts w:ascii="宋体" w:hAnsi="宋体" w:cs="Arial"/>
          <w:sz w:val="21"/>
          <w:szCs w:val="21"/>
          <w:highlight w:val="none"/>
        </w:rPr>
        <w:t>（</w:t>
      </w:r>
      <w:r>
        <w:rPr>
          <w:rFonts w:ascii="宋体" w:hAnsi="宋体" w:cs="Arial"/>
          <w:sz w:val="21"/>
          <w:szCs w:val="21"/>
          <w:highlight w:val="none"/>
          <w:u w:val="single"/>
        </w:rPr>
        <w:t>标的名称</w:t>
      </w:r>
      <w:r>
        <w:rPr>
          <w:rFonts w:ascii="宋体" w:hAnsi="宋体" w:cs="Arial"/>
          <w:sz w:val="21"/>
          <w:szCs w:val="21"/>
          <w:highlight w:val="none"/>
        </w:rPr>
        <w:t>），属于</w:t>
      </w:r>
      <w:r>
        <w:rPr>
          <w:rFonts w:ascii="宋体" w:hAnsi="宋体" w:cs="Arial"/>
          <w:sz w:val="21"/>
          <w:szCs w:val="21"/>
          <w:highlight w:val="none"/>
          <w:u w:val="single"/>
        </w:rPr>
        <w:t>（</w:t>
      </w:r>
      <w:r>
        <w:rPr>
          <w:rFonts w:hint="eastAsia" w:ascii="宋体" w:hAnsi="宋体" w:cs="Arial"/>
          <w:sz w:val="21"/>
          <w:szCs w:val="21"/>
          <w:highlight w:val="none"/>
          <w:u w:val="single"/>
          <w:lang w:val="en-US" w:eastAsia="zh-CN"/>
        </w:rPr>
        <w:t>其他未列明行业</w:t>
      </w:r>
      <w:r>
        <w:rPr>
          <w:rFonts w:ascii="宋体" w:hAnsi="宋体" w:cs="Arial"/>
          <w:sz w:val="21"/>
          <w:szCs w:val="21"/>
          <w:highlight w:val="none"/>
          <w:u w:val="single"/>
        </w:rPr>
        <w:t>）</w:t>
      </w:r>
      <w:r>
        <w:rPr>
          <w:rFonts w:ascii="宋体" w:hAnsi="宋体" w:cs="Arial"/>
          <w:sz w:val="21"/>
          <w:szCs w:val="21"/>
          <w:highlight w:val="none"/>
        </w:rPr>
        <w:t>行业；</w:t>
      </w:r>
      <w:r>
        <w:rPr>
          <w:rFonts w:hint="eastAsia" w:ascii="宋体" w:hAnsi="宋体" w:cs="Arial"/>
          <w:sz w:val="21"/>
          <w:szCs w:val="21"/>
          <w:highlight w:val="none"/>
        </w:rPr>
        <w:t>承接企业</w:t>
      </w:r>
      <w:r>
        <w:rPr>
          <w:rFonts w:ascii="宋体" w:hAnsi="宋体" w:cs="Arial"/>
          <w:sz w:val="21"/>
          <w:szCs w:val="21"/>
          <w:highlight w:val="none"/>
        </w:rPr>
        <w:t>为（</w:t>
      </w:r>
      <w:r>
        <w:rPr>
          <w:rFonts w:ascii="宋体" w:hAnsi="宋体" w:cs="Arial"/>
          <w:sz w:val="21"/>
          <w:szCs w:val="21"/>
          <w:highlight w:val="none"/>
          <w:u w:val="single"/>
        </w:rPr>
        <w:t>企业名称</w:t>
      </w:r>
      <w:r>
        <w:rPr>
          <w:rFonts w:ascii="宋体" w:hAnsi="宋体" w:cs="Arial"/>
          <w:sz w:val="21"/>
          <w:szCs w:val="21"/>
          <w:highlight w:val="none"/>
        </w:rPr>
        <w:t>），从业人员人，营业收入为万元，资产总额为万元，属于（</w:t>
      </w:r>
      <w:r>
        <w:rPr>
          <w:rFonts w:ascii="宋体" w:hAnsi="宋体" w:cs="Arial"/>
          <w:sz w:val="21"/>
          <w:szCs w:val="21"/>
          <w:highlight w:val="none"/>
          <w:u w:val="single"/>
        </w:rPr>
        <w:t>中型企业、小型企业、微型企业</w:t>
      </w:r>
      <w:r>
        <w:rPr>
          <w:rFonts w:ascii="宋体" w:hAnsi="宋体" w:cs="Arial"/>
          <w:sz w:val="21"/>
          <w:szCs w:val="21"/>
          <w:highlight w:val="none"/>
        </w:rPr>
        <w:t>）；</w:t>
      </w:r>
    </w:p>
    <w:p w14:paraId="0BD68F72">
      <w:pPr>
        <w:spacing w:line="480" w:lineRule="auto"/>
        <w:ind w:firstLine="639" w:firstLineChars="300"/>
        <w:rPr>
          <w:rFonts w:ascii="宋体" w:hAnsi="宋体" w:cs="Arial"/>
          <w:sz w:val="21"/>
          <w:szCs w:val="21"/>
          <w:highlight w:val="none"/>
        </w:rPr>
      </w:pPr>
      <w:r>
        <w:rPr>
          <w:rFonts w:hint="eastAsia" w:ascii="宋体" w:hAnsi="宋体" w:cs="Arial"/>
          <w:sz w:val="21"/>
          <w:szCs w:val="21"/>
          <w:highlight w:val="none"/>
          <w:lang w:val="en-US" w:eastAsia="zh-CN"/>
        </w:rPr>
        <w:t>2.</w:t>
      </w:r>
      <w:r>
        <w:rPr>
          <w:rFonts w:ascii="宋体" w:hAnsi="宋体" w:cs="Arial"/>
          <w:sz w:val="21"/>
          <w:szCs w:val="21"/>
          <w:highlight w:val="none"/>
        </w:rPr>
        <w:t>（</w:t>
      </w:r>
      <w:r>
        <w:rPr>
          <w:rFonts w:ascii="宋体" w:hAnsi="宋体" w:cs="Arial"/>
          <w:sz w:val="21"/>
          <w:szCs w:val="21"/>
          <w:highlight w:val="none"/>
          <w:u w:val="single"/>
        </w:rPr>
        <w:t>标的名称</w:t>
      </w:r>
      <w:r>
        <w:rPr>
          <w:rFonts w:ascii="宋体" w:hAnsi="宋体" w:cs="Arial"/>
          <w:sz w:val="21"/>
          <w:szCs w:val="21"/>
          <w:highlight w:val="none"/>
        </w:rPr>
        <w:t>），属于</w:t>
      </w:r>
      <w:r>
        <w:rPr>
          <w:rFonts w:ascii="宋体" w:hAnsi="宋体" w:cs="Arial"/>
          <w:sz w:val="21"/>
          <w:szCs w:val="21"/>
          <w:highlight w:val="none"/>
          <w:u w:val="single"/>
        </w:rPr>
        <w:t>（</w:t>
      </w:r>
      <w:r>
        <w:rPr>
          <w:rFonts w:hint="eastAsia" w:ascii="宋体" w:hAnsi="宋体" w:cs="Arial"/>
          <w:sz w:val="21"/>
          <w:szCs w:val="21"/>
          <w:highlight w:val="none"/>
          <w:u w:val="single"/>
          <w:lang w:val="en-US" w:eastAsia="zh-CN"/>
        </w:rPr>
        <w:t>其他未列明行业</w:t>
      </w:r>
      <w:r>
        <w:rPr>
          <w:rFonts w:ascii="宋体" w:hAnsi="宋体" w:cs="Arial"/>
          <w:sz w:val="21"/>
          <w:szCs w:val="21"/>
          <w:highlight w:val="none"/>
          <w:u w:val="single"/>
        </w:rPr>
        <w:t>）</w:t>
      </w:r>
      <w:r>
        <w:rPr>
          <w:rFonts w:ascii="宋体" w:hAnsi="宋体" w:cs="Arial"/>
          <w:sz w:val="21"/>
          <w:szCs w:val="21"/>
          <w:highlight w:val="none"/>
        </w:rPr>
        <w:t>行业；</w:t>
      </w:r>
      <w:r>
        <w:rPr>
          <w:rFonts w:hint="eastAsia" w:ascii="宋体" w:hAnsi="宋体" w:cs="Arial"/>
          <w:sz w:val="21"/>
          <w:szCs w:val="21"/>
          <w:highlight w:val="none"/>
        </w:rPr>
        <w:t>承接企业</w:t>
      </w:r>
      <w:r>
        <w:rPr>
          <w:rFonts w:ascii="宋体" w:hAnsi="宋体" w:cs="Arial"/>
          <w:sz w:val="21"/>
          <w:szCs w:val="21"/>
          <w:highlight w:val="none"/>
        </w:rPr>
        <w:t>为（</w:t>
      </w:r>
      <w:r>
        <w:rPr>
          <w:rFonts w:ascii="宋体" w:hAnsi="宋体" w:cs="Arial"/>
          <w:sz w:val="21"/>
          <w:szCs w:val="21"/>
          <w:highlight w:val="none"/>
          <w:u w:val="single"/>
        </w:rPr>
        <w:t>企业名称</w:t>
      </w:r>
      <w:r>
        <w:rPr>
          <w:rFonts w:ascii="宋体" w:hAnsi="宋体" w:cs="Arial"/>
          <w:sz w:val="21"/>
          <w:szCs w:val="21"/>
          <w:highlight w:val="none"/>
        </w:rPr>
        <w:t>），从业人员人，营业收入为万元，资产总额为万元，属于（</w:t>
      </w:r>
      <w:r>
        <w:rPr>
          <w:rFonts w:ascii="宋体" w:hAnsi="宋体" w:cs="Arial"/>
          <w:sz w:val="21"/>
          <w:szCs w:val="21"/>
          <w:highlight w:val="none"/>
          <w:u w:val="single"/>
        </w:rPr>
        <w:t>中型企业、小型企业、微型企业</w:t>
      </w:r>
      <w:r>
        <w:rPr>
          <w:rFonts w:ascii="宋体" w:hAnsi="宋体" w:cs="Arial"/>
          <w:sz w:val="21"/>
          <w:szCs w:val="21"/>
          <w:highlight w:val="none"/>
        </w:rPr>
        <w:t>）；</w:t>
      </w:r>
    </w:p>
    <w:p w14:paraId="7968E164">
      <w:pPr>
        <w:pStyle w:val="3"/>
        <w:numPr>
          <w:ilvl w:val="0"/>
          <w:numId w:val="0"/>
        </w:numPr>
        <w:ind w:firstLine="639" w:firstLineChars="300"/>
        <w:rPr>
          <w:rFonts w:hint="default" w:eastAsia="楷体_GB2312"/>
          <w:sz w:val="21"/>
          <w:szCs w:val="21"/>
          <w:highlight w:val="none"/>
          <w:lang w:val="en-US" w:eastAsia="zh-CN"/>
        </w:rPr>
      </w:pPr>
      <w:r>
        <w:rPr>
          <w:rFonts w:hint="eastAsia"/>
          <w:sz w:val="21"/>
          <w:szCs w:val="21"/>
          <w:highlight w:val="none"/>
          <w:lang w:val="en-US" w:eastAsia="zh-CN"/>
        </w:rPr>
        <w:t>.....</w:t>
      </w:r>
    </w:p>
    <w:p w14:paraId="6D1647D8">
      <w:pPr>
        <w:spacing w:line="480" w:lineRule="auto"/>
        <w:ind w:firstLine="852" w:firstLineChars="400"/>
        <w:rPr>
          <w:rFonts w:ascii="宋体" w:hAnsi="宋体" w:cs="Arial"/>
          <w:sz w:val="21"/>
          <w:szCs w:val="21"/>
          <w:highlight w:val="none"/>
        </w:rPr>
      </w:pPr>
      <w:r>
        <w:rPr>
          <w:rFonts w:ascii="宋体" w:hAnsi="宋体" w:cs="Arial"/>
          <w:sz w:val="21"/>
          <w:szCs w:val="21"/>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6BAB1E64">
      <w:pPr>
        <w:spacing w:before="156" w:beforeLines="50" w:after="156" w:afterLines="50"/>
        <w:ind w:right="-21" w:rightChars="-10" w:firstLine="4473" w:firstLineChars="2100"/>
        <w:rPr>
          <w:rFonts w:ascii="Arial" w:hAnsi="Arial" w:cs="Arial"/>
          <w:sz w:val="21"/>
          <w:szCs w:val="21"/>
          <w:highlight w:val="none"/>
        </w:rPr>
      </w:pPr>
      <w:r>
        <w:rPr>
          <w:rFonts w:hint="eastAsia" w:ascii="Arial" w:hAnsi="Arial" w:cs="Arial"/>
          <w:sz w:val="21"/>
          <w:szCs w:val="21"/>
          <w:highlight w:val="none"/>
        </w:rPr>
        <w:t>竞争性磋商供应商</w:t>
      </w:r>
      <w:r>
        <w:rPr>
          <w:rFonts w:ascii="Arial" w:hAnsi="Arial" w:cs="Arial"/>
          <w:sz w:val="21"/>
          <w:szCs w:val="21"/>
          <w:highlight w:val="none"/>
        </w:rPr>
        <w:t>全称（公章）：</w:t>
      </w:r>
    </w:p>
    <w:p w14:paraId="64441D68">
      <w:pPr>
        <w:spacing w:before="156" w:beforeLines="50" w:after="156" w:afterLines="50"/>
        <w:ind w:right="-10" w:firstLine="4473" w:firstLineChars="2100"/>
        <w:rPr>
          <w:rFonts w:ascii="Arial" w:hAnsi="Arial" w:cs="Arial"/>
          <w:sz w:val="21"/>
          <w:szCs w:val="21"/>
          <w:highlight w:val="none"/>
        </w:rPr>
      </w:pPr>
      <w:r>
        <w:rPr>
          <w:rFonts w:ascii="Arial" w:hAnsi="Arial" w:cs="Arial"/>
          <w:sz w:val="21"/>
          <w:szCs w:val="21"/>
          <w:highlight w:val="none"/>
        </w:rPr>
        <w:t>法定代表人或授权代表（签字或盖章）：</w:t>
      </w:r>
    </w:p>
    <w:p w14:paraId="10BD3BD5">
      <w:pPr>
        <w:spacing w:before="156" w:beforeLines="50" w:after="156" w:afterLines="50"/>
        <w:ind w:right="-10" w:firstLine="4473" w:firstLineChars="2100"/>
        <w:rPr>
          <w:rFonts w:hint="eastAsia" w:ascii="Arial" w:hAnsi="Arial" w:eastAsia="宋体" w:cs="Arial"/>
          <w:sz w:val="21"/>
          <w:szCs w:val="21"/>
          <w:highlight w:val="none"/>
        </w:rPr>
      </w:pPr>
      <w:r>
        <w:rPr>
          <w:rFonts w:hint="eastAsia" w:ascii="Arial" w:hAnsi="Arial" w:eastAsia="宋体" w:cs="Arial"/>
          <w:sz w:val="21"/>
          <w:szCs w:val="21"/>
          <w:highlight w:val="none"/>
        </w:rPr>
        <w:t>日期：</w:t>
      </w:r>
      <w:r>
        <w:rPr>
          <w:rFonts w:hint="eastAsia" w:ascii="Arial" w:hAnsi="Arial" w:eastAsia="宋体" w:cs="Arial"/>
          <w:sz w:val="21"/>
          <w:szCs w:val="21"/>
          <w:highlight w:val="none"/>
          <w:lang w:val="en-US" w:eastAsia="zh-CN"/>
        </w:rPr>
        <w:t xml:space="preserve"> </w:t>
      </w:r>
      <w:r>
        <w:rPr>
          <w:rFonts w:hint="eastAsia" w:ascii="Arial" w:hAnsi="Arial" w:eastAsia="宋体" w:cs="Arial"/>
          <w:sz w:val="21"/>
          <w:szCs w:val="21"/>
          <w:highlight w:val="none"/>
        </w:rPr>
        <w:t>年</w:t>
      </w:r>
      <w:r>
        <w:rPr>
          <w:rFonts w:hint="eastAsia" w:ascii="Arial" w:hAnsi="Arial" w:eastAsia="宋体" w:cs="Arial"/>
          <w:sz w:val="21"/>
          <w:szCs w:val="21"/>
          <w:highlight w:val="none"/>
          <w:lang w:val="en-US" w:eastAsia="zh-CN"/>
        </w:rPr>
        <w:t xml:space="preserve"> </w:t>
      </w:r>
      <w:r>
        <w:rPr>
          <w:rFonts w:hint="eastAsia" w:ascii="Arial" w:hAnsi="Arial" w:eastAsia="宋体" w:cs="Arial"/>
          <w:sz w:val="21"/>
          <w:szCs w:val="21"/>
          <w:highlight w:val="none"/>
        </w:rPr>
        <w:t>月</w:t>
      </w:r>
      <w:r>
        <w:rPr>
          <w:rFonts w:hint="eastAsia" w:ascii="Arial" w:hAnsi="Arial" w:eastAsia="宋体" w:cs="Arial"/>
          <w:sz w:val="21"/>
          <w:szCs w:val="21"/>
          <w:highlight w:val="none"/>
          <w:lang w:val="en-US" w:eastAsia="zh-CN"/>
        </w:rPr>
        <w:t xml:space="preserve"> </w:t>
      </w:r>
      <w:r>
        <w:rPr>
          <w:rFonts w:hint="eastAsia" w:ascii="Arial" w:hAnsi="Arial" w:eastAsia="宋体" w:cs="Arial"/>
          <w:sz w:val="21"/>
          <w:szCs w:val="21"/>
          <w:highlight w:val="none"/>
        </w:rPr>
        <w:t>日</w:t>
      </w:r>
    </w:p>
    <w:p w14:paraId="57A97B17">
      <w:pPr>
        <w:keepNext w:val="0"/>
        <w:keepLines w:val="0"/>
        <w:pageBreakBefore w:val="0"/>
        <w:widowControl w:val="0"/>
        <w:shd w:val="clear" w:color="auto" w:fill="auto"/>
        <w:kinsoku/>
        <w:wordWrap/>
        <w:overflowPunct w:val="0"/>
        <w:topLinePunct/>
        <w:autoSpaceDE w:val="0"/>
        <w:autoSpaceDN w:val="0"/>
        <w:bidi w:val="0"/>
        <w:adjustRightInd/>
        <w:snapToGrid/>
        <w:spacing w:line="360" w:lineRule="auto"/>
        <w:ind w:left="0" w:leftChars="0" w:right="0" w:rightChars="0" w:firstLine="426"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w:t>
      </w:r>
    </w:p>
    <w:p w14:paraId="798E74CD">
      <w:pPr>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26"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从业人员、营业收入、资产总额填报上一年度数据，无上一年度数据的新成立企业可不填报。</w:t>
      </w:r>
    </w:p>
    <w:p w14:paraId="4C65BCC9">
      <w:pPr>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26"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根据财库〔2020〕46号之相关规定：成交供应商享受本办法规定的中小企业扶持政策的，采购人、采购代理机构应当随中标结果公开成交供应商的《中小企业声明函》。 供应商按照本办法规定提供声明函内容不实的，属于提供虚假材料谋取中标，依照《中华人民共和国政府采购法》等国家有关规定追究相应责任。</w:t>
      </w:r>
    </w:p>
    <w:p w14:paraId="430D9DE2">
      <w:pPr>
        <w:pStyle w:val="2"/>
        <w:rPr>
          <w:rFonts w:hint="eastAsia"/>
          <w:highlight w:val="none"/>
          <w:lang w:eastAsia="zh-CN"/>
        </w:rPr>
      </w:pPr>
    </w:p>
    <w:tbl>
      <w:tblPr>
        <w:tblStyle w:val="27"/>
        <w:tblW w:w="972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800"/>
        <w:gridCol w:w="1440"/>
        <w:gridCol w:w="1080"/>
        <w:gridCol w:w="1260"/>
        <w:gridCol w:w="1800"/>
        <w:gridCol w:w="1440"/>
        <w:gridCol w:w="900"/>
      </w:tblGrid>
      <w:tr w14:paraId="0544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tcMar>
              <w:top w:w="30" w:type="dxa"/>
              <w:left w:w="90" w:type="dxa"/>
              <w:bottom w:w="30" w:type="dxa"/>
              <w:right w:w="90" w:type="dxa"/>
            </w:tcMar>
            <w:vAlign w:val="center"/>
          </w:tcPr>
          <w:p w14:paraId="4C26A84D">
            <w:pPr>
              <w:pStyle w:val="25"/>
              <w:wordWrap w:val="0"/>
              <w:spacing w:before="0" w:beforeAutospacing="0" w:after="0" w:afterAutospacing="0" w:line="300" w:lineRule="exact"/>
              <w:jc w:val="center"/>
              <w:rPr>
                <w:sz w:val="21"/>
                <w:szCs w:val="21"/>
                <w:highlight w:val="none"/>
              </w:rPr>
            </w:pPr>
            <w:r>
              <w:rPr>
                <w:rStyle w:val="30"/>
                <w:sz w:val="21"/>
                <w:szCs w:val="21"/>
                <w:highlight w:val="none"/>
              </w:rPr>
              <w:t>行业名称</w:t>
            </w:r>
          </w:p>
        </w:tc>
        <w:tc>
          <w:tcPr>
            <w:tcW w:w="1440" w:type="dxa"/>
            <w:tcMar>
              <w:top w:w="30" w:type="dxa"/>
              <w:left w:w="90" w:type="dxa"/>
              <w:bottom w:w="30" w:type="dxa"/>
              <w:right w:w="90" w:type="dxa"/>
            </w:tcMar>
            <w:vAlign w:val="center"/>
          </w:tcPr>
          <w:p w14:paraId="75D41EDD">
            <w:pPr>
              <w:pStyle w:val="25"/>
              <w:wordWrap w:val="0"/>
              <w:spacing w:before="0" w:beforeAutospacing="0" w:after="0" w:afterAutospacing="0" w:line="300" w:lineRule="exact"/>
              <w:jc w:val="center"/>
              <w:rPr>
                <w:sz w:val="21"/>
                <w:szCs w:val="21"/>
                <w:highlight w:val="none"/>
              </w:rPr>
            </w:pPr>
            <w:r>
              <w:rPr>
                <w:rStyle w:val="30"/>
                <w:sz w:val="21"/>
                <w:szCs w:val="21"/>
                <w:highlight w:val="none"/>
              </w:rPr>
              <w:t>指标名称</w:t>
            </w:r>
          </w:p>
        </w:tc>
        <w:tc>
          <w:tcPr>
            <w:tcW w:w="1080" w:type="dxa"/>
            <w:tcMar>
              <w:top w:w="30" w:type="dxa"/>
              <w:left w:w="90" w:type="dxa"/>
              <w:bottom w:w="30" w:type="dxa"/>
              <w:right w:w="90" w:type="dxa"/>
            </w:tcMar>
            <w:vAlign w:val="center"/>
          </w:tcPr>
          <w:p w14:paraId="2959C284">
            <w:pPr>
              <w:pStyle w:val="25"/>
              <w:wordWrap w:val="0"/>
              <w:spacing w:before="0" w:beforeAutospacing="0" w:after="0" w:afterAutospacing="0" w:line="300" w:lineRule="exact"/>
              <w:jc w:val="center"/>
              <w:rPr>
                <w:sz w:val="21"/>
                <w:szCs w:val="21"/>
                <w:highlight w:val="none"/>
              </w:rPr>
            </w:pPr>
            <w:r>
              <w:rPr>
                <w:rStyle w:val="30"/>
                <w:sz w:val="21"/>
                <w:szCs w:val="21"/>
                <w:highlight w:val="none"/>
              </w:rPr>
              <w:t>计量单位</w:t>
            </w:r>
          </w:p>
        </w:tc>
        <w:tc>
          <w:tcPr>
            <w:tcW w:w="1260" w:type="dxa"/>
            <w:tcMar>
              <w:top w:w="30" w:type="dxa"/>
              <w:left w:w="90" w:type="dxa"/>
              <w:bottom w:w="30" w:type="dxa"/>
              <w:right w:w="90" w:type="dxa"/>
            </w:tcMar>
            <w:vAlign w:val="center"/>
          </w:tcPr>
          <w:p w14:paraId="3B999AFA">
            <w:pPr>
              <w:pStyle w:val="25"/>
              <w:wordWrap w:val="0"/>
              <w:spacing w:before="0" w:beforeAutospacing="0" w:after="0" w:afterAutospacing="0" w:line="300" w:lineRule="exact"/>
              <w:jc w:val="center"/>
              <w:rPr>
                <w:sz w:val="21"/>
                <w:szCs w:val="21"/>
                <w:highlight w:val="none"/>
              </w:rPr>
            </w:pPr>
            <w:r>
              <w:rPr>
                <w:rStyle w:val="30"/>
                <w:sz w:val="21"/>
                <w:szCs w:val="21"/>
                <w:highlight w:val="none"/>
              </w:rPr>
              <w:t>大型</w:t>
            </w:r>
          </w:p>
        </w:tc>
        <w:tc>
          <w:tcPr>
            <w:tcW w:w="1800" w:type="dxa"/>
            <w:tcMar>
              <w:top w:w="30" w:type="dxa"/>
              <w:left w:w="90" w:type="dxa"/>
              <w:bottom w:w="30" w:type="dxa"/>
              <w:right w:w="90" w:type="dxa"/>
            </w:tcMar>
            <w:vAlign w:val="center"/>
          </w:tcPr>
          <w:p w14:paraId="0AC3E893">
            <w:pPr>
              <w:pStyle w:val="25"/>
              <w:wordWrap w:val="0"/>
              <w:spacing w:before="0" w:beforeAutospacing="0" w:after="0" w:afterAutospacing="0" w:line="300" w:lineRule="exact"/>
              <w:jc w:val="center"/>
              <w:rPr>
                <w:sz w:val="21"/>
                <w:szCs w:val="21"/>
                <w:highlight w:val="none"/>
              </w:rPr>
            </w:pPr>
            <w:r>
              <w:rPr>
                <w:rStyle w:val="30"/>
                <w:sz w:val="21"/>
                <w:szCs w:val="21"/>
                <w:highlight w:val="none"/>
              </w:rPr>
              <w:t>中型</w:t>
            </w:r>
          </w:p>
        </w:tc>
        <w:tc>
          <w:tcPr>
            <w:tcW w:w="1440" w:type="dxa"/>
            <w:tcMar>
              <w:top w:w="30" w:type="dxa"/>
              <w:left w:w="90" w:type="dxa"/>
              <w:bottom w:w="30" w:type="dxa"/>
              <w:right w:w="90" w:type="dxa"/>
            </w:tcMar>
            <w:vAlign w:val="center"/>
          </w:tcPr>
          <w:p w14:paraId="6DE09E6E">
            <w:pPr>
              <w:pStyle w:val="25"/>
              <w:wordWrap w:val="0"/>
              <w:spacing w:before="0" w:beforeAutospacing="0" w:after="0" w:afterAutospacing="0" w:line="300" w:lineRule="exact"/>
              <w:jc w:val="center"/>
              <w:rPr>
                <w:sz w:val="21"/>
                <w:szCs w:val="21"/>
                <w:highlight w:val="none"/>
              </w:rPr>
            </w:pPr>
            <w:r>
              <w:rPr>
                <w:rStyle w:val="30"/>
                <w:sz w:val="21"/>
                <w:szCs w:val="21"/>
                <w:highlight w:val="none"/>
              </w:rPr>
              <w:t>小型</w:t>
            </w:r>
          </w:p>
        </w:tc>
        <w:tc>
          <w:tcPr>
            <w:tcW w:w="900" w:type="dxa"/>
            <w:tcMar>
              <w:top w:w="30" w:type="dxa"/>
              <w:left w:w="90" w:type="dxa"/>
              <w:bottom w:w="30" w:type="dxa"/>
              <w:right w:w="90" w:type="dxa"/>
            </w:tcMar>
            <w:vAlign w:val="center"/>
          </w:tcPr>
          <w:p w14:paraId="08BDFAE2">
            <w:pPr>
              <w:pStyle w:val="25"/>
              <w:wordWrap w:val="0"/>
              <w:spacing w:before="0" w:beforeAutospacing="0" w:after="0" w:afterAutospacing="0" w:line="300" w:lineRule="exact"/>
              <w:jc w:val="center"/>
              <w:rPr>
                <w:sz w:val="21"/>
                <w:szCs w:val="21"/>
                <w:highlight w:val="none"/>
              </w:rPr>
            </w:pPr>
            <w:r>
              <w:rPr>
                <w:rStyle w:val="30"/>
                <w:sz w:val="21"/>
                <w:szCs w:val="21"/>
                <w:highlight w:val="none"/>
              </w:rPr>
              <w:t>微型</w:t>
            </w:r>
          </w:p>
        </w:tc>
      </w:tr>
      <w:tr w14:paraId="3A64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tcMar>
              <w:top w:w="30" w:type="dxa"/>
              <w:left w:w="90" w:type="dxa"/>
              <w:bottom w:w="30" w:type="dxa"/>
              <w:right w:w="90" w:type="dxa"/>
            </w:tcMar>
            <w:vAlign w:val="center"/>
          </w:tcPr>
          <w:p w14:paraId="35341901">
            <w:pPr>
              <w:pStyle w:val="25"/>
              <w:spacing w:before="0" w:beforeAutospacing="0" w:after="0" w:afterAutospacing="0" w:line="300" w:lineRule="exact"/>
              <w:jc w:val="center"/>
              <w:rPr>
                <w:sz w:val="21"/>
                <w:szCs w:val="21"/>
                <w:highlight w:val="none"/>
              </w:rPr>
            </w:pPr>
            <w:r>
              <w:rPr>
                <w:sz w:val="21"/>
                <w:szCs w:val="21"/>
                <w:highlight w:val="none"/>
              </w:rPr>
              <w:t>农、林、牧、渔业</w:t>
            </w:r>
          </w:p>
        </w:tc>
        <w:tc>
          <w:tcPr>
            <w:tcW w:w="1440" w:type="dxa"/>
            <w:tcMar>
              <w:top w:w="30" w:type="dxa"/>
              <w:left w:w="90" w:type="dxa"/>
              <w:bottom w:w="30" w:type="dxa"/>
              <w:right w:w="90" w:type="dxa"/>
            </w:tcMar>
            <w:vAlign w:val="center"/>
          </w:tcPr>
          <w:p w14:paraId="5E57C400">
            <w:pPr>
              <w:pStyle w:val="25"/>
              <w:wordWrap w:val="0"/>
              <w:spacing w:before="0" w:beforeAutospacing="0" w:after="0" w:afterAutospacing="0" w:line="300" w:lineRule="exact"/>
              <w:jc w:val="center"/>
              <w:rPr>
                <w:sz w:val="21"/>
                <w:szCs w:val="21"/>
                <w:highlight w:val="none"/>
              </w:rPr>
            </w:pPr>
            <w:r>
              <w:rPr>
                <w:sz w:val="21"/>
                <w:szCs w:val="21"/>
                <w:highlight w:val="none"/>
              </w:rPr>
              <w:t>营业收入(Y)</w:t>
            </w:r>
          </w:p>
        </w:tc>
        <w:tc>
          <w:tcPr>
            <w:tcW w:w="1080" w:type="dxa"/>
            <w:tcMar>
              <w:top w:w="30" w:type="dxa"/>
              <w:left w:w="90" w:type="dxa"/>
              <w:bottom w:w="30" w:type="dxa"/>
              <w:right w:w="90" w:type="dxa"/>
            </w:tcMar>
            <w:vAlign w:val="center"/>
          </w:tcPr>
          <w:p w14:paraId="47DE5E60">
            <w:pPr>
              <w:pStyle w:val="25"/>
              <w:wordWrap w:val="0"/>
              <w:spacing w:before="0" w:beforeAutospacing="0" w:after="0" w:afterAutospacing="0" w:line="300" w:lineRule="exact"/>
              <w:jc w:val="center"/>
              <w:rPr>
                <w:sz w:val="21"/>
                <w:szCs w:val="21"/>
                <w:highlight w:val="none"/>
              </w:rPr>
            </w:pPr>
            <w:r>
              <w:rPr>
                <w:sz w:val="21"/>
                <w:szCs w:val="21"/>
                <w:highlight w:val="none"/>
              </w:rPr>
              <w:t>万元</w:t>
            </w:r>
          </w:p>
        </w:tc>
        <w:tc>
          <w:tcPr>
            <w:tcW w:w="1260" w:type="dxa"/>
            <w:tcMar>
              <w:top w:w="30" w:type="dxa"/>
              <w:left w:w="90" w:type="dxa"/>
              <w:bottom w:w="30" w:type="dxa"/>
              <w:right w:w="90" w:type="dxa"/>
            </w:tcMar>
            <w:vAlign w:val="center"/>
          </w:tcPr>
          <w:p w14:paraId="183A7A26">
            <w:pPr>
              <w:pStyle w:val="25"/>
              <w:wordWrap w:val="0"/>
              <w:spacing w:before="0" w:beforeAutospacing="0" w:after="0" w:afterAutospacing="0" w:line="300" w:lineRule="exact"/>
              <w:jc w:val="center"/>
              <w:rPr>
                <w:sz w:val="21"/>
                <w:szCs w:val="21"/>
                <w:highlight w:val="none"/>
              </w:rPr>
            </w:pPr>
            <w:r>
              <w:rPr>
                <w:sz w:val="21"/>
                <w:szCs w:val="21"/>
                <w:highlight w:val="none"/>
              </w:rPr>
              <w:t>Y≥20000</w:t>
            </w:r>
          </w:p>
        </w:tc>
        <w:tc>
          <w:tcPr>
            <w:tcW w:w="1800" w:type="dxa"/>
            <w:tcMar>
              <w:top w:w="30" w:type="dxa"/>
              <w:left w:w="90" w:type="dxa"/>
              <w:bottom w:w="30" w:type="dxa"/>
              <w:right w:w="90" w:type="dxa"/>
            </w:tcMar>
            <w:vAlign w:val="center"/>
          </w:tcPr>
          <w:p w14:paraId="4076623A">
            <w:pPr>
              <w:pStyle w:val="25"/>
              <w:wordWrap w:val="0"/>
              <w:spacing w:before="0" w:beforeAutospacing="0" w:after="0" w:afterAutospacing="0" w:line="300" w:lineRule="exact"/>
              <w:jc w:val="center"/>
              <w:rPr>
                <w:sz w:val="21"/>
                <w:szCs w:val="21"/>
                <w:highlight w:val="none"/>
              </w:rPr>
            </w:pPr>
            <w:r>
              <w:rPr>
                <w:sz w:val="21"/>
                <w:szCs w:val="21"/>
                <w:highlight w:val="none"/>
              </w:rPr>
              <w:t>500≤Y&lt;20000</w:t>
            </w:r>
          </w:p>
        </w:tc>
        <w:tc>
          <w:tcPr>
            <w:tcW w:w="1440" w:type="dxa"/>
            <w:tcMar>
              <w:top w:w="30" w:type="dxa"/>
              <w:left w:w="90" w:type="dxa"/>
              <w:bottom w:w="30" w:type="dxa"/>
              <w:right w:w="90" w:type="dxa"/>
            </w:tcMar>
            <w:vAlign w:val="center"/>
          </w:tcPr>
          <w:p w14:paraId="6D45991C">
            <w:pPr>
              <w:pStyle w:val="25"/>
              <w:wordWrap w:val="0"/>
              <w:spacing w:before="0" w:beforeAutospacing="0" w:after="0" w:afterAutospacing="0" w:line="300" w:lineRule="exact"/>
              <w:jc w:val="center"/>
              <w:rPr>
                <w:sz w:val="21"/>
                <w:szCs w:val="21"/>
                <w:highlight w:val="none"/>
              </w:rPr>
            </w:pPr>
            <w:r>
              <w:rPr>
                <w:sz w:val="21"/>
                <w:szCs w:val="21"/>
                <w:highlight w:val="none"/>
              </w:rPr>
              <w:t>50≤Y&lt;500</w:t>
            </w:r>
          </w:p>
        </w:tc>
        <w:tc>
          <w:tcPr>
            <w:tcW w:w="900" w:type="dxa"/>
            <w:tcMar>
              <w:top w:w="30" w:type="dxa"/>
              <w:left w:w="90" w:type="dxa"/>
              <w:bottom w:w="30" w:type="dxa"/>
              <w:right w:w="90" w:type="dxa"/>
            </w:tcMar>
            <w:vAlign w:val="center"/>
          </w:tcPr>
          <w:p w14:paraId="6A1D3C97">
            <w:pPr>
              <w:pStyle w:val="25"/>
              <w:wordWrap w:val="0"/>
              <w:spacing w:before="0" w:beforeAutospacing="0" w:after="0" w:afterAutospacing="0" w:line="300" w:lineRule="exact"/>
              <w:jc w:val="center"/>
              <w:rPr>
                <w:sz w:val="21"/>
                <w:szCs w:val="21"/>
                <w:highlight w:val="none"/>
              </w:rPr>
            </w:pPr>
            <w:r>
              <w:rPr>
                <w:sz w:val="21"/>
                <w:szCs w:val="21"/>
                <w:highlight w:val="none"/>
              </w:rPr>
              <w:t>Y&lt;50</w:t>
            </w:r>
          </w:p>
        </w:tc>
      </w:tr>
      <w:tr w14:paraId="7561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198941A6">
            <w:pPr>
              <w:pStyle w:val="25"/>
              <w:wordWrap w:val="0"/>
              <w:spacing w:before="0" w:beforeAutospacing="0" w:after="0" w:afterAutospacing="0" w:line="300" w:lineRule="exact"/>
              <w:jc w:val="center"/>
              <w:rPr>
                <w:sz w:val="21"/>
                <w:szCs w:val="21"/>
                <w:highlight w:val="none"/>
              </w:rPr>
            </w:pPr>
            <w:r>
              <w:rPr>
                <w:sz w:val="21"/>
                <w:szCs w:val="21"/>
                <w:highlight w:val="none"/>
              </w:rPr>
              <w:t>工业</w:t>
            </w:r>
          </w:p>
        </w:tc>
        <w:tc>
          <w:tcPr>
            <w:tcW w:w="1440" w:type="dxa"/>
            <w:tcMar>
              <w:top w:w="30" w:type="dxa"/>
              <w:left w:w="90" w:type="dxa"/>
              <w:bottom w:w="30" w:type="dxa"/>
              <w:right w:w="90" w:type="dxa"/>
            </w:tcMar>
            <w:vAlign w:val="center"/>
          </w:tcPr>
          <w:p w14:paraId="56056396">
            <w:pPr>
              <w:pStyle w:val="25"/>
              <w:wordWrap w:val="0"/>
              <w:spacing w:before="0" w:beforeAutospacing="0" w:after="0" w:afterAutospacing="0" w:line="300" w:lineRule="exact"/>
              <w:jc w:val="center"/>
              <w:rPr>
                <w:sz w:val="21"/>
                <w:szCs w:val="21"/>
                <w:highlight w:val="none"/>
              </w:rPr>
            </w:pPr>
            <w:r>
              <w:rPr>
                <w:sz w:val="21"/>
                <w:szCs w:val="21"/>
                <w:highlight w:val="none"/>
              </w:rPr>
              <w:t>从业人员(X)</w:t>
            </w:r>
          </w:p>
        </w:tc>
        <w:tc>
          <w:tcPr>
            <w:tcW w:w="1080" w:type="dxa"/>
            <w:tcMar>
              <w:top w:w="30" w:type="dxa"/>
              <w:left w:w="90" w:type="dxa"/>
              <w:bottom w:w="30" w:type="dxa"/>
              <w:right w:w="90" w:type="dxa"/>
            </w:tcMar>
            <w:vAlign w:val="center"/>
          </w:tcPr>
          <w:p w14:paraId="57440932">
            <w:pPr>
              <w:pStyle w:val="25"/>
              <w:wordWrap w:val="0"/>
              <w:spacing w:before="0" w:beforeAutospacing="0" w:after="0" w:afterAutospacing="0" w:line="300" w:lineRule="exact"/>
              <w:jc w:val="center"/>
              <w:rPr>
                <w:sz w:val="21"/>
                <w:szCs w:val="21"/>
                <w:highlight w:val="none"/>
              </w:rPr>
            </w:pPr>
            <w:r>
              <w:rPr>
                <w:sz w:val="21"/>
                <w:szCs w:val="21"/>
                <w:highlight w:val="none"/>
              </w:rPr>
              <w:t>人</w:t>
            </w:r>
          </w:p>
        </w:tc>
        <w:tc>
          <w:tcPr>
            <w:tcW w:w="1260" w:type="dxa"/>
            <w:tcMar>
              <w:top w:w="30" w:type="dxa"/>
              <w:left w:w="90" w:type="dxa"/>
              <w:bottom w:w="30" w:type="dxa"/>
              <w:right w:w="90" w:type="dxa"/>
            </w:tcMar>
            <w:vAlign w:val="center"/>
          </w:tcPr>
          <w:p w14:paraId="0A32A55F">
            <w:pPr>
              <w:pStyle w:val="25"/>
              <w:wordWrap w:val="0"/>
              <w:spacing w:before="0" w:beforeAutospacing="0" w:after="0" w:afterAutospacing="0" w:line="300" w:lineRule="exact"/>
              <w:jc w:val="center"/>
              <w:rPr>
                <w:sz w:val="21"/>
                <w:szCs w:val="21"/>
                <w:highlight w:val="none"/>
              </w:rPr>
            </w:pPr>
            <w:r>
              <w:rPr>
                <w:sz w:val="21"/>
                <w:szCs w:val="21"/>
                <w:highlight w:val="none"/>
              </w:rPr>
              <w:t>X≥1000</w:t>
            </w:r>
          </w:p>
        </w:tc>
        <w:tc>
          <w:tcPr>
            <w:tcW w:w="1800" w:type="dxa"/>
            <w:tcMar>
              <w:top w:w="30" w:type="dxa"/>
              <w:left w:w="90" w:type="dxa"/>
              <w:bottom w:w="30" w:type="dxa"/>
              <w:right w:w="90" w:type="dxa"/>
            </w:tcMar>
            <w:vAlign w:val="center"/>
          </w:tcPr>
          <w:p w14:paraId="5430ACC8">
            <w:pPr>
              <w:pStyle w:val="25"/>
              <w:wordWrap w:val="0"/>
              <w:spacing w:before="0" w:beforeAutospacing="0" w:after="0" w:afterAutospacing="0" w:line="300" w:lineRule="exact"/>
              <w:jc w:val="center"/>
              <w:rPr>
                <w:sz w:val="21"/>
                <w:szCs w:val="21"/>
                <w:highlight w:val="none"/>
              </w:rPr>
            </w:pPr>
            <w:r>
              <w:rPr>
                <w:sz w:val="21"/>
                <w:szCs w:val="21"/>
                <w:highlight w:val="none"/>
              </w:rPr>
              <w:t>300≤X&lt;1000</w:t>
            </w:r>
          </w:p>
        </w:tc>
        <w:tc>
          <w:tcPr>
            <w:tcW w:w="1440" w:type="dxa"/>
            <w:tcMar>
              <w:top w:w="30" w:type="dxa"/>
              <w:left w:w="90" w:type="dxa"/>
              <w:bottom w:w="30" w:type="dxa"/>
              <w:right w:w="90" w:type="dxa"/>
            </w:tcMar>
            <w:vAlign w:val="center"/>
          </w:tcPr>
          <w:p w14:paraId="4225B966">
            <w:pPr>
              <w:pStyle w:val="25"/>
              <w:wordWrap w:val="0"/>
              <w:spacing w:before="0" w:beforeAutospacing="0" w:after="0" w:afterAutospacing="0" w:line="300" w:lineRule="exact"/>
              <w:jc w:val="center"/>
              <w:rPr>
                <w:sz w:val="21"/>
                <w:szCs w:val="21"/>
                <w:highlight w:val="none"/>
              </w:rPr>
            </w:pPr>
            <w:r>
              <w:rPr>
                <w:sz w:val="21"/>
                <w:szCs w:val="21"/>
                <w:highlight w:val="none"/>
              </w:rPr>
              <w:t>20≤X&lt;300</w:t>
            </w:r>
          </w:p>
        </w:tc>
        <w:tc>
          <w:tcPr>
            <w:tcW w:w="900" w:type="dxa"/>
            <w:tcMar>
              <w:top w:w="30" w:type="dxa"/>
              <w:left w:w="90" w:type="dxa"/>
              <w:bottom w:w="30" w:type="dxa"/>
              <w:right w:w="90" w:type="dxa"/>
            </w:tcMar>
            <w:vAlign w:val="center"/>
          </w:tcPr>
          <w:p w14:paraId="0FCE468F">
            <w:pPr>
              <w:pStyle w:val="25"/>
              <w:wordWrap w:val="0"/>
              <w:spacing w:before="0" w:beforeAutospacing="0" w:after="0" w:afterAutospacing="0" w:line="300" w:lineRule="exact"/>
              <w:jc w:val="center"/>
              <w:rPr>
                <w:sz w:val="21"/>
                <w:szCs w:val="21"/>
                <w:highlight w:val="none"/>
              </w:rPr>
            </w:pPr>
            <w:r>
              <w:rPr>
                <w:sz w:val="21"/>
                <w:szCs w:val="21"/>
                <w:highlight w:val="none"/>
              </w:rPr>
              <w:t>X&lt;20</w:t>
            </w:r>
          </w:p>
        </w:tc>
      </w:tr>
      <w:tr w14:paraId="2DCC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1BBDADC6">
            <w:pPr>
              <w:spacing w:line="300" w:lineRule="exact"/>
              <w:jc w:val="center"/>
              <w:rPr>
                <w:rFonts w:hint="eastAsia"/>
                <w:szCs w:val="21"/>
                <w:highlight w:val="none"/>
              </w:rPr>
            </w:pPr>
          </w:p>
        </w:tc>
        <w:tc>
          <w:tcPr>
            <w:tcW w:w="1440" w:type="dxa"/>
            <w:tcMar>
              <w:top w:w="30" w:type="dxa"/>
              <w:left w:w="90" w:type="dxa"/>
              <w:bottom w:w="30" w:type="dxa"/>
              <w:right w:w="90" w:type="dxa"/>
            </w:tcMar>
            <w:vAlign w:val="center"/>
          </w:tcPr>
          <w:p w14:paraId="121E25BA">
            <w:pPr>
              <w:pStyle w:val="25"/>
              <w:wordWrap w:val="0"/>
              <w:spacing w:before="0" w:beforeAutospacing="0" w:after="0" w:afterAutospacing="0" w:line="300" w:lineRule="exact"/>
              <w:jc w:val="center"/>
              <w:rPr>
                <w:sz w:val="21"/>
                <w:szCs w:val="21"/>
                <w:highlight w:val="none"/>
              </w:rPr>
            </w:pPr>
            <w:r>
              <w:rPr>
                <w:sz w:val="21"/>
                <w:szCs w:val="21"/>
                <w:highlight w:val="none"/>
              </w:rPr>
              <w:t>营业收入(Y)</w:t>
            </w:r>
          </w:p>
        </w:tc>
        <w:tc>
          <w:tcPr>
            <w:tcW w:w="1080" w:type="dxa"/>
            <w:tcMar>
              <w:top w:w="30" w:type="dxa"/>
              <w:left w:w="90" w:type="dxa"/>
              <w:bottom w:w="30" w:type="dxa"/>
              <w:right w:w="90" w:type="dxa"/>
            </w:tcMar>
            <w:vAlign w:val="center"/>
          </w:tcPr>
          <w:p w14:paraId="3C3792D5">
            <w:pPr>
              <w:pStyle w:val="25"/>
              <w:wordWrap w:val="0"/>
              <w:spacing w:before="0" w:beforeAutospacing="0" w:after="0" w:afterAutospacing="0" w:line="300" w:lineRule="exact"/>
              <w:jc w:val="center"/>
              <w:rPr>
                <w:sz w:val="21"/>
                <w:szCs w:val="21"/>
                <w:highlight w:val="none"/>
              </w:rPr>
            </w:pPr>
            <w:r>
              <w:rPr>
                <w:sz w:val="21"/>
                <w:szCs w:val="21"/>
                <w:highlight w:val="none"/>
              </w:rPr>
              <w:t>万元</w:t>
            </w:r>
          </w:p>
        </w:tc>
        <w:tc>
          <w:tcPr>
            <w:tcW w:w="1260" w:type="dxa"/>
            <w:tcMar>
              <w:top w:w="30" w:type="dxa"/>
              <w:left w:w="90" w:type="dxa"/>
              <w:bottom w:w="30" w:type="dxa"/>
              <w:right w:w="90" w:type="dxa"/>
            </w:tcMar>
            <w:vAlign w:val="center"/>
          </w:tcPr>
          <w:p w14:paraId="4ACF4E40">
            <w:pPr>
              <w:pStyle w:val="25"/>
              <w:wordWrap w:val="0"/>
              <w:spacing w:before="0" w:beforeAutospacing="0" w:after="0" w:afterAutospacing="0" w:line="300" w:lineRule="exact"/>
              <w:jc w:val="center"/>
              <w:rPr>
                <w:sz w:val="21"/>
                <w:szCs w:val="21"/>
                <w:highlight w:val="none"/>
              </w:rPr>
            </w:pPr>
            <w:r>
              <w:rPr>
                <w:sz w:val="21"/>
                <w:szCs w:val="21"/>
                <w:highlight w:val="none"/>
              </w:rPr>
              <w:t>Y≥40000</w:t>
            </w:r>
          </w:p>
        </w:tc>
        <w:tc>
          <w:tcPr>
            <w:tcW w:w="1800" w:type="dxa"/>
            <w:tcMar>
              <w:top w:w="30" w:type="dxa"/>
              <w:left w:w="90" w:type="dxa"/>
              <w:bottom w:w="30" w:type="dxa"/>
              <w:right w:w="90" w:type="dxa"/>
            </w:tcMar>
            <w:vAlign w:val="center"/>
          </w:tcPr>
          <w:p w14:paraId="5709AD15">
            <w:pPr>
              <w:pStyle w:val="25"/>
              <w:wordWrap w:val="0"/>
              <w:spacing w:before="0" w:beforeAutospacing="0" w:after="0" w:afterAutospacing="0" w:line="300" w:lineRule="exact"/>
              <w:jc w:val="center"/>
              <w:rPr>
                <w:sz w:val="21"/>
                <w:szCs w:val="21"/>
                <w:highlight w:val="none"/>
              </w:rPr>
            </w:pPr>
            <w:r>
              <w:rPr>
                <w:sz w:val="21"/>
                <w:szCs w:val="21"/>
                <w:highlight w:val="none"/>
              </w:rPr>
              <w:t>2000≤Y&lt;40000</w:t>
            </w:r>
          </w:p>
        </w:tc>
        <w:tc>
          <w:tcPr>
            <w:tcW w:w="1440" w:type="dxa"/>
            <w:tcMar>
              <w:top w:w="30" w:type="dxa"/>
              <w:left w:w="90" w:type="dxa"/>
              <w:bottom w:w="30" w:type="dxa"/>
              <w:right w:w="90" w:type="dxa"/>
            </w:tcMar>
            <w:vAlign w:val="center"/>
          </w:tcPr>
          <w:p w14:paraId="393EAD76">
            <w:pPr>
              <w:pStyle w:val="25"/>
              <w:wordWrap w:val="0"/>
              <w:spacing w:before="0" w:beforeAutospacing="0" w:after="0" w:afterAutospacing="0" w:line="300" w:lineRule="exact"/>
              <w:jc w:val="center"/>
              <w:rPr>
                <w:sz w:val="21"/>
                <w:szCs w:val="21"/>
                <w:highlight w:val="none"/>
              </w:rPr>
            </w:pPr>
            <w:r>
              <w:rPr>
                <w:sz w:val="21"/>
                <w:szCs w:val="21"/>
                <w:highlight w:val="none"/>
              </w:rPr>
              <w:t>300≤Y&lt;2000</w:t>
            </w:r>
          </w:p>
        </w:tc>
        <w:tc>
          <w:tcPr>
            <w:tcW w:w="900" w:type="dxa"/>
            <w:tcMar>
              <w:top w:w="30" w:type="dxa"/>
              <w:left w:w="90" w:type="dxa"/>
              <w:bottom w:w="30" w:type="dxa"/>
              <w:right w:w="90" w:type="dxa"/>
            </w:tcMar>
            <w:vAlign w:val="center"/>
          </w:tcPr>
          <w:p w14:paraId="32A5C3AA">
            <w:pPr>
              <w:pStyle w:val="25"/>
              <w:wordWrap w:val="0"/>
              <w:spacing w:before="0" w:beforeAutospacing="0" w:after="0" w:afterAutospacing="0" w:line="300" w:lineRule="exact"/>
              <w:jc w:val="center"/>
              <w:rPr>
                <w:sz w:val="21"/>
                <w:szCs w:val="21"/>
                <w:highlight w:val="none"/>
              </w:rPr>
            </w:pPr>
            <w:r>
              <w:rPr>
                <w:sz w:val="21"/>
                <w:szCs w:val="21"/>
                <w:highlight w:val="none"/>
              </w:rPr>
              <w:t>Y&lt;300</w:t>
            </w:r>
          </w:p>
        </w:tc>
      </w:tr>
      <w:tr w14:paraId="661C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18813F73">
            <w:pPr>
              <w:pStyle w:val="25"/>
              <w:wordWrap w:val="0"/>
              <w:spacing w:before="0" w:beforeAutospacing="0" w:after="0" w:afterAutospacing="0" w:line="300" w:lineRule="exact"/>
              <w:jc w:val="center"/>
              <w:rPr>
                <w:sz w:val="21"/>
                <w:szCs w:val="21"/>
                <w:highlight w:val="none"/>
              </w:rPr>
            </w:pPr>
            <w:r>
              <w:rPr>
                <w:sz w:val="21"/>
                <w:szCs w:val="21"/>
                <w:highlight w:val="none"/>
              </w:rPr>
              <w:t>建筑业</w:t>
            </w:r>
          </w:p>
        </w:tc>
        <w:tc>
          <w:tcPr>
            <w:tcW w:w="1440" w:type="dxa"/>
            <w:tcMar>
              <w:top w:w="30" w:type="dxa"/>
              <w:left w:w="90" w:type="dxa"/>
              <w:bottom w:w="30" w:type="dxa"/>
              <w:right w:w="90" w:type="dxa"/>
            </w:tcMar>
            <w:vAlign w:val="center"/>
          </w:tcPr>
          <w:p w14:paraId="300C584A">
            <w:pPr>
              <w:pStyle w:val="25"/>
              <w:wordWrap w:val="0"/>
              <w:spacing w:before="0" w:beforeAutospacing="0" w:after="0" w:afterAutospacing="0" w:line="300" w:lineRule="exact"/>
              <w:jc w:val="center"/>
              <w:rPr>
                <w:sz w:val="21"/>
                <w:szCs w:val="21"/>
                <w:highlight w:val="none"/>
              </w:rPr>
            </w:pPr>
            <w:r>
              <w:rPr>
                <w:sz w:val="21"/>
                <w:szCs w:val="21"/>
                <w:highlight w:val="none"/>
              </w:rPr>
              <w:t>营业收入(Y)</w:t>
            </w:r>
          </w:p>
        </w:tc>
        <w:tc>
          <w:tcPr>
            <w:tcW w:w="1080" w:type="dxa"/>
            <w:tcMar>
              <w:top w:w="30" w:type="dxa"/>
              <w:left w:w="90" w:type="dxa"/>
              <w:bottom w:w="30" w:type="dxa"/>
              <w:right w:w="90" w:type="dxa"/>
            </w:tcMar>
            <w:vAlign w:val="center"/>
          </w:tcPr>
          <w:p w14:paraId="78E7C555">
            <w:pPr>
              <w:pStyle w:val="25"/>
              <w:wordWrap w:val="0"/>
              <w:spacing w:before="0" w:beforeAutospacing="0" w:after="0" w:afterAutospacing="0" w:line="300" w:lineRule="exact"/>
              <w:jc w:val="center"/>
              <w:rPr>
                <w:sz w:val="21"/>
                <w:szCs w:val="21"/>
                <w:highlight w:val="none"/>
              </w:rPr>
            </w:pPr>
            <w:r>
              <w:rPr>
                <w:sz w:val="21"/>
                <w:szCs w:val="21"/>
                <w:highlight w:val="none"/>
              </w:rPr>
              <w:t>万元</w:t>
            </w:r>
          </w:p>
        </w:tc>
        <w:tc>
          <w:tcPr>
            <w:tcW w:w="1260" w:type="dxa"/>
            <w:tcMar>
              <w:top w:w="30" w:type="dxa"/>
              <w:left w:w="90" w:type="dxa"/>
              <w:bottom w:w="30" w:type="dxa"/>
              <w:right w:w="90" w:type="dxa"/>
            </w:tcMar>
            <w:vAlign w:val="center"/>
          </w:tcPr>
          <w:p w14:paraId="688BA9E8">
            <w:pPr>
              <w:pStyle w:val="25"/>
              <w:wordWrap w:val="0"/>
              <w:spacing w:before="0" w:beforeAutospacing="0" w:after="0" w:afterAutospacing="0" w:line="300" w:lineRule="exact"/>
              <w:jc w:val="center"/>
              <w:rPr>
                <w:sz w:val="21"/>
                <w:szCs w:val="21"/>
                <w:highlight w:val="none"/>
              </w:rPr>
            </w:pPr>
            <w:r>
              <w:rPr>
                <w:sz w:val="21"/>
                <w:szCs w:val="21"/>
                <w:highlight w:val="none"/>
              </w:rPr>
              <w:t>Y≥80000</w:t>
            </w:r>
          </w:p>
        </w:tc>
        <w:tc>
          <w:tcPr>
            <w:tcW w:w="1800" w:type="dxa"/>
            <w:tcMar>
              <w:top w:w="30" w:type="dxa"/>
              <w:left w:w="90" w:type="dxa"/>
              <w:bottom w:w="30" w:type="dxa"/>
              <w:right w:w="90" w:type="dxa"/>
            </w:tcMar>
            <w:vAlign w:val="center"/>
          </w:tcPr>
          <w:p w14:paraId="13DAC166">
            <w:pPr>
              <w:pStyle w:val="25"/>
              <w:wordWrap w:val="0"/>
              <w:spacing w:before="0" w:beforeAutospacing="0" w:after="0" w:afterAutospacing="0" w:line="300" w:lineRule="exact"/>
              <w:jc w:val="center"/>
              <w:rPr>
                <w:sz w:val="21"/>
                <w:szCs w:val="21"/>
                <w:highlight w:val="none"/>
              </w:rPr>
            </w:pPr>
            <w:r>
              <w:rPr>
                <w:sz w:val="21"/>
                <w:szCs w:val="21"/>
                <w:highlight w:val="none"/>
              </w:rPr>
              <w:t>6000≤Y&lt;80000</w:t>
            </w:r>
          </w:p>
        </w:tc>
        <w:tc>
          <w:tcPr>
            <w:tcW w:w="1440" w:type="dxa"/>
            <w:tcMar>
              <w:top w:w="30" w:type="dxa"/>
              <w:left w:w="90" w:type="dxa"/>
              <w:bottom w:w="30" w:type="dxa"/>
              <w:right w:w="90" w:type="dxa"/>
            </w:tcMar>
            <w:vAlign w:val="center"/>
          </w:tcPr>
          <w:p w14:paraId="31C0C2D9">
            <w:pPr>
              <w:pStyle w:val="25"/>
              <w:wordWrap w:val="0"/>
              <w:spacing w:before="0" w:beforeAutospacing="0" w:after="0" w:afterAutospacing="0" w:line="300" w:lineRule="exact"/>
              <w:jc w:val="center"/>
              <w:rPr>
                <w:sz w:val="21"/>
                <w:szCs w:val="21"/>
                <w:highlight w:val="none"/>
              </w:rPr>
            </w:pPr>
            <w:r>
              <w:rPr>
                <w:sz w:val="21"/>
                <w:szCs w:val="21"/>
                <w:highlight w:val="none"/>
              </w:rPr>
              <w:t>300≤Y&lt;6000</w:t>
            </w:r>
          </w:p>
        </w:tc>
        <w:tc>
          <w:tcPr>
            <w:tcW w:w="900" w:type="dxa"/>
            <w:tcMar>
              <w:top w:w="30" w:type="dxa"/>
              <w:left w:w="90" w:type="dxa"/>
              <w:bottom w:w="30" w:type="dxa"/>
              <w:right w:w="90" w:type="dxa"/>
            </w:tcMar>
            <w:vAlign w:val="center"/>
          </w:tcPr>
          <w:p w14:paraId="35521012">
            <w:pPr>
              <w:pStyle w:val="25"/>
              <w:wordWrap w:val="0"/>
              <w:spacing w:before="0" w:beforeAutospacing="0" w:after="0" w:afterAutospacing="0" w:line="300" w:lineRule="exact"/>
              <w:jc w:val="center"/>
              <w:rPr>
                <w:sz w:val="21"/>
                <w:szCs w:val="21"/>
                <w:highlight w:val="none"/>
              </w:rPr>
            </w:pPr>
            <w:r>
              <w:rPr>
                <w:sz w:val="21"/>
                <w:szCs w:val="21"/>
                <w:highlight w:val="none"/>
              </w:rPr>
              <w:t>Y&lt;300</w:t>
            </w:r>
          </w:p>
        </w:tc>
      </w:tr>
      <w:tr w14:paraId="0A2D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268768D6">
            <w:pPr>
              <w:spacing w:line="300" w:lineRule="exact"/>
              <w:jc w:val="center"/>
              <w:rPr>
                <w:rFonts w:hint="eastAsia"/>
                <w:szCs w:val="21"/>
                <w:highlight w:val="none"/>
              </w:rPr>
            </w:pPr>
          </w:p>
        </w:tc>
        <w:tc>
          <w:tcPr>
            <w:tcW w:w="1440" w:type="dxa"/>
            <w:tcMar>
              <w:top w:w="30" w:type="dxa"/>
              <w:left w:w="90" w:type="dxa"/>
              <w:bottom w:w="30" w:type="dxa"/>
              <w:right w:w="90" w:type="dxa"/>
            </w:tcMar>
            <w:vAlign w:val="center"/>
          </w:tcPr>
          <w:p w14:paraId="4E8C5842">
            <w:pPr>
              <w:pStyle w:val="25"/>
              <w:wordWrap w:val="0"/>
              <w:spacing w:before="0" w:beforeAutospacing="0" w:after="0" w:afterAutospacing="0" w:line="300" w:lineRule="exact"/>
              <w:jc w:val="center"/>
              <w:rPr>
                <w:sz w:val="21"/>
                <w:szCs w:val="21"/>
                <w:highlight w:val="none"/>
              </w:rPr>
            </w:pPr>
            <w:r>
              <w:rPr>
                <w:sz w:val="21"/>
                <w:szCs w:val="21"/>
                <w:highlight w:val="none"/>
              </w:rPr>
              <w:t>资产总额(Z)</w:t>
            </w:r>
          </w:p>
        </w:tc>
        <w:tc>
          <w:tcPr>
            <w:tcW w:w="1080" w:type="dxa"/>
            <w:tcMar>
              <w:top w:w="30" w:type="dxa"/>
              <w:left w:w="90" w:type="dxa"/>
              <w:bottom w:w="30" w:type="dxa"/>
              <w:right w:w="90" w:type="dxa"/>
            </w:tcMar>
            <w:vAlign w:val="center"/>
          </w:tcPr>
          <w:p w14:paraId="6174E0FB">
            <w:pPr>
              <w:pStyle w:val="25"/>
              <w:wordWrap w:val="0"/>
              <w:spacing w:before="0" w:beforeAutospacing="0" w:after="0" w:afterAutospacing="0" w:line="300" w:lineRule="exact"/>
              <w:jc w:val="center"/>
              <w:rPr>
                <w:sz w:val="21"/>
                <w:szCs w:val="21"/>
                <w:highlight w:val="none"/>
              </w:rPr>
            </w:pPr>
            <w:r>
              <w:rPr>
                <w:sz w:val="21"/>
                <w:szCs w:val="21"/>
                <w:highlight w:val="none"/>
              </w:rPr>
              <w:t>万元</w:t>
            </w:r>
          </w:p>
        </w:tc>
        <w:tc>
          <w:tcPr>
            <w:tcW w:w="1260" w:type="dxa"/>
            <w:tcMar>
              <w:top w:w="30" w:type="dxa"/>
              <w:left w:w="90" w:type="dxa"/>
              <w:bottom w:w="30" w:type="dxa"/>
              <w:right w:w="90" w:type="dxa"/>
            </w:tcMar>
            <w:vAlign w:val="center"/>
          </w:tcPr>
          <w:p w14:paraId="32E460A8">
            <w:pPr>
              <w:pStyle w:val="25"/>
              <w:wordWrap w:val="0"/>
              <w:spacing w:before="0" w:beforeAutospacing="0" w:after="0" w:afterAutospacing="0" w:line="300" w:lineRule="exact"/>
              <w:jc w:val="center"/>
              <w:rPr>
                <w:sz w:val="21"/>
                <w:szCs w:val="21"/>
                <w:highlight w:val="none"/>
              </w:rPr>
            </w:pPr>
            <w:r>
              <w:rPr>
                <w:sz w:val="21"/>
                <w:szCs w:val="21"/>
                <w:highlight w:val="none"/>
              </w:rPr>
              <w:t>Z≥80000</w:t>
            </w:r>
          </w:p>
        </w:tc>
        <w:tc>
          <w:tcPr>
            <w:tcW w:w="1800" w:type="dxa"/>
            <w:tcMar>
              <w:top w:w="30" w:type="dxa"/>
              <w:left w:w="90" w:type="dxa"/>
              <w:bottom w:w="30" w:type="dxa"/>
              <w:right w:w="90" w:type="dxa"/>
            </w:tcMar>
            <w:vAlign w:val="center"/>
          </w:tcPr>
          <w:p w14:paraId="462CA29A">
            <w:pPr>
              <w:pStyle w:val="25"/>
              <w:wordWrap w:val="0"/>
              <w:spacing w:before="0" w:beforeAutospacing="0" w:after="0" w:afterAutospacing="0" w:line="300" w:lineRule="exact"/>
              <w:jc w:val="center"/>
              <w:rPr>
                <w:sz w:val="21"/>
                <w:szCs w:val="21"/>
                <w:highlight w:val="none"/>
              </w:rPr>
            </w:pPr>
            <w:r>
              <w:rPr>
                <w:sz w:val="21"/>
                <w:szCs w:val="21"/>
                <w:highlight w:val="none"/>
              </w:rPr>
              <w:t>5000≤Z&lt;80000</w:t>
            </w:r>
          </w:p>
        </w:tc>
        <w:tc>
          <w:tcPr>
            <w:tcW w:w="1440" w:type="dxa"/>
            <w:tcMar>
              <w:top w:w="30" w:type="dxa"/>
              <w:left w:w="90" w:type="dxa"/>
              <w:bottom w:w="30" w:type="dxa"/>
              <w:right w:w="90" w:type="dxa"/>
            </w:tcMar>
            <w:vAlign w:val="center"/>
          </w:tcPr>
          <w:p w14:paraId="1DDF1D9D">
            <w:pPr>
              <w:pStyle w:val="25"/>
              <w:wordWrap w:val="0"/>
              <w:spacing w:before="0" w:beforeAutospacing="0" w:after="0" w:afterAutospacing="0" w:line="300" w:lineRule="exact"/>
              <w:jc w:val="center"/>
              <w:rPr>
                <w:sz w:val="21"/>
                <w:szCs w:val="21"/>
                <w:highlight w:val="none"/>
              </w:rPr>
            </w:pPr>
            <w:r>
              <w:rPr>
                <w:sz w:val="21"/>
                <w:szCs w:val="21"/>
                <w:highlight w:val="none"/>
              </w:rPr>
              <w:t>300≤Z&lt;5000</w:t>
            </w:r>
          </w:p>
        </w:tc>
        <w:tc>
          <w:tcPr>
            <w:tcW w:w="900" w:type="dxa"/>
            <w:tcMar>
              <w:top w:w="30" w:type="dxa"/>
              <w:left w:w="90" w:type="dxa"/>
              <w:bottom w:w="30" w:type="dxa"/>
              <w:right w:w="90" w:type="dxa"/>
            </w:tcMar>
            <w:vAlign w:val="center"/>
          </w:tcPr>
          <w:p w14:paraId="4DFDC090">
            <w:pPr>
              <w:pStyle w:val="25"/>
              <w:wordWrap w:val="0"/>
              <w:spacing w:before="0" w:beforeAutospacing="0" w:after="0" w:afterAutospacing="0" w:line="300" w:lineRule="exact"/>
              <w:jc w:val="center"/>
              <w:rPr>
                <w:sz w:val="21"/>
                <w:szCs w:val="21"/>
                <w:highlight w:val="none"/>
              </w:rPr>
            </w:pPr>
            <w:r>
              <w:rPr>
                <w:sz w:val="21"/>
                <w:szCs w:val="21"/>
                <w:highlight w:val="none"/>
              </w:rPr>
              <w:t>Z&lt;300</w:t>
            </w:r>
          </w:p>
        </w:tc>
      </w:tr>
      <w:tr w14:paraId="444B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5BC71BA5">
            <w:pPr>
              <w:pStyle w:val="25"/>
              <w:wordWrap w:val="0"/>
              <w:spacing w:before="0" w:beforeAutospacing="0" w:after="0" w:afterAutospacing="0" w:line="300" w:lineRule="exact"/>
              <w:jc w:val="center"/>
              <w:rPr>
                <w:sz w:val="21"/>
                <w:szCs w:val="21"/>
                <w:highlight w:val="none"/>
              </w:rPr>
            </w:pPr>
            <w:r>
              <w:rPr>
                <w:sz w:val="21"/>
                <w:szCs w:val="21"/>
                <w:highlight w:val="none"/>
              </w:rPr>
              <w:t>批发业</w:t>
            </w:r>
          </w:p>
        </w:tc>
        <w:tc>
          <w:tcPr>
            <w:tcW w:w="1440" w:type="dxa"/>
            <w:tcMar>
              <w:top w:w="30" w:type="dxa"/>
              <w:left w:w="90" w:type="dxa"/>
              <w:bottom w:w="30" w:type="dxa"/>
              <w:right w:w="90" w:type="dxa"/>
            </w:tcMar>
            <w:vAlign w:val="center"/>
          </w:tcPr>
          <w:p w14:paraId="69CF2232">
            <w:pPr>
              <w:pStyle w:val="25"/>
              <w:wordWrap w:val="0"/>
              <w:spacing w:before="0" w:beforeAutospacing="0" w:after="0" w:afterAutospacing="0" w:line="300" w:lineRule="exact"/>
              <w:jc w:val="center"/>
              <w:rPr>
                <w:sz w:val="21"/>
                <w:szCs w:val="21"/>
                <w:highlight w:val="none"/>
              </w:rPr>
            </w:pPr>
            <w:r>
              <w:rPr>
                <w:sz w:val="21"/>
                <w:szCs w:val="21"/>
                <w:highlight w:val="none"/>
              </w:rPr>
              <w:t>从业人员(X)</w:t>
            </w:r>
          </w:p>
        </w:tc>
        <w:tc>
          <w:tcPr>
            <w:tcW w:w="1080" w:type="dxa"/>
            <w:tcMar>
              <w:top w:w="30" w:type="dxa"/>
              <w:left w:w="90" w:type="dxa"/>
              <w:bottom w:w="30" w:type="dxa"/>
              <w:right w:w="90" w:type="dxa"/>
            </w:tcMar>
            <w:vAlign w:val="center"/>
          </w:tcPr>
          <w:p w14:paraId="57875ECC">
            <w:pPr>
              <w:pStyle w:val="25"/>
              <w:wordWrap w:val="0"/>
              <w:spacing w:before="0" w:beforeAutospacing="0" w:after="0" w:afterAutospacing="0" w:line="300" w:lineRule="exact"/>
              <w:jc w:val="center"/>
              <w:rPr>
                <w:sz w:val="21"/>
                <w:szCs w:val="21"/>
                <w:highlight w:val="none"/>
              </w:rPr>
            </w:pPr>
            <w:r>
              <w:rPr>
                <w:sz w:val="21"/>
                <w:szCs w:val="21"/>
                <w:highlight w:val="none"/>
              </w:rPr>
              <w:t>人</w:t>
            </w:r>
          </w:p>
        </w:tc>
        <w:tc>
          <w:tcPr>
            <w:tcW w:w="1260" w:type="dxa"/>
            <w:tcMar>
              <w:top w:w="30" w:type="dxa"/>
              <w:left w:w="90" w:type="dxa"/>
              <w:bottom w:w="30" w:type="dxa"/>
              <w:right w:w="90" w:type="dxa"/>
            </w:tcMar>
            <w:vAlign w:val="center"/>
          </w:tcPr>
          <w:p w14:paraId="5CBC931F">
            <w:pPr>
              <w:pStyle w:val="25"/>
              <w:wordWrap w:val="0"/>
              <w:spacing w:before="0" w:beforeAutospacing="0" w:after="0" w:afterAutospacing="0" w:line="300" w:lineRule="exact"/>
              <w:jc w:val="center"/>
              <w:rPr>
                <w:sz w:val="21"/>
                <w:szCs w:val="21"/>
                <w:highlight w:val="none"/>
              </w:rPr>
            </w:pPr>
            <w:r>
              <w:rPr>
                <w:sz w:val="21"/>
                <w:szCs w:val="21"/>
                <w:highlight w:val="none"/>
              </w:rPr>
              <w:t>X≥200</w:t>
            </w:r>
          </w:p>
        </w:tc>
        <w:tc>
          <w:tcPr>
            <w:tcW w:w="1800" w:type="dxa"/>
            <w:tcMar>
              <w:top w:w="30" w:type="dxa"/>
              <w:left w:w="90" w:type="dxa"/>
              <w:bottom w:w="30" w:type="dxa"/>
              <w:right w:w="90" w:type="dxa"/>
            </w:tcMar>
            <w:vAlign w:val="center"/>
          </w:tcPr>
          <w:p w14:paraId="3B7732A5">
            <w:pPr>
              <w:pStyle w:val="25"/>
              <w:wordWrap w:val="0"/>
              <w:spacing w:before="0" w:beforeAutospacing="0" w:after="0" w:afterAutospacing="0" w:line="300" w:lineRule="exact"/>
              <w:jc w:val="center"/>
              <w:rPr>
                <w:sz w:val="21"/>
                <w:szCs w:val="21"/>
                <w:highlight w:val="none"/>
              </w:rPr>
            </w:pPr>
            <w:r>
              <w:rPr>
                <w:sz w:val="21"/>
                <w:szCs w:val="21"/>
                <w:highlight w:val="none"/>
              </w:rPr>
              <w:t>20≤X&lt;200</w:t>
            </w:r>
          </w:p>
        </w:tc>
        <w:tc>
          <w:tcPr>
            <w:tcW w:w="1440" w:type="dxa"/>
            <w:tcMar>
              <w:top w:w="30" w:type="dxa"/>
              <w:left w:w="90" w:type="dxa"/>
              <w:bottom w:w="30" w:type="dxa"/>
              <w:right w:w="90" w:type="dxa"/>
            </w:tcMar>
            <w:vAlign w:val="center"/>
          </w:tcPr>
          <w:p w14:paraId="79F47C64">
            <w:pPr>
              <w:pStyle w:val="25"/>
              <w:wordWrap w:val="0"/>
              <w:spacing w:before="0" w:beforeAutospacing="0" w:after="0" w:afterAutospacing="0" w:line="300" w:lineRule="exact"/>
              <w:jc w:val="center"/>
              <w:rPr>
                <w:sz w:val="21"/>
                <w:szCs w:val="21"/>
                <w:highlight w:val="none"/>
              </w:rPr>
            </w:pPr>
            <w:r>
              <w:rPr>
                <w:sz w:val="21"/>
                <w:szCs w:val="21"/>
                <w:highlight w:val="none"/>
              </w:rPr>
              <w:t>5≤X&lt;20</w:t>
            </w:r>
          </w:p>
        </w:tc>
        <w:tc>
          <w:tcPr>
            <w:tcW w:w="900" w:type="dxa"/>
            <w:tcMar>
              <w:top w:w="30" w:type="dxa"/>
              <w:left w:w="90" w:type="dxa"/>
              <w:bottom w:w="30" w:type="dxa"/>
              <w:right w:w="90" w:type="dxa"/>
            </w:tcMar>
            <w:vAlign w:val="center"/>
          </w:tcPr>
          <w:p w14:paraId="67AE3A49">
            <w:pPr>
              <w:pStyle w:val="25"/>
              <w:wordWrap w:val="0"/>
              <w:spacing w:before="0" w:beforeAutospacing="0" w:after="0" w:afterAutospacing="0" w:line="300" w:lineRule="exact"/>
              <w:jc w:val="center"/>
              <w:rPr>
                <w:sz w:val="21"/>
                <w:szCs w:val="21"/>
                <w:highlight w:val="none"/>
              </w:rPr>
            </w:pPr>
            <w:r>
              <w:rPr>
                <w:sz w:val="21"/>
                <w:szCs w:val="21"/>
                <w:highlight w:val="none"/>
              </w:rPr>
              <w:t>X&lt;5</w:t>
            </w:r>
          </w:p>
        </w:tc>
      </w:tr>
      <w:tr w14:paraId="13F9A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66F36EBF">
            <w:pPr>
              <w:spacing w:line="300" w:lineRule="exact"/>
              <w:jc w:val="center"/>
              <w:rPr>
                <w:rFonts w:hint="eastAsia"/>
                <w:szCs w:val="21"/>
                <w:highlight w:val="none"/>
              </w:rPr>
            </w:pPr>
          </w:p>
        </w:tc>
        <w:tc>
          <w:tcPr>
            <w:tcW w:w="1440" w:type="dxa"/>
            <w:tcMar>
              <w:top w:w="30" w:type="dxa"/>
              <w:left w:w="90" w:type="dxa"/>
              <w:bottom w:w="30" w:type="dxa"/>
              <w:right w:w="90" w:type="dxa"/>
            </w:tcMar>
            <w:vAlign w:val="center"/>
          </w:tcPr>
          <w:p w14:paraId="00229DAE">
            <w:pPr>
              <w:pStyle w:val="25"/>
              <w:wordWrap w:val="0"/>
              <w:spacing w:before="0" w:beforeAutospacing="0" w:after="0" w:afterAutospacing="0" w:line="300" w:lineRule="exact"/>
              <w:jc w:val="center"/>
              <w:rPr>
                <w:sz w:val="21"/>
                <w:szCs w:val="21"/>
                <w:highlight w:val="none"/>
              </w:rPr>
            </w:pPr>
            <w:r>
              <w:rPr>
                <w:sz w:val="21"/>
                <w:szCs w:val="21"/>
                <w:highlight w:val="none"/>
              </w:rPr>
              <w:t>营业收入(Y)</w:t>
            </w:r>
          </w:p>
        </w:tc>
        <w:tc>
          <w:tcPr>
            <w:tcW w:w="1080" w:type="dxa"/>
            <w:tcMar>
              <w:top w:w="30" w:type="dxa"/>
              <w:left w:w="90" w:type="dxa"/>
              <w:bottom w:w="30" w:type="dxa"/>
              <w:right w:w="90" w:type="dxa"/>
            </w:tcMar>
            <w:vAlign w:val="center"/>
          </w:tcPr>
          <w:p w14:paraId="2620E555">
            <w:pPr>
              <w:pStyle w:val="25"/>
              <w:wordWrap w:val="0"/>
              <w:spacing w:before="0" w:beforeAutospacing="0" w:after="0" w:afterAutospacing="0" w:line="300" w:lineRule="exact"/>
              <w:jc w:val="center"/>
              <w:rPr>
                <w:sz w:val="21"/>
                <w:szCs w:val="21"/>
                <w:highlight w:val="none"/>
              </w:rPr>
            </w:pPr>
            <w:r>
              <w:rPr>
                <w:sz w:val="21"/>
                <w:szCs w:val="21"/>
                <w:highlight w:val="none"/>
              </w:rPr>
              <w:t>万元</w:t>
            </w:r>
          </w:p>
        </w:tc>
        <w:tc>
          <w:tcPr>
            <w:tcW w:w="1260" w:type="dxa"/>
            <w:tcMar>
              <w:top w:w="30" w:type="dxa"/>
              <w:left w:w="90" w:type="dxa"/>
              <w:bottom w:w="30" w:type="dxa"/>
              <w:right w:w="90" w:type="dxa"/>
            </w:tcMar>
            <w:vAlign w:val="center"/>
          </w:tcPr>
          <w:p w14:paraId="2CD833CC">
            <w:pPr>
              <w:pStyle w:val="25"/>
              <w:wordWrap w:val="0"/>
              <w:spacing w:before="0" w:beforeAutospacing="0" w:after="0" w:afterAutospacing="0" w:line="300" w:lineRule="exact"/>
              <w:jc w:val="center"/>
              <w:rPr>
                <w:sz w:val="21"/>
                <w:szCs w:val="21"/>
                <w:highlight w:val="none"/>
              </w:rPr>
            </w:pPr>
            <w:r>
              <w:rPr>
                <w:sz w:val="21"/>
                <w:szCs w:val="21"/>
                <w:highlight w:val="none"/>
              </w:rPr>
              <w:t>Y≥40000</w:t>
            </w:r>
          </w:p>
        </w:tc>
        <w:tc>
          <w:tcPr>
            <w:tcW w:w="1800" w:type="dxa"/>
            <w:tcMar>
              <w:top w:w="30" w:type="dxa"/>
              <w:left w:w="90" w:type="dxa"/>
              <w:bottom w:w="30" w:type="dxa"/>
              <w:right w:w="90" w:type="dxa"/>
            </w:tcMar>
            <w:vAlign w:val="center"/>
          </w:tcPr>
          <w:p w14:paraId="4E69CD0F">
            <w:pPr>
              <w:pStyle w:val="25"/>
              <w:wordWrap w:val="0"/>
              <w:spacing w:before="0" w:beforeAutospacing="0" w:after="0" w:afterAutospacing="0" w:line="300" w:lineRule="exact"/>
              <w:jc w:val="center"/>
              <w:rPr>
                <w:sz w:val="21"/>
                <w:szCs w:val="21"/>
                <w:highlight w:val="none"/>
              </w:rPr>
            </w:pPr>
            <w:r>
              <w:rPr>
                <w:sz w:val="21"/>
                <w:szCs w:val="21"/>
                <w:highlight w:val="none"/>
              </w:rPr>
              <w:t>5000≤Y&lt;40000</w:t>
            </w:r>
          </w:p>
        </w:tc>
        <w:tc>
          <w:tcPr>
            <w:tcW w:w="1440" w:type="dxa"/>
            <w:tcMar>
              <w:top w:w="30" w:type="dxa"/>
              <w:left w:w="90" w:type="dxa"/>
              <w:bottom w:w="30" w:type="dxa"/>
              <w:right w:w="90" w:type="dxa"/>
            </w:tcMar>
            <w:vAlign w:val="center"/>
          </w:tcPr>
          <w:p w14:paraId="288A9D44">
            <w:pPr>
              <w:pStyle w:val="25"/>
              <w:wordWrap w:val="0"/>
              <w:spacing w:before="0" w:beforeAutospacing="0" w:after="0" w:afterAutospacing="0" w:line="300" w:lineRule="exact"/>
              <w:jc w:val="center"/>
              <w:rPr>
                <w:sz w:val="21"/>
                <w:szCs w:val="21"/>
                <w:highlight w:val="none"/>
              </w:rPr>
            </w:pPr>
            <w:r>
              <w:rPr>
                <w:sz w:val="21"/>
                <w:szCs w:val="21"/>
                <w:highlight w:val="none"/>
              </w:rPr>
              <w:t>1000≤Y&lt;5000</w:t>
            </w:r>
          </w:p>
        </w:tc>
        <w:tc>
          <w:tcPr>
            <w:tcW w:w="900" w:type="dxa"/>
            <w:tcMar>
              <w:top w:w="30" w:type="dxa"/>
              <w:left w:w="90" w:type="dxa"/>
              <w:bottom w:w="30" w:type="dxa"/>
              <w:right w:w="90" w:type="dxa"/>
            </w:tcMar>
            <w:vAlign w:val="center"/>
          </w:tcPr>
          <w:p w14:paraId="57089336">
            <w:pPr>
              <w:pStyle w:val="25"/>
              <w:wordWrap w:val="0"/>
              <w:spacing w:before="0" w:beforeAutospacing="0" w:after="0" w:afterAutospacing="0" w:line="300" w:lineRule="exact"/>
              <w:jc w:val="center"/>
              <w:rPr>
                <w:sz w:val="21"/>
                <w:szCs w:val="21"/>
                <w:highlight w:val="none"/>
              </w:rPr>
            </w:pPr>
            <w:r>
              <w:rPr>
                <w:sz w:val="21"/>
                <w:szCs w:val="21"/>
                <w:highlight w:val="none"/>
              </w:rPr>
              <w:t>Y&lt;1000</w:t>
            </w:r>
          </w:p>
        </w:tc>
      </w:tr>
      <w:tr w14:paraId="7275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197BFDA3">
            <w:pPr>
              <w:pStyle w:val="25"/>
              <w:wordWrap w:val="0"/>
              <w:spacing w:before="0" w:beforeAutospacing="0" w:after="0" w:afterAutospacing="0" w:line="300" w:lineRule="exact"/>
              <w:jc w:val="center"/>
              <w:rPr>
                <w:sz w:val="21"/>
                <w:szCs w:val="21"/>
                <w:highlight w:val="none"/>
              </w:rPr>
            </w:pPr>
            <w:r>
              <w:rPr>
                <w:sz w:val="21"/>
                <w:szCs w:val="21"/>
                <w:highlight w:val="none"/>
              </w:rPr>
              <w:t>零售业</w:t>
            </w:r>
          </w:p>
        </w:tc>
        <w:tc>
          <w:tcPr>
            <w:tcW w:w="1440" w:type="dxa"/>
            <w:tcMar>
              <w:top w:w="30" w:type="dxa"/>
              <w:left w:w="90" w:type="dxa"/>
              <w:bottom w:w="30" w:type="dxa"/>
              <w:right w:w="90" w:type="dxa"/>
            </w:tcMar>
            <w:vAlign w:val="center"/>
          </w:tcPr>
          <w:p w14:paraId="65DBFCF7">
            <w:pPr>
              <w:pStyle w:val="25"/>
              <w:wordWrap w:val="0"/>
              <w:spacing w:before="0" w:beforeAutospacing="0" w:after="0" w:afterAutospacing="0" w:line="300" w:lineRule="exact"/>
              <w:jc w:val="center"/>
              <w:rPr>
                <w:sz w:val="21"/>
                <w:szCs w:val="21"/>
                <w:highlight w:val="none"/>
              </w:rPr>
            </w:pPr>
            <w:r>
              <w:rPr>
                <w:sz w:val="21"/>
                <w:szCs w:val="21"/>
                <w:highlight w:val="none"/>
              </w:rPr>
              <w:t>从业人员(X)</w:t>
            </w:r>
          </w:p>
        </w:tc>
        <w:tc>
          <w:tcPr>
            <w:tcW w:w="1080" w:type="dxa"/>
            <w:tcMar>
              <w:top w:w="30" w:type="dxa"/>
              <w:left w:w="90" w:type="dxa"/>
              <w:bottom w:w="30" w:type="dxa"/>
              <w:right w:w="90" w:type="dxa"/>
            </w:tcMar>
            <w:vAlign w:val="center"/>
          </w:tcPr>
          <w:p w14:paraId="2183E1AF">
            <w:pPr>
              <w:pStyle w:val="25"/>
              <w:wordWrap w:val="0"/>
              <w:spacing w:before="0" w:beforeAutospacing="0" w:after="0" w:afterAutospacing="0" w:line="300" w:lineRule="exact"/>
              <w:jc w:val="center"/>
              <w:rPr>
                <w:sz w:val="21"/>
                <w:szCs w:val="21"/>
                <w:highlight w:val="none"/>
              </w:rPr>
            </w:pPr>
            <w:r>
              <w:rPr>
                <w:sz w:val="21"/>
                <w:szCs w:val="21"/>
                <w:highlight w:val="none"/>
              </w:rPr>
              <w:t>人</w:t>
            </w:r>
          </w:p>
        </w:tc>
        <w:tc>
          <w:tcPr>
            <w:tcW w:w="1260" w:type="dxa"/>
            <w:tcMar>
              <w:top w:w="30" w:type="dxa"/>
              <w:left w:w="90" w:type="dxa"/>
              <w:bottom w:w="30" w:type="dxa"/>
              <w:right w:w="90" w:type="dxa"/>
            </w:tcMar>
            <w:vAlign w:val="center"/>
          </w:tcPr>
          <w:p w14:paraId="36EBFCDC">
            <w:pPr>
              <w:pStyle w:val="25"/>
              <w:wordWrap w:val="0"/>
              <w:spacing w:before="0" w:beforeAutospacing="0" w:after="0" w:afterAutospacing="0" w:line="300" w:lineRule="exact"/>
              <w:jc w:val="center"/>
              <w:rPr>
                <w:sz w:val="21"/>
                <w:szCs w:val="21"/>
                <w:highlight w:val="none"/>
              </w:rPr>
            </w:pPr>
            <w:r>
              <w:rPr>
                <w:sz w:val="21"/>
                <w:szCs w:val="21"/>
                <w:highlight w:val="none"/>
              </w:rPr>
              <w:t>X≥300</w:t>
            </w:r>
          </w:p>
        </w:tc>
        <w:tc>
          <w:tcPr>
            <w:tcW w:w="1800" w:type="dxa"/>
            <w:tcMar>
              <w:top w:w="30" w:type="dxa"/>
              <w:left w:w="90" w:type="dxa"/>
              <w:bottom w:w="30" w:type="dxa"/>
              <w:right w:w="90" w:type="dxa"/>
            </w:tcMar>
            <w:vAlign w:val="center"/>
          </w:tcPr>
          <w:p w14:paraId="7B1F365B">
            <w:pPr>
              <w:pStyle w:val="25"/>
              <w:wordWrap w:val="0"/>
              <w:spacing w:before="0" w:beforeAutospacing="0" w:after="0" w:afterAutospacing="0" w:line="300" w:lineRule="exact"/>
              <w:jc w:val="center"/>
              <w:rPr>
                <w:sz w:val="21"/>
                <w:szCs w:val="21"/>
                <w:highlight w:val="none"/>
              </w:rPr>
            </w:pPr>
            <w:r>
              <w:rPr>
                <w:sz w:val="21"/>
                <w:szCs w:val="21"/>
                <w:highlight w:val="none"/>
              </w:rPr>
              <w:t>50≤X&lt;300</w:t>
            </w:r>
          </w:p>
        </w:tc>
        <w:tc>
          <w:tcPr>
            <w:tcW w:w="1440" w:type="dxa"/>
            <w:tcMar>
              <w:top w:w="30" w:type="dxa"/>
              <w:left w:w="90" w:type="dxa"/>
              <w:bottom w:w="30" w:type="dxa"/>
              <w:right w:w="90" w:type="dxa"/>
            </w:tcMar>
            <w:vAlign w:val="center"/>
          </w:tcPr>
          <w:p w14:paraId="6F0B5AD9">
            <w:pPr>
              <w:pStyle w:val="25"/>
              <w:wordWrap w:val="0"/>
              <w:spacing w:before="0" w:beforeAutospacing="0" w:after="0" w:afterAutospacing="0" w:line="300" w:lineRule="exact"/>
              <w:jc w:val="center"/>
              <w:rPr>
                <w:sz w:val="21"/>
                <w:szCs w:val="21"/>
                <w:highlight w:val="none"/>
              </w:rPr>
            </w:pPr>
            <w:r>
              <w:rPr>
                <w:sz w:val="21"/>
                <w:szCs w:val="21"/>
                <w:highlight w:val="none"/>
              </w:rPr>
              <w:t>10≤X&lt;50</w:t>
            </w:r>
          </w:p>
        </w:tc>
        <w:tc>
          <w:tcPr>
            <w:tcW w:w="900" w:type="dxa"/>
            <w:tcMar>
              <w:top w:w="30" w:type="dxa"/>
              <w:left w:w="90" w:type="dxa"/>
              <w:bottom w:w="30" w:type="dxa"/>
              <w:right w:w="90" w:type="dxa"/>
            </w:tcMar>
            <w:vAlign w:val="center"/>
          </w:tcPr>
          <w:p w14:paraId="1C42B7B7">
            <w:pPr>
              <w:pStyle w:val="25"/>
              <w:wordWrap w:val="0"/>
              <w:spacing w:before="0" w:beforeAutospacing="0" w:after="0" w:afterAutospacing="0" w:line="300" w:lineRule="exact"/>
              <w:jc w:val="center"/>
              <w:rPr>
                <w:sz w:val="21"/>
                <w:szCs w:val="21"/>
                <w:highlight w:val="none"/>
              </w:rPr>
            </w:pPr>
            <w:r>
              <w:rPr>
                <w:sz w:val="21"/>
                <w:szCs w:val="21"/>
                <w:highlight w:val="none"/>
              </w:rPr>
              <w:t>X&lt;10</w:t>
            </w:r>
          </w:p>
        </w:tc>
      </w:tr>
      <w:tr w14:paraId="3A7A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5223FB09">
            <w:pPr>
              <w:spacing w:line="300" w:lineRule="exact"/>
              <w:jc w:val="center"/>
              <w:rPr>
                <w:rFonts w:hint="eastAsia"/>
                <w:szCs w:val="21"/>
                <w:highlight w:val="none"/>
              </w:rPr>
            </w:pPr>
          </w:p>
        </w:tc>
        <w:tc>
          <w:tcPr>
            <w:tcW w:w="1440" w:type="dxa"/>
            <w:tcMar>
              <w:top w:w="30" w:type="dxa"/>
              <w:left w:w="90" w:type="dxa"/>
              <w:bottom w:w="30" w:type="dxa"/>
              <w:right w:w="90" w:type="dxa"/>
            </w:tcMar>
            <w:vAlign w:val="center"/>
          </w:tcPr>
          <w:p w14:paraId="559FB476">
            <w:pPr>
              <w:pStyle w:val="25"/>
              <w:wordWrap w:val="0"/>
              <w:spacing w:before="0" w:beforeAutospacing="0" w:after="0" w:afterAutospacing="0" w:line="300" w:lineRule="exact"/>
              <w:jc w:val="center"/>
              <w:rPr>
                <w:sz w:val="21"/>
                <w:szCs w:val="21"/>
                <w:highlight w:val="none"/>
              </w:rPr>
            </w:pPr>
            <w:r>
              <w:rPr>
                <w:sz w:val="21"/>
                <w:szCs w:val="21"/>
                <w:highlight w:val="none"/>
              </w:rPr>
              <w:t>营业收入(Y)</w:t>
            </w:r>
          </w:p>
        </w:tc>
        <w:tc>
          <w:tcPr>
            <w:tcW w:w="1080" w:type="dxa"/>
            <w:tcMar>
              <w:top w:w="30" w:type="dxa"/>
              <w:left w:w="90" w:type="dxa"/>
              <w:bottom w:w="30" w:type="dxa"/>
              <w:right w:w="90" w:type="dxa"/>
            </w:tcMar>
            <w:vAlign w:val="center"/>
          </w:tcPr>
          <w:p w14:paraId="5D3E4C45">
            <w:pPr>
              <w:pStyle w:val="25"/>
              <w:wordWrap w:val="0"/>
              <w:spacing w:before="0" w:beforeAutospacing="0" w:after="0" w:afterAutospacing="0" w:line="300" w:lineRule="exact"/>
              <w:jc w:val="center"/>
              <w:rPr>
                <w:sz w:val="21"/>
                <w:szCs w:val="21"/>
                <w:highlight w:val="none"/>
              </w:rPr>
            </w:pPr>
            <w:r>
              <w:rPr>
                <w:sz w:val="21"/>
                <w:szCs w:val="21"/>
                <w:highlight w:val="none"/>
              </w:rPr>
              <w:t>万元</w:t>
            </w:r>
          </w:p>
        </w:tc>
        <w:tc>
          <w:tcPr>
            <w:tcW w:w="1260" w:type="dxa"/>
            <w:tcMar>
              <w:top w:w="30" w:type="dxa"/>
              <w:left w:w="90" w:type="dxa"/>
              <w:bottom w:w="30" w:type="dxa"/>
              <w:right w:w="90" w:type="dxa"/>
            </w:tcMar>
            <w:vAlign w:val="center"/>
          </w:tcPr>
          <w:p w14:paraId="5D00D231">
            <w:pPr>
              <w:pStyle w:val="25"/>
              <w:wordWrap w:val="0"/>
              <w:spacing w:before="0" w:beforeAutospacing="0" w:after="0" w:afterAutospacing="0" w:line="300" w:lineRule="exact"/>
              <w:jc w:val="center"/>
              <w:rPr>
                <w:sz w:val="21"/>
                <w:szCs w:val="21"/>
                <w:highlight w:val="none"/>
              </w:rPr>
            </w:pPr>
            <w:r>
              <w:rPr>
                <w:sz w:val="21"/>
                <w:szCs w:val="21"/>
                <w:highlight w:val="none"/>
              </w:rPr>
              <w:t>Y≥20000</w:t>
            </w:r>
          </w:p>
        </w:tc>
        <w:tc>
          <w:tcPr>
            <w:tcW w:w="1800" w:type="dxa"/>
            <w:tcMar>
              <w:top w:w="30" w:type="dxa"/>
              <w:left w:w="90" w:type="dxa"/>
              <w:bottom w:w="30" w:type="dxa"/>
              <w:right w:w="90" w:type="dxa"/>
            </w:tcMar>
            <w:vAlign w:val="center"/>
          </w:tcPr>
          <w:p w14:paraId="2605D9C1">
            <w:pPr>
              <w:pStyle w:val="25"/>
              <w:wordWrap w:val="0"/>
              <w:spacing w:before="0" w:beforeAutospacing="0" w:after="0" w:afterAutospacing="0" w:line="300" w:lineRule="exact"/>
              <w:jc w:val="center"/>
              <w:rPr>
                <w:sz w:val="21"/>
                <w:szCs w:val="21"/>
                <w:highlight w:val="none"/>
              </w:rPr>
            </w:pPr>
            <w:r>
              <w:rPr>
                <w:sz w:val="21"/>
                <w:szCs w:val="21"/>
                <w:highlight w:val="none"/>
              </w:rPr>
              <w:t>500≤Y&lt;20000</w:t>
            </w:r>
          </w:p>
        </w:tc>
        <w:tc>
          <w:tcPr>
            <w:tcW w:w="1440" w:type="dxa"/>
            <w:tcMar>
              <w:top w:w="30" w:type="dxa"/>
              <w:left w:w="90" w:type="dxa"/>
              <w:bottom w:w="30" w:type="dxa"/>
              <w:right w:w="90" w:type="dxa"/>
            </w:tcMar>
            <w:vAlign w:val="center"/>
          </w:tcPr>
          <w:p w14:paraId="6524185E">
            <w:pPr>
              <w:pStyle w:val="25"/>
              <w:wordWrap w:val="0"/>
              <w:spacing w:before="0" w:beforeAutospacing="0" w:after="0" w:afterAutospacing="0" w:line="300" w:lineRule="exact"/>
              <w:jc w:val="center"/>
              <w:rPr>
                <w:sz w:val="21"/>
                <w:szCs w:val="21"/>
                <w:highlight w:val="none"/>
              </w:rPr>
            </w:pPr>
            <w:r>
              <w:rPr>
                <w:sz w:val="21"/>
                <w:szCs w:val="21"/>
                <w:highlight w:val="none"/>
              </w:rPr>
              <w:t>100≤Y&lt;500</w:t>
            </w:r>
          </w:p>
        </w:tc>
        <w:tc>
          <w:tcPr>
            <w:tcW w:w="900" w:type="dxa"/>
            <w:tcMar>
              <w:top w:w="30" w:type="dxa"/>
              <w:left w:w="90" w:type="dxa"/>
              <w:bottom w:w="30" w:type="dxa"/>
              <w:right w:w="90" w:type="dxa"/>
            </w:tcMar>
            <w:vAlign w:val="center"/>
          </w:tcPr>
          <w:p w14:paraId="712C722B">
            <w:pPr>
              <w:pStyle w:val="25"/>
              <w:wordWrap w:val="0"/>
              <w:spacing w:before="0" w:beforeAutospacing="0" w:after="0" w:afterAutospacing="0" w:line="300" w:lineRule="exact"/>
              <w:jc w:val="center"/>
              <w:rPr>
                <w:sz w:val="21"/>
                <w:szCs w:val="21"/>
                <w:highlight w:val="none"/>
              </w:rPr>
            </w:pPr>
            <w:r>
              <w:rPr>
                <w:sz w:val="21"/>
                <w:szCs w:val="21"/>
                <w:highlight w:val="none"/>
              </w:rPr>
              <w:t>Y&lt;100</w:t>
            </w:r>
          </w:p>
        </w:tc>
      </w:tr>
      <w:tr w14:paraId="0C1D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5462A005">
            <w:pPr>
              <w:pStyle w:val="25"/>
              <w:wordWrap w:val="0"/>
              <w:spacing w:before="0" w:beforeAutospacing="0" w:after="0" w:afterAutospacing="0" w:line="300" w:lineRule="exact"/>
              <w:jc w:val="center"/>
              <w:rPr>
                <w:sz w:val="21"/>
                <w:szCs w:val="21"/>
                <w:highlight w:val="none"/>
              </w:rPr>
            </w:pPr>
            <w:r>
              <w:rPr>
                <w:sz w:val="21"/>
                <w:szCs w:val="21"/>
                <w:highlight w:val="none"/>
              </w:rPr>
              <w:t>交通运输业</w:t>
            </w:r>
          </w:p>
        </w:tc>
        <w:tc>
          <w:tcPr>
            <w:tcW w:w="1440" w:type="dxa"/>
            <w:tcMar>
              <w:top w:w="30" w:type="dxa"/>
              <w:left w:w="90" w:type="dxa"/>
              <w:bottom w:w="30" w:type="dxa"/>
              <w:right w:w="90" w:type="dxa"/>
            </w:tcMar>
            <w:vAlign w:val="center"/>
          </w:tcPr>
          <w:p w14:paraId="5FFB44C1">
            <w:pPr>
              <w:pStyle w:val="25"/>
              <w:wordWrap w:val="0"/>
              <w:spacing w:before="0" w:beforeAutospacing="0" w:after="0" w:afterAutospacing="0" w:line="300" w:lineRule="exact"/>
              <w:jc w:val="center"/>
              <w:rPr>
                <w:sz w:val="21"/>
                <w:szCs w:val="21"/>
                <w:highlight w:val="none"/>
              </w:rPr>
            </w:pPr>
            <w:r>
              <w:rPr>
                <w:sz w:val="21"/>
                <w:szCs w:val="21"/>
                <w:highlight w:val="none"/>
              </w:rPr>
              <w:t>从业人员(X)</w:t>
            </w:r>
          </w:p>
        </w:tc>
        <w:tc>
          <w:tcPr>
            <w:tcW w:w="1080" w:type="dxa"/>
            <w:tcMar>
              <w:top w:w="30" w:type="dxa"/>
              <w:left w:w="90" w:type="dxa"/>
              <w:bottom w:w="30" w:type="dxa"/>
              <w:right w:w="90" w:type="dxa"/>
            </w:tcMar>
            <w:vAlign w:val="center"/>
          </w:tcPr>
          <w:p w14:paraId="6B515BCB">
            <w:pPr>
              <w:pStyle w:val="25"/>
              <w:wordWrap w:val="0"/>
              <w:spacing w:before="0" w:beforeAutospacing="0" w:after="0" w:afterAutospacing="0" w:line="300" w:lineRule="exact"/>
              <w:jc w:val="center"/>
              <w:rPr>
                <w:sz w:val="21"/>
                <w:szCs w:val="21"/>
                <w:highlight w:val="none"/>
              </w:rPr>
            </w:pPr>
            <w:r>
              <w:rPr>
                <w:sz w:val="21"/>
                <w:szCs w:val="21"/>
                <w:highlight w:val="none"/>
              </w:rPr>
              <w:t>人</w:t>
            </w:r>
          </w:p>
        </w:tc>
        <w:tc>
          <w:tcPr>
            <w:tcW w:w="1260" w:type="dxa"/>
            <w:tcMar>
              <w:top w:w="30" w:type="dxa"/>
              <w:left w:w="90" w:type="dxa"/>
              <w:bottom w:w="30" w:type="dxa"/>
              <w:right w:w="90" w:type="dxa"/>
            </w:tcMar>
            <w:vAlign w:val="center"/>
          </w:tcPr>
          <w:p w14:paraId="3E9EABBE">
            <w:pPr>
              <w:pStyle w:val="25"/>
              <w:wordWrap w:val="0"/>
              <w:spacing w:before="0" w:beforeAutospacing="0" w:after="0" w:afterAutospacing="0" w:line="300" w:lineRule="exact"/>
              <w:jc w:val="center"/>
              <w:rPr>
                <w:sz w:val="21"/>
                <w:szCs w:val="21"/>
                <w:highlight w:val="none"/>
              </w:rPr>
            </w:pPr>
            <w:r>
              <w:rPr>
                <w:sz w:val="21"/>
                <w:szCs w:val="21"/>
                <w:highlight w:val="none"/>
              </w:rPr>
              <w:t>X≥1000</w:t>
            </w:r>
          </w:p>
        </w:tc>
        <w:tc>
          <w:tcPr>
            <w:tcW w:w="1800" w:type="dxa"/>
            <w:tcMar>
              <w:top w:w="30" w:type="dxa"/>
              <w:left w:w="90" w:type="dxa"/>
              <w:bottom w:w="30" w:type="dxa"/>
              <w:right w:w="90" w:type="dxa"/>
            </w:tcMar>
            <w:vAlign w:val="center"/>
          </w:tcPr>
          <w:p w14:paraId="228923BF">
            <w:pPr>
              <w:pStyle w:val="25"/>
              <w:wordWrap w:val="0"/>
              <w:spacing w:before="0" w:beforeAutospacing="0" w:after="0" w:afterAutospacing="0" w:line="300" w:lineRule="exact"/>
              <w:jc w:val="center"/>
              <w:rPr>
                <w:sz w:val="21"/>
                <w:szCs w:val="21"/>
                <w:highlight w:val="none"/>
              </w:rPr>
            </w:pPr>
            <w:r>
              <w:rPr>
                <w:sz w:val="21"/>
                <w:szCs w:val="21"/>
                <w:highlight w:val="none"/>
              </w:rPr>
              <w:t>300≤X&lt;1000</w:t>
            </w:r>
          </w:p>
        </w:tc>
        <w:tc>
          <w:tcPr>
            <w:tcW w:w="1440" w:type="dxa"/>
            <w:tcMar>
              <w:top w:w="30" w:type="dxa"/>
              <w:left w:w="90" w:type="dxa"/>
              <w:bottom w:w="30" w:type="dxa"/>
              <w:right w:w="90" w:type="dxa"/>
            </w:tcMar>
            <w:vAlign w:val="center"/>
          </w:tcPr>
          <w:p w14:paraId="3E0483AE">
            <w:pPr>
              <w:pStyle w:val="25"/>
              <w:wordWrap w:val="0"/>
              <w:spacing w:before="0" w:beforeAutospacing="0" w:after="0" w:afterAutospacing="0" w:line="300" w:lineRule="exact"/>
              <w:jc w:val="center"/>
              <w:rPr>
                <w:sz w:val="21"/>
                <w:szCs w:val="21"/>
                <w:highlight w:val="none"/>
              </w:rPr>
            </w:pPr>
            <w:r>
              <w:rPr>
                <w:sz w:val="21"/>
                <w:szCs w:val="21"/>
                <w:highlight w:val="none"/>
              </w:rPr>
              <w:t>20≤X&lt;300</w:t>
            </w:r>
          </w:p>
        </w:tc>
        <w:tc>
          <w:tcPr>
            <w:tcW w:w="900" w:type="dxa"/>
            <w:tcMar>
              <w:top w:w="30" w:type="dxa"/>
              <w:left w:w="90" w:type="dxa"/>
              <w:bottom w:w="30" w:type="dxa"/>
              <w:right w:w="90" w:type="dxa"/>
            </w:tcMar>
            <w:vAlign w:val="center"/>
          </w:tcPr>
          <w:p w14:paraId="54411D5C">
            <w:pPr>
              <w:pStyle w:val="25"/>
              <w:wordWrap w:val="0"/>
              <w:spacing w:before="0" w:beforeAutospacing="0" w:after="0" w:afterAutospacing="0" w:line="300" w:lineRule="exact"/>
              <w:jc w:val="center"/>
              <w:rPr>
                <w:sz w:val="21"/>
                <w:szCs w:val="21"/>
                <w:highlight w:val="none"/>
              </w:rPr>
            </w:pPr>
            <w:r>
              <w:rPr>
                <w:sz w:val="21"/>
                <w:szCs w:val="21"/>
                <w:highlight w:val="none"/>
              </w:rPr>
              <w:t>X&lt;20</w:t>
            </w:r>
          </w:p>
        </w:tc>
      </w:tr>
      <w:tr w14:paraId="33D1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18D04315">
            <w:pPr>
              <w:spacing w:line="300" w:lineRule="exact"/>
              <w:jc w:val="center"/>
              <w:rPr>
                <w:rFonts w:hint="eastAsia"/>
                <w:szCs w:val="21"/>
                <w:highlight w:val="none"/>
              </w:rPr>
            </w:pPr>
          </w:p>
        </w:tc>
        <w:tc>
          <w:tcPr>
            <w:tcW w:w="1440" w:type="dxa"/>
            <w:tcMar>
              <w:top w:w="30" w:type="dxa"/>
              <w:left w:w="90" w:type="dxa"/>
              <w:bottom w:w="30" w:type="dxa"/>
              <w:right w:w="90" w:type="dxa"/>
            </w:tcMar>
            <w:vAlign w:val="center"/>
          </w:tcPr>
          <w:p w14:paraId="2D11F5D1">
            <w:pPr>
              <w:pStyle w:val="25"/>
              <w:wordWrap w:val="0"/>
              <w:spacing w:before="0" w:beforeAutospacing="0" w:after="0" w:afterAutospacing="0" w:line="300" w:lineRule="exact"/>
              <w:jc w:val="center"/>
              <w:rPr>
                <w:sz w:val="21"/>
                <w:szCs w:val="21"/>
                <w:highlight w:val="none"/>
              </w:rPr>
            </w:pPr>
            <w:r>
              <w:rPr>
                <w:sz w:val="21"/>
                <w:szCs w:val="21"/>
                <w:highlight w:val="none"/>
              </w:rPr>
              <w:t>营业收入(Y)</w:t>
            </w:r>
          </w:p>
        </w:tc>
        <w:tc>
          <w:tcPr>
            <w:tcW w:w="1080" w:type="dxa"/>
            <w:tcMar>
              <w:top w:w="30" w:type="dxa"/>
              <w:left w:w="90" w:type="dxa"/>
              <w:bottom w:w="30" w:type="dxa"/>
              <w:right w:w="90" w:type="dxa"/>
            </w:tcMar>
            <w:vAlign w:val="center"/>
          </w:tcPr>
          <w:p w14:paraId="3057BFEC">
            <w:pPr>
              <w:pStyle w:val="25"/>
              <w:wordWrap w:val="0"/>
              <w:spacing w:before="0" w:beforeAutospacing="0" w:after="0" w:afterAutospacing="0" w:line="300" w:lineRule="exact"/>
              <w:jc w:val="center"/>
              <w:rPr>
                <w:sz w:val="21"/>
                <w:szCs w:val="21"/>
                <w:highlight w:val="none"/>
              </w:rPr>
            </w:pPr>
            <w:r>
              <w:rPr>
                <w:sz w:val="21"/>
                <w:szCs w:val="21"/>
                <w:highlight w:val="none"/>
              </w:rPr>
              <w:t>万元</w:t>
            </w:r>
          </w:p>
        </w:tc>
        <w:tc>
          <w:tcPr>
            <w:tcW w:w="1260" w:type="dxa"/>
            <w:tcMar>
              <w:top w:w="30" w:type="dxa"/>
              <w:left w:w="90" w:type="dxa"/>
              <w:bottom w:w="30" w:type="dxa"/>
              <w:right w:w="90" w:type="dxa"/>
            </w:tcMar>
            <w:vAlign w:val="center"/>
          </w:tcPr>
          <w:p w14:paraId="3DE7AD9A">
            <w:pPr>
              <w:pStyle w:val="25"/>
              <w:wordWrap w:val="0"/>
              <w:spacing w:before="0" w:beforeAutospacing="0" w:after="0" w:afterAutospacing="0" w:line="300" w:lineRule="exact"/>
              <w:jc w:val="center"/>
              <w:rPr>
                <w:sz w:val="21"/>
                <w:szCs w:val="21"/>
                <w:highlight w:val="none"/>
              </w:rPr>
            </w:pPr>
            <w:r>
              <w:rPr>
                <w:sz w:val="21"/>
                <w:szCs w:val="21"/>
                <w:highlight w:val="none"/>
              </w:rPr>
              <w:t>Y≥30000</w:t>
            </w:r>
          </w:p>
        </w:tc>
        <w:tc>
          <w:tcPr>
            <w:tcW w:w="1800" w:type="dxa"/>
            <w:tcMar>
              <w:top w:w="30" w:type="dxa"/>
              <w:left w:w="90" w:type="dxa"/>
              <w:bottom w:w="30" w:type="dxa"/>
              <w:right w:w="90" w:type="dxa"/>
            </w:tcMar>
            <w:vAlign w:val="center"/>
          </w:tcPr>
          <w:p w14:paraId="69BA3962">
            <w:pPr>
              <w:pStyle w:val="25"/>
              <w:wordWrap w:val="0"/>
              <w:spacing w:before="0" w:beforeAutospacing="0" w:after="0" w:afterAutospacing="0" w:line="300" w:lineRule="exact"/>
              <w:jc w:val="center"/>
              <w:rPr>
                <w:sz w:val="21"/>
                <w:szCs w:val="21"/>
                <w:highlight w:val="none"/>
              </w:rPr>
            </w:pPr>
            <w:r>
              <w:rPr>
                <w:sz w:val="21"/>
                <w:szCs w:val="21"/>
                <w:highlight w:val="none"/>
              </w:rPr>
              <w:t>3000≤Y&lt;30000</w:t>
            </w:r>
          </w:p>
        </w:tc>
        <w:tc>
          <w:tcPr>
            <w:tcW w:w="1440" w:type="dxa"/>
            <w:tcMar>
              <w:top w:w="30" w:type="dxa"/>
              <w:left w:w="90" w:type="dxa"/>
              <w:bottom w:w="30" w:type="dxa"/>
              <w:right w:w="90" w:type="dxa"/>
            </w:tcMar>
            <w:vAlign w:val="center"/>
          </w:tcPr>
          <w:p w14:paraId="613A087C">
            <w:pPr>
              <w:pStyle w:val="25"/>
              <w:wordWrap w:val="0"/>
              <w:spacing w:before="0" w:beforeAutospacing="0" w:after="0" w:afterAutospacing="0" w:line="300" w:lineRule="exact"/>
              <w:jc w:val="center"/>
              <w:rPr>
                <w:sz w:val="21"/>
                <w:szCs w:val="21"/>
                <w:highlight w:val="none"/>
              </w:rPr>
            </w:pPr>
            <w:r>
              <w:rPr>
                <w:sz w:val="21"/>
                <w:szCs w:val="21"/>
                <w:highlight w:val="none"/>
              </w:rPr>
              <w:t>200≤Y&lt;3000</w:t>
            </w:r>
          </w:p>
        </w:tc>
        <w:tc>
          <w:tcPr>
            <w:tcW w:w="900" w:type="dxa"/>
            <w:tcMar>
              <w:top w:w="30" w:type="dxa"/>
              <w:left w:w="90" w:type="dxa"/>
              <w:bottom w:w="30" w:type="dxa"/>
              <w:right w:w="90" w:type="dxa"/>
            </w:tcMar>
            <w:vAlign w:val="center"/>
          </w:tcPr>
          <w:p w14:paraId="7F9E2735">
            <w:pPr>
              <w:pStyle w:val="25"/>
              <w:wordWrap w:val="0"/>
              <w:spacing w:before="0" w:beforeAutospacing="0" w:after="0" w:afterAutospacing="0" w:line="300" w:lineRule="exact"/>
              <w:jc w:val="center"/>
              <w:rPr>
                <w:sz w:val="21"/>
                <w:szCs w:val="21"/>
                <w:highlight w:val="none"/>
              </w:rPr>
            </w:pPr>
            <w:r>
              <w:rPr>
                <w:sz w:val="21"/>
                <w:szCs w:val="21"/>
                <w:highlight w:val="none"/>
              </w:rPr>
              <w:t>Y&lt;200</w:t>
            </w:r>
          </w:p>
        </w:tc>
      </w:tr>
      <w:tr w14:paraId="50F0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1BD3389F">
            <w:pPr>
              <w:pStyle w:val="25"/>
              <w:wordWrap w:val="0"/>
              <w:spacing w:before="0" w:beforeAutospacing="0" w:after="0" w:afterAutospacing="0" w:line="300" w:lineRule="exact"/>
              <w:jc w:val="center"/>
              <w:rPr>
                <w:sz w:val="21"/>
                <w:szCs w:val="21"/>
                <w:highlight w:val="none"/>
              </w:rPr>
            </w:pPr>
            <w:r>
              <w:rPr>
                <w:sz w:val="21"/>
                <w:szCs w:val="21"/>
                <w:highlight w:val="none"/>
              </w:rPr>
              <w:t>仓储业</w:t>
            </w:r>
          </w:p>
        </w:tc>
        <w:tc>
          <w:tcPr>
            <w:tcW w:w="1440" w:type="dxa"/>
            <w:tcMar>
              <w:top w:w="30" w:type="dxa"/>
              <w:left w:w="90" w:type="dxa"/>
              <w:bottom w:w="30" w:type="dxa"/>
              <w:right w:w="90" w:type="dxa"/>
            </w:tcMar>
            <w:vAlign w:val="center"/>
          </w:tcPr>
          <w:p w14:paraId="2CF0D080">
            <w:pPr>
              <w:pStyle w:val="25"/>
              <w:wordWrap w:val="0"/>
              <w:spacing w:before="0" w:beforeAutospacing="0" w:after="0" w:afterAutospacing="0" w:line="300" w:lineRule="exact"/>
              <w:jc w:val="center"/>
              <w:rPr>
                <w:sz w:val="21"/>
                <w:szCs w:val="21"/>
                <w:highlight w:val="none"/>
              </w:rPr>
            </w:pPr>
            <w:r>
              <w:rPr>
                <w:sz w:val="21"/>
                <w:szCs w:val="21"/>
                <w:highlight w:val="none"/>
              </w:rPr>
              <w:t>从业人员(X)</w:t>
            </w:r>
          </w:p>
        </w:tc>
        <w:tc>
          <w:tcPr>
            <w:tcW w:w="1080" w:type="dxa"/>
            <w:tcMar>
              <w:top w:w="30" w:type="dxa"/>
              <w:left w:w="90" w:type="dxa"/>
              <w:bottom w:w="30" w:type="dxa"/>
              <w:right w:w="90" w:type="dxa"/>
            </w:tcMar>
            <w:vAlign w:val="center"/>
          </w:tcPr>
          <w:p w14:paraId="37338148">
            <w:pPr>
              <w:pStyle w:val="25"/>
              <w:wordWrap w:val="0"/>
              <w:spacing w:before="0" w:beforeAutospacing="0" w:after="0" w:afterAutospacing="0" w:line="300" w:lineRule="exact"/>
              <w:jc w:val="center"/>
              <w:rPr>
                <w:sz w:val="21"/>
                <w:szCs w:val="21"/>
                <w:highlight w:val="none"/>
              </w:rPr>
            </w:pPr>
            <w:r>
              <w:rPr>
                <w:sz w:val="21"/>
                <w:szCs w:val="21"/>
                <w:highlight w:val="none"/>
              </w:rPr>
              <w:t>人</w:t>
            </w:r>
          </w:p>
        </w:tc>
        <w:tc>
          <w:tcPr>
            <w:tcW w:w="1260" w:type="dxa"/>
            <w:tcMar>
              <w:top w:w="30" w:type="dxa"/>
              <w:left w:w="90" w:type="dxa"/>
              <w:bottom w:w="30" w:type="dxa"/>
              <w:right w:w="90" w:type="dxa"/>
            </w:tcMar>
            <w:vAlign w:val="center"/>
          </w:tcPr>
          <w:p w14:paraId="2A45B751">
            <w:pPr>
              <w:pStyle w:val="25"/>
              <w:wordWrap w:val="0"/>
              <w:spacing w:before="0" w:beforeAutospacing="0" w:after="0" w:afterAutospacing="0" w:line="300" w:lineRule="exact"/>
              <w:jc w:val="center"/>
              <w:rPr>
                <w:sz w:val="21"/>
                <w:szCs w:val="21"/>
                <w:highlight w:val="none"/>
              </w:rPr>
            </w:pPr>
            <w:r>
              <w:rPr>
                <w:sz w:val="21"/>
                <w:szCs w:val="21"/>
                <w:highlight w:val="none"/>
              </w:rPr>
              <w:t>X≥200</w:t>
            </w:r>
          </w:p>
        </w:tc>
        <w:tc>
          <w:tcPr>
            <w:tcW w:w="1800" w:type="dxa"/>
            <w:tcMar>
              <w:top w:w="30" w:type="dxa"/>
              <w:left w:w="90" w:type="dxa"/>
              <w:bottom w:w="30" w:type="dxa"/>
              <w:right w:w="90" w:type="dxa"/>
            </w:tcMar>
            <w:vAlign w:val="center"/>
          </w:tcPr>
          <w:p w14:paraId="7BDF233F">
            <w:pPr>
              <w:pStyle w:val="25"/>
              <w:wordWrap w:val="0"/>
              <w:spacing w:before="0" w:beforeAutospacing="0" w:after="0" w:afterAutospacing="0" w:line="300" w:lineRule="exact"/>
              <w:jc w:val="center"/>
              <w:rPr>
                <w:sz w:val="21"/>
                <w:szCs w:val="21"/>
                <w:highlight w:val="none"/>
              </w:rPr>
            </w:pPr>
            <w:r>
              <w:rPr>
                <w:sz w:val="21"/>
                <w:szCs w:val="21"/>
                <w:highlight w:val="none"/>
              </w:rPr>
              <w:t>100≤X&lt;200</w:t>
            </w:r>
          </w:p>
        </w:tc>
        <w:tc>
          <w:tcPr>
            <w:tcW w:w="1440" w:type="dxa"/>
            <w:tcMar>
              <w:top w:w="30" w:type="dxa"/>
              <w:left w:w="90" w:type="dxa"/>
              <w:bottom w:w="30" w:type="dxa"/>
              <w:right w:w="90" w:type="dxa"/>
            </w:tcMar>
            <w:vAlign w:val="center"/>
          </w:tcPr>
          <w:p w14:paraId="519E3AE3">
            <w:pPr>
              <w:pStyle w:val="25"/>
              <w:wordWrap w:val="0"/>
              <w:spacing w:before="0" w:beforeAutospacing="0" w:after="0" w:afterAutospacing="0" w:line="300" w:lineRule="exact"/>
              <w:jc w:val="center"/>
              <w:rPr>
                <w:sz w:val="21"/>
                <w:szCs w:val="21"/>
                <w:highlight w:val="none"/>
              </w:rPr>
            </w:pPr>
            <w:r>
              <w:rPr>
                <w:sz w:val="21"/>
                <w:szCs w:val="21"/>
                <w:highlight w:val="none"/>
              </w:rPr>
              <w:t>20≤X&lt;100</w:t>
            </w:r>
          </w:p>
        </w:tc>
        <w:tc>
          <w:tcPr>
            <w:tcW w:w="900" w:type="dxa"/>
            <w:tcMar>
              <w:top w:w="30" w:type="dxa"/>
              <w:left w:w="90" w:type="dxa"/>
              <w:bottom w:w="30" w:type="dxa"/>
              <w:right w:w="90" w:type="dxa"/>
            </w:tcMar>
            <w:vAlign w:val="center"/>
          </w:tcPr>
          <w:p w14:paraId="323812B0">
            <w:pPr>
              <w:pStyle w:val="25"/>
              <w:wordWrap w:val="0"/>
              <w:spacing w:before="0" w:beforeAutospacing="0" w:after="0" w:afterAutospacing="0" w:line="300" w:lineRule="exact"/>
              <w:jc w:val="center"/>
              <w:rPr>
                <w:sz w:val="21"/>
                <w:szCs w:val="21"/>
                <w:highlight w:val="none"/>
              </w:rPr>
            </w:pPr>
            <w:r>
              <w:rPr>
                <w:sz w:val="21"/>
                <w:szCs w:val="21"/>
                <w:highlight w:val="none"/>
              </w:rPr>
              <w:t>X&lt;20</w:t>
            </w:r>
          </w:p>
        </w:tc>
      </w:tr>
      <w:tr w14:paraId="3AC1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3E511440">
            <w:pPr>
              <w:spacing w:line="300" w:lineRule="exact"/>
              <w:jc w:val="center"/>
              <w:rPr>
                <w:rFonts w:hint="eastAsia"/>
                <w:szCs w:val="21"/>
                <w:highlight w:val="none"/>
              </w:rPr>
            </w:pPr>
          </w:p>
        </w:tc>
        <w:tc>
          <w:tcPr>
            <w:tcW w:w="1440" w:type="dxa"/>
            <w:tcMar>
              <w:top w:w="30" w:type="dxa"/>
              <w:left w:w="90" w:type="dxa"/>
              <w:bottom w:w="30" w:type="dxa"/>
              <w:right w:w="90" w:type="dxa"/>
            </w:tcMar>
            <w:vAlign w:val="center"/>
          </w:tcPr>
          <w:p w14:paraId="47626BF3">
            <w:pPr>
              <w:pStyle w:val="25"/>
              <w:wordWrap w:val="0"/>
              <w:spacing w:before="0" w:beforeAutospacing="0" w:after="0" w:afterAutospacing="0" w:line="300" w:lineRule="exact"/>
              <w:jc w:val="center"/>
              <w:rPr>
                <w:sz w:val="21"/>
                <w:szCs w:val="21"/>
                <w:highlight w:val="none"/>
              </w:rPr>
            </w:pPr>
            <w:r>
              <w:rPr>
                <w:sz w:val="21"/>
                <w:szCs w:val="21"/>
                <w:highlight w:val="none"/>
              </w:rPr>
              <w:t>营业收入(Y)</w:t>
            </w:r>
          </w:p>
        </w:tc>
        <w:tc>
          <w:tcPr>
            <w:tcW w:w="1080" w:type="dxa"/>
            <w:tcMar>
              <w:top w:w="30" w:type="dxa"/>
              <w:left w:w="90" w:type="dxa"/>
              <w:bottom w:w="30" w:type="dxa"/>
              <w:right w:w="90" w:type="dxa"/>
            </w:tcMar>
            <w:vAlign w:val="center"/>
          </w:tcPr>
          <w:p w14:paraId="264F72FF">
            <w:pPr>
              <w:pStyle w:val="25"/>
              <w:wordWrap w:val="0"/>
              <w:spacing w:before="0" w:beforeAutospacing="0" w:after="0" w:afterAutospacing="0" w:line="300" w:lineRule="exact"/>
              <w:jc w:val="center"/>
              <w:rPr>
                <w:sz w:val="21"/>
                <w:szCs w:val="21"/>
                <w:highlight w:val="none"/>
              </w:rPr>
            </w:pPr>
            <w:r>
              <w:rPr>
                <w:sz w:val="21"/>
                <w:szCs w:val="21"/>
                <w:highlight w:val="none"/>
              </w:rPr>
              <w:t>万元</w:t>
            </w:r>
          </w:p>
        </w:tc>
        <w:tc>
          <w:tcPr>
            <w:tcW w:w="1260" w:type="dxa"/>
            <w:tcMar>
              <w:top w:w="30" w:type="dxa"/>
              <w:left w:w="90" w:type="dxa"/>
              <w:bottom w:w="30" w:type="dxa"/>
              <w:right w:w="90" w:type="dxa"/>
            </w:tcMar>
            <w:vAlign w:val="center"/>
          </w:tcPr>
          <w:p w14:paraId="69282096">
            <w:pPr>
              <w:pStyle w:val="25"/>
              <w:wordWrap w:val="0"/>
              <w:spacing w:before="0" w:beforeAutospacing="0" w:after="0" w:afterAutospacing="0" w:line="300" w:lineRule="exact"/>
              <w:jc w:val="center"/>
              <w:rPr>
                <w:sz w:val="21"/>
                <w:szCs w:val="21"/>
                <w:highlight w:val="none"/>
              </w:rPr>
            </w:pPr>
            <w:r>
              <w:rPr>
                <w:sz w:val="21"/>
                <w:szCs w:val="21"/>
                <w:highlight w:val="none"/>
              </w:rPr>
              <w:t>Y≥30000</w:t>
            </w:r>
          </w:p>
        </w:tc>
        <w:tc>
          <w:tcPr>
            <w:tcW w:w="1800" w:type="dxa"/>
            <w:tcMar>
              <w:top w:w="30" w:type="dxa"/>
              <w:left w:w="90" w:type="dxa"/>
              <w:bottom w:w="30" w:type="dxa"/>
              <w:right w:w="90" w:type="dxa"/>
            </w:tcMar>
            <w:vAlign w:val="center"/>
          </w:tcPr>
          <w:p w14:paraId="792EC58A">
            <w:pPr>
              <w:pStyle w:val="25"/>
              <w:wordWrap w:val="0"/>
              <w:spacing w:before="0" w:beforeAutospacing="0" w:after="0" w:afterAutospacing="0" w:line="300" w:lineRule="exact"/>
              <w:jc w:val="center"/>
              <w:rPr>
                <w:sz w:val="21"/>
                <w:szCs w:val="21"/>
                <w:highlight w:val="none"/>
              </w:rPr>
            </w:pPr>
            <w:r>
              <w:rPr>
                <w:sz w:val="21"/>
                <w:szCs w:val="21"/>
                <w:highlight w:val="none"/>
              </w:rPr>
              <w:t>1000≤Y&lt;30000</w:t>
            </w:r>
          </w:p>
        </w:tc>
        <w:tc>
          <w:tcPr>
            <w:tcW w:w="1440" w:type="dxa"/>
            <w:tcMar>
              <w:top w:w="30" w:type="dxa"/>
              <w:left w:w="90" w:type="dxa"/>
              <w:bottom w:w="30" w:type="dxa"/>
              <w:right w:w="90" w:type="dxa"/>
            </w:tcMar>
            <w:vAlign w:val="center"/>
          </w:tcPr>
          <w:p w14:paraId="7C206793">
            <w:pPr>
              <w:pStyle w:val="25"/>
              <w:wordWrap w:val="0"/>
              <w:spacing w:before="0" w:beforeAutospacing="0" w:after="0" w:afterAutospacing="0" w:line="300" w:lineRule="exact"/>
              <w:jc w:val="center"/>
              <w:rPr>
                <w:sz w:val="21"/>
                <w:szCs w:val="21"/>
                <w:highlight w:val="none"/>
              </w:rPr>
            </w:pPr>
            <w:r>
              <w:rPr>
                <w:sz w:val="21"/>
                <w:szCs w:val="21"/>
                <w:highlight w:val="none"/>
              </w:rPr>
              <w:t>100≤Y&lt;1000</w:t>
            </w:r>
          </w:p>
        </w:tc>
        <w:tc>
          <w:tcPr>
            <w:tcW w:w="900" w:type="dxa"/>
            <w:tcMar>
              <w:top w:w="30" w:type="dxa"/>
              <w:left w:w="90" w:type="dxa"/>
              <w:bottom w:w="30" w:type="dxa"/>
              <w:right w:w="90" w:type="dxa"/>
            </w:tcMar>
            <w:vAlign w:val="center"/>
          </w:tcPr>
          <w:p w14:paraId="2FD64ADF">
            <w:pPr>
              <w:pStyle w:val="25"/>
              <w:wordWrap w:val="0"/>
              <w:spacing w:before="0" w:beforeAutospacing="0" w:after="0" w:afterAutospacing="0" w:line="300" w:lineRule="exact"/>
              <w:jc w:val="center"/>
              <w:rPr>
                <w:sz w:val="21"/>
                <w:szCs w:val="21"/>
                <w:highlight w:val="none"/>
              </w:rPr>
            </w:pPr>
            <w:r>
              <w:rPr>
                <w:sz w:val="21"/>
                <w:szCs w:val="21"/>
                <w:highlight w:val="none"/>
              </w:rPr>
              <w:t>Y&lt;100</w:t>
            </w:r>
          </w:p>
        </w:tc>
      </w:tr>
      <w:tr w14:paraId="0B15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51A12A00">
            <w:pPr>
              <w:pStyle w:val="25"/>
              <w:wordWrap w:val="0"/>
              <w:spacing w:before="0" w:beforeAutospacing="0" w:after="0" w:afterAutospacing="0" w:line="300" w:lineRule="exact"/>
              <w:jc w:val="center"/>
              <w:rPr>
                <w:sz w:val="21"/>
                <w:szCs w:val="21"/>
                <w:highlight w:val="none"/>
              </w:rPr>
            </w:pPr>
            <w:r>
              <w:rPr>
                <w:sz w:val="21"/>
                <w:szCs w:val="21"/>
                <w:highlight w:val="none"/>
              </w:rPr>
              <w:t>邮政业</w:t>
            </w:r>
          </w:p>
        </w:tc>
        <w:tc>
          <w:tcPr>
            <w:tcW w:w="1440" w:type="dxa"/>
            <w:tcMar>
              <w:top w:w="30" w:type="dxa"/>
              <w:left w:w="90" w:type="dxa"/>
              <w:bottom w:w="30" w:type="dxa"/>
              <w:right w:w="90" w:type="dxa"/>
            </w:tcMar>
            <w:vAlign w:val="center"/>
          </w:tcPr>
          <w:p w14:paraId="7648037B">
            <w:pPr>
              <w:pStyle w:val="25"/>
              <w:wordWrap w:val="0"/>
              <w:spacing w:before="0" w:beforeAutospacing="0" w:after="0" w:afterAutospacing="0" w:line="300" w:lineRule="exact"/>
              <w:jc w:val="center"/>
              <w:rPr>
                <w:sz w:val="21"/>
                <w:szCs w:val="21"/>
                <w:highlight w:val="none"/>
              </w:rPr>
            </w:pPr>
            <w:r>
              <w:rPr>
                <w:sz w:val="21"/>
                <w:szCs w:val="21"/>
                <w:highlight w:val="none"/>
              </w:rPr>
              <w:t>从业人员(X)</w:t>
            </w:r>
          </w:p>
        </w:tc>
        <w:tc>
          <w:tcPr>
            <w:tcW w:w="1080" w:type="dxa"/>
            <w:tcMar>
              <w:top w:w="30" w:type="dxa"/>
              <w:left w:w="90" w:type="dxa"/>
              <w:bottom w:w="30" w:type="dxa"/>
              <w:right w:w="90" w:type="dxa"/>
            </w:tcMar>
            <w:vAlign w:val="center"/>
          </w:tcPr>
          <w:p w14:paraId="7FE12352">
            <w:pPr>
              <w:pStyle w:val="25"/>
              <w:wordWrap w:val="0"/>
              <w:spacing w:before="0" w:beforeAutospacing="0" w:after="0" w:afterAutospacing="0" w:line="300" w:lineRule="exact"/>
              <w:jc w:val="center"/>
              <w:rPr>
                <w:sz w:val="21"/>
                <w:szCs w:val="21"/>
                <w:highlight w:val="none"/>
              </w:rPr>
            </w:pPr>
            <w:r>
              <w:rPr>
                <w:sz w:val="21"/>
                <w:szCs w:val="21"/>
                <w:highlight w:val="none"/>
              </w:rPr>
              <w:t>人</w:t>
            </w:r>
          </w:p>
        </w:tc>
        <w:tc>
          <w:tcPr>
            <w:tcW w:w="1260" w:type="dxa"/>
            <w:tcMar>
              <w:top w:w="30" w:type="dxa"/>
              <w:left w:w="90" w:type="dxa"/>
              <w:bottom w:w="30" w:type="dxa"/>
              <w:right w:w="90" w:type="dxa"/>
            </w:tcMar>
            <w:vAlign w:val="center"/>
          </w:tcPr>
          <w:p w14:paraId="1669D22D">
            <w:pPr>
              <w:pStyle w:val="25"/>
              <w:wordWrap w:val="0"/>
              <w:spacing w:before="0" w:beforeAutospacing="0" w:after="0" w:afterAutospacing="0" w:line="300" w:lineRule="exact"/>
              <w:jc w:val="center"/>
              <w:rPr>
                <w:sz w:val="21"/>
                <w:szCs w:val="21"/>
                <w:highlight w:val="none"/>
              </w:rPr>
            </w:pPr>
            <w:r>
              <w:rPr>
                <w:sz w:val="21"/>
                <w:szCs w:val="21"/>
                <w:highlight w:val="none"/>
              </w:rPr>
              <w:t>X≥1000</w:t>
            </w:r>
          </w:p>
        </w:tc>
        <w:tc>
          <w:tcPr>
            <w:tcW w:w="1800" w:type="dxa"/>
            <w:tcMar>
              <w:top w:w="30" w:type="dxa"/>
              <w:left w:w="90" w:type="dxa"/>
              <w:bottom w:w="30" w:type="dxa"/>
              <w:right w:w="90" w:type="dxa"/>
            </w:tcMar>
            <w:vAlign w:val="center"/>
          </w:tcPr>
          <w:p w14:paraId="6F1CF513">
            <w:pPr>
              <w:pStyle w:val="25"/>
              <w:wordWrap w:val="0"/>
              <w:spacing w:before="0" w:beforeAutospacing="0" w:after="0" w:afterAutospacing="0" w:line="300" w:lineRule="exact"/>
              <w:jc w:val="center"/>
              <w:rPr>
                <w:sz w:val="21"/>
                <w:szCs w:val="21"/>
                <w:highlight w:val="none"/>
              </w:rPr>
            </w:pPr>
            <w:r>
              <w:rPr>
                <w:sz w:val="21"/>
                <w:szCs w:val="21"/>
                <w:highlight w:val="none"/>
              </w:rPr>
              <w:t>300≤X&lt;1000</w:t>
            </w:r>
          </w:p>
        </w:tc>
        <w:tc>
          <w:tcPr>
            <w:tcW w:w="1440" w:type="dxa"/>
            <w:tcMar>
              <w:top w:w="30" w:type="dxa"/>
              <w:left w:w="90" w:type="dxa"/>
              <w:bottom w:w="30" w:type="dxa"/>
              <w:right w:w="90" w:type="dxa"/>
            </w:tcMar>
            <w:vAlign w:val="center"/>
          </w:tcPr>
          <w:p w14:paraId="5EEFB8A9">
            <w:pPr>
              <w:pStyle w:val="25"/>
              <w:wordWrap w:val="0"/>
              <w:spacing w:before="0" w:beforeAutospacing="0" w:after="0" w:afterAutospacing="0" w:line="300" w:lineRule="exact"/>
              <w:jc w:val="center"/>
              <w:rPr>
                <w:sz w:val="21"/>
                <w:szCs w:val="21"/>
                <w:highlight w:val="none"/>
              </w:rPr>
            </w:pPr>
            <w:r>
              <w:rPr>
                <w:sz w:val="21"/>
                <w:szCs w:val="21"/>
                <w:highlight w:val="none"/>
              </w:rPr>
              <w:t>20≤X&lt;300</w:t>
            </w:r>
          </w:p>
        </w:tc>
        <w:tc>
          <w:tcPr>
            <w:tcW w:w="900" w:type="dxa"/>
            <w:tcMar>
              <w:top w:w="30" w:type="dxa"/>
              <w:left w:w="90" w:type="dxa"/>
              <w:bottom w:w="30" w:type="dxa"/>
              <w:right w:w="90" w:type="dxa"/>
            </w:tcMar>
            <w:vAlign w:val="center"/>
          </w:tcPr>
          <w:p w14:paraId="5809C617">
            <w:pPr>
              <w:pStyle w:val="25"/>
              <w:wordWrap w:val="0"/>
              <w:spacing w:before="0" w:beforeAutospacing="0" w:after="0" w:afterAutospacing="0" w:line="300" w:lineRule="exact"/>
              <w:jc w:val="center"/>
              <w:rPr>
                <w:sz w:val="21"/>
                <w:szCs w:val="21"/>
                <w:highlight w:val="none"/>
              </w:rPr>
            </w:pPr>
            <w:r>
              <w:rPr>
                <w:sz w:val="21"/>
                <w:szCs w:val="21"/>
                <w:highlight w:val="none"/>
              </w:rPr>
              <w:t>X&lt;20</w:t>
            </w:r>
          </w:p>
        </w:tc>
      </w:tr>
      <w:tr w14:paraId="0A3E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67722E5D">
            <w:pPr>
              <w:spacing w:line="300" w:lineRule="exact"/>
              <w:jc w:val="center"/>
              <w:rPr>
                <w:rFonts w:hint="eastAsia"/>
                <w:szCs w:val="21"/>
                <w:highlight w:val="none"/>
              </w:rPr>
            </w:pPr>
          </w:p>
        </w:tc>
        <w:tc>
          <w:tcPr>
            <w:tcW w:w="1440" w:type="dxa"/>
            <w:tcMar>
              <w:top w:w="30" w:type="dxa"/>
              <w:left w:w="90" w:type="dxa"/>
              <w:bottom w:w="30" w:type="dxa"/>
              <w:right w:w="90" w:type="dxa"/>
            </w:tcMar>
            <w:vAlign w:val="center"/>
          </w:tcPr>
          <w:p w14:paraId="127E4799">
            <w:pPr>
              <w:pStyle w:val="25"/>
              <w:wordWrap w:val="0"/>
              <w:spacing w:before="0" w:beforeAutospacing="0" w:after="0" w:afterAutospacing="0" w:line="300" w:lineRule="exact"/>
              <w:jc w:val="center"/>
              <w:rPr>
                <w:sz w:val="21"/>
                <w:szCs w:val="21"/>
                <w:highlight w:val="none"/>
              </w:rPr>
            </w:pPr>
            <w:r>
              <w:rPr>
                <w:sz w:val="21"/>
                <w:szCs w:val="21"/>
                <w:highlight w:val="none"/>
              </w:rPr>
              <w:t>营业收入(Y)</w:t>
            </w:r>
          </w:p>
        </w:tc>
        <w:tc>
          <w:tcPr>
            <w:tcW w:w="1080" w:type="dxa"/>
            <w:tcMar>
              <w:top w:w="30" w:type="dxa"/>
              <w:left w:w="90" w:type="dxa"/>
              <w:bottom w:w="30" w:type="dxa"/>
              <w:right w:w="90" w:type="dxa"/>
            </w:tcMar>
            <w:vAlign w:val="center"/>
          </w:tcPr>
          <w:p w14:paraId="2C6F213A">
            <w:pPr>
              <w:pStyle w:val="25"/>
              <w:wordWrap w:val="0"/>
              <w:spacing w:before="0" w:beforeAutospacing="0" w:after="0" w:afterAutospacing="0" w:line="300" w:lineRule="exact"/>
              <w:jc w:val="center"/>
              <w:rPr>
                <w:sz w:val="21"/>
                <w:szCs w:val="21"/>
                <w:highlight w:val="none"/>
              </w:rPr>
            </w:pPr>
            <w:r>
              <w:rPr>
                <w:sz w:val="21"/>
                <w:szCs w:val="21"/>
                <w:highlight w:val="none"/>
              </w:rPr>
              <w:t>万元</w:t>
            </w:r>
          </w:p>
        </w:tc>
        <w:tc>
          <w:tcPr>
            <w:tcW w:w="1260" w:type="dxa"/>
            <w:tcMar>
              <w:top w:w="30" w:type="dxa"/>
              <w:left w:w="90" w:type="dxa"/>
              <w:bottom w:w="30" w:type="dxa"/>
              <w:right w:w="90" w:type="dxa"/>
            </w:tcMar>
            <w:vAlign w:val="center"/>
          </w:tcPr>
          <w:p w14:paraId="5C206277">
            <w:pPr>
              <w:pStyle w:val="25"/>
              <w:wordWrap w:val="0"/>
              <w:spacing w:before="0" w:beforeAutospacing="0" w:after="0" w:afterAutospacing="0" w:line="300" w:lineRule="exact"/>
              <w:jc w:val="center"/>
              <w:rPr>
                <w:sz w:val="21"/>
                <w:szCs w:val="21"/>
                <w:highlight w:val="none"/>
              </w:rPr>
            </w:pPr>
            <w:r>
              <w:rPr>
                <w:sz w:val="21"/>
                <w:szCs w:val="21"/>
                <w:highlight w:val="none"/>
              </w:rPr>
              <w:t>Y≥30000</w:t>
            </w:r>
          </w:p>
        </w:tc>
        <w:tc>
          <w:tcPr>
            <w:tcW w:w="1800" w:type="dxa"/>
            <w:tcMar>
              <w:top w:w="30" w:type="dxa"/>
              <w:left w:w="90" w:type="dxa"/>
              <w:bottom w:w="30" w:type="dxa"/>
              <w:right w:w="90" w:type="dxa"/>
            </w:tcMar>
            <w:vAlign w:val="center"/>
          </w:tcPr>
          <w:p w14:paraId="5ECA9BA0">
            <w:pPr>
              <w:pStyle w:val="25"/>
              <w:wordWrap w:val="0"/>
              <w:spacing w:before="0" w:beforeAutospacing="0" w:after="0" w:afterAutospacing="0" w:line="300" w:lineRule="exact"/>
              <w:jc w:val="center"/>
              <w:rPr>
                <w:sz w:val="21"/>
                <w:szCs w:val="21"/>
                <w:highlight w:val="none"/>
              </w:rPr>
            </w:pPr>
            <w:r>
              <w:rPr>
                <w:sz w:val="21"/>
                <w:szCs w:val="21"/>
                <w:highlight w:val="none"/>
              </w:rPr>
              <w:t>2000≤Y&lt;30000</w:t>
            </w:r>
          </w:p>
        </w:tc>
        <w:tc>
          <w:tcPr>
            <w:tcW w:w="1440" w:type="dxa"/>
            <w:tcMar>
              <w:top w:w="30" w:type="dxa"/>
              <w:left w:w="90" w:type="dxa"/>
              <w:bottom w:w="30" w:type="dxa"/>
              <w:right w:w="90" w:type="dxa"/>
            </w:tcMar>
            <w:vAlign w:val="center"/>
          </w:tcPr>
          <w:p w14:paraId="4BF665C3">
            <w:pPr>
              <w:pStyle w:val="25"/>
              <w:wordWrap w:val="0"/>
              <w:spacing w:before="0" w:beforeAutospacing="0" w:after="0" w:afterAutospacing="0" w:line="300" w:lineRule="exact"/>
              <w:jc w:val="center"/>
              <w:rPr>
                <w:sz w:val="21"/>
                <w:szCs w:val="21"/>
                <w:highlight w:val="none"/>
              </w:rPr>
            </w:pPr>
            <w:r>
              <w:rPr>
                <w:sz w:val="21"/>
                <w:szCs w:val="21"/>
                <w:highlight w:val="none"/>
              </w:rPr>
              <w:t>100≤Y&lt;2000</w:t>
            </w:r>
          </w:p>
        </w:tc>
        <w:tc>
          <w:tcPr>
            <w:tcW w:w="900" w:type="dxa"/>
            <w:tcMar>
              <w:top w:w="30" w:type="dxa"/>
              <w:left w:w="90" w:type="dxa"/>
              <w:bottom w:w="30" w:type="dxa"/>
              <w:right w:w="90" w:type="dxa"/>
            </w:tcMar>
            <w:vAlign w:val="center"/>
          </w:tcPr>
          <w:p w14:paraId="4F660CED">
            <w:pPr>
              <w:pStyle w:val="25"/>
              <w:wordWrap w:val="0"/>
              <w:spacing w:before="0" w:beforeAutospacing="0" w:after="0" w:afterAutospacing="0" w:line="300" w:lineRule="exact"/>
              <w:jc w:val="center"/>
              <w:rPr>
                <w:sz w:val="21"/>
                <w:szCs w:val="21"/>
                <w:highlight w:val="none"/>
              </w:rPr>
            </w:pPr>
            <w:r>
              <w:rPr>
                <w:sz w:val="21"/>
                <w:szCs w:val="21"/>
                <w:highlight w:val="none"/>
              </w:rPr>
              <w:t>Y&lt;100</w:t>
            </w:r>
          </w:p>
        </w:tc>
      </w:tr>
      <w:tr w14:paraId="4AE7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22216FA0">
            <w:pPr>
              <w:pStyle w:val="25"/>
              <w:wordWrap w:val="0"/>
              <w:spacing w:before="0" w:beforeAutospacing="0" w:after="0" w:afterAutospacing="0" w:line="300" w:lineRule="exact"/>
              <w:jc w:val="center"/>
              <w:rPr>
                <w:sz w:val="21"/>
                <w:szCs w:val="21"/>
                <w:highlight w:val="none"/>
              </w:rPr>
            </w:pPr>
            <w:r>
              <w:rPr>
                <w:sz w:val="21"/>
                <w:szCs w:val="21"/>
                <w:highlight w:val="none"/>
              </w:rPr>
              <w:t>住宿业</w:t>
            </w:r>
          </w:p>
        </w:tc>
        <w:tc>
          <w:tcPr>
            <w:tcW w:w="1440" w:type="dxa"/>
            <w:tcMar>
              <w:top w:w="30" w:type="dxa"/>
              <w:left w:w="90" w:type="dxa"/>
              <w:bottom w:w="30" w:type="dxa"/>
              <w:right w:w="90" w:type="dxa"/>
            </w:tcMar>
            <w:vAlign w:val="center"/>
          </w:tcPr>
          <w:p w14:paraId="0F9768CD">
            <w:pPr>
              <w:pStyle w:val="25"/>
              <w:wordWrap w:val="0"/>
              <w:spacing w:before="0" w:beforeAutospacing="0" w:after="0" w:afterAutospacing="0" w:line="300" w:lineRule="exact"/>
              <w:jc w:val="center"/>
              <w:rPr>
                <w:sz w:val="21"/>
                <w:szCs w:val="21"/>
                <w:highlight w:val="none"/>
              </w:rPr>
            </w:pPr>
            <w:r>
              <w:rPr>
                <w:sz w:val="21"/>
                <w:szCs w:val="21"/>
                <w:highlight w:val="none"/>
              </w:rPr>
              <w:t>从业人员(X)</w:t>
            </w:r>
          </w:p>
        </w:tc>
        <w:tc>
          <w:tcPr>
            <w:tcW w:w="1080" w:type="dxa"/>
            <w:tcMar>
              <w:top w:w="30" w:type="dxa"/>
              <w:left w:w="90" w:type="dxa"/>
              <w:bottom w:w="30" w:type="dxa"/>
              <w:right w:w="90" w:type="dxa"/>
            </w:tcMar>
            <w:vAlign w:val="center"/>
          </w:tcPr>
          <w:p w14:paraId="2CA2C9F4">
            <w:pPr>
              <w:pStyle w:val="25"/>
              <w:wordWrap w:val="0"/>
              <w:spacing w:before="0" w:beforeAutospacing="0" w:after="0" w:afterAutospacing="0" w:line="300" w:lineRule="exact"/>
              <w:jc w:val="center"/>
              <w:rPr>
                <w:sz w:val="21"/>
                <w:szCs w:val="21"/>
                <w:highlight w:val="none"/>
              </w:rPr>
            </w:pPr>
            <w:r>
              <w:rPr>
                <w:sz w:val="21"/>
                <w:szCs w:val="21"/>
                <w:highlight w:val="none"/>
              </w:rPr>
              <w:t>人</w:t>
            </w:r>
          </w:p>
        </w:tc>
        <w:tc>
          <w:tcPr>
            <w:tcW w:w="1260" w:type="dxa"/>
            <w:tcMar>
              <w:top w:w="30" w:type="dxa"/>
              <w:left w:w="90" w:type="dxa"/>
              <w:bottom w:w="30" w:type="dxa"/>
              <w:right w:w="90" w:type="dxa"/>
            </w:tcMar>
            <w:vAlign w:val="center"/>
          </w:tcPr>
          <w:p w14:paraId="658D2DC3">
            <w:pPr>
              <w:pStyle w:val="25"/>
              <w:wordWrap w:val="0"/>
              <w:spacing w:before="0" w:beforeAutospacing="0" w:after="0" w:afterAutospacing="0" w:line="300" w:lineRule="exact"/>
              <w:jc w:val="center"/>
              <w:rPr>
                <w:sz w:val="21"/>
                <w:szCs w:val="21"/>
                <w:highlight w:val="none"/>
              </w:rPr>
            </w:pPr>
            <w:r>
              <w:rPr>
                <w:sz w:val="21"/>
                <w:szCs w:val="21"/>
                <w:highlight w:val="none"/>
              </w:rPr>
              <w:t>X≥300</w:t>
            </w:r>
          </w:p>
        </w:tc>
        <w:tc>
          <w:tcPr>
            <w:tcW w:w="1800" w:type="dxa"/>
            <w:tcMar>
              <w:top w:w="30" w:type="dxa"/>
              <w:left w:w="90" w:type="dxa"/>
              <w:bottom w:w="30" w:type="dxa"/>
              <w:right w:w="90" w:type="dxa"/>
            </w:tcMar>
            <w:vAlign w:val="center"/>
          </w:tcPr>
          <w:p w14:paraId="3F24F1AF">
            <w:pPr>
              <w:pStyle w:val="25"/>
              <w:wordWrap w:val="0"/>
              <w:spacing w:before="0" w:beforeAutospacing="0" w:after="0" w:afterAutospacing="0" w:line="300" w:lineRule="exact"/>
              <w:jc w:val="center"/>
              <w:rPr>
                <w:sz w:val="21"/>
                <w:szCs w:val="21"/>
                <w:highlight w:val="none"/>
              </w:rPr>
            </w:pPr>
            <w:r>
              <w:rPr>
                <w:sz w:val="21"/>
                <w:szCs w:val="21"/>
                <w:highlight w:val="none"/>
              </w:rPr>
              <w:t>100≤X&lt;300</w:t>
            </w:r>
          </w:p>
        </w:tc>
        <w:tc>
          <w:tcPr>
            <w:tcW w:w="1440" w:type="dxa"/>
            <w:tcMar>
              <w:top w:w="30" w:type="dxa"/>
              <w:left w:w="90" w:type="dxa"/>
              <w:bottom w:w="30" w:type="dxa"/>
              <w:right w:w="90" w:type="dxa"/>
            </w:tcMar>
            <w:vAlign w:val="center"/>
          </w:tcPr>
          <w:p w14:paraId="6499E9AB">
            <w:pPr>
              <w:pStyle w:val="25"/>
              <w:wordWrap w:val="0"/>
              <w:spacing w:before="0" w:beforeAutospacing="0" w:after="0" w:afterAutospacing="0" w:line="300" w:lineRule="exact"/>
              <w:jc w:val="center"/>
              <w:rPr>
                <w:sz w:val="21"/>
                <w:szCs w:val="21"/>
                <w:highlight w:val="none"/>
              </w:rPr>
            </w:pPr>
            <w:r>
              <w:rPr>
                <w:sz w:val="21"/>
                <w:szCs w:val="21"/>
                <w:highlight w:val="none"/>
              </w:rPr>
              <w:t>10≤X&lt;100</w:t>
            </w:r>
          </w:p>
        </w:tc>
        <w:tc>
          <w:tcPr>
            <w:tcW w:w="900" w:type="dxa"/>
            <w:tcMar>
              <w:top w:w="30" w:type="dxa"/>
              <w:left w:w="90" w:type="dxa"/>
              <w:bottom w:w="30" w:type="dxa"/>
              <w:right w:w="90" w:type="dxa"/>
            </w:tcMar>
            <w:vAlign w:val="center"/>
          </w:tcPr>
          <w:p w14:paraId="7A76063B">
            <w:pPr>
              <w:pStyle w:val="25"/>
              <w:wordWrap w:val="0"/>
              <w:spacing w:before="0" w:beforeAutospacing="0" w:after="0" w:afterAutospacing="0" w:line="300" w:lineRule="exact"/>
              <w:jc w:val="center"/>
              <w:rPr>
                <w:sz w:val="21"/>
                <w:szCs w:val="21"/>
                <w:highlight w:val="none"/>
              </w:rPr>
            </w:pPr>
            <w:r>
              <w:rPr>
                <w:sz w:val="21"/>
                <w:szCs w:val="21"/>
                <w:highlight w:val="none"/>
              </w:rPr>
              <w:t>X&lt;10</w:t>
            </w:r>
          </w:p>
        </w:tc>
      </w:tr>
      <w:tr w14:paraId="1F19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2F4C86FA">
            <w:pPr>
              <w:spacing w:line="300" w:lineRule="exact"/>
              <w:jc w:val="center"/>
              <w:rPr>
                <w:rFonts w:hint="eastAsia"/>
                <w:szCs w:val="21"/>
                <w:highlight w:val="none"/>
              </w:rPr>
            </w:pPr>
          </w:p>
        </w:tc>
        <w:tc>
          <w:tcPr>
            <w:tcW w:w="1440" w:type="dxa"/>
            <w:tcMar>
              <w:top w:w="30" w:type="dxa"/>
              <w:left w:w="90" w:type="dxa"/>
              <w:bottom w:w="30" w:type="dxa"/>
              <w:right w:w="90" w:type="dxa"/>
            </w:tcMar>
            <w:vAlign w:val="center"/>
          </w:tcPr>
          <w:p w14:paraId="3337C5F6">
            <w:pPr>
              <w:pStyle w:val="25"/>
              <w:wordWrap w:val="0"/>
              <w:spacing w:before="0" w:beforeAutospacing="0" w:after="0" w:afterAutospacing="0" w:line="300" w:lineRule="exact"/>
              <w:jc w:val="center"/>
              <w:rPr>
                <w:sz w:val="21"/>
                <w:szCs w:val="21"/>
                <w:highlight w:val="none"/>
              </w:rPr>
            </w:pPr>
            <w:r>
              <w:rPr>
                <w:sz w:val="21"/>
                <w:szCs w:val="21"/>
                <w:highlight w:val="none"/>
              </w:rPr>
              <w:t>营业收入(Y)</w:t>
            </w:r>
          </w:p>
        </w:tc>
        <w:tc>
          <w:tcPr>
            <w:tcW w:w="1080" w:type="dxa"/>
            <w:tcMar>
              <w:top w:w="30" w:type="dxa"/>
              <w:left w:w="90" w:type="dxa"/>
              <w:bottom w:w="30" w:type="dxa"/>
              <w:right w:w="90" w:type="dxa"/>
            </w:tcMar>
            <w:vAlign w:val="center"/>
          </w:tcPr>
          <w:p w14:paraId="6E28C87C">
            <w:pPr>
              <w:pStyle w:val="25"/>
              <w:wordWrap w:val="0"/>
              <w:spacing w:before="0" w:beforeAutospacing="0" w:after="0" w:afterAutospacing="0" w:line="300" w:lineRule="exact"/>
              <w:jc w:val="center"/>
              <w:rPr>
                <w:sz w:val="21"/>
                <w:szCs w:val="21"/>
                <w:highlight w:val="none"/>
              </w:rPr>
            </w:pPr>
            <w:r>
              <w:rPr>
                <w:sz w:val="21"/>
                <w:szCs w:val="21"/>
                <w:highlight w:val="none"/>
              </w:rPr>
              <w:t>万元</w:t>
            </w:r>
          </w:p>
        </w:tc>
        <w:tc>
          <w:tcPr>
            <w:tcW w:w="1260" w:type="dxa"/>
            <w:tcMar>
              <w:top w:w="30" w:type="dxa"/>
              <w:left w:w="90" w:type="dxa"/>
              <w:bottom w:w="30" w:type="dxa"/>
              <w:right w:w="90" w:type="dxa"/>
            </w:tcMar>
            <w:vAlign w:val="center"/>
          </w:tcPr>
          <w:p w14:paraId="674BCAF8">
            <w:pPr>
              <w:pStyle w:val="25"/>
              <w:wordWrap w:val="0"/>
              <w:spacing w:before="0" w:beforeAutospacing="0" w:after="0" w:afterAutospacing="0" w:line="300" w:lineRule="exact"/>
              <w:jc w:val="center"/>
              <w:rPr>
                <w:sz w:val="21"/>
                <w:szCs w:val="21"/>
                <w:highlight w:val="none"/>
              </w:rPr>
            </w:pPr>
            <w:r>
              <w:rPr>
                <w:sz w:val="21"/>
                <w:szCs w:val="21"/>
                <w:highlight w:val="none"/>
              </w:rPr>
              <w:t>Y≥10000</w:t>
            </w:r>
          </w:p>
        </w:tc>
        <w:tc>
          <w:tcPr>
            <w:tcW w:w="1800" w:type="dxa"/>
            <w:tcMar>
              <w:top w:w="30" w:type="dxa"/>
              <w:left w:w="90" w:type="dxa"/>
              <w:bottom w:w="30" w:type="dxa"/>
              <w:right w:w="90" w:type="dxa"/>
            </w:tcMar>
            <w:vAlign w:val="center"/>
          </w:tcPr>
          <w:p w14:paraId="559DF54D">
            <w:pPr>
              <w:pStyle w:val="25"/>
              <w:wordWrap w:val="0"/>
              <w:spacing w:before="0" w:beforeAutospacing="0" w:after="0" w:afterAutospacing="0" w:line="300" w:lineRule="exact"/>
              <w:jc w:val="center"/>
              <w:rPr>
                <w:sz w:val="21"/>
                <w:szCs w:val="21"/>
                <w:highlight w:val="none"/>
              </w:rPr>
            </w:pPr>
            <w:r>
              <w:rPr>
                <w:sz w:val="21"/>
                <w:szCs w:val="21"/>
                <w:highlight w:val="none"/>
              </w:rPr>
              <w:t>2000≤Y&lt;10000</w:t>
            </w:r>
          </w:p>
        </w:tc>
        <w:tc>
          <w:tcPr>
            <w:tcW w:w="1440" w:type="dxa"/>
            <w:tcMar>
              <w:top w:w="30" w:type="dxa"/>
              <w:left w:w="90" w:type="dxa"/>
              <w:bottom w:w="30" w:type="dxa"/>
              <w:right w:w="90" w:type="dxa"/>
            </w:tcMar>
            <w:vAlign w:val="center"/>
          </w:tcPr>
          <w:p w14:paraId="76B4919F">
            <w:pPr>
              <w:pStyle w:val="25"/>
              <w:wordWrap w:val="0"/>
              <w:spacing w:before="0" w:beforeAutospacing="0" w:after="0" w:afterAutospacing="0" w:line="300" w:lineRule="exact"/>
              <w:jc w:val="center"/>
              <w:rPr>
                <w:sz w:val="21"/>
                <w:szCs w:val="21"/>
                <w:highlight w:val="none"/>
              </w:rPr>
            </w:pPr>
            <w:r>
              <w:rPr>
                <w:sz w:val="21"/>
                <w:szCs w:val="21"/>
                <w:highlight w:val="none"/>
              </w:rPr>
              <w:t>100≤Y&lt;2000</w:t>
            </w:r>
          </w:p>
        </w:tc>
        <w:tc>
          <w:tcPr>
            <w:tcW w:w="900" w:type="dxa"/>
            <w:tcMar>
              <w:top w:w="30" w:type="dxa"/>
              <w:left w:w="90" w:type="dxa"/>
              <w:bottom w:w="30" w:type="dxa"/>
              <w:right w:w="90" w:type="dxa"/>
            </w:tcMar>
            <w:vAlign w:val="center"/>
          </w:tcPr>
          <w:p w14:paraId="68163BA3">
            <w:pPr>
              <w:pStyle w:val="25"/>
              <w:wordWrap w:val="0"/>
              <w:spacing w:before="0" w:beforeAutospacing="0" w:after="0" w:afterAutospacing="0" w:line="300" w:lineRule="exact"/>
              <w:jc w:val="center"/>
              <w:rPr>
                <w:sz w:val="21"/>
                <w:szCs w:val="21"/>
                <w:highlight w:val="none"/>
              </w:rPr>
            </w:pPr>
            <w:r>
              <w:rPr>
                <w:sz w:val="21"/>
                <w:szCs w:val="21"/>
                <w:highlight w:val="none"/>
              </w:rPr>
              <w:t>Y&lt;100</w:t>
            </w:r>
          </w:p>
        </w:tc>
      </w:tr>
      <w:tr w14:paraId="7879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5B2E9DFD">
            <w:pPr>
              <w:pStyle w:val="25"/>
              <w:wordWrap w:val="0"/>
              <w:spacing w:before="0" w:beforeAutospacing="0" w:after="0" w:afterAutospacing="0" w:line="300" w:lineRule="exact"/>
              <w:jc w:val="center"/>
              <w:rPr>
                <w:sz w:val="21"/>
                <w:szCs w:val="21"/>
                <w:highlight w:val="none"/>
              </w:rPr>
            </w:pPr>
            <w:r>
              <w:rPr>
                <w:sz w:val="21"/>
                <w:szCs w:val="21"/>
                <w:highlight w:val="none"/>
              </w:rPr>
              <w:t>餐饮业</w:t>
            </w:r>
          </w:p>
        </w:tc>
        <w:tc>
          <w:tcPr>
            <w:tcW w:w="1440" w:type="dxa"/>
            <w:tcMar>
              <w:top w:w="30" w:type="dxa"/>
              <w:left w:w="90" w:type="dxa"/>
              <w:bottom w:w="30" w:type="dxa"/>
              <w:right w:w="90" w:type="dxa"/>
            </w:tcMar>
            <w:vAlign w:val="center"/>
          </w:tcPr>
          <w:p w14:paraId="6CCB5411">
            <w:pPr>
              <w:pStyle w:val="25"/>
              <w:wordWrap w:val="0"/>
              <w:spacing w:before="0" w:beforeAutospacing="0" w:after="0" w:afterAutospacing="0" w:line="300" w:lineRule="exact"/>
              <w:jc w:val="center"/>
              <w:rPr>
                <w:sz w:val="21"/>
                <w:szCs w:val="21"/>
                <w:highlight w:val="none"/>
              </w:rPr>
            </w:pPr>
            <w:r>
              <w:rPr>
                <w:sz w:val="21"/>
                <w:szCs w:val="21"/>
                <w:highlight w:val="none"/>
              </w:rPr>
              <w:t>从业人员(X)</w:t>
            </w:r>
          </w:p>
        </w:tc>
        <w:tc>
          <w:tcPr>
            <w:tcW w:w="1080" w:type="dxa"/>
            <w:tcMar>
              <w:top w:w="30" w:type="dxa"/>
              <w:left w:w="90" w:type="dxa"/>
              <w:bottom w:w="30" w:type="dxa"/>
              <w:right w:w="90" w:type="dxa"/>
            </w:tcMar>
            <w:vAlign w:val="center"/>
          </w:tcPr>
          <w:p w14:paraId="395541B1">
            <w:pPr>
              <w:pStyle w:val="25"/>
              <w:wordWrap w:val="0"/>
              <w:spacing w:before="0" w:beforeAutospacing="0" w:after="0" w:afterAutospacing="0" w:line="300" w:lineRule="exact"/>
              <w:jc w:val="center"/>
              <w:rPr>
                <w:sz w:val="21"/>
                <w:szCs w:val="21"/>
                <w:highlight w:val="none"/>
              </w:rPr>
            </w:pPr>
            <w:r>
              <w:rPr>
                <w:sz w:val="21"/>
                <w:szCs w:val="21"/>
                <w:highlight w:val="none"/>
              </w:rPr>
              <w:t>人</w:t>
            </w:r>
          </w:p>
        </w:tc>
        <w:tc>
          <w:tcPr>
            <w:tcW w:w="1260" w:type="dxa"/>
            <w:tcMar>
              <w:top w:w="30" w:type="dxa"/>
              <w:left w:w="90" w:type="dxa"/>
              <w:bottom w:w="30" w:type="dxa"/>
              <w:right w:w="90" w:type="dxa"/>
            </w:tcMar>
            <w:vAlign w:val="center"/>
          </w:tcPr>
          <w:p w14:paraId="6B74BBA0">
            <w:pPr>
              <w:pStyle w:val="25"/>
              <w:wordWrap w:val="0"/>
              <w:spacing w:before="0" w:beforeAutospacing="0" w:after="0" w:afterAutospacing="0" w:line="300" w:lineRule="exact"/>
              <w:jc w:val="center"/>
              <w:rPr>
                <w:sz w:val="21"/>
                <w:szCs w:val="21"/>
                <w:highlight w:val="none"/>
              </w:rPr>
            </w:pPr>
            <w:r>
              <w:rPr>
                <w:sz w:val="21"/>
                <w:szCs w:val="21"/>
                <w:highlight w:val="none"/>
              </w:rPr>
              <w:t>X≥300</w:t>
            </w:r>
          </w:p>
        </w:tc>
        <w:tc>
          <w:tcPr>
            <w:tcW w:w="1800" w:type="dxa"/>
            <w:tcMar>
              <w:top w:w="30" w:type="dxa"/>
              <w:left w:w="90" w:type="dxa"/>
              <w:bottom w:w="30" w:type="dxa"/>
              <w:right w:w="90" w:type="dxa"/>
            </w:tcMar>
            <w:vAlign w:val="center"/>
          </w:tcPr>
          <w:p w14:paraId="7920ADA9">
            <w:pPr>
              <w:pStyle w:val="25"/>
              <w:wordWrap w:val="0"/>
              <w:spacing w:before="0" w:beforeAutospacing="0" w:after="0" w:afterAutospacing="0" w:line="300" w:lineRule="exact"/>
              <w:jc w:val="center"/>
              <w:rPr>
                <w:sz w:val="21"/>
                <w:szCs w:val="21"/>
                <w:highlight w:val="none"/>
              </w:rPr>
            </w:pPr>
            <w:r>
              <w:rPr>
                <w:sz w:val="21"/>
                <w:szCs w:val="21"/>
                <w:highlight w:val="none"/>
              </w:rPr>
              <w:t>100≤X&lt;300</w:t>
            </w:r>
          </w:p>
        </w:tc>
        <w:tc>
          <w:tcPr>
            <w:tcW w:w="1440" w:type="dxa"/>
            <w:tcMar>
              <w:top w:w="30" w:type="dxa"/>
              <w:left w:w="90" w:type="dxa"/>
              <w:bottom w:w="30" w:type="dxa"/>
              <w:right w:w="90" w:type="dxa"/>
            </w:tcMar>
            <w:vAlign w:val="center"/>
          </w:tcPr>
          <w:p w14:paraId="16DAEB41">
            <w:pPr>
              <w:pStyle w:val="25"/>
              <w:wordWrap w:val="0"/>
              <w:spacing w:before="0" w:beforeAutospacing="0" w:after="0" w:afterAutospacing="0" w:line="300" w:lineRule="exact"/>
              <w:jc w:val="center"/>
              <w:rPr>
                <w:sz w:val="21"/>
                <w:szCs w:val="21"/>
                <w:highlight w:val="none"/>
              </w:rPr>
            </w:pPr>
            <w:r>
              <w:rPr>
                <w:sz w:val="21"/>
                <w:szCs w:val="21"/>
                <w:highlight w:val="none"/>
              </w:rPr>
              <w:t>10≤X&lt;100</w:t>
            </w:r>
          </w:p>
        </w:tc>
        <w:tc>
          <w:tcPr>
            <w:tcW w:w="900" w:type="dxa"/>
            <w:tcMar>
              <w:top w:w="30" w:type="dxa"/>
              <w:left w:w="90" w:type="dxa"/>
              <w:bottom w:w="30" w:type="dxa"/>
              <w:right w:w="90" w:type="dxa"/>
            </w:tcMar>
            <w:vAlign w:val="center"/>
          </w:tcPr>
          <w:p w14:paraId="2F00803E">
            <w:pPr>
              <w:pStyle w:val="25"/>
              <w:wordWrap w:val="0"/>
              <w:spacing w:before="0" w:beforeAutospacing="0" w:after="0" w:afterAutospacing="0" w:line="300" w:lineRule="exact"/>
              <w:jc w:val="center"/>
              <w:rPr>
                <w:sz w:val="21"/>
                <w:szCs w:val="21"/>
                <w:highlight w:val="none"/>
              </w:rPr>
            </w:pPr>
            <w:r>
              <w:rPr>
                <w:sz w:val="21"/>
                <w:szCs w:val="21"/>
                <w:highlight w:val="none"/>
              </w:rPr>
              <w:t>X&lt;10</w:t>
            </w:r>
          </w:p>
        </w:tc>
      </w:tr>
      <w:tr w14:paraId="7FF5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27210557">
            <w:pPr>
              <w:spacing w:line="300" w:lineRule="exact"/>
              <w:jc w:val="center"/>
              <w:rPr>
                <w:rFonts w:hint="eastAsia"/>
                <w:szCs w:val="21"/>
                <w:highlight w:val="none"/>
              </w:rPr>
            </w:pPr>
          </w:p>
        </w:tc>
        <w:tc>
          <w:tcPr>
            <w:tcW w:w="1440" w:type="dxa"/>
            <w:tcMar>
              <w:top w:w="30" w:type="dxa"/>
              <w:left w:w="90" w:type="dxa"/>
              <w:bottom w:w="30" w:type="dxa"/>
              <w:right w:w="90" w:type="dxa"/>
            </w:tcMar>
            <w:vAlign w:val="center"/>
          </w:tcPr>
          <w:p w14:paraId="110F5E44">
            <w:pPr>
              <w:pStyle w:val="25"/>
              <w:wordWrap w:val="0"/>
              <w:spacing w:before="0" w:beforeAutospacing="0" w:after="0" w:afterAutospacing="0" w:line="300" w:lineRule="exact"/>
              <w:jc w:val="center"/>
              <w:rPr>
                <w:sz w:val="21"/>
                <w:szCs w:val="21"/>
                <w:highlight w:val="none"/>
              </w:rPr>
            </w:pPr>
            <w:r>
              <w:rPr>
                <w:sz w:val="21"/>
                <w:szCs w:val="21"/>
                <w:highlight w:val="none"/>
              </w:rPr>
              <w:t>营业收入(Y)</w:t>
            </w:r>
          </w:p>
        </w:tc>
        <w:tc>
          <w:tcPr>
            <w:tcW w:w="1080" w:type="dxa"/>
            <w:tcMar>
              <w:top w:w="30" w:type="dxa"/>
              <w:left w:w="90" w:type="dxa"/>
              <w:bottom w:w="30" w:type="dxa"/>
              <w:right w:w="90" w:type="dxa"/>
            </w:tcMar>
            <w:vAlign w:val="center"/>
          </w:tcPr>
          <w:p w14:paraId="5DECC729">
            <w:pPr>
              <w:pStyle w:val="25"/>
              <w:wordWrap w:val="0"/>
              <w:spacing w:before="0" w:beforeAutospacing="0" w:after="0" w:afterAutospacing="0" w:line="300" w:lineRule="exact"/>
              <w:jc w:val="center"/>
              <w:rPr>
                <w:sz w:val="21"/>
                <w:szCs w:val="21"/>
                <w:highlight w:val="none"/>
              </w:rPr>
            </w:pPr>
            <w:r>
              <w:rPr>
                <w:sz w:val="21"/>
                <w:szCs w:val="21"/>
                <w:highlight w:val="none"/>
              </w:rPr>
              <w:t>万元</w:t>
            </w:r>
          </w:p>
        </w:tc>
        <w:tc>
          <w:tcPr>
            <w:tcW w:w="1260" w:type="dxa"/>
            <w:tcMar>
              <w:top w:w="30" w:type="dxa"/>
              <w:left w:w="90" w:type="dxa"/>
              <w:bottom w:w="30" w:type="dxa"/>
              <w:right w:w="90" w:type="dxa"/>
            </w:tcMar>
            <w:vAlign w:val="center"/>
          </w:tcPr>
          <w:p w14:paraId="5B498E4E">
            <w:pPr>
              <w:pStyle w:val="25"/>
              <w:wordWrap w:val="0"/>
              <w:spacing w:before="0" w:beforeAutospacing="0" w:after="0" w:afterAutospacing="0" w:line="300" w:lineRule="exact"/>
              <w:jc w:val="center"/>
              <w:rPr>
                <w:sz w:val="21"/>
                <w:szCs w:val="21"/>
                <w:highlight w:val="none"/>
              </w:rPr>
            </w:pPr>
            <w:r>
              <w:rPr>
                <w:sz w:val="21"/>
                <w:szCs w:val="21"/>
                <w:highlight w:val="none"/>
              </w:rPr>
              <w:t>Y≥10000</w:t>
            </w:r>
          </w:p>
        </w:tc>
        <w:tc>
          <w:tcPr>
            <w:tcW w:w="1800" w:type="dxa"/>
            <w:tcMar>
              <w:top w:w="30" w:type="dxa"/>
              <w:left w:w="90" w:type="dxa"/>
              <w:bottom w:w="30" w:type="dxa"/>
              <w:right w:w="90" w:type="dxa"/>
            </w:tcMar>
            <w:vAlign w:val="center"/>
          </w:tcPr>
          <w:p w14:paraId="4CA2533A">
            <w:pPr>
              <w:pStyle w:val="25"/>
              <w:wordWrap w:val="0"/>
              <w:spacing w:before="0" w:beforeAutospacing="0" w:after="0" w:afterAutospacing="0" w:line="300" w:lineRule="exact"/>
              <w:jc w:val="center"/>
              <w:rPr>
                <w:sz w:val="21"/>
                <w:szCs w:val="21"/>
                <w:highlight w:val="none"/>
              </w:rPr>
            </w:pPr>
            <w:r>
              <w:rPr>
                <w:sz w:val="21"/>
                <w:szCs w:val="21"/>
                <w:highlight w:val="none"/>
              </w:rPr>
              <w:t>2000≤Y&lt;10000</w:t>
            </w:r>
          </w:p>
        </w:tc>
        <w:tc>
          <w:tcPr>
            <w:tcW w:w="1440" w:type="dxa"/>
            <w:tcMar>
              <w:top w:w="30" w:type="dxa"/>
              <w:left w:w="90" w:type="dxa"/>
              <w:bottom w:w="30" w:type="dxa"/>
              <w:right w:w="90" w:type="dxa"/>
            </w:tcMar>
            <w:vAlign w:val="center"/>
          </w:tcPr>
          <w:p w14:paraId="30004821">
            <w:pPr>
              <w:pStyle w:val="25"/>
              <w:wordWrap w:val="0"/>
              <w:spacing w:before="0" w:beforeAutospacing="0" w:after="0" w:afterAutospacing="0" w:line="300" w:lineRule="exact"/>
              <w:jc w:val="center"/>
              <w:rPr>
                <w:sz w:val="21"/>
                <w:szCs w:val="21"/>
                <w:highlight w:val="none"/>
              </w:rPr>
            </w:pPr>
            <w:r>
              <w:rPr>
                <w:sz w:val="21"/>
                <w:szCs w:val="21"/>
                <w:highlight w:val="none"/>
              </w:rPr>
              <w:t>100≤Y&lt;2000</w:t>
            </w:r>
          </w:p>
        </w:tc>
        <w:tc>
          <w:tcPr>
            <w:tcW w:w="900" w:type="dxa"/>
            <w:tcMar>
              <w:top w:w="30" w:type="dxa"/>
              <w:left w:w="90" w:type="dxa"/>
              <w:bottom w:w="30" w:type="dxa"/>
              <w:right w:w="90" w:type="dxa"/>
            </w:tcMar>
            <w:vAlign w:val="center"/>
          </w:tcPr>
          <w:p w14:paraId="2CF1E9F7">
            <w:pPr>
              <w:pStyle w:val="25"/>
              <w:wordWrap w:val="0"/>
              <w:spacing w:before="0" w:beforeAutospacing="0" w:after="0" w:afterAutospacing="0" w:line="300" w:lineRule="exact"/>
              <w:jc w:val="center"/>
              <w:rPr>
                <w:sz w:val="21"/>
                <w:szCs w:val="21"/>
                <w:highlight w:val="none"/>
              </w:rPr>
            </w:pPr>
            <w:r>
              <w:rPr>
                <w:sz w:val="21"/>
                <w:szCs w:val="21"/>
                <w:highlight w:val="none"/>
              </w:rPr>
              <w:t>Y&lt;100</w:t>
            </w:r>
          </w:p>
        </w:tc>
      </w:tr>
      <w:tr w14:paraId="4B8A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49226137">
            <w:pPr>
              <w:pStyle w:val="25"/>
              <w:wordWrap w:val="0"/>
              <w:spacing w:before="0" w:beforeAutospacing="0" w:after="0" w:afterAutospacing="0" w:line="300" w:lineRule="exact"/>
              <w:jc w:val="center"/>
              <w:rPr>
                <w:sz w:val="21"/>
                <w:szCs w:val="21"/>
                <w:highlight w:val="none"/>
              </w:rPr>
            </w:pPr>
            <w:r>
              <w:rPr>
                <w:sz w:val="21"/>
                <w:szCs w:val="21"/>
                <w:highlight w:val="none"/>
              </w:rPr>
              <w:t>信息传输业</w:t>
            </w:r>
          </w:p>
        </w:tc>
        <w:tc>
          <w:tcPr>
            <w:tcW w:w="1440" w:type="dxa"/>
            <w:tcMar>
              <w:top w:w="30" w:type="dxa"/>
              <w:left w:w="90" w:type="dxa"/>
              <w:bottom w:w="30" w:type="dxa"/>
              <w:right w:w="90" w:type="dxa"/>
            </w:tcMar>
            <w:vAlign w:val="center"/>
          </w:tcPr>
          <w:p w14:paraId="367CEDEA">
            <w:pPr>
              <w:pStyle w:val="25"/>
              <w:wordWrap w:val="0"/>
              <w:spacing w:before="0" w:beforeAutospacing="0" w:after="0" w:afterAutospacing="0" w:line="300" w:lineRule="exact"/>
              <w:jc w:val="center"/>
              <w:rPr>
                <w:sz w:val="21"/>
                <w:szCs w:val="21"/>
                <w:highlight w:val="none"/>
              </w:rPr>
            </w:pPr>
            <w:r>
              <w:rPr>
                <w:sz w:val="21"/>
                <w:szCs w:val="21"/>
                <w:highlight w:val="none"/>
              </w:rPr>
              <w:t>从业人员(X)</w:t>
            </w:r>
          </w:p>
        </w:tc>
        <w:tc>
          <w:tcPr>
            <w:tcW w:w="1080" w:type="dxa"/>
            <w:tcMar>
              <w:top w:w="30" w:type="dxa"/>
              <w:left w:w="90" w:type="dxa"/>
              <w:bottom w:w="30" w:type="dxa"/>
              <w:right w:w="90" w:type="dxa"/>
            </w:tcMar>
            <w:vAlign w:val="center"/>
          </w:tcPr>
          <w:p w14:paraId="0056A78E">
            <w:pPr>
              <w:pStyle w:val="25"/>
              <w:wordWrap w:val="0"/>
              <w:spacing w:before="0" w:beforeAutospacing="0" w:after="0" w:afterAutospacing="0" w:line="300" w:lineRule="exact"/>
              <w:jc w:val="center"/>
              <w:rPr>
                <w:sz w:val="21"/>
                <w:szCs w:val="21"/>
                <w:highlight w:val="none"/>
              </w:rPr>
            </w:pPr>
            <w:r>
              <w:rPr>
                <w:sz w:val="21"/>
                <w:szCs w:val="21"/>
                <w:highlight w:val="none"/>
              </w:rPr>
              <w:t>人</w:t>
            </w:r>
          </w:p>
        </w:tc>
        <w:tc>
          <w:tcPr>
            <w:tcW w:w="1260" w:type="dxa"/>
            <w:tcMar>
              <w:top w:w="30" w:type="dxa"/>
              <w:left w:w="90" w:type="dxa"/>
              <w:bottom w:w="30" w:type="dxa"/>
              <w:right w:w="90" w:type="dxa"/>
            </w:tcMar>
            <w:vAlign w:val="center"/>
          </w:tcPr>
          <w:p w14:paraId="7E05195C">
            <w:pPr>
              <w:pStyle w:val="25"/>
              <w:wordWrap w:val="0"/>
              <w:spacing w:before="0" w:beforeAutospacing="0" w:after="0" w:afterAutospacing="0" w:line="300" w:lineRule="exact"/>
              <w:jc w:val="center"/>
              <w:rPr>
                <w:sz w:val="21"/>
                <w:szCs w:val="21"/>
                <w:highlight w:val="none"/>
              </w:rPr>
            </w:pPr>
            <w:r>
              <w:rPr>
                <w:sz w:val="21"/>
                <w:szCs w:val="21"/>
                <w:highlight w:val="none"/>
              </w:rPr>
              <w:t>X≥2000</w:t>
            </w:r>
          </w:p>
        </w:tc>
        <w:tc>
          <w:tcPr>
            <w:tcW w:w="1800" w:type="dxa"/>
            <w:tcMar>
              <w:top w:w="30" w:type="dxa"/>
              <w:left w:w="90" w:type="dxa"/>
              <w:bottom w:w="30" w:type="dxa"/>
              <w:right w:w="90" w:type="dxa"/>
            </w:tcMar>
            <w:vAlign w:val="center"/>
          </w:tcPr>
          <w:p w14:paraId="166D1448">
            <w:pPr>
              <w:pStyle w:val="25"/>
              <w:wordWrap w:val="0"/>
              <w:spacing w:before="0" w:beforeAutospacing="0" w:after="0" w:afterAutospacing="0" w:line="300" w:lineRule="exact"/>
              <w:jc w:val="center"/>
              <w:rPr>
                <w:sz w:val="21"/>
                <w:szCs w:val="21"/>
                <w:highlight w:val="none"/>
              </w:rPr>
            </w:pPr>
            <w:r>
              <w:rPr>
                <w:sz w:val="21"/>
                <w:szCs w:val="21"/>
                <w:highlight w:val="none"/>
              </w:rPr>
              <w:t>100≤X&lt;2000</w:t>
            </w:r>
          </w:p>
        </w:tc>
        <w:tc>
          <w:tcPr>
            <w:tcW w:w="1440" w:type="dxa"/>
            <w:tcMar>
              <w:top w:w="30" w:type="dxa"/>
              <w:left w:w="90" w:type="dxa"/>
              <w:bottom w:w="30" w:type="dxa"/>
              <w:right w:w="90" w:type="dxa"/>
            </w:tcMar>
            <w:vAlign w:val="center"/>
          </w:tcPr>
          <w:p w14:paraId="718C2D47">
            <w:pPr>
              <w:pStyle w:val="25"/>
              <w:wordWrap w:val="0"/>
              <w:spacing w:before="0" w:beforeAutospacing="0" w:after="0" w:afterAutospacing="0" w:line="300" w:lineRule="exact"/>
              <w:jc w:val="center"/>
              <w:rPr>
                <w:sz w:val="21"/>
                <w:szCs w:val="21"/>
                <w:highlight w:val="none"/>
              </w:rPr>
            </w:pPr>
            <w:r>
              <w:rPr>
                <w:sz w:val="21"/>
                <w:szCs w:val="21"/>
                <w:highlight w:val="none"/>
              </w:rPr>
              <w:t>10≤X&lt;100</w:t>
            </w:r>
          </w:p>
        </w:tc>
        <w:tc>
          <w:tcPr>
            <w:tcW w:w="900" w:type="dxa"/>
            <w:tcMar>
              <w:top w:w="30" w:type="dxa"/>
              <w:left w:w="90" w:type="dxa"/>
              <w:bottom w:w="30" w:type="dxa"/>
              <w:right w:w="90" w:type="dxa"/>
            </w:tcMar>
            <w:vAlign w:val="center"/>
          </w:tcPr>
          <w:p w14:paraId="1C1C0594">
            <w:pPr>
              <w:pStyle w:val="25"/>
              <w:wordWrap w:val="0"/>
              <w:spacing w:before="0" w:beforeAutospacing="0" w:after="0" w:afterAutospacing="0" w:line="300" w:lineRule="exact"/>
              <w:jc w:val="center"/>
              <w:rPr>
                <w:sz w:val="21"/>
                <w:szCs w:val="21"/>
                <w:highlight w:val="none"/>
              </w:rPr>
            </w:pPr>
            <w:r>
              <w:rPr>
                <w:sz w:val="21"/>
                <w:szCs w:val="21"/>
                <w:highlight w:val="none"/>
              </w:rPr>
              <w:t>X&lt;10</w:t>
            </w:r>
          </w:p>
        </w:tc>
      </w:tr>
      <w:tr w14:paraId="3067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3CA3FDEC">
            <w:pPr>
              <w:spacing w:line="300" w:lineRule="exact"/>
              <w:jc w:val="center"/>
              <w:rPr>
                <w:rFonts w:hint="eastAsia"/>
                <w:szCs w:val="21"/>
                <w:highlight w:val="none"/>
              </w:rPr>
            </w:pPr>
          </w:p>
        </w:tc>
        <w:tc>
          <w:tcPr>
            <w:tcW w:w="1440" w:type="dxa"/>
            <w:tcMar>
              <w:top w:w="30" w:type="dxa"/>
              <w:left w:w="90" w:type="dxa"/>
              <w:bottom w:w="30" w:type="dxa"/>
              <w:right w:w="90" w:type="dxa"/>
            </w:tcMar>
            <w:vAlign w:val="center"/>
          </w:tcPr>
          <w:p w14:paraId="372D3481">
            <w:pPr>
              <w:pStyle w:val="25"/>
              <w:wordWrap w:val="0"/>
              <w:spacing w:before="0" w:beforeAutospacing="0" w:after="0" w:afterAutospacing="0" w:line="300" w:lineRule="exact"/>
              <w:jc w:val="center"/>
              <w:rPr>
                <w:sz w:val="21"/>
                <w:szCs w:val="21"/>
                <w:highlight w:val="none"/>
              </w:rPr>
            </w:pPr>
            <w:r>
              <w:rPr>
                <w:sz w:val="21"/>
                <w:szCs w:val="21"/>
                <w:highlight w:val="none"/>
              </w:rPr>
              <w:t>营业收入(Y)</w:t>
            </w:r>
          </w:p>
        </w:tc>
        <w:tc>
          <w:tcPr>
            <w:tcW w:w="1080" w:type="dxa"/>
            <w:tcMar>
              <w:top w:w="30" w:type="dxa"/>
              <w:left w:w="90" w:type="dxa"/>
              <w:bottom w:w="30" w:type="dxa"/>
              <w:right w:w="90" w:type="dxa"/>
            </w:tcMar>
            <w:vAlign w:val="center"/>
          </w:tcPr>
          <w:p w14:paraId="3A2B80C3">
            <w:pPr>
              <w:pStyle w:val="25"/>
              <w:wordWrap w:val="0"/>
              <w:spacing w:before="0" w:beforeAutospacing="0" w:after="0" w:afterAutospacing="0" w:line="300" w:lineRule="exact"/>
              <w:jc w:val="center"/>
              <w:rPr>
                <w:sz w:val="21"/>
                <w:szCs w:val="21"/>
                <w:highlight w:val="none"/>
              </w:rPr>
            </w:pPr>
            <w:r>
              <w:rPr>
                <w:sz w:val="21"/>
                <w:szCs w:val="21"/>
                <w:highlight w:val="none"/>
              </w:rPr>
              <w:t>万元</w:t>
            </w:r>
          </w:p>
        </w:tc>
        <w:tc>
          <w:tcPr>
            <w:tcW w:w="1260" w:type="dxa"/>
            <w:tcMar>
              <w:top w:w="30" w:type="dxa"/>
              <w:left w:w="90" w:type="dxa"/>
              <w:bottom w:w="30" w:type="dxa"/>
              <w:right w:w="90" w:type="dxa"/>
            </w:tcMar>
            <w:vAlign w:val="center"/>
          </w:tcPr>
          <w:p w14:paraId="149974F8">
            <w:pPr>
              <w:pStyle w:val="25"/>
              <w:wordWrap w:val="0"/>
              <w:spacing w:before="0" w:beforeAutospacing="0" w:after="0" w:afterAutospacing="0" w:line="300" w:lineRule="exact"/>
              <w:jc w:val="center"/>
              <w:rPr>
                <w:sz w:val="21"/>
                <w:szCs w:val="21"/>
                <w:highlight w:val="none"/>
              </w:rPr>
            </w:pPr>
            <w:r>
              <w:rPr>
                <w:sz w:val="21"/>
                <w:szCs w:val="21"/>
                <w:highlight w:val="none"/>
              </w:rPr>
              <w:t>Y≥100000</w:t>
            </w:r>
          </w:p>
        </w:tc>
        <w:tc>
          <w:tcPr>
            <w:tcW w:w="1800" w:type="dxa"/>
            <w:tcMar>
              <w:top w:w="30" w:type="dxa"/>
              <w:left w:w="90" w:type="dxa"/>
              <w:bottom w:w="30" w:type="dxa"/>
              <w:right w:w="90" w:type="dxa"/>
            </w:tcMar>
            <w:vAlign w:val="center"/>
          </w:tcPr>
          <w:p w14:paraId="36DA480B">
            <w:pPr>
              <w:pStyle w:val="25"/>
              <w:wordWrap w:val="0"/>
              <w:spacing w:before="0" w:beforeAutospacing="0" w:after="0" w:afterAutospacing="0" w:line="300" w:lineRule="exact"/>
              <w:jc w:val="center"/>
              <w:rPr>
                <w:sz w:val="21"/>
                <w:szCs w:val="21"/>
                <w:highlight w:val="none"/>
              </w:rPr>
            </w:pPr>
            <w:r>
              <w:rPr>
                <w:sz w:val="21"/>
                <w:szCs w:val="21"/>
                <w:highlight w:val="none"/>
              </w:rPr>
              <w:t>1000≤Y&lt;100000</w:t>
            </w:r>
          </w:p>
        </w:tc>
        <w:tc>
          <w:tcPr>
            <w:tcW w:w="1440" w:type="dxa"/>
            <w:tcMar>
              <w:top w:w="30" w:type="dxa"/>
              <w:left w:w="90" w:type="dxa"/>
              <w:bottom w:w="30" w:type="dxa"/>
              <w:right w:w="90" w:type="dxa"/>
            </w:tcMar>
            <w:vAlign w:val="center"/>
          </w:tcPr>
          <w:p w14:paraId="055510B9">
            <w:pPr>
              <w:pStyle w:val="25"/>
              <w:wordWrap w:val="0"/>
              <w:spacing w:before="0" w:beforeAutospacing="0" w:after="0" w:afterAutospacing="0" w:line="300" w:lineRule="exact"/>
              <w:jc w:val="center"/>
              <w:rPr>
                <w:sz w:val="21"/>
                <w:szCs w:val="21"/>
                <w:highlight w:val="none"/>
              </w:rPr>
            </w:pPr>
            <w:r>
              <w:rPr>
                <w:sz w:val="21"/>
                <w:szCs w:val="21"/>
                <w:highlight w:val="none"/>
              </w:rPr>
              <w:t>100≤Y&lt;1000</w:t>
            </w:r>
          </w:p>
        </w:tc>
        <w:tc>
          <w:tcPr>
            <w:tcW w:w="900" w:type="dxa"/>
            <w:tcMar>
              <w:top w:w="30" w:type="dxa"/>
              <w:left w:w="90" w:type="dxa"/>
              <w:bottom w:w="30" w:type="dxa"/>
              <w:right w:w="90" w:type="dxa"/>
            </w:tcMar>
            <w:vAlign w:val="center"/>
          </w:tcPr>
          <w:p w14:paraId="00FEF3FB">
            <w:pPr>
              <w:pStyle w:val="25"/>
              <w:wordWrap w:val="0"/>
              <w:spacing w:before="0" w:beforeAutospacing="0" w:after="0" w:afterAutospacing="0" w:line="300" w:lineRule="exact"/>
              <w:jc w:val="center"/>
              <w:rPr>
                <w:sz w:val="21"/>
                <w:szCs w:val="21"/>
                <w:highlight w:val="none"/>
              </w:rPr>
            </w:pPr>
            <w:r>
              <w:rPr>
                <w:sz w:val="21"/>
                <w:szCs w:val="21"/>
                <w:highlight w:val="none"/>
              </w:rPr>
              <w:t>Y&lt;100</w:t>
            </w:r>
          </w:p>
        </w:tc>
      </w:tr>
      <w:tr w14:paraId="5527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3DD81835">
            <w:pPr>
              <w:pStyle w:val="25"/>
              <w:wordWrap w:val="0"/>
              <w:spacing w:before="0" w:beforeAutospacing="0" w:after="0" w:afterAutospacing="0" w:line="300" w:lineRule="exact"/>
              <w:jc w:val="center"/>
              <w:rPr>
                <w:b w:val="0"/>
                <w:bCs w:val="0"/>
                <w:sz w:val="21"/>
                <w:szCs w:val="21"/>
                <w:highlight w:val="none"/>
              </w:rPr>
            </w:pPr>
            <w:r>
              <w:rPr>
                <w:b w:val="0"/>
                <w:bCs w:val="0"/>
                <w:sz w:val="21"/>
                <w:szCs w:val="21"/>
                <w:highlight w:val="none"/>
              </w:rPr>
              <w:t>软件和信息技术服务业</w:t>
            </w:r>
          </w:p>
        </w:tc>
        <w:tc>
          <w:tcPr>
            <w:tcW w:w="1440" w:type="dxa"/>
            <w:tcMar>
              <w:top w:w="30" w:type="dxa"/>
              <w:left w:w="90" w:type="dxa"/>
              <w:bottom w:w="30" w:type="dxa"/>
              <w:right w:w="90" w:type="dxa"/>
            </w:tcMar>
            <w:vAlign w:val="center"/>
          </w:tcPr>
          <w:p w14:paraId="092AD353">
            <w:pPr>
              <w:pStyle w:val="25"/>
              <w:wordWrap w:val="0"/>
              <w:spacing w:before="0" w:beforeAutospacing="0" w:after="0" w:afterAutospacing="0" w:line="300" w:lineRule="exact"/>
              <w:jc w:val="center"/>
              <w:rPr>
                <w:b w:val="0"/>
                <w:bCs w:val="0"/>
                <w:sz w:val="21"/>
                <w:szCs w:val="21"/>
                <w:highlight w:val="none"/>
              </w:rPr>
            </w:pPr>
            <w:r>
              <w:rPr>
                <w:b w:val="0"/>
                <w:bCs w:val="0"/>
                <w:sz w:val="21"/>
                <w:szCs w:val="21"/>
                <w:highlight w:val="none"/>
              </w:rPr>
              <w:t>从业人员(X)</w:t>
            </w:r>
          </w:p>
        </w:tc>
        <w:tc>
          <w:tcPr>
            <w:tcW w:w="1080" w:type="dxa"/>
            <w:tcMar>
              <w:top w:w="30" w:type="dxa"/>
              <w:left w:w="90" w:type="dxa"/>
              <w:bottom w:w="30" w:type="dxa"/>
              <w:right w:w="90" w:type="dxa"/>
            </w:tcMar>
            <w:vAlign w:val="center"/>
          </w:tcPr>
          <w:p w14:paraId="03C2FFE4">
            <w:pPr>
              <w:pStyle w:val="25"/>
              <w:wordWrap w:val="0"/>
              <w:spacing w:before="0" w:beforeAutospacing="0" w:after="0" w:afterAutospacing="0" w:line="300" w:lineRule="exact"/>
              <w:jc w:val="center"/>
              <w:rPr>
                <w:b w:val="0"/>
                <w:bCs w:val="0"/>
                <w:sz w:val="21"/>
                <w:szCs w:val="21"/>
                <w:highlight w:val="none"/>
              </w:rPr>
            </w:pPr>
            <w:r>
              <w:rPr>
                <w:b w:val="0"/>
                <w:bCs w:val="0"/>
                <w:sz w:val="21"/>
                <w:szCs w:val="21"/>
                <w:highlight w:val="none"/>
              </w:rPr>
              <w:t>人</w:t>
            </w:r>
          </w:p>
        </w:tc>
        <w:tc>
          <w:tcPr>
            <w:tcW w:w="1260" w:type="dxa"/>
            <w:tcMar>
              <w:top w:w="30" w:type="dxa"/>
              <w:left w:w="90" w:type="dxa"/>
              <w:bottom w:w="30" w:type="dxa"/>
              <w:right w:w="90" w:type="dxa"/>
            </w:tcMar>
            <w:vAlign w:val="center"/>
          </w:tcPr>
          <w:p w14:paraId="0DD3FE70">
            <w:pPr>
              <w:pStyle w:val="25"/>
              <w:wordWrap w:val="0"/>
              <w:spacing w:before="0" w:beforeAutospacing="0" w:after="0" w:afterAutospacing="0" w:line="300" w:lineRule="exact"/>
              <w:jc w:val="center"/>
              <w:rPr>
                <w:b w:val="0"/>
                <w:bCs w:val="0"/>
                <w:sz w:val="21"/>
                <w:szCs w:val="21"/>
                <w:highlight w:val="none"/>
              </w:rPr>
            </w:pPr>
            <w:r>
              <w:rPr>
                <w:b w:val="0"/>
                <w:bCs w:val="0"/>
                <w:sz w:val="21"/>
                <w:szCs w:val="21"/>
                <w:highlight w:val="none"/>
              </w:rPr>
              <w:t>X≥300</w:t>
            </w:r>
          </w:p>
        </w:tc>
        <w:tc>
          <w:tcPr>
            <w:tcW w:w="1800" w:type="dxa"/>
            <w:tcMar>
              <w:top w:w="30" w:type="dxa"/>
              <w:left w:w="90" w:type="dxa"/>
              <w:bottom w:w="30" w:type="dxa"/>
              <w:right w:w="90" w:type="dxa"/>
            </w:tcMar>
            <w:vAlign w:val="center"/>
          </w:tcPr>
          <w:p w14:paraId="6E852A01">
            <w:pPr>
              <w:pStyle w:val="25"/>
              <w:wordWrap w:val="0"/>
              <w:spacing w:before="0" w:beforeAutospacing="0" w:after="0" w:afterAutospacing="0" w:line="300" w:lineRule="exact"/>
              <w:jc w:val="center"/>
              <w:rPr>
                <w:b w:val="0"/>
                <w:bCs w:val="0"/>
                <w:sz w:val="21"/>
                <w:szCs w:val="21"/>
                <w:highlight w:val="none"/>
              </w:rPr>
            </w:pPr>
            <w:r>
              <w:rPr>
                <w:b w:val="0"/>
                <w:bCs w:val="0"/>
                <w:sz w:val="21"/>
                <w:szCs w:val="21"/>
                <w:highlight w:val="none"/>
              </w:rPr>
              <w:t>100≤X&lt;300</w:t>
            </w:r>
          </w:p>
        </w:tc>
        <w:tc>
          <w:tcPr>
            <w:tcW w:w="1440" w:type="dxa"/>
            <w:tcMar>
              <w:top w:w="30" w:type="dxa"/>
              <w:left w:w="90" w:type="dxa"/>
              <w:bottom w:w="30" w:type="dxa"/>
              <w:right w:w="90" w:type="dxa"/>
            </w:tcMar>
            <w:vAlign w:val="center"/>
          </w:tcPr>
          <w:p w14:paraId="07F98B12">
            <w:pPr>
              <w:pStyle w:val="25"/>
              <w:wordWrap w:val="0"/>
              <w:spacing w:before="0" w:beforeAutospacing="0" w:after="0" w:afterAutospacing="0" w:line="300" w:lineRule="exact"/>
              <w:jc w:val="center"/>
              <w:rPr>
                <w:b w:val="0"/>
                <w:bCs w:val="0"/>
                <w:sz w:val="21"/>
                <w:szCs w:val="21"/>
                <w:highlight w:val="none"/>
              </w:rPr>
            </w:pPr>
            <w:r>
              <w:rPr>
                <w:b w:val="0"/>
                <w:bCs w:val="0"/>
                <w:sz w:val="21"/>
                <w:szCs w:val="21"/>
                <w:highlight w:val="none"/>
              </w:rPr>
              <w:t>10≤X&lt;100</w:t>
            </w:r>
          </w:p>
        </w:tc>
        <w:tc>
          <w:tcPr>
            <w:tcW w:w="900" w:type="dxa"/>
            <w:tcMar>
              <w:top w:w="30" w:type="dxa"/>
              <w:left w:w="90" w:type="dxa"/>
              <w:bottom w:w="30" w:type="dxa"/>
              <w:right w:w="90" w:type="dxa"/>
            </w:tcMar>
            <w:vAlign w:val="center"/>
          </w:tcPr>
          <w:p w14:paraId="2B40C667">
            <w:pPr>
              <w:pStyle w:val="25"/>
              <w:wordWrap w:val="0"/>
              <w:spacing w:before="0" w:beforeAutospacing="0" w:after="0" w:afterAutospacing="0" w:line="300" w:lineRule="exact"/>
              <w:jc w:val="center"/>
              <w:rPr>
                <w:b w:val="0"/>
                <w:bCs w:val="0"/>
                <w:sz w:val="21"/>
                <w:szCs w:val="21"/>
                <w:highlight w:val="none"/>
              </w:rPr>
            </w:pPr>
            <w:r>
              <w:rPr>
                <w:b w:val="0"/>
                <w:bCs w:val="0"/>
                <w:sz w:val="21"/>
                <w:szCs w:val="21"/>
                <w:highlight w:val="none"/>
              </w:rPr>
              <w:t>X&lt;10</w:t>
            </w:r>
          </w:p>
        </w:tc>
      </w:tr>
      <w:tr w14:paraId="4F05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73285A8D">
            <w:pPr>
              <w:spacing w:line="300" w:lineRule="exact"/>
              <w:jc w:val="center"/>
              <w:rPr>
                <w:rFonts w:hint="eastAsia"/>
                <w:b w:val="0"/>
                <w:bCs w:val="0"/>
                <w:szCs w:val="21"/>
                <w:highlight w:val="none"/>
              </w:rPr>
            </w:pPr>
          </w:p>
        </w:tc>
        <w:tc>
          <w:tcPr>
            <w:tcW w:w="1440" w:type="dxa"/>
            <w:tcMar>
              <w:top w:w="30" w:type="dxa"/>
              <w:left w:w="90" w:type="dxa"/>
              <w:bottom w:w="30" w:type="dxa"/>
              <w:right w:w="90" w:type="dxa"/>
            </w:tcMar>
            <w:vAlign w:val="center"/>
          </w:tcPr>
          <w:p w14:paraId="2DC966D5">
            <w:pPr>
              <w:pStyle w:val="25"/>
              <w:wordWrap w:val="0"/>
              <w:spacing w:before="0" w:beforeAutospacing="0" w:after="0" w:afterAutospacing="0" w:line="300" w:lineRule="exact"/>
              <w:jc w:val="center"/>
              <w:rPr>
                <w:b w:val="0"/>
                <w:bCs w:val="0"/>
                <w:sz w:val="21"/>
                <w:szCs w:val="21"/>
                <w:highlight w:val="none"/>
              </w:rPr>
            </w:pPr>
            <w:r>
              <w:rPr>
                <w:b w:val="0"/>
                <w:bCs w:val="0"/>
                <w:sz w:val="21"/>
                <w:szCs w:val="21"/>
                <w:highlight w:val="none"/>
              </w:rPr>
              <w:t>营业收入(Y)</w:t>
            </w:r>
          </w:p>
        </w:tc>
        <w:tc>
          <w:tcPr>
            <w:tcW w:w="1080" w:type="dxa"/>
            <w:tcMar>
              <w:top w:w="30" w:type="dxa"/>
              <w:left w:w="90" w:type="dxa"/>
              <w:bottom w:w="30" w:type="dxa"/>
              <w:right w:w="90" w:type="dxa"/>
            </w:tcMar>
            <w:vAlign w:val="center"/>
          </w:tcPr>
          <w:p w14:paraId="14C1FD36">
            <w:pPr>
              <w:pStyle w:val="25"/>
              <w:wordWrap w:val="0"/>
              <w:spacing w:before="0" w:beforeAutospacing="0" w:after="0" w:afterAutospacing="0" w:line="300" w:lineRule="exact"/>
              <w:jc w:val="center"/>
              <w:rPr>
                <w:b w:val="0"/>
                <w:bCs w:val="0"/>
                <w:sz w:val="21"/>
                <w:szCs w:val="21"/>
                <w:highlight w:val="none"/>
              </w:rPr>
            </w:pPr>
            <w:r>
              <w:rPr>
                <w:b w:val="0"/>
                <w:bCs w:val="0"/>
                <w:sz w:val="21"/>
                <w:szCs w:val="21"/>
                <w:highlight w:val="none"/>
              </w:rPr>
              <w:t>万元</w:t>
            </w:r>
          </w:p>
        </w:tc>
        <w:tc>
          <w:tcPr>
            <w:tcW w:w="1260" w:type="dxa"/>
            <w:tcMar>
              <w:top w:w="30" w:type="dxa"/>
              <w:left w:w="90" w:type="dxa"/>
              <w:bottom w:w="30" w:type="dxa"/>
              <w:right w:w="90" w:type="dxa"/>
            </w:tcMar>
            <w:vAlign w:val="center"/>
          </w:tcPr>
          <w:p w14:paraId="08ECAAE8">
            <w:pPr>
              <w:pStyle w:val="25"/>
              <w:wordWrap w:val="0"/>
              <w:spacing w:before="0" w:beforeAutospacing="0" w:after="0" w:afterAutospacing="0" w:line="300" w:lineRule="exact"/>
              <w:jc w:val="center"/>
              <w:rPr>
                <w:b w:val="0"/>
                <w:bCs w:val="0"/>
                <w:sz w:val="21"/>
                <w:szCs w:val="21"/>
                <w:highlight w:val="none"/>
              </w:rPr>
            </w:pPr>
            <w:r>
              <w:rPr>
                <w:b w:val="0"/>
                <w:bCs w:val="0"/>
                <w:sz w:val="21"/>
                <w:szCs w:val="21"/>
                <w:highlight w:val="none"/>
              </w:rPr>
              <w:t>Y≥10000</w:t>
            </w:r>
          </w:p>
        </w:tc>
        <w:tc>
          <w:tcPr>
            <w:tcW w:w="1800" w:type="dxa"/>
            <w:tcMar>
              <w:top w:w="30" w:type="dxa"/>
              <w:left w:w="90" w:type="dxa"/>
              <w:bottom w:w="30" w:type="dxa"/>
              <w:right w:w="90" w:type="dxa"/>
            </w:tcMar>
            <w:vAlign w:val="center"/>
          </w:tcPr>
          <w:p w14:paraId="43F115F0">
            <w:pPr>
              <w:pStyle w:val="25"/>
              <w:wordWrap w:val="0"/>
              <w:spacing w:before="0" w:beforeAutospacing="0" w:after="0" w:afterAutospacing="0" w:line="300" w:lineRule="exact"/>
              <w:jc w:val="center"/>
              <w:rPr>
                <w:b w:val="0"/>
                <w:bCs w:val="0"/>
                <w:sz w:val="21"/>
                <w:szCs w:val="21"/>
                <w:highlight w:val="none"/>
              </w:rPr>
            </w:pPr>
            <w:r>
              <w:rPr>
                <w:b w:val="0"/>
                <w:bCs w:val="0"/>
                <w:sz w:val="21"/>
                <w:szCs w:val="21"/>
                <w:highlight w:val="none"/>
              </w:rPr>
              <w:t>1000≤Y&lt;10000</w:t>
            </w:r>
          </w:p>
        </w:tc>
        <w:tc>
          <w:tcPr>
            <w:tcW w:w="1440" w:type="dxa"/>
            <w:tcMar>
              <w:top w:w="30" w:type="dxa"/>
              <w:left w:w="90" w:type="dxa"/>
              <w:bottom w:w="30" w:type="dxa"/>
              <w:right w:w="90" w:type="dxa"/>
            </w:tcMar>
            <w:vAlign w:val="center"/>
          </w:tcPr>
          <w:p w14:paraId="672E814C">
            <w:pPr>
              <w:pStyle w:val="25"/>
              <w:wordWrap w:val="0"/>
              <w:spacing w:before="0" w:beforeAutospacing="0" w:after="0" w:afterAutospacing="0" w:line="300" w:lineRule="exact"/>
              <w:jc w:val="center"/>
              <w:rPr>
                <w:b w:val="0"/>
                <w:bCs w:val="0"/>
                <w:sz w:val="21"/>
                <w:szCs w:val="21"/>
                <w:highlight w:val="none"/>
              </w:rPr>
            </w:pPr>
            <w:r>
              <w:rPr>
                <w:b w:val="0"/>
                <w:bCs w:val="0"/>
                <w:sz w:val="21"/>
                <w:szCs w:val="21"/>
                <w:highlight w:val="none"/>
              </w:rPr>
              <w:t>50≤Y&lt;1000</w:t>
            </w:r>
          </w:p>
        </w:tc>
        <w:tc>
          <w:tcPr>
            <w:tcW w:w="900" w:type="dxa"/>
            <w:tcMar>
              <w:top w:w="30" w:type="dxa"/>
              <w:left w:w="90" w:type="dxa"/>
              <w:bottom w:w="30" w:type="dxa"/>
              <w:right w:w="90" w:type="dxa"/>
            </w:tcMar>
            <w:vAlign w:val="center"/>
          </w:tcPr>
          <w:p w14:paraId="49878906">
            <w:pPr>
              <w:pStyle w:val="25"/>
              <w:wordWrap w:val="0"/>
              <w:spacing w:before="0" w:beforeAutospacing="0" w:after="0" w:afterAutospacing="0" w:line="300" w:lineRule="exact"/>
              <w:jc w:val="center"/>
              <w:rPr>
                <w:b w:val="0"/>
                <w:bCs w:val="0"/>
                <w:sz w:val="21"/>
                <w:szCs w:val="21"/>
                <w:highlight w:val="none"/>
              </w:rPr>
            </w:pPr>
            <w:r>
              <w:rPr>
                <w:b w:val="0"/>
                <w:bCs w:val="0"/>
                <w:sz w:val="21"/>
                <w:szCs w:val="21"/>
                <w:highlight w:val="none"/>
              </w:rPr>
              <w:t>Y&lt;50</w:t>
            </w:r>
          </w:p>
        </w:tc>
      </w:tr>
      <w:tr w14:paraId="7F06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09A37433">
            <w:pPr>
              <w:pStyle w:val="25"/>
              <w:wordWrap w:val="0"/>
              <w:spacing w:before="0" w:beforeAutospacing="0" w:after="0" w:afterAutospacing="0" w:line="300" w:lineRule="exact"/>
              <w:jc w:val="center"/>
              <w:rPr>
                <w:sz w:val="21"/>
                <w:szCs w:val="21"/>
                <w:highlight w:val="none"/>
              </w:rPr>
            </w:pPr>
            <w:r>
              <w:rPr>
                <w:sz w:val="21"/>
                <w:szCs w:val="21"/>
                <w:highlight w:val="none"/>
              </w:rPr>
              <w:t>房地产开发经营</w:t>
            </w:r>
          </w:p>
        </w:tc>
        <w:tc>
          <w:tcPr>
            <w:tcW w:w="1440" w:type="dxa"/>
            <w:tcMar>
              <w:top w:w="30" w:type="dxa"/>
              <w:left w:w="90" w:type="dxa"/>
              <w:bottom w:w="30" w:type="dxa"/>
              <w:right w:w="90" w:type="dxa"/>
            </w:tcMar>
            <w:vAlign w:val="center"/>
          </w:tcPr>
          <w:p w14:paraId="4FEC62F9">
            <w:pPr>
              <w:pStyle w:val="25"/>
              <w:wordWrap w:val="0"/>
              <w:spacing w:before="0" w:beforeAutospacing="0" w:after="0" w:afterAutospacing="0" w:line="300" w:lineRule="exact"/>
              <w:jc w:val="center"/>
              <w:rPr>
                <w:sz w:val="21"/>
                <w:szCs w:val="21"/>
                <w:highlight w:val="none"/>
              </w:rPr>
            </w:pPr>
            <w:r>
              <w:rPr>
                <w:sz w:val="21"/>
                <w:szCs w:val="21"/>
                <w:highlight w:val="none"/>
              </w:rPr>
              <w:t>营业收入(Y)</w:t>
            </w:r>
          </w:p>
        </w:tc>
        <w:tc>
          <w:tcPr>
            <w:tcW w:w="1080" w:type="dxa"/>
            <w:tcMar>
              <w:top w:w="30" w:type="dxa"/>
              <w:left w:w="90" w:type="dxa"/>
              <w:bottom w:w="30" w:type="dxa"/>
              <w:right w:w="90" w:type="dxa"/>
            </w:tcMar>
            <w:vAlign w:val="center"/>
          </w:tcPr>
          <w:p w14:paraId="0ED327ED">
            <w:pPr>
              <w:pStyle w:val="25"/>
              <w:wordWrap w:val="0"/>
              <w:spacing w:before="0" w:beforeAutospacing="0" w:after="0" w:afterAutospacing="0" w:line="300" w:lineRule="exact"/>
              <w:jc w:val="center"/>
              <w:rPr>
                <w:sz w:val="21"/>
                <w:szCs w:val="21"/>
                <w:highlight w:val="none"/>
              </w:rPr>
            </w:pPr>
            <w:r>
              <w:rPr>
                <w:sz w:val="21"/>
                <w:szCs w:val="21"/>
                <w:highlight w:val="none"/>
              </w:rPr>
              <w:t>万元</w:t>
            </w:r>
          </w:p>
        </w:tc>
        <w:tc>
          <w:tcPr>
            <w:tcW w:w="1260" w:type="dxa"/>
            <w:tcMar>
              <w:top w:w="30" w:type="dxa"/>
              <w:left w:w="90" w:type="dxa"/>
              <w:bottom w:w="30" w:type="dxa"/>
              <w:right w:w="90" w:type="dxa"/>
            </w:tcMar>
            <w:vAlign w:val="center"/>
          </w:tcPr>
          <w:p w14:paraId="42DA9265">
            <w:pPr>
              <w:pStyle w:val="25"/>
              <w:wordWrap w:val="0"/>
              <w:spacing w:before="0" w:beforeAutospacing="0" w:after="0" w:afterAutospacing="0" w:line="300" w:lineRule="exact"/>
              <w:jc w:val="center"/>
              <w:rPr>
                <w:sz w:val="21"/>
                <w:szCs w:val="21"/>
                <w:highlight w:val="none"/>
              </w:rPr>
            </w:pPr>
            <w:r>
              <w:rPr>
                <w:sz w:val="21"/>
                <w:szCs w:val="21"/>
                <w:highlight w:val="none"/>
              </w:rPr>
              <w:t>Y≥200000</w:t>
            </w:r>
          </w:p>
        </w:tc>
        <w:tc>
          <w:tcPr>
            <w:tcW w:w="1800" w:type="dxa"/>
            <w:tcMar>
              <w:top w:w="30" w:type="dxa"/>
              <w:left w:w="90" w:type="dxa"/>
              <w:bottom w:w="30" w:type="dxa"/>
              <w:right w:w="90" w:type="dxa"/>
            </w:tcMar>
            <w:vAlign w:val="center"/>
          </w:tcPr>
          <w:p w14:paraId="2C4FEE07">
            <w:pPr>
              <w:pStyle w:val="25"/>
              <w:wordWrap w:val="0"/>
              <w:spacing w:before="0" w:beforeAutospacing="0" w:after="0" w:afterAutospacing="0" w:line="300" w:lineRule="exact"/>
              <w:jc w:val="center"/>
              <w:rPr>
                <w:sz w:val="21"/>
                <w:szCs w:val="21"/>
                <w:highlight w:val="none"/>
              </w:rPr>
            </w:pPr>
            <w:r>
              <w:rPr>
                <w:sz w:val="21"/>
                <w:szCs w:val="21"/>
                <w:highlight w:val="none"/>
              </w:rPr>
              <w:t>1000≤Y&lt;200000</w:t>
            </w:r>
          </w:p>
        </w:tc>
        <w:tc>
          <w:tcPr>
            <w:tcW w:w="1440" w:type="dxa"/>
            <w:tcMar>
              <w:top w:w="30" w:type="dxa"/>
              <w:left w:w="90" w:type="dxa"/>
              <w:bottom w:w="30" w:type="dxa"/>
              <w:right w:w="90" w:type="dxa"/>
            </w:tcMar>
            <w:vAlign w:val="center"/>
          </w:tcPr>
          <w:p w14:paraId="08733FB6">
            <w:pPr>
              <w:pStyle w:val="25"/>
              <w:wordWrap w:val="0"/>
              <w:spacing w:before="0" w:beforeAutospacing="0" w:after="0" w:afterAutospacing="0" w:line="300" w:lineRule="exact"/>
              <w:jc w:val="center"/>
              <w:rPr>
                <w:sz w:val="21"/>
                <w:szCs w:val="21"/>
                <w:highlight w:val="none"/>
              </w:rPr>
            </w:pPr>
            <w:r>
              <w:rPr>
                <w:sz w:val="21"/>
                <w:szCs w:val="21"/>
                <w:highlight w:val="none"/>
              </w:rPr>
              <w:t>100≤Y&lt;1000</w:t>
            </w:r>
          </w:p>
        </w:tc>
        <w:tc>
          <w:tcPr>
            <w:tcW w:w="900" w:type="dxa"/>
            <w:tcMar>
              <w:top w:w="30" w:type="dxa"/>
              <w:left w:w="90" w:type="dxa"/>
              <w:bottom w:w="30" w:type="dxa"/>
              <w:right w:w="90" w:type="dxa"/>
            </w:tcMar>
            <w:vAlign w:val="center"/>
          </w:tcPr>
          <w:p w14:paraId="29C332E3">
            <w:pPr>
              <w:pStyle w:val="25"/>
              <w:wordWrap w:val="0"/>
              <w:spacing w:before="0" w:beforeAutospacing="0" w:after="0" w:afterAutospacing="0" w:line="300" w:lineRule="exact"/>
              <w:jc w:val="center"/>
              <w:rPr>
                <w:sz w:val="21"/>
                <w:szCs w:val="21"/>
                <w:highlight w:val="none"/>
              </w:rPr>
            </w:pPr>
            <w:r>
              <w:rPr>
                <w:sz w:val="21"/>
                <w:szCs w:val="21"/>
                <w:highlight w:val="none"/>
              </w:rPr>
              <w:t>Y&lt;100</w:t>
            </w:r>
          </w:p>
        </w:tc>
      </w:tr>
      <w:tr w14:paraId="4FB0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5D807EE5">
            <w:pPr>
              <w:spacing w:line="300" w:lineRule="exact"/>
              <w:jc w:val="center"/>
              <w:rPr>
                <w:rFonts w:hint="eastAsia"/>
                <w:szCs w:val="21"/>
                <w:highlight w:val="none"/>
              </w:rPr>
            </w:pPr>
          </w:p>
        </w:tc>
        <w:tc>
          <w:tcPr>
            <w:tcW w:w="1440" w:type="dxa"/>
            <w:tcMar>
              <w:top w:w="30" w:type="dxa"/>
              <w:left w:w="90" w:type="dxa"/>
              <w:bottom w:w="30" w:type="dxa"/>
              <w:right w:w="90" w:type="dxa"/>
            </w:tcMar>
            <w:vAlign w:val="center"/>
          </w:tcPr>
          <w:p w14:paraId="17579FE4">
            <w:pPr>
              <w:pStyle w:val="25"/>
              <w:wordWrap w:val="0"/>
              <w:spacing w:before="0" w:beforeAutospacing="0" w:after="0" w:afterAutospacing="0" w:line="300" w:lineRule="exact"/>
              <w:jc w:val="center"/>
              <w:rPr>
                <w:sz w:val="21"/>
                <w:szCs w:val="21"/>
                <w:highlight w:val="none"/>
              </w:rPr>
            </w:pPr>
            <w:r>
              <w:rPr>
                <w:sz w:val="21"/>
                <w:szCs w:val="21"/>
                <w:highlight w:val="none"/>
              </w:rPr>
              <w:t>资产总额(Z)</w:t>
            </w:r>
          </w:p>
        </w:tc>
        <w:tc>
          <w:tcPr>
            <w:tcW w:w="1080" w:type="dxa"/>
            <w:tcMar>
              <w:top w:w="30" w:type="dxa"/>
              <w:left w:w="90" w:type="dxa"/>
              <w:bottom w:w="30" w:type="dxa"/>
              <w:right w:w="90" w:type="dxa"/>
            </w:tcMar>
            <w:vAlign w:val="center"/>
          </w:tcPr>
          <w:p w14:paraId="4D418AC3">
            <w:pPr>
              <w:pStyle w:val="25"/>
              <w:wordWrap w:val="0"/>
              <w:spacing w:before="0" w:beforeAutospacing="0" w:after="0" w:afterAutospacing="0" w:line="300" w:lineRule="exact"/>
              <w:jc w:val="center"/>
              <w:rPr>
                <w:sz w:val="21"/>
                <w:szCs w:val="21"/>
                <w:highlight w:val="none"/>
              </w:rPr>
            </w:pPr>
            <w:r>
              <w:rPr>
                <w:sz w:val="21"/>
                <w:szCs w:val="21"/>
                <w:highlight w:val="none"/>
              </w:rPr>
              <w:t>万元</w:t>
            </w:r>
          </w:p>
        </w:tc>
        <w:tc>
          <w:tcPr>
            <w:tcW w:w="1260" w:type="dxa"/>
            <w:tcMar>
              <w:top w:w="30" w:type="dxa"/>
              <w:left w:w="90" w:type="dxa"/>
              <w:bottom w:w="30" w:type="dxa"/>
              <w:right w:w="90" w:type="dxa"/>
            </w:tcMar>
            <w:vAlign w:val="center"/>
          </w:tcPr>
          <w:p w14:paraId="57C7C5F2">
            <w:pPr>
              <w:pStyle w:val="25"/>
              <w:wordWrap w:val="0"/>
              <w:spacing w:before="0" w:beforeAutospacing="0" w:after="0" w:afterAutospacing="0" w:line="300" w:lineRule="exact"/>
              <w:jc w:val="center"/>
              <w:rPr>
                <w:sz w:val="21"/>
                <w:szCs w:val="21"/>
                <w:highlight w:val="none"/>
              </w:rPr>
            </w:pPr>
            <w:r>
              <w:rPr>
                <w:sz w:val="21"/>
                <w:szCs w:val="21"/>
                <w:highlight w:val="none"/>
              </w:rPr>
              <w:t>Z≥10000</w:t>
            </w:r>
          </w:p>
        </w:tc>
        <w:tc>
          <w:tcPr>
            <w:tcW w:w="1800" w:type="dxa"/>
            <w:tcMar>
              <w:top w:w="30" w:type="dxa"/>
              <w:left w:w="90" w:type="dxa"/>
              <w:bottom w:w="30" w:type="dxa"/>
              <w:right w:w="90" w:type="dxa"/>
            </w:tcMar>
            <w:vAlign w:val="center"/>
          </w:tcPr>
          <w:p w14:paraId="59683375">
            <w:pPr>
              <w:pStyle w:val="25"/>
              <w:wordWrap w:val="0"/>
              <w:spacing w:before="0" w:beforeAutospacing="0" w:after="0" w:afterAutospacing="0" w:line="300" w:lineRule="exact"/>
              <w:jc w:val="center"/>
              <w:rPr>
                <w:sz w:val="21"/>
                <w:szCs w:val="21"/>
                <w:highlight w:val="none"/>
              </w:rPr>
            </w:pPr>
            <w:r>
              <w:rPr>
                <w:sz w:val="21"/>
                <w:szCs w:val="21"/>
                <w:highlight w:val="none"/>
              </w:rPr>
              <w:t>5000≤Z&lt;10000</w:t>
            </w:r>
          </w:p>
        </w:tc>
        <w:tc>
          <w:tcPr>
            <w:tcW w:w="1440" w:type="dxa"/>
            <w:tcMar>
              <w:top w:w="30" w:type="dxa"/>
              <w:left w:w="90" w:type="dxa"/>
              <w:bottom w:w="30" w:type="dxa"/>
              <w:right w:w="90" w:type="dxa"/>
            </w:tcMar>
            <w:vAlign w:val="center"/>
          </w:tcPr>
          <w:p w14:paraId="51EDA9CB">
            <w:pPr>
              <w:pStyle w:val="25"/>
              <w:wordWrap w:val="0"/>
              <w:spacing w:before="0" w:beforeAutospacing="0" w:after="0" w:afterAutospacing="0" w:line="300" w:lineRule="exact"/>
              <w:jc w:val="center"/>
              <w:rPr>
                <w:sz w:val="21"/>
                <w:szCs w:val="21"/>
                <w:highlight w:val="none"/>
              </w:rPr>
            </w:pPr>
            <w:r>
              <w:rPr>
                <w:sz w:val="21"/>
                <w:szCs w:val="21"/>
                <w:highlight w:val="none"/>
              </w:rPr>
              <w:t>2000≤Z&lt;5000</w:t>
            </w:r>
          </w:p>
        </w:tc>
        <w:tc>
          <w:tcPr>
            <w:tcW w:w="900" w:type="dxa"/>
            <w:tcMar>
              <w:top w:w="30" w:type="dxa"/>
              <w:left w:w="90" w:type="dxa"/>
              <w:bottom w:w="30" w:type="dxa"/>
              <w:right w:w="90" w:type="dxa"/>
            </w:tcMar>
            <w:vAlign w:val="center"/>
          </w:tcPr>
          <w:p w14:paraId="6AEC1D55">
            <w:pPr>
              <w:pStyle w:val="25"/>
              <w:wordWrap w:val="0"/>
              <w:spacing w:before="0" w:beforeAutospacing="0" w:after="0" w:afterAutospacing="0" w:line="300" w:lineRule="exact"/>
              <w:jc w:val="center"/>
              <w:rPr>
                <w:sz w:val="21"/>
                <w:szCs w:val="21"/>
                <w:highlight w:val="none"/>
              </w:rPr>
            </w:pPr>
            <w:r>
              <w:rPr>
                <w:sz w:val="21"/>
                <w:szCs w:val="21"/>
                <w:highlight w:val="none"/>
              </w:rPr>
              <w:t>Z&lt;2000</w:t>
            </w:r>
          </w:p>
        </w:tc>
      </w:tr>
      <w:tr w14:paraId="0FE5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14480FD0">
            <w:pPr>
              <w:pStyle w:val="25"/>
              <w:wordWrap w:val="0"/>
              <w:spacing w:before="0" w:beforeAutospacing="0" w:after="0" w:afterAutospacing="0" w:line="300" w:lineRule="exact"/>
              <w:jc w:val="center"/>
              <w:rPr>
                <w:sz w:val="21"/>
                <w:szCs w:val="21"/>
                <w:highlight w:val="none"/>
              </w:rPr>
            </w:pPr>
            <w:r>
              <w:rPr>
                <w:sz w:val="21"/>
                <w:szCs w:val="21"/>
                <w:highlight w:val="none"/>
              </w:rPr>
              <w:t>物业管理</w:t>
            </w:r>
          </w:p>
        </w:tc>
        <w:tc>
          <w:tcPr>
            <w:tcW w:w="1440" w:type="dxa"/>
            <w:tcMar>
              <w:top w:w="30" w:type="dxa"/>
              <w:left w:w="90" w:type="dxa"/>
              <w:bottom w:w="30" w:type="dxa"/>
              <w:right w:w="90" w:type="dxa"/>
            </w:tcMar>
            <w:vAlign w:val="center"/>
          </w:tcPr>
          <w:p w14:paraId="54DBEA1A">
            <w:pPr>
              <w:pStyle w:val="25"/>
              <w:wordWrap w:val="0"/>
              <w:spacing w:before="0" w:beforeAutospacing="0" w:after="0" w:afterAutospacing="0" w:line="300" w:lineRule="exact"/>
              <w:jc w:val="center"/>
              <w:rPr>
                <w:sz w:val="21"/>
                <w:szCs w:val="21"/>
                <w:highlight w:val="none"/>
              </w:rPr>
            </w:pPr>
            <w:r>
              <w:rPr>
                <w:sz w:val="21"/>
                <w:szCs w:val="21"/>
                <w:highlight w:val="none"/>
              </w:rPr>
              <w:t>从业人员(X)</w:t>
            </w:r>
          </w:p>
        </w:tc>
        <w:tc>
          <w:tcPr>
            <w:tcW w:w="1080" w:type="dxa"/>
            <w:tcMar>
              <w:top w:w="30" w:type="dxa"/>
              <w:left w:w="90" w:type="dxa"/>
              <w:bottom w:w="30" w:type="dxa"/>
              <w:right w:w="90" w:type="dxa"/>
            </w:tcMar>
            <w:vAlign w:val="center"/>
          </w:tcPr>
          <w:p w14:paraId="06B988E8">
            <w:pPr>
              <w:pStyle w:val="25"/>
              <w:wordWrap w:val="0"/>
              <w:spacing w:before="0" w:beforeAutospacing="0" w:after="0" w:afterAutospacing="0" w:line="300" w:lineRule="exact"/>
              <w:jc w:val="center"/>
              <w:rPr>
                <w:sz w:val="21"/>
                <w:szCs w:val="21"/>
                <w:highlight w:val="none"/>
              </w:rPr>
            </w:pPr>
            <w:r>
              <w:rPr>
                <w:sz w:val="21"/>
                <w:szCs w:val="21"/>
                <w:highlight w:val="none"/>
              </w:rPr>
              <w:t>人</w:t>
            </w:r>
          </w:p>
        </w:tc>
        <w:tc>
          <w:tcPr>
            <w:tcW w:w="1260" w:type="dxa"/>
            <w:tcMar>
              <w:top w:w="30" w:type="dxa"/>
              <w:left w:w="90" w:type="dxa"/>
              <w:bottom w:w="30" w:type="dxa"/>
              <w:right w:w="90" w:type="dxa"/>
            </w:tcMar>
            <w:vAlign w:val="center"/>
          </w:tcPr>
          <w:p w14:paraId="31657FEB">
            <w:pPr>
              <w:pStyle w:val="25"/>
              <w:wordWrap w:val="0"/>
              <w:spacing w:before="0" w:beforeAutospacing="0" w:after="0" w:afterAutospacing="0" w:line="300" w:lineRule="exact"/>
              <w:jc w:val="center"/>
              <w:rPr>
                <w:sz w:val="21"/>
                <w:szCs w:val="21"/>
                <w:highlight w:val="none"/>
              </w:rPr>
            </w:pPr>
            <w:r>
              <w:rPr>
                <w:sz w:val="21"/>
                <w:szCs w:val="21"/>
                <w:highlight w:val="none"/>
              </w:rPr>
              <w:t>X≥1000</w:t>
            </w:r>
          </w:p>
        </w:tc>
        <w:tc>
          <w:tcPr>
            <w:tcW w:w="1800" w:type="dxa"/>
            <w:tcMar>
              <w:top w:w="30" w:type="dxa"/>
              <w:left w:w="90" w:type="dxa"/>
              <w:bottom w:w="30" w:type="dxa"/>
              <w:right w:w="90" w:type="dxa"/>
            </w:tcMar>
            <w:vAlign w:val="center"/>
          </w:tcPr>
          <w:p w14:paraId="39949FCF">
            <w:pPr>
              <w:pStyle w:val="25"/>
              <w:wordWrap w:val="0"/>
              <w:spacing w:before="0" w:beforeAutospacing="0" w:after="0" w:afterAutospacing="0" w:line="300" w:lineRule="exact"/>
              <w:jc w:val="center"/>
              <w:rPr>
                <w:sz w:val="21"/>
                <w:szCs w:val="21"/>
                <w:highlight w:val="none"/>
              </w:rPr>
            </w:pPr>
            <w:r>
              <w:rPr>
                <w:sz w:val="21"/>
                <w:szCs w:val="21"/>
                <w:highlight w:val="none"/>
              </w:rPr>
              <w:t>300≤X&lt;1000</w:t>
            </w:r>
          </w:p>
        </w:tc>
        <w:tc>
          <w:tcPr>
            <w:tcW w:w="1440" w:type="dxa"/>
            <w:tcMar>
              <w:top w:w="30" w:type="dxa"/>
              <w:left w:w="90" w:type="dxa"/>
              <w:bottom w:w="30" w:type="dxa"/>
              <w:right w:w="90" w:type="dxa"/>
            </w:tcMar>
            <w:vAlign w:val="center"/>
          </w:tcPr>
          <w:p w14:paraId="2B5784D5">
            <w:pPr>
              <w:pStyle w:val="25"/>
              <w:wordWrap w:val="0"/>
              <w:spacing w:before="0" w:beforeAutospacing="0" w:after="0" w:afterAutospacing="0" w:line="300" w:lineRule="exact"/>
              <w:jc w:val="center"/>
              <w:rPr>
                <w:sz w:val="21"/>
                <w:szCs w:val="21"/>
                <w:highlight w:val="none"/>
              </w:rPr>
            </w:pPr>
            <w:r>
              <w:rPr>
                <w:sz w:val="21"/>
                <w:szCs w:val="21"/>
                <w:highlight w:val="none"/>
              </w:rPr>
              <w:t>100≤X&lt;300</w:t>
            </w:r>
          </w:p>
        </w:tc>
        <w:tc>
          <w:tcPr>
            <w:tcW w:w="900" w:type="dxa"/>
            <w:tcMar>
              <w:top w:w="30" w:type="dxa"/>
              <w:left w:w="90" w:type="dxa"/>
              <w:bottom w:w="30" w:type="dxa"/>
              <w:right w:w="90" w:type="dxa"/>
            </w:tcMar>
            <w:vAlign w:val="center"/>
          </w:tcPr>
          <w:p w14:paraId="671FB1D5">
            <w:pPr>
              <w:pStyle w:val="25"/>
              <w:wordWrap w:val="0"/>
              <w:spacing w:before="0" w:beforeAutospacing="0" w:after="0" w:afterAutospacing="0" w:line="300" w:lineRule="exact"/>
              <w:jc w:val="center"/>
              <w:rPr>
                <w:sz w:val="21"/>
                <w:szCs w:val="21"/>
                <w:highlight w:val="none"/>
              </w:rPr>
            </w:pPr>
            <w:r>
              <w:rPr>
                <w:sz w:val="21"/>
                <w:szCs w:val="21"/>
                <w:highlight w:val="none"/>
              </w:rPr>
              <w:t>X&lt;100</w:t>
            </w:r>
          </w:p>
        </w:tc>
      </w:tr>
      <w:tr w14:paraId="74386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395BB899">
            <w:pPr>
              <w:spacing w:line="300" w:lineRule="exact"/>
              <w:jc w:val="center"/>
              <w:rPr>
                <w:rFonts w:hint="eastAsia"/>
                <w:szCs w:val="21"/>
                <w:highlight w:val="none"/>
              </w:rPr>
            </w:pPr>
          </w:p>
        </w:tc>
        <w:tc>
          <w:tcPr>
            <w:tcW w:w="1440" w:type="dxa"/>
            <w:tcMar>
              <w:top w:w="30" w:type="dxa"/>
              <w:left w:w="90" w:type="dxa"/>
              <w:bottom w:w="30" w:type="dxa"/>
              <w:right w:w="90" w:type="dxa"/>
            </w:tcMar>
            <w:vAlign w:val="center"/>
          </w:tcPr>
          <w:p w14:paraId="7A9D9B01">
            <w:pPr>
              <w:pStyle w:val="25"/>
              <w:wordWrap w:val="0"/>
              <w:spacing w:before="0" w:beforeAutospacing="0" w:after="0" w:afterAutospacing="0" w:line="300" w:lineRule="exact"/>
              <w:jc w:val="center"/>
              <w:rPr>
                <w:sz w:val="21"/>
                <w:szCs w:val="21"/>
                <w:highlight w:val="none"/>
              </w:rPr>
            </w:pPr>
            <w:r>
              <w:rPr>
                <w:sz w:val="21"/>
                <w:szCs w:val="21"/>
                <w:highlight w:val="none"/>
              </w:rPr>
              <w:t>营业收入(Y)</w:t>
            </w:r>
          </w:p>
        </w:tc>
        <w:tc>
          <w:tcPr>
            <w:tcW w:w="1080" w:type="dxa"/>
            <w:tcMar>
              <w:top w:w="30" w:type="dxa"/>
              <w:left w:w="90" w:type="dxa"/>
              <w:bottom w:w="30" w:type="dxa"/>
              <w:right w:w="90" w:type="dxa"/>
            </w:tcMar>
            <w:vAlign w:val="center"/>
          </w:tcPr>
          <w:p w14:paraId="7C43ADEA">
            <w:pPr>
              <w:pStyle w:val="25"/>
              <w:wordWrap w:val="0"/>
              <w:spacing w:before="0" w:beforeAutospacing="0" w:after="0" w:afterAutospacing="0" w:line="300" w:lineRule="exact"/>
              <w:jc w:val="center"/>
              <w:rPr>
                <w:sz w:val="21"/>
                <w:szCs w:val="21"/>
                <w:highlight w:val="none"/>
              </w:rPr>
            </w:pPr>
            <w:r>
              <w:rPr>
                <w:sz w:val="21"/>
                <w:szCs w:val="21"/>
                <w:highlight w:val="none"/>
              </w:rPr>
              <w:t>万元</w:t>
            </w:r>
          </w:p>
        </w:tc>
        <w:tc>
          <w:tcPr>
            <w:tcW w:w="1260" w:type="dxa"/>
            <w:tcMar>
              <w:top w:w="30" w:type="dxa"/>
              <w:left w:w="90" w:type="dxa"/>
              <w:bottom w:w="30" w:type="dxa"/>
              <w:right w:w="90" w:type="dxa"/>
            </w:tcMar>
            <w:vAlign w:val="center"/>
          </w:tcPr>
          <w:p w14:paraId="38E73E86">
            <w:pPr>
              <w:pStyle w:val="25"/>
              <w:wordWrap w:val="0"/>
              <w:spacing w:before="0" w:beforeAutospacing="0" w:after="0" w:afterAutospacing="0" w:line="300" w:lineRule="exact"/>
              <w:jc w:val="center"/>
              <w:rPr>
                <w:sz w:val="21"/>
                <w:szCs w:val="21"/>
                <w:highlight w:val="none"/>
              </w:rPr>
            </w:pPr>
            <w:r>
              <w:rPr>
                <w:sz w:val="21"/>
                <w:szCs w:val="21"/>
                <w:highlight w:val="none"/>
              </w:rPr>
              <w:t>Y≥5000</w:t>
            </w:r>
          </w:p>
        </w:tc>
        <w:tc>
          <w:tcPr>
            <w:tcW w:w="1800" w:type="dxa"/>
            <w:tcMar>
              <w:top w:w="30" w:type="dxa"/>
              <w:left w:w="90" w:type="dxa"/>
              <w:bottom w:w="30" w:type="dxa"/>
              <w:right w:w="90" w:type="dxa"/>
            </w:tcMar>
            <w:vAlign w:val="center"/>
          </w:tcPr>
          <w:p w14:paraId="4FB5D42D">
            <w:pPr>
              <w:pStyle w:val="25"/>
              <w:wordWrap w:val="0"/>
              <w:spacing w:before="0" w:beforeAutospacing="0" w:after="0" w:afterAutospacing="0" w:line="300" w:lineRule="exact"/>
              <w:jc w:val="center"/>
              <w:rPr>
                <w:sz w:val="21"/>
                <w:szCs w:val="21"/>
                <w:highlight w:val="none"/>
              </w:rPr>
            </w:pPr>
            <w:r>
              <w:rPr>
                <w:sz w:val="21"/>
                <w:szCs w:val="21"/>
                <w:highlight w:val="none"/>
              </w:rPr>
              <w:t>1000≤Y&lt;5000</w:t>
            </w:r>
          </w:p>
        </w:tc>
        <w:tc>
          <w:tcPr>
            <w:tcW w:w="1440" w:type="dxa"/>
            <w:tcMar>
              <w:top w:w="30" w:type="dxa"/>
              <w:left w:w="90" w:type="dxa"/>
              <w:bottom w:w="30" w:type="dxa"/>
              <w:right w:w="90" w:type="dxa"/>
            </w:tcMar>
            <w:vAlign w:val="center"/>
          </w:tcPr>
          <w:p w14:paraId="4471DA99">
            <w:pPr>
              <w:pStyle w:val="25"/>
              <w:wordWrap w:val="0"/>
              <w:spacing w:before="0" w:beforeAutospacing="0" w:after="0" w:afterAutospacing="0" w:line="300" w:lineRule="exact"/>
              <w:jc w:val="center"/>
              <w:rPr>
                <w:sz w:val="21"/>
                <w:szCs w:val="21"/>
                <w:highlight w:val="none"/>
              </w:rPr>
            </w:pPr>
            <w:r>
              <w:rPr>
                <w:sz w:val="21"/>
                <w:szCs w:val="21"/>
                <w:highlight w:val="none"/>
              </w:rPr>
              <w:t>500≤Y&lt;1000</w:t>
            </w:r>
          </w:p>
        </w:tc>
        <w:tc>
          <w:tcPr>
            <w:tcW w:w="900" w:type="dxa"/>
            <w:tcMar>
              <w:top w:w="30" w:type="dxa"/>
              <w:left w:w="90" w:type="dxa"/>
              <w:bottom w:w="30" w:type="dxa"/>
              <w:right w:w="90" w:type="dxa"/>
            </w:tcMar>
            <w:vAlign w:val="center"/>
          </w:tcPr>
          <w:p w14:paraId="51376D7C">
            <w:pPr>
              <w:pStyle w:val="25"/>
              <w:wordWrap w:val="0"/>
              <w:spacing w:before="0" w:beforeAutospacing="0" w:after="0" w:afterAutospacing="0" w:line="300" w:lineRule="exact"/>
              <w:jc w:val="center"/>
              <w:rPr>
                <w:sz w:val="21"/>
                <w:szCs w:val="21"/>
                <w:highlight w:val="none"/>
              </w:rPr>
            </w:pPr>
            <w:r>
              <w:rPr>
                <w:sz w:val="21"/>
                <w:szCs w:val="21"/>
                <w:highlight w:val="none"/>
              </w:rPr>
              <w:t>Y&lt;500</w:t>
            </w:r>
          </w:p>
        </w:tc>
      </w:tr>
      <w:tr w14:paraId="1B17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1092A04E">
            <w:pPr>
              <w:pStyle w:val="25"/>
              <w:wordWrap w:val="0"/>
              <w:spacing w:before="0" w:beforeAutospacing="0" w:after="0" w:afterAutospacing="0" w:line="300" w:lineRule="exact"/>
              <w:jc w:val="center"/>
              <w:rPr>
                <w:b w:val="0"/>
                <w:bCs w:val="0"/>
                <w:sz w:val="21"/>
                <w:szCs w:val="21"/>
                <w:highlight w:val="none"/>
              </w:rPr>
            </w:pPr>
            <w:r>
              <w:rPr>
                <w:b w:val="0"/>
                <w:bCs w:val="0"/>
                <w:sz w:val="21"/>
                <w:szCs w:val="21"/>
                <w:highlight w:val="none"/>
              </w:rPr>
              <w:t>租赁和商务服务业</w:t>
            </w:r>
          </w:p>
        </w:tc>
        <w:tc>
          <w:tcPr>
            <w:tcW w:w="1440" w:type="dxa"/>
            <w:tcMar>
              <w:top w:w="30" w:type="dxa"/>
              <w:left w:w="90" w:type="dxa"/>
              <w:bottom w:w="30" w:type="dxa"/>
              <w:right w:w="90" w:type="dxa"/>
            </w:tcMar>
            <w:vAlign w:val="center"/>
          </w:tcPr>
          <w:p w14:paraId="123CFE77">
            <w:pPr>
              <w:pStyle w:val="25"/>
              <w:wordWrap w:val="0"/>
              <w:spacing w:before="0" w:beforeAutospacing="0" w:after="0" w:afterAutospacing="0" w:line="300" w:lineRule="exact"/>
              <w:jc w:val="center"/>
              <w:rPr>
                <w:b w:val="0"/>
                <w:bCs w:val="0"/>
                <w:sz w:val="21"/>
                <w:szCs w:val="21"/>
                <w:highlight w:val="none"/>
              </w:rPr>
            </w:pPr>
            <w:r>
              <w:rPr>
                <w:b w:val="0"/>
                <w:bCs w:val="0"/>
                <w:sz w:val="21"/>
                <w:szCs w:val="21"/>
                <w:highlight w:val="none"/>
              </w:rPr>
              <w:t>从业人员(X)</w:t>
            </w:r>
          </w:p>
        </w:tc>
        <w:tc>
          <w:tcPr>
            <w:tcW w:w="1080" w:type="dxa"/>
            <w:tcMar>
              <w:top w:w="30" w:type="dxa"/>
              <w:left w:w="90" w:type="dxa"/>
              <w:bottom w:w="30" w:type="dxa"/>
              <w:right w:w="90" w:type="dxa"/>
            </w:tcMar>
            <w:vAlign w:val="center"/>
          </w:tcPr>
          <w:p w14:paraId="205D6933">
            <w:pPr>
              <w:pStyle w:val="25"/>
              <w:wordWrap w:val="0"/>
              <w:spacing w:before="0" w:beforeAutospacing="0" w:after="0" w:afterAutospacing="0" w:line="300" w:lineRule="exact"/>
              <w:jc w:val="center"/>
              <w:rPr>
                <w:b w:val="0"/>
                <w:bCs w:val="0"/>
                <w:sz w:val="21"/>
                <w:szCs w:val="21"/>
                <w:highlight w:val="none"/>
              </w:rPr>
            </w:pPr>
            <w:r>
              <w:rPr>
                <w:b w:val="0"/>
                <w:bCs w:val="0"/>
                <w:sz w:val="21"/>
                <w:szCs w:val="21"/>
                <w:highlight w:val="none"/>
              </w:rPr>
              <w:t>人</w:t>
            </w:r>
          </w:p>
        </w:tc>
        <w:tc>
          <w:tcPr>
            <w:tcW w:w="1260" w:type="dxa"/>
            <w:tcMar>
              <w:top w:w="30" w:type="dxa"/>
              <w:left w:w="90" w:type="dxa"/>
              <w:bottom w:w="30" w:type="dxa"/>
              <w:right w:w="90" w:type="dxa"/>
            </w:tcMar>
            <w:vAlign w:val="center"/>
          </w:tcPr>
          <w:p w14:paraId="7C15BC36">
            <w:pPr>
              <w:pStyle w:val="25"/>
              <w:wordWrap w:val="0"/>
              <w:spacing w:before="0" w:beforeAutospacing="0" w:after="0" w:afterAutospacing="0" w:line="300" w:lineRule="exact"/>
              <w:jc w:val="center"/>
              <w:rPr>
                <w:b w:val="0"/>
                <w:bCs w:val="0"/>
                <w:sz w:val="21"/>
                <w:szCs w:val="21"/>
                <w:highlight w:val="none"/>
              </w:rPr>
            </w:pPr>
            <w:r>
              <w:rPr>
                <w:b w:val="0"/>
                <w:bCs w:val="0"/>
                <w:sz w:val="21"/>
                <w:szCs w:val="21"/>
                <w:highlight w:val="none"/>
              </w:rPr>
              <w:t>X≥300</w:t>
            </w:r>
          </w:p>
        </w:tc>
        <w:tc>
          <w:tcPr>
            <w:tcW w:w="1800" w:type="dxa"/>
            <w:tcMar>
              <w:top w:w="30" w:type="dxa"/>
              <w:left w:w="90" w:type="dxa"/>
              <w:bottom w:w="30" w:type="dxa"/>
              <w:right w:w="90" w:type="dxa"/>
            </w:tcMar>
            <w:vAlign w:val="center"/>
          </w:tcPr>
          <w:p w14:paraId="6B5B5C7F">
            <w:pPr>
              <w:pStyle w:val="25"/>
              <w:wordWrap w:val="0"/>
              <w:spacing w:before="0" w:beforeAutospacing="0" w:after="0" w:afterAutospacing="0" w:line="300" w:lineRule="exact"/>
              <w:jc w:val="center"/>
              <w:rPr>
                <w:b w:val="0"/>
                <w:bCs w:val="0"/>
                <w:sz w:val="21"/>
                <w:szCs w:val="21"/>
                <w:highlight w:val="none"/>
              </w:rPr>
            </w:pPr>
            <w:r>
              <w:rPr>
                <w:b w:val="0"/>
                <w:bCs w:val="0"/>
                <w:sz w:val="21"/>
                <w:szCs w:val="21"/>
                <w:highlight w:val="none"/>
              </w:rPr>
              <w:t>100≤X&lt;300</w:t>
            </w:r>
          </w:p>
        </w:tc>
        <w:tc>
          <w:tcPr>
            <w:tcW w:w="1440" w:type="dxa"/>
            <w:tcMar>
              <w:top w:w="30" w:type="dxa"/>
              <w:left w:w="90" w:type="dxa"/>
              <w:bottom w:w="30" w:type="dxa"/>
              <w:right w:w="90" w:type="dxa"/>
            </w:tcMar>
            <w:vAlign w:val="center"/>
          </w:tcPr>
          <w:p w14:paraId="537828DD">
            <w:pPr>
              <w:pStyle w:val="25"/>
              <w:wordWrap w:val="0"/>
              <w:spacing w:before="0" w:beforeAutospacing="0" w:after="0" w:afterAutospacing="0" w:line="300" w:lineRule="exact"/>
              <w:jc w:val="center"/>
              <w:rPr>
                <w:b w:val="0"/>
                <w:bCs w:val="0"/>
                <w:sz w:val="21"/>
                <w:szCs w:val="21"/>
                <w:highlight w:val="none"/>
              </w:rPr>
            </w:pPr>
            <w:r>
              <w:rPr>
                <w:b w:val="0"/>
                <w:bCs w:val="0"/>
                <w:sz w:val="21"/>
                <w:szCs w:val="21"/>
                <w:highlight w:val="none"/>
              </w:rPr>
              <w:t>10≤X&lt;100</w:t>
            </w:r>
          </w:p>
        </w:tc>
        <w:tc>
          <w:tcPr>
            <w:tcW w:w="900" w:type="dxa"/>
            <w:tcMar>
              <w:top w:w="30" w:type="dxa"/>
              <w:left w:w="90" w:type="dxa"/>
              <w:bottom w:w="30" w:type="dxa"/>
              <w:right w:w="90" w:type="dxa"/>
            </w:tcMar>
            <w:vAlign w:val="center"/>
          </w:tcPr>
          <w:p w14:paraId="0B3E0228">
            <w:pPr>
              <w:pStyle w:val="25"/>
              <w:wordWrap w:val="0"/>
              <w:spacing w:before="0" w:beforeAutospacing="0" w:after="0" w:afterAutospacing="0" w:line="300" w:lineRule="exact"/>
              <w:jc w:val="center"/>
              <w:rPr>
                <w:b w:val="0"/>
                <w:bCs w:val="0"/>
                <w:sz w:val="21"/>
                <w:szCs w:val="21"/>
                <w:highlight w:val="none"/>
              </w:rPr>
            </w:pPr>
            <w:r>
              <w:rPr>
                <w:b w:val="0"/>
                <w:bCs w:val="0"/>
                <w:sz w:val="21"/>
                <w:szCs w:val="21"/>
                <w:highlight w:val="none"/>
              </w:rPr>
              <w:t>X&lt;10</w:t>
            </w:r>
          </w:p>
        </w:tc>
      </w:tr>
      <w:tr w14:paraId="11FC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229ECBBF">
            <w:pPr>
              <w:spacing w:line="300" w:lineRule="exact"/>
              <w:jc w:val="center"/>
              <w:rPr>
                <w:rFonts w:hint="eastAsia"/>
                <w:b w:val="0"/>
                <w:bCs w:val="0"/>
                <w:szCs w:val="21"/>
                <w:highlight w:val="none"/>
              </w:rPr>
            </w:pPr>
          </w:p>
        </w:tc>
        <w:tc>
          <w:tcPr>
            <w:tcW w:w="1440" w:type="dxa"/>
            <w:tcMar>
              <w:top w:w="30" w:type="dxa"/>
              <w:left w:w="90" w:type="dxa"/>
              <w:bottom w:w="30" w:type="dxa"/>
              <w:right w:w="90" w:type="dxa"/>
            </w:tcMar>
            <w:vAlign w:val="center"/>
          </w:tcPr>
          <w:p w14:paraId="12CE5CFC">
            <w:pPr>
              <w:pStyle w:val="25"/>
              <w:wordWrap w:val="0"/>
              <w:spacing w:before="0" w:beforeAutospacing="0" w:after="0" w:afterAutospacing="0" w:line="300" w:lineRule="exact"/>
              <w:jc w:val="center"/>
              <w:rPr>
                <w:b w:val="0"/>
                <w:bCs w:val="0"/>
                <w:sz w:val="21"/>
                <w:szCs w:val="21"/>
                <w:highlight w:val="none"/>
              </w:rPr>
            </w:pPr>
            <w:r>
              <w:rPr>
                <w:b w:val="0"/>
                <w:bCs w:val="0"/>
                <w:sz w:val="21"/>
                <w:szCs w:val="21"/>
                <w:highlight w:val="none"/>
              </w:rPr>
              <w:t>资产总额(Z)</w:t>
            </w:r>
          </w:p>
        </w:tc>
        <w:tc>
          <w:tcPr>
            <w:tcW w:w="1080" w:type="dxa"/>
            <w:tcMar>
              <w:top w:w="30" w:type="dxa"/>
              <w:left w:w="90" w:type="dxa"/>
              <w:bottom w:w="30" w:type="dxa"/>
              <w:right w:w="90" w:type="dxa"/>
            </w:tcMar>
            <w:vAlign w:val="center"/>
          </w:tcPr>
          <w:p w14:paraId="64F71145">
            <w:pPr>
              <w:pStyle w:val="25"/>
              <w:wordWrap w:val="0"/>
              <w:spacing w:before="0" w:beforeAutospacing="0" w:after="0" w:afterAutospacing="0" w:line="300" w:lineRule="exact"/>
              <w:jc w:val="center"/>
              <w:rPr>
                <w:b w:val="0"/>
                <w:bCs w:val="0"/>
                <w:sz w:val="21"/>
                <w:szCs w:val="21"/>
                <w:highlight w:val="none"/>
              </w:rPr>
            </w:pPr>
            <w:r>
              <w:rPr>
                <w:b w:val="0"/>
                <w:bCs w:val="0"/>
                <w:sz w:val="21"/>
                <w:szCs w:val="21"/>
                <w:highlight w:val="none"/>
              </w:rPr>
              <w:t>万元</w:t>
            </w:r>
          </w:p>
        </w:tc>
        <w:tc>
          <w:tcPr>
            <w:tcW w:w="1260" w:type="dxa"/>
            <w:tcMar>
              <w:top w:w="30" w:type="dxa"/>
              <w:left w:w="90" w:type="dxa"/>
              <w:bottom w:w="30" w:type="dxa"/>
              <w:right w:w="90" w:type="dxa"/>
            </w:tcMar>
            <w:vAlign w:val="center"/>
          </w:tcPr>
          <w:p w14:paraId="42AAAC5C">
            <w:pPr>
              <w:pStyle w:val="25"/>
              <w:wordWrap w:val="0"/>
              <w:spacing w:before="0" w:beforeAutospacing="0" w:after="0" w:afterAutospacing="0" w:line="300" w:lineRule="exact"/>
              <w:jc w:val="center"/>
              <w:rPr>
                <w:b w:val="0"/>
                <w:bCs w:val="0"/>
                <w:sz w:val="21"/>
                <w:szCs w:val="21"/>
                <w:highlight w:val="none"/>
              </w:rPr>
            </w:pPr>
            <w:r>
              <w:rPr>
                <w:b w:val="0"/>
                <w:bCs w:val="0"/>
                <w:sz w:val="21"/>
                <w:szCs w:val="21"/>
                <w:highlight w:val="none"/>
              </w:rPr>
              <w:t>Z≥120000</w:t>
            </w:r>
          </w:p>
        </w:tc>
        <w:tc>
          <w:tcPr>
            <w:tcW w:w="1800" w:type="dxa"/>
            <w:tcMar>
              <w:top w:w="30" w:type="dxa"/>
              <w:left w:w="90" w:type="dxa"/>
              <w:bottom w:w="30" w:type="dxa"/>
              <w:right w:w="90" w:type="dxa"/>
            </w:tcMar>
            <w:vAlign w:val="center"/>
          </w:tcPr>
          <w:p w14:paraId="72E93BF1">
            <w:pPr>
              <w:pStyle w:val="25"/>
              <w:wordWrap w:val="0"/>
              <w:spacing w:before="0" w:beforeAutospacing="0" w:after="0" w:afterAutospacing="0" w:line="300" w:lineRule="exact"/>
              <w:jc w:val="center"/>
              <w:rPr>
                <w:b w:val="0"/>
                <w:bCs w:val="0"/>
                <w:sz w:val="21"/>
                <w:szCs w:val="21"/>
                <w:highlight w:val="none"/>
              </w:rPr>
            </w:pPr>
            <w:r>
              <w:rPr>
                <w:b w:val="0"/>
                <w:bCs w:val="0"/>
                <w:sz w:val="21"/>
                <w:szCs w:val="21"/>
                <w:highlight w:val="none"/>
              </w:rPr>
              <w:t>8000≤Z&lt;120000</w:t>
            </w:r>
          </w:p>
        </w:tc>
        <w:tc>
          <w:tcPr>
            <w:tcW w:w="1440" w:type="dxa"/>
            <w:tcMar>
              <w:top w:w="30" w:type="dxa"/>
              <w:left w:w="90" w:type="dxa"/>
              <w:bottom w:w="30" w:type="dxa"/>
              <w:right w:w="90" w:type="dxa"/>
            </w:tcMar>
            <w:vAlign w:val="center"/>
          </w:tcPr>
          <w:p w14:paraId="655E19C9">
            <w:pPr>
              <w:pStyle w:val="25"/>
              <w:wordWrap w:val="0"/>
              <w:spacing w:before="0" w:beforeAutospacing="0" w:after="0" w:afterAutospacing="0" w:line="300" w:lineRule="exact"/>
              <w:jc w:val="center"/>
              <w:rPr>
                <w:b w:val="0"/>
                <w:bCs w:val="0"/>
                <w:sz w:val="21"/>
                <w:szCs w:val="21"/>
                <w:highlight w:val="none"/>
              </w:rPr>
            </w:pPr>
            <w:r>
              <w:rPr>
                <w:b w:val="0"/>
                <w:bCs w:val="0"/>
                <w:sz w:val="21"/>
                <w:szCs w:val="21"/>
                <w:highlight w:val="none"/>
              </w:rPr>
              <w:t>100≤Z&lt;8000</w:t>
            </w:r>
          </w:p>
        </w:tc>
        <w:tc>
          <w:tcPr>
            <w:tcW w:w="900" w:type="dxa"/>
            <w:tcMar>
              <w:top w:w="30" w:type="dxa"/>
              <w:left w:w="90" w:type="dxa"/>
              <w:bottom w:w="30" w:type="dxa"/>
              <w:right w:w="90" w:type="dxa"/>
            </w:tcMar>
            <w:vAlign w:val="center"/>
          </w:tcPr>
          <w:p w14:paraId="1D8FC7CB">
            <w:pPr>
              <w:pStyle w:val="25"/>
              <w:wordWrap w:val="0"/>
              <w:spacing w:before="0" w:beforeAutospacing="0" w:after="0" w:afterAutospacing="0" w:line="300" w:lineRule="exact"/>
              <w:jc w:val="center"/>
              <w:rPr>
                <w:b w:val="0"/>
                <w:bCs w:val="0"/>
                <w:sz w:val="21"/>
                <w:szCs w:val="21"/>
                <w:highlight w:val="none"/>
              </w:rPr>
            </w:pPr>
            <w:r>
              <w:rPr>
                <w:b w:val="0"/>
                <w:bCs w:val="0"/>
                <w:sz w:val="21"/>
                <w:szCs w:val="21"/>
                <w:highlight w:val="none"/>
              </w:rPr>
              <w:t>Z&lt;100</w:t>
            </w:r>
          </w:p>
        </w:tc>
      </w:tr>
      <w:tr w14:paraId="2486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tcMar>
              <w:top w:w="30" w:type="dxa"/>
              <w:left w:w="90" w:type="dxa"/>
              <w:bottom w:w="30" w:type="dxa"/>
              <w:right w:w="90" w:type="dxa"/>
            </w:tcMar>
            <w:vAlign w:val="center"/>
          </w:tcPr>
          <w:p w14:paraId="23BAA29D">
            <w:pPr>
              <w:pStyle w:val="25"/>
              <w:wordWrap w:val="0"/>
              <w:spacing w:before="0" w:beforeAutospacing="0" w:after="0" w:afterAutospacing="0" w:line="300" w:lineRule="exact"/>
              <w:jc w:val="center"/>
              <w:rPr>
                <w:b/>
                <w:bCs/>
                <w:sz w:val="21"/>
                <w:szCs w:val="21"/>
                <w:highlight w:val="none"/>
              </w:rPr>
            </w:pPr>
            <w:r>
              <w:rPr>
                <w:b/>
                <w:bCs/>
                <w:sz w:val="21"/>
                <w:szCs w:val="21"/>
                <w:highlight w:val="none"/>
              </w:rPr>
              <w:t>其他未列明行业</w:t>
            </w:r>
          </w:p>
        </w:tc>
        <w:tc>
          <w:tcPr>
            <w:tcW w:w="1440" w:type="dxa"/>
            <w:tcMar>
              <w:top w:w="30" w:type="dxa"/>
              <w:left w:w="90" w:type="dxa"/>
              <w:bottom w:w="30" w:type="dxa"/>
              <w:right w:w="90" w:type="dxa"/>
            </w:tcMar>
            <w:vAlign w:val="center"/>
          </w:tcPr>
          <w:p w14:paraId="708836E3">
            <w:pPr>
              <w:pStyle w:val="25"/>
              <w:wordWrap w:val="0"/>
              <w:spacing w:before="0" w:beforeAutospacing="0" w:after="0" w:afterAutospacing="0" w:line="300" w:lineRule="exact"/>
              <w:jc w:val="center"/>
              <w:rPr>
                <w:b/>
                <w:bCs/>
                <w:sz w:val="21"/>
                <w:szCs w:val="21"/>
                <w:highlight w:val="none"/>
              </w:rPr>
            </w:pPr>
            <w:r>
              <w:rPr>
                <w:b/>
                <w:bCs/>
                <w:sz w:val="21"/>
                <w:szCs w:val="21"/>
                <w:highlight w:val="none"/>
              </w:rPr>
              <w:t>从业人员(X)</w:t>
            </w:r>
          </w:p>
        </w:tc>
        <w:tc>
          <w:tcPr>
            <w:tcW w:w="1080" w:type="dxa"/>
            <w:tcMar>
              <w:top w:w="30" w:type="dxa"/>
              <w:left w:w="90" w:type="dxa"/>
              <w:bottom w:w="30" w:type="dxa"/>
              <w:right w:w="90" w:type="dxa"/>
            </w:tcMar>
            <w:vAlign w:val="center"/>
          </w:tcPr>
          <w:p w14:paraId="27D3D5F5">
            <w:pPr>
              <w:pStyle w:val="25"/>
              <w:wordWrap w:val="0"/>
              <w:spacing w:before="0" w:beforeAutospacing="0" w:after="0" w:afterAutospacing="0" w:line="300" w:lineRule="exact"/>
              <w:jc w:val="center"/>
              <w:rPr>
                <w:b/>
                <w:bCs/>
                <w:sz w:val="21"/>
                <w:szCs w:val="21"/>
                <w:highlight w:val="none"/>
              </w:rPr>
            </w:pPr>
            <w:r>
              <w:rPr>
                <w:b/>
                <w:bCs/>
                <w:sz w:val="21"/>
                <w:szCs w:val="21"/>
                <w:highlight w:val="none"/>
              </w:rPr>
              <w:t>人</w:t>
            </w:r>
          </w:p>
        </w:tc>
        <w:tc>
          <w:tcPr>
            <w:tcW w:w="1260" w:type="dxa"/>
            <w:tcMar>
              <w:top w:w="30" w:type="dxa"/>
              <w:left w:w="90" w:type="dxa"/>
              <w:bottom w:w="30" w:type="dxa"/>
              <w:right w:w="90" w:type="dxa"/>
            </w:tcMar>
            <w:vAlign w:val="center"/>
          </w:tcPr>
          <w:p w14:paraId="5D049616">
            <w:pPr>
              <w:pStyle w:val="25"/>
              <w:wordWrap w:val="0"/>
              <w:spacing w:before="0" w:beforeAutospacing="0" w:after="0" w:afterAutospacing="0" w:line="300" w:lineRule="exact"/>
              <w:jc w:val="center"/>
              <w:rPr>
                <w:b/>
                <w:bCs/>
                <w:sz w:val="21"/>
                <w:szCs w:val="21"/>
                <w:highlight w:val="none"/>
              </w:rPr>
            </w:pPr>
            <w:r>
              <w:rPr>
                <w:b/>
                <w:bCs/>
                <w:sz w:val="21"/>
                <w:szCs w:val="21"/>
                <w:highlight w:val="none"/>
              </w:rPr>
              <w:t>X≥300</w:t>
            </w:r>
          </w:p>
        </w:tc>
        <w:tc>
          <w:tcPr>
            <w:tcW w:w="1800" w:type="dxa"/>
            <w:tcMar>
              <w:top w:w="30" w:type="dxa"/>
              <w:left w:w="90" w:type="dxa"/>
              <w:bottom w:w="30" w:type="dxa"/>
              <w:right w:w="90" w:type="dxa"/>
            </w:tcMar>
            <w:vAlign w:val="center"/>
          </w:tcPr>
          <w:p w14:paraId="727B2594">
            <w:pPr>
              <w:pStyle w:val="25"/>
              <w:wordWrap w:val="0"/>
              <w:spacing w:before="0" w:beforeAutospacing="0" w:after="0" w:afterAutospacing="0" w:line="300" w:lineRule="exact"/>
              <w:jc w:val="center"/>
              <w:rPr>
                <w:b/>
                <w:bCs/>
                <w:sz w:val="21"/>
                <w:szCs w:val="21"/>
                <w:highlight w:val="none"/>
              </w:rPr>
            </w:pPr>
            <w:r>
              <w:rPr>
                <w:b/>
                <w:bCs/>
                <w:sz w:val="21"/>
                <w:szCs w:val="21"/>
                <w:highlight w:val="none"/>
              </w:rPr>
              <w:t>100≤X&lt;300</w:t>
            </w:r>
          </w:p>
        </w:tc>
        <w:tc>
          <w:tcPr>
            <w:tcW w:w="1440" w:type="dxa"/>
            <w:tcMar>
              <w:top w:w="30" w:type="dxa"/>
              <w:left w:w="90" w:type="dxa"/>
              <w:bottom w:w="30" w:type="dxa"/>
              <w:right w:w="90" w:type="dxa"/>
            </w:tcMar>
            <w:vAlign w:val="center"/>
          </w:tcPr>
          <w:p w14:paraId="29846570">
            <w:pPr>
              <w:pStyle w:val="25"/>
              <w:wordWrap w:val="0"/>
              <w:spacing w:before="0" w:beforeAutospacing="0" w:after="0" w:afterAutospacing="0" w:line="300" w:lineRule="exact"/>
              <w:jc w:val="center"/>
              <w:rPr>
                <w:b/>
                <w:bCs/>
                <w:sz w:val="21"/>
                <w:szCs w:val="21"/>
                <w:highlight w:val="none"/>
              </w:rPr>
            </w:pPr>
            <w:r>
              <w:rPr>
                <w:b/>
                <w:bCs/>
                <w:sz w:val="21"/>
                <w:szCs w:val="21"/>
                <w:highlight w:val="none"/>
              </w:rPr>
              <w:t>10≤X&lt;100</w:t>
            </w:r>
          </w:p>
        </w:tc>
        <w:tc>
          <w:tcPr>
            <w:tcW w:w="900" w:type="dxa"/>
            <w:tcMar>
              <w:top w:w="30" w:type="dxa"/>
              <w:left w:w="90" w:type="dxa"/>
              <w:bottom w:w="30" w:type="dxa"/>
              <w:right w:w="90" w:type="dxa"/>
            </w:tcMar>
            <w:vAlign w:val="center"/>
          </w:tcPr>
          <w:p w14:paraId="4F3BA648">
            <w:pPr>
              <w:pStyle w:val="25"/>
              <w:wordWrap w:val="0"/>
              <w:spacing w:before="0" w:beforeAutospacing="0" w:after="0" w:afterAutospacing="0" w:line="300" w:lineRule="exact"/>
              <w:jc w:val="center"/>
              <w:rPr>
                <w:b/>
                <w:bCs/>
                <w:sz w:val="21"/>
                <w:szCs w:val="21"/>
                <w:highlight w:val="none"/>
              </w:rPr>
            </w:pPr>
            <w:r>
              <w:rPr>
                <w:b/>
                <w:bCs/>
                <w:sz w:val="21"/>
                <w:szCs w:val="21"/>
                <w:highlight w:val="none"/>
              </w:rPr>
              <w:t>X&lt;10</w:t>
            </w:r>
          </w:p>
        </w:tc>
      </w:tr>
    </w:tbl>
    <w:p w14:paraId="6B3B28CF">
      <w:pPr>
        <w:pStyle w:val="16"/>
        <w:spacing w:line="360" w:lineRule="auto"/>
        <w:jc w:val="center"/>
        <w:rPr>
          <w:rFonts w:hint="eastAsia"/>
          <w:b/>
          <w:bCs/>
          <w:sz w:val="30"/>
          <w:szCs w:val="30"/>
          <w:highlight w:val="none"/>
        </w:rPr>
      </w:pPr>
      <w:r>
        <w:rPr>
          <w:b/>
          <w:sz w:val="24"/>
          <w:szCs w:val="24"/>
          <w:highlight w:val="none"/>
        </w:rPr>
        <w:br w:type="page"/>
      </w:r>
      <w:r>
        <w:rPr>
          <w:rFonts w:hint="eastAsia"/>
          <w:b/>
          <w:bCs/>
          <w:sz w:val="30"/>
          <w:szCs w:val="30"/>
          <w:highlight w:val="none"/>
        </w:rPr>
        <w:t>监狱企业声明函</w:t>
      </w:r>
    </w:p>
    <w:p w14:paraId="1BD7A14C">
      <w:pPr>
        <w:spacing w:line="600" w:lineRule="exact"/>
        <w:jc w:val="center"/>
        <w:rPr>
          <w:rFonts w:hint="eastAsia"/>
          <w:sz w:val="21"/>
          <w:szCs w:val="21"/>
          <w:highlight w:val="none"/>
        </w:rPr>
      </w:pPr>
      <w:r>
        <w:rPr>
          <w:rFonts w:hint="eastAsia"/>
          <w:sz w:val="21"/>
          <w:szCs w:val="21"/>
          <w:highlight w:val="none"/>
        </w:rPr>
        <w:t>【非监狱企业的不用提供】</w:t>
      </w:r>
    </w:p>
    <w:p w14:paraId="50CF2EB4">
      <w:pPr>
        <w:spacing w:line="600" w:lineRule="exact"/>
        <w:ind w:firstLine="426" w:firstLineChars="200"/>
        <w:rPr>
          <w:rFonts w:hint="eastAsia"/>
          <w:sz w:val="21"/>
          <w:szCs w:val="21"/>
          <w:highlight w:val="none"/>
        </w:rPr>
      </w:pPr>
      <w:r>
        <w:rPr>
          <w:rFonts w:hint="eastAsia"/>
          <w:sz w:val="21"/>
          <w:szCs w:val="21"/>
          <w:highlight w:val="none"/>
        </w:rPr>
        <w:t>本企业郑重声明，根据《关于政府采购支持监狱企业发展有关间想的通知》(财库[2014]68号）的规定，本企业为监狱企业。</w:t>
      </w:r>
    </w:p>
    <w:p w14:paraId="0702C020">
      <w:pPr>
        <w:spacing w:line="600" w:lineRule="exact"/>
        <w:ind w:firstLine="426" w:firstLineChars="200"/>
        <w:rPr>
          <w:rFonts w:hint="eastAsia"/>
          <w:sz w:val="21"/>
          <w:szCs w:val="21"/>
          <w:highlight w:val="none"/>
        </w:rPr>
      </w:pPr>
      <w:r>
        <w:rPr>
          <w:rFonts w:hint="eastAsia"/>
          <w:sz w:val="21"/>
          <w:szCs w:val="21"/>
          <w:highlight w:val="none"/>
        </w:rPr>
        <w:t>根据上述标准，我企业属于监狱企业的理由为:</w:t>
      </w:r>
      <w:r>
        <w:rPr>
          <w:rFonts w:hint="eastAsia"/>
          <w:sz w:val="21"/>
          <w:szCs w:val="21"/>
          <w:highlight w:val="none"/>
          <w:u w:val="single"/>
        </w:rPr>
        <w:t xml:space="preserve">                                 </w:t>
      </w:r>
      <w:r>
        <w:rPr>
          <w:rFonts w:hint="eastAsia"/>
          <w:sz w:val="21"/>
          <w:szCs w:val="21"/>
          <w:highlight w:val="none"/>
        </w:rPr>
        <w:t xml:space="preserve">       </w:t>
      </w:r>
    </w:p>
    <w:p w14:paraId="3667909A">
      <w:pPr>
        <w:spacing w:line="600" w:lineRule="exact"/>
        <w:ind w:firstLine="426" w:firstLineChars="200"/>
        <w:rPr>
          <w:rFonts w:hint="eastAsia"/>
          <w:sz w:val="21"/>
          <w:szCs w:val="21"/>
          <w:highlight w:val="none"/>
        </w:rPr>
      </w:pPr>
      <w:r>
        <w:rPr>
          <w:rFonts w:hint="eastAsia"/>
          <w:sz w:val="21"/>
          <w:szCs w:val="21"/>
          <w:highlight w:val="none"/>
        </w:rPr>
        <w:t>本企业为参加(项目名称:</w:t>
      </w:r>
      <w:r>
        <w:rPr>
          <w:rFonts w:hint="eastAsia"/>
          <w:sz w:val="21"/>
          <w:szCs w:val="21"/>
          <w:highlight w:val="none"/>
          <w:u w:val="single"/>
        </w:rPr>
        <w:t xml:space="preserve">                         </w:t>
      </w:r>
      <w:r>
        <w:rPr>
          <w:rFonts w:hint="eastAsia"/>
          <w:sz w:val="21"/>
          <w:szCs w:val="21"/>
          <w:highlight w:val="none"/>
        </w:rPr>
        <w:t>) (项目编号:</w:t>
      </w:r>
      <w:r>
        <w:rPr>
          <w:rFonts w:hint="eastAsia"/>
          <w:sz w:val="21"/>
          <w:szCs w:val="21"/>
          <w:highlight w:val="none"/>
          <w:u w:val="single"/>
        </w:rPr>
        <w:t xml:space="preserve">            </w:t>
      </w:r>
      <w:r>
        <w:rPr>
          <w:rFonts w:hint="eastAsia"/>
          <w:sz w:val="21"/>
          <w:szCs w:val="21"/>
          <w:highlight w:val="none"/>
        </w:rPr>
        <w:t>)采购活动提供本企业的产品。</w:t>
      </w:r>
    </w:p>
    <w:p w14:paraId="53FC4EBF">
      <w:pPr>
        <w:spacing w:line="600" w:lineRule="exact"/>
        <w:ind w:firstLine="319" w:firstLineChars="150"/>
        <w:rPr>
          <w:rFonts w:hint="eastAsia"/>
          <w:sz w:val="21"/>
          <w:szCs w:val="21"/>
          <w:highlight w:val="none"/>
        </w:rPr>
      </w:pPr>
      <w:r>
        <w:rPr>
          <w:rFonts w:hint="eastAsia"/>
          <w:sz w:val="21"/>
          <w:szCs w:val="21"/>
          <w:highlight w:val="none"/>
        </w:rPr>
        <w:t>本企业对上述声明的真实性负责。如有虚假，将依法承担相应责任。</w:t>
      </w:r>
    </w:p>
    <w:p w14:paraId="5D5884DA">
      <w:pPr>
        <w:spacing w:line="600" w:lineRule="exact"/>
        <w:rPr>
          <w:rFonts w:hint="eastAsia"/>
          <w:sz w:val="21"/>
          <w:szCs w:val="21"/>
          <w:highlight w:val="none"/>
        </w:rPr>
      </w:pPr>
    </w:p>
    <w:p w14:paraId="2E48AB1A">
      <w:pPr>
        <w:spacing w:line="600" w:lineRule="exact"/>
        <w:rPr>
          <w:rFonts w:hint="eastAsia"/>
          <w:sz w:val="21"/>
          <w:szCs w:val="21"/>
          <w:highlight w:val="none"/>
        </w:rPr>
      </w:pPr>
    </w:p>
    <w:p w14:paraId="38232DB8">
      <w:pPr>
        <w:spacing w:before="156" w:beforeLines="50" w:after="156" w:afterLines="50"/>
        <w:ind w:right="-21" w:rightChars="-10" w:firstLine="4473" w:firstLineChars="2100"/>
        <w:rPr>
          <w:rFonts w:ascii="Arial" w:hAnsi="Arial" w:cs="Arial"/>
          <w:sz w:val="21"/>
          <w:szCs w:val="21"/>
          <w:highlight w:val="none"/>
        </w:rPr>
      </w:pPr>
      <w:r>
        <w:rPr>
          <w:rFonts w:hint="eastAsia" w:ascii="Arial" w:hAnsi="Arial" w:cs="Arial"/>
          <w:sz w:val="21"/>
          <w:szCs w:val="21"/>
          <w:highlight w:val="none"/>
        </w:rPr>
        <w:t>竞争性磋商供应商</w:t>
      </w:r>
      <w:r>
        <w:rPr>
          <w:rFonts w:ascii="Arial" w:hAnsi="Arial" w:cs="Arial"/>
          <w:sz w:val="21"/>
          <w:szCs w:val="21"/>
          <w:highlight w:val="none"/>
        </w:rPr>
        <w:t>全称（公章）：</w:t>
      </w:r>
    </w:p>
    <w:p w14:paraId="12AD47CF">
      <w:pPr>
        <w:spacing w:before="156" w:beforeLines="50" w:after="156" w:afterLines="50"/>
        <w:ind w:right="-10" w:firstLine="4473" w:firstLineChars="2100"/>
        <w:rPr>
          <w:rFonts w:ascii="Arial" w:hAnsi="Arial" w:cs="Arial"/>
          <w:sz w:val="21"/>
          <w:szCs w:val="21"/>
          <w:highlight w:val="none"/>
        </w:rPr>
      </w:pPr>
      <w:r>
        <w:rPr>
          <w:rFonts w:ascii="Arial" w:hAnsi="Arial" w:cs="Arial"/>
          <w:sz w:val="21"/>
          <w:szCs w:val="21"/>
          <w:highlight w:val="none"/>
        </w:rPr>
        <w:t>法定代表人或授权代表（签字或盖章）：</w:t>
      </w:r>
    </w:p>
    <w:p w14:paraId="06C7D610">
      <w:pPr>
        <w:spacing w:line="360" w:lineRule="auto"/>
        <w:ind w:firstLine="4473" w:firstLineChars="2100"/>
        <w:rPr>
          <w:rFonts w:ascii="宋体"/>
          <w:sz w:val="21"/>
          <w:szCs w:val="21"/>
          <w:highlight w:val="none"/>
        </w:rPr>
      </w:pPr>
      <w:r>
        <w:rPr>
          <w:rFonts w:hint="eastAsia" w:ascii="宋体" w:hAnsi="宋体"/>
          <w:sz w:val="21"/>
          <w:szCs w:val="21"/>
          <w:highlight w:val="none"/>
        </w:rPr>
        <w:t>日期：</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rPr>
        <w:t>年</w:t>
      </w:r>
      <w:r>
        <w:rPr>
          <w:rFonts w:hint="eastAsia" w:ascii="宋体" w:hAnsi="宋体"/>
          <w:sz w:val="21"/>
          <w:szCs w:val="21"/>
          <w:highlight w:val="none"/>
          <w:u w:val="single"/>
        </w:rPr>
        <w:t xml:space="preserve">    </w:t>
      </w:r>
      <w:r>
        <w:rPr>
          <w:rFonts w:hint="eastAsia" w:ascii="宋体" w:hAnsi="宋体"/>
          <w:sz w:val="21"/>
          <w:szCs w:val="21"/>
          <w:highlight w:val="none"/>
        </w:rPr>
        <w:t>月</w:t>
      </w:r>
      <w:r>
        <w:rPr>
          <w:rFonts w:hint="eastAsia" w:ascii="宋体" w:hAnsi="宋体"/>
          <w:sz w:val="21"/>
          <w:szCs w:val="21"/>
          <w:highlight w:val="none"/>
          <w:u w:val="single"/>
        </w:rPr>
        <w:t xml:space="preserve">   </w:t>
      </w:r>
      <w:r>
        <w:rPr>
          <w:rFonts w:hint="eastAsia" w:ascii="宋体" w:hAnsi="宋体"/>
          <w:sz w:val="21"/>
          <w:szCs w:val="21"/>
          <w:highlight w:val="none"/>
        </w:rPr>
        <w:t>日</w:t>
      </w:r>
    </w:p>
    <w:p w14:paraId="6C603B79">
      <w:pPr>
        <w:spacing w:line="600" w:lineRule="exact"/>
        <w:rPr>
          <w:rFonts w:hint="eastAsia"/>
          <w:sz w:val="21"/>
          <w:szCs w:val="21"/>
          <w:highlight w:val="none"/>
        </w:rPr>
      </w:pPr>
    </w:p>
    <w:p w14:paraId="62D6A476">
      <w:pPr>
        <w:spacing w:line="600" w:lineRule="exact"/>
        <w:rPr>
          <w:rFonts w:hint="eastAsia"/>
          <w:sz w:val="21"/>
          <w:szCs w:val="21"/>
          <w:highlight w:val="none"/>
        </w:rPr>
      </w:pPr>
    </w:p>
    <w:p w14:paraId="26A799EE">
      <w:pPr>
        <w:spacing w:line="600" w:lineRule="exact"/>
        <w:ind w:firstLine="426" w:firstLineChars="200"/>
        <w:rPr>
          <w:rFonts w:hint="eastAsia"/>
          <w:sz w:val="21"/>
          <w:szCs w:val="21"/>
          <w:highlight w:val="none"/>
        </w:rPr>
      </w:pPr>
      <w:r>
        <w:rPr>
          <w:rFonts w:hint="eastAsia"/>
          <w:sz w:val="21"/>
          <w:szCs w:val="21"/>
          <w:highlight w:val="none"/>
        </w:rPr>
        <w:t>监狱企业参加政府采购活动时，应当提供由省级以上监狱管理局、戒毒管理局(含新疆生产建设兵团)出具的属于监狱企业的证明文件；</w:t>
      </w:r>
    </w:p>
    <w:p w14:paraId="45042C04">
      <w:pPr>
        <w:spacing w:line="600" w:lineRule="exact"/>
        <w:ind w:firstLine="426" w:firstLineChars="200"/>
        <w:rPr>
          <w:rFonts w:hint="eastAsia"/>
          <w:sz w:val="21"/>
          <w:szCs w:val="21"/>
          <w:highlight w:val="none"/>
        </w:rPr>
      </w:pPr>
      <w:r>
        <w:rPr>
          <w:rFonts w:hint="eastAsia"/>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BB24A3A">
      <w:pPr>
        <w:snapToGrid w:val="0"/>
        <w:spacing w:before="50" w:after="156" w:afterLines="50" w:line="600" w:lineRule="exact"/>
        <w:jc w:val="center"/>
        <w:rPr>
          <w:rFonts w:hint="eastAsia"/>
          <w:b/>
          <w:bCs/>
          <w:szCs w:val="28"/>
          <w:highlight w:val="none"/>
        </w:rPr>
      </w:pPr>
    </w:p>
    <w:p w14:paraId="7EACD489">
      <w:pPr>
        <w:pStyle w:val="2"/>
        <w:rPr>
          <w:rFonts w:hint="eastAsia"/>
          <w:highlight w:val="none"/>
        </w:rPr>
      </w:pPr>
    </w:p>
    <w:p w14:paraId="5B7720E2">
      <w:pPr>
        <w:pStyle w:val="8"/>
        <w:rPr>
          <w:rFonts w:hint="eastAsia"/>
          <w:highlight w:val="none"/>
        </w:rPr>
      </w:pPr>
    </w:p>
    <w:p w14:paraId="3BA87A4E">
      <w:pPr>
        <w:snapToGrid w:val="0"/>
        <w:spacing w:before="50" w:after="156" w:afterLines="50" w:line="600" w:lineRule="exact"/>
        <w:jc w:val="center"/>
        <w:rPr>
          <w:rFonts w:hint="eastAsia"/>
          <w:b/>
          <w:bCs/>
          <w:sz w:val="30"/>
          <w:szCs w:val="30"/>
          <w:highlight w:val="none"/>
        </w:rPr>
      </w:pPr>
      <w:r>
        <w:rPr>
          <w:rFonts w:hint="eastAsia"/>
          <w:b/>
          <w:bCs/>
          <w:sz w:val="30"/>
          <w:szCs w:val="30"/>
          <w:highlight w:val="none"/>
        </w:rPr>
        <w:t>残疾人福利性单位声明函</w:t>
      </w:r>
    </w:p>
    <w:p w14:paraId="3F45994F">
      <w:pPr>
        <w:spacing w:line="600" w:lineRule="exact"/>
        <w:jc w:val="center"/>
        <w:rPr>
          <w:rFonts w:hint="eastAsia" w:ascii="宋体" w:hAnsi="宋体"/>
          <w:sz w:val="21"/>
          <w:szCs w:val="21"/>
          <w:highlight w:val="none"/>
        </w:rPr>
      </w:pPr>
      <w:r>
        <w:rPr>
          <w:rFonts w:hint="eastAsia" w:ascii="宋体" w:hAnsi="宋体"/>
          <w:sz w:val="21"/>
          <w:szCs w:val="21"/>
          <w:highlight w:val="none"/>
        </w:rPr>
        <w:t>【非残疾人福利性单位不用提供】</w:t>
      </w:r>
    </w:p>
    <w:p w14:paraId="16267780">
      <w:pPr>
        <w:spacing w:line="600" w:lineRule="exact"/>
        <w:ind w:firstLine="426" w:firstLineChars="200"/>
        <w:rPr>
          <w:rFonts w:hint="eastAsia" w:ascii="宋体" w:hAnsi="宋体"/>
          <w:sz w:val="21"/>
          <w:szCs w:val="21"/>
          <w:highlight w:val="none"/>
        </w:rPr>
      </w:pPr>
      <w:r>
        <w:rPr>
          <w:rFonts w:hint="eastAsia" w:ascii="宋体" w:hAnsi="宋体"/>
          <w:sz w:val="21"/>
          <w:szCs w:val="21"/>
          <w:highlight w:val="none"/>
        </w:rPr>
        <w:t>本单位郑重声明，根据《财政部民政部中国残疾人联合会关于促进残疾人就业政府采购政策的通知》(财库〔2014〕68号)的规定。本单位为符合条件的残疾人福利性单位，且本单位参加</w:t>
      </w:r>
      <w:r>
        <w:rPr>
          <w:rFonts w:hint="eastAsia" w:ascii="宋体" w:hAnsi="宋体"/>
          <w:sz w:val="21"/>
          <w:szCs w:val="21"/>
          <w:highlight w:val="none"/>
          <w:u w:val="single"/>
        </w:rPr>
        <w:t xml:space="preserve">                         </w:t>
      </w:r>
      <w:r>
        <w:rPr>
          <w:rFonts w:hint="eastAsia" w:ascii="宋体" w:hAnsi="宋体"/>
          <w:sz w:val="21"/>
          <w:szCs w:val="21"/>
          <w:highlight w:val="none"/>
        </w:rPr>
        <w:t>(采购人名称)单位的</w:t>
      </w:r>
      <w:r>
        <w:rPr>
          <w:rFonts w:hint="eastAsia" w:ascii="宋体" w:hAnsi="宋体"/>
          <w:sz w:val="21"/>
          <w:szCs w:val="21"/>
          <w:highlight w:val="none"/>
          <w:u w:val="single"/>
        </w:rPr>
        <w:t xml:space="preserve">                       </w:t>
      </w:r>
      <w:r>
        <w:rPr>
          <w:rFonts w:hint="eastAsia" w:ascii="宋体" w:hAnsi="宋体"/>
          <w:sz w:val="21"/>
          <w:szCs w:val="21"/>
          <w:highlight w:val="none"/>
        </w:rPr>
        <w:t>(项目名称)项目采购活动提供本单位制造的货物(由本单位承担工程/提供服务)，成者提供其他残疾人福利性单位制造的货物(不包括使用非残疾人福利性单位往册商标的货物)。</w:t>
      </w:r>
    </w:p>
    <w:p w14:paraId="58EB423B">
      <w:pPr>
        <w:spacing w:line="600" w:lineRule="exact"/>
        <w:ind w:firstLine="426" w:firstLineChars="200"/>
        <w:rPr>
          <w:rFonts w:hint="eastAsia" w:ascii="宋体" w:hAnsi="宋体"/>
          <w:sz w:val="21"/>
          <w:szCs w:val="21"/>
          <w:highlight w:val="none"/>
        </w:rPr>
      </w:pPr>
      <w:r>
        <w:rPr>
          <w:rFonts w:hint="eastAsia" w:ascii="宋体" w:hAnsi="宋体"/>
          <w:sz w:val="21"/>
          <w:szCs w:val="21"/>
          <w:highlight w:val="none"/>
        </w:rPr>
        <w:t>本单位对上述声明的真实性负责，如有虚假，将依法承但相应责任。</w:t>
      </w:r>
    </w:p>
    <w:p w14:paraId="0D88588B">
      <w:pPr>
        <w:spacing w:line="600" w:lineRule="exact"/>
        <w:ind w:firstLine="426" w:firstLineChars="200"/>
        <w:rPr>
          <w:rFonts w:hint="eastAsia" w:ascii="宋体" w:hAnsi="宋体"/>
          <w:sz w:val="21"/>
          <w:szCs w:val="21"/>
          <w:highlight w:val="none"/>
        </w:rPr>
      </w:pPr>
    </w:p>
    <w:p w14:paraId="197F0FE7">
      <w:pPr>
        <w:spacing w:line="440" w:lineRule="exact"/>
        <w:rPr>
          <w:rFonts w:hint="eastAsia" w:ascii="宋体" w:hAnsi="宋体"/>
          <w:sz w:val="21"/>
          <w:szCs w:val="21"/>
          <w:highlight w:val="none"/>
        </w:rPr>
      </w:pPr>
      <w:r>
        <w:rPr>
          <w:rFonts w:hint="eastAsia" w:ascii="宋体" w:hAnsi="宋体"/>
          <w:sz w:val="21"/>
          <w:szCs w:val="21"/>
          <w:highlight w:val="none"/>
        </w:rPr>
        <w:t>附：如属于残疾人福利性单位须进行承诺并提供相关政府部门出具的证明材料（若有，所有证明材料并加盖单位公章）；</w:t>
      </w:r>
    </w:p>
    <w:p w14:paraId="668E2377">
      <w:pPr>
        <w:spacing w:line="600" w:lineRule="exact"/>
        <w:ind w:firstLine="426" w:firstLineChars="200"/>
        <w:rPr>
          <w:rFonts w:hint="eastAsia" w:ascii="宋体" w:hAnsi="宋体"/>
          <w:sz w:val="21"/>
          <w:szCs w:val="21"/>
          <w:highlight w:val="none"/>
        </w:rPr>
      </w:pPr>
    </w:p>
    <w:p w14:paraId="256BE974">
      <w:pPr>
        <w:spacing w:before="156" w:beforeLines="50" w:after="156" w:afterLines="50"/>
        <w:ind w:right="-21" w:rightChars="-10" w:firstLine="4473" w:firstLineChars="2100"/>
        <w:rPr>
          <w:rFonts w:ascii="Arial" w:hAnsi="Arial" w:cs="Arial"/>
          <w:sz w:val="21"/>
          <w:szCs w:val="21"/>
          <w:highlight w:val="none"/>
        </w:rPr>
      </w:pPr>
      <w:r>
        <w:rPr>
          <w:rFonts w:hint="eastAsia" w:ascii="Arial" w:hAnsi="Arial" w:cs="Arial"/>
          <w:sz w:val="21"/>
          <w:szCs w:val="21"/>
          <w:highlight w:val="none"/>
        </w:rPr>
        <w:t>竞争性磋商供应商</w:t>
      </w:r>
      <w:r>
        <w:rPr>
          <w:rFonts w:ascii="Arial" w:hAnsi="Arial" w:cs="Arial"/>
          <w:sz w:val="21"/>
          <w:szCs w:val="21"/>
          <w:highlight w:val="none"/>
        </w:rPr>
        <w:t>全称（公章）：</w:t>
      </w:r>
    </w:p>
    <w:p w14:paraId="6A79CBF8">
      <w:pPr>
        <w:spacing w:before="156" w:beforeLines="50" w:after="156" w:afterLines="50"/>
        <w:ind w:right="-10" w:firstLine="4473" w:firstLineChars="2100"/>
        <w:rPr>
          <w:rFonts w:ascii="Arial" w:hAnsi="Arial" w:cs="Arial"/>
          <w:sz w:val="21"/>
          <w:szCs w:val="21"/>
          <w:highlight w:val="none"/>
        </w:rPr>
      </w:pPr>
      <w:r>
        <w:rPr>
          <w:rFonts w:ascii="Arial" w:hAnsi="Arial" w:cs="Arial"/>
          <w:sz w:val="21"/>
          <w:szCs w:val="21"/>
          <w:highlight w:val="none"/>
        </w:rPr>
        <w:t>法定代表人或授权代表（签字或盖章）：</w:t>
      </w:r>
    </w:p>
    <w:p w14:paraId="25EAFDDE">
      <w:pPr>
        <w:ind w:firstLine="4473" w:firstLineChars="2100"/>
        <w:jc w:val="both"/>
        <w:rPr>
          <w:sz w:val="21"/>
          <w:szCs w:val="21"/>
          <w:highlight w:val="none"/>
        </w:rPr>
      </w:pPr>
      <w:r>
        <w:rPr>
          <w:rFonts w:hint="eastAsia" w:ascii="宋体" w:hAnsi="宋体"/>
          <w:sz w:val="21"/>
          <w:szCs w:val="21"/>
          <w:highlight w:val="none"/>
        </w:rPr>
        <w:t>日期：</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rPr>
        <w:t>年</w:t>
      </w:r>
      <w:r>
        <w:rPr>
          <w:rFonts w:hint="eastAsia" w:ascii="宋体" w:hAnsi="宋体"/>
          <w:sz w:val="21"/>
          <w:szCs w:val="21"/>
          <w:highlight w:val="none"/>
          <w:u w:val="single"/>
        </w:rPr>
        <w:t xml:space="preserve">    </w:t>
      </w:r>
      <w:r>
        <w:rPr>
          <w:rFonts w:hint="eastAsia" w:ascii="宋体" w:hAnsi="宋体"/>
          <w:sz w:val="21"/>
          <w:szCs w:val="21"/>
          <w:highlight w:val="none"/>
        </w:rPr>
        <w:t>月</w:t>
      </w:r>
      <w:r>
        <w:rPr>
          <w:rFonts w:hint="eastAsia" w:ascii="宋体" w:hAnsi="宋体"/>
          <w:sz w:val="21"/>
          <w:szCs w:val="21"/>
          <w:highlight w:val="none"/>
          <w:u w:val="single"/>
        </w:rPr>
        <w:t xml:space="preserve">   </w:t>
      </w:r>
      <w:r>
        <w:rPr>
          <w:rFonts w:hint="eastAsia" w:ascii="宋体" w:hAnsi="宋体"/>
          <w:sz w:val="21"/>
          <w:szCs w:val="21"/>
          <w:highlight w:val="none"/>
        </w:rPr>
        <w:t>日</w:t>
      </w:r>
    </w:p>
    <w:sectPr>
      <w:headerReference r:id="rId19" w:type="default"/>
      <w:footerReference r:id="rId20" w:type="default"/>
      <w:pgSz w:w="11849" w:h="16781"/>
      <w:pgMar w:top="1134" w:right="1417" w:bottom="1134" w:left="1417" w:header="850" w:footer="992" w:gutter="0"/>
      <w:pgNumType w:fmt="decimal"/>
      <w:cols w:space="0" w:num="1"/>
      <w:rtlGutter w:val="0"/>
      <w:docGrid w:type="linesAndChars" w:linePitch="324"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Light">
    <w:altName w:val="宋体"/>
    <w:panose1 w:val="020B0502040204020203"/>
    <w:charset w:val="86"/>
    <w:family w:val="swiss"/>
    <w:pitch w:val="default"/>
    <w:sig w:usb0="00000000" w:usb1="00000000" w:usb2="00000016" w:usb3="00000000" w:csb0="0004001F" w:csb1="00000000"/>
  </w:font>
  <w:font w:name="Helvetica">
    <w:altName w:val="Arial"/>
    <w:panose1 w:val="020B0604020202020204"/>
    <w:charset w:val="00"/>
    <w:family w:val="modern"/>
    <w:pitch w:val="default"/>
    <w:sig w:usb0="00000000" w:usb1="00000000" w:usb2="00000009" w:usb3="00000000" w:csb0="0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AACFF">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75FFB">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475FFB">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9A3C3">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1" name="文本框 2049"/>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44657ADA">
                          <w:pPr>
                            <w:pStyle w:val="19"/>
                          </w:pPr>
                          <w:r>
                            <w:fldChar w:fldCharType="begin"/>
                          </w:r>
                          <w:r>
                            <w:instrText xml:space="preserve"> PAGE  \* MERGEFORMAT </w:instrText>
                          </w:r>
                          <w:r>
                            <w:fldChar w:fldCharType="separate"/>
                          </w:r>
                          <w:r>
                            <w:t>50</w:t>
                          </w:r>
                          <w:r>
                            <w:fldChar w:fldCharType="end"/>
                          </w:r>
                        </w:p>
                      </w:txbxContent>
                    </wps:txbx>
                    <wps:bodyPr rot="0" vert="horz" wrap="none" lIns="0" tIns="0" rIns="0" bIns="0" anchor="t" anchorCtr="0" upright="1">
                      <a:spAutoFit/>
                    </wps:bodyPr>
                  </wps:wsp>
                </a:graphicData>
              </a:graphic>
            </wp:anchor>
          </w:drawing>
        </mc:Choice>
        <mc:Fallback>
          <w:pict>
            <v:shape id="文本框 2049"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V+SdAAAAADAQAADwAAAAAAAAABACAAAAAi&#10;AAAAZHJzL2Rvd25yZXYueG1sUEsBAhQAFAAAAAgAh07iQFsQyd8SAgAAFAQAAA4AAAAAAAAAAQAg&#10;AAAAHwEAAGRycy9lMm9Eb2MueG1sUEsFBgAAAAAGAAYAWQEAAKMFAAAAAA==&#10;">
              <v:fill on="f" focussize="0,0"/>
              <v:stroke on="f"/>
              <v:imagedata o:title=""/>
              <o:lock v:ext="edit" aspectratio="f"/>
              <v:textbox inset="0mm,0mm,0mm,0mm" style="mso-fit-shape-to-text:t;">
                <w:txbxContent>
                  <w:p w14:paraId="44657ADA">
                    <w:pPr>
                      <w:pStyle w:val="1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77F9D">
    <w:pPr>
      <w:pStyle w:val="19"/>
      <w:framePr w:wrap="around" w:vAnchor="text" w:hAnchor="margin" w:xAlign="center" w:y="1"/>
      <w:rPr>
        <w:rStyle w:val="31"/>
      </w:rPr>
    </w:pPr>
    <w:r>
      <w:fldChar w:fldCharType="begin"/>
    </w:r>
    <w:r>
      <w:rPr>
        <w:rStyle w:val="31"/>
      </w:rPr>
      <w:instrText xml:space="preserve">PAGE  </w:instrText>
    </w:r>
    <w:r>
      <w:fldChar w:fldCharType="separate"/>
    </w:r>
    <w:r>
      <w:rPr>
        <w:rStyle w:val="31"/>
      </w:rPr>
      <w:t>25</w:t>
    </w:r>
    <w:r>
      <w:fldChar w:fldCharType="end"/>
    </w:r>
  </w:p>
  <w:p w14:paraId="3B75E1A8">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114A0">
    <w:pPr>
      <w:snapToGrid w:val="0"/>
      <w:ind w:right="720" w:firstLine="180" w:firstLineChars="100"/>
      <w:jc w:val="center"/>
      <w:rPr>
        <w:rFonts w:hint="eastAsia" w:ascii="Times New Roman" w:hAnsi="Times New Roman" w:eastAsia="宋体" w:cs="Times New Roman"/>
        <w:sz w:val="18"/>
        <w:lang w:val="en-US" w:eastAsia="zh-CN" w:bidi="ar-SA"/>
      </w:rPr>
    </w:pPr>
    <w:r>
      <w:rPr>
        <w:rFonts w:ascii="Times New Roman" w:hAnsi="Times New Roman" w:eastAsia="宋体" w:cs="Times New Roman"/>
        <w:sz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2E6736">
                          <w:pPr>
                            <w:snapToGrid w:val="0"/>
                            <w:rPr>
                              <w:rFonts w:ascii="Times New Roman" w:hAnsi="Times New Roman" w:eastAsia="宋体" w:cs="Times New Roman"/>
                              <w:sz w:val="18"/>
                              <w:lang w:val="en-US" w:eastAsia="zh-CN" w:bidi="ar-SA"/>
                            </w:rPr>
                          </w:pPr>
                          <w:r>
                            <w:rPr>
                              <w:rFonts w:ascii="Times New Roman" w:hAnsi="Times New Roman" w:eastAsia="宋体" w:cs="Times New Roman"/>
                              <w:sz w:val="18"/>
                              <w:lang w:val="en-US" w:eastAsia="zh-CN" w:bidi="ar-SA"/>
                            </w:rPr>
                            <w:fldChar w:fldCharType="begin"/>
                          </w:r>
                          <w:r>
                            <w:rPr>
                              <w:rFonts w:ascii="Times New Roman" w:hAnsi="Times New Roman" w:eastAsia="宋体" w:cs="Times New Roman"/>
                              <w:sz w:val="18"/>
                              <w:lang w:val="en-US" w:eastAsia="zh-CN" w:bidi="ar-SA"/>
                            </w:rPr>
                            <w:instrText xml:space="preserve"> PAGE  \* MERGEFORMAT </w:instrText>
                          </w:r>
                          <w:r>
                            <w:rPr>
                              <w:rFonts w:ascii="Times New Roman" w:hAnsi="Times New Roman" w:eastAsia="宋体" w:cs="Times New Roman"/>
                              <w:sz w:val="18"/>
                              <w:lang w:val="en-US" w:eastAsia="zh-CN" w:bidi="ar-SA"/>
                            </w:rPr>
                            <w:fldChar w:fldCharType="separate"/>
                          </w:r>
                          <w:r>
                            <w:rPr>
                              <w:rFonts w:ascii="Times New Roman" w:hAnsi="Times New Roman" w:eastAsia="宋体" w:cs="Times New Roman"/>
                              <w:sz w:val="18"/>
                              <w:lang w:val="en-US" w:eastAsia="zh-CN" w:bidi="ar-SA"/>
                            </w:rPr>
                            <w:t>1</w:t>
                          </w:r>
                          <w:r>
                            <w:rPr>
                              <w:rFonts w:ascii="Times New Roman" w:hAnsi="Times New Roman" w:eastAsia="宋体" w:cs="Times New Roman"/>
                              <w:sz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432E6736">
                    <w:pPr>
                      <w:snapToGrid w:val="0"/>
                      <w:rPr>
                        <w:rFonts w:ascii="Times New Roman" w:hAnsi="Times New Roman" w:eastAsia="宋体" w:cs="Times New Roman"/>
                        <w:sz w:val="18"/>
                        <w:lang w:val="en-US" w:eastAsia="zh-CN" w:bidi="ar-SA"/>
                      </w:rPr>
                    </w:pPr>
                    <w:r>
                      <w:rPr>
                        <w:rFonts w:ascii="Times New Roman" w:hAnsi="Times New Roman" w:eastAsia="宋体" w:cs="Times New Roman"/>
                        <w:sz w:val="18"/>
                        <w:lang w:val="en-US" w:eastAsia="zh-CN" w:bidi="ar-SA"/>
                      </w:rPr>
                      <w:fldChar w:fldCharType="begin"/>
                    </w:r>
                    <w:r>
                      <w:rPr>
                        <w:rFonts w:ascii="Times New Roman" w:hAnsi="Times New Roman" w:eastAsia="宋体" w:cs="Times New Roman"/>
                        <w:sz w:val="18"/>
                        <w:lang w:val="en-US" w:eastAsia="zh-CN" w:bidi="ar-SA"/>
                      </w:rPr>
                      <w:instrText xml:space="preserve"> PAGE  \* MERGEFORMAT </w:instrText>
                    </w:r>
                    <w:r>
                      <w:rPr>
                        <w:rFonts w:ascii="Times New Roman" w:hAnsi="Times New Roman" w:eastAsia="宋体" w:cs="Times New Roman"/>
                        <w:sz w:val="18"/>
                        <w:lang w:val="en-US" w:eastAsia="zh-CN" w:bidi="ar-SA"/>
                      </w:rPr>
                      <w:fldChar w:fldCharType="separate"/>
                    </w:r>
                    <w:r>
                      <w:rPr>
                        <w:rFonts w:ascii="Times New Roman" w:hAnsi="Times New Roman" w:eastAsia="宋体" w:cs="Times New Roman"/>
                        <w:sz w:val="18"/>
                        <w:lang w:val="en-US" w:eastAsia="zh-CN" w:bidi="ar-SA"/>
                      </w:rPr>
                      <w:t>1</w:t>
                    </w:r>
                    <w:r>
                      <w:rPr>
                        <w:rFonts w:ascii="Times New Roman" w:hAnsi="Times New Roman" w:eastAsia="宋体" w:cs="Times New Roman"/>
                        <w:sz w:val="18"/>
                        <w:lang w:val="en-US" w:eastAsia="zh-CN" w:bidi="ar-SA"/>
                      </w:rPr>
                      <w:fldChar w:fldCharType="end"/>
                    </w:r>
                  </w:p>
                </w:txbxContent>
              </v:textbox>
            </v:shape>
          </w:pict>
        </mc:Fallback>
      </mc:AlternateContent>
    </w:r>
    <w:r>
      <w:rPr>
        <w:rFonts w:hint="eastAsia" w:ascii="Times New Roman" w:hAnsi="Times New Roman" w:eastAsia="宋体" w:cs="Times New Roman"/>
        <w:sz w:val="18"/>
        <w:lang w:val="en-US" w:eastAsia="zh-CN" w:bidi="ar-S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D5265">
    <w:pPr>
      <w:snapToGrid w:val="0"/>
      <w:jc w:val="center"/>
      <w:rPr>
        <w:rFonts w:hint="eastAsia" w:ascii="Times New Roman" w:hAnsi="Times New Roman" w:eastAsia="宋体" w:cs="Times New Roman"/>
        <w:sz w:val="18"/>
        <w:lang w:val="en-US" w:eastAsia="zh-CN" w:bidi="ar-SA"/>
      </w:rPr>
    </w:pPr>
    <w:r>
      <w:rPr>
        <w:rFonts w:ascii="Times New Roman" w:hAnsi="Times New Roman" w:eastAsia="宋体" w:cs="Times New Roman"/>
        <w:sz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709929B">
                          <w:pPr>
                            <w:snapToGrid w:val="0"/>
                            <w:rPr>
                              <w:rFonts w:hint="eastAsia" w:ascii="Times New Roman" w:hAnsi="Times New Roman" w:eastAsia="宋体" w:cs="Times New Roman"/>
                              <w:sz w:val="18"/>
                              <w:lang w:val="en-US" w:eastAsia="zh-CN" w:bidi="ar-SA"/>
                            </w:rPr>
                          </w:pPr>
                          <w:r>
                            <w:rPr>
                              <w:rFonts w:hint="eastAsia" w:ascii="Times New Roman" w:hAnsi="Times New Roman" w:eastAsia="宋体" w:cs="Times New Roman"/>
                              <w:sz w:val="18"/>
                              <w:lang w:val="en-US" w:eastAsia="zh-CN" w:bidi="ar-SA"/>
                            </w:rPr>
                            <w:fldChar w:fldCharType="begin"/>
                          </w:r>
                          <w:r>
                            <w:rPr>
                              <w:rFonts w:hint="eastAsia" w:ascii="Times New Roman" w:hAnsi="Times New Roman" w:eastAsia="宋体" w:cs="Times New Roman"/>
                              <w:sz w:val="18"/>
                              <w:lang w:val="en-US" w:eastAsia="zh-CN" w:bidi="ar-SA"/>
                            </w:rPr>
                            <w:instrText xml:space="preserve"> PAGE  \* MERGEFORMAT </w:instrText>
                          </w:r>
                          <w:r>
                            <w:rPr>
                              <w:rFonts w:hint="eastAsia" w:ascii="Times New Roman" w:hAnsi="Times New Roman" w:eastAsia="宋体" w:cs="Times New Roman"/>
                              <w:sz w:val="18"/>
                              <w:lang w:val="en-US" w:eastAsia="zh-CN" w:bidi="ar-SA"/>
                            </w:rPr>
                            <w:fldChar w:fldCharType="separate"/>
                          </w:r>
                          <w:r>
                            <w:rPr>
                              <w:rFonts w:hint="eastAsia" w:ascii="Times New Roman" w:hAnsi="Times New Roman" w:eastAsia="宋体" w:cs="Times New Roman"/>
                              <w:sz w:val="18"/>
                              <w:lang w:val="en-US" w:eastAsia="zh-CN" w:bidi="ar-SA"/>
                            </w:rPr>
                            <w:t>1</w:t>
                          </w:r>
                          <w:r>
                            <w:rPr>
                              <w:rFonts w:hint="eastAsia" w:ascii="Times New Roman" w:hAnsi="Times New Roman" w:eastAsia="宋体" w:cs="Times New Roman"/>
                              <w:sz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aJ7TXSAQAApQMAAA4AAABkcnMvZTJvRG9jLnhtbK1TS27bMBDd&#10;F8gdCO5jKS7S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zsfdB7bq8UKkV8Lf7iO3kLlOFEXYqjNPLPKdNS+vx7z1nPf1d&#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ontNdIBAAClAwAADgAAAAAAAAABACAAAAAi&#10;AQAAZHJzL2Uyb0RvYy54bWxQSwUGAAAAAAYABgBZAQAAZgUAAAAA&#10;">
              <v:fill on="f" focussize="0,0"/>
              <v:stroke on="f" weight="1.25pt"/>
              <v:imagedata o:title=""/>
              <o:lock v:ext="edit" aspectratio="f"/>
              <v:textbox inset="0mm,0mm,0mm,0mm" style="mso-fit-shape-to-text:t;">
                <w:txbxContent>
                  <w:p w14:paraId="0709929B">
                    <w:pPr>
                      <w:snapToGrid w:val="0"/>
                      <w:rPr>
                        <w:rFonts w:hint="eastAsia" w:ascii="Times New Roman" w:hAnsi="Times New Roman" w:eastAsia="宋体" w:cs="Times New Roman"/>
                        <w:sz w:val="18"/>
                        <w:lang w:val="en-US" w:eastAsia="zh-CN" w:bidi="ar-SA"/>
                      </w:rPr>
                    </w:pPr>
                    <w:r>
                      <w:rPr>
                        <w:rFonts w:hint="eastAsia" w:ascii="Times New Roman" w:hAnsi="Times New Roman" w:eastAsia="宋体" w:cs="Times New Roman"/>
                        <w:sz w:val="18"/>
                        <w:lang w:val="en-US" w:eastAsia="zh-CN" w:bidi="ar-SA"/>
                      </w:rPr>
                      <w:fldChar w:fldCharType="begin"/>
                    </w:r>
                    <w:r>
                      <w:rPr>
                        <w:rFonts w:hint="eastAsia" w:ascii="Times New Roman" w:hAnsi="Times New Roman" w:eastAsia="宋体" w:cs="Times New Roman"/>
                        <w:sz w:val="18"/>
                        <w:lang w:val="en-US" w:eastAsia="zh-CN" w:bidi="ar-SA"/>
                      </w:rPr>
                      <w:instrText xml:space="preserve"> PAGE  \* MERGEFORMAT </w:instrText>
                    </w:r>
                    <w:r>
                      <w:rPr>
                        <w:rFonts w:hint="eastAsia" w:ascii="Times New Roman" w:hAnsi="Times New Roman" w:eastAsia="宋体" w:cs="Times New Roman"/>
                        <w:sz w:val="18"/>
                        <w:lang w:val="en-US" w:eastAsia="zh-CN" w:bidi="ar-SA"/>
                      </w:rPr>
                      <w:fldChar w:fldCharType="separate"/>
                    </w:r>
                    <w:r>
                      <w:rPr>
                        <w:rFonts w:hint="eastAsia" w:ascii="Times New Roman" w:hAnsi="Times New Roman" w:eastAsia="宋体" w:cs="Times New Roman"/>
                        <w:sz w:val="18"/>
                        <w:lang w:val="en-US" w:eastAsia="zh-CN" w:bidi="ar-SA"/>
                      </w:rPr>
                      <w:t>1</w:t>
                    </w:r>
                    <w:r>
                      <w:rPr>
                        <w:rFonts w:hint="eastAsia" w:ascii="Times New Roman" w:hAnsi="Times New Roman" w:eastAsia="宋体" w:cs="Times New Roman"/>
                        <w:sz w:val="18"/>
                        <w:lang w:val="en-US" w:eastAsia="zh-CN" w:bidi="ar-SA"/>
                      </w:rPr>
                      <w:fldChar w:fldCharType="end"/>
                    </w:r>
                  </w:p>
                </w:txbxContent>
              </v:textbox>
            </v:shape>
          </w:pict>
        </mc:Fallback>
      </mc:AlternateContent>
    </w:r>
    <w:r>
      <w:rPr>
        <w:rFonts w:hint="eastAsia" w:ascii="Times New Roman" w:hAnsi="Times New Roman" w:eastAsia="宋体" w:cs="Times New Roman"/>
        <w:sz w:val="18"/>
        <w:lang w:val="en-US" w:eastAsia="zh-CN" w:bidi="ar-S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8AA9B">
    <w:pPr>
      <w:pStyle w:val="1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D18B6">
                          <w:pPr>
                            <w:pStyle w:val="1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0D18B6">
                    <w:pPr>
                      <w:pStyle w:val="19"/>
                    </w:pPr>
                    <w:r>
                      <w:fldChar w:fldCharType="begin"/>
                    </w:r>
                    <w:r>
                      <w:instrText xml:space="preserve"> PAGE  \* MERGEFORMAT </w:instrText>
                    </w:r>
                    <w:r>
                      <w:fldChar w:fldCharType="separate"/>
                    </w:r>
                    <w:r>
                      <w:t>3</w:t>
                    </w:r>
                    <w:r>
                      <w:fldChar w:fldCharType="end"/>
                    </w:r>
                  </w:p>
                </w:txbxContent>
              </v:textbox>
            </v:shape>
          </w:pict>
        </mc:Fallback>
      </mc:AlternateContent>
    </w:r>
  </w:p>
  <w:p w14:paraId="2E4D902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F52A0">
    <w:pPr>
      <w:pStyle w:val="1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C0CE5B">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FC0CE5B">
                    <w:pPr>
                      <w:pStyle w:val="19"/>
                    </w:pPr>
                    <w:r>
                      <w:fldChar w:fldCharType="begin"/>
                    </w:r>
                    <w:r>
                      <w:instrText xml:space="preserve"> PAGE  \* MERGEFORMAT </w:instrText>
                    </w:r>
                    <w:r>
                      <w:fldChar w:fldCharType="separate"/>
                    </w:r>
                    <w:r>
                      <w:t>2</w:t>
                    </w:r>
                    <w:r>
                      <w:fldChar w:fldCharType="end"/>
                    </w:r>
                  </w:p>
                </w:txbxContent>
              </v:textbox>
            </v:shape>
          </w:pict>
        </mc:Fallback>
      </mc:AlternateContent>
    </w:r>
  </w:p>
  <w:p w14:paraId="4BA085C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C737A">
    <w:pPr>
      <w:pStyle w:val="1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DDAB8">
                          <w:pPr>
                            <w:pStyle w:val="19"/>
                            <w:rPr>
                              <w:rStyle w:val="31"/>
                            </w:rPr>
                          </w:pPr>
                          <w:r>
                            <w:rPr>
                              <w:rStyle w:val="31"/>
                            </w:rPr>
                            <w:fldChar w:fldCharType="begin"/>
                          </w:r>
                          <w:r>
                            <w:rPr>
                              <w:rStyle w:val="31"/>
                            </w:rPr>
                            <w:instrText xml:space="preserve"> PAGE  \* MERGEFORMAT </w:instrText>
                          </w:r>
                          <w:r>
                            <w:rPr>
                              <w:rStyle w:val="31"/>
                            </w:rPr>
                            <w:fldChar w:fldCharType="separate"/>
                          </w:r>
                          <w:r>
                            <w:rPr>
                              <w:rStyle w:val="31"/>
                            </w:rPr>
                            <w:t>30</w:t>
                          </w:r>
                          <w:r>
                            <w:rPr>
                              <w:rStyle w:val="3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5EDDAB8">
                    <w:pPr>
                      <w:pStyle w:val="19"/>
                      <w:rPr>
                        <w:rStyle w:val="31"/>
                      </w:rPr>
                    </w:pPr>
                    <w:r>
                      <w:rPr>
                        <w:rStyle w:val="31"/>
                      </w:rPr>
                      <w:fldChar w:fldCharType="begin"/>
                    </w:r>
                    <w:r>
                      <w:rPr>
                        <w:rStyle w:val="31"/>
                      </w:rPr>
                      <w:instrText xml:space="preserve"> PAGE  \* MERGEFORMAT </w:instrText>
                    </w:r>
                    <w:r>
                      <w:rPr>
                        <w:rStyle w:val="31"/>
                      </w:rPr>
                      <w:fldChar w:fldCharType="separate"/>
                    </w:r>
                    <w:r>
                      <w:rPr>
                        <w:rStyle w:val="31"/>
                      </w:rPr>
                      <w:t>30</w:t>
                    </w:r>
                    <w:r>
                      <w:rPr>
                        <w:rStyle w:val="3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F02FF">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C6389">
                          <w:pPr>
                            <w:pStyle w:val="1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4CC6389">
                    <w:pPr>
                      <w:pStyle w:val="1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39285">
    <w:pPr>
      <w:pStyle w:val="19"/>
      <w:ind w:firstLine="36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34B6C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46</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2334B6C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46</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71865">
    <w:pPr>
      <w:pStyle w:val="20"/>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7F97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5B25B">
    <w:pPr>
      <w:pStyle w:val="20"/>
      <w:pBdr>
        <w:bottom w:val="none" w:color="auto" w:sz="0" w:space="1"/>
      </w:pBdr>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F6E7E">
    <w:pPr>
      <w:pStyle w:val="20"/>
      <w:pBdr>
        <w:bottom w:val="none" w:color="auto" w:sz="0" w:space="1"/>
      </w:pBdr>
    </w:pPr>
    <w:r>
      <w:t></w:t>
    </w:r>
    <w:r>
      <w:rPr>
        <w:rFonts w:hint="eastAsia"/>
      </w:rPr>
      <w:t xml:space="preserve">         </w:t>
    </w:r>
  </w:p>
  <w:p w14:paraId="4EF73F8F">
    <w:pPr>
      <w:pStyle w:val="20"/>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11320">
    <w:pPr>
      <w:pStyle w:val="20"/>
      <w:pBdr>
        <w:bottom w:val="none" w:color="auto" w:sz="0" w:space="0"/>
      </w:pBdr>
      <w:jc w:val="right"/>
      <w:rPr>
        <w:rFonts w:ascii="宋体" w:hAnsi="宋体"/>
        <w:sz w:val="21"/>
        <w:szCs w:val="21"/>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1233A">
    <w:pPr>
      <w:pStyle w:val="20"/>
      <w:pBdr>
        <w:bottom w:val="none" w:color="auto" w:sz="0" w:space="0"/>
      </w:pBdr>
      <w:jc w:val="left"/>
      <w:rPr>
        <w:rFonts w:ascii="宋体" w:hAnsi="宋体"/>
        <w:sz w:val="21"/>
        <w:szCs w:val="21"/>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17B98">
    <w:pPr>
      <w:pStyle w:val="20"/>
      <w:pBdr>
        <w:bottom w:val="none" w:color="auto" w:sz="0" w:space="0"/>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2807C">
    <w:pPr>
      <w:pStyle w:val="20"/>
      <w:rPr>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3E1EC"/>
    <w:multiLevelType w:val="singleLevel"/>
    <w:tmpl w:val="8863E1EC"/>
    <w:lvl w:ilvl="0" w:tentative="0">
      <w:start w:val="3"/>
      <w:numFmt w:val="chineseCounting"/>
      <w:suff w:val="space"/>
      <w:lvlText w:val="第%1部分"/>
      <w:lvlJc w:val="left"/>
      <w:rPr>
        <w:rFonts w:hint="eastAsia"/>
      </w:rPr>
    </w:lvl>
  </w:abstractNum>
  <w:abstractNum w:abstractNumId="1">
    <w:nsid w:val="F922C48D"/>
    <w:multiLevelType w:val="singleLevel"/>
    <w:tmpl w:val="F922C48D"/>
    <w:lvl w:ilvl="0" w:tentative="0">
      <w:start w:val="2"/>
      <w:numFmt w:val="chineseCounting"/>
      <w:suff w:val="nothing"/>
      <w:lvlText w:val="%1、"/>
      <w:lvlJc w:val="left"/>
      <w:rPr>
        <w:rFonts w:hint="eastAsia"/>
      </w:rPr>
    </w:lvl>
  </w:abstractNum>
  <w:abstractNum w:abstractNumId="2">
    <w:nsid w:val="00000007"/>
    <w:multiLevelType w:val="singleLevel"/>
    <w:tmpl w:val="00000007"/>
    <w:lvl w:ilvl="0" w:tentative="0">
      <w:start w:val="1"/>
      <w:numFmt w:val="decimal"/>
      <w:lvlText w:val="（%1）"/>
      <w:lvlJc w:val="left"/>
      <w:pPr>
        <w:ind w:left="420" w:hanging="420"/>
      </w:pPr>
      <w:rPr>
        <w:rFonts w:hint="eastAsia"/>
        <w:color w:val="auto"/>
        <w:lang w:val="en-US"/>
      </w:rPr>
    </w:lvl>
  </w:abstractNum>
  <w:abstractNum w:abstractNumId="3">
    <w:nsid w:val="0AF332F6"/>
    <w:multiLevelType w:val="multilevel"/>
    <w:tmpl w:val="0AF332F6"/>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4">
    <w:nsid w:val="2E42602A"/>
    <w:multiLevelType w:val="multilevel"/>
    <w:tmpl w:val="2E42602A"/>
    <w:lvl w:ilvl="0" w:tentative="0">
      <w:start w:val="1"/>
      <w:numFmt w:val="bullet"/>
      <w:pStyle w:val="95"/>
      <w:suff w:val="space"/>
      <w:lvlText w:val=""/>
      <w:lvlJc w:val="left"/>
      <w:pPr>
        <w:ind w:left="0" w:firstLine="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38EFAB7C"/>
    <w:multiLevelType w:val="singleLevel"/>
    <w:tmpl w:val="38EFAB7C"/>
    <w:lvl w:ilvl="0" w:tentative="0">
      <w:start w:val="5"/>
      <w:numFmt w:val="chineseCounting"/>
      <w:suff w:val="nothing"/>
      <w:lvlText w:val="%1、"/>
      <w:lvlJc w:val="left"/>
      <w:rPr>
        <w:rFonts w:hint="eastAsia"/>
      </w:rPr>
    </w:lvl>
  </w:abstractNum>
  <w:abstractNum w:abstractNumId="6">
    <w:nsid w:val="3D1B6ABC"/>
    <w:multiLevelType w:val="singleLevel"/>
    <w:tmpl w:val="3D1B6ABC"/>
    <w:lvl w:ilvl="0" w:tentative="0">
      <w:start w:val="1"/>
      <w:numFmt w:val="decimal"/>
      <w:lvlText w:val="（%1）"/>
      <w:lvlJc w:val="left"/>
      <w:pPr>
        <w:ind w:left="420" w:hanging="420"/>
      </w:pPr>
      <w:rPr>
        <w:rFonts w:hint="eastAsia"/>
        <w:color w:val="auto"/>
        <w:lang w:val="en-US"/>
      </w:rPr>
    </w:lvl>
  </w:abstractNum>
  <w:abstractNum w:abstractNumId="7">
    <w:nsid w:val="3E3A07A7"/>
    <w:multiLevelType w:val="multilevel"/>
    <w:tmpl w:val="3E3A07A7"/>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1620" w:hanging="36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5C789704"/>
    <w:multiLevelType w:val="singleLevel"/>
    <w:tmpl w:val="5C789704"/>
    <w:lvl w:ilvl="0" w:tentative="0">
      <w:start w:val="2"/>
      <w:numFmt w:val="decimal"/>
      <w:suff w:val="nothing"/>
      <w:lvlText w:val="%1、"/>
      <w:lvlJc w:val="left"/>
    </w:lvl>
  </w:abstractNum>
  <w:abstractNum w:abstractNumId="9">
    <w:nsid w:val="622AEBA0"/>
    <w:multiLevelType w:val="singleLevel"/>
    <w:tmpl w:val="622AEBA0"/>
    <w:lvl w:ilvl="0" w:tentative="0">
      <w:start w:val="8"/>
      <w:numFmt w:val="decimal"/>
      <w:suff w:val="nothing"/>
      <w:lvlText w:val="%1、"/>
      <w:lvlJc w:val="left"/>
    </w:lvl>
  </w:abstractNum>
  <w:abstractNum w:abstractNumId="10">
    <w:nsid w:val="6F893B24"/>
    <w:multiLevelType w:val="multilevel"/>
    <w:tmpl w:val="6F893B24"/>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1770" w:hanging="510"/>
      </w:pPr>
      <w:rPr>
        <w:rFonts w:hint="default" w:ascii="宋体" w:hAnsi="宋体"/>
        <w:color w:val="000000"/>
        <w:sz w:val="21"/>
        <w:szCs w:val="21"/>
      </w:rPr>
    </w:lvl>
    <w:lvl w:ilvl="2" w:tentative="0">
      <w:start w:val="1"/>
      <w:numFmt w:val="decimal"/>
      <w:lvlText w:val="%3、"/>
      <w:lvlJc w:val="left"/>
      <w:pPr>
        <w:ind w:left="2040" w:hanging="360"/>
      </w:pPr>
      <w:rPr>
        <w:rFonts w:hint="default"/>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4"/>
  </w:num>
  <w:num w:numId="2">
    <w:abstractNumId w:val="1"/>
  </w:num>
  <w:num w:numId="3">
    <w:abstractNumId w:val="3"/>
  </w:num>
  <w:num w:numId="4">
    <w:abstractNumId w:val="10"/>
  </w:num>
  <w:num w:numId="5">
    <w:abstractNumId w:val="2"/>
  </w:num>
  <w:num w:numId="6">
    <w:abstractNumId w:val="6"/>
  </w:num>
  <w:num w:numId="7">
    <w:abstractNumId w:val="0"/>
  </w:num>
  <w:num w:numId="8">
    <w:abstractNumId w:val="5"/>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0"/>
  <w:bordersDoNotSurroundFooter w:val="0"/>
  <w:documentProtection w:enforcement="0"/>
  <w:defaultTabStop w:val="420"/>
  <w:drawingGridHorizontalSpacing w:val="107"/>
  <w:drawingGridVerticalSpacing w:val="162"/>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lMjYxMmMzNjc4NjRmNjIxNWMxZDIxMzdmMWM2OWEifQ=="/>
  </w:docVars>
  <w:rsids>
    <w:rsidRoot w:val="00172A27"/>
    <w:rsid w:val="0000057B"/>
    <w:rsid w:val="00002C6B"/>
    <w:rsid w:val="0000466A"/>
    <w:rsid w:val="00004DE0"/>
    <w:rsid w:val="00005A20"/>
    <w:rsid w:val="00007A34"/>
    <w:rsid w:val="0001757B"/>
    <w:rsid w:val="000210B6"/>
    <w:rsid w:val="00024780"/>
    <w:rsid w:val="00025EC6"/>
    <w:rsid w:val="00031AA0"/>
    <w:rsid w:val="00033482"/>
    <w:rsid w:val="000352AE"/>
    <w:rsid w:val="000434F6"/>
    <w:rsid w:val="00044D44"/>
    <w:rsid w:val="000464CB"/>
    <w:rsid w:val="00046B9F"/>
    <w:rsid w:val="00051C72"/>
    <w:rsid w:val="00052140"/>
    <w:rsid w:val="0005267F"/>
    <w:rsid w:val="0005409C"/>
    <w:rsid w:val="00056EA8"/>
    <w:rsid w:val="00060FC8"/>
    <w:rsid w:val="00067D1F"/>
    <w:rsid w:val="00070203"/>
    <w:rsid w:val="000840AD"/>
    <w:rsid w:val="000843FC"/>
    <w:rsid w:val="0008640A"/>
    <w:rsid w:val="000868B3"/>
    <w:rsid w:val="000873FA"/>
    <w:rsid w:val="00091D85"/>
    <w:rsid w:val="00091EEF"/>
    <w:rsid w:val="000922D9"/>
    <w:rsid w:val="00097F5D"/>
    <w:rsid w:val="000A2709"/>
    <w:rsid w:val="000A2B9E"/>
    <w:rsid w:val="000B5B51"/>
    <w:rsid w:val="000C202B"/>
    <w:rsid w:val="000D251F"/>
    <w:rsid w:val="000D433F"/>
    <w:rsid w:val="000E5885"/>
    <w:rsid w:val="000E6646"/>
    <w:rsid w:val="000E7365"/>
    <w:rsid w:val="000E7AA9"/>
    <w:rsid w:val="000F05A9"/>
    <w:rsid w:val="000F3571"/>
    <w:rsid w:val="000F49A0"/>
    <w:rsid w:val="000F5397"/>
    <w:rsid w:val="000F7905"/>
    <w:rsid w:val="001047F6"/>
    <w:rsid w:val="001057CA"/>
    <w:rsid w:val="00110135"/>
    <w:rsid w:val="00110630"/>
    <w:rsid w:val="00111BBF"/>
    <w:rsid w:val="00114876"/>
    <w:rsid w:val="00115E0E"/>
    <w:rsid w:val="00117202"/>
    <w:rsid w:val="0011760F"/>
    <w:rsid w:val="001211B0"/>
    <w:rsid w:val="00123AFD"/>
    <w:rsid w:val="0012636D"/>
    <w:rsid w:val="00127E7B"/>
    <w:rsid w:val="00132D19"/>
    <w:rsid w:val="00134995"/>
    <w:rsid w:val="00135C11"/>
    <w:rsid w:val="00140AEB"/>
    <w:rsid w:val="00141FDE"/>
    <w:rsid w:val="00144B21"/>
    <w:rsid w:val="00146172"/>
    <w:rsid w:val="001461C5"/>
    <w:rsid w:val="001464E8"/>
    <w:rsid w:val="00146B19"/>
    <w:rsid w:val="00152B4A"/>
    <w:rsid w:val="00161395"/>
    <w:rsid w:val="00161AC5"/>
    <w:rsid w:val="00163E40"/>
    <w:rsid w:val="00164C2B"/>
    <w:rsid w:val="00164E7A"/>
    <w:rsid w:val="0017208E"/>
    <w:rsid w:val="00172A27"/>
    <w:rsid w:val="00175794"/>
    <w:rsid w:val="00176A8F"/>
    <w:rsid w:val="0017730C"/>
    <w:rsid w:val="0018645D"/>
    <w:rsid w:val="00186A81"/>
    <w:rsid w:val="001905C6"/>
    <w:rsid w:val="00194BDB"/>
    <w:rsid w:val="001968A0"/>
    <w:rsid w:val="001A34C4"/>
    <w:rsid w:val="001A6DFD"/>
    <w:rsid w:val="001A75F6"/>
    <w:rsid w:val="001B0FDB"/>
    <w:rsid w:val="001B1B9B"/>
    <w:rsid w:val="001B1C81"/>
    <w:rsid w:val="001B1F4C"/>
    <w:rsid w:val="001B384C"/>
    <w:rsid w:val="001B7B42"/>
    <w:rsid w:val="001C6368"/>
    <w:rsid w:val="001E4693"/>
    <w:rsid w:val="001E78DF"/>
    <w:rsid w:val="001F071D"/>
    <w:rsid w:val="001F0B9C"/>
    <w:rsid w:val="001F213C"/>
    <w:rsid w:val="001F2C9A"/>
    <w:rsid w:val="001F3CC0"/>
    <w:rsid w:val="001F754A"/>
    <w:rsid w:val="00204470"/>
    <w:rsid w:val="0021083A"/>
    <w:rsid w:val="00216C98"/>
    <w:rsid w:val="0021715E"/>
    <w:rsid w:val="00223911"/>
    <w:rsid w:val="0022474D"/>
    <w:rsid w:val="00225B1D"/>
    <w:rsid w:val="00226724"/>
    <w:rsid w:val="00226DD1"/>
    <w:rsid w:val="00240B7E"/>
    <w:rsid w:val="002426CC"/>
    <w:rsid w:val="00244FE9"/>
    <w:rsid w:val="002456C4"/>
    <w:rsid w:val="0024679F"/>
    <w:rsid w:val="0024786E"/>
    <w:rsid w:val="00247F71"/>
    <w:rsid w:val="00261776"/>
    <w:rsid w:val="00262DDB"/>
    <w:rsid w:val="0027150E"/>
    <w:rsid w:val="00271BEF"/>
    <w:rsid w:val="002720B7"/>
    <w:rsid w:val="002721C7"/>
    <w:rsid w:val="00273406"/>
    <w:rsid w:val="00273C5D"/>
    <w:rsid w:val="00280723"/>
    <w:rsid w:val="002812EB"/>
    <w:rsid w:val="00283D68"/>
    <w:rsid w:val="00285C12"/>
    <w:rsid w:val="002931E1"/>
    <w:rsid w:val="00293284"/>
    <w:rsid w:val="00296FCA"/>
    <w:rsid w:val="002B62BD"/>
    <w:rsid w:val="002B746B"/>
    <w:rsid w:val="002B7E8E"/>
    <w:rsid w:val="002C126F"/>
    <w:rsid w:val="002C4162"/>
    <w:rsid w:val="002C53B4"/>
    <w:rsid w:val="002D25F9"/>
    <w:rsid w:val="002D3E47"/>
    <w:rsid w:val="002D54C0"/>
    <w:rsid w:val="002D5E0C"/>
    <w:rsid w:val="002E0928"/>
    <w:rsid w:val="002E1519"/>
    <w:rsid w:val="002E31D8"/>
    <w:rsid w:val="002E46A6"/>
    <w:rsid w:val="002E686B"/>
    <w:rsid w:val="002E7016"/>
    <w:rsid w:val="002F2B1A"/>
    <w:rsid w:val="00300C34"/>
    <w:rsid w:val="00305003"/>
    <w:rsid w:val="00306C84"/>
    <w:rsid w:val="0031536D"/>
    <w:rsid w:val="0031576B"/>
    <w:rsid w:val="003171B6"/>
    <w:rsid w:val="00323A1A"/>
    <w:rsid w:val="00323E80"/>
    <w:rsid w:val="003331C5"/>
    <w:rsid w:val="00334AE6"/>
    <w:rsid w:val="00335A19"/>
    <w:rsid w:val="00340E8A"/>
    <w:rsid w:val="003523FA"/>
    <w:rsid w:val="00356039"/>
    <w:rsid w:val="00360E24"/>
    <w:rsid w:val="00360F70"/>
    <w:rsid w:val="003617CA"/>
    <w:rsid w:val="0036415C"/>
    <w:rsid w:val="00367B04"/>
    <w:rsid w:val="00367F0D"/>
    <w:rsid w:val="0037423C"/>
    <w:rsid w:val="0037495E"/>
    <w:rsid w:val="00386381"/>
    <w:rsid w:val="003919C8"/>
    <w:rsid w:val="0039568D"/>
    <w:rsid w:val="003A0C4C"/>
    <w:rsid w:val="003B240D"/>
    <w:rsid w:val="003B294C"/>
    <w:rsid w:val="003B2FBB"/>
    <w:rsid w:val="003B4D26"/>
    <w:rsid w:val="003B558A"/>
    <w:rsid w:val="003B5962"/>
    <w:rsid w:val="003C2BD8"/>
    <w:rsid w:val="003C59C4"/>
    <w:rsid w:val="003D5B7A"/>
    <w:rsid w:val="003E5038"/>
    <w:rsid w:val="003E6435"/>
    <w:rsid w:val="003E7A38"/>
    <w:rsid w:val="00402C9F"/>
    <w:rsid w:val="00410B25"/>
    <w:rsid w:val="00415F4C"/>
    <w:rsid w:val="00416ECC"/>
    <w:rsid w:val="00417A65"/>
    <w:rsid w:val="00417E34"/>
    <w:rsid w:val="004240AB"/>
    <w:rsid w:val="00431AEC"/>
    <w:rsid w:val="00434959"/>
    <w:rsid w:val="00443426"/>
    <w:rsid w:val="004442F5"/>
    <w:rsid w:val="0044485D"/>
    <w:rsid w:val="00444ABB"/>
    <w:rsid w:val="0044719E"/>
    <w:rsid w:val="004544EA"/>
    <w:rsid w:val="004553C9"/>
    <w:rsid w:val="00455504"/>
    <w:rsid w:val="004640B8"/>
    <w:rsid w:val="0046648B"/>
    <w:rsid w:val="00471B8E"/>
    <w:rsid w:val="00471F90"/>
    <w:rsid w:val="00472602"/>
    <w:rsid w:val="0047284C"/>
    <w:rsid w:val="00472EE7"/>
    <w:rsid w:val="00481131"/>
    <w:rsid w:val="0048236B"/>
    <w:rsid w:val="0048350B"/>
    <w:rsid w:val="004A47BB"/>
    <w:rsid w:val="004A6686"/>
    <w:rsid w:val="004B1574"/>
    <w:rsid w:val="004B3E01"/>
    <w:rsid w:val="004B4061"/>
    <w:rsid w:val="004B6A83"/>
    <w:rsid w:val="004C1C96"/>
    <w:rsid w:val="004C2907"/>
    <w:rsid w:val="004C5146"/>
    <w:rsid w:val="004C5D79"/>
    <w:rsid w:val="004C6AAD"/>
    <w:rsid w:val="004D1D3C"/>
    <w:rsid w:val="004D3BF0"/>
    <w:rsid w:val="004D72DD"/>
    <w:rsid w:val="004D75BB"/>
    <w:rsid w:val="004D78DC"/>
    <w:rsid w:val="004E7BC3"/>
    <w:rsid w:val="004F3E54"/>
    <w:rsid w:val="004F46BE"/>
    <w:rsid w:val="004F55A8"/>
    <w:rsid w:val="004F6182"/>
    <w:rsid w:val="004F68A1"/>
    <w:rsid w:val="005069AF"/>
    <w:rsid w:val="00514C66"/>
    <w:rsid w:val="0052203E"/>
    <w:rsid w:val="00526833"/>
    <w:rsid w:val="00527A80"/>
    <w:rsid w:val="005308A9"/>
    <w:rsid w:val="0053283B"/>
    <w:rsid w:val="005328B5"/>
    <w:rsid w:val="00540B15"/>
    <w:rsid w:val="005448A3"/>
    <w:rsid w:val="005455D3"/>
    <w:rsid w:val="00552BA3"/>
    <w:rsid w:val="00554814"/>
    <w:rsid w:val="00557C0A"/>
    <w:rsid w:val="005603A6"/>
    <w:rsid w:val="00572CC2"/>
    <w:rsid w:val="00573AF4"/>
    <w:rsid w:val="00576072"/>
    <w:rsid w:val="00576DF6"/>
    <w:rsid w:val="00590E76"/>
    <w:rsid w:val="0059379B"/>
    <w:rsid w:val="005944C2"/>
    <w:rsid w:val="00594FAA"/>
    <w:rsid w:val="0059522C"/>
    <w:rsid w:val="005A2C66"/>
    <w:rsid w:val="005A4E64"/>
    <w:rsid w:val="005B10BF"/>
    <w:rsid w:val="005B3956"/>
    <w:rsid w:val="005B502C"/>
    <w:rsid w:val="005B7423"/>
    <w:rsid w:val="005C0059"/>
    <w:rsid w:val="005D074C"/>
    <w:rsid w:val="005D6448"/>
    <w:rsid w:val="005D715A"/>
    <w:rsid w:val="005D7DC9"/>
    <w:rsid w:val="005E363F"/>
    <w:rsid w:val="005E7456"/>
    <w:rsid w:val="005F7A14"/>
    <w:rsid w:val="00610534"/>
    <w:rsid w:val="00612F15"/>
    <w:rsid w:val="00614A48"/>
    <w:rsid w:val="006179D3"/>
    <w:rsid w:val="0062323B"/>
    <w:rsid w:val="00623F70"/>
    <w:rsid w:val="00624B93"/>
    <w:rsid w:val="00625F8B"/>
    <w:rsid w:val="00636836"/>
    <w:rsid w:val="006401F7"/>
    <w:rsid w:val="006429DC"/>
    <w:rsid w:val="00655306"/>
    <w:rsid w:val="006566D8"/>
    <w:rsid w:val="00663538"/>
    <w:rsid w:val="00667FB7"/>
    <w:rsid w:val="00674958"/>
    <w:rsid w:val="00681281"/>
    <w:rsid w:val="00692869"/>
    <w:rsid w:val="00694CC9"/>
    <w:rsid w:val="006952A9"/>
    <w:rsid w:val="006A1901"/>
    <w:rsid w:val="006A35FF"/>
    <w:rsid w:val="006B6B98"/>
    <w:rsid w:val="006C2213"/>
    <w:rsid w:val="006C2C4A"/>
    <w:rsid w:val="006C4753"/>
    <w:rsid w:val="006C5585"/>
    <w:rsid w:val="006C5C47"/>
    <w:rsid w:val="006D0211"/>
    <w:rsid w:val="006D72FB"/>
    <w:rsid w:val="006E18D5"/>
    <w:rsid w:val="006F3DA1"/>
    <w:rsid w:val="006F4A35"/>
    <w:rsid w:val="006F53F6"/>
    <w:rsid w:val="00702F49"/>
    <w:rsid w:val="007149D3"/>
    <w:rsid w:val="00714CE0"/>
    <w:rsid w:val="00717130"/>
    <w:rsid w:val="00724224"/>
    <w:rsid w:val="00726337"/>
    <w:rsid w:val="0072711E"/>
    <w:rsid w:val="00732366"/>
    <w:rsid w:val="007433D8"/>
    <w:rsid w:val="00745417"/>
    <w:rsid w:val="00746E52"/>
    <w:rsid w:val="00751CA2"/>
    <w:rsid w:val="00752448"/>
    <w:rsid w:val="0075510C"/>
    <w:rsid w:val="0075577F"/>
    <w:rsid w:val="00755D7C"/>
    <w:rsid w:val="00760BD8"/>
    <w:rsid w:val="00763D74"/>
    <w:rsid w:val="0076589B"/>
    <w:rsid w:val="00777827"/>
    <w:rsid w:val="007831E0"/>
    <w:rsid w:val="00791BC3"/>
    <w:rsid w:val="00792873"/>
    <w:rsid w:val="00796FFB"/>
    <w:rsid w:val="007A4A66"/>
    <w:rsid w:val="007A6339"/>
    <w:rsid w:val="007A7AEC"/>
    <w:rsid w:val="007B1C6B"/>
    <w:rsid w:val="007B33B0"/>
    <w:rsid w:val="007B3AFE"/>
    <w:rsid w:val="007B5339"/>
    <w:rsid w:val="007C03F3"/>
    <w:rsid w:val="007C1F59"/>
    <w:rsid w:val="007C230D"/>
    <w:rsid w:val="007D0BE5"/>
    <w:rsid w:val="007D409D"/>
    <w:rsid w:val="007D43D9"/>
    <w:rsid w:val="007D44A6"/>
    <w:rsid w:val="007E0C50"/>
    <w:rsid w:val="007E2919"/>
    <w:rsid w:val="007E7C4D"/>
    <w:rsid w:val="007F3B51"/>
    <w:rsid w:val="007F3DE5"/>
    <w:rsid w:val="007F497D"/>
    <w:rsid w:val="007F59F0"/>
    <w:rsid w:val="007F6DA8"/>
    <w:rsid w:val="007F6E23"/>
    <w:rsid w:val="007F77FA"/>
    <w:rsid w:val="00801587"/>
    <w:rsid w:val="00801A16"/>
    <w:rsid w:val="008034F2"/>
    <w:rsid w:val="008039E9"/>
    <w:rsid w:val="0081146B"/>
    <w:rsid w:val="00822EC8"/>
    <w:rsid w:val="008310FD"/>
    <w:rsid w:val="00837CC1"/>
    <w:rsid w:val="00841F47"/>
    <w:rsid w:val="00843AEF"/>
    <w:rsid w:val="00844B0D"/>
    <w:rsid w:val="00847237"/>
    <w:rsid w:val="00847F03"/>
    <w:rsid w:val="008559A9"/>
    <w:rsid w:val="0086335E"/>
    <w:rsid w:val="008666C6"/>
    <w:rsid w:val="00884DFC"/>
    <w:rsid w:val="008912EB"/>
    <w:rsid w:val="008A1809"/>
    <w:rsid w:val="008A1899"/>
    <w:rsid w:val="008A1D91"/>
    <w:rsid w:val="008A21E5"/>
    <w:rsid w:val="008A69C8"/>
    <w:rsid w:val="008B015A"/>
    <w:rsid w:val="008B4736"/>
    <w:rsid w:val="008C24C2"/>
    <w:rsid w:val="008C3A6B"/>
    <w:rsid w:val="008C5262"/>
    <w:rsid w:val="008D192D"/>
    <w:rsid w:val="008D487E"/>
    <w:rsid w:val="008D5A1B"/>
    <w:rsid w:val="008D69D5"/>
    <w:rsid w:val="008E281C"/>
    <w:rsid w:val="008E7950"/>
    <w:rsid w:val="00900658"/>
    <w:rsid w:val="00906AEA"/>
    <w:rsid w:val="00911160"/>
    <w:rsid w:val="00913222"/>
    <w:rsid w:val="00924144"/>
    <w:rsid w:val="009310D6"/>
    <w:rsid w:val="00932C3A"/>
    <w:rsid w:val="00936B7C"/>
    <w:rsid w:val="00940074"/>
    <w:rsid w:val="00941870"/>
    <w:rsid w:val="009429D9"/>
    <w:rsid w:val="0094491F"/>
    <w:rsid w:val="009520A8"/>
    <w:rsid w:val="00952C88"/>
    <w:rsid w:val="0095500E"/>
    <w:rsid w:val="00956DF9"/>
    <w:rsid w:val="0096281D"/>
    <w:rsid w:val="00963583"/>
    <w:rsid w:val="0096578D"/>
    <w:rsid w:val="00967265"/>
    <w:rsid w:val="00970255"/>
    <w:rsid w:val="0097166F"/>
    <w:rsid w:val="00980A00"/>
    <w:rsid w:val="00987DCE"/>
    <w:rsid w:val="00991F43"/>
    <w:rsid w:val="0099705F"/>
    <w:rsid w:val="00997E57"/>
    <w:rsid w:val="009A246C"/>
    <w:rsid w:val="009A5FB1"/>
    <w:rsid w:val="009B770E"/>
    <w:rsid w:val="009C0ADA"/>
    <w:rsid w:val="009C11B7"/>
    <w:rsid w:val="009C1E58"/>
    <w:rsid w:val="009C223A"/>
    <w:rsid w:val="009C2E20"/>
    <w:rsid w:val="009C7F73"/>
    <w:rsid w:val="009D0E0C"/>
    <w:rsid w:val="009D2707"/>
    <w:rsid w:val="009E04AC"/>
    <w:rsid w:val="009E06AA"/>
    <w:rsid w:val="009E15AA"/>
    <w:rsid w:val="009E448F"/>
    <w:rsid w:val="009E60A5"/>
    <w:rsid w:val="009E6803"/>
    <w:rsid w:val="009E68D7"/>
    <w:rsid w:val="009F0DB0"/>
    <w:rsid w:val="009F29F1"/>
    <w:rsid w:val="00A03652"/>
    <w:rsid w:val="00A12219"/>
    <w:rsid w:val="00A12348"/>
    <w:rsid w:val="00A13798"/>
    <w:rsid w:val="00A202D8"/>
    <w:rsid w:val="00A2339F"/>
    <w:rsid w:val="00A323D1"/>
    <w:rsid w:val="00A36DE5"/>
    <w:rsid w:val="00A40D1A"/>
    <w:rsid w:val="00A453CD"/>
    <w:rsid w:val="00A458CE"/>
    <w:rsid w:val="00A50AFD"/>
    <w:rsid w:val="00A50B82"/>
    <w:rsid w:val="00A62B5F"/>
    <w:rsid w:val="00A64F05"/>
    <w:rsid w:val="00A67EEF"/>
    <w:rsid w:val="00A724C9"/>
    <w:rsid w:val="00A725A3"/>
    <w:rsid w:val="00A739C0"/>
    <w:rsid w:val="00A762A2"/>
    <w:rsid w:val="00A76610"/>
    <w:rsid w:val="00A7787D"/>
    <w:rsid w:val="00A81FA5"/>
    <w:rsid w:val="00A83428"/>
    <w:rsid w:val="00A8529F"/>
    <w:rsid w:val="00A856CF"/>
    <w:rsid w:val="00A9223F"/>
    <w:rsid w:val="00A94A07"/>
    <w:rsid w:val="00A960F5"/>
    <w:rsid w:val="00AC20AC"/>
    <w:rsid w:val="00AD1C4A"/>
    <w:rsid w:val="00AD2D45"/>
    <w:rsid w:val="00AD30BC"/>
    <w:rsid w:val="00AD3F3E"/>
    <w:rsid w:val="00AD5F3A"/>
    <w:rsid w:val="00AE030A"/>
    <w:rsid w:val="00AE480E"/>
    <w:rsid w:val="00AE4C20"/>
    <w:rsid w:val="00AE51E1"/>
    <w:rsid w:val="00AF3013"/>
    <w:rsid w:val="00B03406"/>
    <w:rsid w:val="00B14493"/>
    <w:rsid w:val="00B20E23"/>
    <w:rsid w:val="00B21677"/>
    <w:rsid w:val="00B40154"/>
    <w:rsid w:val="00B4248B"/>
    <w:rsid w:val="00B44FD1"/>
    <w:rsid w:val="00B479BC"/>
    <w:rsid w:val="00B50130"/>
    <w:rsid w:val="00B52BB1"/>
    <w:rsid w:val="00B52E93"/>
    <w:rsid w:val="00B540D2"/>
    <w:rsid w:val="00B55157"/>
    <w:rsid w:val="00B60C01"/>
    <w:rsid w:val="00B61588"/>
    <w:rsid w:val="00B71EDC"/>
    <w:rsid w:val="00B72482"/>
    <w:rsid w:val="00B72733"/>
    <w:rsid w:val="00B73C69"/>
    <w:rsid w:val="00B74E98"/>
    <w:rsid w:val="00B81EE2"/>
    <w:rsid w:val="00B850ED"/>
    <w:rsid w:val="00B87337"/>
    <w:rsid w:val="00B87D47"/>
    <w:rsid w:val="00B94DC5"/>
    <w:rsid w:val="00B956C6"/>
    <w:rsid w:val="00BB351D"/>
    <w:rsid w:val="00BB3693"/>
    <w:rsid w:val="00BB514A"/>
    <w:rsid w:val="00BB6DE2"/>
    <w:rsid w:val="00BC0A12"/>
    <w:rsid w:val="00BD098E"/>
    <w:rsid w:val="00BD2829"/>
    <w:rsid w:val="00BD515C"/>
    <w:rsid w:val="00BD7EB7"/>
    <w:rsid w:val="00BE2684"/>
    <w:rsid w:val="00BE5303"/>
    <w:rsid w:val="00BE6B5A"/>
    <w:rsid w:val="00BE7108"/>
    <w:rsid w:val="00BF429B"/>
    <w:rsid w:val="00BF4E80"/>
    <w:rsid w:val="00BF655A"/>
    <w:rsid w:val="00BF7878"/>
    <w:rsid w:val="00C133CE"/>
    <w:rsid w:val="00C23015"/>
    <w:rsid w:val="00C25F98"/>
    <w:rsid w:val="00C30E8A"/>
    <w:rsid w:val="00C35C1D"/>
    <w:rsid w:val="00C3676C"/>
    <w:rsid w:val="00C450A1"/>
    <w:rsid w:val="00C45142"/>
    <w:rsid w:val="00C53A5F"/>
    <w:rsid w:val="00C54D16"/>
    <w:rsid w:val="00C61FFD"/>
    <w:rsid w:val="00C743F2"/>
    <w:rsid w:val="00C749C1"/>
    <w:rsid w:val="00C777EF"/>
    <w:rsid w:val="00C87ACA"/>
    <w:rsid w:val="00C93C4D"/>
    <w:rsid w:val="00C96860"/>
    <w:rsid w:val="00C97857"/>
    <w:rsid w:val="00CA04B5"/>
    <w:rsid w:val="00CA43F1"/>
    <w:rsid w:val="00CB1222"/>
    <w:rsid w:val="00CB1EB4"/>
    <w:rsid w:val="00CC4560"/>
    <w:rsid w:val="00CC7720"/>
    <w:rsid w:val="00CD35C1"/>
    <w:rsid w:val="00CD6E27"/>
    <w:rsid w:val="00CE3D98"/>
    <w:rsid w:val="00CE5F76"/>
    <w:rsid w:val="00CF0921"/>
    <w:rsid w:val="00CF7821"/>
    <w:rsid w:val="00D03E2E"/>
    <w:rsid w:val="00D04329"/>
    <w:rsid w:val="00D07DBC"/>
    <w:rsid w:val="00D10175"/>
    <w:rsid w:val="00D17F87"/>
    <w:rsid w:val="00D23F23"/>
    <w:rsid w:val="00D2545C"/>
    <w:rsid w:val="00D31CF9"/>
    <w:rsid w:val="00D35F93"/>
    <w:rsid w:val="00D42D24"/>
    <w:rsid w:val="00D44505"/>
    <w:rsid w:val="00D44EF0"/>
    <w:rsid w:val="00D51F42"/>
    <w:rsid w:val="00D528C8"/>
    <w:rsid w:val="00D56B2D"/>
    <w:rsid w:val="00D6030B"/>
    <w:rsid w:val="00D81DBE"/>
    <w:rsid w:val="00D84BF6"/>
    <w:rsid w:val="00D858D9"/>
    <w:rsid w:val="00D9145B"/>
    <w:rsid w:val="00DA4ECE"/>
    <w:rsid w:val="00DA591A"/>
    <w:rsid w:val="00DA6C00"/>
    <w:rsid w:val="00DA7E87"/>
    <w:rsid w:val="00DB0391"/>
    <w:rsid w:val="00DB36D5"/>
    <w:rsid w:val="00DB3DD9"/>
    <w:rsid w:val="00DB7C69"/>
    <w:rsid w:val="00DC17F6"/>
    <w:rsid w:val="00DC611C"/>
    <w:rsid w:val="00DD1ED4"/>
    <w:rsid w:val="00DD358A"/>
    <w:rsid w:val="00DD5B90"/>
    <w:rsid w:val="00DD6E44"/>
    <w:rsid w:val="00DE01BF"/>
    <w:rsid w:val="00DE2296"/>
    <w:rsid w:val="00DE311F"/>
    <w:rsid w:val="00DE6421"/>
    <w:rsid w:val="00DE6BD9"/>
    <w:rsid w:val="00DF113F"/>
    <w:rsid w:val="00E07358"/>
    <w:rsid w:val="00E10E4E"/>
    <w:rsid w:val="00E1106C"/>
    <w:rsid w:val="00E11893"/>
    <w:rsid w:val="00E13E1C"/>
    <w:rsid w:val="00E1503E"/>
    <w:rsid w:val="00E210FE"/>
    <w:rsid w:val="00E215B0"/>
    <w:rsid w:val="00E21BFE"/>
    <w:rsid w:val="00E21E2C"/>
    <w:rsid w:val="00E226CA"/>
    <w:rsid w:val="00E250C4"/>
    <w:rsid w:val="00E31E7A"/>
    <w:rsid w:val="00E32D74"/>
    <w:rsid w:val="00E3632C"/>
    <w:rsid w:val="00E37FDE"/>
    <w:rsid w:val="00E44F05"/>
    <w:rsid w:val="00E469DB"/>
    <w:rsid w:val="00E508F6"/>
    <w:rsid w:val="00E5446E"/>
    <w:rsid w:val="00E5632B"/>
    <w:rsid w:val="00E56498"/>
    <w:rsid w:val="00E61B17"/>
    <w:rsid w:val="00E6258F"/>
    <w:rsid w:val="00E62D5A"/>
    <w:rsid w:val="00E63807"/>
    <w:rsid w:val="00E673E8"/>
    <w:rsid w:val="00E67923"/>
    <w:rsid w:val="00E73690"/>
    <w:rsid w:val="00E74A02"/>
    <w:rsid w:val="00E74BC6"/>
    <w:rsid w:val="00E76E02"/>
    <w:rsid w:val="00E94401"/>
    <w:rsid w:val="00E94D8F"/>
    <w:rsid w:val="00E972AE"/>
    <w:rsid w:val="00EA3670"/>
    <w:rsid w:val="00EA7640"/>
    <w:rsid w:val="00EB0C90"/>
    <w:rsid w:val="00EB3725"/>
    <w:rsid w:val="00EB5F91"/>
    <w:rsid w:val="00EB7C70"/>
    <w:rsid w:val="00EC3447"/>
    <w:rsid w:val="00EC70F4"/>
    <w:rsid w:val="00EC78EE"/>
    <w:rsid w:val="00ED0B7A"/>
    <w:rsid w:val="00ED4073"/>
    <w:rsid w:val="00EE02F7"/>
    <w:rsid w:val="00EE0D22"/>
    <w:rsid w:val="00EE51BE"/>
    <w:rsid w:val="00EE5D03"/>
    <w:rsid w:val="00EF2F48"/>
    <w:rsid w:val="00EF34A1"/>
    <w:rsid w:val="00EF5F74"/>
    <w:rsid w:val="00EF7950"/>
    <w:rsid w:val="00F0184E"/>
    <w:rsid w:val="00F025B1"/>
    <w:rsid w:val="00F02A66"/>
    <w:rsid w:val="00F12467"/>
    <w:rsid w:val="00F14BB3"/>
    <w:rsid w:val="00F2799D"/>
    <w:rsid w:val="00F3403F"/>
    <w:rsid w:val="00F3563F"/>
    <w:rsid w:val="00F37F0C"/>
    <w:rsid w:val="00F431B9"/>
    <w:rsid w:val="00F43355"/>
    <w:rsid w:val="00F440A6"/>
    <w:rsid w:val="00F50CA9"/>
    <w:rsid w:val="00F57C4E"/>
    <w:rsid w:val="00F628AA"/>
    <w:rsid w:val="00F724F4"/>
    <w:rsid w:val="00F7329A"/>
    <w:rsid w:val="00F81D24"/>
    <w:rsid w:val="00F828B6"/>
    <w:rsid w:val="00F8439F"/>
    <w:rsid w:val="00F85D29"/>
    <w:rsid w:val="00F868B3"/>
    <w:rsid w:val="00F93416"/>
    <w:rsid w:val="00FA7DD3"/>
    <w:rsid w:val="00FB077E"/>
    <w:rsid w:val="00FB0E73"/>
    <w:rsid w:val="00FB1EAD"/>
    <w:rsid w:val="00FB5275"/>
    <w:rsid w:val="00FB5B94"/>
    <w:rsid w:val="00FC3D83"/>
    <w:rsid w:val="00FC72EA"/>
    <w:rsid w:val="00FD095B"/>
    <w:rsid w:val="00FD1DC8"/>
    <w:rsid w:val="00FD3ABE"/>
    <w:rsid w:val="00FD5AAB"/>
    <w:rsid w:val="00FD7D10"/>
    <w:rsid w:val="00FE26AF"/>
    <w:rsid w:val="00FE5E3D"/>
    <w:rsid w:val="00FF2859"/>
    <w:rsid w:val="00FF31CD"/>
    <w:rsid w:val="010B29AA"/>
    <w:rsid w:val="01275761"/>
    <w:rsid w:val="012B1219"/>
    <w:rsid w:val="01303AC5"/>
    <w:rsid w:val="013B23E6"/>
    <w:rsid w:val="014A7C57"/>
    <w:rsid w:val="01762C0F"/>
    <w:rsid w:val="018E1EA2"/>
    <w:rsid w:val="019127B6"/>
    <w:rsid w:val="019D47B9"/>
    <w:rsid w:val="01A27D0B"/>
    <w:rsid w:val="01AC5842"/>
    <w:rsid w:val="01E3668E"/>
    <w:rsid w:val="021A27AB"/>
    <w:rsid w:val="022D3CD0"/>
    <w:rsid w:val="022E6257"/>
    <w:rsid w:val="026305F6"/>
    <w:rsid w:val="02663C42"/>
    <w:rsid w:val="026F331C"/>
    <w:rsid w:val="027520D7"/>
    <w:rsid w:val="027C3466"/>
    <w:rsid w:val="028077D7"/>
    <w:rsid w:val="029F3AA7"/>
    <w:rsid w:val="02A50745"/>
    <w:rsid w:val="02C80459"/>
    <w:rsid w:val="02E32D28"/>
    <w:rsid w:val="030A7EAB"/>
    <w:rsid w:val="030B049D"/>
    <w:rsid w:val="030E471C"/>
    <w:rsid w:val="0318372E"/>
    <w:rsid w:val="031841A0"/>
    <w:rsid w:val="03265701"/>
    <w:rsid w:val="03373C6A"/>
    <w:rsid w:val="0374413D"/>
    <w:rsid w:val="03774F35"/>
    <w:rsid w:val="038500F8"/>
    <w:rsid w:val="039879E3"/>
    <w:rsid w:val="039B4242"/>
    <w:rsid w:val="03A321E3"/>
    <w:rsid w:val="03AE60A2"/>
    <w:rsid w:val="03B31109"/>
    <w:rsid w:val="03BD5AE4"/>
    <w:rsid w:val="03BE2B18"/>
    <w:rsid w:val="03C50E3C"/>
    <w:rsid w:val="03D03373"/>
    <w:rsid w:val="03E94696"/>
    <w:rsid w:val="03EF7C67"/>
    <w:rsid w:val="040C727D"/>
    <w:rsid w:val="042F4508"/>
    <w:rsid w:val="04620439"/>
    <w:rsid w:val="047C504B"/>
    <w:rsid w:val="04893C18"/>
    <w:rsid w:val="04914B02"/>
    <w:rsid w:val="04C74F7C"/>
    <w:rsid w:val="04CC1D57"/>
    <w:rsid w:val="04E411EF"/>
    <w:rsid w:val="04F05A45"/>
    <w:rsid w:val="050339CA"/>
    <w:rsid w:val="05065269"/>
    <w:rsid w:val="050E318E"/>
    <w:rsid w:val="05103638"/>
    <w:rsid w:val="05281683"/>
    <w:rsid w:val="05446D9B"/>
    <w:rsid w:val="05556557"/>
    <w:rsid w:val="05644F36"/>
    <w:rsid w:val="05787F1A"/>
    <w:rsid w:val="057A49E1"/>
    <w:rsid w:val="057C1D39"/>
    <w:rsid w:val="05C814D1"/>
    <w:rsid w:val="05F257ED"/>
    <w:rsid w:val="05FD56D0"/>
    <w:rsid w:val="0620235A"/>
    <w:rsid w:val="06387AF4"/>
    <w:rsid w:val="064268D3"/>
    <w:rsid w:val="06475B39"/>
    <w:rsid w:val="06587D46"/>
    <w:rsid w:val="06626B46"/>
    <w:rsid w:val="067704D7"/>
    <w:rsid w:val="067F52D3"/>
    <w:rsid w:val="06D80E87"/>
    <w:rsid w:val="07056BD9"/>
    <w:rsid w:val="07245E7A"/>
    <w:rsid w:val="07266E36"/>
    <w:rsid w:val="075F684B"/>
    <w:rsid w:val="07676055"/>
    <w:rsid w:val="07823A0B"/>
    <w:rsid w:val="078708B9"/>
    <w:rsid w:val="07A3112D"/>
    <w:rsid w:val="07E31891"/>
    <w:rsid w:val="07E71CB2"/>
    <w:rsid w:val="07EA36D8"/>
    <w:rsid w:val="07F078BC"/>
    <w:rsid w:val="08256F5E"/>
    <w:rsid w:val="08303A92"/>
    <w:rsid w:val="08332FBB"/>
    <w:rsid w:val="08546644"/>
    <w:rsid w:val="08AD130B"/>
    <w:rsid w:val="08AD6BD5"/>
    <w:rsid w:val="08CF2C57"/>
    <w:rsid w:val="08E77E2B"/>
    <w:rsid w:val="08FE433F"/>
    <w:rsid w:val="090931C4"/>
    <w:rsid w:val="090B5543"/>
    <w:rsid w:val="093F0D77"/>
    <w:rsid w:val="0946740A"/>
    <w:rsid w:val="095073FA"/>
    <w:rsid w:val="09812927"/>
    <w:rsid w:val="09904389"/>
    <w:rsid w:val="09954E0D"/>
    <w:rsid w:val="09B50DCB"/>
    <w:rsid w:val="09B53863"/>
    <w:rsid w:val="09C757FE"/>
    <w:rsid w:val="09D00339"/>
    <w:rsid w:val="09D21BBD"/>
    <w:rsid w:val="09D75426"/>
    <w:rsid w:val="09EE244D"/>
    <w:rsid w:val="0A3E3EAB"/>
    <w:rsid w:val="0A4725AB"/>
    <w:rsid w:val="0A4A5BF8"/>
    <w:rsid w:val="0AD211D1"/>
    <w:rsid w:val="0AE844ED"/>
    <w:rsid w:val="0AE93662"/>
    <w:rsid w:val="0B076EEF"/>
    <w:rsid w:val="0B2B298E"/>
    <w:rsid w:val="0B36617C"/>
    <w:rsid w:val="0B405729"/>
    <w:rsid w:val="0B696658"/>
    <w:rsid w:val="0B772A1C"/>
    <w:rsid w:val="0BAF70CA"/>
    <w:rsid w:val="0C1B2271"/>
    <w:rsid w:val="0C28576C"/>
    <w:rsid w:val="0C321039"/>
    <w:rsid w:val="0C4667E7"/>
    <w:rsid w:val="0C4A0131"/>
    <w:rsid w:val="0C5E00BA"/>
    <w:rsid w:val="0C6D4FE5"/>
    <w:rsid w:val="0C701305"/>
    <w:rsid w:val="0C874EE1"/>
    <w:rsid w:val="0CA00214"/>
    <w:rsid w:val="0D3E2F2B"/>
    <w:rsid w:val="0D555EA4"/>
    <w:rsid w:val="0E2A021A"/>
    <w:rsid w:val="0E6A142E"/>
    <w:rsid w:val="0E9919B5"/>
    <w:rsid w:val="0EA85C92"/>
    <w:rsid w:val="0ED31DEF"/>
    <w:rsid w:val="0EF47A70"/>
    <w:rsid w:val="0F135689"/>
    <w:rsid w:val="0F380715"/>
    <w:rsid w:val="0F4368E2"/>
    <w:rsid w:val="0F977B31"/>
    <w:rsid w:val="0FD64E9F"/>
    <w:rsid w:val="0FD85A54"/>
    <w:rsid w:val="0FEE4B88"/>
    <w:rsid w:val="0FEF456D"/>
    <w:rsid w:val="0FFD2F87"/>
    <w:rsid w:val="10081455"/>
    <w:rsid w:val="100D128D"/>
    <w:rsid w:val="101F3682"/>
    <w:rsid w:val="10234A2C"/>
    <w:rsid w:val="10510DC1"/>
    <w:rsid w:val="10617D8B"/>
    <w:rsid w:val="107D48AD"/>
    <w:rsid w:val="108005C5"/>
    <w:rsid w:val="109F7E19"/>
    <w:rsid w:val="10D40911"/>
    <w:rsid w:val="10D47789"/>
    <w:rsid w:val="10D60D02"/>
    <w:rsid w:val="1110299A"/>
    <w:rsid w:val="112D74BE"/>
    <w:rsid w:val="118057AC"/>
    <w:rsid w:val="118A4194"/>
    <w:rsid w:val="119A5F77"/>
    <w:rsid w:val="11B9536A"/>
    <w:rsid w:val="11C73FD2"/>
    <w:rsid w:val="11DE5594"/>
    <w:rsid w:val="11E626AA"/>
    <w:rsid w:val="122C3F45"/>
    <w:rsid w:val="1247170C"/>
    <w:rsid w:val="128B4DFC"/>
    <w:rsid w:val="12970D1A"/>
    <w:rsid w:val="12A84323"/>
    <w:rsid w:val="12C624DB"/>
    <w:rsid w:val="12CF313E"/>
    <w:rsid w:val="12D44BF8"/>
    <w:rsid w:val="12DF0704"/>
    <w:rsid w:val="12F05FDF"/>
    <w:rsid w:val="12F26E2C"/>
    <w:rsid w:val="1331507B"/>
    <w:rsid w:val="134228DB"/>
    <w:rsid w:val="136E2957"/>
    <w:rsid w:val="137361BF"/>
    <w:rsid w:val="137D6D32"/>
    <w:rsid w:val="137F4B64"/>
    <w:rsid w:val="139A199E"/>
    <w:rsid w:val="13B3480E"/>
    <w:rsid w:val="13B711D0"/>
    <w:rsid w:val="13BF5D24"/>
    <w:rsid w:val="141B6A6D"/>
    <w:rsid w:val="143B213D"/>
    <w:rsid w:val="143C2A55"/>
    <w:rsid w:val="14447B5C"/>
    <w:rsid w:val="144F7614"/>
    <w:rsid w:val="14553B17"/>
    <w:rsid w:val="14822C86"/>
    <w:rsid w:val="14832432"/>
    <w:rsid w:val="14DE7F7A"/>
    <w:rsid w:val="14EC47FC"/>
    <w:rsid w:val="14F658C6"/>
    <w:rsid w:val="14F92001"/>
    <w:rsid w:val="15243815"/>
    <w:rsid w:val="153100E0"/>
    <w:rsid w:val="153F4085"/>
    <w:rsid w:val="15604A58"/>
    <w:rsid w:val="15733CEE"/>
    <w:rsid w:val="1591401A"/>
    <w:rsid w:val="159D39C7"/>
    <w:rsid w:val="15A3750D"/>
    <w:rsid w:val="15D373E9"/>
    <w:rsid w:val="15F3195A"/>
    <w:rsid w:val="16247C45"/>
    <w:rsid w:val="164F404C"/>
    <w:rsid w:val="164F4AE9"/>
    <w:rsid w:val="16816E45"/>
    <w:rsid w:val="168611E2"/>
    <w:rsid w:val="16893F4C"/>
    <w:rsid w:val="16951897"/>
    <w:rsid w:val="16D43419"/>
    <w:rsid w:val="16D5710E"/>
    <w:rsid w:val="16DB7A1C"/>
    <w:rsid w:val="16DE62B9"/>
    <w:rsid w:val="16EF32AE"/>
    <w:rsid w:val="16FC0AD4"/>
    <w:rsid w:val="170117D4"/>
    <w:rsid w:val="170272BB"/>
    <w:rsid w:val="170F26A3"/>
    <w:rsid w:val="171E4694"/>
    <w:rsid w:val="173E0892"/>
    <w:rsid w:val="1743234C"/>
    <w:rsid w:val="17435EA8"/>
    <w:rsid w:val="174F0F7F"/>
    <w:rsid w:val="17521041"/>
    <w:rsid w:val="17550823"/>
    <w:rsid w:val="176F3BD1"/>
    <w:rsid w:val="17800EAB"/>
    <w:rsid w:val="178A6818"/>
    <w:rsid w:val="17984446"/>
    <w:rsid w:val="17B678A0"/>
    <w:rsid w:val="17B77E97"/>
    <w:rsid w:val="17D567AE"/>
    <w:rsid w:val="182A380B"/>
    <w:rsid w:val="18303E4E"/>
    <w:rsid w:val="183A5798"/>
    <w:rsid w:val="183B3024"/>
    <w:rsid w:val="184B770B"/>
    <w:rsid w:val="184C3D9B"/>
    <w:rsid w:val="187711B9"/>
    <w:rsid w:val="188048F0"/>
    <w:rsid w:val="18884481"/>
    <w:rsid w:val="188F6EFF"/>
    <w:rsid w:val="18A961DF"/>
    <w:rsid w:val="18B947B7"/>
    <w:rsid w:val="18CC0A2E"/>
    <w:rsid w:val="18E66996"/>
    <w:rsid w:val="190B0DDA"/>
    <w:rsid w:val="193B33BD"/>
    <w:rsid w:val="19451B7E"/>
    <w:rsid w:val="194523AC"/>
    <w:rsid w:val="1982059A"/>
    <w:rsid w:val="19D30A81"/>
    <w:rsid w:val="19D4161B"/>
    <w:rsid w:val="1A032CBF"/>
    <w:rsid w:val="1A1520AE"/>
    <w:rsid w:val="1A562397"/>
    <w:rsid w:val="1A69031C"/>
    <w:rsid w:val="1A71322F"/>
    <w:rsid w:val="1A7647E7"/>
    <w:rsid w:val="1A7D432C"/>
    <w:rsid w:val="1A89451A"/>
    <w:rsid w:val="1A923013"/>
    <w:rsid w:val="1AA93DAA"/>
    <w:rsid w:val="1AAD6307"/>
    <w:rsid w:val="1AC11F06"/>
    <w:rsid w:val="1AC87762"/>
    <w:rsid w:val="1ADC6D40"/>
    <w:rsid w:val="1AE37446"/>
    <w:rsid w:val="1B2415D3"/>
    <w:rsid w:val="1B286622"/>
    <w:rsid w:val="1B3D52AC"/>
    <w:rsid w:val="1B81707A"/>
    <w:rsid w:val="1B9B4505"/>
    <w:rsid w:val="1BAB32E5"/>
    <w:rsid w:val="1BB43819"/>
    <w:rsid w:val="1BC434B3"/>
    <w:rsid w:val="1BD96DDB"/>
    <w:rsid w:val="1BDD000E"/>
    <w:rsid w:val="1BE428CB"/>
    <w:rsid w:val="1BE834C2"/>
    <w:rsid w:val="1BF6798D"/>
    <w:rsid w:val="1C1C2D2B"/>
    <w:rsid w:val="1C485D0F"/>
    <w:rsid w:val="1C567043"/>
    <w:rsid w:val="1C5A6AF0"/>
    <w:rsid w:val="1C8036FB"/>
    <w:rsid w:val="1CB312D8"/>
    <w:rsid w:val="1CBF24D2"/>
    <w:rsid w:val="1CC669C7"/>
    <w:rsid w:val="1D096CDE"/>
    <w:rsid w:val="1D135ACD"/>
    <w:rsid w:val="1D197F5B"/>
    <w:rsid w:val="1D2642A2"/>
    <w:rsid w:val="1D3D7EC4"/>
    <w:rsid w:val="1D3F5364"/>
    <w:rsid w:val="1D4666F2"/>
    <w:rsid w:val="1D4B162F"/>
    <w:rsid w:val="1D7414B2"/>
    <w:rsid w:val="1D7D3E0E"/>
    <w:rsid w:val="1D854DA5"/>
    <w:rsid w:val="1D904349"/>
    <w:rsid w:val="1D9E3123"/>
    <w:rsid w:val="1DCC4875"/>
    <w:rsid w:val="1DCF66E8"/>
    <w:rsid w:val="1DD106B2"/>
    <w:rsid w:val="1DEA0D45"/>
    <w:rsid w:val="1DF63C75"/>
    <w:rsid w:val="1E440E37"/>
    <w:rsid w:val="1E452429"/>
    <w:rsid w:val="1E5C3AED"/>
    <w:rsid w:val="1E7C7CD7"/>
    <w:rsid w:val="1E7D213C"/>
    <w:rsid w:val="1E83436F"/>
    <w:rsid w:val="1E8A260F"/>
    <w:rsid w:val="1E935967"/>
    <w:rsid w:val="1EA969D7"/>
    <w:rsid w:val="1EB8717C"/>
    <w:rsid w:val="1EED1C96"/>
    <w:rsid w:val="1EF66935"/>
    <w:rsid w:val="1EFA5570"/>
    <w:rsid w:val="1F077E84"/>
    <w:rsid w:val="1F2F3AFD"/>
    <w:rsid w:val="1F3215D5"/>
    <w:rsid w:val="1F39529A"/>
    <w:rsid w:val="1F3A26D5"/>
    <w:rsid w:val="1F4E5AB6"/>
    <w:rsid w:val="1F6130C4"/>
    <w:rsid w:val="1F7327F3"/>
    <w:rsid w:val="1F7E2F2C"/>
    <w:rsid w:val="1F88372A"/>
    <w:rsid w:val="1FB82961"/>
    <w:rsid w:val="1FC54AD0"/>
    <w:rsid w:val="1FCD4EA9"/>
    <w:rsid w:val="1FD32DA6"/>
    <w:rsid w:val="1FF22E64"/>
    <w:rsid w:val="20115AFA"/>
    <w:rsid w:val="201C7665"/>
    <w:rsid w:val="2031368A"/>
    <w:rsid w:val="20580C17"/>
    <w:rsid w:val="20910E0F"/>
    <w:rsid w:val="20A2041A"/>
    <w:rsid w:val="20A34ED2"/>
    <w:rsid w:val="20AF17DC"/>
    <w:rsid w:val="20E24984"/>
    <w:rsid w:val="21132D8F"/>
    <w:rsid w:val="212174F9"/>
    <w:rsid w:val="212E1977"/>
    <w:rsid w:val="21627873"/>
    <w:rsid w:val="216361B0"/>
    <w:rsid w:val="216910EC"/>
    <w:rsid w:val="217D46AD"/>
    <w:rsid w:val="21837F15"/>
    <w:rsid w:val="218E745E"/>
    <w:rsid w:val="21974298"/>
    <w:rsid w:val="21AD3AA2"/>
    <w:rsid w:val="21B65500"/>
    <w:rsid w:val="21B751FF"/>
    <w:rsid w:val="21BA155E"/>
    <w:rsid w:val="21BE0E1A"/>
    <w:rsid w:val="21F570AD"/>
    <w:rsid w:val="21FE134A"/>
    <w:rsid w:val="22123C19"/>
    <w:rsid w:val="223E208E"/>
    <w:rsid w:val="2272763A"/>
    <w:rsid w:val="2277565C"/>
    <w:rsid w:val="227B3D63"/>
    <w:rsid w:val="228609BA"/>
    <w:rsid w:val="22883877"/>
    <w:rsid w:val="229C1D23"/>
    <w:rsid w:val="22B20386"/>
    <w:rsid w:val="22B365D8"/>
    <w:rsid w:val="22BC78B0"/>
    <w:rsid w:val="23011885"/>
    <w:rsid w:val="23284CD5"/>
    <w:rsid w:val="23300BF7"/>
    <w:rsid w:val="23757D31"/>
    <w:rsid w:val="238818C3"/>
    <w:rsid w:val="23A13E17"/>
    <w:rsid w:val="23D14CF6"/>
    <w:rsid w:val="23D54CD4"/>
    <w:rsid w:val="23D73256"/>
    <w:rsid w:val="23DA5DE6"/>
    <w:rsid w:val="2423778D"/>
    <w:rsid w:val="242C0D42"/>
    <w:rsid w:val="24340A4D"/>
    <w:rsid w:val="247043C0"/>
    <w:rsid w:val="2482601E"/>
    <w:rsid w:val="24857B00"/>
    <w:rsid w:val="248D49C9"/>
    <w:rsid w:val="24D83FB5"/>
    <w:rsid w:val="251213F3"/>
    <w:rsid w:val="253B31D2"/>
    <w:rsid w:val="255821DB"/>
    <w:rsid w:val="255B6AB3"/>
    <w:rsid w:val="256B319A"/>
    <w:rsid w:val="257C7551"/>
    <w:rsid w:val="2598673B"/>
    <w:rsid w:val="25A003EB"/>
    <w:rsid w:val="25D23159"/>
    <w:rsid w:val="25E35426"/>
    <w:rsid w:val="25ED3FA3"/>
    <w:rsid w:val="25F018F1"/>
    <w:rsid w:val="25FF4821"/>
    <w:rsid w:val="26307F40"/>
    <w:rsid w:val="2681079B"/>
    <w:rsid w:val="26A240AC"/>
    <w:rsid w:val="26D5207E"/>
    <w:rsid w:val="26E96021"/>
    <w:rsid w:val="27000ED6"/>
    <w:rsid w:val="2718689D"/>
    <w:rsid w:val="27201D62"/>
    <w:rsid w:val="2725254B"/>
    <w:rsid w:val="27421CD9"/>
    <w:rsid w:val="274A6102"/>
    <w:rsid w:val="27806CDB"/>
    <w:rsid w:val="279664C8"/>
    <w:rsid w:val="27B73BDA"/>
    <w:rsid w:val="27CC248E"/>
    <w:rsid w:val="27D33279"/>
    <w:rsid w:val="28114D91"/>
    <w:rsid w:val="281E515D"/>
    <w:rsid w:val="282A2EFA"/>
    <w:rsid w:val="282D6EFC"/>
    <w:rsid w:val="284101E2"/>
    <w:rsid w:val="284F4DCF"/>
    <w:rsid w:val="285A1030"/>
    <w:rsid w:val="28681C13"/>
    <w:rsid w:val="2870270A"/>
    <w:rsid w:val="2875217A"/>
    <w:rsid w:val="287D2C0C"/>
    <w:rsid w:val="28893937"/>
    <w:rsid w:val="28A013AD"/>
    <w:rsid w:val="28A82660"/>
    <w:rsid w:val="28B80BC5"/>
    <w:rsid w:val="28D11EDB"/>
    <w:rsid w:val="28D76D98"/>
    <w:rsid w:val="28EA6ACC"/>
    <w:rsid w:val="29063EAA"/>
    <w:rsid w:val="29094780"/>
    <w:rsid w:val="2919115F"/>
    <w:rsid w:val="29227034"/>
    <w:rsid w:val="292B54E3"/>
    <w:rsid w:val="292C0E92"/>
    <w:rsid w:val="294F692F"/>
    <w:rsid w:val="29567CBD"/>
    <w:rsid w:val="297F55F6"/>
    <w:rsid w:val="2987431B"/>
    <w:rsid w:val="29930F11"/>
    <w:rsid w:val="29BD20C6"/>
    <w:rsid w:val="29C55868"/>
    <w:rsid w:val="29E31034"/>
    <w:rsid w:val="29EB38D5"/>
    <w:rsid w:val="29F5542C"/>
    <w:rsid w:val="2A154580"/>
    <w:rsid w:val="2A1D07DB"/>
    <w:rsid w:val="2A554B8C"/>
    <w:rsid w:val="2A570191"/>
    <w:rsid w:val="2A64640A"/>
    <w:rsid w:val="2A830F86"/>
    <w:rsid w:val="2A950AF4"/>
    <w:rsid w:val="2A9A1E2C"/>
    <w:rsid w:val="2AA66A22"/>
    <w:rsid w:val="2AB6426C"/>
    <w:rsid w:val="2ABF1892"/>
    <w:rsid w:val="2AC12217"/>
    <w:rsid w:val="2AD92954"/>
    <w:rsid w:val="2AE5579D"/>
    <w:rsid w:val="2B0674C1"/>
    <w:rsid w:val="2B200583"/>
    <w:rsid w:val="2B3D2E5A"/>
    <w:rsid w:val="2B5217A2"/>
    <w:rsid w:val="2B797C93"/>
    <w:rsid w:val="2B7A1F1F"/>
    <w:rsid w:val="2B9A264F"/>
    <w:rsid w:val="2BA405D0"/>
    <w:rsid w:val="2BCB545A"/>
    <w:rsid w:val="2BCB7E65"/>
    <w:rsid w:val="2BD744D2"/>
    <w:rsid w:val="2BDF21EC"/>
    <w:rsid w:val="2BE27F2E"/>
    <w:rsid w:val="2C1856FE"/>
    <w:rsid w:val="2C1F7EDC"/>
    <w:rsid w:val="2C324A12"/>
    <w:rsid w:val="2C5E1048"/>
    <w:rsid w:val="2C884632"/>
    <w:rsid w:val="2C8D7E9A"/>
    <w:rsid w:val="2C9034E6"/>
    <w:rsid w:val="2C9F7BCD"/>
    <w:rsid w:val="2CC061C3"/>
    <w:rsid w:val="2CFB60A5"/>
    <w:rsid w:val="2D22001E"/>
    <w:rsid w:val="2D314CC9"/>
    <w:rsid w:val="2D4A6FED"/>
    <w:rsid w:val="2D60377E"/>
    <w:rsid w:val="2D6329A9"/>
    <w:rsid w:val="2D8642A7"/>
    <w:rsid w:val="2DAC0C1E"/>
    <w:rsid w:val="2DAF51C6"/>
    <w:rsid w:val="2DC72800"/>
    <w:rsid w:val="2DE52310"/>
    <w:rsid w:val="2DEF7334"/>
    <w:rsid w:val="2E0833ED"/>
    <w:rsid w:val="2E0D6CB4"/>
    <w:rsid w:val="2E112CF8"/>
    <w:rsid w:val="2E1B6C6C"/>
    <w:rsid w:val="2E2472C0"/>
    <w:rsid w:val="2E344345"/>
    <w:rsid w:val="2E411018"/>
    <w:rsid w:val="2E60483D"/>
    <w:rsid w:val="2E77608F"/>
    <w:rsid w:val="2E861045"/>
    <w:rsid w:val="2EA94C95"/>
    <w:rsid w:val="2EB90B27"/>
    <w:rsid w:val="2EBE31A3"/>
    <w:rsid w:val="2EF04710"/>
    <w:rsid w:val="2F065D79"/>
    <w:rsid w:val="2F3E547B"/>
    <w:rsid w:val="2F642A08"/>
    <w:rsid w:val="2F762E67"/>
    <w:rsid w:val="2F9C3A6D"/>
    <w:rsid w:val="2FA554FB"/>
    <w:rsid w:val="2FD45881"/>
    <w:rsid w:val="2FF344B8"/>
    <w:rsid w:val="30013209"/>
    <w:rsid w:val="30204B81"/>
    <w:rsid w:val="30240B15"/>
    <w:rsid w:val="303D1BD7"/>
    <w:rsid w:val="304E5B92"/>
    <w:rsid w:val="3050190A"/>
    <w:rsid w:val="30655946"/>
    <w:rsid w:val="306B6744"/>
    <w:rsid w:val="30AC7B38"/>
    <w:rsid w:val="30CE2ED2"/>
    <w:rsid w:val="30F617A7"/>
    <w:rsid w:val="3115045E"/>
    <w:rsid w:val="314704CD"/>
    <w:rsid w:val="316339BD"/>
    <w:rsid w:val="31644F41"/>
    <w:rsid w:val="3175714F"/>
    <w:rsid w:val="3186135C"/>
    <w:rsid w:val="318D4F7C"/>
    <w:rsid w:val="31A00B57"/>
    <w:rsid w:val="31A43590"/>
    <w:rsid w:val="31AC0DC2"/>
    <w:rsid w:val="31C3435E"/>
    <w:rsid w:val="31C76A7D"/>
    <w:rsid w:val="31DD6430"/>
    <w:rsid w:val="31EC5663"/>
    <w:rsid w:val="3220530C"/>
    <w:rsid w:val="326A1E77"/>
    <w:rsid w:val="326D2094"/>
    <w:rsid w:val="32732DF7"/>
    <w:rsid w:val="32A60981"/>
    <w:rsid w:val="32B0301E"/>
    <w:rsid w:val="32C33C6C"/>
    <w:rsid w:val="32D843EB"/>
    <w:rsid w:val="331309CD"/>
    <w:rsid w:val="33193CF6"/>
    <w:rsid w:val="33237E18"/>
    <w:rsid w:val="332E1CAB"/>
    <w:rsid w:val="33875DE7"/>
    <w:rsid w:val="339E298D"/>
    <w:rsid w:val="33B76DB5"/>
    <w:rsid w:val="342B60E5"/>
    <w:rsid w:val="34377208"/>
    <w:rsid w:val="34645984"/>
    <w:rsid w:val="347A44C1"/>
    <w:rsid w:val="34AD3D69"/>
    <w:rsid w:val="34B561E0"/>
    <w:rsid w:val="34C04219"/>
    <w:rsid w:val="34CE2DFE"/>
    <w:rsid w:val="350C3926"/>
    <w:rsid w:val="351C7611"/>
    <w:rsid w:val="35337105"/>
    <w:rsid w:val="35463D89"/>
    <w:rsid w:val="355157DD"/>
    <w:rsid w:val="35597028"/>
    <w:rsid w:val="355F439E"/>
    <w:rsid w:val="35A748EC"/>
    <w:rsid w:val="35C63435"/>
    <w:rsid w:val="35D72186"/>
    <w:rsid w:val="35EA1EB9"/>
    <w:rsid w:val="3619454C"/>
    <w:rsid w:val="363E4C5E"/>
    <w:rsid w:val="36486BE0"/>
    <w:rsid w:val="367B1593"/>
    <w:rsid w:val="36822F76"/>
    <w:rsid w:val="36A23F79"/>
    <w:rsid w:val="36A4524A"/>
    <w:rsid w:val="36B77B63"/>
    <w:rsid w:val="36C80A6B"/>
    <w:rsid w:val="36E815F6"/>
    <w:rsid w:val="36EA3CA5"/>
    <w:rsid w:val="37024FE0"/>
    <w:rsid w:val="371D7242"/>
    <w:rsid w:val="37332FDB"/>
    <w:rsid w:val="379530B0"/>
    <w:rsid w:val="37C64260"/>
    <w:rsid w:val="37CA17EF"/>
    <w:rsid w:val="37E21516"/>
    <w:rsid w:val="37EF6FFF"/>
    <w:rsid w:val="38147661"/>
    <w:rsid w:val="38215F33"/>
    <w:rsid w:val="3841654D"/>
    <w:rsid w:val="386F48F8"/>
    <w:rsid w:val="388C7258"/>
    <w:rsid w:val="38961FAC"/>
    <w:rsid w:val="38A75AD4"/>
    <w:rsid w:val="38BD38B5"/>
    <w:rsid w:val="38CB40F8"/>
    <w:rsid w:val="38D1296D"/>
    <w:rsid w:val="38D3069F"/>
    <w:rsid w:val="38E73C59"/>
    <w:rsid w:val="38EE5B01"/>
    <w:rsid w:val="3914724D"/>
    <w:rsid w:val="392806B2"/>
    <w:rsid w:val="3930052B"/>
    <w:rsid w:val="394B4123"/>
    <w:rsid w:val="39574E28"/>
    <w:rsid w:val="39875853"/>
    <w:rsid w:val="39974106"/>
    <w:rsid w:val="399B1D46"/>
    <w:rsid w:val="399B26DA"/>
    <w:rsid w:val="39AA482D"/>
    <w:rsid w:val="39AE3D6B"/>
    <w:rsid w:val="39B94FA7"/>
    <w:rsid w:val="39D349ED"/>
    <w:rsid w:val="39DE364D"/>
    <w:rsid w:val="39E11825"/>
    <w:rsid w:val="3A000D6F"/>
    <w:rsid w:val="3A00614F"/>
    <w:rsid w:val="3A06468C"/>
    <w:rsid w:val="3A072C05"/>
    <w:rsid w:val="3A340E0C"/>
    <w:rsid w:val="3A5475C9"/>
    <w:rsid w:val="3A623163"/>
    <w:rsid w:val="3A64110D"/>
    <w:rsid w:val="3A7633F1"/>
    <w:rsid w:val="3A880C39"/>
    <w:rsid w:val="3AA20FB4"/>
    <w:rsid w:val="3AB32AA6"/>
    <w:rsid w:val="3ABD61CF"/>
    <w:rsid w:val="3ACF2214"/>
    <w:rsid w:val="3B031FCB"/>
    <w:rsid w:val="3B12399E"/>
    <w:rsid w:val="3BA26D92"/>
    <w:rsid w:val="3BB54D17"/>
    <w:rsid w:val="3BB92AC4"/>
    <w:rsid w:val="3BD629DB"/>
    <w:rsid w:val="3BEE3DD2"/>
    <w:rsid w:val="3BF55114"/>
    <w:rsid w:val="3C004876"/>
    <w:rsid w:val="3C0501F2"/>
    <w:rsid w:val="3C184ED4"/>
    <w:rsid w:val="3C2E58A7"/>
    <w:rsid w:val="3C601004"/>
    <w:rsid w:val="3C627A9E"/>
    <w:rsid w:val="3C9F4667"/>
    <w:rsid w:val="3CA46AF1"/>
    <w:rsid w:val="3CE826A2"/>
    <w:rsid w:val="3CE905BF"/>
    <w:rsid w:val="3CF71F22"/>
    <w:rsid w:val="3CF860A0"/>
    <w:rsid w:val="3D17277E"/>
    <w:rsid w:val="3D195B0D"/>
    <w:rsid w:val="3D20119A"/>
    <w:rsid w:val="3D4C16AB"/>
    <w:rsid w:val="3D4D190F"/>
    <w:rsid w:val="3D522044"/>
    <w:rsid w:val="3D5B544A"/>
    <w:rsid w:val="3DBF3F65"/>
    <w:rsid w:val="3DC611E1"/>
    <w:rsid w:val="3E1D0952"/>
    <w:rsid w:val="3E2C4BE1"/>
    <w:rsid w:val="3E2D75AB"/>
    <w:rsid w:val="3E366DDC"/>
    <w:rsid w:val="3E3739A2"/>
    <w:rsid w:val="3E410AE4"/>
    <w:rsid w:val="3E5A7DF8"/>
    <w:rsid w:val="3E8409D1"/>
    <w:rsid w:val="3E9241D9"/>
    <w:rsid w:val="3E933BDB"/>
    <w:rsid w:val="3EA6674F"/>
    <w:rsid w:val="3EB74DD6"/>
    <w:rsid w:val="3EC01B26"/>
    <w:rsid w:val="3EC06FEE"/>
    <w:rsid w:val="3ECA4F52"/>
    <w:rsid w:val="3EDA2672"/>
    <w:rsid w:val="3EE37DED"/>
    <w:rsid w:val="3EF54FEC"/>
    <w:rsid w:val="3EF9644A"/>
    <w:rsid w:val="3F4940F4"/>
    <w:rsid w:val="3F67457A"/>
    <w:rsid w:val="3F874C1D"/>
    <w:rsid w:val="3F8844F1"/>
    <w:rsid w:val="3F9C2C5D"/>
    <w:rsid w:val="3FA56E51"/>
    <w:rsid w:val="3FCA6C90"/>
    <w:rsid w:val="3FE46DFA"/>
    <w:rsid w:val="400022D9"/>
    <w:rsid w:val="40061C9A"/>
    <w:rsid w:val="4007793E"/>
    <w:rsid w:val="40136264"/>
    <w:rsid w:val="404B5C4A"/>
    <w:rsid w:val="40537DE8"/>
    <w:rsid w:val="40556AC9"/>
    <w:rsid w:val="40731219"/>
    <w:rsid w:val="407707ED"/>
    <w:rsid w:val="40AF61D9"/>
    <w:rsid w:val="40B51316"/>
    <w:rsid w:val="40BB69B2"/>
    <w:rsid w:val="40E35E83"/>
    <w:rsid w:val="40F8373D"/>
    <w:rsid w:val="40FB303F"/>
    <w:rsid w:val="40FC0E7C"/>
    <w:rsid w:val="410F6C78"/>
    <w:rsid w:val="41257D94"/>
    <w:rsid w:val="412B5099"/>
    <w:rsid w:val="412E6E7D"/>
    <w:rsid w:val="41330FF8"/>
    <w:rsid w:val="413F08E3"/>
    <w:rsid w:val="416F5C7F"/>
    <w:rsid w:val="417E204F"/>
    <w:rsid w:val="418D4040"/>
    <w:rsid w:val="41A73354"/>
    <w:rsid w:val="41C20830"/>
    <w:rsid w:val="41E1736F"/>
    <w:rsid w:val="41E17F71"/>
    <w:rsid w:val="41FD78BA"/>
    <w:rsid w:val="4203620C"/>
    <w:rsid w:val="421502BE"/>
    <w:rsid w:val="42387570"/>
    <w:rsid w:val="42462B6D"/>
    <w:rsid w:val="42500A1C"/>
    <w:rsid w:val="4251506E"/>
    <w:rsid w:val="4255456F"/>
    <w:rsid w:val="42785FB7"/>
    <w:rsid w:val="4292190E"/>
    <w:rsid w:val="42B51AA1"/>
    <w:rsid w:val="42B533F0"/>
    <w:rsid w:val="42D45320"/>
    <w:rsid w:val="42DE4B54"/>
    <w:rsid w:val="42F41450"/>
    <w:rsid w:val="433035D7"/>
    <w:rsid w:val="43372938"/>
    <w:rsid w:val="43416B84"/>
    <w:rsid w:val="43420D3E"/>
    <w:rsid w:val="435412BA"/>
    <w:rsid w:val="43574A95"/>
    <w:rsid w:val="43860D47"/>
    <w:rsid w:val="43AA712C"/>
    <w:rsid w:val="43AF4742"/>
    <w:rsid w:val="43B4696F"/>
    <w:rsid w:val="43E75C8A"/>
    <w:rsid w:val="43E918C2"/>
    <w:rsid w:val="43F50DD2"/>
    <w:rsid w:val="44052591"/>
    <w:rsid w:val="440E1469"/>
    <w:rsid w:val="440F51E1"/>
    <w:rsid w:val="441427F7"/>
    <w:rsid w:val="442B201A"/>
    <w:rsid w:val="444E1066"/>
    <w:rsid w:val="447874F5"/>
    <w:rsid w:val="4488654E"/>
    <w:rsid w:val="44AD37C2"/>
    <w:rsid w:val="44B042CE"/>
    <w:rsid w:val="44C270DD"/>
    <w:rsid w:val="44E64193"/>
    <w:rsid w:val="44FE14DD"/>
    <w:rsid w:val="450A2511"/>
    <w:rsid w:val="4554273F"/>
    <w:rsid w:val="458F482B"/>
    <w:rsid w:val="459A7AB5"/>
    <w:rsid w:val="45A83A3A"/>
    <w:rsid w:val="45C63F6B"/>
    <w:rsid w:val="45C9535A"/>
    <w:rsid w:val="45DE130F"/>
    <w:rsid w:val="45FD1C32"/>
    <w:rsid w:val="46126A91"/>
    <w:rsid w:val="46132D66"/>
    <w:rsid w:val="461D114A"/>
    <w:rsid w:val="46553F70"/>
    <w:rsid w:val="465D71DE"/>
    <w:rsid w:val="466F1F67"/>
    <w:rsid w:val="4676545F"/>
    <w:rsid w:val="46A23326"/>
    <w:rsid w:val="46A61E2C"/>
    <w:rsid w:val="46D04CB2"/>
    <w:rsid w:val="46D71190"/>
    <w:rsid w:val="46D85D5E"/>
    <w:rsid w:val="47024B89"/>
    <w:rsid w:val="47070DC3"/>
    <w:rsid w:val="47170634"/>
    <w:rsid w:val="47855EE6"/>
    <w:rsid w:val="479B21B0"/>
    <w:rsid w:val="47A143A2"/>
    <w:rsid w:val="47C87B80"/>
    <w:rsid w:val="47DC0691"/>
    <w:rsid w:val="47DD7AD0"/>
    <w:rsid w:val="47E0151E"/>
    <w:rsid w:val="47F94792"/>
    <w:rsid w:val="48396CD0"/>
    <w:rsid w:val="48650C15"/>
    <w:rsid w:val="4870267D"/>
    <w:rsid w:val="48981C49"/>
    <w:rsid w:val="48FB7925"/>
    <w:rsid w:val="49647D7D"/>
    <w:rsid w:val="4965186A"/>
    <w:rsid w:val="49692379"/>
    <w:rsid w:val="49867716"/>
    <w:rsid w:val="49887406"/>
    <w:rsid w:val="49A62143"/>
    <w:rsid w:val="49AD702E"/>
    <w:rsid w:val="49B54134"/>
    <w:rsid w:val="49E90461"/>
    <w:rsid w:val="4A0013A3"/>
    <w:rsid w:val="4A064990"/>
    <w:rsid w:val="4A182764"/>
    <w:rsid w:val="4A1E35B9"/>
    <w:rsid w:val="4A534847"/>
    <w:rsid w:val="4A541FCC"/>
    <w:rsid w:val="4A8D1239"/>
    <w:rsid w:val="4A947588"/>
    <w:rsid w:val="4A9B7242"/>
    <w:rsid w:val="4ABA40F8"/>
    <w:rsid w:val="4AC705C3"/>
    <w:rsid w:val="4AD87A63"/>
    <w:rsid w:val="4ADB6EF6"/>
    <w:rsid w:val="4AE4664A"/>
    <w:rsid w:val="4AFF5FAF"/>
    <w:rsid w:val="4B272E10"/>
    <w:rsid w:val="4B407312"/>
    <w:rsid w:val="4B602106"/>
    <w:rsid w:val="4B880156"/>
    <w:rsid w:val="4B8A4B96"/>
    <w:rsid w:val="4BAC6006"/>
    <w:rsid w:val="4BE11211"/>
    <w:rsid w:val="4BE13907"/>
    <w:rsid w:val="4BEA0FB4"/>
    <w:rsid w:val="4BEB429E"/>
    <w:rsid w:val="4BF51514"/>
    <w:rsid w:val="4C0F2222"/>
    <w:rsid w:val="4C263544"/>
    <w:rsid w:val="4C2C0D1A"/>
    <w:rsid w:val="4C467409"/>
    <w:rsid w:val="4C4D092D"/>
    <w:rsid w:val="4C4E108D"/>
    <w:rsid w:val="4C5F5F5D"/>
    <w:rsid w:val="4C667968"/>
    <w:rsid w:val="4C6C56EC"/>
    <w:rsid w:val="4C7402D7"/>
    <w:rsid w:val="4C9B3AB5"/>
    <w:rsid w:val="4CB9218D"/>
    <w:rsid w:val="4CBA03DF"/>
    <w:rsid w:val="4CC21B78"/>
    <w:rsid w:val="4CC81ED1"/>
    <w:rsid w:val="4D0A4797"/>
    <w:rsid w:val="4D325DBC"/>
    <w:rsid w:val="4D54105B"/>
    <w:rsid w:val="4DB7394C"/>
    <w:rsid w:val="4DD3332C"/>
    <w:rsid w:val="4DD54DA5"/>
    <w:rsid w:val="4DF53AF8"/>
    <w:rsid w:val="4E21448E"/>
    <w:rsid w:val="4E3446BB"/>
    <w:rsid w:val="4E3C76DF"/>
    <w:rsid w:val="4E58577B"/>
    <w:rsid w:val="4E5C595C"/>
    <w:rsid w:val="4E5E1D31"/>
    <w:rsid w:val="4E6A7265"/>
    <w:rsid w:val="4E861FFE"/>
    <w:rsid w:val="4E880069"/>
    <w:rsid w:val="4E8C7B5A"/>
    <w:rsid w:val="4E9F452F"/>
    <w:rsid w:val="4EB3158A"/>
    <w:rsid w:val="4EC245AB"/>
    <w:rsid w:val="4F1D2EA8"/>
    <w:rsid w:val="4F260218"/>
    <w:rsid w:val="4F323F7C"/>
    <w:rsid w:val="4F461B28"/>
    <w:rsid w:val="4F575F9B"/>
    <w:rsid w:val="4F5F701C"/>
    <w:rsid w:val="4F824199"/>
    <w:rsid w:val="4F9D7B44"/>
    <w:rsid w:val="4F9F1B0F"/>
    <w:rsid w:val="4FA51B8E"/>
    <w:rsid w:val="4FAD3500"/>
    <w:rsid w:val="4FAD422B"/>
    <w:rsid w:val="4FC11A45"/>
    <w:rsid w:val="501F0559"/>
    <w:rsid w:val="502A7CF4"/>
    <w:rsid w:val="50320EAD"/>
    <w:rsid w:val="503A5393"/>
    <w:rsid w:val="50443274"/>
    <w:rsid w:val="50580146"/>
    <w:rsid w:val="506D39BB"/>
    <w:rsid w:val="50A96362"/>
    <w:rsid w:val="50B91D73"/>
    <w:rsid w:val="50BB2ADF"/>
    <w:rsid w:val="50D77086"/>
    <w:rsid w:val="50E377D9"/>
    <w:rsid w:val="50F963F0"/>
    <w:rsid w:val="51191FFF"/>
    <w:rsid w:val="511A58F1"/>
    <w:rsid w:val="51493AE0"/>
    <w:rsid w:val="514D099E"/>
    <w:rsid w:val="51585568"/>
    <w:rsid w:val="517A1653"/>
    <w:rsid w:val="51973AC3"/>
    <w:rsid w:val="519913E1"/>
    <w:rsid w:val="519F7BA4"/>
    <w:rsid w:val="51BE7671"/>
    <w:rsid w:val="520E24F1"/>
    <w:rsid w:val="523D6705"/>
    <w:rsid w:val="525E6FE1"/>
    <w:rsid w:val="526D11A3"/>
    <w:rsid w:val="52854FEC"/>
    <w:rsid w:val="529573B7"/>
    <w:rsid w:val="52C13B4A"/>
    <w:rsid w:val="52C91988"/>
    <w:rsid w:val="531B5950"/>
    <w:rsid w:val="534470C7"/>
    <w:rsid w:val="53453594"/>
    <w:rsid w:val="535D4B57"/>
    <w:rsid w:val="53922B54"/>
    <w:rsid w:val="53A6228B"/>
    <w:rsid w:val="53B86CFB"/>
    <w:rsid w:val="53BA0CC5"/>
    <w:rsid w:val="53BA2C45"/>
    <w:rsid w:val="53BF62DB"/>
    <w:rsid w:val="53CE30AB"/>
    <w:rsid w:val="53F427B9"/>
    <w:rsid w:val="53F87A3F"/>
    <w:rsid w:val="542B0AF2"/>
    <w:rsid w:val="543224C9"/>
    <w:rsid w:val="54336CC9"/>
    <w:rsid w:val="54655D51"/>
    <w:rsid w:val="54990207"/>
    <w:rsid w:val="54AA0D3A"/>
    <w:rsid w:val="54F05465"/>
    <w:rsid w:val="54F53E45"/>
    <w:rsid w:val="550F2F8A"/>
    <w:rsid w:val="55135093"/>
    <w:rsid w:val="55142657"/>
    <w:rsid w:val="55162B19"/>
    <w:rsid w:val="551F5FB4"/>
    <w:rsid w:val="5523185E"/>
    <w:rsid w:val="554F0C1F"/>
    <w:rsid w:val="554F1FD1"/>
    <w:rsid w:val="5568038F"/>
    <w:rsid w:val="556C5FEF"/>
    <w:rsid w:val="558C5CB4"/>
    <w:rsid w:val="55BD0E57"/>
    <w:rsid w:val="55D33170"/>
    <w:rsid w:val="55FA7A9F"/>
    <w:rsid w:val="564318C1"/>
    <w:rsid w:val="568D5C1A"/>
    <w:rsid w:val="56A47A0A"/>
    <w:rsid w:val="56A812A9"/>
    <w:rsid w:val="56B440F1"/>
    <w:rsid w:val="56FE0C07"/>
    <w:rsid w:val="57110179"/>
    <w:rsid w:val="573C1866"/>
    <w:rsid w:val="573F0B76"/>
    <w:rsid w:val="57F20FC4"/>
    <w:rsid w:val="580F0C3C"/>
    <w:rsid w:val="584C2902"/>
    <w:rsid w:val="58696C2F"/>
    <w:rsid w:val="58AB1524"/>
    <w:rsid w:val="58B24661"/>
    <w:rsid w:val="58B54151"/>
    <w:rsid w:val="58B8779D"/>
    <w:rsid w:val="58C919AA"/>
    <w:rsid w:val="58FA344E"/>
    <w:rsid w:val="5921498E"/>
    <w:rsid w:val="59407EBE"/>
    <w:rsid w:val="59641CD0"/>
    <w:rsid w:val="596C141E"/>
    <w:rsid w:val="596F2552"/>
    <w:rsid w:val="597628B4"/>
    <w:rsid w:val="59861649"/>
    <w:rsid w:val="59897E96"/>
    <w:rsid w:val="599B10B2"/>
    <w:rsid w:val="59A36E29"/>
    <w:rsid w:val="59BF1827"/>
    <w:rsid w:val="59CD1026"/>
    <w:rsid w:val="59E21771"/>
    <w:rsid w:val="59FB5B93"/>
    <w:rsid w:val="5A05778A"/>
    <w:rsid w:val="5A083723"/>
    <w:rsid w:val="5A315650"/>
    <w:rsid w:val="5A4879A5"/>
    <w:rsid w:val="5A547A46"/>
    <w:rsid w:val="5A5B45D0"/>
    <w:rsid w:val="5A845B89"/>
    <w:rsid w:val="5A8E07B6"/>
    <w:rsid w:val="5A94756C"/>
    <w:rsid w:val="5AB25C00"/>
    <w:rsid w:val="5AB33CFD"/>
    <w:rsid w:val="5ABD593E"/>
    <w:rsid w:val="5ADB6554"/>
    <w:rsid w:val="5ADD60E0"/>
    <w:rsid w:val="5B30574F"/>
    <w:rsid w:val="5B6B4F9B"/>
    <w:rsid w:val="5B920B84"/>
    <w:rsid w:val="5BAA5AC3"/>
    <w:rsid w:val="5BAE45AC"/>
    <w:rsid w:val="5BB029AE"/>
    <w:rsid w:val="5BEA2363"/>
    <w:rsid w:val="5BEC795B"/>
    <w:rsid w:val="5C116E15"/>
    <w:rsid w:val="5C167892"/>
    <w:rsid w:val="5C423F4D"/>
    <w:rsid w:val="5C4C6B7A"/>
    <w:rsid w:val="5C606182"/>
    <w:rsid w:val="5C7659A5"/>
    <w:rsid w:val="5C87240B"/>
    <w:rsid w:val="5C8A495A"/>
    <w:rsid w:val="5C8C51C9"/>
    <w:rsid w:val="5CCB3F43"/>
    <w:rsid w:val="5CD831D0"/>
    <w:rsid w:val="5CEE378D"/>
    <w:rsid w:val="5CF07506"/>
    <w:rsid w:val="5CF16459"/>
    <w:rsid w:val="5CF74DCB"/>
    <w:rsid w:val="5D064F7B"/>
    <w:rsid w:val="5D072AA1"/>
    <w:rsid w:val="5D1C19D8"/>
    <w:rsid w:val="5D441D7E"/>
    <w:rsid w:val="5D443CF5"/>
    <w:rsid w:val="5D5A0E23"/>
    <w:rsid w:val="5D9205BD"/>
    <w:rsid w:val="5DAB636B"/>
    <w:rsid w:val="5DB9023F"/>
    <w:rsid w:val="5DEA03F9"/>
    <w:rsid w:val="5DFB43B4"/>
    <w:rsid w:val="5E023994"/>
    <w:rsid w:val="5E0854F2"/>
    <w:rsid w:val="5E0A34C5"/>
    <w:rsid w:val="5E106C49"/>
    <w:rsid w:val="5E2F4613"/>
    <w:rsid w:val="5E41474D"/>
    <w:rsid w:val="5E421925"/>
    <w:rsid w:val="5E501004"/>
    <w:rsid w:val="5E543AC4"/>
    <w:rsid w:val="5E82176E"/>
    <w:rsid w:val="5E824AD5"/>
    <w:rsid w:val="5E886C8E"/>
    <w:rsid w:val="5E895323"/>
    <w:rsid w:val="5E8E5228"/>
    <w:rsid w:val="5E9D546B"/>
    <w:rsid w:val="5EDA046D"/>
    <w:rsid w:val="5EDA66BF"/>
    <w:rsid w:val="5F303FA8"/>
    <w:rsid w:val="5F3B6A32"/>
    <w:rsid w:val="5F45127C"/>
    <w:rsid w:val="5F89398B"/>
    <w:rsid w:val="5F9A7BFD"/>
    <w:rsid w:val="5F9C361C"/>
    <w:rsid w:val="5FB42B98"/>
    <w:rsid w:val="5FB57681"/>
    <w:rsid w:val="5FC24B0D"/>
    <w:rsid w:val="5FE7257E"/>
    <w:rsid w:val="60034BF5"/>
    <w:rsid w:val="600D5478"/>
    <w:rsid w:val="602D03C4"/>
    <w:rsid w:val="603D68F1"/>
    <w:rsid w:val="60744F5F"/>
    <w:rsid w:val="6079516E"/>
    <w:rsid w:val="609E5A0A"/>
    <w:rsid w:val="60A813E1"/>
    <w:rsid w:val="60C6179E"/>
    <w:rsid w:val="60DE6BD0"/>
    <w:rsid w:val="60E42AA1"/>
    <w:rsid w:val="60F03F78"/>
    <w:rsid w:val="61141E2A"/>
    <w:rsid w:val="611F3917"/>
    <w:rsid w:val="61351925"/>
    <w:rsid w:val="613F6CAD"/>
    <w:rsid w:val="61402700"/>
    <w:rsid w:val="616218C1"/>
    <w:rsid w:val="61700ACE"/>
    <w:rsid w:val="617C3A5E"/>
    <w:rsid w:val="6189121C"/>
    <w:rsid w:val="61DD2D2F"/>
    <w:rsid w:val="62054E66"/>
    <w:rsid w:val="62150A70"/>
    <w:rsid w:val="621721D2"/>
    <w:rsid w:val="621E1A59"/>
    <w:rsid w:val="624E318C"/>
    <w:rsid w:val="6271733B"/>
    <w:rsid w:val="62735759"/>
    <w:rsid w:val="629C4400"/>
    <w:rsid w:val="629D5835"/>
    <w:rsid w:val="629E1F95"/>
    <w:rsid w:val="62A8603E"/>
    <w:rsid w:val="62A9666D"/>
    <w:rsid w:val="62C12772"/>
    <w:rsid w:val="62D13935"/>
    <w:rsid w:val="62E31181"/>
    <w:rsid w:val="62F11F34"/>
    <w:rsid w:val="633126B5"/>
    <w:rsid w:val="633B45FB"/>
    <w:rsid w:val="638248F9"/>
    <w:rsid w:val="638906B4"/>
    <w:rsid w:val="63A4245C"/>
    <w:rsid w:val="63A63014"/>
    <w:rsid w:val="63AB067D"/>
    <w:rsid w:val="63D74ACB"/>
    <w:rsid w:val="63F36350"/>
    <w:rsid w:val="63F7561D"/>
    <w:rsid w:val="64033FC2"/>
    <w:rsid w:val="640F6E0B"/>
    <w:rsid w:val="643979E4"/>
    <w:rsid w:val="643A4AE1"/>
    <w:rsid w:val="643D4A9B"/>
    <w:rsid w:val="64682077"/>
    <w:rsid w:val="646C600B"/>
    <w:rsid w:val="64794284"/>
    <w:rsid w:val="64821BB1"/>
    <w:rsid w:val="64853918"/>
    <w:rsid w:val="64AD4CD5"/>
    <w:rsid w:val="64CE2822"/>
    <w:rsid w:val="64D272F5"/>
    <w:rsid w:val="64DD0CB7"/>
    <w:rsid w:val="64F67FA2"/>
    <w:rsid w:val="65144C52"/>
    <w:rsid w:val="652B365C"/>
    <w:rsid w:val="65362175"/>
    <w:rsid w:val="65400A6D"/>
    <w:rsid w:val="65504137"/>
    <w:rsid w:val="65532D27"/>
    <w:rsid w:val="65613ED1"/>
    <w:rsid w:val="65745480"/>
    <w:rsid w:val="659307CB"/>
    <w:rsid w:val="65AC02A3"/>
    <w:rsid w:val="65B417D0"/>
    <w:rsid w:val="65BF2413"/>
    <w:rsid w:val="65DC2519"/>
    <w:rsid w:val="65FD1D56"/>
    <w:rsid w:val="66173D55"/>
    <w:rsid w:val="66403EBA"/>
    <w:rsid w:val="6648074A"/>
    <w:rsid w:val="66562ADC"/>
    <w:rsid w:val="66727E9C"/>
    <w:rsid w:val="66A17AC3"/>
    <w:rsid w:val="66AD28B5"/>
    <w:rsid w:val="66AF21DF"/>
    <w:rsid w:val="66BA4709"/>
    <w:rsid w:val="66CF3A21"/>
    <w:rsid w:val="66D93700"/>
    <w:rsid w:val="66E76CB7"/>
    <w:rsid w:val="66F11B68"/>
    <w:rsid w:val="66FB61E3"/>
    <w:rsid w:val="6704617D"/>
    <w:rsid w:val="671D552C"/>
    <w:rsid w:val="67366B0E"/>
    <w:rsid w:val="674F09BF"/>
    <w:rsid w:val="676A70D7"/>
    <w:rsid w:val="676B2E8A"/>
    <w:rsid w:val="67A3717C"/>
    <w:rsid w:val="67AC117C"/>
    <w:rsid w:val="67BC62F7"/>
    <w:rsid w:val="67D8728E"/>
    <w:rsid w:val="67E04752"/>
    <w:rsid w:val="67FA1B80"/>
    <w:rsid w:val="6821710D"/>
    <w:rsid w:val="682664D1"/>
    <w:rsid w:val="682812C9"/>
    <w:rsid w:val="6831034A"/>
    <w:rsid w:val="68425CA9"/>
    <w:rsid w:val="68721717"/>
    <w:rsid w:val="6881653A"/>
    <w:rsid w:val="688B1D44"/>
    <w:rsid w:val="68921DB9"/>
    <w:rsid w:val="68A546C1"/>
    <w:rsid w:val="68B05622"/>
    <w:rsid w:val="68B17BB0"/>
    <w:rsid w:val="68EF06C4"/>
    <w:rsid w:val="68EF06EF"/>
    <w:rsid w:val="68F16ADF"/>
    <w:rsid w:val="692813AE"/>
    <w:rsid w:val="693C3AD3"/>
    <w:rsid w:val="694E4127"/>
    <w:rsid w:val="69673AF9"/>
    <w:rsid w:val="69860985"/>
    <w:rsid w:val="69AE4487"/>
    <w:rsid w:val="69C04704"/>
    <w:rsid w:val="69CB7DB9"/>
    <w:rsid w:val="69DC6F7D"/>
    <w:rsid w:val="69DF74C2"/>
    <w:rsid w:val="69F04FBD"/>
    <w:rsid w:val="69F8615D"/>
    <w:rsid w:val="69FD72F2"/>
    <w:rsid w:val="6A2D37A1"/>
    <w:rsid w:val="6A8E035E"/>
    <w:rsid w:val="6AA858C3"/>
    <w:rsid w:val="6AEA7C8A"/>
    <w:rsid w:val="6AEB57B0"/>
    <w:rsid w:val="6AF74155"/>
    <w:rsid w:val="6AFA2377"/>
    <w:rsid w:val="6B1F21FF"/>
    <w:rsid w:val="6B213DFE"/>
    <w:rsid w:val="6B281821"/>
    <w:rsid w:val="6B4355EC"/>
    <w:rsid w:val="6B49268B"/>
    <w:rsid w:val="6B607F4C"/>
    <w:rsid w:val="6B7B784A"/>
    <w:rsid w:val="6B8974A3"/>
    <w:rsid w:val="6B8D23E5"/>
    <w:rsid w:val="6BE02E3B"/>
    <w:rsid w:val="6BEB4D8A"/>
    <w:rsid w:val="6BFE140E"/>
    <w:rsid w:val="6C007C1C"/>
    <w:rsid w:val="6C080B41"/>
    <w:rsid w:val="6C122E99"/>
    <w:rsid w:val="6C155165"/>
    <w:rsid w:val="6C1C5E91"/>
    <w:rsid w:val="6C704E5A"/>
    <w:rsid w:val="6C945A22"/>
    <w:rsid w:val="6CAC4088"/>
    <w:rsid w:val="6CD91FAC"/>
    <w:rsid w:val="6CF7043C"/>
    <w:rsid w:val="6D2B4954"/>
    <w:rsid w:val="6D2D20B0"/>
    <w:rsid w:val="6D3F0F17"/>
    <w:rsid w:val="6D5533B5"/>
    <w:rsid w:val="6D620DEE"/>
    <w:rsid w:val="6D6D3F5B"/>
    <w:rsid w:val="6D6E2515"/>
    <w:rsid w:val="6D8F5201"/>
    <w:rsid w:val="6D9444B7"/>
    <w:rsid w:val="6DA310EA"/>
    <w:rsid w:val="6DC04CD2"/>
    <w:rsid w:val="6DD3498E"/>
    <w:rsid w:val="6DDA5EA3"/>
    <w:rsid w:val="6DE74955"/>
    <w:rsid w:val="6DFA4C55"/>
    <w:rsid w:val="6E0A165C"/>
    <w:rsid w:val="6E186540"/>
    <w:rsid w:val="6E272334"/>
    <w:rsid w:val="6E29460E"/>
    <w:rsid w:val="6E3B3CE2"/>
    <w:rsid w:val="6E8A0249"/>
    <w:rsid w:val="6E8E126C"/>
    <w:rsid w:val="6E937920"/>
    <w:rsid w:val="6EA0194A"/>
    <w:rsid w:val="6EE24726"/>
    <w:rsid w:val="6EEC7CDD"/>
    <w:rsid w:val="6F057709"/>
    <w:rsid w:val="6F094457"/>
    <w:rsid w:val="6F0C1C24"/>
    <w:rsid w:val="6F0F5F11"/>
    <w:rsid w:val="6F40132D"/>
    <w:rsid w:val="6F4334F7"/>
    <w:rsid w:val="6F5079E2"/>
    <w:rsid w:val="6F52221E"/>
    <w:rsid w:val="6F5613DF"/>
    <w:rsid w:val="6F697869"/>
    <w:rsid w:val="6FA4059D"/>
    <w:rsid w:val="6FB602B0"/>
    <w:rsid w:val="6FCF270C"/>
    <w:rsid w:val="70005716"/>
    <w:rsid w:val="700734B7"/>
    <w:rsid w:val="70234A63"/>
    <w:rsid w:val="702B71E2"/>
    <w:rsid w:val="706A5CA6"/>
    <w:rsid w:val="70894D24"/>
    <w:rsid w:val="708E2E1C"/>
    <w:rsid w:val="709B37D5"/>
    <w:rsid w:val="70B5039E"/>
    <w:rsid w:val="70C46D83"/>
    <w:rsid w:val="70CD61BA"/>
    <w:rsid w:val="70E47EE3"/>
    <w:rsid w:val="70EF5CA0"/>
    <w:rsid w:val="70FB0EC8"/>
    <w:rsid w:val="710F11BD"/>
    <w:rsid w:val="711C24DA"/>
    <w:rsid w:val="711C552B"/>
    <w:rsid w:val="711D4AD7"/>
    <w:rsid w:val="712B2DAA"/>
    <w:rsid w:val="71411491"/>
    <w:rsid w:val="71475E36"/>
    <w:rsid w:val="714C24DB"/>
    <w:rsid w:val="715E48D9"/>
    <w:rsid w:val="716943CF"/>
    <w:rsid w:val="71770865"/>
    <w:rsid w:val="717C69FC"/>
    <w:rsid w:val="717C7162"/>
    <w:rsid w:val="7198626C"/>
    <w:rsid w:val="71B20DD6"/>
    <w:rsid w:val="71BA5C58"/>
    <w:rsid w:val="71BA7D3D"/>
    <w:rsid w:val="71E34B75"/>
    <w:rsid w:val="721970A7"/>
    <w:rsid w:val="72310CB1"/>
    <w:rsid w:val="72467253"/>
    <w:rsid w:val="7278770A"/>
    <w:rsid w:val="728A2147"/>
    <w:rsid w:val="72B312A9"/>
    <w:rsid w:val="72E27499"/>
    <w:rsid w:val="72EE6064"/>
    <w:rsid w:val="72F1592E"/>
    <w:rsid w:val="72F84F0E"/>
    <w:rsid w:val="72F97729"/>
    <w:rsid w:val="7310344C"/>
    <w:rsid w:val="732A30E1"/>
    <w:rsid w:val="734E0107"/>
    <w:rsid w:val="73634A7D"/>
    <w:rsid w:val="736A172E"/>
    <w:rsid w:val="736B28E0"/>
    <w:rsid w:val="736F44A7"/>
    <w:rsid w:val="73825BA9"/>
    <w:rsid w:val="73FF1594"/>
    <w:rsid w:val="742B71C1"/>
    <w:rsid w:val="74374C63"/>
    <w:rsid w:val="74376338"/>
    <w:rsid w:val="74760F37"/>
    <w:rsid w:val="74D774D1"/>
    <w:rsid w:val="74E67714"/>
    <w:rsid w:val="750A4AEE"/>
    <w:rsid w:val="750D54B8"/>
    <w:rsid w:val="752F5288"/>
    <w:rsid w:val="75444108"/>
    <w:rsid w:val="7548139F"/>
    <w:rsid w:val="754C7212"/>
    <w:rsid w:val="754E52B9"/>
    <w:rsid w:val="755359F6"/>
    <w:rsid w:val="756845CD"/>
    <w:rsid w:val="75701D52"/>
    <w:rsid w:val="75B10396"/>
    <w:rsid w:val="75B4336E"/>
    <w:rsid w:val="75F05AFC"/>
    <w:rsid w:val="76360227"/>
    <w:rsid w:val="76476ECC"/>
    <w:rsid w:val="76657226"/>
    <w:rsid w:val="769310C3"/>
    <w:rsid w:val="76A9197D"/>
    <w:rsid w:val="76B01F0C"/>
    <w:rsid w:val="76C54B95"/>
    <w:rsid w:val="76D11CFE"/>
    <w:rsid w:val="76F7284D"/>
    <w:rsid w:val="770519A8"/>
    <w:rsid w:val="77110B96"/>
    <w:rsid w:val="771148DC"/>
    <w:rsid w:val="77242BC9"/>
    <w:rsid w:val="7758127B"/>
    <w:rsid w:val="778D527D"/>
    <w:rsid w:val="779455FA"/>
    <w:rsid w:val="779633F5"/>
    <w:rsid w:val="77B1345C"/>
    <w:rsid w:val="77B8335A"/>
    <w:rsid w:val="77C01E1F"/>
    <w:rsid w:val="77D3401C"/>
    <w:rsid w:val="77E93077"/>
    <w:rsid w:val="77EF532A"/>
    <w:rsid w:val="77F008AA"/>
    <w:rsid w:val="77F8343C"/>
    <w:rsid w:val="78034139"/>
    <w:rsid w:val="78057022"/>
    <w:rsid w:val="783424EA"/>
    <w:rsid w:val="78380F8C"/>
    <w:rsid w:val="7852547D"/>
    <w:rsid w:val="785978ED"/>
    <w:rsid w:val="7865656C"/>
    <w:rsid w:val="786F5C73"/>
    <w:rsid w:val="789D1AB2"/>
    <w:rsid w:val="78C31B1A"/>
    <w:rsid w:val="78C75C05"/>
    <w:rsid w:val="78E22364"/>
    <w:rsid w:val="78F55068"/>
    <w:rsid w:val="7913466E"/>
    <w:rsid w:val="791D5BC4"/>
    <w:rsid w:val="793D61F5"/>
    <w:rsid w:val="795954E1"/>
    <w:rsid w:val="7963467E"/>
    <w:rsid w:val="79CB5569"/>
    <w:rsid w:val="79ED6E4F"/>
    <w:rsid w:val="7A92579E"/>
    <w:rsid w:val="7ACD260C"/>
    <w:rsid w:val="7AE237F5"/>
    <w:rsid w:val="7AE30703"/>
    <w:rsid w:val="7AEE6E4B"/>
    <w:rsid w:val="7AF266BA"/>
    <w:rsid w:val="7AF34FD9"/>
    <w:rsid w:val="7B091FD9"/>
    <w:rsid w:val="7B512CCA"/>
    <w:rsid w:val="7B5B68D6"/>
    <w:rsid w:val="7B670E83"/>
    <w:rsid w:val="7B7C227A"/>
    <w:rsid w:val="7B7D1985"/>
    <w:rsid w:val="7B7F08C0"/>
    <w:rsid w:val="7BB22216"/>
    <w:rsid w:val="7BD86608"/>
    <w:rsid w:val="7BF13797"/>
    <w:rsid w:val="7BF44604"/>
    <w:rsid w:val="7BFA1CF7"/>
    <w:rsid w:val="7C084BE1"/>
    <w:rsid w:val="7C0B29FC"/>
    <w:rsid w:val="7C1049B9"/>
    <w:rsid w:val="7C151165"/>
    <w:rsid w:val="7C174657"/>
    <w:rsid w:val="7C266648"/>
    <w:rsid w:val="7C596A1E"/>
    <w:rsid w:val="7C896BD7"/>
    <w:rsid w:val="7C8B294F"/>
    <w:rsid w:val="7C9B3A9F"/>
    <w:rsid w:val="7D152224"/>
    <w:rsid w:val="7D3C25A3"/>
    <w:rsid w:val="7D4071CA"/>
    <w:rsid w:val="7D4B31AF"/>
    <w:rsid w:val="7D4F1BCF"/>
    <w:rsid w:val="7D553689"/>
    <w:rsid w:val="7D586EFA"/>
    <w:rsid w:val="7D592A4D"/>
    <w:rsid w:val="7D7358BD"/>
    <w:rsid w:val="7D761851"/>
    <w:rsid w:val="7D8D727A"/>
    <w:rsid w:val="7DD657D7"/>
    <w:rsid w:val="7DE4561B"/>
    <w:rsid w:val="7E3A3E8C"/>
    <w:rsid w:val="7E4042FE"/>
    <w:rsid w:val="7E6478FC"/>
    <w:rsid w:val="7E6E338C"/>
    <w:rsid w:val="7E881798"/>
    <w:rsid w:val="7EAD3464"/>
    <w:rsid w:val="7EC97D8B"/>
    <w:rsid w:val="7ED54355"/>
    <w:rsid w:val="7ED752DC"/>
    <w:rsid w:val="7EED78F1"/>
    <w:rsid w:val="7F2D58D8"/>
    <w:rsid w:val="7F3614EC"/>
    <w:rsid w:val="7F484B27"/>
    <w:rsid w:val="7F4D0AA3"/>
    <w:rsid w:val="7F6556D9"/>
    <w:rsid w:val="7F6A7194"/>
    <w:rsid w:val="7F89586C"/>
    <w:rsid w:val="7F954211"/>
    <w:rsid w:val="7FCB79CD"/>
    <w:rsid w:val="7FD1712E"/>
    <w:rsid w:val="7FD97B53"/>
    <w:rsid w:val="7FE138D8"/>
    <w:rsid w:val="7FEC2F14"/>
    <w:rsid w:val="7FF378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1"/>
      <w:lang w:val="en-US" w:eastAsia="zh-CN" w:bidi="ar-SA"/>
    </w:rPr>
  </w:style>
  <w:style w:type="paragraph" w:styleId="4">
    <w:name w:val="heading 1"/>
    <w:basedOn w:val="1"/>
    <w:next w:val="1"/>
    <w:link w:val="54"/>
    <w:autoRedefine/>
    <w:qFormat/>
    <w:uiPriority w:val="0"/>
    <w:pPr>
      <w:keepNext/>
      <w:keepLines/>
      <w:widowControl w:val="0"/>
      <w:tabs>
        <w:tab w:val="left" w:pos="840"/>
      </w:tabs>
      <w:adjustRightInd w:val="0"/>
      <w:snapToGrid w:val="0"/>
      <w:spacing w:line="360" w:lineRule="auto"/>
      <w:jc w:val="both"/>
      <w:outlineLvl w:val="0"/>
    </w:pPr>
    <w:rPr>
      <w:rFonts w:ascii="宋体"/>
      <w:b/>
      <w:kern w:val="44"/>
      <w:sz w:val="24"/>
    </w:rPr>
  </w:style>
  <w:style w:type="paragraph" w:styleId="5">
    <w:name w:val="heading 2"/>
    <w:basedOn w:val="1"/>
    <w:next w:val="1"/>
    <w:link w:val="57"/>
    <w:autoRedefine/>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46"/>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Lines="100" w:line="360" w:lineRule="auto"/>
      <w:outlineLvl w:val="3"/>
    </w:pPr>
    <w:rPr>
      <w:rFonts w:ascii="Arial" w:hAnsi="Arial"/>
      <w:b/>
      <w:bCs/>
      <w:sz w:val="24"/>
      <w:szCs w:val="28"/>
    </w:rPr>
  </w:style>
  <w:style w:type="character" w:default="1" w:styleId="29">
    <w:name w:val="Default Paragraph Font"/>
    <w:autoRedefine/>
    <w:unhideWhenUsed/>
    <w:qFormat/>
    <w:uiPriority w:val="1"/>
  </w:style>
  <w:style w:type="table" w:default="1" w:styleId="27">
    <w:name w:val="Normal Table"/>
    <w:autoRedefine/>
    <w:unhideWhenUsed/>
    <w:qFormat/>
    <w:uiPriority w:val="99"/>
    <w:tblPr>
      <w:tblCellMar>
        <w:top w:w="0" w:type="dxa"/>
        <w:left w:w="108" w:type="dxa"/>
        <w:bottom w:w="0" w:type="dxa"/>
        <w:right w:w="108" w:type="dxa"/>
      </w:tblCellMar>
    </w:tblPr>
  </w:style>
  <w:style w:type="paragraph" w:styleId="2">
    <w:name w:val="Body Text First Indent"/>
    <w:basedOn w:val="3"/>
    <w:next w:val="1"/>
    <w:link w:val="49"/>
    <w:autoRedefine/>
    <w:qFormat/>
    <w:uiPriority w:val="0"/>
    <w:pPr>
      <w:widowControl/>
      <w:spacing w:after="120" w:line="240" w:lineRule="auto"/>
      <w:ind w:firstLine="420" w:firstLineChars="100"/>
      <w:jc w:val="left"/>
    </w:pPr>
    <w:rPr>
      <w:rFonts w:ascii="Times New Roman"/>
      <w:sz w:val="21"/>
    </w:rPr>
  </w:style>
  <w:style w:type="paragraph" w:styleId="3">
    <w:name w:val="Body Text"/>
    <w:basedOn w:val="1"/>
    <w:next w:val="2"/>
    <w:link w:val="59"/>
    <w:autoRedefine/>
    <w:qFormat/>
    <w:uiPriority w:val="0"/>
    <w:pPr>
      <w:widowControl w:val="0"/>
      <w:spacing w:line="360" w:lineRule="auto"/>
      <w:jc w:val="both"/>
    </w:pPr>
    <w:rPr>
      <w:rFonts w:ascii="楷体_GB2312" w:eastAsia="楷体_GB2312"/>
      <w:kern w:val="2"/>
      <w:sz w:val="32"/>
    </w:rPr>
  </w:style>
  <w:style w:type="paragraph" w:styleId="8">
    <w:name w:val="Normal Indent"/>
    <w:basedOn w:val="1"/>
    <w:link w:val="50"/>
    <w:autoRedefine/>
    <w:qFormat/>
    <w:uiPriority w:val="0"/>
    <w:pPr>
      <w:ind w:firstLine="420"/>
    </w:pPr>
  </w:style>
  <w:style w:type="paragraph" w:styleId="9">
    <w:name w:val="caption"/>
    <w:basedOn w:val="1"/>
    <w:next w:val="1"/>
    <w:autoRedefine/>
    <w:qFormat/>
    <w:uiPriority w:val="0"/>
    <w:pPr>
      <w:spacing w:before="152" w:after="160"/>
    </w:pPr>
    <w:rPr>
      <w:rFonts w:ascii="Arial" w:hAnsi="Arial" w:eastAsia="黑体" w:cs="Arial"/>
      <w:sz w:val="20"/>
      <w:szCs w:val="20"/>
    </w:rPr>
  </w:style>
  <w:style w:type="paragraph" w:styleId="10">
    <w:name w:val="Document Map"/>
    <w:basedOn w:val="1"/>
    <w:link w:val="52"/>
    <w:autoRedefine/>
    <w:unhideWhenUsed/>
    <w:qFormat/>
    <w:uiPriority w:val="0"/>
    <w:rPr>
      <w:rFonts w:ascii="宋体"/>
      <w:sz w:val="18"/>
      <w:szCs w:val="18"/>
    </w:rPr>
  </w:style>
  <w:style w:type="paragraph" w:styleId="11">
    <w:name w:val="annotation text"/>
    <w:basedOn w:val="1"/>
    <w:autoRedefine/>
    <w:qFormat/>
    <w:uiPriority w:val="0"/>
    <w:pPr>
      <w:jc w:val="left"/>
    </w:pPr>
  </w:style>
  <w:style w:type="paragraph" w:styleId="12">
    <w:name w:val="Body Text Indent"/>
    <w:basedOn w:val="1"/>
    <w:next w:val="13"/>
    <w:autoRedefine/>
    <w:qFormat/>
    <w:uiPriority w:val="0"/>
    <w:pPr>
      <w:spacing w:after="120"/>
      <w:ind w:left="420" w:leftChars="200"/>
    </w:pPr>
  </w:style>
  <w:style w:type="paragraph" w:styleId="13">
    <w:name w:val="Body Text First Indent 2"/>
    <w:basedOn w:val="12"/>
    <w:autoRedefine/>
    <w:qFormat/>
    <w:uiPriority w:val="0"/>
    <w:pPr>
      <w:tabs>
        <w:tab w:val="left" w:pos="0"/>
        <w:tab w:val="left" w:pos="993"/>
        <w:tab w:val="left" w:pos="1134"/>
      </w:tabs>
      <w:ind w:left="0" w:leftChars="0" w:firstLine="420"/>
    </w:pPr>
  </w:style>
  <w:style w:type="paragraph" w:styleId="14">
    <w:name w:val="Block Text"/>
    <w:basedOn w:val="1"/>
    <w:autoRedefine/>
    <w:qFormat/>
    <w:uiPriority w:val="0"/>
    <w:pPr>
      <w:spacing w:after="120"/>
      <w:ind w:left="1440" w:leftChars="700" w:right="1440" w:rightChars="700"/>
    </w:pPr>
  </w:style>
  <w:style w:type="paragraph" w:styleId="15">
    <w:name w:val="toc 3"/>
    <w:basedOn w:val="1"/>
    <w:next w:val="1"/>
    <w:autoRedefine/>
    <w:unhideWhenUsed/>
    <w:qFormat/>
    <w:uiPriority w:val="0"/>
    <w:pPr>
      <w:ind w:left="840" w:leftChars="400"/>
    </w:pPr>
  </w:style>
  <w:style w:type="paragraph" w:styleId="16">
    <w:name w:val="Plain Text"/>
    <w:basedOn w:val="1"/>
    <w:next w:val="1"/>
    <w:link w:val="62"/>
    <w:autoRedefine/>
    <w:qFormat/>
    <w:uiPriority w:val="0"/>
    <w:pPr>
      <w:widowControl w:val="0"/>
      <w:jc w:val="both"/>
    </w:pPr>
    <w:rPr>
      <w:rFonts w:ascii="宋体" w:hAnsi="Courier New"/>
      <w:kern w:val="2"/>
    </w:rPr>
  </w:style>
  <w:style w:type="paragraph" w:styleId="17">
    <w:name w:val="Date"/>
    <w:basedOn w:val="1"/>
    <w:next w:val="1"/>
    <w:autoRedefine/>
    <w:qFormat/>
    <w:uiPriority w:val="0"/>
    <w:pPr>
      <w:widowControl w:val="0"/>
      <w:jc w:val="both"/>
    </w:pPr>
    <w:rPr>
      <w:rFonts w:ascii="宋体"/>
      <w:sz w:val="24"/>
    </w:rPr>
  </w:style>
  <w:style w:type="paragraph" w:styleId="18">
    <w:name w:val="Balloon Text"/>
    <w:basedOn w:val="1"/>
    <w:link w:val="56"/>
    <w:autoRedefine/>
    <w:unhideWhenUsed/>
    <w:qFormat/>
    <w:uiPriority w:val="0"/>
    <w:rPr>
      <w:sz w:val="18"/>
      <w:szCs w:val="18"/>
    </w:rPr>
  </w:style>
  <w:style w:type="paragraph" w:styleId="19">
    <w:name w:val="footer"/>
    <w:basedOn w:val="1"/>
    <w:link w:val="58"/>
    <w:autoRedefine/>
    <w:qFormat/>
    <w:uiPriority w:val="0"/>
    <w:pPr>
      <w:tabs>
        <w:tab w:val="center" w:pos="4153"/>
        <w:tab w:val="right" w:pos="8306"/>
      </w:tabs>
      <w:snapToGrid w:val="0"/>
    </w:pPr>
    <w:rPr>
      <w:sz w:val="18"/>
    </w:rPr>
  </w:style>
  <w:style w:type="paragraph" w:styleId="20">
    <w:name w:val="header"/>
    <w:basedOn w:val="1"/>
    <w:link w:val="6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tabs>
        <w:tab w:val="right" w:leader="middleDot" w:pos="8948"/>
      </w:tabs>
    </w:pPr>
    <w:rPr>
      <w:rFonts w:ascii="宋体" w:hAnsi="宋体"/>
      <w:b/>
      <w:bCs/>
      <w:caps/>
      <w:szCs w:val="21"/>
    </w:rPr>
  </w:style>
  <w:style w:type="paragraph" w:styleId="22">
    <w:name w:val="List"/>
    <w:basedOn w:val="1"/>
    <w:autoRedefine/>
    <w:qFormat/>
    <w:uiPriority w:val="0"/>
    <w:pPr>
      <w:ind w:left="200" w:hanging="200" w:hangingChars="200"/>
    </w:pPr>
    <w:rPr>
      <w:sz w:val="28"/>
    </w:rPr>
  </w:style>
  <w:style w:type="paragraph" w:styleId="23">
    <w:name w:val="toc 6"/>
    <w:basedOn w:val="1"/>
    <w:next w:val="1"/>
    <w:autoRedefine/>
    <w:qFormat/>
    <w:uiPriority w:val="0"/>
    <w:pPr>
      <w:ind w:left="2100" w:leftChars="1000"/>
    </w:pPr>
    <w:rPr>
      <w:szCs w:val="22"/>
    </w:rPr>
  </w:style>
  <w:style w:type="paragraph" w:styleId="24">
    <w:name w:val="toc 2"/>
    <w:basedOn w:val="1"/>
    <w:next w:val="1"/>
    <w:autoRedefine/>
    <w:qFormat/>
    <w:uiPriority w:val="39"/>
    <w:pPr>
      <w:tabs>
        <w:tab w:val="right" w:leader="middleDot" w:pos="8948"/>
      </w:tabs>
      <w:spacing w:before="60" w:after="60"/>
      <w:ind w:left="210"/>
    </w:pPr>
    <w:rPr>
      <w:smallCaps/>
    </w:rPr>
  </w:style>
  <w:style w:type="paragraph" w:styleId="25">
    <w:name w:val="Normal (Web)"/>
    <w:basedOn w:val="1"/>
    <w:autoRedefine/>
    <w:qFormat/>
    <w:uiPriority w:val="0"/>
    <w:pPr>
      <w:spacing w:before="100" w:beforeAutospacing="1" w:after="100" w:afterAutospacing="1"/>
    </w:pPr>
    <w:rPr>
      <w:rFonts w:ascii="Arial Unicode MS" w:hAnsi="Arial Unicode MS" w:eastAsia="Times New Roman"/>
      <w:color w:val="000000"/>
      <w:sz w:val="24"/>
      <w:szCs w:val="24"/>
    </w:rPr>
  </w:style>
  <w:style w:type="paragraph" w:styleId="26">
    <w:name w:val="Title"/>
    <w:basedOn w:val="1"/>
    <w:next w:val="1"/>
    <w:autoRedefine/>
    <w:qFormat/>
    <w:uiPriority w:val="0"/>
    <w:pPr>
      <w:pBdr>
        <w:top w:val="single" w:color="A7BFDE" w:sz="8" w:space="10"/>
        <w:bottom w:val="single" w:color="9BBB59" w:sz="24" w:space="15"/>
      </w:pBdr>
      <w:jc w:val="center"/>
    </w:pPr>
    <w:rPr>
      <w:rFonts w:ascii="宋体" w:hAnsi="Courier New" w:eastAsia="宋体" w:cs="Courier New"/>
      <w:sz w:val="21"/>
      <w:szCs w:val="21"/>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0"/>
    <w:rPr>
      <w:b/>
      <w:bCs/>
    </w:rPr>
  </w:style>
  <w:style w:type="character" w:styleId="31">
    <w:name w:val="page number"/>
    <w:autoRedefine/>
    <w:qFormat/>
    <w:uiPriority w:val="0"/>
  </w:style>
  <w:style w:type="character" w:styleId="32">
    <w:name w:val="FollowedHyperlink"/>
    <w:autoRedefine/>
    <w:qFormat/>
    <w:uiPriority w:val="0"/>
    <w:rPr>
      <w:color w:val="800080"/>
      <w:u w:val="single"/>
    </w:rPr>
  </w:style>
  <w:style w:type="character" w:styleId="33">
    <w:name w:val="Emphasis"/>
    <w:basedOn w:val="29"/>
    <w:autoRedefine/>
    <w:qFormat/>
    <w:uiPriority w:val="0"/>
  </w:style>
  <w:style w:type="character" w:styleId="34">
    <w:name w:val="HTML Definition"/>
    <w:basedOn w:val="29"/>
    <w:autoRedefine/>
    <w:qFormat/>
    <w:uiPriority w:val="0"/>
  </w:style>
  <w:style w:type="character" w:styleId="35">
    <w:name w:val="HTML Typewriter"/>
    <w:basedOn w:val="29"/>
    <w:autoRedefine/>
    <w:qFormat/>
    <w:uiPriority w:val="0"/>
    <w:rPr>
      <w:rFonts w:ascii="monospace" w:hAnsi="monospace" w:eastAsia="monospace" w:cs="monospace"/>
      <w:sz w:val="20"/>
    </w:rPr>
  </w:style>
  <w:style w:type="character" w:styleId="36">
    <w:name w:val="HTML Acronym"/>
    <w:basedOn w:val="29"/>
    <w:autoRedefine/>
    <w:qFormat/>
    <w:uiPriority w:val="0"/>
  </w:style>
  <w:style w:type="character" w:styleId="37">
    <w:name w:val="HTML Variable"/>
    <w:basedOn w:val="29"/>
    <w:autoRedefine/>
    <w:qFormat/>
    <w:uiPriority w:val="0"/>
  </w:style>
  <w:style w:type="character" w:styleId="38">
    <w:name w:val="Hyperlink"/>
    <w:autoRedefine/>
    <w:qFormat/>
    <w:uiPriority w:val="99"/>
    <w:rPr>
      <w:color w:val="0000FF"/>
      <w:u w:val="single"/>
    </w:rPr>
  </w:style>
  <w:style w:type="character" w:styleId="39">
    <w:name w:val="HTML Code"/>
    <w:basedOn w:val="29"/>
    <w:autoRedefine/>
    <w:qFormat/>
    <w:uiPriority w:val="0"/>
    <w:rPr>
      <w:rFonts w:hint="default" w:ascii="monospace" w:hAnsi="monospace" w:eastAsia="monospace" w:cs="monospace"/>
      <w:sz w:val="20"/>
    </w:rPr>
  </w:style>
  <w:style w:type="character" w:styleId="40">
    <w:name w:val="annotation reference"/>
    <w:autoRedefine/>
    <w:qFormat/>
    <w:uiPriority w:val="0"/>
    <w:rPr>
      <w:sz w:val="21"/>
      <w:szCs w:val="21"/>
    </w:rPr>
  </w:style>
  <w:style w:type="character" w:styleId="41">
    <w:name w:val="HTML Cite"/>
    <w:basedOn w:val="29"/>
    <w:autoRedefine/>
    <w:qFormat/>
    <w:uiPriority w:val="0"/>
  </w:style>
  <w:style w:type="character" w:styleId="42">
    <w:name w:val="HTML Keyboard"/>
    <w:basedOn w:val="29"/>
    <w:autoRedefine/>
    <w:qFormat/>
    <w:uiPriority w:val="0"/>
    <w:rPr>
      <w:rFonts w:hint="default" w:ascii="monospace" w:hAnsi="monospace" w:eastAsia="monospace" w:cs="monospace"/>
      <w:sz w:val="20"/>
    </w:rPr>
  </w:style>
  <w:style w:type="character" w:styleId="43">
    <w:name w:val="HTML Sample"/>
    <w:basedOn w:val="29"/>
    <w:autoRedefine/>
    <w:qFormat/>
    <w:uiPriority w:val="0"/>
    <w:rPr>
      <w:rFonts w:hint="default" w:ascii="monospace" w:hAnsi="monospace" w:eastAsia="monospace" w:cs="monospace"/>
    </w:rPr>
  </w:style>
  <w:style w:type="paragraph" w:customStyle="1" w:styleId="44">
    <w:name w:val="无间距1"/>
    <w:autoRedefine/>
    <w:qFormat/>
    <w:uiPriority w:val="0"/>
    <w:pPr>
      <w:widowControl w:val="0"/>
      <w:jc w:val="both"/>
    </w:pPr>
    <w:rPr>
      <w:rFonts w:ascii="Calibri" w:hAnsi="Calibri" w:eastAsia="微软雅黑 Light" w:cs="Times New Roman"/>
      <w:kern w:val="2"/>
      <w:sz w:val="24"/>
      <w:szCs w:val="22"/>
      <w:lang w:val="en-US" w:eastAsia="zh-CN" w:bidi="ar-SA"/>
    </w:rPr>
  </w:style>
  <w:style w:type="paragraph" w:customStyle="1" w:styleId="45">
    <w:name w:val="章正文"/>
    <w:basedOn w:val="1"/>
    <w:autoRedefine/>
    <w:qFormat/>
    <w:uiPriority w:val="0"/>
    <w:pPr>
      <w:spacing w:before="156" w:beforeLines="50" w:after="120" w:line="300" w:lineRule="auto"/>
      <w:ind w:firstLine="480"/>
    </w:pPr>
    <w:rPr>
      <w:rFonts w:ascii="Helvetica" w:hAnsi="Helvetica"/>
      <w:kern w:val="0"/>
      <w:sz w:val="24"/>
    </w:rPr>
  </w:style>
  <w:style w:type="character" w:customStyle="1" w:styleId="46">
    <w:name w:val="标题 3 Char"/>
    <w:link w:val="6"/>
    <w:autoRedefine/>
    <w:qFormat/>
    <w:uiPriority w:val="0"/>
    <w:rPr>
      <w:rFonts w:eastAsia="宋体"/>
      <w:b/>
      <w:bCs/>
      <w:sz w:val="32"/>
      <w:szCs w:val="32"/>
      <w:lang w:bidi="ar-SA"/>
    </w:rPr>
  </w:style>
  <w:style w:type="character" w:customStyle="1" w:styleId="47">
    <w:name w:val="hang1"/>
    <w:basedOn w:val="29"/>
    <w:autoRedefine/>
    <w:qFormat/>
    <w:uiPriority w:val="0"/>
  </w:style>
  <w:style w:type="character" w:customStyle="1" w:styleId="48">
    <w:name w:val="font01"/>
    <w:basedOn w:val="29"/>
    <w:autoRedefine/>
    <w:qFormat/>
    <w:uiPriority w:val="0"/>
    <w:rPr>
      <w:rFonts w:hint="eastAsia" w:ascii="宋体" w:hAnsi="宋体" w:eastAsia="宋体" w:cs="宋体"/>
      <w:color w:val="000000"/>
      <w:sz w:val="22"/>
      <w:szCs w:val="22"/>
      <w:u w:val="none"/>
    </w:rPr>
  </w:style>
  <w:style w:type="character" w:customStyle="1" w:styleId="49">
    <w:name w:val="正文首行缩进 Char"/>
    <w:link w:val="2"/>
    <w:autoRedefine/>
    <w:qFormat/>
    <w:uiPriority w:val="0"/>
    <w:rPr>
      <w:rFonts w:eastAsia="楷体_GB2312"/>
      <w:kern w:val="2"/>
      <w:sz w:val="21"/>
      <w:lang w:bidi="ar-SA"/>
    </w:rPr>
  </w:style>
  <w:style w:type="character" w:customStyle="1" w:styleId="50">
    <w:name w:val="正文缩进 Char"/>
    <w:link w:val="8"/>
    <w:autoRedefine/>
    <w:qFormat/>
    <w:uiPriority w:val="0"/>
    <w:rPr>
      <w:rFonts w:eastAsia="宋体"/>
      <w:sz w:val="21"/>
      <w:lang w:bidi="ar-SA"/>
    </w:rPr>
  </w:style>
  <w:style w:type="character" w:customStyle="1" w:styleId="51">
    <w:name w:val="页眉 Char"/>
    <w:autoRedefine/>
    <w:qFormat/>
    <w:uiPriority w:val="0"/>
    <w:rPr>
      <w:kern w:val="2"/>
      <w:sz w:val="18"/>
      <w:szCs w:val="18"/>
    </w:rPr>
  </w:style>
  <w:style w:type="character" w:customStyle="1" w:styleId="52">
    <w:name w:val="文档结构图 Char"/>
    <w:link w:val="10"/>
    <w:autoRedefine/>
    <w:semiHidden/>
    <w:qFormat/>
    <w:uiPriority w:val="0"/>
    <w:rPr>
      <w:rFonts w:ascii="宋体" w:eastAsia="宋体"/>
      <w:sz w:val="18"/>
      <w:szCs w:val="18"/>
      <w:lang w:bidi="ar-SA"/>
    </w:rPr>
  </w:style>
  <w:style w:type="character" w:customStyle="1" w:styleId="53">
    <w:name w:val="apple-style-span"/>
    <w:autoRedefine/>
    <w:qFormat/>
    <w:uiPriority w:val="0"/>
  </w:style>
  <w:style w:type="character" w:customStyle="1" w:styleId="54">
    <w:name w:val="标题 1 Char"/>
    <w:link w:val="4"/>
    <w:autoRedefine/>
    <w:qFormat/>
    <w:uiPriority w:val="0"/>
    <w:rPr>
      <w:rFonts w:ascii="宋体" w:eastAsia="宋体"/>
      <w:b/>
      <w:kern w:val="44"/>
      <w:sz w:val="24"/>
      <w:lang w:bidi="ar-SA"/>
    </w:rPr>
  </w:style>
  <w:style w:type="character" w:customStyle="1" w:styleId="55">
    <w:name w:val="纯文本 Char Char Char Char Char Char Char Char Char Char Char Char Char Char3"/>
    <w:autoRedefine/>
    <w:qFormat/>
    <w:uiPriority w:val="0"/>
    <w:rPr>
      <w:rFonts w:ascii="宋体" w:hAnsi="Courier New"/>
      <w:sz w:val="18"/>
      <w:lang w:bidi="ar-SA"/>
    </w:rPr>
  </w:style>
  <w:style w:type="character" w:customStyle="1" w:styleId="56">
    <w:name w:val="批注框文本 Char"/>
    <w:link w:val="18"/>
    <w:autoRedefine/>
    <w:semiHidden/>
    <w:qFormat/>
    <w:uiPriority w:val="0"/>
    <w:rPr>
      <w:rFonts w:eastAsia="宋体"/>
      <w:sz w:val="18"/>
      <w:szCs w:val="18"/>
      <w:lang w:bidi="ar-SA"/>
    </w:rPr>
  </w:style>
  <w:style w:type="character" w:customStyle="1" w:styleId="57">
    <w:name w:val="标题 2 Char"/>
    <w:link w:val="5"/>
    <w:autoRedefine/>
    <w:semiHidden/>
    <w:qFormat/>
    <w:uiPriority w:val="0"/>
    <w:rPr>
      <w:rFonts w:ascii="Cambria" w:hAnsi="Cambria" w:eastAsia="宋体"/>
      <w:b/>
      <w:bCs/>
      <w:sz w:val="32"/>
      <w:szCs w:val="32"/>
      <w:lang w:bidi="ar-SA"/>
    </w:rPr>
  </w:style>
  <w:style w:type="character" w:customStyle="1" w:styleId="58">
    <w:name w:val="页脚 Char"/>
    <w:link w:val="19"/>
    <w:autoRedefine/>
    <w:qFormat/>
    <w:uiPriority w:val="0"/>
    <w:rPr>
      <w:rFonts w:eastAsia="宋体"/>
      <w:sz w:val="18"/>
      <w:lang w:bidi="ar-SA"/>
    </w:rPr>
  </w:style>
  <w:style w:type="character" w:customStyle="1" w:styleId="59">
    <w:name w:val="正文文本 Char"/>
    <w:link w:val="3"/>
    <w:autoRedefine/>
    <w:qFormat/>
    <w:uiPriority w:val="0"/>
    <w:rPr>
      <w:rFonts w:ascii="楷体_GB2312" w:eastAsia="楷体_GB2312"/>
      <w:kern w:val="2"/>
      <w:sz w:val="32"/>
      <w:lang w:bidi="ar-SA"/>
    </w:rPr>
  </w:style>
  <w:style w:type="character" w:customStyle="1" w:styleId="60">
    <w:name w:val="Normal Indent Char"/>
    <w:autoRedefine/>
    <w:qFormat/>
    <w:locked/>
    <w:uiPriority w:val="0"/>
    <w:rPr>
      <w:rFonts w:ascii="Calibri" w:hAnsi="Calibri" w:eastAsia="宋体"/>
      <w:kern w:val="2"/>
      <w:sz w:val="21"/>
    </w:rPr>
  </w:style>
  <w:style w:type="character" w:customStyle="1" w:styleId="61">
    <w:name w:val="页眉 Char1"/>
    <w:link w:val="20"/>
    <w:autoRedefine/>
    <w:qFormat/>
    <w:uiPriority w:val="0"/>
    <w:rPr>
      <w:rFonts w:eastAsia="宋体"/>
      <w:sz w:val="18"/>
      <w:szCs w:val="18"/>
      <w:lang w:bidi="ar-SA"/>
    </w:rPr>
  </w:style>
  <w:style w:type="character" w:customStyle="1" w:styleId="62">
    <w:name w:val="纯文本 Char"/>
    <w:link w:val="16"/>
    <w:autoRedefine/>
    <w:qFormat/>
    <w:uiPriority w:val="0"/>
    <w:rPr>
      <w:rFonts w:ascii="宋体" w:hAnsi="Courier New" w:eastAsia="宋体"/>
      <w:kern w:val="2"/>
      <w:sz w:val="21"/>
      <w:lang w:bidi="ar-SA"/>
    </w:rPr>
  </w:style>
  <w:style w:type="character" w:customStyle="1" w:styleId="63">
    <w:name w:val="neinongs1"/>
    <w:autoRedefine/>
    <w:qFormat/>
    <w:uiPriority w:val="0"/>
  </w:style>
  <w:style w:type="character" w:customStyle="1" w:styleId="64">
    <w:name w:val="NormalCharacter"/>
    <w:autoRedefine/>
    <w:semiHidden/>
    <w:qFormat/>
    <w:uiPriority w:val="0"/>
  </w:style>
  <w:style w:type="paragraph" w:customStyle="1" w:styleId="65">
    <w:name w:val="_Style 7"/>
    <w:basedOn w:val="3"/>
    <w:next w:val="2"/>
    <w:autoRedefine/>
    <w:qFormat/>
    <w:uiPriority w:val="0"/>
    <w:pPr>
      <w:widowControl/>
      <w:ind w:firstLine="420" w:firstLineChars="100"/>
      <w:jc w:val="left"/>
    </w:pPr>
    <w:rPr>
      <w:rFonts w:ascii="Times New Roman"/>
    </w:rPr>
  </w:style>
  <w:style w:type="paragraph" w:customStyle="1" w:styleId="66">
    <w:name w:val="纯文本1"/>
    <w:basedOn w:val="67"/>
    <w:autoRedefine/>
    <w:qFormat/>
    <w:uiPriority w:val="0"/>
    <w:pPr>
      <w:widowControl/>
      <w:jc w:val="left"/>
    </w:pPr>
    <w:rPr>
      <w:rFonts w:ascii="宋体" w:hAnsi="Courier New"/>
    </w:rPr>
  </w:style>
  <w:style w:type="paragraph" w:customStyle="1" w:styleId="67">
    <w:name w:val="正文1"/>
    <w:basedOn w:val="15"/>
    <w:next w:v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8">
    <w:name w:val="Char Char Char Char Char Char Char"/>
    <w:basedOn w:val="1"/>
    <w:autoRedefine/>
    <w:qFormat/>
    <w:uiPriority w:val="0"/>
    <w:pPr>
      <w:widowControl w:val="0"/>
      <w:jc w:val="both"/>
    </w:pPr>
    <w:rPr>
      <w:rFonts w:ascii="仿宋_GB2312" w:eastAsia="仿宋_GB2312"/>
      <w:b/>
      <w:kern w:val="2"/>
      <w:sz w:val="32"/>
      <w:szCs w:val="32"/>
    </w:rPr>
  </w:style>
  <w:style w:type="paragraph" w:customStyle="1" w:styleId="69">
    <w:name w:val="List Paragraph"/>
    <w:basedOn w:val="1"/>
    <w:autoRedefine/>
    <w:qFormat/>
    <w:uiPriority w:val="99"/>
    <w:pPr>
      <w:ind w:firstLine="420" w:firstLineChars="200"/>
    </w:pPr>
  </w:style>
  <w:style w:type="paragraph" w:customStyle="1" w:styleId="70">
    <w:name w:val="正文首行缩进1"/>
    <w:basedOn w:val="3"/>
    <w:autoRedefine/>
    <w:qFormat/>
    <w:uiPriority w:val="0"/>
    <w:pPr>
      <w:spacing w:after="120" w:line="240" w:lineRule="auto"/>
      <w:ind w:firstLine="420" w:firstLineChars="100"/>
    </w:pPr>
    <w:rPr>
      <w:rFonts w:ascii="Times New Roman" w:eastAsia="宋体"/>
      <w:sz w:val="21"/>
      <w:szCs w:val="24"/>
    </w:rPr>
  </w:style>
  <w:style w:type="paragraph" w:customStyle="1" w:styleId="71">
    <w:name w:val="Body Text First Indent1"/>
    <w:basedOn w:val="3"/>
    <w:autoRedefine/>
    <w:qFormat/>
    <w:uiPriority w:val="99"/>
    <w:pPr>
      <w:adjustRightInd w:val="0"/>
      <w:spacing w:after="120"/>
      <w:ind w:firstLine="420"/>
      <w:textAlignment w:val="baseline"/>
    </w:pPr>
    <w:rPr>
      <w:sz w:val="24"/>
    </w:rPr>
  </w:style>
  <w:style w:type="paragraph" w:customStyle="1" w:styleId="72">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表格文字"/>
    <w:basedOn w:val="1"/>
    <w:next w:val="3"/>
    <w:autoRedefine/>
    <w:qFormat/>
    <w:uiPriority w:val="0"/>
    <w:pPr>
      <w:widowControl w:val="0"/>
    </w:pPr>
    <w:rPr>
      <w:rFonts w:ascii="Calibri" w:hAnsi="Calibri"/>
      <w:kern w:val="21"/>
      <w:szCs w:val="21"/>
    </w:rPr>
  </w:style>
  <w:style w:type="paragraph" w:customStyle="1" w:styleId="74">
    <w:name w:val="列出段落1"/>
    <w:basedOn w:val="1"/>
    <w:autoRedefine/>
    <w:qFormat/>
    <w:uiPriority w:val="0"/>
    <w:pPr>
      <w:ind w:firstLine="420" w:firstLineChars="200"/>
    </w:pPr>
  </w:style>
  <w:style w:type="paragraph" w:customStyle="1" w:styleId="75">
    <w:name w:val="Char Char Char1 Char Char Char Char Char Char Char Char Char1"/>
    <w:basedOn w:val="1"/>
    <w:autoRedefine/>
    <w:qFormat/>
    <w:uiPriority w:val="0"/>
    <w:pPr>
      <w:spacing w:after="160" w:line="240" w:lineRule="exact"/>
    </w:pPr>
    <w:rPr>
      <w:kern w:val="2"/>
      <w:szCs w:val="24"/>
    </w:rPr>
  </w:style>
  <w:style w:type="paragraph" w:customStyle="1" w:styleId="76">
    <w:name w:val="Char Char Char"/>
    <w:basedOn w:val="1"/>
    <w:autoRedefine/>
    <w:qFormat/>
    <w:uiPriority w:val="0"/>
    <w:pPr>
      <w:widowControl w:val="0"/>
      <w:jc w:val="both"/>
    </w:pPr>
    <w:rPr>
      <w:kern w:val="2"/>
    </w:rPr>
  </w:style>
  <w:style w:type="paragraph" w:customStyle="1" w:styleId="77">
    <w:name w:val="正文11"/>
    <w:basedOn w:val="1"/>
    <w:autoRedefine/>
    <w:qFormat/>
    <w:uiPriority w:val="0"/>
    <w:pPr>
      <w:adjustRightInd w:val="0"/>
      <w:spacing w:line="318" w:lineRule="atLeast"/>
      <w:ind w:left="369" w:firstLine="369"/>
      <w:textAlignment w:val="baseline"/>
    </w:pPr>
    <w:rPr>
      <w:rFonts w:ascii="宋体"/>
    </w:rPr>
  </w:style>
  <w:style w:type="paragraph" w:customStyle="1" w:styleId="78">
    <w:name w:val="Char Char"/>
    <w:basedOn w:val="1"/>
    <w:autoRedefine/>
    <w:qFormat/>
    <w:uiPriority w:val="0"/>
    <w:pPr>
      <w:widowControl w:val="0"/>
      <w:jc w:val="both"/>
    </w:pPr>
    <w:rPr>
      <w:rFonts w:ascii="仿宋_GB2312" w:eastAsia="仿宋_GB2312"/>
      <w:b/>
      <w:kern w:val="2"/>
      <w:sz w:val="32"/>
      <w:szCs w:val="32"/>
    </w:rPr>
  </w:style>
  <w:style w:type="paragraph" w:customStyle="1" w:styleId="79">
    <w:name w:val="Char Char Char Char Char Char Char Char Char Char Char Char Char"/>
    <w:basedOn w:val="1"/>
    <w:autoRedefine/>
    <w:qFormat/>
    <w:uiPriority w:val="0"/>
    <w:pPr>
      <w:widowControl w:val="0"/>
      <w:jc w:val="both"/>
    </w:pPr>
    <w:rPr>
      <w:rFonts w:ascii="仿宋_GB2312" w:hAnsi="宋体" w:eastAsia="仿宋_GB2312" w:cs="宋体"/>
      <w:b/>
      <w:bCs/>
      <w:color w:val="000000"/>
      <w:szCs w:val="21"/>
    </w:rPr>
  </w:style>
  <w:style w:type="paragraph" w:customStyle="1" w:styleId="80">
    <w:name w:val="xl35"/>
    <w:basedOn w:val="1"/>
    <w:autoRedefine/>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sz w:val="24"/>
      <w:szCs w:val="24"/>
    </w:rPr>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样式 正文文本缩进 + 左  0 字符"/>
    <w:basedOn w:val="12"/>
    <w:autoRedefine/>
    <w:qFormat/>
    <w:uiPriority w:val="0"/>
    <w:pPr>
      <w:widowControl w:val="0"/>
      <w:spacing w:after="0" w:line="360" w:lineRule="auto"/>
      <w:ind w:left="0" w:leftChars="0" w:firstLine="250" w:firstLineChars="250"/>
      <w:jc w:val="both"/>
    </w:pPr>
    <w:rPr>
      <w:kern w:val="2"/>
      <w:sz w:val="24"/>
    </w:rPr>
  </w:style>
  <w:style w:type="paragraph" w:customStyle="1" w:styleId="83">
    <w:name w:val="Char Char1 Char Char Char Char Char Char"/>
    <w:basedOn w:val="1"/>
    <w:autoRedefine/>
    <w:qFormat/>
    <w:uiPriority w:val="0"/>
    <w:pPr>
      <w:widowControl w:val="0"/>
      <w:spacing w:line="600" w:lineRule="exact"/>
      <w:jc w:val="both"/>
    </w:pPr>
    <w:rPr>
      <w:rFonts w:ascii="ˎ̥" w:hAnsi="ˎ̥" w:cs="宋体"/>
    </w:rPr>
  </w:style>
  <w:style w:type="paragraph" w:customStyle="1" w:styleId="84">
    <w:name w:val="Indent a)"/>
    <w:basedOn w:val="1"/>
    <w:autoRedefine/>
    <w:qFormat/>
    <w:uiPriority w:val="0"/>
    <w:pPr>
      <w:tabs>
        <w:tab w:val="left" w:pos="1843"/>
        <w:tab w:val="right" w:pos="9072"/>
      </w:tabs>
      <w:suppressAutoHyphens/>
      <w:spacing w:line="360" w:lineRule="auto"/>
      <w:ind w:right="-21" w:rightChars="-10" w:firstLine="420" w:firstLineChars="175"/>
    </w:pPr>
    <w:rPr>
      <w:sz w:val="24"/>
    </w:rPr>
  </w:style>
  <w:style w:type="paragraph" w:customStyle="1" w:styleId="85">
    <w:name w:val="投标正文"/>
    <w:basedOn w:val="1"/>
    <w:autoRedefine/>
    <w:qFormat/>
    <w:uiPriority w:val="0"/>
    <w:pPr>
      <w:spacing w:line="360" w:lineRule="auto"/>
      <w:ind w:left="102" w:firstLine="200" w:firstLineChars="200"/>
    </w:pPr>
    <w:rPr>
      <w:sz w:val="24"/>
    </w:rPr>
  </w:style>
  <w:style w:type="paragraph" w:customStyle="1" w:styleId="86">
    <w:name w:val="p0"/>
    <w:basedOn w:val="1"/>
    <w:autoRedefine/>
    <w:unhideWhenUsed/>
    <w:qFormat/>
    <w:uiPriority w:val="0"/>
    <w:pPr>
      <w:widowControl/>
      <w:spacing w:line="324" w:lineRule="auto"/>
    </w:pPr>
    <w:rPr>
      <w:rFonts w:hint="eastAsia" w:ascii="Times New Roman" w:hAnsi="Times New Roman" w:eastAsia="仿宋_GB2312"/>
      <w:sz w:val="24"/>
      <w:szCs w:val="20"/>
    </w:rPr>
  </w:style>
  <w:style w:type="paragraph" w:customStyle="1" w:styleId="87">
    <w:name w:val="*正文"/>
    <w:basedOn w:val="1"/>
    <w:autoRedefine/>
    <w:qFormat/>
    <w:uiPriority w:val="0"/>
    <w:pPr>
      <w:widowControl w:val="0"/>
      <w:ind w:firstLine="560" w:firstLineChars="200"/>
    </w:pPr>
    <w:rPr>
      <w:rFonts w:ascii="Times New Roman" w:hAnsi="Times New Roman" w:eastAsia="仿宋_GB2312" w:cs="仿宋_GB2312"/>
      <w:kern w:val="2"/>
      <w:sz w:val="28"/>
      <w:shd w:val="clear" w:color="auto" w:fill="FFFFFF"/>
    </w:rPr>
  </w:style>
  <w:style w:type="paragraph" w:customStyle="1" w:styleId="88">
    <w:name w:val="本文-正文"/>
    <w:basedOn w:val="1"/>
    <w:next w:val="1"/>
    <w:autoRedefine/>
    <w:qFormat/>
    <w:uiPriority w:val="0"/>
    <w:pPr>
      <w:widowControl w:val="0"/>
      <w:spacing w:line="360" w:lineRule="auto"/>
      <w:ind w:firstLine="200" w:firstLineChars="200"/>
      <w:jc w:val="both"/>
    </w:pPr>
    <w:rPr>
      <w:rFonts w:ascii="Times New Roman" w:hAnsi="Times New Roman" w:cs="Times New Roman"/>
      <w:kern w:val="2"/>
      <w:sz w:val="28"/>
    </w:rPr>
  </w:style>
  <w:style w:type="paragraph" w:customStyle="1" w:styleId="89">
    <w:name w:val="Normal Indent1"/>
    <w:basedOn w:val="1"/>
    <w:autoRedefine/>
    <w:qFormat/>
    <w:uiPriority w:val="0"/>
    <w:pPr>
      <w:ind w:firstLine="420"/>
    </w:pPr>
    <w:rPr>
      <w:rFonts w:ascii="Times New Roman" w:hAnsi="Times New Roman" w:eastAsia="宋体" w:cs="Times New Roman"/>
    </w:rPr>
  </w:style>
  <w:style w:type="paragraph" w:customStyle="1" w:styleId="90">
    <w:name w:val="Body text|1"/>
    <w:basedOn w:val="1"/>
    <w:autoRedefine/>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91">
    <w:name w:val="Heading1"/>
    <w:basedOn w:val="1"/>
    <w:next w:val="1"/>
    <w:autoRedefine/>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92">
    <w:name w:val="Plain Text"/>
    <w:basedOn w:val="1"/>
    <w:autoRedefine/>
    <w:qFormat/>
    <w:uiPriority w:val="0"/>
    <w:pPr>
      <w:adjustRightInd w:val="0"/>
      <w:textAlignment w:val="baseline"/>
    </w:pPr>
    <w:rPr>
      <w:rFonts w:ascii="宋体" w:hAnsi="Courier New" w:eastAsia="楷体_GB2312"/>
      <w:sz w:val="26"/>
      <w:szCs w:val="20"/>
    </w:rPr>
  </w:style>
  <w:style w:type="character" w:customStyle="1" w:styleId="93">
    <w:name w:val="font11"/>
    <w:basedOn w:val="29"/>
    <w:autoRedefine/>
    <w:qFormat/>
    <w:uiPriority w:val="0"/>
    <w:rPr>
      <w:rFonts w:hint="eastAsia" w:ascii="宋体" w:hAnsi="宋体" w:eastAsia="宋体" w:cs="宋体"/>
      <w:b/>
      <w:color w:val="000000"/>
      <w:sz w:val="18"/>
      <w:szCs w:val="18"/>
      <w:u w:val="none"/>
    </w:rPr>
  </w:style>
  <w:style w:type="paragraph" w:customStyle="1" w:styleId="94">
    <w:name w:val=" Char Char Char1 Char Char Char Char Char Char Char Char Char1"/>
    <w:basedOn w:val="1"/>
    <w:autoRedefine/>
    <w:qFormat/>
    <w:uiPriority w:val="0"/>
    <w:pPr>
      <w:spacing w:after="160" w:line="240" w:lineRule="exact"/>
    </w:pPr>
    <w:rPr>
      <w:rFonts w:ascii="Times New Roman" w:hAnsi="Times New Roman" w:cs="Times New Roman"/>
      <w:kern w:val="2"/>
      <w:sz w:val="21"/>
    </w:rPr>
  </w:style>
  <w:style w:type="paragraph" w:customStyle="1" w:styleId="95">
    <w:name w:val="BZ_列举"/>
    <w:basedOn w:val="1"/>
    <w:autoRedefine/>
    <w:qFormat/>
    <w:uiPriority w:val="0"/>
    <w:pPr>
      <w:numPr>
        <w:ilvl w:val="0"/>
        <w:numId w:val="1"/>
      </w:numPr>
      <w:tabs>
        <w:tab w:val="left" w:pos="0"/>
      </w:tabs>
      <w:spacing w:line="360" w:lineRule="auto"/>
      <w:jc w:val="both"/>
    </w:pPr>
    <w:rPr>
      <w:rFonts w:ascii="Times New Roman" w:hAnsi="Times New Roman" w:cs="Times New Roman"/>
      <w:kern w:val="2"/>
    </w:rPr>
  </w:style>
  <w:style w:type="paragraph" w:customStyle="1" w:styleId="96">
    <w:name w:val="样式1"/>
    <w:basedOn w:val="1"/>
    <w:autoRedefine/>
    <w:qFormat/>
    <w:uiPriority w:val="0"/>
    <w:pPr>
      <w:spacing w:line="360" w:lineRule="exact"/>
      <w:ind w:firstLine="200" w:firstLineChars="200"/>
    </w:pPr>
    <w:rPr>
      <w:rFonts w:ascii="Arial" w:hAnsi="Arial"/>
    </w:rPr>
  </w:style>
  <w:style w:type="paragraph" w:customStyle="1" w:styleId="97">
    <w:name w:val="Table Text"/>
    <w:basedOn w:val="1"/>
    <w:autoRedefine/>
    <w:semiHidden/>
    <w:qFormat/>
    <w:uiPriority w:val="0"/>
    <w:rPr>
      <w:rFonts w:ascii="微软雅黑" w:hAnsi="微软雅黑" w:eastAsia="微软雅黑" w:cs="微软雅黑"/>
      <w:sz w:val="24"/>
      <w:szCs w:val="24"/>
      <w:lang w:val="en-US" w:eastAsia="en-US" w:bidi="ar-SA"/>
    </w:rPr>
  </w:style>
  <w:style w:type="paragraph" w:customStyle="1" w:styleId="98">
    <w:name w:val="正文_new"/>
    <w:basedOn w:val="1"/>
    <w:qFormat/>
    <w:uiPriority w:val="0"/>
    <w:pPr>
      <w:adjustRightInd w:val="0"/>
      <w:snapToGrid w:val="0"/>
      <w:spacing w:line="360" w:lineRule="auto"/>
      <w:ind w:firstLine="480" w:firstLineChars="200"/>
    </w:pPr>
    <w:rPr>
      <w:rFonts w:ascii="Times New Roman" w:hAnsi="Times New Roman"/>
    </w:rPr>
  </w:style>
  <w:style w:type="character" w:customStyle="1" w:styleId="99">
    <w:name w:val="font31"/>
    <w:basedOn w:val="29"/>
    <w:autoRedefine/>
    <w:qFormat/>
    <w:uiPriority w:val="0"/>
    <w:rPr>
      <w:rFonts w:hint="eastAsia" w:ascii="宋体" w:hAnsi="宋体" w:eastAsia="宋体" w:cs="宋体"/>
      <w:color w:val="000000"/>
      <w:sz w:val="21"/>
      <w:szCs w:val="21"/>
      <w:u w:val="none"/>
    </w:rPr>
  </w:style>
  <w:style w:type="character" w:customStyle="1" w:styleId="100">
    <w:name w:val="font21"/>
    <w:basedOn w:val="29"/>
    <w:autoRedefine/>
    <w:qFormat/>
    <w:uiPriority w:val="0"/>
    <w:rPr>
      <w:rFonts w:hint="eastAsia" w:ascii="宋体" w:hAnsi="宋体" w:eastAsia="宋体" w:cs="宋体"/>
      <w:color w:val="000000"/>
      <w:sz w:val="21"/>
      <w:szCs w:val="21"/>
      <w:u w:val="none"/>
    </w:rPr>
  </w:style>
  <w:style w:type="character" w:customStyle="1" w:styleId="101">
    <w:name w:val="font41"/>
    <w:basedOn w:val="29"/>
    <w:autoRedefine/>
    <w:qFormat/>
    <w:uiPriority w:val="0"/>
    <w:rPr>
      <w:rFonts w:hint="eastAsia" w:ascii="宋体" w:hAnsi="宋体" w:eastAsia="宋体" w:cs="宋体"/>
      <w:color w:val="000000"/>
      <w:sz w:val="22"/>
      <w:szCs w:val="22"/>
      <w:u w:val="none"/>
    </w:rPr>
  </w:style>
  <w:style w:type="table" w:customStyle="1" w:styleId="102">
    <w:name w:val="Table Normal"/>
    <w:unhideWhenUsed/>
    <w:qFormat/>
    <w:uiPriority w:val="2"/>
    <w:tblPr>
      <w:tblCellMar>
        <w:top w:w="0" w:type="dxa"/>
        <w:left w:w="0" w:type="dxa"/>
        <w:bottom w:w="0" w:type="dxa"/>
        <w:right w:w="0" w:type="dxa"/>
      </w:tblCellMar>
    </w:tblPr>
  </w:style>
  <w:style w:type="paragraph" w:customStyle="1" w:styleId="103">
    <w:name w:val="0段落文字"/>
    <w:basedOn w:val="1"/>
    <w:qFormat/>
    <w:uiPriority w:val="0"/>
    <w:pPr>
      <w:spacing w:line="360" w:lineRule="auto"/>
      <w:ind w:firstLine="20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12360</Words>
  <Characters>13417</Characters>
  <Lines>1</Lines>
  <Paragraphs>1</Paragraphs>
  <TotalTime>92</TotalTime>
  <ScaleCrop>false</ScaleCrop>
  <LinksUpToDate>false</LinksUpToDate>
  <CharactersWithSpaces>13593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2022-08-01T07:05:00Z</dcterms:created>
  <dc:creator>王桢之</dc:creator>
  <cp:lastModifiedBy>把耳朵捂住</cp:lastModifiedBy>
  <cp:lastPrinted>2024-04-07T02:05:00Z</cp:lastPrinted>
  <dcterms:modified xsi:type="dcterms:W3CDTF">2024-12-31T03:38:12Z</dcterms:modified>
  <dc:title>竞争性谈判文件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4980F05B92B14871BA60C42112913A6B_13</vt:lpwstr>
  </property>
  <property fmtid="{D5CDD505-2E9C-101B-9397-08002B2CF9AE}" pid="4" name="KSOTemplateDocerSaveRecord">
    <vt:lpwstr>eyJoZGlkIjoiNWEyOTBmNGM3MTVlYzQ1M2IwZjgyNTI5NTAxOWIxZmEiLCJ1c2VySWQiOiI0NDQ4MzUyODcifQ==</vt:lpwstr>
  </property>
</Properties>
</file>