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竞 争 性 磋 商 文 件</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jc w:val="center"/>
        <w:outlineLvl w:val="3"/>
      </w:pPr>
      <w:r>
        <w:rPr>
          <w:sz w:val="24"/>
          <w:b/>
        </w:rPr>
        <w:t>采购计划编号：</w:t>
      </w:r>
      <w:r>
        <w:rPr>
          <w:sz w:val="24"/>
          <w:b/>
        </w:rPr>
        <w:t>441521-2024-03152</w:t>
      </w:r>
    </w:p>
    <w:p>
      <w:pPr>
        <w:pStyle w:val="null3"/>
        <w:jc w:val="center"/>
        <w:outlineLvl w:val="3"/>
      </w:pPr>
      <w:r>
        <w:rPr>
          <w:sz w:val="24"/>
          <w:b/>
        </w:rPr>
        <w:t>采购项目编号：</w:t>
      </w:r>
      <w:r>
        <w:rPr>
          <w:sz w:val="24"/>
          <w:b/>
        </w:rPr>
        <w:t>GDHYCG20241217</w:t>
      </w:r>
    </w:p>
    <w:p>
      <w:pPr>
        <w:pStyle w:val="null3"/>
        <w:jc w:val="center"/>
        <w:outlineLvl w:val="3"/>
      </w:pPr>
      <w:r>
        <w:rPr>
          <w:sz w:val="24"/>
          <w:b/>
        </w:rPr>
        <w:t>项目名称：</w:t>
      </w:r>
      <w:r>
        <w:rPr>
          <w:sz w:val="24"/>
          <w:b/>
        </w:rPr>
        <w:t>海丰县2024年有害生物防治项目（第二批）</w:t>
      </w:r>
    </w:p>
    <w:p>
      <w:pPr>
        <w:pStyle w:val="null3"/>
        <w:jc w:val="center"/>
        <w:outlineLvl w:val="3"/>
      </w:pPr>
      <w:r>
        <w:rPr>
          <w:sz w:val="24"/>
          <w:b/>
        </w:rPr>
        <w:t>采购人：</w:t>
      </w:r>
      <w:r>
        <w:rPr>
          <w:sz w:val="24"/>
          <w:b/>
        </w:rPr>
        <w:t>海丰县林业局</w:t>
      </w:r>
    </w:p>
    <w:p>
      <w:pPr>
        <w:pStyle w:val="null3"/>
        <w:jc w:val="center"/>
        <w:outlineLvl w:val="3"/>
      </w:pPr>
      <w:r>
        <w:rPr>
          <w:sz w:val="24"/>
          <w:b/>
        </w:rPr>
        <w:t>采购代理机构：</w:t>
      </w:r>
      <w:r>
        <w:rPr>
          <w:sz w:val="24"/>
          <w:b/>
        </w:rPr>
        <w:t>广东弘业建设项目管理有限公司</w:t>
      </w:r>
    </w:p>
    <w:p>
      <w:pPr>
        <w:pStyle w:val="null3"/>
        <w:ind w:firstLine="480"/>
      </w:pPr>
      <w:r>
        <w:rPr/>
        <w:t xml:space="preserve">  </w:t>
      </w:r>
    </w:p>
    <w:p>
      <w:pPr>
        <w:pStyle w:val="null3"/>
        <w:jc w:val="center"/>
        <w:outlineLvl w:val="1"/>
      </w:pPr>
      <w:r>
        <w:rPr>
          <w:sz w:val="36"/>
          <w:b/>
        </w:rPr>
        <w:t>第一章 磋商邀请</w:t>
      </w:r>
    </w:p>
    <w:p>
      <w:pPr>
        <w:pStyle w:val="null3"/>
        <w:ind w:firstLine="480"/>
      </w:pPr>
      <w:r>
        <w:rPr/>
        <w:t>广东弘业建设项目管理有限公司</w:t>
      </w:r>
      <w:r>
        <w:rPr/>
        <w:t>受</w:t>
      </w:r>
      <w:r>
        <w:rPr/>
        <w:t>海丰县林业局</w:t>
      </w:r>
      <w:r>
        <w:rPr/>
        <w:t>的委托，采用</w:t>
      </w:r>
      <w:r>
        <w:rPr/>
        <w:t>竞争性磋商</w:t>
      </w:r>
      <w:r>
        <w:rPr/>
        <w:t>方式组织采购</w:t>
      </w:r>
      <w:r>
        <w:rPr/>
        <w:t>海丰县2024年有害生物防治项目（第二批）</w:t>
      </w:r>
      <w:r>
        <w:rPr/>
        <w:t>。欢迎符合资格条件的供应商参加。</w:t>
      </w:r>
    </w:p>
    <w:p>
      <w:pPr>
        <w:pStyle w:val="null3"/>
        <w:outlineLvl w:val="2"/>
      </w:pPr>
      <w:r>
        <w:rPr>
          <w:sz w:val="28"/>
          <w:b/>
        </w:rPr>
        <w:t>一.项目概述</w:t>
      </w:r>
    </w:p>
    <w:p>
      <w:pPr>
        <w:pStyle w:val="null3"/>
        <w:outlineLvl w:val="3"/>
      </w:pPr>
      <w:r>
        <w:rPr>
          <w:sz w:val="24"/>
          <w:b/>
        </w:rPr>
        <w:t>1.名称与编号</w:t>
      </w:r>
    </w:p>
    <w:p>
      <w:pPr>
        <w:pStyle w:val="null3"/>
        <w:ind w:firstLine="480"/>
      </w:pPr>
      <w:r>
        <w:rPr/>
        <w:t>采购项目名称：</w:t>
      </w:r>
      <w:r>
        <w:rPr/>
        <w:t>海丰县2024年有害生物防治项目（第二批）</w:t>
      </w:r>
    </w:p>
    <w:p>
      <w:pPr>
        <w:pStyle w:val="null3"/>
        <w:ind w:firstLine="480"/>
      </w:pPr>
      <w:r>
        <w:rPr/>
        <w:t>采购计划编号：</w:t>
      </w:r>
      <w:r>
        <w:rPr/>
        <w:t>441521-2024-03152</w:t>
      </w:r>
    </w:p>
    <w:p>
      <w:pPr>
        <w:pStyle w:val="null3"/>
        <w:ind w:firstLine="480"/>
      </w:pPr>
      <w:r>
        <w:rPr/>
        <w:t>采购项目编号：</w:t>
      </w:r>
      <w:r>
        <w:rPr/>
        <w:t>GDHYCG20241217</w:t>
      </w:r>
    </w:p>
    <w:p>
      <w:pPr>
        <w:pStyle w:val="null3"/>
        <w:ind w:firstLine="480"/>
      </w:pPr>
      <w:r>
        <w:rPr/>
        <w:t>采购方式：</w:t>
      </w:r>
      <w:r>
        <w:rPr/>
        <w:t>竞争性磋商</w:t>
      </w:r>
    </w:p>
    <w:p>
      <w:pPr>
        <w:pStyle w:val="null3"/>
        <w:ind w:firstLine="480"/>
      </w:pPr>
      <w:r>
        <w:rPr/>
        <w:t>预算金额：</w:t>
      </w:r>
      <w:r>
        <w:rPr/>
        <w:t>393,086.20</w:t>
      </w:r>
      <w:r>
        <w:rPr/>
        <w:t>元</w:t>
      </w:r>
    </w:p>
    <w:p>
      <w:pPr>
        <w:pStyle w:val="null3"/>
        <w:outlineLvl w:val="3"/>
      </w:pPr>
      <w:r>
        <w:rPr>
          <w:sz w:val="24"/>
          <w:b/>
        </w:rPr>
        <w:t>2.项目内容及需求情况（采购项目技术规格、参数及要求）</w:t>
      </w:r>
    </w:p>
    <w:p>
      <w:pPr>
        <w:pStyle w:val="null3"/>
      </w:pPr>
      <w:r>
        <w:rPr/>
        <w:t>采购包1(海丰县2024年有害生物防治项目（第二批）):</w:t>
      </w:r>
    </w:p>
    <w:p>
      <w:pPr>
        <w:pStyle w:val="null3"/>
      </w:pPr>
      <w:r>
        <w:rPr/>
        <w:t>采购包预算金额：393,086.20元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林业有害生物防治服务</w:t>
            </w:r>
          </w:p>
        </w:tc>
        <w:tc>
          <w:tcPr>
            <w:tcW w:type="dxa" w:w="2136"/>
          </w:tcPr>
          <w:p>
            <w:pPr>
              <w:pStyle w:val="null3"/>
            </w:pPr>
            <w:r>
              <w:rPr/>
              <w:t>海丰县2024年有害生物防治项目（第二批）</w:t>
            </w:r>
          </w:p>
        </w:tc>
        <w:tc>
          <w:tcPr>
            <w:tcW w:type="dxa" w:w="1187"/>
          </w:tcPr>
          <w:p>
            <w:pPr>
              <w:pStyle w:val="null3"/>
            </w:pPr>
            <w:r>
              <w:rPr/>
              <w:t>1(宗)</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本采购包不接受联合体响应</w:t>
      </w:r>
    </w:p>
    <w:p>
      <w:pPr>
        <w:pStyle w:val="null3"/>
      </w:pPr>
      <w:r>
        <w:rPr/>
        <w:t>合同分包：不允许合同分包</w:t>
      </w:r>
    </w:p>
    <w:p>
      <w:pPr>
        <w:pStyle w:val="null3"/>
      </w:pPr>
      <w:r>
        <w:rPr/>
        <w:t>合同履行期限：2个月</w:t>
      </w:r>
    </w:p>
    <w:p>
      <w:pPr>
        <w:pStyle w:val="null3"/>
        <w:outlineLvl w:val="2"/>
      </w:pPr>
      <w:r>
        <w:rPr>
          <w:sz w:val="28"/>
          <w:b/>
        </w:rPr>
        <w:t>二.供应商的资格要求</w:t>
      </w:r>
    </w:p>
    <w:p>
      <w:pPr>
        <w:pStyle w:val="null3"/>
        <w:outlineLvl w:val="3"/>
      </w:pPr>
      <w:r>
        <w:rPr>
          <w:sz w:val="24"/>
          <w:b/>
        </w:rPr>
        <w:t>1.供应商应具备《中华人民共和国政府采购法》第二十二条规定的条件，提供下列材料：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投标（响应）时提交有效的营业执照（或事业法人登记证或身份证等相关证明）副本复印件。</w:t>
      </w:r>
    </w:p>
    <w:p>
      <w:pPr>
        <w:pStyle w:val="null3"/>
      </w:pPr>
      <w:r>
        <w:rPr/>
        <w:t>2）有依法缴纳税收和社会保障资金的良好记录：提供2024年任意1个月依法缴纳税收和社会保障资金的相关材料。如依法免税或不需要缴纳社会保障资金的，提供相应证明材料或政府采购供应商信用承诺函。</w:t>
      </w:r>
    </w:p>
    <w:p>
      <w:pPr>
        <w:pStyle w:val="null3"/>
      </w:pPr>
      <w:r>
        <w:rPr/>
        <w:t>3）具有良好的商业信誉和健全的财务会计制度：供应商必须具有良好的商业信誉和健全的财务会计制度 。（提供2023年度财务状况报告或财务报表或基本开户行出具的资信证明或政府采购供应商信用承诺函。）</w:t>
      </w:r>
    </w:p>
    <w:p>
      <w:pPr>
        <w:pStyle w:val="null3"/>
      </w:pPr>
      <w:r>
        <w:rPr/>
        <w:t>4）履行合同所必需的设备和专业技术能力：供应商必须具备设备及专业技术能力。（按投标（响应）文件格式填报设备及专业技术能力情况或政府采购供应商信用承诺函。）</w:t>
      </w:r>
    </w:p>
    <w:p>
      <w:pPr>
        <w:pStyle w:val="null3"/>
      </w:pPr>
      <w:r>
        <w:rPr/>
        <w:t>5）参加采购活动前3年内，在经营活动中没有重大违法记录：重大违法记录，是指供应商因违法经营受到刑事处罚或者 责令停产停业、吊销许可证或者执照、较大数额罚款等行政处罚。（根据财库〔2022〕3号文，“较大数额罚款”认定为200万 元以上的罚款，法律、行政法规以及国务院有关部门明确规定相关领域“较大数额罚款”标准高于200万元的，从其规定）。 提供相应证明材料或政府采购供应商信用承诺函</w:t>
      </w:r>
    </w:p>
    <w:p>
      <w:pPr>
        <w:pStyle w:val="null3"/>
        <w:outlineLvl w:val="3"/>
      </w:pPr>
      <w:r>
        <w:rPr>
          <w:sz w:val="24"/>
          <w:b/>
        </w:rPr>
        <w:t>2.落实政府采购政策需满足的资格要求：</w:t>
      </w:r>
    </w:p>
    <w:p>
      <w:pPr>
        <w:pStyle w:val="null3"/>
        <w:jc w:val="left"/>
      </w:pPr>
      <w:r>
        <w:rPr/>
        <w:t>采购包1（海丰县2024年有害生物防治项目（第二批））：</w:t>
      </w:r>
      <w:r>
        <w:rPr/>
        <w:t>本项目整体专门面向中小型企业。供应商须为符合本项目采购标的对应行业划分标准的中小企业（监狱企业、残疾人福利单位视同小型、微型企业）。注：中小企业以供应商 填写的《中小企业声明函》（见响应文件格式与要求）为判定标准，残疾人福利性单位以供应商填写的《残疾人福利性单位声明函》（见响应文件格式与要求）为判定标准，监狱企业须供应商提供由省级以上监狱管理局、戒毒管理局（含新疆生产建设兵团）出具的属于监狱企业的证明文件，否则不予认定。同时落实《财政部 发展改革委 生态环境部 市场监管总局关于调整优化节能产品、环境标志产品政府采购执行机制的通知》（财库〔2019〕9 号）、《国家乡村振兴局关于运用政府采购政策支持乡村产业振兴的通知》财库〔2021〕19号文件相关政策等。</w:t>
      </w:r>
    </w:p>
    <w:p>
      <w:pPr>
        <w:pStyle w:val="null3"/>
        <w:outlineLvl w:val="3"/>
      </w:pPr>
      <w:r>
        <w:rPr>
          <w:sz w:val="24"/>
          <w:b/>
        </w:rPr>
        <w:t>3.本项目特定的资格要求：</w:t>
      </w:r>
    </w:p>
    <w:p>
      <w:pPr>
        <w:pStyle w:val="null3"/>
      </w:pPr>
      <w:r>
        <w:rPr/>
        <w:t>采购包1（海丰县2024年有害生物防治项目（第二批））：</w:t>
      </w:r>
    </w:p>
    <w:p>
      <w:pPr>
        <w:pStyle w:val="null3"/>
      </w:pPr>
      <w:r>
        <w:rPr/>
        <w:t>1)信用记录：根据《财政部关于在政府采购活动中查询及使用信用记录有关问题的通知》，在投标截止时间前将通过“中国政府采购网”（www.ccgp.gov.cn）渠道查询政府采购严重违法失信行为记录名单；通过“信用中国”网站（www.creditchina.gov.cn）渠道查询相关主体信用记录，对列入失信被执行人、重大税收违法案件当事人名单、及其他不符合《中华人民共和国政府采购法》第二十二条规定条件的供应商，拒绝其参与政府采购活动。（供应商提供查询信息截图，如相关失信记录已失效，供应商需提供相关证明资料）</w:t>
      </w:r>
    </w:p>
    <w:p>
      <w:pPr>
        <w:pStyle w:val="null3"/>
      </w:pPr>
      <w:r>
        <w:rPr/>
        <w:t>2)供应商必须符合法律、行政法规规定的其他条件：单位负责人为同一人或者存在直接控股、管理关系的不同供应商。为本项目提供整体设计、规范编制或者项目管理、监理、检测等服务的供应商，不得同时参加本采购项目（或采购包）投标（响应）。（提供相应证明材料或政府采购供应商信用承诺函）</w:t>
      </w:r>
    </w:p>
    <w:p>
      <w:pPr>
        <w:pStyle w:val="null3"/>
        <w:outlineLvl w:val="2"/>
      </w:pPr>
      <w:r>
        <w:rPr>
          <w:sz w:val="28"/>
          <w:b/>
        </w:rPr>
        <w:t>三.获取磋商文件</w:t>
      </w:r>
    </w:p>
    <w:p>
      <w:pPr>
        <w:pStyle w:val="null3"/>
        <w:ind w:firstLine="480"/>
      </w:pPr>
      <w:r>
        <w:rPr/>
        <w:t>时间：详见磋商公告及其变更公告（如有）</w:t>
      </w:r>
    </w:p>
    <w:p>
      <w:pPr>
        <w:pStyle w:val="null3"/>
        <w:ind w:firstLine="480"/>
      </w:pPr>
      <w:r>
        <w:rPr/>
        <w:t>地点：详见磋商公告及其变更公告（如有）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响应登记并在线获取磋商文件（未按上述方式获取磋商文件的供应商，其响应资格将被视为无效）。</w:t>
      </w:r>
    </w:p>
    <w:p>
      <w:pPr>
        <w:pStyle w:val="null3"/>
        <w:ind w:firstLine="480"/>
      </w:pPr>
      <w:r>
        <w:rPr/>
        <w:t>售价：免费</w:t>
      </w:r>
    </w:p>
    <w:p>
      <w:pPr>
        <w:pStyle w:val="null3"/>
        <w:outlineLvl w:val="2"/>
      </w:pPr>
      <w:r>
        <w:rPr>
          <w:sz w:val="28"/>
          <w:b/>
        </w:rPr>
        <w:t>四.提交响应文件截止时间、开启时间和地点：</w:t>
      </w:r>
    </w:p>
    <w:p>
      <w:pPr>
        <w:pStyle w:val="null3"/>
        <w:ind w:firstLine="480"/>
      </w:pPr>
      <w:r>
        <w:rPr/>
        <w:t>提交响应文件截止时间和开启时间：详见磋商公告及其变更公告（如有）（自响应文件开始发出之日起至响应供应商提交响应文件截止之日止，不得少于10个日历日）</w:t>
      </w:r>
    </w:p>
    <w:p>
      <w:pPr>
        <w:pStyle w:val="null3"/>
        <w:ind w:firstLine="480"/>
      </w:pPr>
      <w:r>
        <w:rPr/>
        <w:t>地点：详见磋商公告及其变更公告（如有）</w:t>
      </w:r>
    </w:p>
    <w:p>
      <w:pPr>
        <w:pStyle w:val="null3"/>
        <w:outlineLvl w:val="2"/>
      </w:pPr>
      <w:r>
        <w:rPr>
          <w:sz w:val="28"/>
          <w:b/>
        </w:rPr>
        <w:t>五.公告期限、发布公告的媒介：</w:t>
      </w:r>
    </w:p>
    <w:p>
      <w:pPr>
        <w:pStyle w:val="null3"/>
        <w:ind w:firstLine="480"/>
      </w:pPr>
      <w:r>
        <w:rPr/>
        <w:t>1、公告期限：自本公告发布之日起不得少于3个工作日。</w:t>
      </w:r>
    </w:p>
    <w:p>
      <w:pPr>
        <w:pStyle w:val="null3"/>
        <w:ind w:firstLine="480"/>
      </w:pPr>
      <w:r>
        <w:rPr/>
        <w:t>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1.采购人信息</w:t>
      </w:r>
    </w:p>
    <w:p>
      <w:pPr>
        <w:pStyle w:val="null3"/>
        <w:ind w:firstLine="480"/>
      </w:pPr>
      <w:r>
        <w:rPr/>
        <w:t>名称：</w:t>
      </w:r>
      <w:r>
        <w:rPr/>
        <w:t>海丰县林业局</w:t>
      </w:r>
    </w:p>
    <w:p>
      <w:pPr>
        <w:pStyle w:val="null3"/>
        <w:ind w:firstLine="480"/>
      </w:pPr>
      <w:r>
        <w:rPr/>
        <w:t>地址：</w:t>
      </w:r>
      <w:r>
        <w:rPr/>
        <w:t>海丰县城云岭路</w:t>
      </w:r>
    </w:p>
    <w:p>
      <w:pPr>
        <w:pStyle w:val="null3"/>
        <w:ind w:firstLine="480"/>
      </w:pPr>
      <w:r>
        <w:rPr/>
        <w:t>联系方式：</w:t>
      </w:r>
      <w:r>
        <w:rPr/>
        <w:t>0660-6864219</w:t>
      </w:r>
    </w:p>
    <w:p>
      <w:pPr>
        <w:pStyle w:val="null3"/>
        <w:outlineLvl w:val="3"/>
      </w:pPr>
      <w:r>
        <w:rPr>
          <w:sz w:val="24"/>
          <w:b/>
        </w:rPr>
        <w:t>2.采购代理机构信息</w:t>
      </w:r>
    </w:p>
    <w:p>
      <w:pPr>
        <w:pStyle w:val="null3"/>
        <w:ind w:firstLine="480"/>
      </w:pPr>
      <w:r>
        <w:rPr/>
        <w:t>名称：</w:t>
      </w:r>
      <w:r>
        <w:rPr/>
        <w:t>广东弘业建设项目管理有限公司</w:t>
      </w:r>
    </w:p>
    <w:p>
      <w:pPr>
        <w:pStyle w:val="null3"/>
        <w:ind w:firstLine="480"/>
      </w:pPr>
      <w:r>
        <w:rPr/>
        <w:t xml:space="preserve"> 地址：</w:t>
      </w:r>
      <w:r>
        <w:rPr/>
        <w:t>广东省汕尾市海丰县海城镇海银公路西侧叠翠名城B座505-1号</w:t>
      </w:r>
    </w:p>
    <w:p>
      <w:pPr>
        <w:pStyle w:val="null3"/>
        <w:ind w:firstLine="480"/>
      </w:pPr>
      <w:r>
        <w:rPr/>
        <w:t xml:space="preserve"> 联系方式：</w:t>
      </w:r>
      <w:r>
        <w:rPr/>
        <w:t>0660-6999948</w:t>
      </w:r>
    </w:p>
    <w:p>
      <w:pPr>
        <w:pStyle w:val="null3"/>
        <w:outlineLvl w:val="3"/>
      </w:pPr>
      <w:r>
        <w:rPr>
          <w:sz w:val="24"/>
          <w:b/>
        </w:rPr>
        <w:t xml:space="preserve"> 3.项目联系方式</w:t>
      </w:r>
    </w:p>
    <w:p>
      <w:pPr>
        <w:pStyle w:val="null3"/>
        <w:ind w:firstLine="480"/>
      </w:pPr>
      <w:r>
        <w:rPr/>
        <w:t xml:space="preserve"> 项目联系人：</w:t>
      </w:r>
      <w:r>
        <w:rPr/>
        <w:t>周工</w:t>
      </w:r>
    </w:p>
    <w:p>
      <w:pPr>
        <w:pStyle w:val="null3"/>
        <w:ind w:firstLine="480"/>
      </w:pPr>
      <w:r>
        <w:rPr/>
        <w:t xml:space="preserve"> 电话：</w:t>
      </w:r>
      <w:r>
        <w:rPr/>
        <w:t>0660-6999948</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广东弘业建设项目管理有限公司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2"/>
          <w:b/>
          <w:color w:val="000000"/>
        </w:rPr>
        <w:t>全面贯彻落实科学发展观，紧紧围绕加快转型升级，建设幸福广东的</w:t>
      </w:r>
      <w:r>
        <w:rPr>
          <w:sz w:val="22"/>
          <w:b/>
          <w:color w:val="000000"/>
        </w:rPr>
        <w:t>核心任务，以保护森林资源和生态安全、促进现代林业发展为目标，加强</w:t>
      </w:r>
      <w:r>
        <w:rPr>
          <w:sz w:val="22"/>
          <w:b/>
          <w:color w:val="000000"/>
        </w:rPr>
        <w:t>组织领导，以绿美广东生态建设为中心，以林长制为引领，紧紧围绕森林</w:t>
      </w:r>
      <w:r>
        <w:rPr>
          <w:sz w:val="22"/>
          <w:b/>
          <w:color w:val="000000"/>
        </w:rPr>
        <w:t>质量精准提升和林分优化林相提升，统筹生态修复和灾害治理，打赢松材</w:t>
      </w:r>
      <w:r>
        <w:rPr>
          <w:sz w:val="22"/>
          <w:b/>
          <w:color w:val="000000"/>
        </w:rPr>
        <w:t>线虫病疫情防控五年攻坚战，坚决遏制松材线虫病和薇甘菊的严重为害与</w:t>
      </w:r>
      <w:r>
        <w:rPr>
          <w:sz w:val="22"/>
          <w:b/>
          <w:color w:val="000000"/>
        </w:rPr>
        <w:t>扩散蔓延，切实实现</w:t>
      </w:r>
      <w:r>
        <w:rPr>
          <w:sz w:val="22"/>
          <w:b/>
          <w:color w:val="000000"/>
        </w:rPr>
        <w:t>“青山常在 ”，为维护全县生态安全，为绿美广东生 态建设开好局起好步奉献防治检疫力量。</w:t>
      </w:r>
    </w:p>
    <w:p>
      <w:pPr>
        <w:pStyle w:val="null3"/>
        <w:spacing w:before="150" w:after="150"/>
        <w:ind w:firstLine="442"/>
        <w:jc w:val="both"/>
      </w:pPr>
      <w:r>
        <w:rPr>
          <w:sz w:val="22"/>
          <w:b/>
          <w:color w:val="000000"/>
        </w:rPr>
        <w:t>海丰县</w:t>
      </w:r>
      <w:r>
        <w:rPr>
          <w:sz w:val="22"/>
          <w:b/>
          <w:color w:val="000000"/>
        </w:rPr>
        <w:t>2024 年林业有害生物防治项目（第二批）分为薇甘菊防治和 松材线虫病防治两个部分。</w:t>
      </w:r>
    </w:p>
    <w:p>
      <w:pPr>
        <w:pStyle w:val="null3"/>
        <w:spacing w:before="150" w:after="150"/>
        <w:ind w:firstLine="442"/>
        <w:jc w:val="both"/>
      </w:pPr>
      <w:r>
        <w:rPr>
          <w:sz w:val="22"/>
          <w:b/>
          <w:color w:val="000000"/>
        </w:rPr>
        <w:t>1、薇甘菊防治部分：分布主要在公平镇、平东镇和黄羌镇等交通道 路两侧的荒山、荒地、田园等，面积共计 500 亩，防治措施是化学防治和 人工割除等。</w:t>
      </w:r>
    </w:p>
    <w:p>
      <w:pPr>
        <w:pStyle w:val="null3"/>
        <w:spacing w:before="150" w:after="150"/>
        <w:ind w:firstLine="442"/>
        <w:jc w:val="both"/>
      </w:pPr>
      <w:r>
        <w:rPr>
          <w:sz w:val="22"/>
          <w:b/>
          <w:color w:val="000000"/>
        </w:rPr>
        <w:t>2、松材线虫病防治部分：主要分布在红花地水库、公平镇、平东镇 和黄羌镇等周边松林，面积共计 2800 亩。防治任务为病死树清理。</w:t>
      </w:r>
    </w:p>
    <w:p>
      <w:pPr>
        <w:pStyle w:val="null3"/>
      </w:pPr>
      <w:r>
        <w:rPr/>
        <w:t>采购包1（海丰县2024年有害生物防治项目（第二批））</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2个月</w:t>
            </w:r>
          </w:p>
        </w:tc>
      </w:tr>
      <w:tr>
        <w:tc>
          <w:tcPr>
            <w:tcW w:type="dxa" w:w="4153"/>
          </w:tcPr>
          <w:p>
            <w:pPr>
              <w:pStyle w:val="null3"/>
            </w:pPr>
            <w:r>
              <w:rPr/>
              <w:t>标的提供的地点</w:t>
            </w:r>
          </w:p>
        </w:tc>
        <w:tc>
          <w:tcPr>
            <w:tcW w:type="dxa" w:w="4153"/>
          </w:tcPr>
          <w:p>
            <w:pPr>
              <w:pStyle w:val="null3"/>
            </w:pPr>
            <w:r>
              <w:rPr/>
              <w:t>海丰县</w:t>
            </w:r>
          </w:p>
        </w:tc>
      </w:tr>
      <w:tr>
        <w:tc>
          <w:tcPr>
            <w:tcW w:type="dxa" w:w="4153"/>
          </w:tcPr>
          <w:p>
            <w:pPr>
              <w:pStyle w:val="null3"/>
            </w:pPr>
            <w:r>
              <w:rPr/>
              <w:t>付款方式</w:t>
            </w:r>
          </w:p>
        </w:tc>
        <w:tc>
          <w:tcPr>
            <w:tcW w:type="dxa" w:w="4153"/>
          </w:tcPr>
          <w:p>
            <w:pPr>
              <w:pStyle w:val="null3"/>
            </w:pPr>
            <w:r>
              <w:rPr/>
              <w:t>1期：支付比例15%,成交供应商签订合同后的 7 个工作日，采购人向成交供应商支付合同总金额的15%；付款时间最终以财政拨付的时间为准。</w:t>
            </w:r>
          </w:p>
          <w:p>
            <w:pPr>
              <w:pStyle w:val="null3"/>
            </w:pPr>
            <w:r>
              <w:rPr/>
              <w:t>2期：支付比例65%,根据工程量进度拨付工程款，工程量完成85%经监理单位确认后，采购人向成交供应商支付合同总金额的65%；付款时间最终以财政拨付的时间为准。</w:t>
            </w:r>
          </w:p>
          <w:p>
            <w:pPr>
              <w:pStyle w:val="null3"/>
            </w:pPr>
            <w:r>
              <w:rPr/>
              <w:t>3期：支付比例20%,工程竣工，经采购人和监理单位验收合格、工程结算完毕后，付清工程款， 付款时，成交供应商应提前向采购人提供相应金额的正式发票。采购人收到成交供应商递交的正式发票后按照政府采购支付流程办理付款申请，付款时间最终以财政拨付的时间为准。 注： 本项目款项以人民币转账方式支付。 如项目发生合同融资，采购人应当将合同款项支付到合同约定收款账户。</w:t>
            </w:r>
          </w:p>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1期：验收标准、方法及质量要求如下：严格按采购人提供的作业设计、预算审核书的要求进行施工，按照设计文件、国家有关技术标准、法律法规、规范和合同规定施工，验收标准按国家规范标准达到合格； （1）建设单位对施工单位在施工期间的各项作业随时检查验收，发现问题，要及时纠正，直至项目合格为止方可予以验收。 （2）建设单位应按照批复的项目相关设计文件和有关合同对项目完成情况进行自查。按项目作业设计文件经建设单位自查验收合格，工程具备竣工验收条件的，应及时编制工程竣工验收报告， 报请上级林业行政主管部门检查验收。</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报价要求</w:t>
            </w:r>
          </w:p>
        </w:tc>
        <w:tc>
          <w:tcPr>
            <w:tcW w:type="dxa" w:w="2076"/>
          </w:tcPr>
          <w:p>
            <w:pPr>
              <w:pStyle w:val="null3"/>
              <w:jc w:val="left"/>
            </w:pPr>
            <w:r>
              <w:rPr/>
              <w:t>（1）预算金额393086.20元，供应商的报价（每次）报价不得高于最高限价，否则视为无效报价。供应商应按采购文件中列出的项目填报综合单价和合价。计价格式中列明的所有需要填报的单价和合价，供应商均应填报，未填报的单价和合价，视为此项费用已包含在采购文件中列出的项目其他单价或合价中，任何与此有关的工程价款，采购人将不予支付。 （2）报价一律以人民币报价，最终报价被视为供应商的最后报价或中标价，成交供应商的最终投标总价为签订合同价格。在合同有效期内，合同价不受市场价格变化的影响。 （3）报价应以采购人提供的资料和说明、所涉及的规范、标准以及采购文件为依据编制。</w:t>
            </w:r>
          </w:p>
        </w:tc>
      </w:tr>
      <w:tr>
        <w:tc>
          <w:tcPr>
            <w:tcW w:type="dxa" w:w="2076"/>
          </w:tcPr>
          <w:p/>
        </w:tc>
        <w:tc>
          <w:tcPr>
            <w:tcW w:type="dxa" w:w="2076"/>
          </w:tcPr>
          <w:p>
            <w:pPr>
              <w:pStyle w:val="null3"/>
              <w:jc w:val="center"/>
            </w:pPr>
            <w:r>
              <w:rPr/>
              <w:t>2</w:t>
            </w:r>
          </w:p>
        </w:tc>
        <w:tc>
          <w:tcPr>
            <w:tcW w:type="dxa" w:w="2076"/>
          </w:tcPr>
          <w:p>
            <w:pPr>
              <w:pStyle w:val="null3"/>
              <w:jc w:val="left"/>
            </w:pPr>
            <w:r>
              <w:rPr/>
              <w:t>承包范围要求</w:t>
            </w:r>
          </w:p>
        </w:tc>
        <w:tc>
          <w:tcPr>
            <w:tcW w:type="dxa" w:w="2076"/>
          </w:tcPr>
          <w:p>
            <w:pPr>
              <w:pStyle w:val="null3"/>
              <w:jc w:val="left"/>
            </w:pPr>
            <w:r>
              <w:rPr/>
              <w:t>（1）范围包括工程量清单、作业设计所包含的全部工程内容。包人工、材料、机械、工期、质量、安全、文明施工，施工临时用水、用电、通讯设施、验收，包本项目实施中可能出现其它未知因素而产生的费用和相关服务的方式进行总包干。 （2）以采购人提供的《海丰县2024年林业有害生物防治项目(第二批）作业设计图》以及参考《海丰县2024年林业有害生物防治项目（第二批）预算审核报告书》所列内容为依据，结算时不作调整。</w:t>
            </w:r>
          </w:p>
        </w:tc>
      </w:tr>
      <w:tr>
        <w:tc>
          <w:tcPr>
            <w:tcW w:type="dxa" w:w="2076"/>
          </w:tcPr>
          <w:p/>
        </w:tc>
        <w:tc>
          <w:tcPr>
            <w:tcW w:type="dxa" w:w="2076"/>
          </w:tcPr>
          <w:p>
            <w:pPr>
              <w:pStyle w:val="null3"/>
              <w:jc w:val="center"/>
            </w:pPr>
            <w:r>
              <w:rPr/>
              <w:t>3</w:t>
            </w:r>
          </w:p>
        </w:tc>
        <w:tc>
          <w:tcPr>
            <w:tcW w:type="dxa" w:w="2076"/>
          </w:tcPr>
          <w:p>
            <w:pPr>
              <w:pStyle w:val="null3"/>
              <w:jc w:val="left"/>
            </w:pPr>
            <w:r>
              <w:rPr/>
              <w:t>工期要求</w:t>
            </w:r>
          </w:p>
        </w:tc>
        <w:tc>
          <w:tcPr>
            <w:tcW w:type="dxa" w:w="2076"/>
          </w:tcPr>
          <w:p>
            <w:pPr>
              <w:pStyle w:val="null3"/>
              <w:jc w:val="left"/>
            </w:pPr>
            <w:r>
              <w:rPr/>
              <w:t>2个月。因采购人原因及不可抗力的原因造成的工期延误，在得到双方认可的，工期相应顺延，双方办理同意顺延工期手续。注：不可抗力的约定：执行国家有关规定。</w:t>
            </w:r>
          </w:p>
        </w:tc>
      </w:tr>
      <w:tr>
        <w:tc>
          <w:tcPr>
            <w:tcW w:type="dxa" w:w="2076"/>
          </w:tcPr>
          <w:p/>
        </w:tc>
        <w:tc>
          <w:tcPr>
            <w:tcW w:type="dxa" w:w="2076"/>
          </w:tcPr>
          <w:p>
            <w:pPr>
              <w:pStyle w:val="null3"/>
              <w:jc w:val="center"/>
            </w:pPr>
            <w:r>
              <w:rPr/>
              <w:t>4</w:t>
            </w:r>
          </w:p>
        </w:tc>
        <w:tc>
          <w:tcPr>
            <w:tcW w:type="dxa" w:w="2076"/>
          </w:tcPr>
          <w:p>
            <w:pPr>
              <w:pStyle w:val="null3"/>
              <w:jc w:val="left"/>
            </w:pPr>
            <w:r>
              <w:rPr/>
              <w:t>质量要求</w:t>
            </w:r>
          </w:p>
        </w:tc>
        <w:tc>
          <w:tcPr>
            <w:tcW w:type="dxa" w:w="2076"/>
          </w:tcPr>
          <w:p>
            <w:pPr>
              <w:pStyle w:val="null3"/>
              <w:jc w:val="left"/>
            </w:pPr>
            <w:r>
              <w:rPr/>
              <w:t>工程质量必须符合国家现行的有关质量标准、施工、验收规范的要求。 （1）严格执行防治技术规程，落实各项防治措施，确保防治进度和防治质量。 （2）成交供应商在实施如果不符合要求和有关规定，采购人要求停工和返工时，成交供应商必须立即执行，并承担由此产生的各种费用，工期不予顺延。 （3）防治维护责任：属于维护范围的项目，成交供应商应在接到采购人通知后的1天内派人维护；发生紧急抢修的，成交供应商在接到通知后，应立即赶赴现场进行维护。</w:t>
            </w:r>
          </w:p>
        </w:tc>
      </w:tr>
      <w:tr>
        <w:tc>
          <w:tcPr>
            <w:tcW w:type="dxa" w:w="2076"/>
          </w:tcPr>
          <w:p/>
        </w:tc>
        <w:tc>
          <w:tcPr>
            <w:tcW w:type="dxa" w:w="2076"/>
          </w:tcPr>
          <w:p>
            <w:pPr>
              <w:pStyle w:val="null3"/>
              <w:jc w:val="center"/>
            </w:pPr>
            <w:r>
              <w:rPr/>
              <w:t>5</w:t>
            </w:r>
          </w:p>
        </w:tc>
        <w:tc>
          <w:tcPr>
            <w:tcW w:type="dxa" w:w="2076"/>
          </w:tcPr>
          <w:p>
            <w:pPr>
              <w:pStyle w:val="null3"/>
              <w:jc w:val="left"/>
            </w:pPr>
            <w:r>
              <w:rPr/>
              <w:t>安全文明施工要求</w:t>
            </w:r>
          </w:p>
        </w:tc>
        <w:tc>
          <w:tcPr>
            <w:tcW w:type="dxa" w:w="2076"/>
          </w:tcPr>
          <w:p>
            <w:pPr>
              <w:pStyle w:val="null3"/>
              <w:jc w:val="left"/>
            </w:pPr>
            <w:r>
              <w:rPr/>
              <w:t>按照国家、省、市有关安全文明施工法律法规和强制性标准规定要求执行。</w:t>
            </w:r>
          </w:p>
        </w:tc>
      </w:tr>
      <w:tr>
        <w:tc>
          <w:tcPr>
            <w:tcW w:type="dxa" w:w="2076"/>
          </w:tcPr>
          <w:p/>
        </w:tc>
        <w:tc>
          <w:tcPr>
            <w:tcW w:type="dxa" w:w="2076"/>
          </w:tcPr>
          <w:p>
            <w:pPr>
              <w:pStyle w:val="null3"/>
              <w:jc w:val="center"/>
            </w:pPr>
            <w:r>
              <w:rPr/>
              <w:t>6</w:t>
            </w:r>
          </w:p>
        </w:tc>
        <w:tc>
          <w:tcPr>
            <w:tcW w:type="dxa" w:w="2076"/>
          </w:tcPr>
          <w:p>
            <w:pPr>
              <w:pStyle w:val="null3"/>
              <w:jc w:val="left"/>
            </w:pPr>
            <w:r>
              <w:rPr/>
              <w:t>合同要求</w:t>
            </w:r>
          </w:p>
        </w:tc>
        <w:tc>
          <w:tcPr>
            <w:tcW w:type="dxa" w:w="2076"/>
          </w:tcPr>
          <w:p>
            <w:pPr>
              <w:pStyle w:val="null3"/>
              <w:jc w:val="left"/>
            </w:pPr>
            <w:r>
              <w:rPr/>
              <w:t>采购人与中标、成交供应商自中标通知书发出之日起十日内，按采购文件要求和成交供应商响应文件承诺签订政府采购合同，但不得超出磋商文件和成交供应商响应文件的范围、也不得再行订立背离合同实质性内容的其他协议。</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林业有害生物防治服务</w:t>
            </w:r>
          </w:p>
        </w:tc>
        <w:tc>
          <w:tcPr>
            <w:tcW w:type="dxa" w:w="933"/>
          </w:tcPr>
          <w:p>
            <w:pPr>
              <w:pStyle w:val="null3"/>
              <w:jc w:val="left"/>
            </w:pPr>
            <w:r>
              <w:rPr/>
              <w:t>海丰县2024年有害生物防治项目（第二批）</w:t>
            </w:r>
          </w:p>
        </w:tc>
        <w:tc>
          <w:tcPr>
            <w:tcW w:type="dxa" w:w="933"/>
          </w:tcPr>
          <w:p>
            <w:pPr>
              <w:pStyle w:val="null3"/>
              <w:jc w:val="left"/>
            </w:pPr>
            <w:r>
              <w:rPr/>
              <w:t>宗</w:t>
            </w:r>
          </w:p>
        </w:tc>
        <w:tc>
          <w:tcPr>
            <w:tcW w:type="dxa" w:w="933"/>
          </w:tcPr>
          <w:p>
            <w:pPr>
              <w:pStyle w:val="null3"/>
              <w:jc w:val="right"/>
            </w:pPr>
            <w:r>
              <w:rPr/>
              <w:t>1.00</w:t>
            </w:r>
          </w:p>
        </w:tc>
        <w:tc>
          <w:tcPr>
            <w:tcW w:type="dxa" w:w="933"/>
          </w:tcPr>
          <w:p>
            <w:pPr>
              <w:pStyle w:val="null3"/>
              <w:jc w:val="right"/>
            </w:pPr>
            <w:r>
              <w:rPr/>
              <w:t>393,086.20</w:t>
            </w:r>
          </w:p>
        </w:tc>
        <w:tc>
          <w:tcPr>
            <w:tcW w:type="dxa" w:w="933"/>
          </w:tcPr>
          <w:p>
            <w:pPr>
              <w:pStyle w:val="null3"/>
              <w:jc w:val="right"/>
            </w:pPr>
            <w:r>
              <w:rPr/>
              <w:t>393,086.20</w:t>
            </w:r>
          </w:p>
        </w:tc>
        <w:tc>
          <w:tcPr>
            <w:tcW w:type="dxa" w:w="840"/>
          </w:tcPr>
          <w:p>
            <w:pPr>
              <w:pStyle w:val="null3"/>
            </w:pPr>
            <w:r>
              <w:rPr/>
              <w:t>农、林、牧、渔业</w:t>
            </w:r>
          </w:p>
        </w:tc>
        <w:tc>
          <w:tcPr>
            <w:tcW w:type="dxa" w:w="933"/>
          </w:tcPr>
          <w:p>
            <w:pPr>
              <w:pStyle w:val="null3"/>
            </w:pPr>
            <w:r>
              <w:rPr/>
              <w:t>详见附表一</w:t>
            </w:r>
          </w:p>
        </w:tc>
      </w:tr>
    </w:tbl>
    <w:p>
      <w:pPr>
        <w:pStyle w:val="null3"/>
      </w:pPr>
      <w:r>
        <w:rPr>
          <w:b/>
        </w:rPr>
        <w:t>附表</w:t>
      </w:r>
      <w:r>
        <w:rPr>
          <w:b/>
        </w:rPr>
        <w:t>一</w:t>
      </w:r>
      <w:r>
        <w:rPr>
          <w:b/>
        </w:rPr>
        <w:t>：</w:t>
      </w:r>
      <w:r>
        <w:rPr>
          <w:b/>
        </w:rPr>
        <w:t>海丰县2024年有害生物防治项目（第二批）</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2"/>
                <w:color w:val="000000"/>
              </w:rPr>
              <w:t>1.</w:t>
            </w:r>
            <w:r>
              <w:rPr>
                <w:sz w:val="22"/>
                <w:color w:val="000000"/>
              </w:rPr>
              <w:t>工作依据</w:t>
            </w:r>
          </w:p>
          <w:p>
            <w:pPr>
              <w:pStyle w:val="null3"/>
              <w:numPr>
                <w:ilvl w:val="0"/>
                <w:numId w:val="1"/>
              </w:numPr>
              <w:jc w:val="both"/>
            </w:pPr>
            <w:r>
              <w:rPr>
                <w:sz w:val="22"/>
                <w:color w:val="000000"/>
              </w:rPr>
              <w:t>广东省人民政府办公厅关于进一步加强林业有害生物防治工作的</w:t>
            </w:r>
            <w:r>
              <w:rPr>
                <w:sz w:val="22"/>
                <w:color w:val="000000"/>
              </w:rPr>
              <w:t>通知（粤府办明电【</w:t>
            </w:r>
            <w:r>
              <w:rPr>
                <w:sz w:val="22"/>
                <w:color w:val="000000"/>
              </w:rPr>
              <w:t>2015】166 号）；</w:t>
            </w:r>
          </w:p>
          <w:p>
            <w:pPr>
              <w:pStyle w:val="null3"/>
              <w:numPr>
                <w:ilvl w:val="0"/>
                <w:numId w:val="1"/>
              </w:numPr>
              <w:jc w:val="both"/>
            </w:pPr>
            <w:r>
              <w:rPr>
                <w:sz w:val="22"/>
                <w:color w:val="000000"/>
              </w:rPr>
              <w:t>国家林业和草原局《松材线虫病防治技术方案》林生发〔</w:t>
            </w:r>
            <w:r>
              <w:rPr>
                <w:sz w:val="22"/>
                <w:color w:val="000000"/>
              </w:rPr>
              <w:t>2018〕110 号；</w:t>
            </w:r>
          </w:p>
          <w:p>
            <w:pPr>
              <w:pStyle w:val="null3"/>
              <w:numPr>
                <w:ilvl w:val="0"/>
                <w:numId w:val="1"/>
              </w:numPr>
              <w:jc w:val="both"/>
            </w:pPr>
            <w:r>
              <w:rPr>
                <w:sz w:val="22"/>
                <w:color w:val="000000"/>
              </w:rPr>
              <w:t>广东省林业局关于下达</w:t>
            </w:r>
            <w:r>
              <w:rPr>
                <w:sz w:val="22"/>
                <w:color w:val="000000"/>
              </w:rPr>
              <w:t>2024 年度重大林业有害生物防治任务的通 知（粤林函〔2024〕33 号）；</w:t>
            </w:r>
          </w:p>
          <w:p>
            <w:pPr>
              <w:pStyle w:val="null3"/>
              <w:numPr>
                <w:ilvl w:val="0"/>
                <w:numId w:val="1"/>
              </w:numPr>
              <w:jc w:val="both"/>
            </w:pPr>
            <w:r>
              <w:rPr>
                <w:sz w:val="22"/>
                <w:color w:val="000000"/>
              </w:rPr>
              <w:t>《广东省森林病虫害防治实施办法》；</w:t>
            </w:r>
          </w:p>
          <w:p>
            <w:pPr>
              <w:pStyle w:val="null3"/>
              <w:numPr>
                <w:ilvl w:val="0"/>
                <w:numId w:val="1"/>
              </w:numPr>
              <w:jc w:val="both"/>
            </w:pPr>
            <w:r>
              <w:rPr>
                <w:sz w:val="22"/>
                <w:color w:val="000000"/>
              </w:rPr>
              <w:t>松材线虫病检疫技术（林业行业技术标准</w:t>
            </w:r>
            <w:r>
              <w:rPr>
                <w:sz w:val="22"/>
                <w:color w:val="000000"/>
              </w:rPr>
              <w:t>LY/T1123-93）；</w:t>
            </w:r>
          </w:p>
          <w:p>
            <w:pPr>
              <w:pStyle w:val="null3"/>
              <w:numPr>
                <w:ilvl w:val="0"/>
                <w:numId w:val="1"/>
              </w:numPr>
              <w:jc w:val="both"/>
            </w:pPr>
            <w:r>
              <w:rPr>
                <w:sz w:val="22"/>
                <w:color w:val="000000"/>
              </w:rPr>
              <w:t>薇甘菊防治技术规程（</w:t>
            </w:r>
            <w:r>
              <w:rPr>
                <w:sz w:val="22"/>
                <w:color w:val="000000"/>
              </w:rPr>
              <w:t>NY/T2422-2015）；</w:t>
            </w:r>
          </w:p>
          <w:p>
            <w:pPr>
              <w:pStyle w:val="null3"/>
              <w:numPr>
                <w:ilvl w:val="0"/>
                <w:numId w:val="1"/>
              </w:numPr>
              <w:jc w:val="both"/>
            </w:pPr>
            <w:r>
              <w:rPr>
                <w:sz w:val="22"/>
                <w:color w:val="000000"/>
              </w:rPr>
              <w:t>薇甘菊检疫鉴定方法（</w:t>
            </w:r>
            <w:r>
              <w:rPr>
                <w:sz w:val="22"/>
                <w:color w:val="000000"/>
              </w:rPr>
              <w:t>GB/T28109-2011）；</w:t>
            </w:r>
          </w:p>
          <w:p>
            <w:pPr>
              <w:pStyle w:val="null3"/>
              <w:numPr>
                <w:ilvl w:val="0"/>
                <w:numId w:val="1"/>
              </w:numPr>
              <w:jc w:val="both"/>
            </w:pPr>
            <w:r>
              <w:rPr>
                <w:sz w:val="22"/>
                <w:color w:val="000000"/>
              </w:rPr>
              <w:t>林业有害生物发生及成灾标准（</w:t>
            </w:r>
            <w:r>
              <w:rPr>
                <w:sz w:val="22"/>
                <w:color w:val="000000"/>
              </w:rPr>
              <w:t>LY/T1681-2006）；</w:t>
            </w:r>
          </w:p>
          <w:p>
            <w:pPr>
              <w:pStyle w:val="null3"/>
              <w:jc w:val="both"/>
            </w:pPr>
            <w:r>
              <w:rPr>
                <w:sz w:val="22"/>
                <w:color w:val="000000"/>
              </w:rPr>
              <w:t>2.项目内容：</w:t>
            </w:r>
          </w:p>
          <w:p>
            <w:pPr>
              <w:pStyle w:val="null3"/>
              <w:jc w:val="both"/>
            </w:pPr>
            <w:r>
              <w:rPr>
                <w:sz w:val="22"/>
                <w:color w:val="000000"/>
              </w:rPr>
              <w:t>2.1薇甘菊防治部分</w:t>
            </w:r>
          </w:p>
          <w:p>
            <w:pPr>
              <w:pStyle w:val="null3"/>
              <w:ind w:firstLine="220"/>
              <w:jc w:val="both"/>
            </w:pPr>
            <w:r>
              <w:rPr>
                <w:sz w:val="22"/>
                <w:color w:val="000000"/>
              </w:rPr>
              <w:t>²分布主要在公平镇、平东镇和黄羌镇等交通道 路两侧的荒山、荒地、田园等，面积共计 500 亩，防治措施是化学防治和 人工割除等。</w:t>
            </w:r>
          </w:p>
          <w:p>
            <w:pPr>
              <w:pStyle w:val="null3"/>
              <w:jc w:val="both"/>
            </w:pPr>
            <w:r>
              <w:rPr>
                <w:sz w:val="22"/>
                <w:color w:val="000000"/>
              </w:rPr>
              <w:t>2.2松材线虫病预防和防治部分</w:t>
            </w:r>
          </w:p>
          <w:p>
            <w:pPr>
              <w:pStyle w:val="null3"/>
              <w:jc w:val="both"/>
            </w:pPr>
            <w:r>
              <w:rPr>
                <w:sz w:val="22"/>
                <w:color w:val="000000"/>
              </w:rPr>
              <w:t>主要分布在红花地水库、公平镇、平东镇</w:t>
            </w:r>
            <w:r>
              <w:rPr>
                <w:sz w:val="22"/>
                <w:color w:val="000000"/>
              </w:rPr>
              <w:t>和黄羌镇等周边松林，面积共计</w:t>
            </w:r>
            <w:r>
              <w:rPr>
                <w:sz w:val="22"/>
                <w:color w:val="000000"/>
              </w:rPr>
              <w:t>2800 亩。防治任务为病死树清理。</w:t>
            </w:r>
          </w:p>
        </w:tc>
      </w:tr>
      <w:tr>
        <w:tc>
          <w:tcPr>
            <w:tcW w:type="dxa" w:w="2076"/>
          </w:tcPr>
          <w:p/>
        </w:tc>
        <w:tc>
          <w:tcPr>
            <w:tcW w:type="dxa" w:w="415"/>
          </w:tcPr>
          <w:p>
            <w:pPr>
              <w:pStyle w:val="null3"/>
            </w:pPr>
            <w:r>
              <w:rPr/>
              <w:t>2</w:t>
            </w:r>
          </w:p>
        </w:tc>
        <w:tc>
          <w:tcPr>
            <w:tcW w:type="dxa" w:w="5814"/>
          </w:tcPr>
          <w:p>
            <w:pPr>
              <w:pStyle w:val="null3"/>
              <w:jc w:val="both"/>
            </w:pPr>
            <w:r>
              <w:rPr>
                <w:sz w:val="22"/>
                <w:b/>
                <w:color w:val="000000"/>
              </w:rPr>
              <w:t>3.项目工程量统计表</w:t>
            </w:r>
          </w:p>
          <w:tbl>
            <w:tblPr>
              <w:tblInd w:type="dxa" w:w="105"/>
              <w:tblBorders>
                <w:top w:val="none" w:color="000000" w:sz="4"/>
                <w:left w:val="none" w:color="000000" w:sz="4"/>
                <w:bottom w:val="none" w:color="000000" w:sz="4"/>
                <w:right w:val="none" w:color="000000" w:sz="4"/>
                <w:insideH w:val="none"/>
                <w:insideV w:val="none"/>
              </w:tblBorders>
            </w:tblPr>
            <w:tblGrid>
              <w:gridCol w:w="485"/>
              <w:gridCol w:w="363"/>
              <w:gridCol w:w="821"/>
              <w:gridCol w:w="1231"/>
              <w:gridCol w:w="653"/>
              <w:gridCol w:w="634"/>
              <w:gridCol w:w="709"/>
              <w:gridCol w:w="653"/>
            </w:tblGrid>
            <w:tr>
              <w:tc>
                <w:tcPr>
                  <w:tcW w:type="dxa" w:w="48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4"/>
                      <w:b/>
                      <w:color w:val="000000"/>
                    </w:rPr>
                    <w:t>项目</w:t>
                  </w:r>
                </w:p>
              </w:tc>
              <w:tc>
                <w:tcPr>
                  <w:tcW w:type="dxa" w:w="36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4"/>
                      <w:b/>
                      <w:color w:val="000000"/>
                    </w:rPr>
                    <w:t>序</w:t>
                  </w:r>
                </w:p>
              </w:tc>
              <w:tc>
                <w:tcPr>
                  <w:tcW w:type="dxa" w:w="82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4"/>
                      <w:b/>
                      <w:color w:val="000000"/>
                    </w:rPr>
                    <w:t>防治地点</w:t>
                  </w:r>
                </w:p>
              </w:tc>
              <w:tc>
                <w:tcPr>
                  <w:tcW w:type="dxa" w:w="123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4"/>
                      <w:b/>
                      <w:color w:val="000000"/>
                    </w:rPr>
                    <w:t>位置</w:t>
                  </w:r>
                </w:p>
              </w:tc>
              <w:tc>
                <w:tcPr>
                  <w:tcW w:type="dxa" w:w="65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10"/>
                    <w:ind w:left="195" w:right="180" w:firstLine="109"/>
                  </w:pPr>
                  <w:r>
                    <w:rPr>
                      <w:sz w:val="24"/>
                      <w:b/>
                      <w:color w:val="000000"/>
                    </w:rPr>
                    <w:t>面积</w:t>
                  </w:r>
                  <w:r>
                    <w:rPr/>
                    <w:t xml:space="preserve">  </w:t>
                  </w:r>
                  <w:r>
                    <w:rPr>
                      <w:sz w:val="24"/>
                      <w:b/>
                      <w:color w:val="000000"/>
                    </w:rPr>
                    <w:t>（亩）</w:t>
                  </w:r>
                </w:p>
              </w:tc>
              <w:tc>
                <w:tcPr>
                  <w:tcW w:type="dxa" w:w="634"/>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ind w:left="165" w:right="150" w:firstLine="120"/>
                  </w:pPr>
                  <w:r>
                    <w:rPr>
                      <w:sz w:val="24"/>
                      <w:b/>
                      <w:color w:val="000000"/>
                    </w:rPr>
                    <w:t>清理</w:t>
                  </w:r>
                  <w:r>
                    <w:rPr/>
                    <w:t xml:space="preserve">  </w:t>
                  </w:r>
                  <w:r>
                    <w:rPr>
                      <w:sz w:val="24"/>
                      <w:b/>
                      <w:color w:val="000000"/>
                    </w:rPr>
                    <w:t>病死树</w:t>
                  </w:r>
                  <w:r>
                    <w:rPr/>
                    <w:t xml:space="preserve"> </w:t>
                  </w:r>
                  <w:r>
                    <w:rPr>
                      <w:sz w:val="24"/>
                      <w:b/>
                      <w:color w:val="000000"/>
                    </w:rPr>
                    <w:t>（株）</w:t>
                  </w:r>
                </w:p>
              </w:tc>
              <w:tc>
                <w:tcPr>
                  <w:tcW w:type="dxa" w:w="709"/>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ind w:left="345"/>
                  </w:pPr>
                  <w:r>
                    <w:rPr>
                      <w:sz w:val="24"/>
                      <w:b/>
                      <w:color w:val="000000"/>
                    </w:rPr>
                    <w:t>清理</w:t>
                  </w:r>
                </w:p>
                <w:p>
                  <w:pPr>
                    <w:pStyle w:val="null3"/>
                    <w:ind w:left="105"/>
                  </w:pPr>
                  <w:r>
                    <w:rPr>
                      <w:sz w:val="24"/>
                      <w:b/>
                      <w:color w:val="000000"/>
                    </w:rPr>
                    <w:t>人工便道</w:t>
                  </w:r>
                </w:p>
                <w:p>
                  <w:pPr>
                    <w:pStyle w:val="null3"/>
                    <w:ind w:left="390"/>
                  </w:pPr>
                  <w:r>
                    <w:rPr>
                      <w:sz w:val="24"/>
                      <w:b/>
                      <w:color w:val="000000"/>
                    </w:rPr>
                    <w:t>(米)</w:t>
                  </w:r>
                </w:p>
              </w:tc>
              <w:tc>
                <w:tcPr>
                  <w:tcW w:type="dxa" w:w="65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4"/>
                      <w:b/>
                      <w:color w:val="000000"/>
                    </w:rPr>
                    <w:t>备注</w:t>
                  </w:r>
                </w:p>
              </w:tc>
            </w:tr>
            <w:tr>
              <w:tc>
                <w:tcPr>
                  <w:tcW w:type="dxa" w:w="485"/>
                  <w:vMerge w:val="restart"/>
                  <w:tcBorders>
                    <w:top w:val="none" w:color="000000" w:sz="4"/>
                    <w:left w:val="single" w:color="000000" w:sz="4"/>
                    <w:bottom w:val="none" w:color="000000" w:sz="4"/>
                    <w:right w:val="single" w:color="000000" w:sz="4"/>
                  </w:tcBorders>
                  <w:tcMar>
                    <w:top w:type="dxa" w:w="0"/>
                    <w:left w:type="dxa" w:w="0"/>
                    <w:bottom w:type="dxa" w:w="0"/>
                    <w:right w:type="dxa" w:w="0"/>
                  </w:tcMar>
                  <w:vAlign w:val="top"/>
                </w:tcPr>
                <w:p>
                  <w:pPr>
                    <w:pStyle w:val="null3"/>
                    <w:jc w:val="both"/>
                  </w:pPr>
                  <w:r>
                    <w:rPr>
                      <w:sz w:val="18"/>
                      <w:color w:val="000000"/>
                    </w:rPr>
                    <w:t>1.薇甘</w:t>
                  </w:r>
                </w:p>
                <w:p>
                  <w:pPr>
                    <w:pStyle w:val="null3"/>
                    <w:ind w:left="75"/>
                  </w:pPr>
                  <w:r>
                    <w:rPr>
                      <w:sz w:val="18"/>
                      <w:color w:val="000000"/>
                    </w:rPr>
                    <w:t>菊防治</w:t>
                  </w:r>
                </w:p>
                <w:p>
                  <w:pPr>
                    <w:pStyle w:val="null3"/>
                    <w:ind w:left="195"/>
                  </w:pPr>
                  <w:r>
                    <w:rPr>
                      <w:sz w:val="18"/>
                      <w:color w:val="000000"/>
                    </w:rPr>
                    <w:t>部分</w:t>
                  </w:r>
                </w:p>
              </w:tc>
              <w:tc>
                <w:tcPr>
                  <w:tcW w:type="dxa" w:w="36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70"/>
                    <w:ind w:left="270"/>
                  </w:pPr>
                  <w:r>
                    <w:rPr>
                      <w:sz w:val="18"/>
                      <w:color w:val="000000"/>
                    </w:rPr>
                    <w:t>1</w:t>
                  </w:r>
                </w:p>
              </w:tc>
              <w:tc>
                <w:tcPr>
                  <w:tcW w:type="dxa" w:w="82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40"/>
                    <w:ind w:left="360"/>
                  </w:pPr>
                  <w:r>
                    <w:rPr>
                      <w:sz w:val="18"/>
                      <w:color w:val="000000"/>
                    </w:rPr>
                    <w:t>公平镇</w:t>
                  </w:r>
                </w:p>
              </w:tc>
              <w:tc>
                <w:tcPr>
                  <w:tcW w:type="dxa" w:w="123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55"/>
                    <w:ind w:left="105"/>
                  </w:pPr>
                  <w:r>
                    <w:rPr>
                      <w:sz w:val="18"/>
                      <w:color w:val="000000"/>
                    </w:rPr>
                    <w:t>235</w:t>
                  </w:r>
                  <w:r>
                    <w:rPr/>
                    <w:t xml:space="preserve"> </w:t>
                  </w:r>
                  <w:r>
                    <w:rPr>
                      <w:sz w:val="18"/>
                      <w:color w:val="000000"/>
                    </w:rPr>
                    <w:t>国道、</w:t>
                  </w:r>
                  <w:r>
                    <w:rPr>
                      <w:sz w:val="18"/>
                      <w:color w:val="000000"/>
                    </w:rPr>
                    <w:t>230</w:t>
                  </w:r>
                  <w:r>
                    <w:rPr/>
                    <w:t xml:space="preserve"> </w:t>
                  </w:r>
                  <w:r>
                    <w:rPr>
                      <w:sz w:val="18"/>
                      <w:color w:val="000000"/>
                    </w:rPr>
                    <w:t>乡道</w:t>
                  </w:r>
                </w:p>
              </w:tc>
              <w:tc>
                <w:tcPr>
                  <w:tcW w:type="dxa" w:w="6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70"/>
                    <w:ind w:left="390"/>
                  </w:pPr>
                  <w:r>
                    <w:rPr>
                      <w:sz w:val="18"/>
                      <w:color w:val="000000"/>
                    </w:rPr>
                    <w:t>228</w:t>
                  </w:r>
                </w:p>
              </w:tc>
              <w:tc>
                <w:tcPr>
                  <w:tcW w:type="dxa" w:w="63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c>
                <w:tcPr>
                  <w:tcW w:type="dxa" w:w="70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6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485"/>
                  <w:vMerge/>
                  <w:tcBorders>
                    <w:top w:val="none" w:color="000000" w:sz="4"/>
                    <w:left w:val="single" w:color="000000" w:sz="4"/>
                    <w:bottom w:val="none" w:color="000000" w:sz="4"/>
                    <w:right w:val="single" w:color="000000" w:sz="4"/>
                  </w:tcBorders>
                </w:tcPr>
                <w:p/>
              </w:tc>
              <w:tc>
                <w:tcPr>
                  <w:tcW w:type="dxa" w:w="36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sz w:val="18"/>
                      <w:color w:val="000000"/>
                    </w:rPr>
                    <w:t>2</w:t>
                  </w:r>
                </w:p>
              </w:tc>
              <w:tc>
                <w:tcPr>
                  <w:tcW w:type="dxa" w:w="82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ind w:left="360"/>
                  </w:pPr>
                  <w:r>
                    <w:rPr>
                      <w:sz w:val="18"/>
                      <w:color w:val="000000"/>
                    </w:rPr>
                    <w:t>黄羌镇</w:t>
                  </w:r>
                </w:p>
              </w:tc>
              <w:tc>
                <w:tcPr>
                  <w:tcW w:type="dxa" w:w="123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0"/>
                    <w:ind w:left="615"/>
                  </w:pPr>
                  <w:r>
                    <w:rPr>
                      <w:sz w:val="18"/>
                      <w:color w:val="000000"/>
                    </w:rPr>
                    <w:t>126</w:t>
                  </w:r>
                  <w:r>
                    <w:rPr/>
                    <w:t xml:space="preserve"> </w:t>
                  </w:r>
                  <w:r>
                    <w:rPr>
                      <w:sz w:val="18"/>
                      <w:color w:val="000000"/>
                    </w:rPr>
                    <w:t>县道</w:t>
                  </w:r>
                </w:p>
              </w:tc>
              <w:tc>
                <w:tcPr>
                  <w:tcW w:type="dxa" w:w="6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80"/>
                    <w:ind w:left="390"/>
                  </w:pPr>
                  <w:r>
                    <w:rPr>
                      <w:sz w:val="18"/>
                      <w:color w:val="000000"/>
                    </w:rPr>
                    <w:t>119</w:t>
                  </w:r>
                </w:p>
              </w:tc>
              <w:tc>
                <w:tcPr>
                  <w:tcW w:type="dxa" w:w="63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c>
                <w:tcPr>
                  <w:tcW w:type="dxa" w:w="70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6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485"/>
                  <w:vMerge/>
                  <w:tcBorders>
                    <w:top w:val="none" w:color="000000" w:sz="4"/>
                    <w:left w:val="single" w:color="000000" w:sz="4"/>
                    <w:bottom w:val="none" w:color="000000" w:sz="4"/>
                    <w:right w:val="single" w:color="000000" w:sz="4"/>
                  </w:tcBorders>
                </w:tcPr>
                <w:p/>
              </w:tc>
              <w:tc>
                <w:tcPr>
                  <w:tcW w:type="dxa" w:w="36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sz w:val="18"/>
                      <w:color w:val="000000"/>
                    </w:rPr>
                    <w:t>3</w:t>
                  </w:r>
                </w:p>
              </w:tc>
              <w:tc>
                <w:tcPr>
                  <w:tcW w:type="dxa" w:w="82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25"/>
                    <w:ind w:left="360"/>
                  </w:pPr>
                  <w:r>
                    <w:rPr>
                      <w:sz w:val="18"/>
                      <w:color w:val="000000"/>
                    </w:rPr>
                    <w:t>平东镇</w:t>
                  </w:r>
                </w:p>
              </w:tc>
              <w:tc>
                <w:tcPr>
                  <w:tcW w:type="dxa" w:w="123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40"/>
                    <w:ind w:left="615"/>
                  </w:pPr>
                  <w:r>
                    <w:rPr>
                      <w:sz w:val="18"/>
                      <w:color w:val="000000"/>
                    </w:rPr>
                    <w:t>126</w:t>
                  </w:r>
                  <w:r>
                    <w:rPr/>
                    <w:t xml:space="preserve"> </w:t>
                  </w:r>
                  <w:r>
                    <w:rPr>
                      <w:sz w:val="18"/>
                      <w:color w:val="000000"/>
                    </w:rPr>
                    <w:t>县道</w:t>
                  </w:r>
                </w:p>
              </w:tc>
              <w:tc>
                <w:tcPr>
                  <w:tcW w:type="dxa" w:w="6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70"/>
                    <w:ind w:left="390"/>
                  </w:pPr>
                  <w:r>
                    <w:rPr>
                      <w:sz w:val="18"/>
                      <w:color w:val="000000"/>
                    </w:rPr>
                    <w:t>153</w:t>
                  </w:r>
                </w:p>
              </w:tc>
              <w:tc>
                <w:tcPr>
                  <w:tcW w:type="dxa" w:w="63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c>
                <w:tcPr>
                  <w:tcW w:type="dxa" w:w="70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6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485"/>
                  <w:vMerge/>
                  <w:tcBorders>
                    <w:top w:val="none" w:color="000000" w:sz="4"/>
                    <w:left w:val="single" w:color="000000" w:sz="4"/>
                    <w:bottom w:val="none" w:color="000000" w:sz="4"/>
                    <w:right w:val="single" w:color="000000" w:sz="4"/>
                  </w:tcBorders>
                </w:tcPr>
                <w:p/>
              </w:tc>
              <w:tc>
                <w:tcPr>
                  <w:tcW w:type="dxa" w:w="2415"/>
                  <w:gridSpan w:val="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sz w:val="18"/>
                      <w:b/>
                      <w:color w:val="000000"/>
                    </w:rPr>
                    <w:t>合</w:t>
                  </w:r>
                  <w:r>
                    <w:rPr/>
                    <w:t xml:space="preserve">  </w:t>
                  </w:r>
                  <w:r>
                    <w:rPr>
                      <w:sz w:val="18"/>
                      <w:b/>
                      <w:color w:val="000000"/>
                    </w:rPr>
                    <w:t>计</w:t>
                  </w:r>
                </w:p>
              </w:tc>
              <w:tc>
                <w:tcPr>
                  <w:tcW w:type="dxa" w:w="6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80"/>
                    <w:ind w:left="390"/>
                  </w:pPr>
                  <w:r>
                    <w:rPr>
                      <w:sz w:val="18"/>
                      <w:b/>
                      <w:color w:val="000000"/>
                    </w:rPr>
                    <w:t>500</w:t>
                  </w:r>
                </w:p>
              </w:tc>
              <w:tc>
                <w:tcPr>
                  <w:tcW w:type="dxa" w:w="63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c>
                <w:tcPr>
                  <w:tcW w:type="dxa" w:w="70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6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485"/>
                  <w:vMerge w:val="restart"/>
                  <w:tcBorders>
                    <w:top w:val="none" w:color="000000" w:sz="4"/>
                    <w:left w:val="single" w:color="000000" w:sz="4"/>
                    <w:bottom w:val="none" w:color="000000" w:sz="4"/>
                    <w:right w:val="single" w:color="000000" w:sz="4"/>
                  </w:tcBorders>
                  <w:tcMar>
                    <w:top w:type="dxa" w:w="0"/>
                    <w:left w:type="dxa" w:w="0"/>
                    <w:bottom w:type="dxa" w:w="0"/>
                    <w:right w:type="dxa" w:w="0"/>
                  </w:tcMar>
                  <w:vAlign w:val="top"/>
                </w:tcPr>
                <w:p>
                  <w:pPr>
                    <w:pStyle w:val="null3"/>
                  </w:pPr>
                  <w:r>
                    <w:rPr>
                      <w:sz w:val="18"/>
                      <w:color w:val="000000"/>
                    </w:rPr>
                    <w:t>2.松材</w:t>
                  </w:r>
                </w:p>
                <w:p>
                  <w:pPr>
                    <w:pStyle w:val="null3"/>
                    <w:ind w:left="75"/>
                  </w:pPr>
                  <w:r>
                    <w:rPr>
                      <w:sz w:val="18"/>
                      <w:color w:val="000000"/>
                    </w:rPr>
                    <w:t>线虫病</w:t>
                  </w:r>
                </w:p>
                <w:p>
                  <w:pPr>
                    <w:pStyle w:val="null3"/>
                    <w:ind w:left="90"/>
                  </w:pPr>
                  <w:r>
                    <w:rPr>
                      <w:sz w:val="18"/>
                      <w:color w:val="000000"/>
                    </w:rPr>
                    <w:t>防治部</w:t>
                  </w:r>
                </w:p>
                <w:p>
                  <w:pPr>
                    <w:pStyle w:val="null3"/>
                    <w:ind w:left="300"/>
                  </w:pPr>
                  <w:r>
                    <w:rPr>
                      <w:sz w:val="18"/>
                      <w:color w:val="000000"/>
                    </w:rPr>
                    <w:t>分</w:t>
                  </w:r>
                </w:p>
              </w:tc>
              <w:tc>
                <w:tcPr>
                  <w:tcW w:type="dxa" w:w="36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25"/>
                    <w:ind w:left="270"/>
                  </w:pPr>
                  <w:r>
                    <w:rPr>
                      <w:sz w:val="18"/>
                      <w:color w:val="000000"/>
                    </w:rPr>
                    <w:t>1</w:t>
                  </w:r>
                </w:p>
              </w:tc>
              <w:tc>
                <w:tcPr>
                  <w:tcW w:type="dxa" w:w="82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95"/>
                    <w:ind w:left="150"/>
                  </w:pPr>
                  <w:r>
                    <w:rPr>
                      <w:sz w:val="18"/>
                      <w:color w:val="000000"/>
                    </w:rPr>
                    <w:t>红花地水库</w:t>
                  </w:r>
                </w:p>
              </w:tc>
              <w:tc>
                <w:tcPr>
                  <w:tcW w:type="dxa" w:w="123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10"/>
                    <w:ind w:left="795"/>
                  </w:pPr>
                  <w:r>
                    <w:rPr>
                      <w:sz w:val="18"/>
                      <w:color w:val="000000"/>
                    </w:rPr>
                    <w:t>集体</w:t>
                  </w:r>
                </w:p>
              </w:tc>
              <w:tc>
                <w:tcPr>
                  <w:tcW w:type="dxa" w:w="6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25"/>
                    <w:ind w:left="390"/>
                  </w:pPr>
                  <w:r>
                    <w:rPr>
                      <w:sz w:val="18"/>
                      <w:color w:val="000000"/>
                    </w:rPr>
                    <w:t>107</w:t>
                  </w:r>
                </w:p>
              </w:tc>
              <w:tc>
                <w:tcPr>
                  <w:tcW w:type="dxa" w:w="63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40"/>
                    <w:ind w:left="375"/>
                  </w:pPr>
                  <w:r>
                    <w:rPr>
                      <w:sz w:val="18"/>
                      <w:color w:val="000000"/>
                    </w:rPr>
                    <w:t>129</w:t>
                  </w:r>
                </w:p>
              </w:tc>
              <w:tc>
                <w:tcPr>
                  <w:tcW w:type="dxa" w:w="709"/>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c>
                <w:tcPr>
                  <w:tcW w:type="dxa" w:w="653"/>
                  <w:vMerge w:val="restart"/>
                  <w:tcBorders>
                    <w:top w:val="single" w:color="000000" w:sz="4"/>
                    <w:left w:val="single" w:color="000000" w:sz="4"/>
                    <w:bottom w:val="none" w:color="000000" w:sz="4"/>
                    <w:right w:val="single" w:color="000000" w:sz="4"/>
                  </w:tcBorders>
                  <w:tcMar>
                    <w:top w:type="dxa" w:w="0"/>
                    <w:left w:type="dxa" w:w="0"/>
                    <w:bottom w:type="dxa" w:w="0"/>
                    <w:right w:type="dxa" w:w="0"/>
                  </w:tcMar>
                  <w:vAlign w:val="top"/>
                </w:tcPr>
                <w:p>
                  <w:pPr>
                    <w:pStyle w:val="null3"/>
                    <w:jc w:val="both"/>
                  </w:pPr>
                  <w:r>
                    <w:rPr>
                      <w:sz w:val="18"/>
                      <w:color w:val="000000"/>
                    </w:rPr>
                    <w:t>清理病死</w:t>
                  </w:r>
                  <w:r>
                    <w:rPr/>
                    <w:t xml:space="preserve"> </w:t>
                  </w:r>
                  <w:r>
                    <w:rPr>
                      <w:sz w:val="18"/>
                      <w:color w:val="000000"/>
                    </w:rPr>
                    <w:t>树数量以</w:t>
                  </w:r>
                  <w:r>
                    <w:rPr/>
                    <w:t xml:space="preserve"> </w:t>
                  </w:r>
                  <w:r>
                    <w:rPr>
                      <w:sz w:val="18"/>
                      <w:color w:val="000000"/>
                    </w:rPr>
                    <w:t>实际清理</w:t>
                  </w:r>
                  <w:r>
                    <w:rPr/>
                    <w:t xml:space="preserve"> </w:t>
                  </w:r>
                  <w:r>
                    <w:rPr>
                      <w:sz w:val="18"/>
                      <w:color w:val="000000"/>
                    </w:rPr>
                    <w:t>数量为准</w:t>
                  </w:r>
                </w:p>
              </w:tc>
            </w:tr>
            <w:tr>
              <w:tc>
                <w:tcPr>
                  <w:tcW w:type="dxa" w:w="485"/>
                  <w:vMerge/>
                  <w:tcBorders>
                    <w:top w:val="none" w:color="000000" w:sz="4"/>
                    <w:left w:val="single" w:color="000000" w:sz="4"/>
                    <w:bottom w:val="none" w:color="000000" w:sz="4"/>
                    <w:right w:val="single" w:color="000000" w:sz="4"/>
                  </w:tcBorders>
                </w:tcPr>
                <w:p/>
              </w:tc>
              <w:tc>
                <w:tcPr>
                  <w:tcW w:type="dxa" w:w="36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80"/>
                    <w:ind w:left="255"/>
                  </w:pPr>
                  <w:r>
                    <w:rPr>
                      <w:sz w:val="18"/>
                      <w:color w:val="000000"/>
                    </w:rPr>
                    <w:t>2</w:t>
                  </w:r>
                </w:p>
              </w:tc>
              <w:tc>
                <w:tcPr>
                  <w:tcW w:type="dxa" w:w="82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0"/>
                    <w:ind w:left="360"/>
                  </w:pPr>
                  <w:r>
                    <w:rPr>
                      <w:sz w:val="18"/>
                      <w:color w:val="000000"/>
                    </w:rPr>
                    <w:t>公平镇</w:t>
                  </w:r>
                </w:p>
              </w:tc>
              <w:tc>
                <w:tcPr>
                  <w:tcW w:type="dxa" w:w="123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65"/>
                    <w:ind w:left="795"/>
                  </w:pPr>
                  <w:r>
                    <w:rPr>
                      <w:sz w:val="18"/>
                      <w:color w:val="000000"/>
                    </w:rPr>
                    <w:t>平二</w:t>
                  </w:r>
                </w:p>
              </w:tc>
              <w:tc>
                <w:tcPr>
                  <w:tcW w:type="dxa" w:w="6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80"/>
                    <w:ind w:left="345"/>
                  </w:pPr>
                  <w:r>
                    <w:rPr>
                      <w:sz w:val="18"/>
                      <w:color w:val="000000"/>
                    </w:rPr>
                    <w:t>1492</w:t>
                  </w:r>
                </w:p>
              </w:tc>
              <w:tc>
                <w:tcPr>
                  <w:tcW w:type="dxa" w:w="63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95"/>
                    <w:ind w:left="360"/>
                  </w:pPr>
                  <w:r>
                    <w:rPr>
                      <w:sz w:val="18"/>
                      <w:color w:val="000000"/>
                    </w:rPr>
                    <w:t>885</w:t>
                  </w:r>
                </w:p>
              </w:tc>
              <w:tc>
                <w:tcPr>
                  <w:tcW w:type="dxa" w:w="70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95"/>
                    <w:ind w:left="375"/>
                  </w:pPr>
                  <w:r>
                    <w:rPr>
                      <w:sz w:val="18"/>
                      <w:color w:val="000000"/>
                    </w:rPr>
                    <w:t>4812</w:t>
                  </w:r>
                </w:p>
              </w:tc>
              <w:tc>
                <w:tcPr>
                  <w:tcW w:type="dxa" w:w="653"/>
                  <w:vMerge/>
                  <w:tcBorders>
                    <w:top w:val="single" w:color="000000" w:sz="4"/>
                    <w:left w:val="single" w:color="000000" w:sz="4"/>
                    <w:bottom w:val="none" w:color="000000" w:sz="4"/>
                    <w:right w:val="single" w:color="000000" w:sz="4"/>
                  </w:tcBorders>
                </w:tcPr>
                <w:p/>
              </w:tc>
            </w:tr>
            <w:tr>
              <w:tc>
                <w:tcPr>
                  <w:tcW w:type="dxa" w:w="485"/>
                  <w:vMerge/>
                  <w:tcBorders>
                    <w:top w:val="none" w:color="000000" w:sz="4"/>
                    <w:left w:val="single" w:color="000000" w:sz="4"/>
                    <w:bottom w:val="none" w:color="000000" w:sz="4"/>
                    <w:right w:val="single" w:color="000000" w:sz="4"/>
                  </w:tcBorders>
                </w:tcPr>
                <w:p/>
              </w:tc>
              <w:tc>
                <w:tcPr>
                  <w:tcW w:type="dxa" w:w="36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80"/>
                    <w:ind w:left="255"/>
                  </w:pPr>
                  <w:r>
                    <w:rPr>
                      <w:sz w:val="18"/>
                      <w:color w:val="000000"/>
                    </w:rPr>
                    <w:t>3</w:t>
                  </w:r>
                </w:p>
              </w:tc>
              <w:tc>
                <w:tcPr>
                  <w:tcW w:type="dxa" w:w="82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0"/>
                    <w:ind w:left="360"/>
                  </w:pPr>
                  <w:r>
                    <w:rPr>
                      <w:sz w:val="18"/>
                      <w:color w:val="000000"/>
                    </w:rPr>
                    <w:t>平东镇</w:t>
                  </w:r>
                </w:p>
              </w:tc>
              <w:tc>
                <w:tcPr>
                  <w:tcW w:type="dxa" w:w="123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65"/>
                    <w:ind w:left="795"/>
                  </w:pPr>
                  <w:r>
                    <w:rPr>
                      <w:sz w:val="18"/>
                      <w:color w:val="000000"/>
                    </w:rPr>
                    <w:t>谷刀</w:t>
                  </w:r>
                </w:p>
              </w:tc>
              <w:tc>
                <w:tcPr>
                  <w:tcW w:type="dxa" w:w="6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80"/>
                    <w:ind w:left="390"/>
                  </w:pPr>
                  <w:r>
                    <w:rPr>
                      <w:sz w:val="18"/>
                      <w:color w:val="000000"/>
                    </w:rPr>
                    <w:t>689</w:t>
                  </w:r>
                </w:p>
              </w:tc>
              <w:tc>
                <w:tcPr>
                  <w:tcW w:type="dxa" w:w="63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95"/>
                    <w:ind w:left="360"/>
                  </w:pPr>
                  <w:r>
                    <w:rPr>
                      <w:sz w:val="18"/>
                      <w:color w:val="000000"/>
                    </w:rPr>
                    <w:t>446</w:t>
                  </w:r>
                </w:p>
              </w:tc>
              <w:tc>
                <w:tcPr>
                  <w:tcW w:type="dxa" w:w="70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95"/>
                    <w:ind w:left="375"/>
                  </w:pPr>
                  <w:r>
                    <w:rPr>
                      <w:sz w:val="18"/>
                      <w:color w:val="000000"/>
                    </w:rPr>
                    <w:t>2482</w:t>
                  </w:r>
                </w:p>
              </w:tc>
              <w:tc>
                <w:tcPr>
                  <w:tcW w:type="dxa" w:w="653"/>
                  <w:vMerge/>
                  <w:tcBorders>
                    <w:top w:val="single" w:color="000000" w:sz="4"/>
                    <w:left w:val="single" w:color="000000" w:sz="4"/>
                    <w:bottom w:val="none" w:color="000000" w:sz="4"/>
                    <w:right w:val="single" w:color="000000" w:sz="4"/>
                  </w:tcBorders>
                </w:tcPr>
                <w:p/>
              </w:tc>
            </w:tr>
            <w:tr>
              <w:tc>
                <w:tcPr>
                  <w:tcW w:type="dxa" w:w="485"/>
                  <w:vMerge/>
                  <w:tcBorders>
                    <w:top w:val="none" w:color="000000" w:sz="4"/>
                    <w:left w:val="single" w:color="000000" w:sz="4"/>
                    <w:bottom w:val="none" w:color="000000" w:sz="4"/>
                    <w:right w:val="single" w:color="000000" w:sz="4"/>
                  </w:tcBorders>
                </w:tcPr>
                <w:p/>
              </w:tc>
              <w:tc>
                <w:tcPr>
                  <w:tcW w:type="dxa" w:w="36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65"/>
                    <w:ind w:left="240"/>
                  </w:pPr>
                  <w:r>
                    <w:rPr>
                      <w:sz w:val="18"/>
                      <w:color w:val="000000"/>
                    </w:rPr>
                    <w:t>4</w:t>
                  </w:r>
                </w:p>
              </w:tc>
              <w:tc>
                <w:tcPr>
                  <w:tcW w:type="dxa" w:w="82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20"/>
                    <w:ind w:left="360"/>
                  </w:pPr>
                  <w:r>
                    <w:rPr>
                      <w:sz w:val="18"/>
                      <w:color w:val="000000"/>
                    </w:rPr>
                    <w:t>黄羌镇</w:t>
                  </w:r>
                </w:p>
              </w:tc>
              <w:tc>
                <w:tcPr>
                  <w:tcW w:type="dxa" w:w="123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ind w:left="795"/>
                  </w:pPr>
                  <w:r>
                    <w:rPr>
                      <w:sz w:val="18"/>
                      <w:color w:val="000000"/>
                    </w:rPr>
                    <w:t>河东</w:t>
                  </w:r>
                </w:p>
              </w:tc>
              <w:tc>
                <w:tcPr>
                  <w:tcW w:type="dxa" w:w="6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65"/>
                    <w:ind w:left="390"/>
                  </w:pPr>
                  <w:r>
                    <w:rPr>
                      <w:sz w:val="18"/>
                      <w:color w:val="000000"/>
                    </w:rPr>
                    <w:t>512</w:t>
                  </w:r>
                </w:p>
              </w:tc>
              <w:tc>
                <w:tcPr>
                  <w:tcW w:type="dxa" w:w="63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65"/>
                    <w:ind w:left="360"/>
                  </w:pPr>
                  <w:r>
                    <w:rPr>
                      <w:sz w:val="18"/>
                      <w:color w:val="000000"/>
                    </w:rPr>
                    <w:t>420</w:t>
                  </w:r>
                </w:p>
              </w:tc>
              <w:tc>
                <w:tcPr>
                  <w:tcW w:type="dxa" w:w="70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65"/>
                    <w:ind w:left="390"/>
                  </w:pPr>
                  <w:r>
                    <w:rPr>
                      <w:sz w:val="18"/>
                      <w:color w:val="000000"/>
                    </w:rPr>
                    <w:t>1706</w:t>
                  </w:r>
                </w:p>
              </w:tc>
              <w:tc>
                <w:tcPr>
                  <w:tcW w:type="dxa" w:w="653"/>
                  <w:vMerge/>
                  <w:tcBorders>
                    <w:top w:val="single" w:color="000000" w:sz="4"/>
                    <w:left w:val="single" w:color="000000" w:sz="4"/>
                    <w:bottom w:val="none" w:color="000000" w:sz="4"/>
                    <w:right w:val="single" w:color="000000" w:sz="4"/>
                  </w:tcBorders>
                </w:tcPr>
                <w:p/>
              </w:tc>
            </w:tr>
            <w:tr>
              <w:tc>
                <w:tcPr>
                  <w:tcW w:type="dxa" w:w="485"/>
                  <w:vMerge/>
                  <w:tcBorders>
                    <w:top w:val="none" w:color="000000" w:sz="4"/>
                    <w:left w:val="single" w:color="000000" w:sz="4"/>
                    <w:bottom w:val="none" w:color="000000" w:sz="4"/>
                    <w:right w:val="single" w:color="000000" w:sz="4"/>
                  </w:tcBorders>
                </w:tcPr>
                <w:p/>
              </w:tc>
              <w:tc>
                <w:tcPr>
                  <w:tcW w:type="dxa" w:w="2415"/>
                  <w:gridSpan w:val="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65"/>
                    <w:ind w:left="1650"/>
                  </w:pPr>
                  <w:r>
                    <w:rPr>
                      <w:sz w:val="18"/>
                      <w:b/>
                      <w:color w:val="000000"/>
                    </w:rPr>
                    <w:t>合</w:t>
                  </w:r>
                  <w:r>
                    <w:rPr/>
                    <w:t xml:space="preserve">  </w:t>
                  </w:r>
                  <w:r>
                    <w:rPr>
                      <w:sz w:val="18"/>
                      <w:b/>
                      <w:color w:val="000000"/>
                    </w:rPr>
                    <w:t>计</w:t>
                  </w:r>
                </w:p>
              </w:tc>
              <w:tc>
                <w:tcPr>
                  <w:tcW w:type="dxa" w:w="6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95"/>
                    <w:ind w:left="330"/>
                  </w:pPr>
                  <w:r>
                    <w:rPr>
                      <w:sz w:val="18"/>
                      <w:b/>
                      <w:color w:val="000000"/>
                    </w:rPr>
                    <w:t>2800</w:t>
                  </w:r>
                </w:p>
              </w:tc>
              <w:tc>
                <w:tcPr>
                  <w:tcW w:type="dxa" w:w="63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95"/>
                    <w:ind w:left="315"/>
                  </w:pPr>
                  <w:r>
                    <w:rPr>
                      <w:sz w:val="18"/>
                      <w:b/>
                      <w:color w:val="000000"/>
                    </w:rPr>
                    <w:t>1880</w:t>
                  </w:r>
                </w:p>
              </w:tc>
              <w:tc>
                <w:tcPr>
                  <w:tcW w:type="dxa" w:w="70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10"/>
                    <w:ind w:left="375"/>
                  </w:pPr>
                  <w:r>
                    <w:rPr>
                      <w:sz w:val="18"/>
                      <w:b/>
                      <w:color w:val="000000"/>
                    </w:rPr>
                    <w:t>9000</w:t>
                  </w:r>
                </w:p>
              </w:tc>
              <w:tc>
                <w:tcPr>
                  <w:tcW w:type="dxa" w:w="6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r>
          </w:tbl>
          <w:p>
            <w:pPr>
              <w:pStyle w:val="null3"/>
              <w:jc w:val="both"/>
            </w:pPr>
            <w:r>
              <w:rPr>
                <w:sz w:val="21"/>
                <w:color w:val="000000"/>
              </w:rPr>
              <w:t>（</w:t>
            </w:r>
            <w:r>
              <w:rPr>
                <w:sz w:val="21"/>
                <w:color w:val="000000"/>
              </w:rPr>
              <w:t>1）薇甘菊化学防治：面积 500 亩（333333.33m2 ），需紫薇清（24% 滴酸 ·二氯吡水剂）40L、兑水 60000L。</w:t>
            </w:r>
          </w:p>
          <w:p>
            <w:pPr>
              <w:pStyle w:val="null3"/>
              <w:jc w:val="both"/>
            </w:pPr>
            <w:r>
              <w:rPr>
                <w:sz w:val="21"/>
                <w:color w:val="000000"/>
              </w:rPr>
              <w:t>（</w:t>
            </w:r>
            <w:r>
              <w:rPr>
                <w:sz w:val="21"/>
                <w:color w:val="000000"/>
              </w:rPr>
              <w:t>2）松材线虫病防治：面积 2800 亩，包括：①清理病死树 1880 株 （采用套袋熏蒸法，按Φ20cm，长 7m，每株含树枝等按不规则材 1m3 计算， 结算以实际清理数量为准）；②清理人工简便道路 14400m2 ；③工作车辆65 台班。</w:t>
            </w:r>
          </w:p>
        </w:tc>
      </w:tr>
      <w:tr>
        <w:tc>
          <w:tcPr>
            <w:tcW w:type="dxa" w:w="2076"/>
          </w:tcPr>
          <w:p/>
        </w:tc>
        <w:tc>
          <w:tcPr>
            <w:tcW w:type="dxa" w:w="415"/>
          </w:tcPr>
          <w:p>
            <w:pPr>
              <w:pStyle w:val="null3"/>
            </w:pPr>
            <w:r>
              <w:rPr/>
              <w:t>3</w:t>
            </w:r>
          </w:p>
        </w:tc>
        <w:tc>
          <w:tcPr>
            <w:tcW w:type="dxa" w:w="5814"/>
          </w:tcPr>
          <w:p>
            <w:pPr>
              <w:pStyle w:val="null3"/>
              <w:spacing w:before="150" w:after="150"/>
              <w:ind w:firstLine="221"/>
              <w:jc w:val="both"/>
            </w:pPr>
            <w:r>
              <w:rPr>
                <w:sz w:val="22"/>
                <w:b/>
                <w:color w:val="000000"/>
              </w:rPr>
              <w:t>4.项目防治技术措施要求</w:t>
            </w:r>
          </w:p>
          <w:p>
            <w:pPr>
              <w:pStyle w:val="null3"/>
              <w:ind w:firstLine="422"/>
              <w:jc w:val="both"/>
            </w:pPr>
            <w:r>
              <w:rPr>
                <w:sz w:val="21"/>
                <w:b/>
                <w:color w:val="000000"/>
              </w:rPr>
              <w:t>4.1薇甘菊防治部分</w:t>
            </w:r>
            <w:r>
              <w:rPr>
                <w:sz w:val="21"/>
                <w:color w:val="000000"/>
              </w:rPr>
              <w:t>对成片发生的薇甘菊，采取化学防治措施结合人工割除进行控制。化学防治的药剂选择主要是内吸性除草剂，要求选用安全、低毒和对环境污染小的药物。</w:t>
            </w:r>
          </w:p>
          <w:p>
            <w:pPr>
              <w:pStyle w:val="null3"/>
              <w:ind w:firstLine="630"/>
              <w:jc w:val="both"/>
            </w:pPr>
            <w:r>
              <w:rPr>
                <w:sz w:val="21"/>
                <w:color w:val="000000"/>
              </w:rPr>
              <w:t>（</w:t>
            </w:r>
            <w:r>
              <w:rPr>
                <w:sz w:val="21"/>
                <w:color w:val="000000"/>
              </w:rPr>
              <w:t>1）化学防治喷施方法</w:t>
            </w:r>
          </w:p>
          <w:p>
            <w:pPr>
              <w:pStyle w:val="null3"/>
              <w:ind w:firstLine="630"/>
              <w:jc w:val="both"/>
            </w:pPr>
            <w:r>
              <w:rPr>
                <w:sz w:val="21"/>
                <w:color w:val="000000"/>
              </w:rPr>
              <w:t>采用背负式机动喷雾器进行防治。在薇甘菊生长季节，做好安全防护措施后，按说明书配好药物，于晴天施工喷药，注意按照推荐浓度使用，被薇甘菊浓密覆盖的树木，用喷枪从覆盖层由内向外均匀喷洒在薇甘菊上，避免直接喷施在树木等其他植物的叶子上，以免出现药害。要求雾点细、均匀，喷至薇甘菊茎叶完全湿透，见叶片有药液滴落为佳，按施工图位置喷施到位（如施工图与薇甘菊实际生长位置有偏差时，以实际为准），喷淋十五天后检查喷淋结果，如发现有错漏，及时补喷，直到全部完成。在零星不适宜化学防治的地方（如果树等），运用人工割除方法进行清除。使防治区的薇甘菊覆盖率</w:t>
            </w:r>
            <w:r>
              <w:rPr>
                <w:sz w:val="21"/>
                <w:color w:val="000000"/>
              </w:rPr>
              <w:t>≦5%。</w:t>
            </w:r>
          </w:p>
          <w:p>
            <w:pPr>
              <w:pStyle w:val="null3"/>
              <w:ind w:firstLine="630"/>
              <w:jc w:val="both"/>
            </w:pPr>
            <w:r>
              <w:rPr>
                <w:sz w:val="21"/>
                <w:color w:val="000000"/>
              </w:rPr>
              <w:t>（</w:t>
            </w:r>
            <w:r>
              <w:rPr>
                <w:sz w:val="21"/>
                <w:color w:val="000000"/>
              </w:rPr>
              <w:t>2）化学药剂选择</w:t>
            </w:r>
          </w:p>
          <w:p>
            <w:pPr>
              <w:pStyle w:val="null3"/>
              <w:ind w:firstLine="420"/>
              <w:jc w:val="both"/>
            </w:pPr>
            <w:r>
              <w:rPr>
                <w:sz w:val="21"/>
                <w:color w:val="000000"/>
              </w:rPr>
              <w:t>根据近几年薇甘菊除治经验和方法，推荐药剂使用主要是紫薇清（</w:t>
            </w:r>
            <w:r>
              <w:rPr>
                <w:sz w:val="21"/>
                <w:color w:val="000000"/>
              </w:rPr>
              <w:t>24%滴酸·二氯吡水剂）和41%草甘膦。本项目药剂使用主要是紫薇清（24%滴酸·二氯吡水剂），草甘膦为备.选药剂。</w:t>
            </w:r>
          </w:p>
          <w:p>
            <w:pPr>
              <w:pStyle w:val="null3"/>
              <w:numPr>
                <w:ilvl w:val="0"/>
                <w:numId w:val="1"/>
              </w:numPr>
              <w:jc w:val="both"/>
            </w:pPr>
            <w:r>
              <w:rPr>
                <w:sz w:val="21"/>
                <w:color w:val="000000"/>
              </w:rPr>
              <w:t>紫薇清（</w:t>
            </w:r>
            <w:r>
              <w:rPr>
                <w:sz w:val="21"/>
                <w:color w:val="000000"/>
              </w:rPr>
              <w:t>24%滴酸·二氯吡水剂）使用技术方法：紫薇清（24%滴酸·二氯吡水剂）是一种植物激素类除草剂，喷施后易通过薇甘菊根、茎、叶吸收传导，内吸性、选择性较强，不杀灭禾本科杂草，对人、畜、水生生物、鸟类等无安全隐患，药剂成本较低，持续控制效果较好，可用于林地、荒地、水源地、果园、道路沿线等地薇甘菊防除。每亩紫薇清（24%滴酸·二氯吡水剂）用量90-120ml，兑水120-180L,斜坡地、薇甘菊覆盖度高的地域可适当加大喷药量，雨水多季节，地表比较湿的林地不要喷药，以免造成药害，要等2-3天地表比较干的时候再进行喷施。</w:t>
            </w:r>
          </w:p>
          <w:p>
            <w:pPr>
              <w:pStyle w:val="null3"/>
              <w:numPr>
                <w:ilvl w:val="0"/>
                <w:numId w:val="1"/>
              </w:numPr>
              <w:jc w:val="both"/>
            </w:pPr>
            <w:r>
              <w:rPr>
                <w:sz w:val="21"/>
                <w:color w:val="000000"/>
              </w:rPr>
              <w:t>41%草甘膦：草甘膦虽为灭生性除草剂，但在土壤中容易被吸附失去活性，对土壤的影响较小，对其它动物的毒性低，使用较安全，而且见效快，防治成本低。用水稀释至100-200倍,每亩用药750-1500ml，兑水150L喷施。</w:t>
            </w:r>
          </w:p>
          <w:p>
            <w:pPr>
              <w:pStyle w:val="null3"/>
              <w:ind w:firstLine="420"/>
              <w:jc w:val="both"/>
            </w:pPr>
            <w:r>
              <w:rPr>
                <w:sz w:val="21"/>
                <w:color w:val="000000"/>
              </w:rPr>
              <w:t>喷雾器械选择，推荐使用背负式机动喷雾器。背负式机动喷雾器喷施药剂较细较均匀，喷施效果较好。</w:t>
            </w:r>
          </w:p>
          <w:p>
            <w:pPr>
              <w:pStyle w:val="null3"/>
              <w:jc w:val="both"/>
            </w:pPr>
            <w:r>
              <w:rPr>
                <w:sz w:val="21"/>
                <w:color w:val="000000"/>
              </w:rPr>
              <w:t>在零星发生或不适宜使用药剂防治的地块（如：果园、果树等），在薇甘菊</w:t>
            </w:r>
            <w:r>
              <w:rPr>
                <w:sz w:val="21"/>
                <w:color w:val="000000"/>
              </w:rPr>
              <w:t>营养生长期，在夏季至种子成熟前（</w:t>
            </w:r>
            <w:r>
              <w:rPr>
                <w:sz w:val="21"/>
                <w:color w:val="000000"/>
              </w:rPr>
              <w:t>一般为</w:t>
            </w:r>
            <w:r>
              <w:rPr>
                <w:sz w:val="21"/>
                <w:color w:val="000000"/>
              </w:rPr>
              <w:t>4～9月），采用镰刀等工具将攀援生长的薇甘菊藤蔓割除，要求在离地面0.2m处割断为宜，最好挖出根部，集中销毁。</w:t>
            </w:r>
          </w:p>
          <w:p>
            <w:pPr>
              <w:pStyle w:val="null3"/>
              <w:numPr>
                <w:ilvl w:val="0"/>
                <w:numId w:val="2"/>
              </w:numPr>
              <w:jc w:val="both"/>
            </w:pPr>
            <w:r>
              <w:rPr>
                <w:sz w:val="21"/>
                <w:color w:val="000000"/>
              </w:rPr>
              <w:t>人工割除</w:t>
            </w:r>
          </w:p>
        </w:tc>
      </w:tr>
      <w:tr>
        <w:tc>
          <w:tcPr>
            <w:tcW w:type="dxa" w:w="2076"/>
          </w:tcPr>
          <w:p/>
        </w:tc>
        <w:tc>
          <w:tcPr>
            <w:tcW w:type="dxa" w:w="415"/>
          </w:tcPr>
          <w:p>
            <w:pPr>
              <w:pStyle w:val="null3"/>
            </w:pPr>
            <w:r>
              <w:rPr/>
              <w:t>4</w:t>
            </w:r>
          </w:p>
        </w:tc>
        <w:tc>
          <w:tcPr>
            <w:tcW w:type="dxa" w:w="5814"/>
          </w:tcPr>
          <w:p>
            <w:pPr>
              <w:pStyle w:val="null3"/>
              <w:ind w:firstLine="422"/>
              <w:jc w:val="both"/>
            </w:pPr>
            <w:r>
              <w:rPr>
                <w:sz w:val="21"/>
                <w:b/>
                <w:color w:val="000000"/>
              </w:rPr>
              <w:t>4.2松材线虫病防治部分</w:t>
            </w:r>
          </w:p>
          <w:p>
            <w:pPr>
              <w:pStyle w:val="null3"/>
              <w:ind w:firstLine="420"/>
              <w:jc w:val="both"/>
            </w:pPr>
            <w:r>
              <w:rPr>
                <w:sz w:val="21"/>
                <w:color w:val="000000"/>
              </w:rPr>
              <w:t>（</w:t>
            </w:r>
            <w:r>
              <w:rPr>
                <w:sz w:val="21"/>
                <w:color w:val="000000"/>
              </w:rPr>
              <w:t>1）全面清理病死树</w:t>
            </w:r>
          </w:p>
          <w:p>
            <w:pPr>
              <w:pStyle w:val="null3"/>
              <w:ind w:firstLine="420"/>
              <w:jc w:val="both"/>
            </w:pPr>
            <w:r>
              <w:rPr>
                <w:sz w:val="21"/>
                <w:color w:val="000000"/>
              </w:rPr>
              <w:t>清除松材线虫病死树（包括疑似病死树等），是减轻松材线虫病危害，防治疫情传播扩散的关键环节之一。根据调查到的各个小班病死树数量，对病枯死松树进行全面的清除，降低初始阶段疫源数量，为后续防治工作打下基础。组织施工队伍，确认病死树位置后依据实际地形清理宽约</w:t>
            </w:r>
            <w:r>
              <w:rPr>
                <w:sz w:val="21"/>
                <w:color w:val="000000"/>
              </w:rPr>
              <w:t>1.6米的人工简易道路，用于方便人工行走和搬运疫木用途。对清理的枯死树（包括病死树、疑似病死树等）进行就地立刻销毁处理，在交通方便的地方采取集中焚烧或粉碎（削片）等措施，在山高路陡</w:t>
            </w:r>
            <w:r>
              <w:rPr>
                <w:sz w:val="21"/>
                <w:color w:val="000000"/>
              </w:rPr>
              <w:t>、人迹罕至、道路不通等的地方则采取套袋熏蒸或钢丝网罩对疫木进行处理。本项目设计主要采用</w:t>
            </w:r>
            <w:r>
              <w:rPr>
                <w:sz w:val="21"/>
                <w:color w:val="000000"/>
              </w:rPr>
              <w:t>套袋熏蒸的方法进行处理。</w:t>
            </w:r>
          </w:p>
          <w:p>
            <w:pPr>
              <w:pStyle w:val="null3"/>
              <w:ind w:firstLine="420"/>
              <w:jc w:val="both"/>
            </w:pPr>
            <w:r>
              <w:rPr>
                <w:sz w:val="21"/>
                <w:color w:val="000000"/>
              </w:rPr>
              <w:t>（</w:t>
            </w:r>
            <w:r>
              <w:rPr>
                <w:sz w:val="21"/>
                <w:color w:val="000000"/>
              </w:rPr>
              <w:t>2）</w:t>
            </w:r>
            <w:r>
              <w:rPr>
                <w:sz w:val="21"/>
                <w:color w:val="000000"/>
              </w:rPr>
              <w:t>套袋熏蒸：先将枯死树伐倒，伐桩高度尽量不超过</w:t>
            </w:r>
            <w:r>
              <w:rPr>
                <w:sz w:val="21"/>
                <w:color w:val="000000"/>
              </w:rPr>
              <w:t>5cm（特殊情况除 外），树干和侧枝锯成 1.0m 左右长的木段，连同直径 1.0cm 以上的枝桠 材全部装入熏蒸袋（薄膜袋），投入磷化铝药片或其他熏蒸药物进行套袋 熏蒸处理，注意药片投入安全操作方法和检查熏蒸袋的密闭性，用警示标 识贴在套袋熏蒸上显眼位置，密闭时间 10~15 天。</w:t>
            </w:r>
          </w:p>
        </w:tc>
      </w:tr>
      <w:tr>
        <w:tc>
          <w:tcPr>
            <w:tcW w:type="dxa" w:w="2076"/>
          </w:tcPr>
          <w:p/>
        </w:tc>
        <w:tc>
          <w:tcPr>
            <w:tcW w:type="dxa" w:w="415"/>
          </w:tcPr>
          <w:p>
            <w:pPr>
              <w:pStyle w:val="null3"/>
            </w:pPr>
            <w:r>
              <w:rPr/>
              <w:t>5</w:t>
            </w:r>
          </w:p>
        </w:tc>
        <w:tc>
          <w:tcPr>
            <w:tcW w:type="dxa" w:w="5814"/>
          </w:tcPr>
          <w:p>
            <w:pPr>
              <w:pStyle w:val="null3"/>
              <w:ind w:firstLine="420"/>
              <w:jc w:val="both"/>
            </w:pPr>
            <w:r>
              <w:rPr>
                <w:sz w:val="21"/>
                <w:color w:val="000000"/>
              </w:rPr>
              <w:t>5. 施工安全事项</w:t>
            </w:r>
          </w:p>
          <w:p>
            <w:pPr>
              <w:pStyle w:val="null3"/>
              <w:ind w:firstLine="420"/>
              <w:jc w:val="both"/>
            </w:pPr>
            <w:r>
              <w:rPr>
                <w:sz w:val="21"/>
                <w:color w:val="000000"/>
              </w:rPr>
              <w:t>（</w:t>
            </w:r>
            <w:r>
              <w:rPr>
                <w:sz w:val="21"/>
                <w:color w:val="000000"/>
              </w:rPr>
              <w:t>1）施工中必须坚持“安全第一，预防为主 ”的方针，严格贯彻执 行各项安全组织措施和技术措施，切实做到安全施工的同时确保生命安 全。</w:t>
            </w:r>
          </w:p>
          <w:p>
            <w:pPr>
              <w:pStyle w:val="null3"/>
              <w:ind w:firstLine="420"/>
              <w:jc w:val="both"/>
            </w:pPr>
            <w:r>
              <w:rPr>
                <w:sz w:val="21"/>
                <w:color w:val="000000"/>
              </w:rPr>
              <w:t>（</w:t>
            </w:r>
            <w:r>
              <w:rPr>
                <w:sz w:val="21"/>
                <w:color w:val="000000"/>
              </w:rPr>
              <w:t>2）加强全员的安全教育，做到思想上重视，操作时严格执行施工 操作规程。</w:t>
            </w:r>
          </w:p>
          <w:p>
            <w:pPr>
              <w:pStyle w:val="null3"/>
              <w:ind w:firstLine="420"/>
              <w:jc w:val="both"/>
            </w:pPr>
            <w:r>
              <w:rPr>
                <w:sz w:val="21"/>
                <w:color w:val="000000"/>
              </w:rPr>
              <w:t>（</w:t>
            </w:r>
            <w:r>
              <w:rPr>
                <w:sz w:val="21"/>
                <w:color w:val="000000"/>
              </w:rPr>
              <w:t>3）作业人员配备通讯工具、安全带、指南针、医药箱等物资，以 备受伤或发生意外时能及时得到救助。</w:t>
            </w:r>
          </w:p>
          <w:p>
            <w:pPr>
              <w:pStyle w:val="null3"/>
              <w:ind w:firstLine="420"/>
              <w:jc w:val="both"/>
            </w:pPr>
            <w:r>
              <w:rPr>
                <w:sz w:val="21"/>
                <w:color w:val="000000"/>
              </w:rPr>
              <w:t>（</w:t>
            </w:r>
            <w:r>
              <w:rPr>
                <w:sz w:val="21"/>
                <w:color w:val="000000"/>
              </w:rPr>
              <w:t>4）后勤部必须对施工器械和药物进行登记管理，实行专人专用。</w:t>
            </w:r>
          </w:p>
          <w:p>
            <w:pPr>
              <w:pStyle w:val="null3"/>
              <w:ind w:firstLine="420"/>
              <w:jc w:val="both"/>
            </w:pPr>
            <w:r>
              <w:rPr>
                <w:sz w:val="21"/>
                <w:color w:val="000000"/>
              </w:rPr>
              <w:t>（</w:t>
            </w:r>
            <w:r>
              <w:rPr>
                <w:sz w:val="21"/>
                <w:color w:val="000000"/>
              </w:rPr>
              <w:t>5）喷洒农药前要做好防护措施，戴口罩、手套、穿长袖和长裤。 先检查喷洒装置，各个接头都要安装结实，不能有渗漏药剂配置，认真阅读药剂的说明书，配置方法，配药禁忌，配 药时注意操作，勿溅出来，切勿随意添加其他药物；</w:t>
            </w:r>
          </w:p>
          <w:p>
            <w:pPr>
              <w:pStyle w:val="null3"/>
              <w:ind w:firstLine="420"/>
              <w:jc w:val="both"/>
            </w:pPr>
            <w:r>
              <w:rPr>
                <w:sz w:val="21"/>
                <w:color w:val="000000"/>
              </w:rPr>
              <w:t>（</w:t>
            </w:r>
            <w:r>
              <w:rPr>
                <w:sz w:val="21"/>
                <w:color w:val="000000"/>
              </w:rPr>
              <w:t>7）作业时，应该选择顺风方向作业，尤其是用机动喷雾机喷施药 剂时，应禁止逆风喷施，而应在上风进行顺风喷施作业；</w:t>
            </w:r>
          </w:p>
          <w:p>
            <w:pPr>
              <w:pStyle w:val="null3"/>
              <w:ind w:firstLine="420"/>
              <w:jc w:val="both"/>
            </w:pPr>
            <w:r>
              <w:rPr>
                <w:sz w:val="21"/>
                <w:color w:val="000000"/>
              </w:rPr>
              <w:t>（</w:t>
            </w:r>
            <w:r>
              <w:rPr>
                <w:sz w:val="21"/>
                <w:color w:val="000000"/>
              </w:rPr>
              <w:t>8）发现头痛、恶心、呕吐等中毒情况，应立即停止作业，及时前 往医院求医诊治；</w:t>
            </w:r>
          </w:p>
          <w:p>
            <w:pPr>
              <w:pStyle w:val="null3"/>
              <w:ind w:firstLine="420"/>
              <w:jc w:val="both"/>
            </w:pPr>
            <w:r>
              <w:rPr>
                <w:sz w:val="21"/>
                <w:color w:val="000000"/>
              </w:rPr>
              <w:t>（</w:t>
            </w:r>
            <w:r>
              <w:rPr>
                <w:sz w:val="21"/>
                <w:color w:val="000000"/>
              </w:rPr>
              <w:t>9）加强设备的检查、保养、维修，确保设备的正常安全运转。</w:t>
            </w:r>
          </w:p>
          <w:p>
            <w:pPr>
              <w:pStyle w:val="null3"/>
              <w:ind w:firstLine="420"/>
              <w:jc w:val="both"/>
            </w:pPr>
            <w:r>
              <w:rPr>
                <w:sz w:val="21"/>
                <w:color w:val="000000"/>
              </w:rPr>
              <w:t>（</w:t>
            </w:r>
            <w:r>
              <w:rPr>
                <w:sz w:val="21"/>
                <w:color w:val="000000"/>
              </w:rPr>
              <w:t>10）在水源保护区、水产养殖区、养蜂区、养蚕区等使用农药防治 时要注意选择药剂种类，防止对有益生物的杀伤和环境污染。</w:t>
            </w:r>
          </w:p>
          <w:p>
            <w:pPr>
              <w:pStyle w:val="null3"/>
              <w:ind w:firstLine="420"/>
              <w:jc w:val="both"/>
            </w:pPr>
            <w:r>
              <w:rPr>
                <w:sz w:val="21"/>
                <w:color w:val="000000"/>
              </w:rPr>
              <w:t>（</w:t>
            </w:r>
            <w:r>
              <w:rPr>
                <w:sz w:val="21"/>
                <w:color w:val="000000"/>
              </w:rPr>
              <w:t>11）对进场人员进行经常性的法律、法规教育，防止施工扰民及治 安、刑事案件发生。</w:t>
            </w:r>
          </w:p>
        </w:tc>
      </w:tr>
      <w:tr>
        <w:tc>
          <w:tcPr>
            <w:tcW w:type="dxa" w:w="2076"/>
          </w:tcPr>
          <w:p/>
        </w:tc>
        <w:tc>
          <w:tcPr>
            <w:tcW w:type="dxa" w:w="415"/>
          </w:tcPr>
          <w:p>
            <w:pPr>
              <w:pStyle w:val="null3"/>
            </w:pPr>
            <w:r>
              <w:rPr/>
              <w:t>6</w:t>
            </w:r>
          </w:p>
        </w:tc>
        <w:tc>
          <w:tcPr>
            <w:tcW w:type="dxa" w:w="5814"/>
          </w:tcPr>
          <w:p>
            <w:pPr>
              <w:pStyle w:val="null3"/>
              <w:ind w:firstLine="420"/>
              <w:jc w:val="both"/>
            </w:pPr>
            <w:r>
              <w:rPr>
                <w:sz w:val="21"/>
                <w:color w:val="000000"/>
              </w:rPr>
              <w:t>6.应急处理措施</w:t>
            </w:r>
          </w:p>
          <w:p>
            <w:pPr>
              <w:pStyle w:val="null3"/>
              <w:ind w:firstLine="420"/>
              <w:jc w:val="both"/>
            </w:pPr>
            <w:r>
              <w:rPr>
                <w:sz w:val="21"/>
                <w:color w:val="000000"/>
              </w:rPr>
              <w:t>为了防止施工现场发生安全事故，应完善应急工作机制，一旦发生事</w:t>
            </w:r>
            <w:r>
              <w:rPr>
                <w:sz w:val="21"/>
                <w:color w:val="000000"/>
              </w:rPr>
              <w:t>故，迅速有序地开展事故的应急救援工作，抢救伤员，减少事故损失。</w:t>
            </w:r>
          </w:p>
          <w:p>
            <w:pPr>
              <w:pStyle w:val="null3"/>
              <w:ind w:firstLine="420"/>
              <w:jc w:val="both"/>
            </w:pPr>
            <w:r>
              <w:rPr>
                <w:sz w:val="21"/>
                <w:color w:val="000000"/>
              </w:rPr>
              <w:t>（</w:t>
            </w:r>
            <w:r>
              <w:rPr>
                <w:sz w:val="21"/>
                <w:color w:val="000000"/>
              </w:rPr>
              <w:t>1）在施工作业中发生事故时，如事故较严重的先拨打 120 报警， 根据伤者受伤部位立即组织抢救，促使伤者快速脱离危险环境，送往医院 救治，并保护现场。查看事故现场周围有无其它危险源存在，并马上通知 施工负责人。</w:t>
            </w:r>
          </w:p>
          <w:p>
            <w:pPr>
              <w:pStyle w:val="null3"/>
              <w:ind w:firstLine="420"/>
              <w:jc w:val="both"/>
            </w:pPr>
            <w:r>
              <w:rPr>
                <w:sz w:val="21"/>
                <w:color w:val="000000"/>
              </w:rPr>
              <w:t>（</w:t>
            </w:r>
            <w:r>
              <w:rPr>
                <w:sz w:val="21"/>
                <w:color w:val="000000"/>
              </w:rPr>
              <w:t>2）如发生人员昏迷、伤及内脏、骨折及大量失血，立即打 120 急 救，并说明伤情。为取得最佳抢救效果，还可根据伤情送往专科医院。急 救车未到前，现场采取止血措施。注意搬运时的保护，对昏迷、可能伤及 脊椎、内脏或伤情不详者一律用担架或平板，禁止用搂、抱、背等方式运</w:t>
            </w:r>
          </w:p>
          <w:p>
            <w:pPr>
              <w:pStyle w:val="null3"/>
              <w:ind w:firstLine="420"/>
              <w:jc w:val="both"/>
            </w:pPr>
            <w:r>
              <w:rPr>
                <w:sz w:val="21"/>
                <w:color w:val="000000"/>
              </w:rPr>
              <w:t>输伤员。</w:t>
            </w:r>
          </w:p>
          <w:p>
            <w:pPr>
              <w:pStyle w:val="null3"/>
              <w:ind w:firstLine="420"/>
              <w:jc w:val="both"/>
            </w:pPr>
            <w:r>
              <w:rPr>
                <w:sz w:val="21"/>
                <w:color w:val="000000"/>
              </w:rPr>
              <w:t>（</w:t>
            </w:r>
            <w:r>
              <w:rPr>
                <w:sz w:val="21"/>
                <w:color w:val="000000"/>
              </w:rPr>
              <w:t>3）如果是触电事故的应在安全的情况下查看现场，发现触电电线 的迅速争取帮触电者脱离电源，并在现场附近安全的地方就地抢救，病人 有意识后再送往附近医院抢救。</w:t>
            </w:r>
          </w:p>
          <w:p>
            <w:pPr>
              <w:pStyle w:val="null3"/>
              <w:ind w:firstLine="420"/>
              <w:jc w:val="both"/>
            </w:pPr>
            <w:r>
              <w:rPr>
                <w:sz w:val="21"/>
                <w:color w:val="000000"/>
              </w:rPr>
              <w:t>（</w:t>
            </w:r>
            <w:r>
              <w:rPr>
                <w:sz w:val="21"/>
                <w:color w:val="000000"/>
              </w:rPr>
              <w:t>4）一般性伤情就地做好受伤处的包扎，送往医院检查，防止破伤风。</w:t>
            </w:r>
          </w:p>
          <w:p>
            <w:pPr>
              <w:pStyle w:val="null3"/>
              <w:ind w:firstLine="420"/>
              <w:jc w:val="both"/>
            </w:pPr>
            <w:r>
              <w:rPr>
                <w:sz w:val="21"/>
                <w:color w:val="000000"/>
              </w:rPr>
              <w:t>（</w:t>
            </w:r>
            <w:r>
              <w:rPr>
                <w:sz w:val="21"/>
                <w:color w:val="000000"/>
              </w:rPr>
              <w:t>5）遭遇森林火灾时用湿毛巾或衣服捂住口鼻迅速躲避。要密切注 意风向变化，根据大火蔓延方向判断逃生方向是否正确。逃生时应尽可能 逆风向，切不可顺风向。如被大火围困在半山腰，要快速向山下跑，切忌 往山上跑，因为通常火势向上蔓延的速度较快，在撤离到安全的地方及时 拨打 110 报警。</w:t>
            </w:r>
          </w:p>
          <w:p>
            <w:pPr>
              <w:pStyle w:val="null3"/>
              <w:ind w:firstLine="420"/>
              <w:jc w:val="both"/>
            </w:pPr>
            <w:r>
              <w:rPr>
                <w:sz w:val="21"/>
                <w:color w:val="000000"/>
              </w:rPr>
              <w:t>（</w:t>
            </w:r>
            <w:r>
              <w:rPr>
                <w:sz w:val="21"/>
                <w:color w:val="000000"/>
              </w:rPr>
              <w:t>6）在喷施农药时如中毒的，可先用手指、筷子等刺激其舌根部的 方法催吐，或让中毒者大量饮用温开水并反复自行催吐，以减少毒素的吸 收，并马上拨打 120 报警，还要带上农药的包装以备医生及时准确的救治。</w:t>
            </w:r>
          </w:p>
        </w:tc>
      </w:tr>
      <w:tr>
        <w:tc>
          <w:tcPr>
            <w:tcW w:type="dxa" w:w="2076"/>
          </w:tcPr>
          <w:p/>
        </w:tc>
        <w:tc>
          <w:tcPr>
            <w:tcW w:type="dxa" w:w="415"/>
          </w:tcPr>
          <w:p>
            <w:pPr>
              <w:pStyle w:val="null3"/>
            </w:pPr>
            <w:r>
              <w:rPr/>
              <w:t>7</w:t>
            </w:r>
          </w:p>
        </w:tc>
        <w:tc>
          <w:tcPr>
            <w:tcW w:type="dxa" w:w="5814"/>
          </w:tcPr>
          <w:p>
            <w:pPr>
              <w:pStyle w:val="null3"/>
              <w:ind w:firstLine="420"/>
              <w:jc w:val="both"/>
            </w:pPr>
            <w:r>
              <w:rPr>
                <w:sz w:val="21"/>
                <w:color w:val="000000"/>
              </w:rPr>
              <w:t>7.其他要求：认真执行作业注意事项，未尽事项按现行国家、地方有关规范、规程执行。</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供应商须知</w:t>
      </w:r>
    </w:p>
    <w:p>
      <w:pPr>
        <w:pStyle w:val="null3"/>
        <w:ind w:firstLine="480"/>
      </w:pPr>
      <w:r>
        <w:rPr/>
        <w:t xml:space="preserve"> 供应商必须认真阅读磋商文件中所有的事项、格式、条款和采购需求等。供应商没有按照磋商文件要求提交全部资料，或者响应文件没有对磋商文件在各方面都做出实质性响应的可能导致其响应无效或被拒绝。</w:t>
      </w:r>
    </w:p>
    <w:p>
      <w:pPr>
        <w:pStyle w:val="null3"/>
        <w:ind w:firstLine="480"/>
      </w:pPr>
      <w:r>
        <w:rPr/>
        <w:t>请注意：供应商需在响应文件截止时间前，将加密响应文件上传至云平台项目采购系统中并取得回执，逾期上传或错误方式投递送达将导致响应无效。</w:t>
      </w:r>
    </w:p>
    <w:p>
      <w:pPr>
        <w:pStyle w:val="null3"/>
        <w:outlineLvl w:val="3"/>
      </w:pPr>
      <w:r>
        <w:rPr>
          <w:sz w:val="24"/>
          <w:b/>
        </w:rPr>
        <w:t>一、名词解释</w:t>
      </w:r>
    </w:p>
    <w:p>
      <w:pPr>
        <w:pStyle w:val="null3"/>
        <w:ind w:firstLine="480"/>
      </w:pPr>
      <w:r>
        <w:rPr/>
        <w:t>1.采购代理机构：本项目是指广东弘业建设项目管理有限公司，负责整个采购活动的组织，依法负责编制和发布磋商文件，对磋商文件拥有最终的解释权，不以任何身份出任磋商小组成员。</w:t>
      </w:r>
    </w:p>
    <w:p>
      <w:pPr>
        <w:pStyle w:val="null3"/>
        <w:ind w:firstLine="480"/>
      </w:pPr>
      <w:r>
        <w:rPr/>
        <w:t xml:space="preserve"> 2.采购人：本项目是指</w:t>
      </w:r>
      <w:r>
        <w:rPr/>
        <w:t>海丰县林业局</w:t>
      </w:r>
      <w:r>
        <w:rPr/>
        <w:t>，是采购活动当事人之一，负责项目的整体规划、技术方案可行性设计论证与实施，作为合同采购方（用户）的主体承担质疑回复、履行合同、验收与评价等义务。</w:t>
      </w:r>
    </w:p>
    <w:p>
      <w:pPr>
        <w:pStyle w:val="null3"/>
        <w:ind w:firstLine="480"/>
      </w:pPr>
      <w:r>
        <w:rPr/>
        <w:t>3.供应商：是指在云平台项目采购系统完成本项目响应登记并提交电子响应文件的供应商。</w:t>
      </w:r>
    </w:p>
    <w:p>
      <w:pPr>
        <w:pStyle w:val="null3"/>
        <w:ind w:firstLine="480"/>
      </w:pPr>
      <w:r>
        <w:rPr/>
        <w:t>4.“磋商小组”是指根据《中华人民共和国政府采购法》等法律法规规定，由采购人代表和有关专家组成以确定成交供应商或者推荐成交候选供应商的临时组织。</w:t>
      </w:r>
    </w:p>
    <w:p>
      <w:pPr>
        <w:pStyle w:val="null3"/>
        <w:ind w:firstLine="480"/>
      </w:pPr>
      <w:r>
        <w:rPr/>
        <w:t>5.“成交供应商”是指经磋商小组评审确定的对磋商文件做出实质性响应，经采购人按照规定在磋商小组推荐的成交候选供应商中确定的或磋商小组受采购人委托直接确认的供应商。</w:t>
      </w:r>
    </w:p>
    <w:p>
      <w:pPr>
        <w:pStyle w:val="null3"/>
        <w:ind w:firstLine="480"/>
      </w:pPr>
      <w:r>
        <w:rPr/>
        <w:t>6.磋商文件：是指包括磋商公告和磋商文件及其补充、变更和澄清等一系列文件。</w:t>
      </w:r>
    </w:p>
    <w:p>
      <w:pPr>
        <w:pStyle w:val="null3"/>
        <w:ind w:firstLine="480"/>
      </w:pPr>
      <w:r>
        <w:rPr/>
        <w:t>7.电子响应文件：是指使用云平台提供的投标客户端制作加密并上传到系统的响应文件。（投标客户端制作响应文件时，生成的后缀为“.标书”的文件）</w:t>
      </w:r>
    </w:p>
    <w:p>
      <w:pPr>
        <w:pStyle w:val="null3"/>
        <w:ind w:firstLine="480"/>
      </w:pPr>
      <w:r>
        <w:rPr/>
        <w:t>8.备用电子响应文件：是指使用云平台提供的投标客户端制作电子响应文件时，同时生成的同一版本的备用响应文件。（投标客户端制作响应文件时，生成的后缀为“.备用标书”的文件）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本表与磋商文件对应章节的内容若不一致，以本表为准。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jc w:val="center"/>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jc w:val="center"/>
            </w:pPr>
            <w:r>
              <w:rPr/>
              <w:t xml:space="preserve"> 2</w:t>
            </w:r>
          </w:p>
        </w:tc>
        <w:tc>
          <w:tcPr>
            <w:tcW w:type="dxa" w:w="2252"/>
          </w:tcPr>
          <w:p>
            <w:pPr>
              <w:pStyle w:val="null3"/>
            </w:pPr>
            <w:r>
              <w:rPr/>
              <w:t xml:space="preserve"> 开启方式</w:t>
            </w:r>
          </w:p>
        </w:tc>
        <w:tc>
          <w:tcPr>
            <w:tcW w:type="dxa" w:w="5004"/>
          </w:tcPr>
          <w:p>
            <w:pPr>
              <w:pStyle w:val="null3"/>
            </w:pPr>
            <w:r>
              <w:rPr/>
              <w:t>远程电子开标</w:t>
            </w:r>
          </w:p>
        </w:tc>
      </w:tr>
      <w:tr>
        <w:tc>
          <w:tcPr>
            <w:tcW w:type="dxa" w:w="1051"/>
          </w:tcPr>
          <w:p>
            <w:pPr>
              <w:pStyle w:val="null3"/>
              <w:jc w:val="center"/>
            </w:pPr>
            <w:r>
              <w:rPr/>
              <w:t xml:space="preserve"> 3</w:t>
            </w:r>
          </w:p>
        </w:tc>
        <w:tc>
          <w:tcPr>
            <w:tcW w:type="dxa" w:w="2252"/>
          </w:tcPr>
          <w:p>
            <w:pPr>
              <w:pStyle w:val="null3"/>
            </w:pPr>
            <w:r>
              <w:rPr/>
              <w:t xml:space="preserve"> 评审方式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jc w:val="center"/>
            </w:pPr>
            <w:r>
              <w:rPr/>
              <w:t xml:space="preserve"> 4</w:t>
            </w:r>
          </w:p>
        </w:tc>
        <w:tc>
          <w:tcPr>
            <w:tcW w:type="dxa" w:w="2252"/>
          </w:tcPr>
          <w:p>
            <w:pPr>
              <w:pStyle w:val="null3"/>
            </w:pPr>
            <w:r>
              <w:rPr/>
              <w:t xml:space="preserve"> 评审办法</w:t>
            </w:r>
          </w:p>
        </w:tc>
        <w:tc>
          <w:tcPr>
            <w:tcW w:type="dxa" w:w="5004"/>
          </w:tcPr>
          <w:p>
            <w:pPr>
              <w:pStyle w:val="null3"/>
            </w:pPr>
            <w:r>
              <w:rPr/>
              <w:t>采购包1：综合评分法</w:t>
            </w:r>
          </w:p>
        </w:tc>
      </w:tr>
      <w:tr>
        <w:tc>
          <w:tcPr>
            <w:tcW w:type="dxa" w:w="1051"/>
          </w:tcPr>
          <w:p>
            <w:pPr>
              <w:pStyle w:val="null3"/>
              <w:jc w:val="center"/>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jc w:val="center"/>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jc w:val="center"/>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jc w:val="center"/>
            </w:pPr>
            <w:r>
              <w:rPr/>
              <w:t xml:space="preserve"> 8</w:t>
            </w:r>
          </w:p>
        </w:tc>
        <w:tc>
          <w:tcPr>
            <w:tcW w:type="dxa" w:w="2252"/>
          </w:tcPr>
          <w:p>
            <w:pPr>
              <w:pStyle w:val="null3"/>
            </w:pPr>
            <w:r>
              <w:rPr/>
              <w:t xml:space="preserve"> 响应有效期</w:t>
            </w:r>
          </w:p>
        </w:tc>
        <w:tc>
          <w:tcPr>
            <w:tcW w:type="dxa" w:w="5004"/>
          </w:tcPr>
          <w:p>
            <w:pPr>
              <w:pStyle w:val="null3"/>
            </w:pPr>
            <w:r>
              <w:rPr/>
              <w:t>从提交投标（响应）文件的截止之日起90日历天</w:t>
            </w:r>
          </w:p>
        </w:tc>
      </w:tr>
      <w:tr>
        <w:tc>
          <w:tcPr>
            <w:tcW w:type="dxa" w:w="1051"/>
          </w:tcPr>
          <w:p>
            <w:pPr>
              <w:pStyle w:val="null3"/>
              <w:jc w:val="center"/>
            </w:pPr>
            <w:r>
              <w:rPr/>
              <w:t xml:space="preserve"> 9</w:t>
            </w:r>
          </w:p>
        </w:tc>
        <w:tc>
          <w:tcPr>
            <w:tcW w:type="dxa" w:w="2252"/>
          </w:tcPr>
          <w:p>
            <w:pPr>
              <w:pStyle w:val="null3"/>
            </w:pPr>
            <w:r>
              <w:rPr/>
              <w:t xml:space="preserve"> 响应保证金</w:t>
            </w:r>
          </w:p>
        </w:tc>
        <w:tc>
          <w:tcPr>
            <w:tcW w:type="dxa" w:w="5004"/>
          </w:tcPr>
          <w:p>
            <w:pPr>
              <w:pStyle w:val="null3"/>
            </w:pPr>
            <w:r>
              <w:rPr/>
              <w:t>采购包1：保证金人民币：0.00元整。</w:t>
            </w:r>
          </w:p>
          <w:p>
            <w:pPr>
              <w:pStyle w:val="null3"/>
            </w:pPr>
            <w:r>
              <w:rPr/>
              <w:t xml:space="preserve">开户单位： </w:t>
            </w:r>
            <w:r>
              <w:rPr/>
              <w:t>无</w:t>
            </w:r>
          </w:p>
          <w:p>
            <w:pPr>
              <w:pStyle w:val="null3"/>
            </w:pPr>
            <w:r>
              <w:rPr/>
              <w:t xml:space="preserve">开户账号： </w:t>
            </w:r>
            <w:r>
              <w:rPr/>
              <w:t>无</w:t>
            </w:r>
          </w:p>
          <w:p>
            <w:pPr>
              <w:pStyle w:val="null3"/>
            </w:pPr>
            <w:r>
              <w:rPr/>
              <w:t xml:space="preserve">开户银行： </w:t>
            </w:r>
            <w:r>
              <w:rPr/>
              <w:t>无</w:t>
            </w:r>
          </w:p>
          <w:p>
            <w:pPr>
              <w:pStyle w:val="null3"/>
            </w:pPr>
            <w:r>
              <w:rPr/>
              <w:t xml:space="preserve">支票提交方式： </w:t>
            </w:r>
            <w:r>
              <w:rPr/>
              <w:t>无</w:t>
            </w:r>
          </w:p>
          <w:p>
            <w:pPr>
              <w:pStyle w:val="null3"/>
            </w:pPr>
            <w:r>
              <w:rPr/>
              <w:t xml:space="preserve">汇票、本票提交方式： </w:t>
            </w:r>
            <w:r>
              <w:rPr/>
              <w:t>无</w:t>
            </w:r>
          </w:p>
          <w:p>
            <w:pPr>
              <w:pStyle w:val="null3"/>
            </w:pPr>
            <w:r>
              <w:rPr/>
              <w:t>响应保证金有效期∶与响应有效期一致。</w:t>
            </w:r>
          </w:p>
          <w:p>
            <w:pPr>
              <w:pStyle w:val="null3"/>
            </w:pPr>
            <w:r>
              <w:rPr/>
              <w:t>响应保函提交方式：供应商可通过"广东政府采购智慧云平台金融服务中心"(http://gdgpo.czt.gd.gov.cn/zcdservice/zcd/guangdong/)，申请办理响应担保函、保险（保证）凭证，成功出函的等效于现金缴纳响应保证金。</w:t>
            </w:r>
          </w:p>
        </w:tc>
      </w:tr>
      <w:tr>
        <w:tc>
          <w:tcPr>
            <w:tcW w:type="dxa" w:w="1051"/>
          </w:tcPr>
          <w:p>
            <w:pPr>
              <w:pStyle w:val="null3"/>
              <w:jc w:val="center"/>
            </w:pPr>
            <w:r>
              <w:rPr/>
              <w:t xml:space="preserve"> 10</w:t>
            </w:r>
          </w:p>
        </w:tc>
        <w:tc>
          <w:tcPr>
            <w:tcW w:type="dxa" w:w="2252"/>
          </w:tcPr>
          <w:p>
            <w:pPr>
              <w:pStyle w:val="null3"/>
            </w:pPr>
            <w:r>
              <w:rPr/>
              <w:t xml:space="preserve"> 成交候选供应商推荐家数</w:t>
            </w:r>
          </w:p>
        </w:tc>
        <w:tc>
          <w:tcPr>
            <w:tcW w:type="dxa" w:w="5004"/>
          </w:tcPr>
          <w:p>
            <w:pPr>
              <w:pStyle w:val="null3"/>
            </w:pPr>
            <w:r>
              <w:rPr/>
              <w:t>采购包1：</w:t>
            </w:r>
            <w:r>
              <w:rPr/>
              <w:t>3家</w:t>
            </w:r>
          </w:p>
        </w:tc>
      </w:tr>
      <w:tr>
        <w:tc>
          <w:tcPr>
            <w:tcW w:type="dxa" w:w="1051"/>
          </w:tcPr>
          <w:p>
            <w:pPr>
              <w:pStyle w:val="null3"/>
              <w:jc w:val="center"/>
            </w:pPr>
            <w:r>
              <w:rPr/>
              <w:t>11</w:t>
            </w:r>
          </w:p>
        </w:tc>
        <w:tc>
          <w:tcPr>
            <w:tcW w:type="dxa" w:w="2252"/>
          </w:tcPr>
          <w:p>
            <w:pPr>
              <w:pStyle w:val="null3"/>
            </w:pPr>
            <w:r>
              <w:rPr/>
              <w:t xml:space="preserve"> 成交供应商家数</w:t>
            </w:r>
          </w:p>
        </w:tc>
        <w:tc>
          <w:tcPr>
            <w:tcW w:type="dxa" w:w="5004"/>
          </w:tcPr>
          <w:p>
            <w:pPr>
              <w:pStyle w:val="null3"/>
            </w:pPr>
            <w:r>
              <w:rPr/>
              <w:t>采购包1：</w:t>
            </w:r>
            <w:r>
              <w:rPr/>
              <w:t>1家</w:t>
            </w:r>
          </w:p>
        </w:tc>
      </w:tr>
      <w:tr>
        <w:tc>
          <w:tcPr>
            <w:tcW w:type="dxa" w:w="1051"/>
          </w:tcPr>
          <w:p>
            <w:pPr>
              <w:pStyle w:val="null3"/>
              <w:jc w:val="center"/>
            </w:pPr>
            <w:r>
              <w:rPr/>
              <w:t>12</w:t>
            </w:r>
          </w:p>
        </w:tc>
        <w:tc>
          <w:tcPr>
            <w:tcW w:type="dxa" w:w="2252"/>
          </w:tcPr>
          <w:p>
            <w:pPr>
              <w:pStyle w:val="null3"/>
            </w:pPr>
            <w:r>
              <w:rPr/>
              <w:t xml:space="preserve"> 有效供应商家数</w:t>
            </w:r>
          </w:p>
        </w:tc>
        <w:tc>
          <w:tcPr>
            <w:tcW w:type="dxa" w:w="5004"/>
          </w:tcPr>
          <w:p>
            <w:pPr>
              <w:pStyle w:val="null3"/>
              <w:jc w:val="left"/>
            </w:pPr>
            <w:r>
              <w:rPr/>
              <w:t>采购包1：3家</w:t>
            </w:r>
          </w:p>
          <w:p>
            <w:pPr>
              <w:pStyle w:val="null3"/>
            </w:pPr>
            <w:r>
              <w:rPr/>
              <w:t>此人数约定了开启与评审过程中的最低有效供应商家数，当家数不足时项目将不得开启、不得评审或直接终止采购。</w:t>
            </w:r>
          </w:p>
        </w:tc>
      </w:tr>
      <w:tr>
        <w:tc>
          <w:tcPr>
            <w:tcW w:type="dxa" w:w="1051"/>
          </w:tcPr>
          <w:p>
            <w:pPr>
              <w:pStyle w:val="null3"/>
              <w:jc w:val="center"/>
            </w:pPr>
            <w:r>
              <w:rPr/>
              <w:t>13</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jc w:val="center"/>
            </w:pPr>
            <w:r>
              <w:rPr/>
              <w:t>14</w:t>
            </w:r>
          </w:p>
        </w:tc>
        <w:tc>
          <w:tcPr>
            <w:tcW w:type="dxa" w:w="2252"/>
          </w:tcPr>
          <w:p>
            <w:pPr>
              <w:pStyle w:val="null3"/>
            </w:pPr>
            <w:r>
              <w:rPr/>
              <w:t xml:space="preserve"> 成交供应商确定方式</w:t>
            </w:r>
          </w:p>
        </w:tc>
        <w:tc>
          <w:tcPr>
            <w:tcW w:type="dxa" w:w="5004"/>
          </w:tcPr>
          <w:p>
            <w:pPr>
              <w:pStyle w:val="null3"/>
            </w:pPr>
            <w:r>
              <w:rPr/>
              <w:t>采购人按照评审报告中推荐的成交候选人确定中标（成交）人。</w:t>
            </w:r>
          </w:p>
        </w:tc>
      </w:tr>
      <w:tr>
        <w:tc>
          <w:tcPr>
            <w:tcW w:type="dxa" w:w="1051"/>
          </w:tcPr>
          <w:p>
            <w:pPr>
              <w:pStyle w:val="null3"/>
              <w:jc w:val="center"/>
            </w:pPr>
            <w:r>
              <w:rPr/>
              <w:t>15</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以成交金额作为采购代理服务费的计算基数,参照中华人民共和国国家发展计划委员会颁发的计价格〔2002〕1980号、发改办价格〔2003〕857号及发改价格〔2011〕534号文规定的“服务类”计费标准计算并缴纳。 收款人：广东弘业建设项目管理有限公司 开户行：广东海丰农村商业银行股份有限公司龙津支行 帐 号：000413475065</w:t>
            </w:r>
          </w:p>
        </w:tc>
      </w:tr>
      <w:tr>
        <w:tc>
          <w:tcPr>
            <w:tcW w:type="dxa" w:w="1051"/>
          </w:tcPr>
          <w:p>
            <w:pPr>
              <w:pStyle w:val="null3"/>
              <w:jc w:val="center"/>
            </w:pPr>
            <w:r>
              <w:rPr/>
              <w:t>16</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jc w:val="center"/>
            </w:pPr>
            <w:r>
              <w:rPr/>
              <w:t>17</w:t>
            </w:r>
          </w:p>
        </w:tc>
        <w:tc>
          <w:tcPr>
            <w:tcW w:type="dxa" w:w="2252"/>
          </w:tcPr>
          <w:p>
            <w:pPr>
              <w:pStyle w:val="null3"/>
            </w:pPr>
            <w:r>
              <w:rPr/>
              <w:t xml:space="preserve"> 响应文件要求</w:t>
            </w:r>
          </w:p>
        </w:tc>
        <w:tc>
          <w:tcPr>
            <w:tcW w:type="dxa" w:w="5004"/>
          </w:tcPr>
          <w:p>
            <w:pPr>
              <w:pStyle w:val="null3"/>
              <w:ind w:firstLine="480"/>
            </w:pPr>
            <w:r>
              <w:rPr>
                <w:b/>
              </w:rPr>
              <w:t>一、电子响应文件（必须提供）：</w:t>
            </w:r>
          </w:p>
          <w:p>
            <w:pPr>
              <w:pStyle w:val="null3"/>
              <w:ind w:firstLine="480"/>
            </w:pPr>
            <w:r>
              <w:rPr/>
              <w:t>（1）加密的电子响应文件 1 份（需在递交响应文件截止时间前成功上传至云平台项目采购系统）。</w:t>
            </w:r>
          </w:p>
          <w:p>
            <w:pPr>
              <w:pStyle w:val="null3"/>
              <w:ind w:firstLine="480"/>
            </w:pPr>
            <w:r>
              <w:rPr/>
              <w:t>（2）非加密电子版文件 U 盘(或光盘)</w:t>
            </w:r>
            <w:r>
              <w:rPr/>
              <w:t>0</w:t>
            </w:r>
            <w:r>
              <w:rPr/>
              <w:t>份，加密的电子响应文件与非加密的电子响应文件必须完全一致。</w:t>
            </w:r>
          </w:p>
          <w:p>
            <w:pPr>
              <w:pStyle w:val="null3"/>
              <w:ind w:firstLine="480"/>
            </w:pPr>
            <w:r>
              <w:rPr>
                <w:b/>
              </w:rPr>
              <w:t>非加密电子版响应文件使用情形:</w:t>
            </w:r>
            <w:r>
              <w:rPr/>
              <w:t xml:space="preserve"> 当无法使用 CA 证书在云平台项目采购系统进行电子响应文件开标解密时，供应商须在代理机构指引下启用非加密电子版响应文件。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jc w:val="center"/>
            </w:pPr>
            <w:r>
              <w:rPr/>
              <w:t>18</w:t>
            </w:r>
          </w:p>
        </w:tc>
        <w:tc>
          <w:tcPr>
            <w:tcW w:type="dxa" w:w="2252"/>
          </w:tcPr>
          <w:p>
            <w:pPr>
              <w:pStyle w:val="null3"/>
            </w:pPr>
            <w:r>
              <w:rPr/>
              <w:t xml:space="preserve"> 其他</w:t>
            </w:r>
          </w:p>
        </w:tc>
        <w:tc>
          <w:tcPr>
            <w:tcW w:type="dxa" w:w="5004"/>
          </w:tcPr>
          <w:p>
            <w:pPr>
              <w:pStyle w:val="null3"/>
              <w:jc w:val="left"/>
            </w:pPr>
            <w:r>
              <w:rPr/>
              <w:t>其他，纸质投标文件正本1份，副本2份只需中标单位在领取中标通知书时递交给代理机构。</w:t>
            </w:r>
          </w:p>
        </w:tc>
      </w:tr>
      <w:tr>
        <w:tc>
          <w:tcPr>
            <w:tcW w:type="dxa" w:w="1051"/>
          </w:tcPr>
          <w:p>
            <w:pPr>
              <w:pStyle w:val="null3"/>
              <w:jc w:val="center"/>
            </w:pPr>
            <w:r>
              <w:rPr/>
              <w:t>19</w:t>
            </w:r>
          </w:p>
        </w:tc>
        <w:tc>
          <w:tcPr>
            <w:tcW w:type="dxa" w:w="2252"/>
          </w:tcPr>
          <w:p>
            <w:pPr>
              <w:pStyle w:val="null3"/>
            </w:pPr>
            <w:r>
              <w:rPr/>
              <w:t xml:space="preserve"> 开标解密时长</w:t>
            </w:r>
          </w:p>
        </w:tc>
        <w:tc>
          <w:tcPr>
            <w:tcW w:type="dxa" w:w="5004"/>
          </w:tcPr>
          <w:p>
            <w:pPr>
              <w:pStyle w:val="null3"/>
            </w:pPr>
            <w:r>
              <w:rPr/>
              <w:t>具体情况根据开标时现场代理机构人员设置为准</w:t>
            </w:r>
          </w:p>
          <w:p>
            <w:pPr>
              <w:pStyle w:val="null3"/>
            </w:pPr>
            <w:r>
              <w:rPr/>
              <w:t>说明：具体情况根据开标时现场代理机构人员设置为准</w:t>
            </w:r>
          </w:p>
        </w:tc>
      </w:tr>
      <w:tr>
        <w:tc>
          <w:tcPr>
            <w:tcW w:type="dxa" w:w="1051"/>
          </w:tcPr>
          <w:p>
            <w:pPr>
              <w:pStyle w:val="null3"/>
              <w:jc w:val="center"/>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 xml:space="preserve"> 本磋商文件依据《中华人民共和国政府采购法》、《中华人民共和国政府采购法实施条例》（国务院令第658号）和《政府采购竞争性磋商采购方式管理暂行办法》（财库〔2014〕214号）及国家和广东省有关法律、法规、规章制度编制。</w:t>
      </w:r>
    </w:p>
    <w:p>
      <w:pPr>
        <w:pStyle w:val="null3"/>
        <w:ind w:firstLine="480"/>
      </w:pPr>
      <w:r>
        <w:rPr/>
        <w:t xml:space="preserve"> 供应商应仔细阅读本项目信息公告及磋商文件的所有内容（包括变更、补充、澄清以及修改等，且均为磋商文件的组成部分），按照磋商文件要求以及格式编制响应文件，并保证其真实性，否则一切后果自负。</w:t>
      </w:r>
    </w:p>
    <w:p>
      <w:pPr>
        <w:pStyle w:val="null3"/>
        <w:ind w:firstLine="480"/>
      </w:pPr>
      <w:r>
        <w:rPr/>
        <w:t>本次竞争性磋商项目，是以磋商公告的方式邀请非特定的供应商参加磋商。</w:t>
      </w:r>
    </w:p>
    <w:p>
      <w:pPr>
        <w:pStyle w:val="null3"/>
        <w:outlineLvl w:val="3"/>
      </w:pPr>
      <w:r>
        <w:rPr>
          <w:sz w:val="24"/>
          <w:b/>
        </w:rPr>
        <w:t>2.适用范围</w:t>
      </w:r>
    </w:p>
    <w:p>
      <w:pPr>
        <w:pStyle w:val="null3"/>
        <w:ind w:firstLine="480"/>
      </w:pPr>
      <w:r>
        <w:rPr/>
        <w:t>本磋商文件仅适用于本次磋商公告中所涉及的项目和内容。</w:t>
      </w:r>
    </w:p>
    <w:p>
      <w:pPr>
        <w:pStyle w:val="null3"/>
        <w:outlineLvl w:val="3"/>
      </w:pPr>
      <w:r>
        <w:rPr>
          <w:sz w:val="24"/>
          <w:b/>
        </w:rPr>
        <w:t>3.进口产品</w:t>
      </w:r>
    </w:p>
    <w:p>
      <w:pPr>
        <w:pStyle w:val="null3"/>
        <w:ind w:firstLine="480"/>
      </w:pPr>
      <w:r>
        <w:rPr/>
        <w:t>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4.磋商费用</w:t>
      </w:r>
    </w:p>
    <w:p>
      <w:pPr>
        <w:pStyle w:val="null3"/>
        <w:ind w:firstLine="480"/>
      </w:pPr>
      <w:r>
        <w:rPr/>
        <w:t>不论磋商结果如何，供应商应承担所有与准备和参加磋商有关的费用。采购代理机构和采购人均无义务和责任承担相关费用。</w:t>
      </w:r>
    </w:p>
    <w:p>
      <w:pPr>
        <w:pStyle w:val="null3"/>
        <w:outlineLvl w:val="3"/>
      </w:pPr>
      <w:r>
        <w:rPr>
          <w:sz w:val="24"/>
          <w:b/>
        </w:rPr>
        <w:t>5.以联合体形式磋商的，应符合以下规定：</w:t>
      </w:r>
    </w:p>
    <w:p>
      <w:pPr>
        <w:pStyle w:val="null3"/>
        <w:ind w:firstLine="480"/>
      </w:pPr>
      <w:r>
        <w:rPr/>
        <w:t>5.1联合体各方均应当满足《中华人民共和国政府采购法》第二十二条规定的条件，并在响应文件中提供联合体各方的相关证明材料。</w:t>
      </w:r>
    </w:p>
    <w:p>
      <w:pPr>
        <w:pStyle w:val="null3"/>
        <w:ind w:firstLine="480"/>
      </w:pPr>
      <w:r>
        <w:rPr/>
        <w:t xml:space="preserve"> 5.2联合体各方之间应签订联合体协议书并在响应文件中提交，明确约定联合体各方承担的工作和相应的责任。联合体各方签订联合体协议书后，不得再以自己名义单独在同一项目中响应，也不得组成新的联合体参加同一项目响应，若违反规定则其参与的所有响应将视为无效响应。</w:t>
      </w:r>
    </w:p>
    <w:p>
      <w:pPr>
        <w:pStyle w:val="null3"/>
        <w:ind w:firstLine="480"/>
      </w:pPr>
      <w:r>
        <w:rPr/>
        <w:t xml:space="preserve"> 5.3联合体应以联合协议中确定的牵头方名义登录云平台项目采购系统进行项目响应，录入联合体所有成员单位的全称并使用成员单位的电子印章进行联投确认，联合体名称需与联合体协议书签署方一致。对于需交响应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6.关联企业响应说明</w:t>
      </w:r>
    </w:p>
    <w:p>
      <w:pPr>
        <w:pStyle w:val="null3"/>
        <w:ind w:firstLine="480"/>
      </w:pPr>
      <w:r>
        <w:rPr/>
        <w:t xml:space="preserve"> 6.1对于不接受联合体响应的采购项目（采购包）：法定代表人或单位负责人为同一个人或者存在直接控股、管理关系的不同供应商，不得同时参加同一项目或同一采购包的响应。如同时参加，则评审时将同时被拒绝。</w:t>
      </w:r>
    </w:p>
    <w:p>
      <w:pPr>
        <w:pStyle w:val="null3"/>
        <w:ind w:firstLine="480"/>
      </w:pPr>
      <w:r>
        <w:rPr/>
        <w:t xml:space="preserve"> 6.2对于接受联合体响应的采购项目（采购包）：除联合体外，法定代表人或单位负责人为同一个人或者存在直接控股、管理关系的不同供应商，不得同时参加同一项目或同一采购包的响应。如同时参加，则评审时将同时被拒绝。</w:t>
      </w:r>
    </w:p>
    <w:p>
      <w:pPr>
        <w:pStyle w:val="null3"/>
        <w:outlineLvl w:val="3"/>
      </w:pPr>
      <w:r>
        <w:rPr>
          <w:sz w:val="24"/>
          <w:b/>
        </w:rPr>
        <w:t>7.关于中小微企业响应</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响应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8.1供应商不得相互串通磋商报价，不得妨碍其他供应商的公平竞争，不得损害采购人或其他供应商的合法权益，供应商不得以向采购人、磋商小组成员行贿或者采取其他不正当手段谋取成交。</w:t>
      </w:r>
    </w:p>
    <w:p>
      <w:pPr>
        <w:pStyle w:val="null3"/>
        <w:ind w:firstLine="480"/>
      </w:pPr>
      <w:r>
        <w:rPr/>
        <w:t>8.2供应商不得与采购人就响应价格、响应方案等实质性内容进行磋商，也不得私下接触磋商小组成员。</w:t>
      </w:r>
    </w:p>
    <w:p>
      <w:pPr>
        <w:pStyle w:val="null3"/>
        <w:ind w:firstLine="480"/>
      </w:pPr>
      <w:r>
        <w:rPr/>
        <w:t>8.3在确定成交供应商之前，供应商试图在响应文件审查、澄清、比较和评价时对磋商小组、采购人和采购代理机构施加任何影响都可能导致其响应无效。</w:t>
      </w:r>
    </w:p>
    <w:p>
      <w:pPr>
        <w:pStyle w:val="null3"/>
        <w:ind w:firstLine="480"/>
      </w:pPr>
      <w:r>
        <w:rPr/>
        <w:t>8.4获得本磋商文件者，须履行本磋商项目下保密义务，不得将因本次磋商获得的信息向第三人外传，不得将磋商文件用作本次响应以外的任何用途。</w:t>
      </w:r>
    </w:p>
    <w:p>
      <w:pPr>
        <w:pStyle w:val="null3"/>
        <w:ind w:firstLine="480"/>
      </w:pPr>
      <w:r>
        <w:rPr/>
        <w:t xml:space="preserve"> 8.5由采购人向供应商提供的图纸、详细资料、样品、模型、模件和所有其它资料，均为保密资料，仅被用于它所规定的用途。除非得到采购人的同意，不能向任何第三方透露。开启结束后，应采购人要求，供应商应归还所有从采购人处获得的保密资料。</w:t>
      </w:r>
    </w:p>
    <w:p>
      <w:pPr>
        <w:pStyle w:val="null3"/>
        <w:ind w:firstLine="480"/>
      </w:pPr>
      <w:r>
        <w:rPr/>
        <w:t>8.6采购人或采购代理机构有权将供应商提供的所有资料向有关政府部门或询价小组披露。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磋商文件另有规定外，响应文件应使用中文文本，若有不同文本，以中文文本为准。响应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9.2除非磋商文件的技术规格中另有规定，供应商在响应文件中及其与采购人和采购代理机构的所有往来文件中的计量单位均应采用中华人民共和国法定计量单位。</w:t>
      </w:r>
    </w:p>
    <w:p>
      <w:pPr>
        <w:pStyle w:val="null3"/>
        <w:ind w:firstLine="480"/>
      </w:pPr>
      <w:r>
        <w:rPr/>
        <w:t>9.3供应商所提供的货物和服务均应以人民币报价，货币单位：元。</w:t>
      </w:r>
    </w:p>
    <w:p>
      <w:pPr>
        <w:pStyle w:val="null3"/>
        <w:outlineLvl w:val="3"/>
      </w:pPr>
      <w:r>
        <w:rPr>
          <w:sz w:val="24"/>
          <w:b/>
        </w:rPr>
        <w:t>10. 现场踏勘（如有）</w:t>
      </w:r>
    </w:p>
    <w:p>
      <w:pPr>
        <w:pStyle w:val="null3"/>
        <w:ind w:firstLine="480"/>
      </w:pPr>
      <w:r>
        <w:rPr/>
        <w:t>10.1磋商文件规定组织踏勘现场的，采购人按磋商文件规定的时间、地点组织供应商踏勘项目现场。</w:t>
      </w:r>
    </w:p>
    <w:p>
      <w:pPr>
        <w:pStyle w:val="null3"/>
        <w:ind w:firstLine="480"/>
      </w:pPr>
      <w:r>
        <w:rPr/>
        <w:t>10.2供应商自行承担踏勘现场发生的责任、风险和自身费用。</w:t>
      </w:r>
    </w:p>
    <w:p>
      <w:pPr>
        <w:pStyle w:val="null3"/>
        <w:ind w:firstLine="480"/>
      </w:pPr>
      <w:r>
        <w:rPr/>
        <w:t>10.3采购人在踏勘现场中介绍的资料和数据等，不构成对磋商文件的修改或不作为供应商编制响应文件的依据。</w:t>
      </w:r>
    </w:p>
    <w:p>
      <w:pPr>
        <w:pStyle w:val="null3"/>
        <w:outlineLvl w:val="2"/>
      </w:pPr>
      <w:r>
        <w:rPr>
          <w:sz w:val="28"/>
          <w:b/>
        </w:rPr>
        <w:t>四、磋商文件的澄清和修改</w:t>
      </w:r>
    </w:p>
    <w:p>
      <w:pPr>
        <w:pStyle w:val="null3"/>
        <w:ind w:firstLine="480"/>
      </w:pPr>
      <w:r>
        <w:rPr/>
        <w:t xml:space="preserve"> 1.采购代理机构对磋商文件进行必要的澄清或者修改的，在指定媒体上发布更正公告。澄清或者修改的内容可能影响响应文件编制的，更正公告在递交响应文件截止时间至少5日前发出；不足5日的，代理机构顺延提交响应文件截止时间。</w:t>
      </w:r>
    </w:p>
    <w:p>
      <w:pPr>
        <w:pStyle w:val="null3"/>
        <w:ind w:firstLine="480"/>
      </w:pPr>
      <w:r>
        <w:rPr/>
        <w:t xml:space="preserve"> 2.更正公告及其所发布的内容或信息（包括但不限于：磋商文件的澄清或修改、现场考察或答疑会的有关事宜等）作为磋商文件的组成部分，对供应商具有约束力。一经在指定媒体上发布后，更正公告将作为通知所有磋商文件收受人的书面形式。</w:t>
      </w:r>
    </w:p>
    <w:p>
      <w:pPr>
        <w:pStyle w:val="null3"/>
        <w:ind w:firstLine="480"/>
      </w:pPr>
      <w:r>
        <w:rPr/>
        <w:t>3.如更正公告有重新发布电子磋商文件的，供应商应登录云平台项目采购系统下载最新发布的电子磋商文件制作响应文件。</w:t>
      </w:r>
    </w:p>
    <w:p>
      <w:pPr>
        <w:pStyle w:val="null3"/>
        <w:ind w:firstLine="480"/>
      </w:pPr>
      <w:r>
        <w:rPr/>
        <w:t xml:space="preserve"> 4.供应商在规定的时间内未对磋商文件提出疑问、质疑或要求澄清的，将视其为无异议。对磋商文件中描述有歧义或前后不一致的地方，磋商小组有权进行评判，但对同一条款的评判应适用于每个供应商。</w:t>
      </w:r>
    </w:p>
    <w:p>
      <w:pPr>
        <w:pStyle w:val="null3"/>
        <w:outlineLvl w:val="2"/>
      </w:pPr>
      <w:r>
        <w:rPr>
          <w:sz w:val="28"/>
          <w:b/>
        </w:rPr>
        <w:t>五、响应要求</w:t>
      </w:r>
    </w:p>
    <w:p>
      <w:pPr>
        <w:pStyle w:val="null3"/>
        <w:outlineLvl w:val="3"/>
      </w:pPr>
      <w:r>
        <w:rPr>
          <w:sz w:val="24"/>
          <w:b/>
        </w:rPr>
        <w:t>1.响应登记</w:t>
      </w:r>
    </w:p>
    <w:p>
      <w:pPr>
        <w:pStyle w:val="null3"/>
        <w:ind w:firstLine="480"/>
      </w:pPr>
      <w:r>
        <w:rPr/>
        <w:t xml:space="preserve"> 供应商应从广东省政府采购网（https://gdgpo.czt.gd.gov.cn/）上广东政府采购智慧云平台（以下简称“云平台”）的政府采购供应商入口进行免费注册并点击登录进入项目采购系统完成项目响应登记并在线获取磋商文件（未按上述方式获取磋商文件的供应商，其响应资格将被视为无效）。</w:t>
      </w:r>
    </w:p>
    <w:p>
      <w:pPr>
        <w:pStyle w:val="null3"/>
        <w:outlineLvl w:val="3"/>
      </w:pPr>
      <w:r>
        <w:rPr>
          <w:sz w:val="24"/>
          <w:b/>
        </w:rPr>
        <w:t>2.响应文件的制作</w:t>
      </w:r>
    </w:p>
    <w:p>
      <w:pPr>
        <w:pStyle w:val="null3"/>
        <w:ind w:firstLine="480"/>
      </w:pPr>
      <w:r>
        <w:rPr/>
        <w:t>2.1响应文件中，所有内容均以电子文件编制，其格式要求详见第六章说明。如因不按要求编制导致系统无法检索、读取相关信息时，其后果由供应商承担。由于本项目采用电子化投标，请充分考虑设备、网络环境、人员对系统熟悉度等因素，合理安排响应文件制作、提交时间，建议至少提前一天完成制作、提交工作。</w:t>
      </w:r>
    </w:p>
    <w:p>
      <w:pPr>
        <w:pStyle w:val="null3"/>
        <w:ind w:firstLine="480"/>
      </w:pPr>
      <w:r>
        <w:rPr/>
        <w:t xml:space="preserve"> 2.2供应商应使用云平台提供的投标客户端编制、标记、加密响应文件，成功加密后将生成指定格式的电子响应文件和电子备用响应文件。所有响应文件不能进行压缩处理。关于电子磋商报价说明如下：</w:t>
      </w:r>
    </w:p>
    <w:p>
      <w:pPr>
        <w:pStyle w:val="null3"/>
        <w:ind w:firstLine="480"/>
      </w:pPr>
      <w:r>
        <w:rPr/>
        <w:t xml:space="preserve"> （1）供应商应按照“第二章采购需求”的需求内容、责任范围以及合同条款进行报价。并按“首轮报价表”和“分项报价表”规定的格式报出总价和分项价格。磋商总价中不得包含磋商文件要求以外的内容，否则，在评审时不予核减。</w:t>
      </w:r>
    </w:p>
    <w:p>
      <w:pPr>
        <w:pStyle w:val="null3"/>
        <w:ind w:firstLine="480"/>
      </w:pPr>
      <w:r>
        <w:rPr/>
        <w:t>（2）磋商报价包括本项目采购需求和投入使用的所有费用，包括但不限于主件、标准附件、备品备件、施工、服务、专用工具、安装、调试、检验、培训、运输、保险、税款等。</w:t>
      </w:r>
    </w:p>
    <w:p>
      <w:pPr>
        <w:pStyle w:val="null3"/>
        <w:ind w:firstLine="480"/>
      </w:pPr>
      <w:r>
        <w:rPr/>
        <w:t>（3）磋商报价不得有选择性报价和附有条件的报价，否则将导致响应无效。</w:t>
      </w:r>
    </w:p>
    <w:p>
      <w:pPr>
        <w:pStyle w:val="null3"/>
        <w:ind w:firstLine="480"/>
      </w:pPr>
      <w:r>
        <w:rPr/>
        <w:t>2.3如有对多个采购包响应的，要对每个采购包独立制作电子响应文件。</w:t>
      </w:r>
    </w:p>
    <w:p>
      <w:pPr>
        <w:pStyle w:val="null3"/>
        <w:ind w:firstLine="480"/>
      </w:pPr>
      <w:r>
        <w:rPr/>
        <w:t>2.4供应商不得将同一个项目或同一个采购包的内容拆开响应，否则其报价将被视为非实质性响应。</w:t>
      </w:r>
    </w:p>
    <w:p>
      <w:pPr>
        <w:pStyle w:val="null3"/>
        <w:ind w:firstLine="480"/>
      </w:pPr>
      <w:r>
        <w:rPr/>
        <w:t>2.5供应商须对磋商文件的对应要求给予唯一的实质性响应，否则将视为不响应。</w:t>
      </w:r>
    </w:p>
    <w:p>
      <w:pPr>
        <w:pStyle w:val="null3"/>
        <w:ind w:firstLine="480"/>
      </w:pPr>
      <w:r>
        <w:rPr/>
        <w:t>2.6磋商文件中，凡标有“★”的地方均为实质性响应条款，供应商若有一项带“★”的条款未响应或不满足，将按无效响应处理。</w:t>
      </w:r>
    </w:p>
    <w:p>
      <w:pPr>
        <w:pStyle w:val="null3"/>
        <w:ind w:firstLine="480"/>
      </w:pPr>
      <w:r>
        <w:rPr/>
        <w:t xml:space="preserve"> 2.7供应商必须按磋商文件指定的格式填写各种报价，各报价应计算正确。除在磋商文件另有规定外（如：报折扣、报优惠率等），计量单位应使用中华人民共和国法定计量单位，以人民币填报所有报价。</w:t>
      </w:r>
    </w:p>
    <w:p>
      <w:pPr>
        <w:pStyle w:val="null3"/>
        <w:ind w:firstLine="480"/>
      </w:pPr>
      <w:r>
        <w:rPr/>
        <w:t xml:space="preserve"> 2.8响应文件以及供应商与采购人、代理机构就有关响应的往来函电均应使用中文。供应商提交的支持性文件和印制的文件可以用另一种语言，但相应内容应翻译成中文，在解释响应文件时以中文文本为准。</w:t>
      </w:r>
    </w:p>
    <w:p>
      <w:pPr>
        <w:pStyle w:val="null3"/>
        <w:ind w:firstLine="480"/>
      </w:pPr>
      <w:r>
        <w:rPr/>
        <w:t xml:space="preserve"> 2.9供应商应按磋商文件的规定及附件要求的内容和格式完整地填写和提供资料。供应商必须对响应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3.响应文件的提交</w:t>
      </w:r>
    </w:p>
    <w:p>
      <w:pPr>
        <w:pStyle w:val="null3"/>
        <w:ind w:firstLine="480"/>
      </w:pPr>
      <w:r>
        <w:rPr/>
        <w:t xml:space="preserve"> 3.1在响应文件提交截止时间前，供应商须将电子响应文件成功完整上传到云平台项目采购系统，且取得响应回执。时间以云平台项目采购系统服务器从中国科学院国家授时中心取得的北京时间为准，递交响应文件截止时间结束后，系统将不允许供应商上传响应文件，已上传响应文件但未完成传输的文件系统将拒绝接收。</w:t>
      </w:r>
    </w:p>
    <w:p>
      <w:pPr>
        <w:pStyle w:val="null3"/>
        <w:ind w:firstLine="480"/>
      </w:pPr>
      <w:r>
        <w:rPr/>
        <w:t>3.2代理机构对因不可抗力事件造成的响应文件的损坏、丢失的，不承担责任。</w:t>
      </w:r>
    </w:p>
    <w:p>
      <w:pPr>
        <w:pStyle w:val="null3"/>
        <w:ind w:firstLine="480"/>
      </w:pPr>
      <w:r>
        <w:rPr/>
        <w:t>3.3出现下述情形之一，属于未成功提交响应文件，按无效响应处理：</w:t>
      </w:r>
    </w:p>
    <w:p>
      <w:pPr>
        <w:pStyle w:val="null3"/>
        <w:ind w:firstLine="480"/>
      </w:pPr>
      <w:r>
        <w:rPr/>
        <w:t>（1）至提交响应文件截止时，响应文件未完整上传并取得响应回执的。</w:t>
      </w:r>
    </w:p>
    <w:p>
      <w:pPr>
        <w:pStyle w:val="null3"/>
        <w:ind w:firstLine="480"/>
      </w:pPr>
      <w:r>
        <w:rPr/>
        <w:t>（2）响应文件未按响应格式中注明需签字盖章的要求进行签名（含电子签名）和加盖电子印章，或签名（含电子签名）或电子印章不完整的。</w:t>
      </w:r>
    </w:p>
    <w:p>
      <w:pPr>
        <w:pStyle w:val="null3"/>
        <w:ind w:firstLine="480"/>
      </w:pPr>
      <w:r>
        <w:rPr/>
        <w:t>（3）响应文件损坏或格式不正确的。</w:t>
      </w:r>
    </w:p>
    <w:p>
      <w:pPr>
        <w:pStyle w:val="null3"/>
        <w:outlineLvl w:val="3"/>
      </w:pPr>
      <w:r>
        <w:rPr>
          <w:sz w:val="24"/>
          <w:b/>
        </w:rPr>
        <w:t>4.响应文件的修改、撤回与撤销</w:t>
      </w:r>
    </w:p>
    <w:p>
      <w:pPr>
        <w:pStyle w:val="null3"/>
        <w:ind w:firstLine="480"/>
      </w:pPr>
      <w:r>
        <w:rPr/>
        <w:t xml:space="preserve"> 4.1在提交响应文件截止时间前，供应商可以修改或撤回未解密的电子响应文件，并于提交响应文件截止时间前将修改后重新生成的电子响应文件上传至系统，到达响应文件提交截止时间后，将不允许修改或撤回。</w:t>
      </w:r>
    </w:p>
    <w:p>
      <w:pPr>
        <w:pStyle w:val="null3"/>
        <w:ind w:firstLine="480"/>
      </w:pPr>
      <w:r>
        <w:rPr/>
        <w:t>4.2在提交响应文件截止时间后，供应商不得补充、修改和更换响应文件。</w:t>
      </w:r>
    </w:p>
    <w:p>
      <w:pPr>
        <w:pStyle w:val="null3"/>
        <w:outlineLvl w:val="3"/>
      </w:pPr>
      <w:r>
        <w:rPr>
          <w:sz w:val="24"/>
          <w:b/>
        </w:rPr>
        <w:t>5.响应文件的解密</w:t>
      </w:r>
    </w:p>
    <w:p>
      <w:pPr>
        <w:pStyle w:val="null3"/>
        <w:ind w:firstLine="480"/>
      </w:pPr>
      <w:r>
        <w:rPr/>
        <w:t xml:space="preserve"> 到达开启时间后，供应商需携带并使用制作该响应文件的同一数字证书参加开启解密，供应商须在采购代理机构规定的时间内完成响应文件解密，供应商未携带数字证书或其他非系统原因导致的逾期未解密响应文件，将作无效响应处理。</w:t>
      </w:r>
    </w:p>
    <w:p>
      <w:pPr>
        <w:pStyle w:val="null3"/>
        <w:outlineLvl w:val="3"/>
      </w:pPr>
      <w:r>
        <w:rPr>
          <w:sz w:val="24"/>
          <w:b/>
        </w:rPr>
        <w:t>6.响应保证金</w:t>
      </w:r>
    </w:p>
    <w:p>
      <w:pPr>
        <w:pStyle w:val="null3"/>
        <w:ind w:firstLine="480"/>
      </w:pPr>
      <w:r>
        <w:rPr/>
        <w:t xml:space="preserve"> 6.1响应保证金的缴纳</w:t>
      </w:r>
    </w:p>
    <w:p>
      <w:pPr>
        <w:pStyle w:val="null3"/>
        <w:ind w:firstLine="480"/>
      </w:pPr>
      <w:r>
        <w:rPr/>
        <w:t>供应商在提交响应文件的同时，应按供应商须知前附表规定的金额和缴纳要求缴纳响应保证金，并作为其响应文件的组成部分。</w:t>
      </w:r>
    </w:p>
    <w:p>
      <w:pPr>
        <w:pStyle w:val="null3"/>
        <w:ind w:firstLine="480"/>
      </w:pPr>
      <w:r>
        <w:rPr/>
        <w:t xml:space="preserve"> 如采用转账、支票、本票、汇票形式提交的，响应保证金从供应商基本账户递交，由</w:t>
      </w:r>
      <w:r>
        <w:rPr/>
        <w:t>广东弘业建设项目管理有限公司</w:t>
      </w:r>
      <w:r>
        <w:rPr/>
        <w:t>代收。具体操作要求详见</w:t>
      </w:r>
      <w:r>
        <w:rPr/>
        <w:t>广东弘业建设项目管理有限公司</w:t>
      </w:r>
      <w:r>
        <w:rPr/>
        <w:t>有关指引，递交事宜请自行咨询</w:t>
      </w:r>
      <w:r>
        <w:rPr/>
        <w:t>广东弘业建设项目管理有限公司</w:t>
      </w:r>
      <w:r>
        <w:rPr/>
        <w:t>；请各供应商在响应文件递交截止时间前按须知前附表规定的金额递交至</w:t>
      </w:r>
      <w:r>
        <w:rPr/>
        <w:t>广东弘业建设项目管理有限公司</w:t>
      </w:r>
      <w:r>
        <w:rPr/>
        <w:t>，到账情况以开启时</w:t>
      </w:r>
      <w:r>
        <w:rPr/>
        <w:t>广东弘业建设项目管理有限公司</w:t>
      </w:r>
      <w:r>
        <w:rPr/>
        <w:t>查询的信息为准。</w:t>
      </w:r>
    </w:p>
    <w:p>
      <w:pPr>
        <w:pStyle w:val="null3"/>
        <w:ind w:firstLine="480"/>
      </w:pPr>
      <w:r>
        <w:rPr/>
        <w:t>如采用金融机构、专业担保机构开具的响应保函、响应保证保险函等形式提交响应保证金的，响应保函或响应保证保险函须开具给采购人（保险受益人须为采购人），并与响应文件一同递交。</w:t>
      </w:r>
    </w:p>
    <w:p>
      <w:pPr>
        <w:pStyle w:val="null3"/>
        <w:ind w:firstLine="480"/>
      </w:pPr>
      <w:r>
        <w:rPr/>
        <w:t xml:space="preserve"> 供应商可通过"广东政府采购智慧云平台金融服务中心"(https://gdgpo.czt.gd.gov.cn/zcdservice/zcd/guangdong/)，申请办理电子保函，电子保函与纸质保函具有同样效力。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启或评审现场无法拉取电子保函信息时，可提供电子保函打印件或购买凭证作为核验凭证。相关凭证应上传至系统归档保存。</w:t>
      </w:r>
    </w:p>
    <w:p>
      <w:pPr>
        <w:pStyle w:val="null3"/>
        <w:ind w:firstLine="480"/>
      </w:pPr>
      <w:r>
        <w:rPr/>
        <w:t>6.2响应保证金的退还：</w:t>
      </w:r>
    </w:p>
    <w:p>
      <w:pPr>
        <w:pStyle w:val="null3"/>
        <w:ind w:firstLine="480"/>
      </w:pPr>
      <w:r>
        <w:rPr/>
        <w:t>（1）供应商在递交响应文件截止时间前放弃响应的，自所投采购包结果公告发出后5个工作日内退还。</w:t>
      </w:r>
    </w:p>
    <w:p>
      <w:pPr>
        <w:pStyle w:val="null3"/>
        <w:ind w:firstLine="480"/>
      </w:pPr>
      <w:r>
        <w:rPr/>
        <w:t>（2）未成交的供应商保证金，在成交通知书发出后5个工作日内原额退还。</w:t>
      </w:r>
    </w:p>
    <w:p>
      <w:pPr>
        <w:pStyle w:val="null3"/>
        <w:ind w:firstLine="480"/>
      </w:pPr>
      <w:r>
        <w:rPr/>
        <w:t>（3）成交供应商的响应保证金,在成交供应商与采购人签订采购合同后5个工作日内原额退还。</w:t>
      </w:r>
    </w:p>
    <w:p>
      <w:pPr>
        <w:pStyle w:val="null3"/>
        <w:ind w:firstLine="480"/>
      </w:pPr>
      <w:r>
        <w:rPr/>
        <w:t>备注：但因供应商自身原因导致无法及时退还的除外。</w:t>
      </w:r>
    </w:p>
    <w:p>
      <w:pPr>
        <w:pStyle w:val="null3"/>
        <w:ind w:firstLine="480"/>
      </w:pPr>
      <w:r>
        <w:rPr/>
        <w:t xml:space="preserve"> 6.3有下列情形之一的，响应保证金将不予退还并上缴国库：</w:t>
      </w:r>
    </w:p>
    <w:p>
      <w:pPr>
        <w:pStyle w:val="null3"/>
        <w:ind w:firstLine="480"/>
      </w:pPr>
      <w:r>
        <w:rPr/>
        <w:t>（1）提供虚假材料谋取成交的；</w:t>
      </w:r>
    </w:p>
    <w:p>
      <w:pPr>
        <w:pStyle w:val="null3"/>
        <w:ind w:firstLine="480"/>
      </w:pPr>
      <w:r>
        <w:rPr/>
        <w:t>（2）供应商在磋商文件规定的响应有效期内撤销其响应；</w:t>
      </w:r>
    </w:p>
    <w:p>
      <w:pPr>
        <w:pStyle w:val="null3"/>
        <w:ind w:firstLine="480"/>
      </w:pPr>
      <w:r>
        <w:rPr/>
        <w:t>（3）成交后，无正当理由放弃成交资格；</w:t>
      </w:r>
    </w:p>
    <w:p>
      <w:pPr>
        <w:pStyle w:val="null3"/>
        <w:ind w:firstLine="480"/>
      </w:pPr>
      <w:r>
        <w:rPr/>
        <w:t>（4）成交后，无正当理由不与采购人签订合同；</w:t>
      </w:r>
    </w:p>
    <w:p>
      <w:pPr>
        <w:pStyle w:val="null3"/>
        <w:ind w:firstLine="480"/>
      </w:pPr>
      <w:r>
        <w:rPr/>
        <w:t>（5）法律法规和磋商文件规定的其他情形。</w:t>
      </w:r>
    </w:p>
    <w:p>
      <w:pPr>
        <w:pStyle w:val="null3"/>
        <w:outlineLvl w:val="3"/>
      </w:pPr>
      <w:r>
        <w:rPr>
          <w:sz w:val="24"/>
          <w:b/>
        </w:rPr>
        <w:t>7.响应有效期</w:t>
      </w:r>
    </w:p>
    <w:p>
      <w:pPr>
        <w:pStyle w:val="null3"/>
        <w:ind w:firstLine="480"/>
      </w:pPr>
      <w:r>
        <w:rPr/>
        <w:t>7.1响应有效期内供应商撤销响应文件的，采购人或者采购代理机构可以不退还响应保证金（如有）。采用响应保函方式替代保证金的，采购人或者采购代理机构可以向担保机构索赔保证金。</w:t>
      </w:r>
    </w:p>
    <w:p>
      <w:pPr>
        <w:pStyle w:val="null3"/>
        <w:ind w:firstLine="480"/>
      </w:pPr>
      <w:r>
        <w:rPr/>
        <w:t xml:space="preserve"> 7.2出现特殊情况需延长响应有效期的，采购人或采购代理机构可于响应有效期满之前要求供应商同意延长有效期，要求与答复均以书面形式通知所有供应商。供应商同意延长的，应相应延长其响应保证金（如有）的有效期，但不得要求或被允许修改或撤销其响应文件；供应商可以拒绝延长有效期，但其响应将会被视为无效，拒绝延长有效期的供应商有权收回其响应保证金（如有）。采用响应保函方式替代保证金的，响应有效期超出保函有效期的，采购人或者采购代理机构应提示响应供应商重新开函，未获得有效保函的响应供应商其响应将会被视为无效。</w:t>
      </w:r>
    </w:p>
    <w:p>
      <w:pPr>
        <w:pStyle w:val="null3"/>
        <w:outlineLvl w:val="3"/>
      </w:pPr>
      <w:r>
        <w:rPr>
          <w:sz w:val="24"/>
          <w:b/>
        </w:rPr>
        <w:t>8.样品（演示）</w:t>
      </w:r>
    </w:p>
    <w:p>
      <w:pPr>
        <w:pStyle w:val="null3"/>
        <w:ind w:firstLine="480"/>
      </w:pPr>
      <w:r>
        <w:rPr/>
        <w:t>8.1磋商文件规定供应商提交样品的，样品属于响应文件的组成部分。样品的生产、运输、安装、保全等一切费用由供应商自理。</w:t>
      </w:r>
    </w:p>
    <w:p>
      <w:pPr>
        <w:pStyle w:val="null3"/>
        <w:ind w:firstLine="480"/>
      </w:pPr>
      <w:r>
        <w:rPr/>
        <w:t>8.2递交响应文件截止时间前，供应商应将样品送达至指定地点。若需要现场演示的，供应商应提前做好演示准备（包括演示设备）。</w:t>
      </w:r>
    </w:p>
    <w:p>
      <w:pPr>
        <w:pStyle w:val="null3"/>
        <w:ind w:firstLine="480"/>
      </w:pPr>
      <w:r>
        <w:rPr/>
        <w:t xml:space="preserve"> 8.3采购结果公告发布后，成交供应商的样品由采购人封存，作为履约验收的依据之一。未成交供应商在接到采购代理机构通知后，应按规定时间尽快自行取回样品，否则视同供应商不再认领，代理机构有权进行处理。</w:t>
      </w:r>
    </w:p>
    <w:p>
      <w:pPr>
        <w:pStyle w:val="null3"/>
        <w:outlineLvl w:val="3"/>
      </w:pPr>
      <w:r>
        <w:rPr>
          <w:sz w:val="24"/>
          <w:b/>
        </w:rPr>
        <w:t>9.除磋商文件另有规定外，有下列情形之一的，响应无效：</w:t>
      </w:r>
    </w:p>
    <w:p>
      <w:pPr>
        <w:pStyle w:val="null3"/>
        <w:ind w:firstLine="480"/>
      </w:pPr>
      <w:r>
        <w:rPr/>
        <w:t>9.1响应文件未按照磋商文件要求签署、盖章；</w:t>
      </w:r>
    </w:p>
    <w:p>
      <w:pPr>
        <w:pStyle w:val="null3"/>
        <w:ind w:firstLine="480"/>
      </w:pPr>
      <w:r>
        <w:rPr/>
        <w:t>9.2不符合磋商文件中规定的资格要求；</w:t>
      </w:r>
    </w:p>
    <w:p>
      <w:pPr>
        <w:pStyle w:val="null3"/>
        <w:ind w:firstLine="480"/>
      </w:pPr>
      <w:r>
        <w:rPr/>
        <w:t>9.3磋商报价超过磋商文件中规定的预算金额或最高限价；</w:t>
      </w:r>
    </w:p>
    <w:p>
      <w:pPr>
        <w:pStyle w:val="null3"/>
        <w:ind w:firstLine="480"/>
      </w:pPr>
      <w:r>
        <w:rPr/>
        <w:t>9.4响应文件含有采购人不能接受的附加条件；</w:t>
      </w:r>
    </w:p>
    <w:p>
      <w:pPr>
        <w:pStyle w:val="null3"/>
        <w:ind w:firstLine="480"/>
      </w:pPr>
      <w:r>
        <w:rPr/>
        <w:t>9.5有关法律、法规和规章及磋商文件规定的其他无效情形。</w:t>
      </w:r>
    </w:p>
    <w:p>
      <w:pPr>
        <w:pStyle w:val="null3"/>
        <w:outlineLvl w:val="2"/>
      </w:pPr>
      <w:r>
        <w:rPr>
          <w:sz w:val="28"/>
          <w:b/>
        </w:rPr>
        <w:t>六、磋商、评审和结果确定</w:t>
      </w:r>
    </w:p>
    <w:p>
      <w:pPr>
        <w:pStyle w:val="null3"/>
        <w:outlineLvl w:val="3"/>
      </w:pPr>
      <w:r>
        <w:rPr>
          <w:sz w:val="24"/>
          <w:b/>
        </w:rPr>
        <w:t>1.响应文件的开启</w:t>
      </w:r>
    </w:p>
    <w:p>
      <w:pPr>
        <w:pStyle w:val="null3"/>
        <w:ind w:firstLine="480"/>
      </w:pPr>
      <w:r>
        <w:rPr/>
        <w:t>1.1开启程序</w:t>
      </w:r>
    </w:p>
    <w:p>
      <w:pPr>
        <w:pStyle w:val="null3"/>
        <w:ind w:firstLine="480"/>
      </w:pPr>
      <w:r>
        <w:rPr/>
        <w:t>工作人员按磋商公告规定的时间进行开启，由采购人或者采购代理机构工作人员宣布供应商名称、解密情况和磋商文件规定的需要宣布的其他内容。开启分为现场电子开启和远程电子开启两种。</w:t>
      </w:r>
    </w:p>
    <w:p>
      <w:pPr>
        <w:pStyle w:val="null3"/>
        <w:ind w:firstLine="480"/>
      </w:pPr>
      <w:r>
        <w:rPr/>
        <w:t xml:space="preserve"> 采用现场电子开启的：供应商的法定代表人或其委托代理人应当按照本磋商公告载明的时间和地点前往参加开启，并携带编制本项目（采购包）电子响应文件时加密所用的数字证书、存储有备用电子响应文件的U盘前往开启现场。</w:t>
      </w:r>
    </w:p>
    <w:p>
      <w:pPr>
        <w:pStyle w:val="null3"/>
        <w:ind w:firstLine="480"/>
      </w:pPr>
      <w:r>
        <w:rPr/>
        <w:t xml:space="preserve"> 采用远程电子开启的：供应商的法定代表人或其授权代表应当按照本磋商公告载明的时间和模式等要求参加开启。在递交响应文件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启时，供应商应当使用编制本项目（采购包）电子响应文件时加密所用数字证书在开始解密后按照代理机构规定的时间内完成电子响应文件的解密，如遇不可抗力等其他特殊情况，采购代理机构可视情况延长解密时间。供应商未携带数字证书或其他非系统原因导致的在规定时间内未解密响应文件，将作无效响应处理。（采用远程电子开启的，各供应商在参加开启以前须自行对使用电脑的网络环境、驱动安装、客户端安装以及数字证书的有效性等进行检测，确保可以正常使用）。</w:t>
      </w:r>
    </w:p>
    <w:p>
      <w:pPr>
        <w:pStyle w:val="null3"/>
        <w:ind w:firstLine="480"/>
      </w:pPr>
      <w:r>
        <w:rPr/>
        <w:t xml:space="preserve"> 如在电子开启过程中出现无法正常解密的，代理机构可根据实际情况开启上传备用电子响应文件通道。系统将对上传的备用电子响应文件的合法性进行验证，若发现提交的备用电子响应文件与加密的电子响应文件版本不一致（即两份文件不是通过投标客户端同时加密生成的），系统将拒绝接收，视为无效响应。如供应商无法在代理规定的时间内完成备用电子响应文件的上传，响应将被拒绝，作无效响应处理。</w:t>
      </w:r>
    </w:p>
    <w:p>
      <w:pPr>
        <w:pStyle w:val="null3"/>
        <w:ind w:firstLine="480"/>
      </w:pPr>
      <w:r>
        <w:rPr/>
        <w:t>1.2异议</w:t>
      </w:r>
    </w:p>
    <w:p>
      <w:pPr>
        <w:pStyle w:val="null3"/>
        <w:ind w:firstLine="480"/>
      </w:pPr>
      <w:r>
        <w:rPr/>
        <w:t>供应商代表对开启过程和开启记录有疑义，以及认为采购人、采购代理机构相关工作人员有需要回避的情形的，应当场提出询问或者回避申请。供应商未参加开启的，视同认可开启结果。</w:t>
      </w:r>
    </w:p>
    <w:p>
      <w:pPr>
        <w:pStyle w:val="null3"/>
        <w:ind w:firstLine="480"/>
      </w:pPr>
      <w:r>
        <w:rPr/>
        <w:t>1.3开启时出现下列情况的，视为响应无效处理</w:t>
      </w:r>
    </w:p>
    <w:p>
      <w:pPr>
        <w:pStyle w:val="null3"/>
        <w:ind w:firstLine="480"/>
      </w:pPr>
      <w:r>
        <w:rPr/>
        <w:t>（1）经检查数字证书无效的；</w:t>
      </w:r>
    </w:p>
    <w:p>
      <w:pPr>
        <w:pStyle w:val="null3"/>
        <w:ind w:firstLine="480"/>
      </w:pPr>
      <w:r>
        <w:rPr/>
        <w:t>（2）因供应商自身原因，未在规定时间内完成电子响应文件解密的；</w:t>
      </w:r>
    </w:p>
    <w:p>
      <w:pPr>
        <w:pStyle w:val="null3"/>
        <w:ind w:firstLine="480"/>
      </w:pPr>
      <w:r>
        <w:rPr/>
        <w:t>（3）如需使用备用电子响应文件解密时，在规定的解密时间内无法提供备用电子响应文件或提供的备用电子响应文件与加密的电子响应文件版本不一致（即两份文件不是通过投标客户端同时加密生成的）。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3.成交</w:t>
      </w:r>
    </w:p>
    <w:p>
      <w:pPr>
        <w:pStyle w:val="null3"/>
        <w:ind w:firstLine="480"/>
      </w:pPr>
      <w:r>
        <w:rPr/>
        <w:t>3.1成交结果公告：</w:t>
      </w:r>
    </w:p>
    <w:p>
      <w:pPr>
        <w:pStyle w:val="null3"/>
        <w:ind w:firstLine="480"/>
      </w:pPr>
      <w:r>
        <w:rPr/>
        <w:t xml:space="preserve"> 成交供应商确定之日起2个工作日内，采购人或采购代理机构将在中国政府采购网(www.ccgp.gov.cn)、广东省政府采购网(https://gdgpo.czt.gd.gov.cn/)、上以公告的形式发布成交结果，结果公告的公告期限为 1 个工作日。结果公告同时作为采购代理机构通知除成交供应商外的其他供应商没有成交的书面形式，采购代理机构不再以其它方式另行通知。</w:t>
      </w:r>
    </w:p>
    <w:p>
      <w:pPr>
        <w:pStyle w:val="null3"/>
        <w:ind w:firstLine="480"/>
      </w:pPr>
      <w:r>
        <w:rPr/>
        <w:t>3.2成交通知书：</w:t>
      </w:r>
    </w:p>
    <w:p>
      <w:pPr>
        <w:pStyle w:val="null3"/>
        <w:ind w:firstLine="480"/>
      </w:pPr>
      <w:r>
        <w:rPr/>
        <w:t xml:space="preserve"> 采购人或采购代理机构在发布结果公告时，在云平台同步发送至成交供应商。成交供应商可在云平台自行下载打印《成交通知书》，《成交通知书》将作为授予合同资格的唯一合法依据。成交通知书发出后，采购人不得违法改变成交结果，成交供应商不得放弃成交。成交供应商放弃成交的，应当依法承担相应的法律责任。</w:t>
      </w:r>
    </w:p>
    <w:p>
      <w:pPr>
        <w:pStyle w:val="null3"/>
        <w:ind w:firstLine="480"/>
      </w:pPr>
      <w:r>
        <w:rPr/>
        <w:t>3.3终止公告：</w:t>
      </w:r>
    </w:p>
    <w:p>
      <w:pPr>
        <w:pStyle w:val="null3"/>
        <w:ind w:firstLine="480"/>
      </w:pPr>
      <w:r>
        <w:rPr/>
        <w:t xml:space="preserve"> 终止磋商采购活动后，采购人或采购代理机构将在中国政府采购网(www.ccgp.gov.cn)、广东省政府采购网(https://gdgpo.czt.gd.gov.cn/)、上发布终止公告，终止公告的公告期限为 1 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供应商对政府采购活动事项（磋商文件、采购过程和成交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响应邀请函》中“采购人、采购代理机构的名称、地址和联系方式”。</w:t>
      </w:r>
    </w:p>
    <w:p>
      <w:pPr>
        <w:pStyle w:val="null3"/>
        <w:outlineLvl w:val="3"/>
      </w:pPr>
      <w:r>
        <w:rPr>
          <w:sz w:val="24"/>
          <w:b/>
        </w:rPr>
        <w:t>2.质疑</w:t>
      </w:r>
    </w:p>
    <w:p>
      <w:pPr>
        <w:pStyle w:val="null3"/>
        <w:ind w:firstLine="480"/>
      </w:pPr>
      <w:r>
        <w:rPr/>
        <w:t xml:space="preserve"> 2.1供应商认为磋商文件、采购过程和成交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（1）对磋商文件提出质疑的，为获取磋商文件之日或者磋商文件公告期限届满之日；</w:t>
      </w:r>
    </w:p>
    <w:p>
      <w:pPr>
        <w:pStyle w:val="null3"/>
        <w:ind w:firstLine="480"/>
      </w:pPr>
      <w:r>
        <w:rPr/>
        <w:t>（2）对采购过程提出质疑的，为各采购程序环节结束之日；</w:t>
      </w:r>
    </w:p>
    <w:p>
      <w:pPr>
        <w:pStyle w:val="null3"/>
        <w:ind w:firstLine="480"/>
      </w:pPr>
      <w:r>
        <w:rPr/>
        <w:t>（3）对成交结果提出质疑的，为成交结果公告期限届满之日。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（3）认为磋商文件、采购过程和成交结果使自己的合法权益受到损害的法律依据、事实依据、相关证明材料及证据来源；</w:t>
      </w:r>
    </w:p>
    <w:p>
      <w:pPr>
        <w:pStyle w:val="null3"/>
        <w:ind w:firstLine="480"/>
      </w:pPr>
      <w:r>
        <w:rPr/>
        <w:t>（4）提出质疑的日期。</w:t>
      </w:r>
    </w:p>
    <w:p>
      <w:pPr>
        <w:pStyle w:val="null3"/>
        <w:ind w:firstLine="480"/>
      </w:pPr>
      <w:r>
        <w:rPr/>
        <w:t>2.3质疑函应当署名。质疑供应商为自然人的，应当由本人签字；质疑供应商为法人或者其他组织的，应当由法定代表人、主要负责人，或者其授权代表签字或者盖章，并加盖公章。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周工</w:t>
      </w:r>
    </w:p>
    <w:p>
      <w:pPr>
        <w:pStyle w:val="null3"/>
        <w:ind w:firstLine="480"/>
      </w:pPr>
      <w:r>
        <w:rPr/>
        <w:t>电话：</w:t>
      </w:r>
      <w:r>
        <w:rPr/>
        <w:t>0660-6999948</w:t>
      </w:r>
    </w:p>
    <w:p>
      <w:pPr>
        <w:pStyle w:val="null3"/>
        <w:ind w:firstLine="480"/>
      </w:pPr>
      <w:r>
        <w:rPr/>
        <w:t>传真：</w:t>
      </w:r>
      <w:r>
        <w:rPr/>
        <w:t>0660-6999948</w:t>
      </w:r>
    </w:p>
    <w:p>
      <w:pPr>
        <w:pStyle w:val="null3"/>
        <w:ind w:firstLine="480"/>
      </w:pPr>
      <w:r>
        <w:rPr/>
        <w:t>邮箱：</w:t>
      </w:r>
      <w:r>
        <w:rPr/>
        <w:t>HYGS99948@163.com</w:t>
      </w:r>
    </w:p>
    <w:p>
      <w:pPr>
        <w:pStyle w:val="null3"/>
        <w:ind w:firstLine="480"/>
      </w:pPr>
      <w:r>
        <w:rPr/>
        <w:t>地址：</w:t>
      </w:r>
      <w:r>
        <w:rPr/>
        <w:t>海丰县海城镇海银公路西侧叠翠名城B座505-1号</w:t>
      </w:r>
    </w:p>
    <w:p>
      <w:pPr>
        <w:pStyle w:val="null3"/>
        <w:ind w:firstLine="480"/>
      </w:pPr>
      <w:r>
        <w:rPr/>
        <w:t>邮编：</w:t>
      </w:r>
      <w:r>
        <w:rPr/>
        <w:t>516400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政府采购监督管理机构名称：海丰县政府采购管理办公室</w:t>
      </w:r>
    </w:p>
    <w:p>
      <w:pPr>
        <w:pStyle w:val="null3"/>
      </w:pPr>
      <w:r>
        <w:rPr/>
        <w:t>地 址：广东省海丰县海城镇海银路</w:t>
      </w:r>
    </w:p>
    <w:p>
      <w:pPr>
        <w:pStyle w:val="null3"/>
      </w:pPr>
      <w:r>
        <w:rPr/>
        <w:t>电 话：0660-6626029</w:t>
      </w:r>
    </w:p>
    <w:p>
      <w:pPr>
        <w:pStyle w:val="null3"/>
      </w:pPr>
      <w:r>
        <w:rPr/>
        <w:t>邮 编：516600</w:t>
      </w:r>
    </w:p>
    <w:p>
      <w:pPr>
        <w:pStyle w:val="null3"/>
      </w:pPr>
      <w:r>
        <w:rPr/>
        <w:t>传 真：/</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1.1采购人应当自《成交通知书》发出之日起三十日内，按照磋商文件和成交供应商响应文件的约定，与成交供应商签订合同。所签订的合同不得对磋商文件和成交供应商响应文件作实质性修改。</w:t>
      </w:r>
    </w:p>
    <w:p>
      <w:pPr>
        <w:pStyle w:val="null3"/>
        <w:ind w:firstLine="480"/>
      </w:pPr>
      <w:r>
        <w:rPr/>
        <w:t>1.2采购人不得提出试用合格等任何不合理的要求作为签订合同的条件，且不得与成交供应商私下订立背离合同实质性内容的协议。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评审</w:t>
      </w:r>
    </w:p>
    <w:p>
      <w:pPr>
        <w:pStyle w:val="null3"/>
        <w:outlineLvl w:val="2"/>
      </w:pPr>
      <w:r>
        <w:rPr>
          <w:sz w:val="28"/>
          <w:b/>
        </w:rPr>
        <w:t>一、评审要求</w:t>
      </w:r>
    </w:p>
    <w:p>
      <w:pPr>
        <w:pStyle w:val="null3"/>
        <w:outlineLvl w:val="3"/>
      </w:pPr>
      <w:r>
        <w:rPr>
          <w:sz w:val="24"/>
          <w:b/>
        </w:rPr>
        <w:t>1.评审方法</w:t>
      </w:r>
    </w:p>
    <w:p>
      <w:pPr>
        <w:pStyle w:val="null3"/>
      </w:pPr>
      <w:r>
        <w:rPr/>
        <w:t>采购包1(海丰县2024年有害生物防治项目（第二批）)：综合评分法,是指响应文件满足磋商文件全部实质性要求，且按照评审因素的量化指标评审得分最高的投标人为成交候选人的评标方法。（最低报价不是成交的唯一依据。）</w:t>
      </w:r>
    </w:p>
    <w:p>
      <w:pPr>
        <w:pStyle w:val="null3"/>
        <w:outlineLvl w:val="3"/>
      </w:pPr>
      <w:r>
        <w:rPr>
          <w:sz w:val="24"/>
          <w:b/>
        </w:rPr>
        <w:t>2.评审原则</w:t>
      </w:r>
    </w:p>
    <w:p>
      <w:pPr>
        <w:pStyle w:val="null3"/>
        <w:ind w:firstLine="480"/>
      </w:pPr>
      <w:r>
        <w:rPr/>
        <w:t>2.1评审活动遵循公平、公正、科学和择优的原则，以磋商文件和响应文件为评审的基本依据，并按照磋商文件规定的评审方法和评审标准进行评审。</w:t>
      </w:r>
    </w:p>
    <w:p>
      <w:pPr>
        <w:pStyle w:val="null3"/>
        <w:ind w:firstLine="480"/>
      </w:pPr>
      <w:r>
        <w:rPr/>
        <w:t xml:space="preserve"> 2.2具体评审事项由磋商小组负责，并按磋商文件的规定办法进行评审。对磋商文件中描述有歧义或前后不一致的地方，磋商小组有权按法律法规的规定进行评判，但对同一条款的评判应适用于每个响应供应商。</w:t>
      </w:r>
    </w:p>
    <w:p>
      <w:pPr>
        <w:pStyle w:val="null3"/>
        <w:outlineLvl w:val="3"/>
      </w:pPr>
      <w:r>
        <w:rPr>
          <w:sz w:val="24"/>
          <w:b/>
        </w:rPr>
        <w:t>3.磋商小组</w:t>
      </w:r>
    </w:p>
    <w:p>
      <w:pPr>
        <w:pStyle w:val="null3"/>
        <w:ind w:firstLine="480"/>
      </w:pPr>
      <w:r>
        <w:rPr/>
        <w:t>3.1磋商小组由采购人代表和评审专家组成，成员人数应当为3人及以上单数，其中技术、经济等方面的评审专家不得少于成员总数的三分之二。</w:t>
      </w:r>
    </w:p>
    <w:p>
      <w:pPr>
        <w:pStyle w:val="null3"/>
        <w:ind w:firstLine="480"/>
      </w:pPr>
      <w:r>
        <w:rPr/>
        <w:t>3.2评审应遵守下列评审纪律：</w:t>
      </w:r>
    </w:p>
    <w:p>
      <w:pPr>
        <w:pStyle w:val="null3"/>
        <w:ind w:firstLine="480"/>
      </w:pPr>
      <w:r>
        <w:rPr/>
        <w:t>（1）评审情况不得私自外泄，有关信息由</w:t>
      </w:r>
      <w:r>
        <w:rPr/>
        <w:t>广东弘业建设项目管理有限公司</w:t>
      </w:r>
      <w:r>
        <w:rPr/>
        <w:t>统一对外发布。</w:t>
      </w:r>
    </w:p>
    <w:p>
      <w:pPr>
        <w:pStyle w:val="null3"/>
        <w:ind w:firstLine="480"/>
      </w:pPr>
      <w:r>
        <w:rPr/>
        <w:t>（2）对</w:t>
      </w:r>
      <w:r>
        <w:rPr/>
        <w:t>广东弘业建设项目管理有限公司</w:t>
      </w:r>
      <w:r>
        <w:rPr/>
        <w:t>或供应商提供的要求保密的资料，不得摘记翻印和外传。</w:t>
      </w:r>
    </w:p>
    <w:p>
      <w:pPr>
        <w:pStyle w:val="null3"/>
        <w:ind w:firstLine="480"/>
      </w:pPr>
      <w:r>
        <w:rPr/>
        <w:t>（3）不得收受响应供应商或有关人员的任何礼物，不得串联鼓动其他人袒护某供应商。若与供应商存在利害关系，则应主动声明并回避。</w:t>
      </w:r>
    </w:p>
    <w:p>
      <w:pPr>
        <w:pStyle w:val="null3"/>
        <w:ind w:firstLine="480"/>
      </w:pPr>
      <w:r>
        <w:rPr/>
        <w:t>（4）全体评委应按照磋商文件规定进行评审，一切认定事项应查有实据且不得弄虚作假。</w:t>
      </w:r>
    </w:p>
    <w:p>
      <w:pPr>
        <w:pStyle w:val="null3"/>
        <w:ind w:firstLine="480"/>
      </w:pPr>
      <w:r>
        <w:rPr/>
        <w:t>（5）磋商小组各成员应当独立对每个响应供应商的响应文件进行评价，并对评价意见承担个人责任。评审过程中，不得发表倾向性言论。</w:t>
      </w:r>
    </w:p>
    <w:p>
      <w:pPr>
        <w:pStyle w:val="null3"/>
        <w:ind w:firstLine="480"/>
      </w:pPr>
      <w:r>
        <w:rPr/>
        <w:t>※对违反评审纪律的评委，将取消其评委资格，对评审工作造成严重损失者将予以通报批评乃至追究法律责任。</w:t>
      </w:r>
    </w:p>
    <w:p>
      <w:pPr>
        <w:pStyle w:val="null3"/>
        <w:outlineLvl w:val="3"/>
      </w:pPr>
      <w:r>
        <w:rPr>
          <w:sz w:val="24"/>
          <w:b/>
        </w:rPr>
        <w:t>4.有下列情形之一的，视为供应商串通响应，其响应无效</w:t>
      </w:r>
    </w:p>
    <w:p>
      <w:pPr>
        <w:pStyle w:val="null3"/>
        <w:ind w:firstLine="480"/>
      </w:pPr>
      <w:r>
        <w:rPr/>
        <w:t>4.1不同供应商的响应文件由同一单位或者个人编制；</w:t>
      </w:r>
    </w:p>
    <w:p>
      <w:pPr>
        <w:pStyle w:val="null3"/>
        <w:ind w:firstLine="480"/>
      </w:pPr>
      <w:r>
        <w:rPr/>
        <w:t>4.2不同供应商委托同一单位或者个人办理响应事宜；</w:t>
      </w:r>
    </w:p>
    <w:p>
      <w:pPr>
        <w:pStyle w:val="null3"/>
        <w:ind w:firstLine="480"/>
      </w:pPr>
      <w:r>
        <w:rPr/>
        <w:t>4.3不同供应商的响应文件载明的项目管理成员或者联系人员为同一人；</w:t>
      </w:r>
    </w:p>
    <w:p>
      <w:pPr>
        <w:pStyle w:val="null3"/>
        <w:ind w:firstLine="480"/>
      </w:pPr>
      <w:r>
        <w:rPr/>
        <w:t>4.4不同供应商的响应文件异常一致或者响应报价呈规律性差异；</w:t>
      </w:r>
    </w:p>
    <w:p>
      <w:pPr>
        <w:pStyle w:val="null3"/>
        <w:ind w:firstLine="480"/>
      </w:pPr>
      <w:r>
        <w:rPr/>
        <w:t>4.5不同供应商的响应文件相互混装；</w:t>
      </w:r>
    </w:p>
    <w:p>
      <w:pPr>
        <w:pStyle w:val="null3"/>
        <w:ind w:firstLine="480"/>
      </w:pPr>
      <w:r>
        <w:rPr/>
        <w:t>4.6不同供应商的响应保证金或购买电子保函支付款为从同一单位或个人的账户转出。</w:t>
      </w:r>
    </w:p>
    <w:p>
      <w:pPr>
        <w:pStyle w:val="null3"/>
        <w:ind w:firstLine="480"/>
      </w:pPr>
      <w:r>
        <w:rPr/>
        <w:t>4.7供应商上传的电子响应文件使用该项目其他响应供应商的数字证书加密的或加盖该项目的其他响应供应商的电子印章的。</w:t>
      </w:r>
    </w:p>
    <w:p>
      <w:pPr>
        <w:pStyle w:val="null3"/>
        <w:ind w:firstLine="480"/>
      </w:pPr>
      <w:r>
        <w:rPr/>
        <w:t xml:space="preserve"> 说明：在评审过程中发现供应商有上述情形的，磋商小组应当认定其响应无效。同时，项目评审时被认定为串通响应的供应商不得参加该合同项下的采购活动。</w:t>
      </w:r>
    </w:p>
    <w:p>
      <w:pPr>
        <w:pStyle w:val="null3"/>
        <w:outlineLvl w:val="3"/>
      </w:pPr>
      <w:r>
        <w:rPr>
          <w:sz w:val="24"/>
          <w:b/>
        </w:rPr>
        <w:t>5.有下列情形之一的，属于恶意串通响应：</w:t>
      </w:r>
    </w:p>
    <w:p>
      <w:pPr>
        <w:pStyle w:val="null3"/>
        <w:ind w:firstLine="480"/>
      </w:pPr>
      <w:r>
        <w:rPr/>
        <w:t>（1）供应商直接或者间接从采购人或者采购代理机构处获得其他供应商的相关情况并修改其响应文件；</w:t>
      </w:r>
    </w:p>
    <w:p>
      <w:pPr>
        <w:pStyle w:val="null3"/>
        <w:ind w:firstLine="480"/>
      </w:pPr>
      <w:r>
        <w:rPr/>
        <w:t>（2）供应商按照采购人或者采购代理机构的授意撤换、修改响应文件；</w:t>
      </w:r>
    </w:p>
    <w:p>
      <w:pPr>
        <w:pStyle w:val="null3"/>
        <w:ind w:firstLine="480"/>
      </w:pPr>
      <w:r>
        <w:rPr/>
        <w:t>（3）供应商之间协商报价、技术方案等响应文件的实质性内容；</w:t>
      </w:r>
    </w:p>
    <w:p>
      <w:pPr>
        <w:pStyle w:val="null3"/>
        <w:ind w:firstLine="480"/>
      </w:pPr>
      <w:r>
        <w:rPr/>
        <w:t>（4）属于同一集团、协会、商会等组织成员的供应商按照该组织要求协同参加政府采购活动；</w:t>
      </w:r>
    </w:p>
    <w:p>
      <w:pPr>
        <w:pStyle w:val="null3"/>
        <w:ind w:firstLine="480"/>
      </w:pPr>
      <w:r>
        <w:rPr/>
        <w:t>（5）供应商之间事先约定由某一特定供应商成交；</w:t>
      </w:r>
    </w:p>
    <w:p>
      <w:pPr>
        <w:pStyle w:val="null3"/>
        <w:ind w:firstLine="480"/>
      </w:pPr>
      <w:r>
        <w:rPr/>
        <w:t>（6）供应商之间商定部分供应商放弃参加政府采购活动或者放弃成交；</w:t>
      </w:r>
    </w:p>
    <w:p>
      <w:pPr>
        <w:pStyle w:val="null3"/>
        <w:ind w:firstLine="480"/>
      </w:pPr>
      <w:r>
        <w:rPr/>
        <w:t>（7）供应商与采购人或者采购代理机构之间、供应商相互之间，为谋求特定供应商成交或者排斥其他供应商的其他串通行为。</w:t>
      </w:r>
    </w:p>
    <w:p>
      <w:pPr>
        <w:pStyle w:val="null3"/>
        <w:outlineLvl w:val="3"/>
      </w:pPr>
      <w:r>
        <w:rPr>
          <w:sz w:val="24"/>
          <w:b/>
        </w:rPr>
        <w:t>6.其他响应无效的情形</w:t>
      </w:r>
    </w:p>
    <w:p>
      <w:pPr>
        <w:pStyle w:val="null3"/>
        <w:ind w:firstLine="480"/>
      </w:pPr>
      <w:r>
        <w:rPr/>
        <w:t>详见资格性审查、符合性审查和磋商文件其他响应无效条款。</w:t>
      </w:r>
    </w:p>
    <w:p>
      <w:pPr>
        <w:pStyle w:val="null3"/>
        <w:outlineLvl w:val="3"/>
      </w:pPr>
      <w:r>
        <w:rPr>
          <w:sz w:val="24"/>
          <w:b/>
        </w:rPr>
        <w:t>7.终止竞争性磋商采购活动的情形</w:t>
      </w:r>
    </w:p>
    <w:p>
      <w:pPr>
        <w:pStyle w:val="null3"/>
        <w:ind w:firstLine="480"/>
      </w:pPr>
      <w:r>
        <w:rPr/>
        <w:t>出现下列情形之一的，采购人或者采购代理机构应当终止竞争性磋商采购活动，发布项目终止公告并说明原因，重新开展采购活动：</w:t>
      </w:r>
    </w:p>
    <w:p>
      <w:pPr>
        <w:pStyle w:val="null3"/>
        <w:ind w:firstLine="480"/>
      </w:pPr>
      <w:r>
        <w:rPr/>
        <w:t>（1）因情况变化，不再符合规定的竞争性磋商采购方式适用情形的；</w:t>
      </w:r>
    </w:p>
    <w:p>
      <w:pPr>
        <w:pStyle w:val="null3"/>
        <w:ind w:firstLine="480"/>
      </w:pPr>
      <w:r>
        <w:rPr/>
        <w:t>（2）出现影响采购公正的违法、违规行为的；</w:t>
      </w:r>
    </w:p>
    <w:p>
      <w:pPr>
        <w:pStyle w:val="null3"/>
        <w:ind w:firstLine="480"/>
      </w:pPr>
      <w:r>
        <w:rPr/>
        <w:t>（3）除《政府采购竞争性磋商采购方式暂行办法》第二十一条第三款，《财政部关于政府采购竞争性磋商采购方式管理暂行办法有关问题的补充通知》（财库〔2015〕124号）规定的情形外，在采购过程中符合要求的供应商或者报价未超过采购预算的供应商不足3家的；</w:t>
      </w:r>
    </w:p>
    <w:p>
      <w:pPr>
        <w:pStyle w:val="null3"/>
        <w:ind w:firstLine="480"/>
      </w:pPr>
      <w:r>
        <w:rPr/>
        <w:t>（4）法律、法规以及磋商文件规定其他情形。</w:t>
      </w:r>
    </w:p>
    <w:p>
      <w:pPr>
        <w:pStyle w:val="null3"/>
        <w:outlineLvl w:val="3"/>
      </w:pPr>
      <w:r>
        <w:rPr>
          <w:sz w:val="24"/>
          <w:b/>
        </w:rPr>
        <w:t>8.确定成交供应商</w:t>
      </w:r>
    </w:p>
    <w:p>
      <w:pPr>
        <w:pStyle w:val="null3"/>
        <w:ind w:firstLine="480"/>
      </w:pPr>
      <w:r>
        <w:rPr/>
        <w:t>磋商小组按照磋商文件确定的评审方法、步骤、标准，对响应文件进行评审。评审结束后，对供应商的评审名次进行排序，确定成交供应商或者推荐成交候选供应商。</w:t>
      </w:r>
    </w:p>
    <w:p>
      <w:pPr>
        <w:pStyle w:val="null3"/>
        <w:outlineLvl w:val="3"/>
      </w:pPr>
      <w:r>
        <w:rPr>
          <w:sz w:val="24"/>
          <w:b/>
        </w:rPr>
        <w:t>9.价格修正</w:t>
      </w:r>
    </w:p>
    <w:p>
      <w:pPr>
        <w:pStyle w:val="null3"/>
        <w:ind w:firstLine="480"/>
      </w:pPr>
      <w:r>
        <w:rPr/>
        <w:t>对报价的计算错误按以下原则修正：</w:t>
      </w:r>
    </w:p>
    <w:p>
      <w:pPr>
        <w:pStyle w:val="null3"/>
        <w:ind w:firstLine="480"/>
      </w:pPr>
      <w:r>
        <w:rPr/>
        <w:t>（1）响应文件中首轮报价表（报价表）内容与响应文件中相应内容不一致的，以首轮报价表（报价表）为准；</w:t>
      </w:r>
    </w:p>
    <w:p>
      <w:pPr>
        <w:pStyle w:val="null3"/>
        <w:ind w:firstLine="480"/>
      </w:pPr>
      <w:r>
        <w:rPr/>
        <w:t>（2）大写金额和小写金额不一致的，以大写金额为准；</w:t>
      </w:r>
    </w:p>
    <w:p>
      <w:pPr>
        <w:pStyle w:val="null3"/>
        <w:ind w:firstLine="480"/>
      </w:pPr>
      <w:r>
        <w:rPr/>
        <w:t>（3）单价金额小数点或者百分比有明显错位的，以首轮报价表的总价为准，并修改单价；</w:t>
      </w:r>
    </w:p>
    <w:p>
      <w:pPr>
        <w:pStyle w:val="null3"/>
        <w:ind w:firstLine="480"/>
      </w:pPr>
      <w:r>
        <w:rPr/>
        <w:t>（4）总价金额与按单价汇总金额不一致的，以单价金额计算结果为准。但是单价金额计算结果超过预算价的，对其按无效响应处理；</w:t>
      </w:r>
    </w:p>
    <w:p>
      <w:pPr>
        <w:pStyle w:val="null3"/>
        <w:ind w:firstLine="480"/>
      </w:pPr>
      <w:r>
        <w:rPr/>
        <w:t>（5）若投标客户端上传的电子报价数据与电子响应文件价格不一致的，以电子报价数据为准。</w:t>
      </w:r>
    </w:p>
    <w:p>
      <w:pPr>
        <w:pStyle w:val="null3"/>
        <w:ind w:firstLine="480"/>
      </w:pPr>
      <w:r>
        <w:rPr/>
        <w:t xml:space="preserve"> 注：同时出现两种以上不一致的，按照前款规定的顺序在系统上进行价格澄清。供应商澄清后的价格加盖电子印章确认后产生约束力，但不得超出响应文件的范围或者改变响应文件的实质性内容，供应商不确认的，其响应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采购的产品属于品目清单范围的，将依据国家确定的认证机构出具的、处于有效期之内的节能产品、环境标志产品认证证书，对获得证书的产品实施政府优先采购或强制采购，具体按照本磋商文件相关要求执行。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采购包1（海丰县2024年有害生物防治项目（第二批））：</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ind w:firstLine="480"/>
      </w:pPr>
      <w:r>
        <w:rPr/>
        <w:t>（1）所称小型和微型企业应当符合以下条件：</w:t>
      </w:r>
    </w:p>
    <w:p>
      <w:pPr>
        <w:pStyle w:val="null3"/>
        <w:ind w:firstLine="480"/>
      </w:pPr>
      <w:r>
        <w:rPr/>
        <w:t xml:space="preserve"> 在中华人民共和国境内依法设立，依据国务院批准的中小企业划分标准确定的小型企业和微型企业，但与大企业的负责人为同一人，或者与大企业存在直接控股、管理关系的除外。符合中小企业划分标准的个体工商户，在政府采购活动中视同中小企业。提供本企业制造的货物或者提供其他小型或微型企业制造的货物。</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供应商应填写《中小企业声明函》；监狱企业须供应商提供由监狱管理局、戒毒管理局（含新疆生产建设兵团）出具的属于监狱企业的证明文件；残疾人福利性单位应填写《残疾人福利性单位声明函》，否则不认定价格扣除。</w:t>
      </w:r>
    </w:p>
    <w:p>
      <w:pPr>
        <w:pStyle w:val="null3"/>
        <w:ind w:firstLine="480"/>
      </w:pPr>
      <w:r>
        <w:rPr/>
        <w:t>说明：供应商应当对其出具的《中小企业声明函》真实性负责，供应商出具的《中小企业声明函》内容不实的，属于提供虚假材料谋取成交。</w:t>
      </w:r>
    </w:p>
    <w:p>
      <w:pPr>
        <w:pStyle w:val="null3"/>
        <w:ind w:firstLine="480"/>
      </w:pPr>
      <w:r>
        <w:rPr/>
        <w:t xml:space="preserve"> （3）联合体各方均为小型、微型企业的，各方均应提供《中小企业声明函》；中小微企业作为联合体一方参与政府采购活动，且联合体协议书中约定，小型、微型企业的协议合同金额占到联合体协议合同总金额30%以上的，应附中小微企业的《中小企业声明函》。</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 xml:space="preserve"> 磋商小组根据《资格性审查表》（附表一）和《符合性审查表》（附表二）的内容逐条对响应文件进行评审，审查每份响应文件的相关资格证明文件是否齐全有效。审查每份响应文件是否实质上响应了磋商文件的要求，只要不满足《资格性审查表》和《符合性审查表》所列各项要求之一的，将被认定为无效响应。对响应有效性认定意见不一致的，磋商小组按少数服从多数原则表决决定。</w:t>
      </w:r>
    </w:p>
    <w:p>
      <w:pPr>
        <w:pStyle w:val="null3"/>
        <w:ind w:firstLine="480"/>
      </w:pPr>
      <w:r>
        <w:rPr/>
        <w:t>磋商小组对各磋商供应商进行资格性和符合性审查过程中，对初步被认定为初审不合格或无效响应者应实行及时告知，由磋商小组组长或采购人代表将集体意见及时告知报价当事人。</w:t>
      </w:r>
    </w:p>
    <w:p>
      <w:pPr>
        <w:pStyle w:val="null3"/>
        <w:ind w:firstLine="480"/>
      </w:pPr>
      <w:r>
        <w:rPr/>
        <w:t>表一资格性审查表：</w:t>
      </w:r>
    </w:p>
    <w:p>
      <w:pPr>
        <w:pStyle w:val="null3"/>
      </w:pPr>
      <w:r>
        <w:rPr/>
        <w:t>采购包1（海丰县2024年有害生物防治项目（第二批））：</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投标（响应）时提交有效的营业执照（或事业法人登记证或身份证等相关证明）副本复印件。</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提供2024年任意1个月依法缴纳税收和社会保障资金的相关材料。如依法免税或不需要缴纳社会保障资金的，提供相应证明材料或政府采购供应商信用承诺函。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供应商必须具有良好的商业信誉和健全的财务会计制度 。（提供2023年度财务状况报告或财务报表或基本开户行出具的资信证明或政府采购供应商信用承诺函。）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供应商必须具备设备及专业技术能力。（按投标（响应）文件格式填报设备及专业技术能力情况或政府采购供应商信用承诺函。）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重大违法记录，是指供应商因违法经营受到刑事处罚或者 责令停产停业、吊销许可证或者执照、较大数额罚款等行政处罚。（根据财库〔2022〕3号文，“较大数额罚款”认定为200万 元以上的罚款，法律、行政法规以及国务院有关部门明确规定相关领域“较大数额罚款”标准高于200万元的，从其规定）。 提供相应证明材料或政府采购供应商信用承诺函</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信用记录：根据《财政部关于在政府采购活动中查询及使用信用记录有关问题的通知》，在投标截止时间前将通过“中国政府采购网”（www.ccgp.gov.cn）渠道查询政府采购严重违法失信行为记录名单；通过“信用中国”网站（www.creditchina.gov.cn）渠道查询相关主体信用记录，对列入失信被执行人、重大税收违法案件当事人名单、及其他不符合《中华人民共和国政府采购法》第二十二条规定条件的供应商，拒绝其参与政府采购活动。（供应商提供查询信息截图，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供应商必须符合法律、行政法规规定的其他条件：单位负责人为同一人或者存在直接控股、管理关系的不同供应商。为本项目提供整体设计、规范编制或者项目管理、监理、检测等服务的供应商，不得同时参加本采购项目（或采购包）投标（响应）。（提供相应证明材料或政府采购供应商信用承诺函）</w:t>
            </w:r>
          </w:p>
        </w:tc>
      </w:tr>
      <w:tr>
        <w:tc>
          <w:tcPr>
            <w:tcW w:type="dxa" w:w="890"/>
          </w:tcPr>
          <w:p>
            <w:pPr>
              <w:pStyle w:val="null3"/>
            </w:pPr>
            <w:r>
              <w:rPr/>
              <w:t>8</w:t>
            </w:r>
          </w:p>
        </w:tc>
        <w:tc>
          <w:tcPr>
            <w:tcW w:type="dxa" w:w="3178"/>
          </w:tcPr>
          <w:p>
            <w:pPr>
              <w:pStyle w:val="null3"/>
            </w:pPr>
            <w:r>
              <w:rPr/>
              <w:t>本采购包专门面向中小企业采购</w:t>
            </w:r>
          </w:p>
        </w:tc>
        <w:tc>
          <w:tcPr>
            <w:tcW w:type="dxa" w:w="4238"/>
          </w:tcPr>
          <w:p>
            <w:pPr>
              <w:pStyle w:val="null3"/>
            </w:pPr>
            <w:r>
              <w:rPr/>
              <w:t>本项目整体专门面向中小型企业。供应商须为符合本项目采购标的对应行业划分标准的中小企业（监狱企业、残疾人福利单位视同小型、微型企业）。注：中小企业以供应商 填写的《中小企业声明函》（见响应文件格式与要求）为判定标准，残疾人福利性单位以供应商填写的《残疾人福利性单位声明函》（见响应文件格式与要求）为判定标准，监狱企业须供应商提供由省级以上监狱管理局、戒毒管理局（含新疆生产建设兵团）出具的属于监狱企业的证明文件，否则不予认定。同时落实《财政部 发展改革委 生态环境部 市场监管总局关于调整优化节能产品、环境标志产品政府采购执行机制的通知》（财库〔2019〕9 号）、《国家乡村振兴局关于运用政府采购政策支持乡村产业振兴的通知》财库〔2021〕19号文件相关政策等。</w:t>
            </w:r>
          </w:p>
        </w:tc>
      </w:tr>
    </w:tbl>
    <w:p>
      <w:pPr>
        <w:pStyle w:val="null3"/>
        <w:ind w:firstLine="480"/>
      </w:pPr>
      <w:r>
        <w:rPr/>
        <w:t>表二符合性审查表：</w:t>
      </w:r>
    </w:p>
    <w:p>
      <w:pPr>
        <w:pStyle w:val="null3"/>
      </w:pPr>
      <w:r>
        <w:rPr/>
        <w:t>采购包1（海丰县2024年有害生物防治项目（第二批））：</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响应承诺函</w:t>
            </w:r>
          </w:p>
        </w:tc>
        <w:tc>
          <w:tcPr>
            <w:tcW w:type="dxa" w:w="4238"/>
          </w:tcPr>
          <w:p>
            <w:pPr>
              <w:pStyle w:val="null3"/>
            </w:pPr>
            <w:r>
              <w:rPr/>
              <w:t>响应承诺函已提交并符合竞争性磋商文件要求的；</w:t>
            </w:r>
          </w:p>
        </w:tc>
      </w:tr>
      <w:tr>
        <w:tc>
          <w:tcPr>
            <w:tcW w:type="dxa" w:w="890"/>
          </w:tcPr>
          <w:p>
            <w:pPr>
              <w:pStyle w:val="null3"/>
            </w:pPr>
            <w:r>
              <w:rPr/>
              <w:t>2</w:t>
            </w:r>
          </w:p>
        </w:tc>
        <w:tc>
          <w:tcPr>
            <w:tcW w:type="dxa" w:w="3178"/>
          </w:tcPr>
          <w:p>
            <w:pPr>
              <w:pStyle w:val="null3"/>
            </w:pPr>
            <w:r>
              <w:rPr/>
              <w:t>签署、盖章</w:t>
            </w:r>
          </w:p>
        </w:tc>
        <w:tc>
          <w:tcPr>
            <w:tcW w:type="dxa" w:w="4238"/>
          </w:tcPr>
          <w:p>
            <w:pPr>
              <w:pStyle w:val="null3"/>
            </w:pPr>
            <w:r>
              <w:rPr/>
              <w:t>投标文件完整，并按要求签署、盖章；</w:t>
            </w:r>
          </w:p>
        </w:tc>
      </w:tr>
      <w:tr>
        <w:tc>
          <w:tcPr>
            <w:tcW w:type="dxa" w:w="890"/>
          </w:tcPr>
          <w:p>
            <w:pPr>
              <w:pStyle w:val="null3"/>
            </w:pPr>
            <w:r>
              <w:rPr/>
              <w:t>3</w:t>
            </w:r>
          </w:p>
        </w:tc>
        <w:tc>
          <w:tcPr>
            <w:tcW w:type="dxa" w:w="3178"/>
          </w:tcPr>
          <w:p>
            <w:pPr>
              <w:pStyle w:val="null3"/>
            </w:pPr>
            <w:r>
              <w:rPr/>
              <w:t>实质性响应</w:t>
            </w:r>
          </w:p>
        </w:tc>
        <w:tc>
          <w:tcPr>
            <w:tcW w:type="dxa" w:w="4238"/>
          </w:tcPr>
          <w:p>
            <w:pPr>
              <w:pStyle w:val="null3"/>
            </w:pPr>
            <w:r>
              <w:rPr/>
              <w:t>满足磋商文件中的★条款（如有）；</w:t>
            </w:r>
          </w:p>
        </w:tc>
      </w:tr>
      <w:tr>
        <w:tc>
          <w:tcPr>
            <w:tcW w:type="dxa" w:w="890"/>
          </w:tcPr>
          <w:p>
            <w:pPr>
              <w:pStyle w:val="null3"/>
            </w:pPr>
            <w:r>
              <w:rPr/>
              <w:t>4</w:t>
            </w:r>
          </w:p>
        </w:tc>
        <w:tc>
          <w:tcPr>
            <w:tcW w:type="dxa" w:w="3178"/>
          </w:tcPr>
          <w:p>
            <w:pPr>
              <w:pStyle w:val="null3"/>
            </w:pPr>
            <w:r>
              <w:rPr/>
              <w:t>报价</w:t>
            </w:r>
          </w:p>
        </w:tc>
        <w:tc>
          <w:tcPr>
            <w:tcW w:type="dxa" w:w="4238"/>
          </w:tcPr>
          <w:p>
            <w:pPr>
              <w:pStyle w:val="null3"/>
            </w:pPr>
            <w:r>
              <w:rPr/>
              <w:t>报价未超过本项目采购预算的；</w:t>
            </w:r>
          </w:p>
        </w:tc>
      </w:tr>
      <w:tr>
        <w:tc>
          <w:tcPr>
            <w:tcW w:type="dxa" w:w="890"/>
          </w:tcPr>
          <w:p>
            <w:pPr>
              <w:pStyle w:val="null3"/>
            </w:pPr>
            <w:r>
              <w:rPr/>
              <w:t>5</w:t>
            </w:r>
          </w:p>
        </w:tc>
        <w:tc>
          <w:tcPr>
            <w:tcW w:type="dxa" w:w="3178"/>
          </w:tcPr>
          <w:p>
            <w:pPr>
              <w:pStyle w:val="null3"/>
            </w:pPr>
            <w:r>
              <w:rPr/>
              <w:t>响应有效期</w:t>
            </w:r>
          </w:p>
        </w:tc>
        <w:tc>
          <w:tcPr>
            <w:tcW w:type="dxa" w:w="4238"/>
          </w:tcPr>
          <w:p>
            <w:pPr>
              <w:pStyle w:val="null3"/>
            </w:pPr>
            <w:r>
              <w:rPr/>
              <w:t>响应有效期满足磋商文件要求；</w:t>
            </w:r>
          </w:p>
        </w:tc>
      </w:tr>
      <w:tr>
        <w:tc>
          <w:tcPr>
            <w:tcW w:type="dxa" w:w="890"/>
          </w:tcPr>
          <w:p>
            <w:pPr>
              <w:pStyle w:val="null3"/>
            </w:pPr>
            <w:r>
              <w:rPr/>
              <w:t>6</w:t>
            </w:r>
          </w:p>
        </w:tc>
        <w:tc>
          <w:tcPr>
            <w:tcW w:type="dxa" w:w="3178"/>
          </w:tcPr>
          <w:p>
            <w:pPr>
              <w:pStyle w:val="null3"/>
            </w:pPr>
            <w:r>
              <w:rPr/>
              <w:t>其他情形</w:t>
            </w:r>
          </w:p>
        </w:tc>
        <w:tc>
          <w:tcPr>
            <w:tcW w:type="dxa" w:w="4238"/>
          </w:tcPr>
          <w:p>
            <w:pPr>
              <w:pStyle w:val="null3"/>
            </w:pPr>
            <w:r>
              <w:rPr/>
              <w:t>响应文件没有法律、法规规定的其他无效情形；</w:t>
            </w:r>
          </w:p>
        </w:tc>
      </w:tr>
    </w:tbl>
    <w:p>
      <w:pPr>
        <w:pStyle w:val="null3"/>
        <w:outlineLvl w:val="3"/>
      </w:pPr>
      <w:r>
        <w:rPr>
          <w:sz w:val="24"/>
          <w:b/>
        </w:rPr>
        <w:t>2.响应文件澄清</w:t>
      </w:r>
    </w:p>
    <w:p>
      <w:pPr>
        <w:pStyle w:val="null3"/>
        <w:ind w:firstLine="480"/>
      </w:pPr>
      <w:r>
        <w:rPr/>
        <w:t xml:space="preserve"> 2.1对于响应文件中含义不明确、同类问题表述不一致或者有明显文字和计算错误的内容，磋商小组应当在评审过程中发起在线澄清，要求供应商针对价格或内容做出必要的澄清、说明或补正。代理机构可根据开启环节记录的</w:t>
      </w:r>
      <w:r>
        <w:rPr>
          <w:b/>
        </w:rPr>
        <w:t>授权代表人联系方式</w:t>
      </w:r>
      <w:r>
        <w:rPr/>
        <w:t>发送短信提醒或电话告知。</w:t>
      </w:r>
    </w:p>
    <w:p>
      <w:pPr>
        <w:pStyle w:val="null3"/>
        <w:ind w:firstLine="480"/>
      </w:pPr>
      <w:r>
        <w:rPr/>
        <w:t>供应商需登录广东政府采购智慧云平台项目采购系统的等候大厅，在规定时间内完成澄清（响应），并加盖电子印章。</w:t>
      </w:r>
    </w:p>
    <w:p>
      <w:pPr>
        <w:pStyle w:val="null3"/>
        <w:ind w:firstLine="480"/>
      </w:pPr>
      <w:r>
        <w:rPr/>
        <w:t>若因供应商联系方式错误未接收短信、未接听电话或超时未进行澄清（响应）造成的不利后果由供应商自行承担。供应商的澄清、说明或者补正不得超出响应文件的范围或者改变响应文件的实质性内容。</w:t>
      </w:r>
    </w:p>
    <w:p>
      <w:pPr>
        <w:pStyle w:val="null3"/>
        <w:ind w:firstLine="480"/>
      </w:pPr>
      <w:r>
        <w:rPr/>
        <w:t>2.2磋商小组不接受供应商主动提出的澄清、说明或补正。</w:t>
      </w:r>
    </w:p>
    <w:p>
      <w:pPr>
        <w:pStyle w:val="null3"/>
        <w:ind w:firstLine="480"/>
      </w:pPr>
      <w:r>
        <w:rPr/>
        <w:t>2.3磋商小组对供应商提交的澄清、说明或补正有疑问的，可以要求供应商进一步澄清、说明或补正。</w:t>
      </w:r>
    </w:p>
    <w:p>
      <w:pPr>
        <w:pStyle w:val="null3"/>
        <w:outlineLvl w:val="3"/>
      </w:pPr>
      <w:r>
        <w:rPr>
          <w:sz w:val="24"/>
          <w:b/>
        </w:rPr>
        <w:t>3.磋商</w:t>
      </w:r>
    </w:p>
    <w:p>
      <w:pPr>
        <w:pStyle w:val="null3"/>
        <w:ind w:firstLine="480"/>
      </w:pPr>
      <w:r>
        <w:rPr/>
        <w:t>3.1磋商小组所有成员应当集中与单一供应商分别进行磋商，并给予所有参加磋商的供应商平等的磋商机会。</w:t>
      </w:r>
    </w:p>
    <w:p>
      <w:pPr>
        <w:pStyle w:val="null3"/>
        <w:ind w:firstLine="480"/>
      </w:pPr>
      <w:r>
        <w:rPr/>
        <w:t>3.2在磋商过程中，磋商小组可以根据磋商文件和磋商情况实质性变动采购需求中的技术、服务要求以及合同草案条款，但不得变动磋商文件中的其他内容。实质性变动的内容，须经采购人代表确认。</w:t>
      </w:r>
    </w:p>
    <w:p>
      <w:pPr>
        <w:pStyle w:val="null3"/>
        <w:ind w:firstLine="480"/>
      </w:pPr>
      <w:r>
        <w:rPr/>
        <w:t>3.3对磋商文件作出的实质性变动是磋商文件的有效组成部分，磋商小组应当及时、同时通知所有参加磋商的供应商。</w:t>
      </w:r>
    </w:p>
    <w:p>
      <w:pPr>
        <w:pStyle w:val="null3"/>
        <w:ind w:firstLine="480"/>
      </w:pPr>
      <w:r>
        <w:rPr/>
        <w:t xml:space="preserve"> 3.4供应商应当按照磋商文件的变动情况和磋商小组的要求进行最终报价或重新提交响应文件，并由其法定代表人或授权代表签字或者加盖公章。由授权代表签字的，应当附法定代表人授权书。供应商为自然人的，应当由本人签字并附身份证明。</w:t>
      </w:r>
    </w:p>
    <w:p>
      <w:pPr>
        <w:pStyle w:val="null3"/>
        <w:outlineLvl w:val="3"/>
      </w:pPr>
      <w:r>
        <w:rPr>
          <w:sz w:val="24"/>
          <w:b/>
        </w:rPr>
        <w:t>4.最后报价</w:t>
      </w:r>
    </w:p>
    <w:p>
      <w:pPr>
        <w:pStyle w:val="null3"/>
        <w:ind w:firstLine="480"/>
      </w:pPr>
      <w:r>
        <w:rPr/>
        <w:t>4.1磋商结束后，磋商小组应当要求所有实质性响应的供应商在规定时间内提交最后报价。最后报价是供应商响应文件的有效组成部分。</w:t>
      </w:r>
    </w:p>
    <w:p>
      <w:pPr>
        <w:pStyle w:val="null3"/>
        <w:ind w:firstLine="480"/>
      </w:pPr>
      <w:r>
        <w:rPr/>
        <w:t>4.2已提交响应文件的供应商，在提交最后报价之前，可以根据磋商情况退出磋商。</w:t>
      </w:r>
    </w:p>
    <w:p>
      <w:pPr>
        <w:pStyle w:val="null3"/>
        <w:ind w:firstLine="480"/>
      </w:pPr>
      <w:r>
        <w:rPr/>
        <w:t>4.3除法规规定的特殊性情形外，提交最后报价的供应商不得少于3家。</w:t>
      </w:r>
    </w:p>
    <w:p>
      <w:pPr>
        <w:pStyle w:val="null3"/>
        <w:outlineLvl w:val="3"/>
      </w:pPr>
      <w:r>
        <w:rPr>
          <w:sz w:val="24"/>
          <w:b/>
        </w:rPr>
        <w:t>5.详细评审</w:t>
      </w:r>
    </w:p>
    <w:p>
      <w:pPr>
        <w:pStyle w:val="null3"/>
      </w:pPr>
      <w:r>
        <w:rPr/>
        <w:t>采购包1(海丰县2024年有害生物防治项目（第二批）):</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商务部分40.0分</w:t>
            </w:r>
          </w:p>
          <w:p>
            <w:pPr>
              <w:pStyle w:val="null3"/>
            </w:pPr>
            <w:r>
              <w:rPr/>
              <w:t>技术部分40.0分</w:t>
            </w:r>
          </w:p>
          <w:p>
            <w:pPr>
              <w:pStyle w:val="null3"/>
            </w:pPr>
            <w:r>
              <w:rPr/>
              <w:t>报价得分20.0分</w:t>
            </w:r>
          </w:p>
        </w:tc>
      </w:tr>
      <w:tr>
        <w:tc>
          <w:tcPr>
            <w:tcW w:type="dxa" w:w="922"/>
            <w:gridSpan w:val="2"/>
            <w:vMerge w:val="restart"/>
          </w:tcPr>
          <w:p>
            <w:pPr>
              <w:pStyle w:val="null3"/>
              <w:jc w:val="center"/>
            </w:pPr>
            <w:r>
              <w:rPr/>
              <w:t>技术部分</w:t>
            </w:r>
          </w:p>
        </w:tc>
        <w:tc>
          <w:tcPr>
            <w:tcW w:type="dxa" w:w="2307"/>
          </w:tcPr>
          <w:p>
            <w:pPr>
              <w:pStyle w:val="null3"/>
              <w:jc w:val="left"/>
            </w:pPr>
            <w:r>
              <w:rPr/>
              <w:t>项目实施组织情况 (15.0分)</w:t>
            </w:r>
            <w:r>
              <w:rPr/>
              <w:t>，（等次分值选择：</w:t>
            </w:r>
            <w:r>
              <w:rPr/>
              <w:t>0.0;</w:t>
            </w:r>
            <w:r>
              <w:rPr/>
              <w:t>1.0;</w:t>
            </w:r>
            <w:r>
              <w:rPr/>
              <w:t>5.0;</w:t>
            </w:r>
            <w:r>
              <w:rPr/>
              <w:t>10.0;</w:t>
            </w:r>
            <w:r>
              <w:rPr/>
              <w:t>15.0;</w:t>
            </w:r>
            <w:r>
              <w:rPr/>
              <w:t>）</w:t>
            </w:r>
          </w:p>
        </w:tc>
        <w:tc>
          <w:tcPr>
            <w:tcW w:type="dxa" w:w="5076"/>
          </w:tcPr>
          <w:p>
            <w:pPr>
              <w:pStyle w:val="null3"/>
              <w:jc w:val="left"/>
            </w:pPr>
            <w:r>
              <w:rPr/>
              <w:t>根据各供应商的对本次项目的整体技术方案说明和组织实施服务作业的完整性、安全性、针对性、可行性、计划安排及重点与难点分析并提出合理化建议等进行综合评价。 1.整体技术方案说明和组织实施服务作业的完整性、安全性、针对性、可行性、计划安排及重点与难点分析非常合理；得15分， 2.整体技术方案说明和组织实施服务作业的完整性、安全性、针对性、可行性、计划安排及重点与难点分析 合理； 得10分， 3.整体技术方案说明和组织实施服务作业的完整性、安全性、针对性、可行性、计划安排及重点与难点分析一般合理；得5分， 4.整体技术方案说明和组织实施服务作业的完整性、安全性、针对性、可行性、计划安排及重点与难点分析差；得1分， 注：未提供不得分。</w:t>
            </w:r>
          </w:p>
        </w:tc>
      </w:tr>
      <w:tr>
        <w:tc>
          <w:tcPr>
            <w:tcW w:type="dxa" w:w="922"/>
            <w:gridSpan w:val="2"/>
            <w:vMerge/>
          </w:tcPr>
          <w:p/>
        </w:tc>
        <w:tc>
          <w:tcPr>
            <w:tcW w:type="dxa" w:w="2307"/>
          </w:tcPr>
          <w:p>
            <w:pPr>
              <w:pStyle w:val="null3"/>
              <w:jc w:val="left"/>
            </w:pPr>
            <w:r>
              <w:rPr/>
              <w:t>防治方案 (10.0分)</w:t>
            </w:r>
            <w:r>
              <w:rPr/>
              <w:t>，（等次分值选择：</w:t>
            </w:r>
            <w:r>
              <w:rPr/>
              <w:t>0.0;</w:t>
            </w:r>
            <w:r>
              <w:rPr/>
              <w:t>1.0;</w:t>
            </w:r>
            <w:r>
              <w:rPr/>
              <w:t>3.0;</w:t>
            </w:r>
            <w:r>
              <w:rPr/>
              <w:t>6.0;</w:t>
            </w:r>
            <w:r>
              <w:rPr/>
              <w:t>10.0;</w:t>
            </w:r>
            <w:r>
              <w:rPr/>
              <w:t>）</w:t>
            </w:r>
          </w:p>
        </w:tc>
        <w:tc>
          <w:tcPr>
            <w:tcW w:type="dxa" w:w="5076"/>
          </w:tcPr>
          <w:p>
            <w:pPr>
              <w:pStyle w:val="null3"/>
              <w:jc w:val="left"/>
            </w:pPr>
            <w:r>
              <w:rPr/>
              <w:t>根据供应商提供的项目整体防治方案 (进度控制措施等) 进行评分 ： 1.防治方案详细完整、可行性高的，得10分； 2.防治方案基本详细完整，可行性满足项目基本需要的，得6分 3.防治方案不够详细完整，可行性不足的，得3分； 4.防治方案不完整、不可行的，得1分； 注：未提供不得分。</w:t>
            </w:r>
          </w:p>
        </w:tc>
      </w:tr>
      <w:tr>
        <w:tc>
          <w:tcPr>
            <w:tcW w:type="dxa" w:w="922"/>
            <w:gridSpan w:val="2"/>
            <w:vMerge/>
          </w:tcPr>
          <w:p/>
        </w:tc>
        <w:tc>
          <w:tcPr>
            <w:tcW w:type="dxa" w:w="2307"/>
          </w:tcPr>
          <w:p>
            <w:pPr>
              <w:pStyle w:val="null3"/>
              <w:jc w:val="left"/>
            </w:pPr>
            <w:r>
              <w:rPr/>
              <w:t>项目质量保证措施 (10.0分)</w:t>
            </w:r>
            <w:r>
              <w:rPr/>
              <w:t>，（等次分值选择：</w:t>
            </w:r>
            <w:r>
              <w:rPr/>
              <w:t>0.0;</w:t>
            </w:r>
            <w:r>
              <w:rPr/>
              <w:t>1.0;</w:t>
            </w:r>
            <w:r>
              <w:rPr/>
              <w:t>4.0;</w:t>
            </w:r>
            <w:r>
              <w:rPr/>
              <w:t>7.0;</w:t>
            </w:r>
            <w:r>
              <w:rPr/>
              <w:t>10.0;</w:t>
            </w:r>
            <w:r>
              <w:rPr/>
              <w:t>）</w:t>
            </w:r>
          </w:p>
        </w:tc>
        <w:tc>
          <w:tcPr>
            <w:tcW w:type="dxa" w:w="5076"/>
          </w:tcPr>
          <w:p>
            <w:pPr>
              <w:pStyle w:val="null3"/>
              <w:jc w:val="left"/>
            </w:pPr>
            <w:r>
              <w:rPr/>
              <w:t>据供应商提供的质量保证及措施进行评审： 1.质量保证及措施详细完整、 科学合理、可行性高，得 10分； 2.质量保证体系及措施较详细完整、较 科学合理、可行性较高，得 7分； 3.质量保证体系及措施基本详细完整、 基本科学合理、可行性一般，得 4 分； 4.质量保证体系及措施不够详细完整、不够科学合理、可行性较差，得 1分； 注：未提供不得分。</w:t>
            </w:r>
          </w:p>
        </w:tc>
      </w:tr>
      <w:tr>
        <w:tc>
          <w:tcPr>
            <w:tcW w:type="dxa" w:w="922"/>
            <w:gridSpan w:val="2"/>
            <w:vMerge/>
          </w:tcPr>
          <w:p/>
        </w:tc>
        <w:tc>
          <w:tcPr>
            <w:tcW w:type="dxa" w:w="2307"/>
          </w:tcPr>
          <w:p>
            <w:pPr>
              <w:pStyle w:val="null3"/>
              <w:jc w:val="left"/>
            </w:pPr>
            <w:r>
              <w:rPr/>
              <w:t>后续服务承诺 (5.0分)</w:t>
            </w:r>
            <w:r>
              <w:rPr/>
              <w:t>，（等次分值选择：</w:t>
            </w:r>
            <w:r>
              <w:rPr/>
              <w:t>0.0;</w:t>
            </w:r>
            <w:r>
              <w:rPr/>
              <w:t>1.0;</w:t>
            </w:r>
            <w:r>
              <w:rPr/>
              <w:t>3.0;</w:t>
            </w:r>
            <w:r>
              <w:rPr/>
              <w:t>5.0;</w:t>
            </w:r>
            <w:r>
              <w:rPr/>
              <w:t>）</w:t>
            </w:r>
          </w:p>
        </w:tc>
        <w:tc>
          <w:tcPr>
            <w:tcW w:type="dxa" w:w="5076"/>
          </w:tcPr>
          <w:p>
            <w:pPr>
              <w:pStyle w:val="null3"/>
              <w:jc w:val="left"/>
            </w:pPr>
            <w:r>
              <w:rPr/>
              <w:t>据供供应商对本项目后续服务方案 (响应时间、到场时间、人员安排、服务承诺等) 进行评分： 1.服务方案完整、详细，适用性、可行性强，得5分 ； 2.服务方案有细微瑕疵，适用性、可行性一般，得3分； 3.服务方案有严重缺陷，适用性、可行性较差，得1分； 注：未提供不得分。</w:t>
            </w:r>
          </w:p>
        </w:tc>
      </w:tr>
      <w:tr>
        <w:tc>
          <w:tcPr>
            <w:tcW w:type="dxa" w:w="922"/>
            <w:gridSpan w:val="2"/>
            <w:vMerge w:val="restart"/>
          </w:tcPr>
          <w:p>
            <w:pPr>
              <w:pStyle w:val="null3"/>
              <w:jc w:val="center"/>
            </w:pPr>
            <w:r>
              <w:rPr/>
              <w:t>商务部分</w:t>
            </w:r>
          </w:p>
        </w:tc>
        <w:tc>
          <w:tcPr>
            <w:tcW w:type="dxa" w:w="2307"/>
          </w:tcPr>
          <w:p>
            <w:pPr>
              <w:pStyle w:val="null3"/>
              <w:jc w:val="left"/>
            </w:pPr>
            <w:r>
              <w:rPr/>
              <w:t>企业专业性及经验 (16.0分)</w:t>
            </w:r>
          </w:p>
        </w:tc>
        <w:tc>
          <w:tcPr>
            <w:tcW w:type="dxa" w:w="5076"/>
          </w:tcPr>
          <w:p>
            <w:pPr>
              <w:pStyle w:val="null3"/>
              <w:jc w:val="left"/>
            </w:pPr>
            <w:r>
              <w:rPr/>
              <w:t>企业专业性及经验： 1.响应供应商：具有有效期内的《林业有害生物防治组织》资质证书丙级或以上资质的得6分； 2.完成过的同类项目业绩：提供1个得5分，本小项最高得 10分 。 注：需提供项目业绩的中标通知书、合同和竣工验收表复印件作为证明文件，少提供或未提供不得分。</w:t>
            </w:r>
          </w:p>
        </w:tc>
      </w:tr>
      <w:tr>
        <w:tc>
          <w:tcPr>
            <w:tcW w:type="dxa" w:w="922"/>
            <w:gridSpan w:val="2"/>
            <w:vMerge/>
          </w:tcPr>
          <w:p/>
        </w:tc>
        <w:tc>
          <w:tcPr>
            <w:tcW w:type="dxa" w:w="2307"/>
          </w:tcPr>
          <w:p>
            <w:pPr>
              <w:pStyle w:val="null3"/>
              <w:jc w:val="left"/>
            </w:pPr>
            <w:r>
              <w:rPr/>
              <w:t>拟以投入本项目主要人员 (12.0分)</w:t>
            </w:r>
          </w:p>
        </w:tc>
        <w:tc>
          <w:tcPr>
            <w:tcW w:type="dxa" w:w="5076"/>
          </w:tcPr>
          <w:p>
            <w:pPr>
              <w:pStyle w:val="null3"/>
              <w:jc w:val="left"/>
            </w:pPr>
            <w:r>
              <w:rPr/>
              <w:t>拟以投入本项目的负责人和技术负责人：本项最高得12分。 （1）项目负责人： ①具有林业工程师中级职称 得6分； ②具有林业助理工程师证书 得3分； ③具有林业相关专业证书 得1分； （2）项目技术负责人： ①具有林业工程师中级职称或以上或广东省林业乡土专家证书得6分； ②具有林业助理工程师证书 得3分； ③具有林业相关专业证书 得1分； 注：本项目负责人和技术负责人各提供1名，上述要求须提供人员二代身份证、相关证书和在本供应商购买近6个月任意1个月的社保证明复印件材料并加盖公章 (如是退休返聘人员，则提供退休证明及聘用合同) ，否则不得分。</w:t>
            </w:r>
          </w:p>
        </w:tc>
      </w:tr>
      <w:tr>
        <w:tc>
          <w:tcPr>
            <w:tcW w:type="dxa" w:w="922"/>
            <w:gridSpan w:val="2"/>
            <w:vMerge/>
          </w:tcPr>
          <w:p/>
        </w:tc>
        <w:tc>
          <w:tcPr>
            <w:tcW w:type="dxa" w:w="2307"/>
          </w:tcPr>
          <w:p>
            <w:pPr>
              <w:pStyle w:val="null3"/>
              <w:jc w:val="left"/>
            </w:pPr>
            <w:r>
              <w:rPr/>
              <w:t>拟以投入本项目的其他专业人 员 (12.0分)</w:t>
            </w:r>
          </w:p>
        </w:tc>
        <w:tc>
          <w:tcPr>
            <w:tcW w:type="dxa" w:w="5076"/>
          </w:tcPr>
          <w:p>
            <w:pPr>
              <w:pStyle w:val="null3"/>
              <w:jc w:val="left"/>
            </w:pPr>
            <w:r>
              <w:rPr/>
              <w:t>拟以投入本项目的其他专业人员专业情况:本项最高得12分。 1.除项目负责人和技术负责人外，具有《森林病虫防治员5级》证书或以上或《林业有害生物防治》专业技能培训证书或林业助理工程师证书 ，每提供一个人得3分。 注：上述要求须提供人员二代身份证、证书、和在本供应商购买近6个月任意1个月的社保证明复印件材料并加盖公章，否则不得分。</w:t>
            </w:r>
          </w:p>
        </w:tc>
      </w:tr>
      <w:tr>
        <w:tc>
          <w:tcPr>
            <w:tcW w:type="dxa" w:w="922"/>
            <w:gridSpan w:val="2"/>
          </w:tcPr>
          <w:p>
            <w:pPr>
              <w:pStyle w:val="null3"/>
              <w:jc w:val="center"/>
            </w:pPr>
            <w:r>
              <w:rPr/>
              <w:t>投标报价</w:t>
            </w:r>
          </w:p>
        </w:tc>
        <w:tc>
          <w:tcPr>
            <w:tcW w:type="dxa" w:w="2307"/>
          </w:tcPr>
          <w:p>
            <w:pPr>
              <w:pStyle w:val="null3"/>
              <w:jc w:val="left"/>
            </w:pPr>
            <w:r>
              <w:rPr/>
              <w:t>投标报价得分 (20.0分)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6.汇总、排序</w:t>
      </w:r>
    </w:p>
    <w:p>
      <w:pPr>
        <w:pStyle w:val="null3"/>
      </w:pPr>
      <w:r>
        <w:rPr/>
        <w:t>采购包1：</w:t>
      </w:r>
    </w:p>
    <w:p>
      <w:pPr>
        <w:pStyle w:val="null3"/>
      </w:pPr>
      <w:r>
        <w:rPr/>
        <w:t>评审结果按评审后总得分由高到低顺序排列。评审得分相同的，按最终报价由低到高顺序排列。得分且最终报价相同的，由谈判小组采取随机抽取的方式确定。排名第一的谈判供应商为第一成交候选人，排名第二的谈判供应商为第二成交候选人（提供相同品牌产品（非单一产品采购，以核心产品为准。多个核心产品的，有一种产品品牌相同，即视为提供相同品牌产品），评审后得分最高的同品牌谈判供应商获得成交候选人推荐资格；评审得分相同的，由采购人或者采购人委托谈判小组采取随机抽取方式确定，其他同品牌谈判供应商不作为成交候选人）。</w:t>
      </w:r>
    </w:p>
    <w:p>
      <w:pPr>
        <w:pStyle w:val="null3"/>
        <w:outlineLvl w:val="3"/>
      </w:pPr>
      <w:r>
        <w:rPr>
          <w:sz w:val="24"/>
          <w:b/>
        </w:rPr>
        <w:t>7.其他无效响应的情形：</w:t>
      </w:r>
    </w:p>
    <w:p>
      <w:pPr>
        <w:pStyle w:val="null3"/>
        <w:ind w:firstLine="480"/>
      </w:pPr>
      <w:r>
        <w:rPr/>
        <w:t>（1）评审期间，供应商没有按磋商小组的要求提交法定代表人或其委托代理人签字的澄清、说明、补正或改变了响应文件的实质性内容的。</w:t>
      </w:r>
    </w:p>
    <w:p>
      <w:pPr>
        <w:pStyle w:val="null3"/>
        <w:ind w:firstLine="480"/>
      </w:pPr>
      <w:r>
        <w:rPr/>
        <w:t>（2）响应文件提供虚假材料的。</w:t>
      </w:r>
    </w:p>
    <w:p>
      <w:pPr>
        <w:pStyle w:val="null3"/>
        <w:ind w:firstLine="480"/>
      </w:pPr>
      <w:r>
        <w:rPr/>
        <w:t>（3）供应商以他人名义响应、串通响应、以行贿手段谋取成交或者以其他弄虚作假方式响应的。</w:t>
      </w:r>
    </w:p>
    <w:p>
      <w:pPr>
        <w:pStyle w:val="null3"/>
        <w:ind w:firstLine="480"/>
      </w:pPr>
      <w:r>
        <w:rPr/>
        <w:t>（4）供应商对采购人、采购代理机构、磋商小组及其工作人员施加影响，有碍招标公平、公正的。</w:t>
      </w:r>
    </w:p>
    <w:p>
      <w:pPr>
        <w:pStyle w:val="null3"/>
        <w:ind w:firstLine="480"/>
      </w:pPr>
      <w:r>
        <w:rPr/>
        <w:t>（5）响应文件含有采购人不能接受的附加条件的。</w:t>
      </w:r>
    </w:p>
    <w:p>
      <w:pPr>
        <w:pStyle w:val="null3"/>
        <w:ind w:firstLine="480"/>
      </w:pPr>
      <w:r>
        <w:rPr/>
        <w:t>（6）法律、法规和磋商文件规定的其他无效情形。</w:t>
      </w:r>
    </w:p>
    <w:p>
      <w:pPr>
        <w:pStyle w:val="null3"/>
      </w:pPr>
      <w:r>
        <w:rPr/>
        <w:t xml:space="preserve">  </w:t>
      </w:r>
    </w:p>
    <w:p>
      <w:pPr>
        <w:pStyle w:val="null3"/>
        <w:jc w:val="center"/>
        <w:outlineLvl w:val="1"/>
      </w:pPr>
      <w:r>
        <w:rPr>
          <w:sz w:val="36"/>
          <w:b/>
        </w:rPr>
        <w:t>第五章 合同文本</w:t>
      </w:r>
    </w:p>
    <w:p>
      <w:pPr>
        <w:pStyle w:val="null3"/>
      </w:pPr>
      <w:r>
        <w:rPr>
          <w:rFonts w:ascii="宋体" w:hAnsi="宋体" w:cs="宋体" w:eastAsia="宋体"/>
          <w:sz w:val="48"/>
          <w:b/>
          <w:color w:val="222222"/>
        </w:rPr>
        <w:t xml:space="preserve"> </w:t>
      </w:r>
    </w:p>
    <w:p>
      <w:pPr>
        <w:pStyle w:val="null3"/>
        <w:shd w:fill="FFFFFF"/>
        <w:spacing w:before="0" w:after="0"/>
        <w:ind w:left="0" w:right="0"/>
        <w:jc w:val="center"/>
      </w:pPr>
      <w:r>
        <w:rPr>
          <w:rFonts w:ascii="宋体" w:hAnsi="宋体" w:cs="宋体" w:eastAsia="宋体"/>
          <w:sz w:val="48"/>
          <w:b/>
          <w:color w:val="222222"/>
        </w:rPr>
        <w:t xml:space="preserve"> </w:t>
      </w:r>
    </w:p>
    <w:p>
      <w:pPr>
        <w:pStyle w:val="null3"/>
        <w:shd w:fill="FFFFFF"/>
        <w:spacing w:before="0" w:after="0"/>
        <w:ind w:left="0" w:right="0"/>
        <w:jc w:val="center"/>
      </w:pPr>
      <w:r>
        <w:rPr>
          <w:rFonts w:ascii="宋体" w:hAnsi="宋体" w:cs="宋体" w:eastAsia="宋体"/>
          <w:sz w:val="48"/>
          <w:b/>
          <w:color w:val="222222"/>
        </w:rPr>
        <w:t xml:space="preserve"> </w:t>
      </w:r>
    </w:p>
    <w:p>
      <w:pPr>
        <w:pStyle w:val="null3"/>
        <w:shd w:fill="FFFFFF"/>
        <w:spacing w:before="0" w:after="0"/>
        <w:ind w:left="0" w:right="0"/>
        <w:jc w:val="center"/>
      </w:pPr>
      <w:r>
        <w:rPr>
          <w:rFonts w:ascii="宋体" w:hAnsi="宋体" w:cs="宋体" w:eastAsia="宋体"/>
          <w:sz w:val="48"/>
          <w:b/>
          <w:color w:val="222222"/>
        </w:rPr>
        <w:t xml:space="preserve"> </w:t>
      </w:r>
    </w:p>
    <w:p>
      <w:pPr>
        <w:pStyle w:val="null3"/>
        <w:shd w:fill="FFFFFF"/>
        <w:spacing w:before="0" w:after="0"/>
        <w:ind w:left="0" w:right="0"/>
        <w:jc w:val="center"/>
      </w:pPr>
      <w:r>
        <w:rPr>
          <w:rFonts w:ascii="宋体" w:hAnsi="宋体" w:cs="宋体" w:eastAsia="宋体"/>
          <w:sz w:val="48"/>
          <w:b/>
          <w:color w:val="222222"/>
        </w:rPr>
        <w:t>广东省政府采购</w:t>
      </w:r>
    </w:p>
    <w:p>
      <w:pPr>
        <w:pStyle w:val="null3"/>
        <w:shd w:fill="FFFFFF"/>
        <w:spacing w:before="150" w:after="150"/>
        <w:ind w:left="0" w:right="0"/>
        <w:jc w:val="both"/>
      </w:pPr>
      <w:r>
        <w:rPr>
          <w:rFonts w:ascii="helvetica" w:hAnsi="helvetica" w:cs="helvetica" w:eastAsia="helvetica"/>
          <w:sz w:val="27"/>
          <w:color w:val="222222"/>
        </w:rPr>
        <w:t xml:space="preserve"> </w:t>
      </w:r>
    </w:p>
    <w:p>
      <w:pPr>
        <w:pStyle w:val="null3"/>
        <w:shd w:fill="FFFFFF"/>
        <w:spacing w:before="0" w:after="0"/>
        <w:ind w:left="0" w:right="0"/>
        <w:jc w:val="center"/>
      </w:pPr>
      <w:r>
        <w:rPr>
          <w:rFonts w:ascii="宋体" w:hAnsi="宋体" w:cs="宋体" w:eastAsia="宋体"/>
          <w:sz w:val="48"/>
          <w:b/>
          <w:color w:val="222222"/>
        </w:rPr>
        <w:t>合　同　书</w:t>
      </w:r>
    </w:p>
    <w:p>
      <w:pPr>
        <w:pStyle w:val="null3"/>
        <w:shd w:fill="FFFFFF"/>
        <w:spacing w:before="0" w:after="0"/>
        <w:ind w:left="0" w:right="0"/>
        <w:jc w:val="center"/>
      </w:pPr>
      <w:r>
        <w:br/>
      </w:r>
      <w:r>
        <w:br/>
      </w:r>
      <w:r>
        <w:br/>
      </w:r>
      <w:r>
        <w:br/>
      </w:r>
      <w:r>
        <w:br/>
      </w:r>
      <w:r>
        <w:br/>
      </w:r>
      <w:r>
        <w:br/>
      </w:r>
      <w:r>
        <w:br/>
      </w:r>
      <w:r>
        <w:rPr>
          <w:rFonts w:ascii="helvetica" w:hAnsi="helvetica" w:cs="helvetica" w:eastAsia="helvetica"/>
          <w:sz w:val="27"/>
          <w:color w:val="222222"/>
        </w:rPr>
        <w:t xml:space="preserve"> </w:t>
      </w:r>
    </w:p>
    <w:p>
      <w:pPr>
        <w:pStyle w:val="null3"/>
        <w:shd w:fill="FFFFFF"/>
        <w:spacing w:before="0" w:after="0"/>
        <w:ind w:left="0" w:right="0"/>
        <w:jc w:val="center"/>
      </w:pPr>
      <w:r>
        <w:rPr>
          <w:rFonts w:ascii="宋体" w:hAnsi="宋体" w:cs="宋体" w:eastAsia="宋体"/>
          <w:sz w:val="28"/>
          <w:color w:val="222222"/>
        </w:rPr>
        <w:t>采购计划编号：</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p>
    <w:p>
      <w:pPr>
        <w:pStyle w:val="null3"/>
        <w:shd w:fill="FFFFFF"/>
        <w:spacing w:before="150" w:after="150"/>
        <w:ind w:left="0" w:right="0"/>
        <w:jc w:val="both"/>
      </w:pPr>
      <w:r>
        <w:rPr>
          <w:rFonts w:ascii="helvetica" w:hAnsi="helvetica" w:cs="helvetica" w:eastAsia="helvetica"/>
          <w:sz w:val="27"/>
          <w:color w:val="222222"/>
        </w:rPr>
        <w:t xml:space="preserve"> </w:t>
      </w:r>
    </w:p>
    <w:p>
      <w:pPr>
        <w:pStyle w:val="null3"/>
        <w:shd w:fill="FFFFFF"/>
        <w:spacing w:before="0" w:after="0"/>
        <w:ind w:left="0" w:right="0"/>
        <w:jc w:val="center"/>
      </w:pPr>
      <w:r>
        <w:rPr>
          <w:rFonts w:ascii="宋体" w:hAnsi="宋体" w:cs="宋体" w:eastAsia="宋体"/>
          <w:sz w:val="28"/>
          <w:color w:val="222222"/>
        </w:rPr>
        <w:t>项目编号：</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p>
    <w:p>
      <w:pPr>
        <w:pStyle w:val="null3"/>
        <w:shd w:fill="FFFFFF"/>
        <w:spacing w:before="150" w:after="150"/>
        <w:ind w:left="0" w:right="0"/>
        <w:jc w:val="both"/>
      </w:pPr>
      <w:r>
        <w:rPr>
          <w:rFonts w:ascii="helvetica" w:hAnsi="helvetica" w:cs="helvetica" w:eastAsia="helvetica"/>
          <w:sz w:val="27"/>
          <w:color w:val="222222"/>
        </w:rPr>
        <w:t xml:space="preserve"> </w:t>
      </w:r>
    </w:p>
    <w:p>
      <w:pPr>
        <w:pStyle w:val="null3"/>
        <w:shd w:fill="FFFFFF"/>
        <w:spacing w:before="0" w:after="0"/>
        <w:ind w:left="0" w:right="0"/>
        <w:jc w:val="center"/>
      </w:pPr>
      <w:r>
        <w:rPr>
          <w:rFonts w:ascii="宋体" w:hAnsi="宋体" w:cs="宋体" w:eastAsia="宋体"/>
          <w:sz w:val="28"/>
          <w:color w:val="222222"/>
        </w:rPr>
        <w:t>项目名称：</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p>
    <w:p>
      <w:pPr>
        <w:pStyle w:val="null3"/>
        <w:shd w:fill="FFFFFF"/>
        <w:spacing w:before="0" w:after="0"/>
        <w:ind w:left="0" w:right="0"/>
      </w:pPr>
      <w:r>
        <w:rPr>
          <w:rFonts w:ascii="helvetica" w:hAnsi="helvetica" w:cs="helvetica" w:eastAsia="helvetica"/>
          <w:sz w:val="27"/>
          <w:color w:val="222222"/>
        </w:rPr>
        <w:t xml:space="preserve"> </w:t>
      </w:r>
    </w:p>
    <w:p>
      <w:pPr>
        <w:pStyle w:val="null3"/>
        <w:shd w:fill="FFFFFF"/>
        <w:spacing w:before="0" w:after="0"/>
        <w:ind w:left="0" w:right="0"/>
      </w:pPr>
      <w:r>
        <w:rPr>
          <w:rFonts w:ascii="helvetica" w:hAnsi="helvetica" w:cs="helvetica" w:eastAsia="helvetica"/>
          <w:sz w:val="27"/>
          <w:color w:val="222222"/>
        </w:rPr>
        <w:t xml:space="preserve"> </w:t>
      </w:r>
    </w:p>
    <w:p>
      <w:pPr>
        <w:pStyle w:val="null3"/>
        <w:shd w:fill="FFFFFF"/>
        <w:spacing w:before="0" w:after="0"/>
        <w:ind w:left="0" w:right="0"/>
      </w:pPr>
      <w:r>
        <w:rPr>
          <w:rFonts w:ascii="helvetica" w:hAnsi="helvetica" w:cs="helvetica" w:eastAsia="helvetica"/>
          <w:sz w:val="27"/>
          <w:color w:val="222222"/>
        </w:rPr>
        <w:t xml:space="preserve"> </w:t>
      </w:r>
    </w:p>
    <w:p>
      <w:pPr>
        <w:pStyle w:val="null3"/>
        <w:shd w:fill="FFFFFF"/>
        <w:spacing w:before="0" w:after="0"/>
        <w:ind w:left="0" w:right="0"/>
      </w:pPr>
      <w:r>
        <w:rPr>
          <w:rFonts w:ascii="helvetica" w:hAnsi="helvetica" w:cs="helvetica" w:eastAsia="helvetica"/>
          <w:sz w:val="27"/>
          <w:color w:val="222222"/>
        </w:rPr>
        <w:t xml:space="preserve"> </w:t>
      </w:r>
    </w:p>
    <w:p>
      <w:pPr>
        <w:pStyle w:val="null3"/>
        <w:shd w:fill="FFFFFF"/>
        <w:spacing w:before="0" w:after="0"/>
        <w:ind w:left="0" w:right="0"/>
      </w:pPr>
      <w:r>
        <w:rPr>
          <w:rFonts w:ascii="helvetica" w:hAnsi="helvetica" w:cs="helvetica" w:eastAsia="helvetica"/>
          <w:sz w:val="27"/>
          <w:color w:val="222222"/>
        </w:rPr>
        <w:t xml:space="preserve"> </w:t>
      </w:r>
    </w:p>
    <w:p>
      <w:pPr>
        <w:pStyle w:val="null3"/>
        <w:shd w:fill="FFFFFF"/>
        <w:spacing w:before="0" w:after="0"/>
        <w:ind w:left="0" w:right="0"/>
      </w:pPr>
      <w:r>
        <w:rPr>
          <w:rFonts w:ascii="helvetica" w:hAnsi="helvetica" w:cs="helvetica" w:eastAsia="helvetica"/>
          <w:sz w:val="27"/>
          <w:color w:val="222222"/>
        </w:rPr>
        <w:t xml:space="preserve"> </w:t>
      </w:r>
    </w:p>
    <w:p>
      <w:pPr>
        <w:pStyle w:val="null3"/>
        <w:shd w:fill="FFFFFF"/>
        <w:spacing w:before="0" w:after="0"/>
        <w:ind w:left="0" w:right="0"/>
      </w:pPr>
      <w:r>
        <w:rPr>
          <w:rFonts w:ascii="helvetica" w:hAnsi="helvetica" w:cs="helvetica" w:eastAsia="helvetica"/>
          <w:sz w:val="27"/>
          <w:color w:val="222222"/>
        </w:rPr>
        <w:t xml:space="preserve"> </w:t>
      </w:r>
    </w:p>
    <w:p>
      <w:pPr>
        <w:pStyle w:val="null3"/>
        <w:shd w:fill="FFFFFF"/>
        <w:spacing w:before="0" w:after="0"/>
        <w:ind w:left="0" w:right="0"/>
      </w:pPr>
      <w:r>
        <w:rPr>
          <w:rFonts w:ascii="helvetica" w:hAnsi="helvetica" w:cs="helvetica" w:eastAsia="helvetica"/>
          <w:sz w:val="27"/>
          <w:color w:val="222222"/>
        </w:rPr>
        <w:t xml:space="preserve"> </w:t>
      </w:r>
    </w:p>
    <w:p>
      <w:pPr>
        <w:pStyle w:val="null3"/>
        <w:shd w:fill="FFFFFF"/>
        <w:spacing w:before="0" w:after="0"/>
        <w:ind w:left="0" w:right="0"/>
      </w:pPr>
      <w:r>
        <w:rPr>
          <w:rFonts w:ascii="helvetica" w:hAnsi="helvetica" w:cs="helvetica" w:eastAsia="helvetica"/>
          <w:sz w:val="27"/>
          <w:color w:val="222222"/>
        </w:rPr>
        <w:t xml:space="preserve"> </w:t>
      </w:r>
    </w:p>
    <w:p>
      <w:pPr>
        <w:pStyle w:val="null3"/>
        <w:shd w:fill="FFFFFF"/>
        <w:spacing w:before="0" w:after="0"/>
        <w:ind w:left="0" w:right="0"/>
        <w:jc w:val="both"/>
      </w:pPr>
      <w:r>
        <w:br/>
      </w:r>
      <w:r>
        <w:rPr>
          <w:rFonts w:ascii="helvetica" w:hAnsi="helvetica" w:cs="helvetica" w:eastAsia="helvetica"/>
          <w:sz w:val="27"/>
          <w:color w:val="222222"/>
        </w:rPr>
        <w:t xml:space="preserve"> </w:t>
      </w:r>
    </w:p>
    <w:p>
      <w:pPr>
        <w:pStyle w:val="null3"/>
        <w:shd w:fill="FFFFFF"/>
        <w:spacing w:before="0" w:after="0"/>
        <w:ind w:left="0" w:right="0"/>
        <w:jc w:val="both"/>
      </w:pPr>
      <w:r>
        <w:rPr>
          <w:rFonts w:ascii="宋体" w:hAnsi="宋体" w:cs="宋体" w:eastAsia="宋体"/>
          <w:sz w:val="27"/>
          <w:b/>
          <w:color w:val="222222"/>
        </w:rPr>
        <w:t>甲方：</w:t>
      </w:r>
      <w:r>
        <w:rPr>
          <w:rFonts w:ascii="宋体" w:hAnsi="宋体" w:cs="宋体" w:eastAsia="宋体"/>
          <w:sz w:val="27"/>
          <w:b/>
          <w:color w:val="222222"/>
        </w:rPr>
        <w:t xml:space="preserve"> </w:t>
      </w:r>
      <w:r>
        <w:rPr>
          <w:rFonts w:ascii="宋体" w:hAnsi="宋体" w:cs="宋体" w:eastAsia="宋体"/>
          <w:sz w:val="27"/>
          <w:b/>
          <w:color w:val="222222"/>
          <w:u w:val="single"/>
        </w:rPr>
        <w:t>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p>
    <w:p>
      <w:pPr>
        <w:pStyle w:val="null3"/>
        <w:shd w:fill="FFFFFF"/>
        <w:spacing w:before="0" w:after="0"/>
        <w:ind w:left="0" w:right="0"/>
        <w:jc w:val="both"/>
      </w:pPr>
      <w:r>
        <w:rPr>
          <w:rFonts w:ascii="宋体" w:hAnsi="宋体" w:cs="宋体" w:eastAsia="宋体"/>
          <w:sz w:val="27"/>
          <w:color w:val="222222"/>
        </w:rPr>
        <w:t>电话：</w:t>
      </w:r>
      <w:r>
        <w:rPr>
          <w:rFonts w:ascii="宋体" w:hAnsi="宋体" w:cs="宋体" w:eastAsia="宋体"/>
          <w:sz w:val="27"/>
          <w:color w:val="222222"/>
        </w:rPr>
        <w:t xml:space="preserve"> </w:t>
      </w:r>
      <w:r>
        <w:rPr>
          <w:rFonts w:ascii="宋体" w:hAnsi="宋体" w:cs="宋体" w:eastAsia="宋体"/>
          <w:sz w:val="27"/>
          <w:b/>
          <w:color w:val="222222"/>
          <w:u w:val="single"/>
        </w:rPr>
        <w:t>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r>
        <w:rPr>
          <w:rFonts w:ascii="宋体" w:hAnsi="宋体" w:cs="宋体" w:eastAsia="宋体"/>
          <w:sz w:val="27"/>
          <w:color w:val="222222"/>
        </w:rPr>
        <w:t>传真</w:t>
      </w:r>
      <w:r>
        <w:rPr>
          <w:rFonts w:ascii="宋体" w:hAnsi="宋体" w:cs="宋体" w:eastAsia="宋体"/>
          <w:sz w:val="27"/>
          <w:color w:val="222222"/>
        </w:rPr>
        <w:t xml:space="preserve"> </w:t>
      </w:r>
      <w:r>
        <w:rPr>
          <w:rFonts w:ascii="宋体" w:hAnsi="宋体" w:cs="宋体" w:eastAsia="宋体"/>
          <w:sz w:val="27"/>
          <w:color w:val="222222"/>
        </w:rPr>
        <w:t>：</w:t>
      </w:r>
      <w:r>
        <w:rPr>
          <w:rFonts w:ascii="宋体" w:hAnsi="宋体" w:cs="宋体" w:eastAsia="宋体"/>
          <w:sz w:val="27"/>
          <w:color w:val="222222"/>
        </w:rPr>
        <w:t xml:space="preserve"> </w:t>
      </w:r>
      <w:r>
        <w:rPr>
          <w:rFonts w:ascii="宋体" w:hAnsi="宋体" w:cs="宋体" w:eastAsia="宋体"/>
          <w:sz w:val="27"/>
          <w:b/>
          <w:color w:val="222222"/>
          <w:u w:val="single"/>
        </w:rPr>
        <w:t>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r>
        <w:rPr>
          <w:rFonts w:ascii="宋体" w:hAnsi="宋体" w:cs="宋体" w:eastAsia="宋体"/>
          <w:sz w:val="27"/>
          <w:color w:val="222222"/>
        </w:rPr>
        <w:t>地址：</w:t>
      </w:r>
      <w:r>
        <w:rPr>
          <w:rFonts w:ascii="宋体" w:hAnsi="宋体" w:cs="宋体" w:eastAsia="宋体"/>
          <w:sz w:val="27"/>
          <w:color w:val="222222"/>
        </w:rPr>
        <w:t xml:space="preserve"> </w:t>
      </w:r>
      <w:r>
        <w:rPr>
          <w:rFonts w:ascii="宋体" w:hAnsi="宋体" w:cs="宋体" w:eastAsia="宋体"/>
          <w:sz w:val="27"/>
          <w:b/>
          <w:color w:val="222222"/>
          <w:u w:val="single"/>
        </w:rPr>
        <w:t>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p>
    <w:p>
      <w:pPr>
        <w:pStyle w:val="null3"/>
        <w:shd w:fill="FFFFFF"/>
        <w:spacing w:before="0" w:after="0"/>
        <w:ind w:left="0" w:right="0"/>
        <w:jc w:val="both"/>
      </w:pPr>
      <w:r>
        <w:rPr>
          <w:rFonts w:ascii="宋体" w:hAnsi="宋体" w:cs="宋体" w:eastAsia="宋体"/>
          <w:sz w:val="27"/>
          <w:b/>
          <w:color w:val="222222"/>
        </w:rPr>
        <w:t>乙方：</w:t>
      </w:r>
      <w:r>
        <w:rPr>
          <w:rFonts w:ascii="宋体" w:hAnsi="宋体" w:cs="宋体" w:eastAsia="宋体"/>
          <w:sz w:val="27"/>
          <w:b/>
          <w:color w:val="222222"/>
        </w:rPr>
        <w:t xml:space="preserve"> </w:t>
      </w:r>
      <w:r>
        <w:rPr>
          <w:rFonts w:ascii="宋体" w:hAnsi="宋体" w:cs="宋体" w:eastAsia="宋体"/>
          <w:sz w:val="27"/>
          <w:b/>
          <w:color w:val="222222"/>
          <w:u w:val="single"/>
        </w:rPr>
        <w:t>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p>
    <w:p>
      <w:pPr>
        <w:pStyle w:val="null3"/>
        <w:shd w:fill="FFFFFF"/>
        <w:spacing w:before="0" w:after="0"/>
        <w:ind w:left="0" w:right="0"/>
        <w:jc w:val="both"/>
      </w:pPr>
      <w:r>
        <w:rPr>
          <w:rFonts w:ascii="宋体" w:hAnsi="宋体" w:cs="宋体" w:eastAsia="宋体"/>
          <w:sz w:val="27"/>
          <w:color w:val="222222"/>
        </w:rPr>
        <w:t>电话：</w:t>
      </w:r>
      <w:r>
        <w:rPr>
          <w:rFonts w:ascii="宋体" w:hAnsi="宋体" w:cs="宋体" w:eastAsia="宋体"/>
          <w:sz w:val="27"/>
          <w:color w:val="222222"/>
        </w:rPr>
        <w:t xml:space="preserve"> </w:t>
      </w:r>
      <w:r>
        <w:rPr>
          <w:rFonts w:ascii="宋体" w:hAnsi="宋体" w:cs="宋体" w:eastAsia="宋体"/>
          <w:sz w:val="27"/>
          <w:b/>
          <w:color w:val="222222"/>
          <w:u w:val="single"/>
        </w:rPr>
        <w:t>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r>
        <w:rPr>
          <w:rFonts w:ascii="宋体" w:hAnsi="宋体" w:cs="宋体" w:eastAsia="宋体"/>
          <w:sz w:val="27"/>
          <w:color w:val="222222"/>
        </w:rPr>
        <w:t>传真：</w:t>
      </w:r>
      <w:r>
        <w:rPr>
          <w:rFonts w:ascii="宋体" w:hAnsi="宋体" w:cs="宋体" w:eastAsia="宋体"/>
          <w:sz w:val="27"/>
          <w:b/>
          <w:color w:val="222222"/>
          <w:u w:val="single"/>
        </w:rPr>
        <w:t>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r>
        <w:rPr>
          <w:rFonts w:ascii="宋体" w:hAnsi="宋体" w:cs="宋体" w:eastAsia="宋体"/>
          <w:sz w:val="27"/>
          <w:color w:val="222222"/>
        </w:rPr>
        <w:t>地址：</w:t>
      </w:r>
      <w:r>
        <w:rPr>
          <w:rFonts w:ascii="宋体" w:hAnsi="宋体" w:cs="宋体" w:eastAsia="宋体"/>
          <w:sz w:val="27"/>
          <w:color w:val="222222"/>
        </w:rPr>
        <w:t xml:space="preserve"> </w:t>
      </w:r>
      <w:r>
        <w:rPr>
          <w:rFonts w:ascii="宋体" w:hAnsi="宋体" w:cs="宋体" w:eastAsia="宋体"/>
          <w:sz w:val="27"/>
          <w:b/>
          <w:color w:val="222222"/>
          <w:u w:val="single"/>
        </w:rPr>
        <w:t>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p>
    <w:p>
      <w:pPr>
        <w:pStyle w:val="null3"/>
        <w:shd w:fill="FFFFFF"/>
        <w:spacing w:before="150" w:after="150"/>
        <w:ind w:left="0" w:right="0"/>
        <w:jc w:val="both"/>
      </w:pPr>
      <w:r>
        <w:rPr>
          <w:rFonts w:ascii="helvetica" w:hAnsi="helvetica" w:cs="helvetica" w:eastAsia="helvetica"/>
          <w:sz w:val="27"/>
          <w:color w:val="222222"/>
        </w:rPr>
        <w:t xml:space="preserve"> </w:t>
      </w:r>
    </w:p>
    <w:p>
      <w:pPr>
        <w:pStyle w:val="null3"/>
        <w:shd w:fill="FFFFFF"/>
        <w:spacing w:before="0" w:after="0"/>
        <w:ind w:left="0" w:right="0"/>
        <w:jc w:val="both"/>
      </w:pPr>
      <w:r>
        <w:rPr>
          <w:rFonts w:ascii="宋体" w:hAnsi="宋体" w:cs="宋体" w:eastAsia="宋体"/>
          <w:sz w:val="27"/>
          <w:color w:val="222222"/>
        </w:rPr>
        <w:t xml:space="preserve"> </w:t>
      </w:r>
      <w:r>
        <w:rPr>
          <w:rFonts w:ascii="宋体" w:hAnsi="宋体" w:cs="宋体" w:eastAsia="宋体"/>
          <w:sz w:val="27"/>
          <w:color w:val="222222"/>
        </w:rPr>
        <w:t xml:space="preserve"> </w:t>
      </w:r>
      <w:r>
        <w:rPr>
          <w:rFonts w:ascii="宋体" w:hAnsi="宋体" w:cs="宋体" w:eastAsia="宋体"/>
          <w:sz w:val="27"/>
          <w:color w:val="222222"/>
        </w:rPr>
        <w:t>根据</w:t>
      </w:r>
      <w:r>
        <w:rPr>
          <w:rFonts w:ascii="宋体" w:hAnsi="宋体" w:cs="宋体" w:eastAsia="宋体"/>
          <w:sz w:val="27"/>
          <w:color w:val="222222"/>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项目</w:t>
      </w:r>
      <w:r>
        <w:rPr>
          <w:rFonts w:ascii="宋体" w:hAnsi="宋体" w:cs="宋体" w:eastAsia="宋体"/>
          <w:sz w:val="27"/>
          <w:color w:val="222222"/>
          <w:u w:val="single"/>
        </w:rPr>
        <w:t xml:space="preserve"> </w:t>
      </w:r>
      <w:r>
        <w:rPr>
          <w:rFonts w:ascii="宋体" w:hAnsi="宋体" w:cs="宋体" w:eastAsia="宋体"/>
          <w:sz w:val="27"/>
          <w:color w:val="222222"/>
        </w:rPr>
        <w:t>的采购结果，按照《中华人民共和国政府采购法》，《</w:t>
      </w:r>
      <w:r>
        <w:rPr>
          <w:rFonts w:ascii="宋体" w:hAnsi="宋体" w:cs="宋体" w:eastAsia="宋体"/>
          <w:sz w:val="27"/>
          <w:color w:val="222222"/>
        </w:rPr>
        <w:t>中华人民共和国民法典(合同编)</w:t>
      </w:r>
      <w:r>
        <w:rPr>
          <w:rFonts w:ascii="宋体" w:hAnsi="宋体" w:cs="宋体" w:eastAsia="宋体"/>
          <w:sz w:val="27"/>
          <w:color w:val="222222"/>
        </w:rPr>
        <w:t>》的规定，经双方协商，本着平等互利和诚实信用的原则，一致同意遵守本合同如下。</w:t>
      </w:r>
    </w:p>
    <w:p>
      <w:pPr>
        <w:pStyle w:val="null3"/>
        <w:shd w:fill="FFFFFF"/>
        <w:spacing w:before="0" w:after="0"/>
        <w:ind w:left="0" w:right="0"/>
        <w:jc w:val="both"/>
      </w:pPr>
      <w:r>
        <w:rPr>
          <w:rFonts w:ascii="宋体" w:hAnsi="宋体" w:cs="宋体" w:eastAsia="宋体"/>
          <w:sz w:val="27"/>
          <w:b/>
          <w:color w:val="222222"/>
        </w:rPr>
        <w:t>一、合同金额</w:t>
      </w:r>
    </w:p>
    <w:p>
      <w:pPr>
        <w:pStyle w:val="null3"/>
        <w:shd w:fill="FFFFFF"/>
        <w:spacing w:before="0" w:after="0"/>
        <w:ind w:left="0" w:right="0"/>
        <w:jc w:val="both"/>
      </w:pPr>
      <w:r>
        <w:rPr>
          <w:rFonts w:ascii="宋体" w:hAnsi="宋体" w:cs="宋体" w:eastAsia="宋体"/>
          <w:sz w:val="27"/>
          <w:color w:val="222222"/>
        </w:rPr>
        <w:t>　　合同金额为（大写）：_____________元（￥_________元）人民币。</w:t>
      </w:r>
    </w:p>
    <w:p>
      <w:pPr>
        <w:pStyle w:val="null3"/>
        <w:shd w:fill="FFFFFF"/>
        <w:spacing w:before="0" w:after="0"/>
        <w:ind w:left="0" w:right="0"/>
        <w:jc w:val="both"/>
      </w:pPr>
      <w:r>
        <w:rPr>
          <w:rFonts w:ascii="宋体" w:hAnsi="宋体" w:cs="宋体" w:eastAsia="宋体"/>
          <w:sz w:val="27"/>
          <w:b/>
          <w:color w:val="222222"/>
        </w:rPr>
        <w:t>二、服务范围</w:t>
      </w:r>
    </w:p>
    <w:p>
      <w:pPr>
        <w:pStyle w:val="null3"/>
        <w:shd w:fill="FFFFFF"/>
        <w:spacing w:before="0" w:after="0"/>
        <w:ind w:left="0" w:right="0"/>
        <w:jc w:val="both"/>
      </w:pPr>
      <w:r>
        <w:rPr>
          <w:rFonts w:ascii="宋体" w:hAnsi="宋体" w:cs="宋体" w:eastAsia="宋体"/>
          <w:sz w:val="27"/>
          <w:color w:val="222222"/>
        </w:rPr>
        <w:t>　　甲方聘请乙方提供以下服务：</w:t>
      </w:r>
    </w:p>
    <w:p>
      <w:pPr>
        <w:pStyle w:val="null3"/>
        <w:shd w:fill="FFFFFF"/>
        <w:spacing w:before="0" w:after="0"/>
        <w:ind w:left="0" w:right="0"/>
        <w:jc w:val="both"/>
      </w:pPr>
      <w:r>
        <w:rPr>
          <w:rFonts w:ascii="宋体" w:hAnsi="宋体" w:cs="宋体" w:eastAsia="宋体"/>
          <w:sz w:val="27"/>
          <w:color w:val="222222"/>
        </w:rPr>
        <w:t>　　1．</w:t>
      </w:r>
      <w:r>
        <w:rPr>
          <w:rFonts w:ascii="宋体" w:hAnsi="宋体" w:cs="宋体" w:eastAsia="宋体"/>
          <w:sz w:val="27"/>
          <w:color w:val="222222"/>
          <w:u w:val="single"/>
        </w:rPr>
        <w:t>　　　　　　　　　　　</w:t>
      </w:r>
      <w:r>
        <w:rPr>
          <w:rFonts w:ascii="宋体" w:hAnsi="宋体" w:cs="宋体" w:eastAsia="宋体"/>
          <w:sz w:val="27"/>
          <w:color w:val="222222"/>
        </w:rPr>
        <w:t>。</w:t>
      </w:r>
    </w:p>
    <w:p>
      <w:pPr>
        <w:pStyle w:val="null3"/>
        <w:shd w:fill="FFFFFF"/>
        <w:spacing w:before="0" w:after="0"/>
        <w:ind w:left="0" w:right="0"/>
        <w:jc w:val="both"/>
      </w:pPr>
      <w:r>
        <w:rPr>
          <w:rFonts w:ascii="宋体" w:hAnsi="宋体" w:cs="宋体" w:eastAsia="宋体"/>
          <w:sz w:val="27"/>
          <w:color w:val="222222"/>
        </w:rPr>
        <w:t>　　2．</w:t>
      </w:r>
      <w:r>
        <w:rPr>
          <w:rFonts w:ascii="宋体" w:hAnsi="宋体" w:cs="宋体" w:eastAsia="宋体"/>
          <w:sz w:val="27"/>
          <w:color w:val="222222"/>
          <w:u w:val="single"/>
        </w:rPr>
        <w:t>　　　　　　　　　　　</w:t>
      </w:r>
    </w:p>
    <w:p>
      <w:pPr>
        <w:pStyle w:val="null3"/>
        <w:shd w:fill="FFFFFF"/>
        <w:spacing w:before="0" w:after="0"/>
        <w:ind w:left="0" w:right="0"/>
        <w:jc w:val="both"/>
      </w:pPr>
      <w:r>
        <w:rPr>
          <w:rFonts w:ascii="宋体" w:hAnsi="宋体" w:cs="宋体" w:eastAsia="宋体"/>
          <w:sz w:val="27"/>
          <w:color w:val="222222"/>
        </w:rPr>
        <w:t>……</w:t>
      </w:r>
    </w:p>
    <w:p>
      <w:pPr>
        <w:pStyle w:val="null3"/>
        <w:shd w:fill="FFFFFF"/>
        <w:spacing w:before="0" w:after="0"/>
        <w:ind w:left="0" w:right="0"/>
        <w:jc w:val="both"/>
      </w:pPr>
      <w:r>
        <w:rPr>
          <w:rFonts w:ascii="宋体" w:hAnsi="宋体" w:cs="宋体" w:eastAsia="宋体"/>
          <w:sz w:val="27"/>
          <w:b/>
          <w:color w:val="222222"/>
        </w:rPr>
        <w:t>三、甲方乙方的权利和义务</w:t>
      </w:r>
    </w:p>
    <w:p>
      <w:pPr>
        <w:pStyle w:val="null3"/>
        <w:shd w:fill="FFFFFF"/>
        <w:spacing w:before="0" w:after="0"/>
        <w:ind w:left="0" w:right="0"/>
        <w:jc w:val="both"/>
      </w:pPr>
      <w:r>
        <w:rPr>
          <w:rFonts w:ascii="宋体" w:hAnsi="宋体" w:cs="宋体" w:eastAsia="宋体"/>
          <w:sz w:val="27"/>
          <w:color w:val="222222"/>
        </w:rPr>
        <w:t>　　1.甲方的权利和义务</w:t>
      </w:r>
    </w:p>
    <w:p>
      <w:pPr>
        <w:pStyle w:val="null3"/>
        <w:shd w:fill="FFFFFF"/>
        <w:spacing w:before="0" w:after="0"/>
        <w:ind w:left="0" w:right="0"/>
        <w:jc w:val="both"/>
      </w:pPr>
      <w:r>
        <w:rPr>
          <w:rFonts w:ascii="宋体" w:hAnsi="宋体" w:cs="宋体" w:eastAsia="宋体"/>
          <w:sz w:val="27"/>
          <w:color w:val="222222"/>
        </w:rPr>
        <w:t>　　2.乙方的权利和义务</w:t>
      </w:r>
    </w:p>
    <w:p>
      <w:pPr>
        <w:pStyle w:val="null3"/>
        <w:shd w:fill="FFFFFF"/>
        <w:spacing w:before="0" w:after="0"/>
        <w:ind w:left="0" w:right="0"/>
        <w:jc w:val="both"/>
      </w:pPr>
      <w:r>
        <w:rPr>
          <w:rFonts w:ascii="宋体" w:hAnsi="宋体" w:cs="宋体" w:eastAsia="宋体"/>
          <w:sz w:val="27"/>
          <w:b/>
          <w:color w:val="222222"/>
        </w:rPr>
        <w:t>四、服务期间（项目完成期限）</w:t>
      </w:r>
    </w:p>
    <w:p>
      <w:pPr>
        <w:pStyle w:val="null3"/>
        <w:shd w:fill="FFFFFF"/>
        <w:spacing w:before="0" w:after="0"/>
        <w:ind w:left="0" w:right="0"/>
        <w:jc w:val="both"/>
      </w:pPr>
      <w:r>
        <w:rPr>
          <w:rFonts w:ascii="宋体" w:hAnsi="宋体" w:cs="宋体" w:eastAsia="宋体"/>
          <w:sz w:val="27"/>
          <w:color w:val="222222"/>
        </w:rPr>
        <w:t>　　1.委托服务期间自______年______月至______年______月止。</w:t>
      </w:r>
    </w:p>
    <w:p>
      <w:pPr>
        <w:pStyle w:val="null3"/>
        <w:shd w:fill="FFFFFF"/>
        <w:spacing w:before="0" w:after="0"/>
        <w:ind w:left="0" w:right="0"/>
        <w:jc w:val="both"/>
      </w:pPr>
      <w:r>
        <w:rPr>
          <w:rFonts w:ascii="宋体" w:hAnsi="宋体" w:cs="宋体" w:eastAsia="宋体"/>
          <w:sz w:val="27"/>
          <w:b/>
          <w:color w:val="222222"/>
        </w:rPr>
        <w:t>五、付款方式</w:t>
      </w:r>
    </w:p>
    <w:p>
      <w:pPr>
        <w:pStyle w:val="null3"/>
        <w:shd w:fill="FFFFFF"/>
        <w:spacing w:before="0" w:after="0"/>
        <w:ind w:left="0" w:right="0"/>
        <w:jc w:val="both"/>
      </w:pPr>
      <w:r>
        <w:rPr>
          <w:rFonts w:ascii="宋体" w:hAnsi="宋体" w:cs="宋体" w:eastAsia="宋体"/>
          <w:sz w:val="27"/>
          <w:color w:val="222222"/>
        </w:rPr>
        <w:t>　　由甲方按下列程序在</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rPr>
        <w:t xml:space="preserve"> </w:t>
      </w:r>
      <w:r>
        <w:rPr>
          <w:rFonts w:ascii="宋体" w:hAnsi="宋体" w:cs="宋体" w:eastAsia="宋体"/>
          <w:sz w:val="27"/>
          <w:color w:val="222222"/>
        </w:rPr>
        <w:t>内付款：</w:t>
      </w:r>
    </w:p>
    <w:p>
      <w:pPr>
        <w:pStyle w:val="null3"/>
        <w:shd w:fill="FFFFFF"/>
        <w:spacing w:before="0" w:after="0"/>
        <w:ind w:left="0" w:right="0"/>
        <w:jc w:val="both"/>
      </w:pPr>
      <w:r>
        <w:rPr>
          <w:rFonts w:ascii="宋体" w:hAnsi="宋体" w:cs="宋体" w:eastAsia="宋体"/>
          <w:sz w:val="27"/>
          <w:color w:val="222222"/>
        </w:rPr>
        <w:t>　　1.在合同实施及服务人员到达服务地后__天内，甲方应将第一次付　　款总服务费的__(-%)付给乙方。</w:t>
      </w:r>
    </w:p>
    <w:p>
      <w:pPr>
        <w:pStyle w:val="null3"/>
        <w:shd w:fill="FFFFFF"/>
        <w:spacing w:before="0" w:after="0"/>
        <w:ind w:left="0" w:right="0"/>
        <w:jc w:val="both"/>
      </w:pPr>
      <w:r>
        <w:rPr>
          <w:rFonts w:ascii="宋体" w:hAnsi="宋体" w:cs="宋体" w:eastAsia="宋体"/>
          <w:sz w:val="27"/>
          <w:color w:val="222222"/>
        </w:rPr>
        <w:t>　　2.第二次付款额应为总服务费的__(-%)，甲方应在乙方已经准备好，并递交了服务报告及其它相关文件，而这些报告和文件符合合同附件上的要求并被甲方验收后付给乙方。</w:t>
      </w:r>
    </w:p>
    <w:p>
      <w:pPr>
        <w:pStyle w:val="null3"/>
        <w:shd w:fill="FFFFFF"/>
        <w:spacing w:before="0" w:after="0"/>
        <w:ind w:left="0" w:right="0"/>
        <w:jc w:val="both"/>
      </w:pPr>
      <w:r>
        <w:rPr>
          <w:rFonts w:ascii="宋体" w:hAnsi="宋体" w:cs="宋体" w:eastAsia="宋体"/>
          <w:sz w:val="27"/>
          <w:color w:val="222222"/>
        </w:rPr>
        <w:t>　　3.最后一次付款额应为总服务费的__(-%)，甲方应在乙方递交了服务总结报告和说明并完全履行合同完毕_________日内付给乙方。</w:t>
      </w:r>
    </w:p>
    <w:p>
      <w:pPr>
        <w:pStyle w:val="null3"/>
        <w:shd w:fill="FFFFFF"/>
        <w:spacing w:before="0" w:after="0"/>
        <w:ind w:left="0" w:right="0"/>
        <w:jc w:val="both"/>
      </w:pPr>
      <w:r>
        <w:rPr>
          <w:rFonts w:ascii="宋体" w:hAnsi="宋体" w:cs="宋体" w:eastAsia="宋体"/>
          <w:sz w:val="27"/>
          <w:color w:val="222222"/>
        </w:rPr>
        <w:t>　　4.对于满足合同约定支付条件的，甲方应当自收到发票后30日内将资金支付到合同约定的乙方账户，不得以机构变动、人员更替、政策调整等为由延迟付款，不得将采购文件和合同中未规定的义务作为向乙方付款的条件。</w:t>
      </w:r>
    </w:p>
    <w:p>
      <w:pPr>
        <w:pStyle w:val="null3"/>
        <w:shd w:fill="FFFFFF"/>
        <w:spacing w:before="0" w:after="0"/>
        <w:ind w:left="0" w:right="0"/>
        <w:jc w:val="both"/>
      </w:pPr>
      <w:r>
        <w:rPr>
          <w:rFonts w:ascii="宋体" w:hAnsi="宋体" w:cs="宋体" w:eastAsia="宋体"/>
          <w:sz w:val="27"/>
          <w:b/>
          <w:color w:val="222222"/>
        </w:rPr>
        <w:t>六、知识产权归属</w:t>
      </w:r>
    </w:p>
    <w:p>
      <w:pPr>
        <w:pStyle w:val="null3"/>
        <w:shd w:fill="FFFFFF"/>
        <w:spacing w:before="0" w:after="0"/>
        <w:ind w:left="0" w:right="0"/>
        <w:jc w:val="both"/>
      </w:pPr>
      <w:r>
        <w:rPr>
          <w:rFonts w:ascii="宋体" w:hAnsi="宋体" w:cs="宋体" w:eastAsia="宋体"/>
          <w:sz w:val="27"/>
          <w:b/>
          <w:color w:val="222222"/>
        </w:rPr>
        <w:t>七、保密</w:t>
      </w:r>
    </w:p>
    <w:p>
      <w:pPr>
        <w:pStyle w:val="null3"/>
        <w:shd w:fill="FFFFFF"/>
        <w:spacing w:before="0" w:after="0"/>
        <w:ind w:left="0" w:right="0"/>
        <w:jc w:val="both"/>
      </w:pPr>
      <w:r>
        <w:rPr>
          <w:rFonts w:ascii="宋体" w:hAnsi="宋体" w:cs="宋体" w:eastAsia="宋体"/>
          <w:sz w:val="27"/>
          <w:b/>
          <w:color w:val="222222"/>
        </w:rPr>
        <w:t>八、违约责任与赔偿损失</w:t>
      </w:r>
    </w:p>
    <w:p>
      <w:pPr>
        <w:pStyle w:val="null3"/>
        <w:shd w:fill="FFFFFF"/>
        <w:spacing w:before="0" w:after="0"/>
        <w:ind w:left="0" w:right="0"/>
        <w:jc w:val="both"/>
      </w:pPr>
      <w:r>
        <w:rPr>
          <w:rFonts w:ascii="宋体" w:hAnsi="宋体" w:cs="宋体" w:eastAsia="宋体"/>
          <w:sz w:val="27"/>
          <w:color w:val="222222"/>
        </w:rPr>
        <w:t>　　1.乙方提供的服务不符合本合同规定的，甲方有权拒收，并且乙方须向甲方方支付本合同总价5%的违约金。</w:t>
      </w:r>
    </w:p>
    <w:p>
      <w:pPr>
        <w:pStyle w:val="null3"/>
        <w:shd w:fill="FFFFFF"/>
        <w:spacing w:before="0" w:after="0"/>
        <w:ind w:left="0" w:right="0"/>
        <w:jc w:val="both"/>
      </w:pPr>
      <w:r>
        <w:rPr>
          <w:rFonts w:ascii="宋体" w:hAnsi="宋体" w:cs="宋体" w:eastAsia="宋体"/>
          <w:sz w:val="27"/>
          <w:color w:val="222222"/>
        </w:rPr>
        <w:t>　　2.乙方未能按本合同规定的交货时间提供服务，从逾期之日起每日按本合同总价3‰的数额向甲方支付违约金；逾期半个月以上的，甲方有权终止合同，由此造成的甲方经济损失由乙方承担。</w:t>
      </w:r>
    </w:p>
    <w:p>
      <w:pPr>
        <w:pStyle w:val="null3"/>
        <w:shd w:fill="FFFFFF"/>
        <w:spacing w:before="0" w:after="0"/>
        <w:ind w:left="0" w:right="0"/>
        <w:jc w:val="both"/>
      </w:pPr>
      <w:r>
        <w:rPr>
          <w:rFonts w:ascii="宋体" w:hAnsi="宋体" w:cs="宋体" w:eastAsia="宋体"/>
          <w:sz w:val="27"/>
          <w:color w:val="222222"/>
        </w:rPr>
        <w:t>　　3.甲方无正当理由拒收接受服务，到期拒付服务款项的，甲方向乙方偿付本合同总的5%的违约金。甲方人逾期付款，则每日按本合同总价的3‰向乙方偿付违约金。</w:t>
      </w:r>
    </w:p>
    <w:p>
      <w:pPr>
        <w:pStyle w:val="null3"/>
        <w:shd w:fill="FFFFFF"/>
        <w:spacing w:before="0" w:after="0"/>
        <w:ind w:left="0" w:right="0"/>
        <w:jc w:val="both"/>
      </w:pPr>
      <w:r>
        <w:rPr>
          <w:rFonts w:ascii="宋体" w:hAnsi="宋体" w:cs="宋体" w:eastAsia="宋体"/>
          <w:sz w:val="27"/>
          <w:color w:val="222222"/>
        </w:rPr>
        <w:t>　　4.对于因甲方原因导致变更、中止或者终止政府采购合同的，甲方应当依照以下合同约定对供应商受到的损失予以赔偿或者补偿：</w:t>
      </w:r>
    </w:p>
    <w:p>
      <w:pPr>
        <w:pStyle w:val="null3"/>
        <w:shd w:fill="FFFFFF"/>
        <w:spacing w:before="0" w:after="0"/>
        <w:ind w:left="0" w:right="0"/>
        <w:jc w:val="both"/>
      </w:pP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p>
    <w:p>
      <w:pPr>
        <w:pStyle w:val="null3"/>
        <w:shd w:fill="FFFFFF"/>
        <w:spacing w:before="0" w:after="0"/>
        <w:ind w:left="0" w:right="0"/>
        <w:jc w:val="both"/>
      </w:pPr>
      <w:r>
        <w:rPr>
          <w:rFonts w:ascii="宋体" w:hAnsi="宋体" w:cs="宋体" w:eastAsia="宋体"/>
          <w:sz w:val="27"/>
          <w:color w:val="222222"/>
        </w:rPr>
        <w:t>　　5.其它违约责任按《</w:t>
      </w:r>
      <w:r>
        <w:rPr>
          <w:rFonts w:ascii="宋体" w:hAnsi="宋体" w:cs="宋体" w:eastAsia="宋体"/>
          <w:sz w:val="27"/>
          <w:color w:val="222222"/>
        </w:rPr>
        <w:t>中华人民共和国民法典(合同编)</w:t>
      </w:r>
      <w:r>
        <w:rPr>
          <w:rFonts w:ascii="宋体" w:hAnsi="宋体" w:cs="宋体" w:eastAsia="宋体"/>
          <w:sz w:val="27"/>
          <w:color w:val="222222"/>
        </w:rPr>
        <w:t>》处理。</w:t>
      </w:r>
    </w:p>
    <w:p>
      <w:pPr>
        <w:pStyle w:val="null3"/>
        <w:shd w:fill="FFFFFF"/>
        <w:spacing w:before="0" w:after="0"/>
        <w:ind w:left="0" w:right="0"/>
        <w:jc w:val="both"/>
      </w:pPr>
      <w:r>
        <w:rPr>
          <w:rFonts w:ascii="宋体" w:hAnsi="宋体" w:cs="宋体" w:eastAsia="宋体"/>
          <w:sz w:val="27"/>
          <w:b/>
          <w:color w:val="222222"/>
        </w:rPr>
        <w:t>九、争议的解决</w:t>
      </w:r>
    </w:p>
    <w:p>
      <w:pPr>
        <w:pStyle w:val="null3"/>
        <w:shd w:fill="FFFFFF"/>
        <w:spacing w:before="0" w:after="0"/>
        <w:ind w:left="0" w:right="0" w:firstLine="400"/>
        <w:jc w:val="both"/>
      </w:pPr>
      <w:r>
        <w:rPr>
          <w:rFonts w:ascii="宋体" w:hAnsi="宋体" w:cs="宋体" w:eastAsia="宋体"/>
          <w:sz w:val="27"/>
          <w:color w:val="222222"/>
        </w:rPr>
        <w:t>合同执行过程中发生的任何争议，如双方不能通过友好协商解决，按相关法律法规处理。</w:t>
      </w:r>
      <w:r>
        <w:rPr>
          <w:rFonts w:ascii="helvetica" w:hAnsi="helvetica" w:cs="helvetica" w:eastAsia="helvetica"/>
          <w:sz w:val="27"/>
          <w:color w:val="222222"/>
        </w:rPr>
        <w:t xml:space="preserve"> </w:t>
      </w:r>
      <w:r>
        <w:rPr>
          <w:rFonts w:ascii="宋体" w:hAnsi="宋体" w:cs="宋体" w:eastAsia="宋体"/>
          <w:sz w:val="27"/>
          <w:color w:val="222222"/>
        </w:rPr>
        <w:t xml:space="preserve"> </w:t>
      </w:r>
      <w:r>
        <w:rPr>
          <w:rFonts w:ascii="helvetica" w:hAnsi="helvetica" w:cs="helvetica" w:eastAsia="helvetica"/>
          <w:sz w:val="27"/>
          <w:color w:val="222222"/>
        </w:rPr>
        <w:t xml:space="preserve"> </w:t>
      </w:r>
      <w:r>
        <w:rPr>
          <w:rFonts w:ascii="helvetica" w:hAnsi="helvetica" w:cs="helvetica" w:eastAsia="helvetica"/>
          <w:sz w:val="27"/>
          <w:color w:val="222222"/>
        </w:rPr>
        <w:t xml:space="preserve"> </w:t>
      </w:r>
      <w:r>
        <w:rPr>
          <w:rFonts w:ascii="helvetica" w:hAnsi="helvetica" w:cs="helvetica" w:eastAsia="helvetica"/>
          <w:sz w:val="27"/>
          <w:color w:val="222222"/>
        </w:rPr>
        <w:t xml:space="preserve"> </w:t>
      </w:r>
    </w:p>
    <w:p>
      <w:pPr>
        <w:pStyle w:val="null3"/>
        <w:shd w:fill="FFFFFF"/>
        <w:spacing w:before="0" w:after="0"/>
        <w:ind w:left="0" w:right="0"/>
        <w:jc w:val="both"/>
      </w:pPr>
      <w:r>
        <w:rPr>
          <w:rFonts w:ascii="宋体" w:hAnsi="宋体" w:cs="宋体" w:eastAsia="宋体"/>
          <w:sz w:val="27"/>
          <w:b/>
          <w:color w:val="222222"/>
        </w:rPr>
        <w:t>十、不可抗力</w:t>
      </w:r>
    </w:p>
    <w:p>
      <w:pPr>
        <w:pStyle w:val="null3"/>
        <w:shd w:fill="FFFFFF"/>
        <w:spacing w:before="0" w:after="0"/>
        <w:ind w:left="0" w:right="0"/>
        <w:jc w:val="both"/>
      </w:pPr>
      <w:r>
        <w:rPr>
          <w:rFonts w:ascii="宋体" w:hAnsi="宋体" w:cs="宋体" w:eastAsia="宋体"/>
          <w:sz w:val="27"/>
          <w:color w:val="222222"/>
        </w:rPr>
        <w:t>　　任何一方由于不可抗力原因不能履行合同时，应在不可抗力事件结束后1日内向对方通报，以减轻可能给对方造成的损失，在取得有关机构的不可抗力证明或双方谅解确认后，允许延期履行或修订合同，并根据情况可部分或全部免于承担违约责任。</w:t>
      </w:r>
    </w:p>
    <w:p>
      <w:pPr>
        <w:pStyle w:val="null3"/>
        <w:shd w:fill="FFFFFF"/>
        <w:spacing w:before="0" w:after="0"/>
        <w:ind w:left="0" w:right="0"/>
        <w:jc w:val="both"/>
      </w:pPr>
      <w:r>
        <w:rPr>
          <w:rFonts w:ascii="宋体" w:hAnsi="宋体" w:cs="宋体" w:eastAsia="宋体"/>
          <w:sz w:val="27"/>
          <w:b/>
          <w:color w:val="222222"/>
        </w:rPr>
        <w:t>十一、税费</w:t>
      </w:r>
    </w:p>
    <w:p>
      <w:pPr>
        <w:pStyle w:val="null3"/>
        <w:shd w:fill="FFFFFF"/>
        <w:spacing w:before="0" w:after="0"/>
        <w:ind w:left="0" w:right="0"/>
        <w:jc w:val="both"/>
      </w:pPr>
      <w:r>
        <w:rPr>
          <w:rFonts w:ascii="宋体" w:hAnsi="宋体" w:cs="宋体" w:eastAsia="宋体"/>
          <w:sz w:val="27"/>
          <w:color w:val="222222"/>
        </w:rPr>
        <w:t>　　在中国境内、外发生的与本合同执行有关的一切税费均由乙方负担。</w:t>
      </w:r>
    </w:p>
    <w:p>
      <w:pPr>
        <w:pStyle w:val="null3"/>
        <w:shd w:fill="FFFFFF"/>
        <w:spacing w:before="0" w:after="0"/>
        <w:ind w:left="0" w:right="0"/>
        <w:jc w:val="both"/>
      </w:pPr>
      <w:r>
        <w:rPr>
          <w:rFonts w:ascii="宋体" w:hAnsi="宋体" w:cs="宋体" w:eastAsia="宋体"/>
          <w:sz w:val="27"/>
          <w:b/>
          <w:color w:val="222222"/>
        </w:rPr>
        <w:t>十二、其它</w:t>
      </w:r>
    </w:p>
    <w:p>
      <w:pPr>
        <w:pStyle w:val="null3"/>
        <w:shd w:fill="FFFFFF"/>
        <w:spacing w:before="0" w:after="0"/>
        <w:ind w:left="0" w:right="0"/>
        <w:jc w:val="both"/>
      </w:pPr>
      <w:r>
        <w:rPr>
          <w:rFonts w:ascii="宋体" w:hAnsi="宋体" w:cs="宋体" w:eastAsia="宋体"/>
          <w:sz w:val="27"/>
          <w:color w:val="222222"/>
        </w:rPr>
        <w:t>　　1.本合同所有附件、招标文件、投标文件、中标通知书均为合同的有效组成部分，与本合同具有同等法律效力。</w:t>
      </w:r>
    </w:p>
    <w:p>
      <w:pPr>
        <w:pStyle w:val="null3"/>
        <w:shd w:fill="FFFFFF"/>
        <w:spacing w:before="0" w:after="0"/>
        <w:ind w:left="0" w:right="0"/>
        <w:jc w:val="both"/>
      </w:pPr>
      <w:r>
        <w:rPr>
          <w:rFonts w:ascii="宋体" w:hAnsi="宋体" w:cs="宋体" w:eastAsia="宋体"/>
          <w:sz w:val="27"/>
          <w:color w:val="222222"/>
        </w:rPr>
        <w:t>　　2.在执行本合同的过程中，所有经双方签署确认的文件（包括会议纪要、补充协议、往来信函）即成为本合同的有效组成部分。</w:t>
      </w:r>
    </w:p>
    <w:p>
      <w:pPr>
        <w:pStyle w:val="null3"/>
        <w:shd w:fill="FFFFFF"/>
        <w:spacing w:before="0" w:after="0"/>
        <w:ind w:left="0" w:right="0"/>
        <w:jc w:val="both"/>
      </w:pPr>
      <w:r>
        <w:rPr>
          <w:rFonts w:ascii="宋体" w:hAnsi="宋体" w:cs="宋体" w:eastAsia="宋体"/>
          <w:sz w:val="27"/>
          <w:color w:val="222222"/>
        </w:rPr>
        <w:t>　　3.如一方地址、电话、传真号码有变更，应在变更当日内书面通知对方，否则，应承担相应责任。</w:t>
      </w:r>
    </w:p>
    <w:p>
      <w:pPr>
        <w:pStyle w:val="null3"/>
        <w:shd w:fill="FFFFFF"/>
        <w:spacing w:before="0" w:after="0"/>
        <w:ind w:left="0" w:right="0"/>
        <w:jc w:val="both"/>
      </w:pPr>
      <w:r>
        <w:rPr>
          <w:rFonts w:ascii="宋体" w:hAnsi="宋体" w:cs="宋体" w:eastAsia="宋体"/>
          <w:sz w:val="27"/>
          <w:color w:val="222222"/>
        </w:rPr>
        <w:t>　　4.除甲方事先书面同意外，乙方不得部分或全部转让其应履行的合同项下的义务。</w:t>
      </w:r>
    </w:p>
    <w:p>
      <w:pPr>
        <w:pStyle w:val="null3"/>
        <w:shd w:fill="FFFFFF"/>
        <w:spacing w:before="0" w:after="0"/>
        <w:ind w:left="0" w:right="0"/>
        <w:jc w:val="both"/>
      </w:pPr>
      <w:r>
        <w:rPr>
          <w:rFonts w:ascii="宋体" w:hAnsi="宋体" w:cs="宋体" w:eastAsia="宋体"/>
          <w:sz w:val="27"/>
          <w:b/>
          <w:color w:val="222222"/>
        </w:rPr>
        <w:t>十三、合同生效</w:t>
      </w:r>
    </w:p>
    <w:p>
      <w:pPr>
        <w:pStyle w:val="null3"/>
        <w:shd w:fill="FFFFFF"/>
        <w:spacing w:before="0" w:after="0"/>
        <w:ind w:left="0" w:right="0"/>
        <w:jc w:val="both"/>
      </w:pPr>
      <w:r>
        <w:rPr>
          <w:rFonts w:ascii="宋体" w:hAnsi="宋体" w:cs="宋体" w:eastAsia="宋体"/>
          <w:sz w:val="27"/>
          <w:color w:val="222222"/>
        </w:rPr>
        <w:t>　　1.本合同在甲乙双方法人代表或其授权代表签字盖章后生效。</w:t>
      </w:r>
    </w:p>
    <w:p>
      <w:pPr>
        <w:pStyle w:val="null3"/>
        <w:shd w:fill="FFFFFF"/>
        <w:spacing w:before="0" w:after="0"/>
        <w:ind w:left="0" w:right="0"/>
        <w:jc w:val="both"/>
      </w:pPr>
      <w:r>
        <w:rPr>
          <w:rFonts w:ascii="宋体" w:hAnsi="宋体" w:cs="宋体" w:eastAsia="宋体"/>
          <w:sz w:val="27"/>
          <w:color w:val="222222"/>
        </w:rPr>
        <w:t>　　2.合同一式</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rPr>
        <w:t xml:space="preserve"> </w:t>
      </w:r>
      <w:r>
        <w:rPr>
          <w:rFonts w:ascii="宋体" w:hAnsi="宋体" w:cs="宋体" w:eastAsia="宋体"/>
          <w:sz w:val="27"/>
          <w:color w:val="222222"/>
        </w:rPr>
        <w:t>份。</w:t>
      </w:r>
    </w:p>
    <w:p>
      <w:pPr>
        <w:pStyle w:val="null3"/>
        <w:shd w:fill="FFFFFF"/>
        <w:spacing w:before="150" w:after="150"/>
        <w:ind w:left="0" w:right="0"/>
        <w:jc w:val="both"/>
      </w:pPr>
      <w:r>
        <w:rPr>
          <w:rFonts w:ascii="helvetica" w:hAnsi="helvetica" w:cs="helvetica" w:eastAsia="helvetica"/>
          <w:sz w:val="27"/>
          <w:color w:val="222222"/>
        </w:rPr>
        <w:t xml:space="preserve"> </w:t>
      </w:r>
    </w:p>
    <w:p>
      <w:pPr>
        <w:pStyle w:val="null3"/>
        <w:shd w:fill="FFFFFF"/>
        <w:spacing w:before="0" w:after="0"/>
        <w:ind w:left="0" w:right="0"/>
        <w:jc w:val="both"/>
      </w:pPr>
      <w:r>
        <w:rPr>
          <w:rFonts w:ascii="宋体" w:hAnsi="宋体" w:cs="宋体" w:eastAsia="宋体"/>
          <w:sz w:val="27"/>
          <w:b/>
          <w:color w:val="222222"/>
        </w:rPr>
        <w:t>甲方（盖章）：</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乙方（盖章）：</w:t>
      </w:r>
    </w:p>
    <w:p>
      <w:pPr>
        <w:pStyle w:val="null3"/>
        <w:shd w:fill="FFFFFF"/>
        <w:spacing w:before="0" w:after="0"/>
        <w:ind w:left="0" w:right="0"/>
        <w:jc w:val="both"/>
      </w:pPr>
      <w:r>
        <w:rPr>
          <w:rFonts w:ascii="宋体" w:hAnsi="宋体" w:cs="宋体" w:eastAsia="宋体"/>
          <w:sz w:val="27"/>
          <w:b/>
          <w:color w:val="222222"/>
        </w:rPr>
        <w:t>代表：</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代表：</w:t>
      </w:r>
    </w:p>
    <w:p>
      <w:pPr>
        <w:pStyle w:val="null3"/>
        <w:shd w:fill="FFFFFF"/>
        <w:spacing w:before="0" w:after="0"/>
        <w:ind w:left="0" w:right="0"/>
        <w:jc w:val="both"/>
      </w:pPr>
      <w:r>
        <w:rPr>
          <w:rFonts w:ascii="宋体" w:hAnsi="宋体" w:cs="宋体" w:eastAsia="宋体"/>
          <w:sz w:val="27"/>
          <w:color w:val="222222"/>
        </w:rPr>
        <w:t>签订地点：</w:t>
      </w:r>
    </w:p>
    <w:p>
      <w:pPr>
        <w:pStyle w:val="null3"/>
        <w:shd w:fill="FFFFFF"/>
        <w:spacing w:before="0" w:after="0"/>
        <w:ind w:left="0" w:right="0"/>
        <w:jc w:val="both"/>
      </w:pPr>
      <w:r>
        <w:rPr>
          <w:rFonts w:ascii="宋体" w:hAnsi="宋体" w:cs="宋体" w:eastAsia="宋体"/>
          <w:sz w:val="27"/>
          <w:color w:val="222222"/>
        </w:rPr>
        <w:t>签订日期：　　　年　　月　　日</w:t>
      </w:r>
      <w:r>
        <w:rPr>
          <w:rFonts w:ascii="宋体" w:hAnsi="宋体" w:cs="宋体" w:eastAsia="宋体"/>
          <w:sz w:val="27"/>
          <w:color w:val="222222"/>
        </w:rPr>
        <w:t xml:space="preserve"> </w:t>
      </w:r>
      <w:r>
        <w:rPr>
          <w:rFonts w:ascii="宋体" w:hAnsi="宋体" w:cs="宋体" w:eastAsia="宋体"/>
          <w:sz w:val="27"/>
          <w:color w:val="222222"/>
        </w:rPr>
        <w:t xml:space="preserve"> 签订日期：　　　年　　月　　日</w:t>
      </w:r>
    </w:p>
    <w:p>
      <w:pPr>
        <w:pStyle w:val="null3"/>
        <w:shd w:fill="FFFFFF"/>
        <w:spacing w:before="0" w:after="0"/>
        <w:ind w:left="0" w:right="0"/>
        <w:jc w:val="both"/>
      </w:pPr>
      <w:r>
        <w:rPr>
          <w:rFonts w:ascii="宋体" w:hAnsi="宋体" w:cs="宋体" w:eastAsia="宋体"/>
          <w:sz w:val="27"/>
          <w:color w:val="222222"/>
        </w:rPr>
        <w:t>开户名称：</w:t>
      </w:r>
    </w:p>
    <w:p>
      <w:pPr>
        <w:pStyle w:val="null3"/>
        <w:shd w:fill="FFFFFF"/>
        <w:spacing w:before="0" w:after="0"/>
        <w:ind w:left="0" w:right="0"/>
        <w:jc w:val="both"/>
      </w:pPr>
      <w:r>
        <w:rPr>
          <w:rFonts w:ascii="宋体" w:hAnsi="宋体" w:cs="宋体" w:eastAsia="宋体"/>
          <w:sz w:val="27"/>
          <w:color w:val="222222"/>
        </w:rPr>
        <w:t>银行帐号：</w:t>
      </w:r>
    </w:p>
    <w:p>
      <w:pPr>
        <w:pStyle w:val="null3"/>
        <w:shd w:fill="FFFFFF"/>
        <w:spacing w:before="0" w:after="0"/>
        <w:ind w:left="0" w:right="0"/>
        <w:jc w:val="both"/>
      </w:pPr>
      <w:r>
        <w:rPr>
          <w:rFonts w:ascii="宋体" w:hAnsi="宋体" w:cs="宋体" w:eastAsia="宋体"/>
          <w:sz w:val="27"/>
          <w:color w:val="222222"/>
        </w:rPr>
        <w:t>开 户 行：</w:t>
      </w:r>
    </w:p>
    <w:p>
      <w:pPr>
        <w:pStyle w:val="null3"/>
      </w:pPr>
      <w:r>
        <w:rPr/>
        <w:t xml:space="preserve">  </w:t>
      </w:r>
    </w:p>
    <w:p>
      <w:pPr>
        <w:pStyle w:val="null3"/>
        <w:jc w:val="center"/>
        <w:outlineLvl w:val="1"/>
      </w:pPr>
      <w:r>
        <w:rPr>
          <w:sz w:val="36"/>
          <w:b/>
        </w:rPr>
        <w:t>第六章 响应文件格式与要求</w:t>
      </w:r>
    </w:p>
    <w:p>
      <w:pPr>
        <w:pStyle w:val="null3"/>
        <w:ind w:firstLine="480"/>
      </w:pPr>
      <w:r>
        <w:rPr/>
        <w:t>供应商应提交证明其有资格参加磋商和成交后有能力履行合同的相关文件，并作为其响应文件的一部分，所有文件必须真实可靠、不得伪造，否则将按相关规定予以处罚。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供应商是企业（包括合伙企业），要提供在工商部门注册的有效“企业法人营业执照”或“营业执照”；如供应商是事业单位，要提供有效的“事业单位法人证书”；供应商是非企业专业服务机构的，如律师事务所，会计师事务所要提供执业许可证等证明文件；如供应商是个体工商户，要提供有效的“个体工商户营业执照”；如供应商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4.供应商参加政府采购前三年内在经营活动中没有重大违法记录声明函。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（2）查询截止时点：提交响应文件截止日当天；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供应商被列入失信被执行人、重大税收违法案件当事人名单、政府采购严重违法失信行为记录名单的供应商作无效响应处理。</w:t>
      </w:r>
    </w:p>
    <w:p>
      <w:pPr>
        <w:pStyle w:val="null3"/>
        <w:ind w:firstLine="480"/>
      </w:pPr>
      <w:r>
        <w:rPr/>
        <w:t>6. 按照磋商文件要求，供应商应当提交的资格、资信证明文件。</w:t>
      </w:r>
    </w:p>
    <w:p>
      <w:pPr>
        <w:pStyle w:val="null3"/>
      </w:pPr>
      <w:r>
        <w:rPr/>
        <w:t xml:space="preserve">  </w:t>
      </w:r>
    </w:p>
    <w:p>
      <w:pPr>
        <w:pStyle w:val="null3"/>
        <w:jc w:val="center"/>
        <w:outlineLvl w:val="0"/>
      </w:pPr>
      <w:r>
        <w:rPr>
          <w:sz w:val="48"/>
          <w:b/>
        </w:rPr>
        <w:t>响应文件封面</w:t>
      </w:r>
    </w:p>
    <w:p>
      <w:pPr>
        <w:pStyle w:val="null3"/>
        <w:outlineLvl w:val="0"/>
      </w:pPr>
      <w:r>
        <w:rPr>
          <w:sz w:val="48"/>
          <w:b/>
        </w:rPr>
        <w:t>（项目名称）</w:t>
      </w:r>
    </w:p>
    <w:p>
      <w:pPr>
        <w:pStyle w:val="null3"/>
        <w:jc w:val="center"/>
        <w:outlineLvl w:val="0"/>
      </w:pPr>
      <w:r>
        <w:rPr>
          <w:sz w:val="48"/>
          <w:b/>
        </w:rPr>
        <w:t xml:space="preserve"> 响应文件封面</w:t>
      </w:r>
    </w:p>
    <w:p>
      <w:pPr>
        <w:pStyle w:val="null3"/>
        <w:jc w:val="center"/>
        <w:outlineLvl w:val="3"/>
      </w:pPr>
      <w:r>
        <w:rPr>
          <w:sz w:val="24"/>
          <w:b/>
        </w:rPr>
        <w:t xml:space="preserve"> （正本/副本）</w:t>
      </w:r>
    </w:p>
    <w:p>
      <w:pPr>
        <w:pStyle w:val="null3"/>
        <w:outlineLvl w:val="3"/>
      </w:pPr>
      <w:r>
        <w:rPr>
          <w:sz w:val="24"/>
          <w:b/>
        </w:rPr>
        <w:t>采购计划编号：</w:t>
      </w:r>
      <w:r>
        <w:rPr>
          <w:sz w:val="24"/>
          <w:b/>
        </w:rPr>
        <w:t>441521-2024-03152</w:t>
      </w:r>
    </w:p>
    <w:p>
      <w:pPr>
        <w:pStyle w:val="null3"/>
        <w:jc w:val="center"/>
        <w:outlineLvl w:val="3"/>
      </w:pPr>
      <w:r>
        <w:rPr>
          <w:sz w:val="24"/>
          <w:b/>
        </w:rPr>
        <w:t>采购项目编号：</w:t>
      </w:r>
      <w:r>
        <w:rPr>
          <w:sz w:val="24"/>
          <w:b/>
        </w:rPr>
        <w:t>GDHYCG20241217</w:t>
      </w:r>
    </w:p>
    <w:p>
      <w:pPr>
        <w:pStyle w:val="null3"/>
        <w:jc w:val="center"/>
        <w:outlineLvl w:val="3"/>
      </w:pPr>
      <w:r>
        <w:rPr>
          <w:sz w:val="24"/>
          <w:b/>
        </w:rPr>
        <w:t>所响应采购包：第 包</w:t>
      </w:r>
    </w:p>
    <w:p>
      <w:pPr>
        <w:pStyle w:val="null3"/>
        <w:outlineLvl w:val="3"/>
      </w:pPr>
      <w:r>
        <w:rPr>
          <w:sz w:val="24"/>
          <w:b/>
        </w:rPr>
        <w:t>（供应商名称）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响应文件目录</w:t>
      </w:r>
    </w:p>
    <w:p>
      <w:pPr>
        <w:pStyle w:val="null3"/>
        <w:ind w:firstLine="480"/>
      </w:pPr>
      <w:r>
        <w:rPr/>
        <w:t>一、响应承诺函</w:t>
      </w:r>
    </w:p>
    <w:p>
      <w:pPr>
        <w:pStyle w:val="null3"/>
        <w:ind w:firstLine="480"/>
      </w:pPr>
      <w:r>
        <w:rPr/>
        <w:t>二、首轮报价表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七、响应保证金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十四、联合体共同响应协议书</w:t>
      </w:r>
    </w:p>
    <w:p>
      <w:pPr>
        <w:pStyle w:val="null3"/>
        <w:ind w:firstLine="480"/>
      </w:pPr>
      <w:r>
        <w:rPr/>
        <w:t>十五、供应商业绩情况表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响 应 承 诺 函</w:t>
      </w:r>
    </w:p>
    <w:p>
      <w:pPr>
        <w:pStyle w:val="null3"/>
        <w:ind w:firstLine="480"/>
      </w:pPr>
      <w:r>
        <w:rPr/>
        <w:t xml:space="preserve"> 致：</w:t>
      </w:r>
      <w:r>
        <w:rPr/>
        <w:t>广东弘业建设项目管理有限公司</w:t>
      </w:r>
    </w:p>
    <w:p>
      <w:pPr>
        <w:pStyle w:val="null3"/>
        <w:ind w:firstLine="480"/>
      </w:pPr>
      <w:r>
        <w:rPr/>
        <w:t xml:space="preserve"> 你方组织的</w:t>
      </w:r>
      <w:r>
        <w:rPr>
          <w:u w:val="single"/>
        </w:rPr>
        <w:t>“</w:t>
      </w:r>
      <w:r>
        <w:rPr>
          <w:u w:val="single"/>
        </w:rPr>
        <w:t>海丰县2024年有害生物防治项目（第二批）</w:t>
      </w:r>
      <w:r>
        <w:rPr>
          <w:u w:val="single"/>
        </w:rPr>
        <w:t>”</w:t>
      </w:r>
      <w:r>
        <w:rPr/>
        <w:t>项目的竞争性磋商[采购项目编号为：</w:t>
      </w:r>
      <w:r>
        <w:rPr>
          <w:u w:val="single"/>
        </w:rPr>
        <w:t>GDHYCG20241217</w:t>
      </w:r>
      <w:r>
        <w:rPr/>
        <w:t>]，我方愿参与响应。</w:t>
      </w:r>
    </w:p>
    <w:p>
      <w:pPr>
        <w:pStyle w:val="null3"/>
        <w:ind w:firstLine="480"/>
      </w:pPr>
      <w:r>
        <w:rPr/>
        <w:t>我方确认收到贵方提供的</w:t>
      </w:r>
      <w:r>
        <w:rPr>
          <w:u w:val="single"/>
        </w:rPr>
        <w:t>“</w:t>
      </w:r>
      <w:r>
        <w:rPr>
          <w:u w:val="single"/>
        </w:rPr>
        <w:t>海丰县2024年有害生物防治项目（第二批）</w:t>
      </w:r>
      <w:r>
        <w:rPr>
          <w:u w:val="single"/>
        </w:rPr>
        <w:t>”</w:t>
      </w:r>
      <w:r>
        <w:rPr/>
        <w:t>项目的磋商文件的全部内容。</w:t>
      </w:r>
    </w:p>
    <w:p>
      <w:pPr>
        <w:pStyle w:val="null3"/>
        <w:ind w:firstLine="480"/>
      </w:pPr>
      <w:r>
        <w:rPr/>
        <w:t xml:space="preserve"> 我方在参与响应前已详细研究了磋商文件的所有内容，包括澄清、修改文件（如果有）和所有已提供的参考资料以及有关附件，我方完全明白并认为此磋商文件没有倾向性，也不存在排斥潜在供应商的内容，我方同意磋商文件的相关条款，放弃对磋商文件提出误解和质疑的一切权利。</w:t>
      </w:r>
    </w:p>
    <w:p>
      <w:pPr>
        <w:pStyle w:val="null3"/>
        <w:ind w:firstLine="480"/>
      </w:pPr>
      <w:r>
        <w:rPr>
          <w:u w:val="single"/>
        </w:rPr>
        <w:t>(供应商名称)</w:t>
      </w:r>
      <w:r>
        <w:rPr/>
        <w:t>作为供应商正式授权</w:t>
      </w:r>
      <w:r>
        <w:rPr>
          <w:u w:val="single"/>
        </w:rPr>
        <w:t>(授权代表全名,职务)</w:t>
      </w:r>
      <w:r>
        <w:rPr/>
        <w:t>代表我方全权处理有关本响应的一切事宜。</w:t>
      </w:r>
    </w:p>
    <w:p>
      <w:pPr>
        <w:pStyle w:val="null3"/>
        <w:ind w:firstLine="480"/>
      </w:pPr>
      <w:r>
        <w:rPr/>
        <w:t>我方已完全明白磋商文件的所有条款要求，并申明如下：</w:t>
      </w:r>
    </w:p>
    <w:p>
      <w:pPr>
        <w:pStyle w:val="null3"/>
        <w:ind w:firstLine="480"/>
      </w:pPr>
      <w:r>
        <w:rPr/>
        <w:t>（一）按磋商文件提供的全部货物（工程、服务）与相关服务的磋商总价详见《首轮报价表》。</w:t>
      </w:r>
    </w:p>
    <w:p>
      <w:pPr>
        <w:pStyle w:val="null3"/>
        <w:ind w:firstLine="480"/>
      </w:pPr>
      <w:r>
        <w:rPr/>
        <w:t xml:space="preserve"> （二）本响应文件的有效期为</w:t>
      </w:r>
      <w:r>
        <w:rPr/>
        <w:t>从提交投标（响应）文件的截止之日起90日历天</w:t>
      </w:r>
      <w:r>
        <w:rPr/>
        <w:t>。如成交，有效期将延至合同终止日为止。在此提交的资格证明文件均至响应截止日有效，如有在响应有效期内失效的，我方承诺在成交后补齐一切手续，保证所有资格证明文件能在签订采购合同时直至采购合同终止日有效。</w:t>
      </w:r>
    </w:p>
    <w:p>
      <w:pPr>
        <w:pStyle w:val="null3"/>
        <w:ind w:firstLine="480"/>
      </w:pPr>
      <w:r>
        <w:rPr/>
        <w:t>（三）我方明白并同意，在规定的开启日之后，响应有效期之内撤回响应或成交后不按规定与采购人签订合同或不提交履约保证金, 则贵方将不予退还响应保证金。</w:t>
      </w:r>
    </w:p>
    <w:p>
      <w:pPr>
        <w:pStyle w:val="null3"/>
        <w:ind w:firstLine="480"/>
      </w:pPr>
      <w:r>
        <w:rPr/>
        <w:t>（四）我方愿意向贵方提供任何与本项报价有关的数据、情况和技术资料。若贵方需要，我方愿意提供我方作出的一切承诺的证明材料。</w:t>
      </w:r>
    </w:p>
    <w:p>
      <w:pPr>
        <w:pStyle w:val="null3"/>
        <w:ind w:firstLine="480"/>
      </w:pPr>
      <w:r>
        <w:rPr/>
        <w:t>（五）我方理解贵方不一定接受最低磋商价或任何贵方可能收到的响应。</w:t>
      </w:r>
    </w:p>
    <w:p>
      <w:pPr>
        <w:pStyle w:val="null3"/>
        <w:ind w:firstLine="480"/>
      </w:pPr>
      <w:r>
        <w:rPr/>
        <w:t>（六）我方如果成交，将保证履行磋商文件及其澄清、修改文件（如果有）中的全部责任和义务，按质、按量、按期完成《采购需求》及《合同书》中的全部任务。</w:t>
      </w:r>
    </w:p>
    <w:p>
      <w:pPr>
        <w:pStyle w:val="null3"/>
        <w:ind w:firstLine="480"/>
      </w:pPr>
      <w:r>
        <w:rPr/>
        <w:t>（七）我方作为法律、财务和运作上独立于采购人、采购代理机构的供应商，在此保证所提交的所有文件和全部说明是真实的和正确的。</w:t>
      </w:r>
    </w:p>
    <w:p>
      <w:pPr>
        <w:pStyle w:val="null3"/>
        <w:ind w:firstLine="480"/>
      </w:pPr>
      <w:r>
        <w:rPr/>
        <w:t>（八）我方磋商报价已包含应向知识产权所有权人支付的所有相关税费，并保证采购人在中国使用我方提供的货物时，如有第三方提出侵犯其知识产权主张的，责任由我方承担。</w:t>
      </w:r>
    </w:p>
    <w:p>
      <w:pPr>
        <w:pStyle w:val="null3"/>
        <w:ind w:firstLine="480"/>
      </w:pPr>
      <w:r>
        <w:rPr/>
        <w:t>（九）我方接受采购人委托向贵方支付代理服务费，项目总报价已包含代理服务费，如果被确定为成交供应商，承诺向贵方足额支付。（若采购人支付代理服务费，则此条不适用）</w:t>
      </w:r>
    </w:p>
    <w:p>
      <w:pPr>
        <w:pStyle w:val="null3"/>
        <w:ind w:firstLine="480"/>
      </w:pPr>
      <w:r>
        <w:rPr/>
        <w:t>（十）我方与其他供应商不存在单位负责人为同一人或者存在直接控股、管理关系。</w:t>
      </w:r>
    </w:p>
    <w:p>
      <w:pPr>
        <w:pStyle w:val="null3"/>
        <w:ind w:firstLine="480"/>
      </w:pPr>
      <w:r>
        <w:rPr/>
        <w:t>（十一）我方承诺未为本项目提供整体设计、规范编制或者项目管理、监理、检测等服务。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（十三）我方承诺遵守《中华人民共和国民法典》有关规定和《中华人民共和国妇女权益保障法》中关于“劳动和社会保障权益”的有关要求。</w:t>
      </w:r>
    </w:p>
    <w:p>
      <w:pPr>
        <w:pStyle w:val="null3"/>
        <w:ind w:firstLine="480"/>
      </w:pPr>
      <w:r>
        <w:rPr/>
        <w:t>（十四）我方具备《中华人民共和国政府采购法》第二十二条规定的条件，承诺如下：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以上内容如有虚假或与事实不符的，磋商小组可将我方做无效响应处理，我方愿意承担相应的法律责任。</w:t>
      </w:r>
    </w:p>
    <w:p>
      <w:pPr>
        <w:pStyle w:val="null3"/>
        <w:ind w:firstLine="480"/>
      </w:pPr>
      <w:r>
        <w:rPr/>
        <w:t>（十五）我方对在本函及响应文件中所作的所有承诺承担法律责任。</w:t>
      </w:r>
    </w:p>
    <w:p>
      <w:pPr>
        <w:pStyle w:val="null3"/>
        <w:ind w:firstLine="480"/>
      </w:pPr>
      <w:r>
        <w:rPr/>
        <w:t>（十六）所有与本磋商有关的函件请发往下列地址：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jc w:val="right"/>
      </w:pPr>
      <w:r>
        <w:rPr/>
        <w:t xml:space="preserve"> 法定代表人或授权委托人（签字）：__________________</w:t>
      </w:r>
    </w:p>
    <w:p>
      <w:pPr>
        <w:pStyle w:val="null3"/>
        <w:jc w:val="right"/>
      </w:pPr>
      <w:r>
        <w:rPr/>
        <w:t xml:space="preserve"> 加盖公章：__________________</w:t>
      </w:r>
    </w:p>
    <w:p>
      <w:pPr>
        <w:pStyle w:val="null3"/>
        <w:jc w:val="right"/>
      </w:pPr>
      <w:r>
        <w:rPr/>
        <w:t xml:space="preserve"> 日  期：__________________</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首轮报价表</w:t>
      </w:r>
    </w:p>
    <w:p>
      <w:pPr>
        <w:pStyle w:val="null3"/>
        <w:ind w:firstLine="480"/>
      </w:pPr>
      <w:r>
        <w:rPr/>
        <w:t xml:space="preserve"> 注:采用电子响应的项目无需编制该表格，响应供应商应在投标客户端【报价部分】进行填写，投标客户端软件将自动根据供应商填写信息在线生成首轮报价表﹐若在响应文件中出现非系统生成的首轮报价表﹐且与投标客户端生成的首轮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响应报价（元/%）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jc w:val="center"/>
            </w:pPr>
            <w:r>
              <w:rPr/>
              <w:t xml:space="preserve"> 1</w:t>
            </w:r>
          </w:p>
        </w:tc>
        <w:tc>
          <w:tcPr>
            <w:tcW w:type="dxa" w:w="1661"/>
          </w:tcPr>
          <w:p/>
        </w:tc>
        <w:tc>
          <w:tcPr>
            <w:tcW w:type="dxa" w:w="1661"/>
          </w:tcPr>
          <w:p/>
        </w:tc>
        <w:tc>
          <w:tcPr>
            <w:tcW w:type="dxa" w:w="1661"/>
          </w:tcPr>
          <w:p/>
        </w:tc>
        <w:tc>
          <w:tcPr>
            <w:tcW w:type="dxa" w:w="166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采用电子响应的项目无需编制该表格，响应供应商应在投标客户端【报价部分】进行填写，投标客户端软件将自动根据供应商填写信息在线生成分项报价表，若在响应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p>
      <w:pPr>
        <w:pStyle w:val="null3"/>
        <w:ind w:firstLine="480"/>
      </w:pPr>
      <w:r>
        <w:rPr/>
        <w:t>采购包：</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jc w:val="center"/>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w:t>
      </w:r>
    </w:p>
    <w:p>
      <w:pPr>
        <w:pStyle w:val="null3"/>
        <w:ind w:firstLine="480"/>
      </w:pPr>
      <w:r>
        <w:rPr/>
        <w:t>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2.“节能产品、环境标志产品”须填写认证证书编号，并在对应“节能产品”、“环境标志产品”栏中勾选，同时提供有效期内的证书复印件（加盖供应商公章）</w:t>
      </w:r>
    </w:p>
    <w:p>
      <w:pPr>
        <w:pStyle w:val="null3"/>
        <w:jc w:val="right"/>
      </w:pPr>
      <w:r>
        <w:rPr/>
        <w:t xml:space="preserve"> 供应商名称（盖章）：__________________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格式五：</w:t>
      </w:r>
    </w:p>
    <w:p>
      <w:pPr>
        <w:pStyle w:val="null3"/>
        <w:ind w:firstLine="480"/>
      </w:pPr>
      <w:r>
        <w:rPr/>
        <w:t>（供应商可使用下述格式，也可使用广东省工商行政管理局统一印制的法定代表人证明书格式）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经营范围：__________________________________________________________</w:t>
      </w:r>
    </w:p>
    <w:p>
      <w:pPr>
        <w:pStyle w:val="null3"/>
        <w:jc w:val="right"/>
      </w:pPr>
      <w:r>
        <w:rPr/>
        <w:t xml:space="preserve"> 供应商名称（盖章）：__________________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（对于银行、保险、电信、邮政、铁路等行业以及获得总公司响应授权的分公司，可以提供响应分支机构负责人授权书）</w:t>
      </w:r>
    </w:p>
    <w:p>
      <w:pPr>
        <w:pStyle w:val="null3"/>
        <w:jc w:val="center"/>
        <w:outlineLvl w:val="3"/>
      </w:pPr>
      <w:r>
        <w:rPr>
          <w:sz w:val="24"/>
          <w:b/>
        </w:rPr>
        <w:t>法定代表人授权书</w:t>
      </w:r>
    </w:p>
    <w:p>
      <w:pPr>
        <w:pStyle w:val="null3"/>
        <w:ind w:firstLine="480"/>
      </w:pPr>
      <w:r>
        <w:rPr/>
        <w:t>致：</w:t>
      </w:r>
      <w:r>
        <w:rPr/>
        <w:t>广东弘业建设项目管理有限公司</w:t>
      </w:r>
    </w:p>
    <w:p>
      <w:pPr>
        <w:pStyle w:val="null3"/>
        <w:ind w:firstLine="480"/>
      </w:pPr>
      <w:r>
        <w:rPr/>
        <w:t xml:space="preserve">本授权书声明：________是注册于 </w:t>
      </w:r>
      <w:r>
        <w:rPr>
          <w:u w:val="single"/>
        </w:rPr>
        <w:t>（国家或地区）</w:t>
      </w:r>
      <w:r>
        <w:rPr/>
        <w:t>的</w:t>
      </w:r>
      <w:r>
        <w:rPr>
          <w:u w:val="single"/>
        </w:rPr>
        <w:t>（供应商名称）</w:t>
      </w:r>
      <w:r>
        <w:rPr/>
        <w:t xml:space="preserve">的法定代表人，现任________职务，有效证件号码：________________。现授权 </w:t>
      </w:r>
      <w:r>
        <w:rPr>
          <w:u w:val="single"/>
        </w:rPr>
        <w:t>（姓名、职务）</w:t>
      </w:r>
      <w:r>
        <w:rPr/>
        <w:t xml:space="preserve"> 作为我公司的全权代理人，就“</w:t>
      </w:r>
      <w:r>
        <w:rPr/>
        <w:t>海丰县2024年有害生物防治项目（第二批）</w:t>
      </w:r>
      <w:r>
        <w:rPr/>
        <w:t>”项目采购[采购项目编号为</w:t>
      </w:r>
      <w:r>
        <w:rPr/>
        <w:t>GDHYCG20241217</w:t>
      </w:r>
      <w:r>
        <w:rPr/>
        <w:t>]的响应和合同执行，以我方的名义处理一切与之有关的事宜。</w:t>
      </w:r>
    </w:p>
    <w:p>
      <w:pPr>
        <w:pStyle w:val="null3"/>
        <w:ind w:firstLine="480"/>
      </w:pPr>
      <w:r>
        <w:rPr/>
        <w:t>本授权书于________年________月________日签字生效，特此声明。</w:t>
      </w:r>
    </w:p>
    <w:p>
      <w:pPr>
        <w:pStyle w:val="null3"/>
        <w:jc w:val="right"/>
      </w:pPr>
      <w:r>
        <w:rPr/>
        <w:t xml:space="preserve"> 供应商（盖章）：__________________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被授权人（签字或盖章）：__________________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格式七：</w:t>
      </w:r>
    </w:p>
    <w:p>
      <w:pPr>
        <w:pStyle w:val="null3"/>
        <w:jc w:val="center"/>
        <w:outlineLvl w:val="3"/>
      </w:pPr>
      <w:r>
        <w:rPr>
          <w:sz w:val="24"/>
          <w:b/>
        </w:rPr>
        <w:t>响应保证金</w:t>
      </w:r>
    </w:p>
    <w:p>
      <w:pPr>
        <w:pStyle w:val="null3"/>
        <w:ind w:firstLine="480"/>
      </w:pPr>
      <w:r>
        <w:rPr/>
        <w:t>响应文件要求递交响应保证金的，供应商应在此提供保证金的凭证的复印件。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海丰县林业局</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中小企业声明函（所投产品制造商为中小企业时提交本函，所属行业应符合磋商文件中明确的本项目所属行业）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 xml:space="preserve"> 2：供应商应当对其出具的《中小企业声明函》真实性负责，供应商出具的《中小企业声明函》内容不实的，属于提供虚假材料谋取成交。在实际操作中，供应商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中小企业声明函（承建本项目工程为中小企业或者承接本项目服务为中小企业时提交本函，所属行业应符合磋商文件中明确的本项目所属行业）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2：供应商应当自行核实是否属于小微企业，并认真填写声明函，若有虚假将追究其责任。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jc w:val="right"/>
      </w:pPr>
      <w:r>
        <w:rPr/>
        <w:t>单位名称（盖章）：__________________</w:t>
      </w:r>
    </w:p>
    <w:p>
      <w:pPr>
        <w:pStyle w:val="null3"/>
        <w:jc w:val="right"/>
      </w:pPr>
      <w:r>
        <w:rPr/>
        <w:t xml:space="preserve"> 日  期：__________________</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联合体共同响应协议书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自愿组成联合体，以一个供应商的身份共同参加（采购项目名称）（采购项目编号）的响应活动。经各方充分协商一致，就项目的响应和合同实施阶段的有关事务协商一致订立协议如下：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共同组成一个联合体，以一个供应商的身份共同参加本项目的响应。（甲公司全称）、（乙公司全称）、（……公司全称）作为联合体成员，若成交，联合体各方共同与（采购人）签订政府采购合同。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1.（甲公司全称）作为联合体的牵头单位，代表联合体双方负责响应和合同实施阶段的主办、协调工作。</w:t>
      </w:r>
    </w:p>
    <w:p>
      <w:pPr>
        <w:pStyle w:val="null3"/>
        <w:ind w:firstLine="480"/>
      </w:pPr>
      <w:r>
        <w:rPr/>
        <w:t>2.联合体将严格按照文件的各项要求，递交响应文件，切实执行一切合同文件，共同承担合同规定的一切义务和责任，同时按照内部职责的划分，承担自身所负的责任和风险，在法律上承担连带责任。</w:t>
      </w:r>
    </w:p>
    <w:p>
      <w:pPr>
        <w:pStyle w:val="null3"/>
        <w:ind w:firstLine="480"/>
      </w:pPr>
      <w:r>
        <w:rPr/>
        <w:t>3.如果本联合体成交，（甲公司全称）负责本项目___________部分，（乙公司全称）负责本项目___________部分。</w:t>
      </w:r>
    </w:p>
    <w:p>
      <w:pPr>
        <w:pStyle w:val="null3"/>
        <w:ind w:firstLine="480"/>
      </w:pPr>
      <w:r>
        <w:rPr/>
        <w:t>4.如成交，联合体各方共同与（采购人）签订合同书，并就成交项目向采购人负责有连带的和各自的法律责任；</w:t>
      </w:r>
    </w:p>
    <w:p>
      <w:pPr>
        <w:pStyle w:val="null3"/>
        <w:ind w:firstLine="480"/>
      </w:pPr>
      <w:r>
        <w:rPr/>
        <w:t>5.联合体成员（公司全称）为（请填写：小型、微型）企业，将承担合同总金额____%的工作内容（联合体成员中有小型、微型企业时适用）。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五、本协议在自签署之日起生效，有效期内有效，如获成交资格，合同有效期延续至合同履行完毕之日。</w:t>
      </w:r>
    </w:p>
    <w:p>
      <w:pPr>
        <w:pStyle w:val="null3"/>
        <w:ind w:firstLine="480"/>
      </w:pPr>
      <w:r>
        <w:rPr/>
        <w:t>六、本协议书正本一式____份，随响应文件装订____份，送采购人____份，联合体成员各一份；副本一式____份，联合体成员各执____份。</w:t>
      </w:r>
    </w:p>
    <w:p>
      <w:pPr>
        <w:pStyle w:val="null3"/>
        <w:jc w:val="right"/>
      </w:pPr>
      <w:r>
        <w:rPr/>
        <w:t xml:space="preserve"> 甲公司全称：____（盖章）________，乙公司全称：____（盖章）________，……公司全称：____（盖章）________，</w:t>
      </w:r>
    </w:p>
    <w:p>
      <w:pPr>
        <w:pStyle w:val="null3"/>
        <w:jc w:val="right"/>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响应供应商业绩情况表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jc w:val="center"/>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根据上述业绩情况，按磋商文件要求附销售或服务合同复印件。</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磋商文件规定的技术和服务要求</w:t>
            </w:r>
          </w:p>
        </w:tc>
        <w:tc>
          <w:tcPr>
            <w:tcW w:type="dxa" w:w="923"/>
          </w:tcPr>
          <w:p>
            <w:pPr>
              <w:pStyle w:val="null3"/>
            </w:pPr>
            <w:r>
              <w:rPr/>
              <w:t>响应文件响应的具体内容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1.“磋商文件规定的技术和服务要求”项下填写的内容应与磋商文件中采购需求的 “技术要求”的内容保持一致。供应商应当如实填写上表“响应文件响应的具体内容”处内容，对磋商文件提出的要求和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2.参数性质栏标注“★”、“▲”号条款标志，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3.“是否偏离”项下应按下列规定填写：优于的，填写“正偏离”；符合的，填写“无偏离”；低于的，填写“负偏离”。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磋商文件规定的商务条件</w:t>
            </w:r>
          </w:p>
        </w:tc>
        <w:tc>
          <w:tcPr>
            <w:tcW w:type="dxa" w:w="1187"/>
          </w:tcPr>
          <w:p>
            <w:pPr>
              <w:pStyle w:val="null3"/>
            </w:pPr>
            <w:r>
              <w:rPr/>
              <w:t xml:space="preserve"> 响应文件响应的具体内容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jc w:val="center"/>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1.“磋商文件规定的商务条件”项下填写的内容应与磋商文件中采购需求的 “商务要求”的内容保持一致。</w:t>
      </w:r>
    </w:p>
    <w:p>
      <w:pPr>
        <w:pStyle w:val="null3"/>
        <w:ind w:firstLine="480"/>
      </w:pPr>
      <w:r>
        <w:rPr/>
        <w:t xml:space="preserve"> 2.供应商应当如实填写上表“响应文件响应的具体内容”处内容，对磋商文件规定的商务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3.参数性质栏标注“★”、“▲”号条款标志，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4.“是否偏离”项下应按下列规定填写：优于的，填写“正偏离”；符合的，填写“无偏离”；低于的，填写“负偏离”。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jc w:val="center"/>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jc w:val="center"/>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1.磋商文件要求提供的其他资料。</w:t>
      </w:r>
    </w:p>
    <w:p>
      <w:pPr>
        <w:pStyle w:val="null3"/>
        <w:ind w:firstLine="480"/>
      </w:pPr>
      <w:r>
        <w:rPr/>
        <w:t>2.供应商认为需提供的其他资料。</w:t>
      </w:r>
    </w:p>
    <w:p>
      <w:pPr>
        <w:pStyle w:val="null3"/>
        <w:ind w:firstLine="480"/>
      </w:pPr>
      <w:r>
        <w:rPr/>
        <w:t xml:space="preserve">  </w:t>
      </w:r>
    </w:p>
    <w:p>
      <w:pPr>
        <w:pStyle w:val="null3"/>
        <w:outlineLvl w:val="2"/>
      </w:pPr>
      <w:r>
        <w:rPr>
          <w:sz w:val="28"/>
          <w:b/>
        </w:rPr>
        <w:t>格式二十：</w:t>
      </w:r>
    </w:p>
    <w:p>
      <w:pPr>
        <w:pStyle w:val="null3"/>
        <w:ind w:firstLine="480"/>
      </w:pPr>
      <w:r>
        <w:rPr/>
        <w:t>（若采购人支付代理服务费，则无需出具此承诺书）</w:t>
      </w:r>
    </w:p>
    <w:p>
      <w:pPr>
        <w:pStyle w:val="null3"/>
        <w:jc w:val="center"/>
        <w:outlineLvl w:val="3"/>
      </w:pPr>
      <w:r>
        <w:rPr>
          <w:sz w:val="24"/>
          <w:b/>
        </w:rPr>
        <w:t>代理服务费缴纳承诺函</w:t>
      </w:r>
    </w:p>
    <w:p>
      <w:pPr>
        <w:pStyle w:val="null3"/>
        <w:ind w:firstLine="480"/>
      </w:pPr>
      <w:r>
        <w:rPr/>
        <w:t>致：</w:t>
      </w:r>
      <w:r>
        <w:rPr/>
        <w:t>广东弘业建设项目管理有限公司</w:t>
      </w:r>
    </w:p>
    <w:p>
      <w:pPr>
        <w:pStyle w:val="null3"/>
        <w:ind w:firstLine="480"/>
      </w:pPr>
      <w:r>
        <w:rPr/>
        <w:t>我单位参加贵公司组织的</w:t>
      </w:r>
      <w:r>
        <w:rPr/>
        <w:t>海丰县2024年有害生物防治项目（第二批）</w:t>
      </w:r>
      <w:r>
        <w:rPr/>
        <w:t>（采购项目编号：</w:t>
      </w:r>
      <w:r>
        <w:rPr/>
        <w:t>GDHYCG20241217</w:t>
      </w:r>
      <w:r>
        <w:rPr/>
        <w:t>），作出如下承诺：</w:t>
      </w:r>
    </w:p>
    <w:p>
      <w:pPr>
        <w:pStyle w:val="null3"/>
        <w:ind w:firstLine="480"/>
      </w:pPr>
      <w:r>
        <w:rPr/>
        <w:t>1、完全响应磋商文件中要求的条款，若提供虚假资料将作为无效响应处理，并接受相关部门的处罚。</w:t>
      </w:r>
    </w:p>
    <w:p>
      <w:pPr>
        <w:pStyle w:val="null3"/>
        <w:ind w:firstLine="480"/>
      </w:pPr>
      <w:r>
        <w:rPr/>
        <w:t xml:space="preserve"> 2、我单位若被选为成交供应商，承诺按照规定缴纳代理服务费。代理服务费包括组织专家对审查供应商资格、答疑、组织磋商、评审、确定成交供应商，以及提供采购前期咨询、协调合同的签订等服务，按______支付。</w:t>
      </w:r>
    </w:p>
    <w:p>
      <w:pPr>
        <w:pStyle w:val="null3"/>
        <w:ind w:firstLine="480"/>
      </w:pPr>
      <w:r>
        <w:rPr/>
        <w:t>3、如我公司被选为成交供应商，在成交结果公示后3日内向采购代理机构指定账户缴付代理服务费。</w:t>
      </w:r>
    </w:p>
    <w:p>
      <w:pPr>
        <w:pStyle w:val="null3"/>
        <w:ind w:firstLine="480"/>
      </w:pPr>
      <w:r>
        <w:rPr/>
        <w:t>特此承诺！</w:t>
      </w:r>
    </w:p>
    <w:p>
      <w:pPr>
        <w:pStyle w:val="null3"/>
        <w:jc w:val="right"/>
      </w:pPr>
      <w:r>
        <w:rPr/>
        <w:t>供应商法定名称（公章）；_____________________</w:t>
      </w:r>
    </w:p>
    <w:p>
      <w:pPr>
        <w:pStyle w:val="null3"/>
        <w:jc w:val="right"/>
      </w:pPr>
      <w:r>
        <w:rPr/>
        <w:t>供应商法定地址：_____________________</w:t>
      </w:r>
    </w:p>
    <w:p>
      <w:pPr>
        <w:pStyle w:val="null3"/>
        <w:jc w:val="right"/>
      </w:pPr>
      <w:r>
        <w:rPr/>
        <w:t>供应商授权代表（签字或盖章）：_____________________</w:t>
      </w:r>
    </w:p>
    <w:p>
      <w:pPr>
        <w:pStyle w:val="null3"/>
        <w:jc w:val="right"/>
      </w:pPr>
      <w:r>
        <w:rPr/>
        <w:t>电 话：_____________________</w:t>
      </w:r>
    </w:p>
    <w:p>
      <w:pPr>
        <w:pStyle w:val="null3"/>
        <w:jc w:val="right"/>
      </w:pPr>
      <w:r>
        <w:rPr/>
        <w:t>传 真：_____________________</w:t>
      </w:r>
    </w:p>
    <w:p>
      <w:pPr>
        <w:pStyle w:val="null3"/>
        <w:jc w:val="right"/>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供应商需要采购人提供的附加条件</w:t>
            </w:r>
          </w:p>
        </w:tc>
      </w:tr>
      <w:tr>
        <w:tc>
          <w:tcPr>
            <w:tcW w:type="dxa" w:w="4153"/>
          </w:tcPr>
          <w:p>
            <w:pPr>
              <w:pStyle w:val="null3"/>
              <w:jc w:val="center"/>
            </w:pPr>
            <w:r>
              <w:rPr/>
              <w:t xml:space="preserve"> 1</w:t>
            </w:r>
          </w:p>
        </w:tc>
        <w:tc>
          <w:tcPr>
            <w:tcW w:type="dxa" w:w="4153"/>
          </w:tcPr>
          <w:p/>
        </w:tc>
      </w:tr>
      <w:tr>
        <w:tc>
          <w:tcPr>
            <w:tcW w:type="dxa" w:w="4153"/>
          </w:tcPr>
          <w:p>
            <w:pPr>
              <w:pStyle w:val="null3"/>
              <w:jc w:val="center"/>
            </w:pPr>
            <w:r>
              <w:rPr/>
              <w:t xml:space="preserve"> 2</w:t>
            </w:r>
          </w:p>
        </w:tc>
        <w:tc>
          <w:tcPr>
            <w:tcW w:type="dxa" w:w="4153"/>
          </w:tcPr>
          <w:p/>
        </w:tc>
      </w:tr>
      <w:tr>
        <w:tc>
          <w:tcPr>
            <w:tcW w:type="dxa" w:w="4153"/>
          </w:tcPr>
          <w:p>
            <w:pPr>
              <w:pStyle w:val="null3"/>
              <w:jc w:val="center"/>
            </w:pPr>
            <w:r>
              <w:rPr/>
              <w:t xml:space="preserve"> 3</w:t>
            </w:r>
          </w:p>
        </w:tc>
        <w:tc>
          <w:tcPr>
            <w:tcW w:type="dxa" w:w="4153"/>
          </w:tcPr>
          <w:p/>
        </w:tc>
      </w:tr>
    </w:tbl>
    <w:p>
      <w:pPr>
        <w:pStyle w:val="null3"/>
        <w:ind w:firstLine="480"/>
      </w:pPr>
      <w:r>
        <w:rPr/>
        <w:t>注：供应商完成本项目需要采购人配合或提供的条件必须在上表列出，否则将视为供应商同意按现有条件完成本项目。如上表所列附加条件含有采购人不能接受的，将被视为响应无效。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说明：本部分格式为供应商提交询问函、质疑函、投诉函时使用，不属于响应文件格式的组成部分。</w:t>
      </w:r>
    </w:p>
    <w:p>
      <w:pPr>
        <w:pStyle w:val="null3"/>
        <w:jc w:val="center"/>
        <w:outlineLvl w:val="3"/>
      </w:pPr>
      <w:r>
        <w:rPr>
          <w:sz w:val="24"/>
          <w:b/>
        </w:rPr>
        <w:t>询问函</w:t>
      </w:r>
    </w:p>
    <w:p>
      <w:pPr>
        <w:pStyle w:val="null3"/>
        <w:ind w:firstLine="480"/>
      </w:pPr>
      <w:r>
        <w:rPr/>
        <w:t>广东弘业建设项目管理有限公司</w:t>
      </w:r>
    </w:p>
    <w:p>
      <w:pPr>
        <w:pStyle w:val="null3"/>
        <w:ind w:firstLine="480"/>
      </w:pPr>
      <w:r>
        <w:rPr/>
        <w:t>我单位已登记并准备参与“</w:t>
      </w:r>
      <w:r>
        <w:rPr/>
        <w:t>海丰县2024年有害生物防治项目（第二批）</w:t>
      </w:r>
      <w:r>
        <w:rPr/>
        <w:t>”项目（采购项目编号：</w:t>
      </w:r>
      <w:r>
        <w:rPr/>
        <w:t>GDHYCG20241217</w:t>
      </w:r>
      <w:r>
        <w:rPr/>
        <w:t xml:space="preserve"> ）的响应活动，现有以下几个内容（或条款）存在疑问（或无法理解），特提出询问。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ind w:firstLine="480"/>
      </w:pPr>
      <w:r>
        <w:rPr/>
        <w:t>询问人：（公章）</w:t>
      </w:r>
    </w:p>
    <w:p>
      <w:pPr>
        <w:pStyle w:val="null3"/>
        <w:ind w:firstLine="480"/>
      </w:pPr>
      <w:r>
        <w:rPr/>
        <w:t>法定代表人（授权代表）：</w:t>
      </w:r>
    </w:p>
    <w:p>
      <w:pPr>
        <w:pStyle w:val="null3"/>
        <w:ind w:firstLine="480"/>
      </w:pPr>
      <w:r>
        <w:rPr/>
        <w:t>地址/邮编：</w:t>
      </w:r>
    </w:p>
    <w:p>
      <w:pPr>
        <w:pStyle w:val="null3"/>
        <w:ind w:firstLine="480"/>
      </w:pPr>
      <w:r>
        <w:rPr/>
        <w:t>电话/传真：</w:t>
      </w:r>
    </w:p>
    <w:p>
      <w:pPr>
        <w:pStyle w:val="null3"/>
        <w:jc w:val="right"/>
      </w:pPr>
      <w:r>
        <w:rPr/>
        <w:t xml:space="preserve"> 日  期：__________________</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质疑供应商：__________________________________________</w:t>
      </w:r>
    </w:p>
    <w:p>
      <w:pPr>
        <w:pStyle w:val="null3"/>
        <w:ind w:firstLine="480"/>
      </w:pPr>
      <w:r>
        <w:rPr/>
        <w:t>地址：_____________________邮编：_____________________</w:t>
      </w:r>
    </w:p>
    <w:p>
      <w:pPr>
        <w:pStyle w:val="null3"/>
        <w:ind w:firstLine="480"/>
      </w:pPr>
      <w:r>
        <w:rPr/>
        <w:t>联系：_____________________联系电话：_________________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磋商文件获取日期：_____________________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w:t>
      </w:r>
    </w:p>
    <w:p>
      <w:pPr>
        <w:pStyle w:val="null3"/>
        <w:ind w:firstLine="480"/>
      </w:pPr>
      <w:r>
        <w:rPr/>
        <w:t>……</w:t>
      </w:r>
    </w:p>
    <w:p>
      <w:pPr>
        <w:pStyle w:val="null3"/>
        <w:ind w:firstLine="480"/>
      </w:pPr>
      <w:r>
        <w:rPr/>
        <w:t>四、与质疑事项相关的质疑请求</w:t>
      </w:r>
    </w:p>
    <w:p>
      <w:pPr>
        <w:pStyle w:val="null3"/>
        <w:ind w:firstLine="480"/>
      </w:pPr>
      <w:r>
        <w:rPr/>
        <w:t>请求：</w:t>
      </w:r>
    </w:p>
    <w:p>
      <w:pPr>
        <w:pStyle w:val="null3"/>
        <w:jc w:val="right"/>
      </w:pPr>
      <w:r>
        <w:rPr/>
        <w:t xml:space="preserve"> 签字(签章)：_____________________ 公章：_____________________</w:t>
      </w:r>
    </w:p>
    <w:p>
      <w:pPr>
        <w:pStyle w:val="null3"/>
        <w:jc w:val="right"/>
      </w:pPr>
      <w:r>
        <w:rPr/>
        <w:t xml:space="preserve"> 日期：_____________________</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3.质疑供应商若对项目的某一采购包进行质疑，质疑函中应列明具体分包号。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磋商文件公告:</w:t>
      </w:r>
      <w:r>
        <w:rPr>
          <w:u w:val="single"/>
        </w:rPr>
        <w:t>是/否</w:t>
      </w:r>
      <w:r>
        <w:rPr/>
        <w:t xml:space="preserve"> 公告期限：</w:t>
      </w:r>
    </w:p>
    <w:p>
      <w:pPr>
        <w:pStyle w:val="null3"/>
        <w:ind w:firstLine="480"/>
      </w:pPr>
      <w:r>
        <w:rPr/>
        <w:t xml:space="preserve"> 采购结果公告:</w:t>
      </w:r>
      <w:r>
        <w:rPr>
          <w:u w:val="single"/>
        </w:rPr>
        <w:t>是/否</w:t>
      </w:r>
      <w:r>
        <w:rPr/>
        <w:t xml:space="preserve"> 公告期限：</w:t>
      </w:r>
    </w:p>
    <w:p>
      <w:pPr>
        <w:pStyle w:val="null3"/>
        <w:ind w:firstLine="480"/>
      </w:pPr>
      <w:r>
        <w:rPr/>
        <w:t xml:space="preserve"> 三、质疑基本情况</w:t>
      </w:r>
    </w:p>
    <w:p>
      <w:pPr>
        <w:pStyle w:val="null3"/>
        <w:ind w:firstLine="480"/>
      </w:pPr>
      <w:r>
        <w:rPr/>
        <w:t xml:space="preserve"> 投诉人于 ____年____月____日,向____________________提出质疑，质疑事项为：________________________________________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投诉事项1：____________________</w:t>
      </w:r>
    </w:p>
    <w:p>
      <w:pPr>
        <w:pStyle w:val="null3"/>
        <w:ind w:firstLine="480"/>
      </w:pPr>
      <w:r>
        <w:rPr/>
        <w:t xml:space="preserve"> 事实依据：____________________</w:t>
      </w:r>
    </w:p>
    <w:p>
      <w:pPr>
        <w:pStyle w:val="null3"/>
        <w:ind w:firstLine="480"/>
      </w:pPr>
      <w:r>
        <w:rPr/>
        <w:t xml:space="preserve"> 法律依据：____________________</w:t>
      </w:r>
    </w:p>
    <w:p>
      <w:pPr>
        <w:pStyle w:val="null3"/>
        <w:ind w:firstLine="480"/>
      </w:pPr>
      <w:r>
        <w:rPr/>
        <w:t xml:space="preserve"> 投诉事项2</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签字(签章)：_________公章________</w:t>
      </w:r>
    </w:p>
    <w:p>
      <w:pPr>
        <w:pStyle w:val="null3"/>
        <w:jc w:val="right"/>
      </w:pPr>
      <w:r>
        <w:rPr/>
        <w:t>日期：_____________________</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jc w:val="right"/>
      </w:pPr>
      <w:r>
        <w:rPr/>
        <w:t>编号：【】号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响应）担保函的形式交纳投标（响应）保证金。应投标（响应）人的申请，我方以保证的方式向你方提供如下投标（响应）保证金担保：</w:t>
      </w:r>
    </w:p>
    <w:p>
      <w:pPr>
        <w:pStyle w:val="null3"/>
        <w:ind w:firstLine="480"/>
      </w:pPr>
      <w:r>
        <w:rPr/>
        <w:t>一、保证责任的情形及保证金额</w:t>
      </w:r>
    </w:p>
    <w:p>
      <w:pPr>
        <w:pStyle w:val="null3"/>
        <w:ind w:firstLine="480"/>
      </w:pPr>
      <w:r>
        <w:rPr/>
        <w:t>（一）在投标（响应）人出现下列情形之一时，我方承担保证责任：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（二）我方承担保证责任的最高金额为人民币__________元（大写）即本项目的投标（响应）保证金金额。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我方的保证期间为：本保函自__年__月__日起生效，有效期至开标日后的90天内。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因本保函发生的纠纷，由你我双方协商解决，协商不成的，通过诉讼程序解决，诉讼管辖地法院为________法院。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jc w:val="right"/>
      </w:pPr>
      <w:r>
        <w:rPr/>
        <w:t>联系人：________________联系电话：_______________</w:t>
      </w:r>
    </w:p>
    <w:p>
      <w:pPr>
        <w:pStyle w:val="null3"/>
        <w:jc w:val="right"/>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rPr>
        <w:rFonts w:ascii="Wingdings" w:hAnsi="Wingdings" w:hint="default"/>
      </w:rPr>
    </w:lvl>
  </w:abstractNum>
  <w:abstractNum w:abstractNumId="1">
    <w:multiLevelType w:val="hybridMultilevel"/>
    <w:lvl w:ilvl="0">
      <w:start w:val="1"/>
      <w:numFmt w:val="decimal"/>
      <w:lvlText w:val="%1."/>
      <w:lvlJc w:val="left"/>
      <w:pPr>
        <w:ind w:left="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