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2C46F">
      <w:pPr>
        <w:widowControl/>
        <w:kinsoku w:val="0"/>
        <w:adjustRightInd w:val="0"/>
        <w:snapToGrid w:val="0"/>
        <w:jc w:val="center"/>
        <w:textAlignment w:val="baseline"/>
        <w:rPr>
          <w:rFonts w:asciiTheme="minorEastAsia" w:hAnsiTheme="minorEastAsia" w:eastAsiaTheme="minorEastAsia" w:cstheme="minorEastAsia"/>
          <w:snapToGrid w:val="0"/>
          <w:color w:val="auto"/>
          <w:spacing w:val="8"/>
          <w:sz w:val="32"/>
          <w:szCs w:val="32"/>
          <w:highlight w:val="none"/>
          <w:lang w:val="en-US" w:bidi="ar-SA"/>
          <w14:textOutline w14:w="5791" w14:cap="sq" w14:cmpd="sng" w14:algn="ctr">
            <w14:solidFill>
              <w14:srgbClr w14:val="000000"/>
            </w14:solidFill>
            <w14:prstDash w14:val="solid"/>
            <w14:bevel/>
          </w14:textOutline>
        </w:rPr>
      </w:pPr>
      <w:bookmarkStart w:id="2" w:name="_GoBack"/>
      <w:r>
        <w:rPr>
          <w:rFonts w:hint="eastAsia" w:asciiTheme="minorEastAsia" w:hAnsiTheme="minorEastAsia" w:eastAsiaTheme="minorEastAsia" w:cstheme="minorEastAsia"/>
          <w:snapToGrid w:val="0"/>
          <w:color w:val="auto"/>
          <w:spacing w:val="8"/>
          <w:sz w:val="32"/>
          <w:szCs w:val="32"/>
          <w:highlight w:val="none"/>
          <w:lang w:val="en-US" w:eastAsia="zh-CN" w:bidi="ar-SA"/>
          <w14:textOutline w14:w="5791" w14:cap="sq" w14:cmpd="sng" w14:algn="ctr">
            <w14:solidFill>
              <w14:srgbClr w14:val="000000"/>
            </w14:solidFill>
            <w14:prstDash w14:val="solid"/>
            <w14:bevel/>
          </w14:textOutline>
        </w:rPr>
        <w:t>2024年宜春市中心城区公共外环境病媒生物防制服务项目</w:t>
      </w:r>
      <w:r>
        <w:rPr>
          <w:rFonts w:hint="eastAsia" w:asciiTheme="minorEastAsia" w:hAnsiTheme="minorEastAsia" w:eastAsiaTheme="minorEastAsia" w:cstheme="minorEastAsia"/>
          <w:snapToGrid w:val="0"/>
          <w:color w:val="auto"/>
          <w:spacing w:val="8"/>
          <w:sz w:val="32"/>
          <w:szCs w:val="32"/>
          <w:highlight w:val="none"/>
          <w:lang w:val="en-US" w:bidi="ar-SA"/>
          <w14:textOutline w14:w="5791" w14:cap="sq" w14:cmpd="sng" w14:algn="ctr">
            <w14:solidFill>
              <w14:srgbClr w14:val="000000"/>
            </w14:solidFill>
            <w14:prstDash w14:val="solid"/>
            <w14:bevel/>
          </w14:textOutline>
        </w:rPr>
        <w:t>采购</w:t>
      </w:r>
      <w:bookmarkStart w:id="0" w:name="_bookmark5"/>
      <w:bookmarkEnd w:id="0"/>
      <w:bookmarkStart w:id="1" w:name="技术参数要求"/>
      <w:bookmarkEnd w:id="1"/>
      <w:r>
        <w:rPr>
          <w:rFonts w:hint="eastAsia" w:asciiTheme="minorEastAsia" w:hAnsiTheme="minorEastAsia" w:eastAsiaTheme="minorEastAsia" w:cstheme="minorEastAsia"/>
          <w:snapToGrid w:val="0"/>
          <w:color w:val="auto"/>
          <w:spacing w:val="8"/>
          <w:sz w:val="32"/>
          <w:szCs w:val="32"/>
          <w:highlight w:val="none"/>
          <w:lang w:val="en-US" w:bidi="ar-SA"/>
          <w14:textOutline w14:w="5791" w14:cap="sq" w14:cmpd="sng" w14:algn="ctr">
            <w14:solidFill>
              <w14:srgbClr w14:val="000000"/>
            </w14:solidFill>
            <w14:prstDash w14:val="solid"/>
            <w14:bevel/>
          </w14:textOutline>
        </w:rPr>
        <w:t>需求及技术（服务）参数要求</w:t>
      </w:r>
    </w:p>
    <w:p w14:paraId="48721146">
      <w:pPr>
        <w:pageBreakBefore w:val="0"/>
        <w:wordWrap/>
        <w:overflowPunct/>
        <w:topLinePunct w:val="0"/>
        <w:bidi w:val="0"/>
        <w:spacing w:before="78" w:line="500" w:lineRule="exact"/>
        <w:ind w:left="126" w:firstLine="466" w:firstLineChars="200"/>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lang w:val="en-US" w:eastAsia="zh-CN"/>
        </w:rPr>
        <w:t>1</w:t>
      </w:r>
      <w:r>
        <w:rPr>
          <w:rFonts w:hint="eastAsia" w:asciiTheme="minorEastAsia" w:hAnsiTheme="minorEastAsia" w:eastAsiaTheme="minorEastAsia" w:cstheme="minorEastAsia"/>
          <w:b/>
          <w:bCs/>
          <w:color w:val="auto"/>
          <w:spacing w:val="-4"/>
          <w:sz w:val="24"/>
          <w:szCs w:val="24"/>
        </w:rPr>
        <w:t>、采购需求一览表</w:t>
      </w:r>
    </w:p>
    <w:tbl>
      <w:tblPr>
        <w:tblStyle w:val="1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04"/>
        <w:gridCol w:w="6341"/>
      </w:tblGrid>
      <w:tr w14:paraId="395FE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 w:hRule="atLeast"/>
          <w:jc w:val="center"/>
        </w:trPr>
        <w:tc>
          <w:tcPr>
            <w:tcW w:w="2504" w:type="dxa"/>
            <w:tcBorders>
              <w:tl2br w:val="single" w:color="000000" w:sz="4" w:space="0"/>
            </w:tcBorders>
            <w:noWrap w:val="0"/>
            <w:vAlign w:val="top"/>
          </w:tcPr>
          <w:p w14:paraId="11E8DBFF">
            <w:pPr>
              <w:pStyle w:val="9"/>
              <w:pageBreakBefore w:val="0"/>
              <w:wordWrap/>
              <w:overflowPunct/>
              <w:topLinePunct w:val="0"/>
              <w:bidi w:val="0"/>
              <w:spacing w:before="112" w:line="500" w:lineRule="exact"/>
              <w:ind w:left="735" w:firstLine="464" w:firstLineChars="200"/>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snapToGrid w:val="0"/>
                <w:color w:val="auto"/>
                <w:spacing w:val="-4"/>
                <w:kern w:val="0"/>
                <w:sz w:val="24"/>
                <w:szCs w:val="24"/>
                <w:lang w:val="en-US" w:eastAsia="en-US" w:bidi="ar-SA"/>
              </w:rPr>
              <w:t>项目名称</w:t>
            </w:r>
          </w:p>
          <w:p w14:paraId="79D3F92B">
            <w:pPr>
              <w:pStyle w:val="9"/>
              <w:pageBreakBefore w:val="0"/>
              <w:wordWrap/>
              <w:overflowPunct/>
              <w:topLinePunct w:val="0"/>
              <w:bidi w:val="0"/>
              <w:spacing w:before="110" w:line="500" w:lineRule="exact"/>
              <w:ind w:left="117"/>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snapToGrid w:val="0"/>
                <w:color w:val="auto"/>
                <w:spacing w:val="-4"/>
                <w:kern w:val="0"/>
                <w:sz w:val="24"/>
                <w:szCs w:val="24"/>
                <w:lang w:val="en-US" w:eastAsia="en-US" w:bidi="ar-SA"/>
              </w:rPr>
              <w:t>内容</w:t>
            </w:r>
          </w:p>
        </w:tc>
        <w:tc>
          <w:tcPr>
            <w:tcW w:w="6341" w:type="dxa"/>
            <w:noWrap w:val="0"/>
            <w:vAlign w:val="top"/>
          </w:tcPr>
          <w:p w14:paraId="30B4E94B">
            <w:pPr>
              <w:pStyle w:val="9"/>
              <w:pageBreakBefore w:val="0"/>
              <w:wordWrap/>
              <w:overflowPunct/>
              <w:topLinePunct w:val="0"/>
              <w:bidi w:val="0"/>
              <w:spacing w:before="292" w:line="500" w:lineRule="exact"/>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snapToGrid w:val="0"/>
                <w:color w:val="auto"/>
                <w:spacing w:val="-4"/>
                <w:kern w:val="0"/>
                <w:sz w:val="24"/>
                <w:szCs w:val="24"/>
                <w:lang w:val="en-US" w:eastAsia="zh-CN" w:bidi="ar-SA"/>
              </w:rPr>
              <w:t>2024年宜春市中心城区公共外环境病媒生物防制服务项目</w:t>
            </w:r>
          </w:p>
        </w:tc>
      </w:tr>
      <w:tr w14:paraId="6BE1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2504" w:type="dxa"/>
            <w:noWrap w:val="0"/>
            <w:vAlign w:val="center"/>
          </w:tcPr>
          <w:p w14:paraId="2518030F">
            <w:pPr>
              <w:pStyle w:val="9"/>
              <w:pageBreakBefore w:val="0"/>
              <w:wordWrap/>
              <w:overflowPunct/>
              <w:topLinePunct w:val="0"/>
              <w:bidi w:val="0"/>
              <w:spacing w:before="225" w:line="500" w:lineRule="exact"/>
              <w:ind w:left="823"/>
              <w:jc w:val="both"/>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snapToGrid w:val="0"/>
                <w:color w:val="auto"/>
                <w:spacing w:val="-4"/>
                <w:kern w:val="0"/>
                <w:sz w:val="24"/>
                <w:szCs w:val="24"/>
                <w:lang w:val="en-US" w:eastAsia="en-US" w:bidi="ar-SA"/>
              </w:rPr>
              <w:t>服务期限</w:t>
            </w:r>
          </w:p>
        </w:tc>
        <w:tc>
          <w:tcPr>
            <w:tcW w:w="6341" w:type="dxa"/>
            <w:noWrap w:val="0"/>
            <w:vAlign w:val="center"/>
          </w:tcPr>
          <w:p w14:paraId="691BB725">
            <w:pPr>
              <w:pStyle w:val="9"/>
              <w:pageBreakBefore w:val="0"/>
              <w:wordWrap/>
              <w:overflowPunct/>
              <w:topLinePunct w:val="0"/>
              <w:bidi w:val="0"/>
              <w:spacing w:before="217" w:line="500" w:lineRule="exact"/>
              <w:jc w:val="both"/>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snapToGrid w:val="0"/>
                <w:color w:val="auto"/>
                <w:spacing w:val="-4"/>
                <w:kern w:val="0"/>
                <w:sz w:val="24"/>
                <w:szCs w:val="24"/>
                <w:lang w:val="en-US" w:eastAsia="en-US" w:bidi="ar-SA"/>
              </w:rPr>
              <w:t>自合同签订之后1年</w:t>
            </w:r>
          </w:p>
        </w:tc>
      </w:tr>
      <w:tr w14:paraId="2CD3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2504" w:type="dxa"/>
            <w:noWrap w:val="0"/>
            <w:vAlign w:val="center"/>
          </w:tcPr>
          <w:p w14:paraId="0FCD3998">
            <w:pPr>
              <w:pStyle w:val="9"/>
              <w:pageBreakBefore w:val="0"/>
              <w:wordWrap/>
              <w:overflowPunct/>
              <w:topLinePunct w:val="0"/>
              <w:bidi w:val="0"/>
              <w:spacing w:before="250" w:line="500" w:lineRule="exact"/>
              <w:ind w:left="823"/>
              <w:jc w:val="both"/>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snapToGrid w:val="0"/>
                <w:color w:val="auto"/>
                <w:spacing w:val="-4"/>
                <w:kern w:val="0"/>
                <w:sz w:val="24"/>
                <w:szCs w:val="24"/>
                <w:lang w:val="en-US" w:eastAsia="en-US" w:bidi="ar-SA"/>
              </w:rPr>
              <w:t>服务地点</w:t>
            </w:r>
          </w:p>
        </w:tc>
        <w:tc>
          <w:tcPr>
            <w:tcW w:w="6341" w:type="dxa"/>
            <w:noWrap w:val="0"/>
            <w:vAlign w:val="center"/>
          </w:tcPr>
          <w:p w14:paraId="5A8BCBCE">
            <w:pPr>
              <w:pStyle w:val="9"/>
              <w:pageBreakBefore w:val="0"/>
              <w:wordWrap/>
              <w:overflowPunct/>
              <w:topLinePunct w:val="0"/>
              <w:bidi w:val="0"/>
              <w:spacing w:before="251" w:line="500" w:lineRule="exact"/>
              <w:jc w:val="both"/>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snapToGrid w:val="0"/>
                <w:color w:val="auto"/>
                <w:spacing w:val="-4"/>
                <w:kern w:val="0"/>
                <w:sz w:val="24"/>
                <w:szCs w:val="24"/>
                <w:lang w:val="en-US" w:eastAsia="zh-CN" w:bidi="ar-SA"/>
              </w:rPr>
              <w:t>宜春市中心城区</w:t>
            </w:r>
            <w:r>
              <w:rPr>
                <w:rFonts w:hint="eastAsia" w:asciiTheme="minorEastAsia" w:hAnsiTheme="minorEastAsia" w:eastAsiaTheme="minorEastAsia" w:cstheme="minorEastAsia"/>
                <w:snapToGrid w:val="0"/>
                <w:color w:val="auto"/>
                <w:spacing w:val="-4"/>
                <w:kern w:val="0"/>
                <w:sz w:val="24"/>
                <w:szCs w:val="24"/>
                <w:lang w:val="en-US" w:eastAsia="en-US" w:bidi="ar-SA"/>
              </w:rPr>
              <w:t>建成区</w:t>
            </w:r>
            <w:r>
              <w:rPr>
                <w:rFonts w:hint="eastAsia" w:asciiTheme="minorEastAsia" w:hAnsiTheme="minorEastAsia" w:eastAsiaTheme="minorEastAsia" w:cstheme="minorEastAsia"/>
                <w:snapToGrid w:val="0"/>
                <w:color w:val="auto"/>
                <w:spacing w:val="-4"/>
                <w:kern w:val="0"/>
                <w:sz w:val="24"/>
                <w:szCs w:val="24"/>
                <w:lang w:val="en-US" w:eastAsia="zh-CN" w:bidi="ar-SA"/>
              </w:rPr>
              <w:t>下辖</w:t>
            </w:r>
            <w:r>
              <w:rPr>
                <w:rFonts w:hint="eastAsia" w:asciiTheme="minorEastAsia" w:hAnsiTheme="minorEastAsia" w:eastAsiaTheme="minorEastAsia" w:cstheme="minorEastAsia"/>
                <w:snapToGrid w:val="0"/>
                <w:color w:val="auto"/>
                <w:spacing w:val="-4"/>
                <w:kern w:val="0"/>
                <w:sz w:val="24"/>
                <w:szCs w:val="24"/>
                <w:lang w:val="en-US" w:eastAsia="en-US" w:bidi="ar-SA"/>
              </w:rPr>
              <w:t>袁州区、经济技术开发区</w:t>
            </w:r>
            <w:r>
              <w:rPr>
                <w:rFonts w:hint="eastAsia" w:asciiTheme="minorEastAsia" w:hAnsiTheme="minorEastAsia" w:eastAsiaTheme="minorEastAsia" w:cstheme="minorEastAsia"/>
                <w:snapToGrid w:val="0"/>
                <w:color w:val="auto"/>
                <w:spacing w:val="-4"/>
                <w:kern w:val="0"/>
                <w:sz w:val="24"/>
                <w:szCs w:val="24"/>
                <w:lang w:val="en-US" w:eastAsia="zh-CN" w:bidi="ar-SA"/>
              </w:rPr>
              <w:t>和</w:t>
            </w:r>
            <w:r>
              <w:rPr>
                <w:rFonts w:hint="eastAsia" w:asciiTheme="minorEastAsia" w:hAnsiTheme="minorEastAsia" w:eastAsiaTheme="minorEastAsia" w:cstheme="minorEastAsia"/>
                <w:snapToGrid w:val="0"/>
                <w:color w:val="auto"/>
                <w:spacing w:val="-4"/>
                <w:kern w:val="0"/>
                <w:sz w:val="24"/>
                <w:szCs w:val="24"/>
                <w:lang w:val="en-US" w:eastAsia="en-US" w:bidi="ar-SA"/>
              </w:rPr>
              <w:t>宜阳新区10个街道78个社区</w:t>
            </w:r>
            <w:r>
              <w:rPr>
                <w:rFonts w:hint="eastAsia" w:asciiTheme="minorEastAsia" w:hAnsiTheme="minorEastAsia" w:eastAsiaTheme="minorEastAsia" w:cstheme="minorEastAsia"/>
                <w:snapToGrid w:val="0"/>
                <w:color w:val="auto"/>
                <w:spacing w:val="-4"/>
                <w:kern w:val="0"/>
                <w:sz w:val="24"/>
                <w:szCs w:val="24"/>
                <w:lang w:val="en-US" w:eastAsia="zh-CN" w:bidi="ar-SA"/>
              </w:rPr>
              <w:t>公共外环境</w:t>
            </w:r>
          </w:p>
        </w:tc>
      </w:tr>
      <w:tr w14:paraId="3AB7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2504" w:type="dxa"/>
            <w:noWrap w:val="0"/>
            <w:vAlign w:val="center"/>
          </w:tcPr>
          <w:p w14:paraId="53C84B72">
            <w:pPr>
              <w:pStyle w:val="9"/>
              <w:pageBreakBefore w:val="0"/>
              <w:wordWrap/>
              <w:overflowPunct/>
              <w:topLinePunct w:val="0"/>
              <w:bidi w:val="0"/>
              <w:spacing w:before="239" w:line="500" w:lineRule="exact"/>
              <w:ind w:left="618"/>
              <w:jc w:val="both"/>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snapToGrid w:val="0"/>
                <w:color w:val="auto"/>
                <w:spacing w:val="-4"/>
                <w:kern w:val="0"/>
                <w:sz w:val="24"/>
                <w:szCs w:val="24"/>
                <w:lang w:val="en-US" w:eastAsia="en-US" w:bidi="ar-SA"/>
              </w:rPr>
              <w:t>其他事项说明</w:t>
            </w:r>
          </w:p>
        </w:tc>
        <w:tc>
          <w:tcPr>
            <w:tcW w:w="6341" w:type="dxa"/>
            <w:noWrap w:val="0"/>
            <w:vAlign w:val="center"/>
          </w:tcPr>
          <w:p w14:paraId="39103705">
            <w:pPr>
              <w:pStyle w:val="9"/>
              <w:pageBreakBefore w:val="0"/>
              <w:wordWrap/>
              <w:overflowPunct/>
              <w:topLinePunct w:val="0"/>
              <w:bidi w:val="0"/>
              <w:spacing w:before="33" w:line="500" w:lineRule="exact"/>
              <w:ind w:right="98"/>
              <w:jc w:val="both"/>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snapToGrid w:val="0"/>
                <w:color w:val="auto"/>
                <w:spacing w:val="-4"/>
                <w:kern w:val="0"/>
                <w:sz w:val="24"/>
                <w:szCs w:val="24"/>
                <w:lang w:val="en-US" w:eastAsia="en-US" w:bidi="ar-SA"/>
              </w:rPr>
              <w:t>中标单位须对</w:t>
            </w:r>
            <w:r>
              <w:rPr>
                <w:rFonts w:hint="eastAsia" w:asciiTheme="minorEastAsia" w:hAnsiTheme="minorEastAsia" w:eastAsiaTheme="minorEastAsia" w:cstheme="minorEastAsia"/>
                <w:snapToGrid w:val="0"/>
                <w:color w:val="auto"/>
                <w:spacing w:val="-4"/>
                <w:kern w:val="0"/>
                <w:sz w:val="24"/>
                <w:szCs w:val="24"/>
                <w:lang w:val="en-US" w:eastAsia="zh-CN" w:bidi="ar-SA"/>
              </w:rPr>
              <w:t>宜春市</w:t>
            </w:r>
            <w:r>
              <w:rPr>
                <w:rFonts w:hint="eastAsia" w:asciiTheme="minorEastAsia" w:hAnsiTheme="minorEastAsia" w:eastAsiaTheme="minorEastAsia" w:cstheme="minorEastAsia"/>
                <w:snapToGrid w:val="0"/>
                <w:color w:val="auto"/>
                <w:spacing w:val="-4"/>
                <w:kern w:val="0"/>
                <w:sz w:val="24"/>
                <w:szCs w:val="24"/>
                <w:lang w:val="en-US" w:eastAsia="zh-CN" w:bidi="ar-SA"/>
              </w:rPr>
              <w:t>中心城</w:t>
            </w:r>
            <w:r>
              <w:rPr>
                <w:rFonts w:hint="eastAsia" w:asciiTheme="minorEastAsia" w:hAnsiTheme="minorEastAsia" w:eastAsiaTheme="minorEastAsia" w:cstheme="minorEastAsia"/>
                <w:snapToGrid w:val="0"/>
                <w:color w:val="auto"/>
                <w:spacing w:val="-4"/>
                <w:kern w:val="0"/>
                <w:sz w:val="24"/>
                <w:szCs w:val="24"/>
                <w:lang w:val="en-US" w:eastAsia="en-US" w:bidi="ar-SA"/>
              </w:rPr>
              <w:t>区</w:t>
            </w:r>
            <w:r>
              <w:rPr>
                <w:rFonts w:hint="eastAsia" w:asciiTheme="minorEastAsia" w:hAnsiTheme="minorEastAsia" w:eastAsiaTheme="minorEastAsia" w:cstheme="minorEastAsia"/>
                <w:snapToGrid w:val="0"/>
                <w:color w:val="auto"/>
                <w:spacing w:val="-4"/>
                <w:kern w:val="0"/>
                <w:sz w:val="24"/>
                <w:szCs w:val="24"/>
                <w:lang w:val="en-US" w:eastAsia="en-US" w:bidi="ar-SA"/>
              </w:rPr>
              <w:t>区各街道、社区等相关工作人员进行培训和业务指导。</w:t>
            </w:r>
          </w:p>
        </w:tc>
      </w:tr>
    </w:tbl>
    <w:p w14:paraId="15086773">
      <w:pPr>
        <w:pageBreakBefore w:val="0"/>
        <w:wordWrap/>
        <w:overflowPunct/>
        <w:topLinePunct w:val="0"/>
        <w:bidi w:val="0"/>
        <w:spacing w:before="201" w:line="500" w:lineRule="exact"/>
        <w:ind w:firstLine="466" w:firstLineChars="200"/>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lang w:val="en-US" w:eastAsia="zh-CN"/>
        </w:rPr>
        <w:t>2</w:t>
      </w:r>
      <w:r>
        <w:rPr>
          <w:rFonts w:hint="eastAsia" w:asciiTheme="minorEastAsia" w:hAnsiTheme="minorEastAsia" w:eastAsiaTheme="minorEastAsia" w:cstheme="minorEastAsia"/>
          <w:b/>
          <w:bCs/>
          <w:color w:val="auto"/>
          <w:spacing w:val="-4"/>
          <w:sz w:val="24"/>
          <w:szCs w:val="24"/>
        </w:rPr>
        <w:t>、技术条款要求</w:t>
      </w:r>
    </w:p>
    <w:p w14:paraId="27C9E4A7">
      <w:pPr>
        <w:keepNext w:val="0"/>
        <w:keepLines w:val="0"/>
        <w:pageBreakBefore w:val="0"/>
        <w:widowControl/>
        <w:kinsoku w:val="0"/>
        <w:wordWrap/>
        <w:overflowPunct/>
        <w:topLinePunct w:val="0"/>
        <w:autoSpaceDE w:val="0"/>
        <w:autoSpaceDN w:val="0"/>
        <w:bidi w:val="0"/>
        <w:adjustRightInd w:val="0"/>
        <w:snapToGrid w:val="0"/>
        <w:spacing w:line="500" w:lineRule="exact"/>
        <w:ind w:firstLine="466" w:firstLineChars="200"/>
        <w:textAlignment w:val="baseline"/>
        <w:rPr>
          <w:rFonts w:hint="eastAsia" w:asciiTheme="minorEastAsia" w:hAnsiTheme="minorEastAsia" w:eastAsiaTheme="minorEastAsia" w:cstheme="minorEastAsia"/>
          <w:b/>
          <w:bCs/>
          <w:snapToGrid w:val="0"/>
          <w:color w:val="auto"/>
          <w:spacing w:val="-4"/>
          <w:kern w:val="0"/>
          <w:sz w:val="24"/>
          <w:szCs w:val="24"/>
          <w:lang w:val="en-US" w:eastAsia="en-US"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2.</w:t>
      </w:r>
      <w:r>
        <w:rPr>
          <w:rFonts w:hint="eastAsia" w:asciiTheme="minorEastAsia" w:hAnsiTheme="minorEastAsia" w:eastAsiaTheme="minorEastAsia" w:cstheme="minorEastAsia"/>
          <w:b/>
          <w:bCs/>
          <w:snapToGrid w:val="0"/>
          <w:color w:val="auto"/>
          <w:spacing w:val="-4"/>
          <w:kern w:val="0"/>
          <w:sz w:val="24"/>
          <w:szCs w:val="24"/>
          <w:lang w:val="en-US" w:eastAsia="en-US" w:bidi="ar-SA"/>
        </w:rPr>
        <w:t>1</w:t>
      </w:r>
      <w:r>
        <w:rPr>
          <w:rFonts w:hint="eastAsia" w:asciiTheme="minorEastAsia" w:hAnsiTheme="minorEastAsia" w:eastAsiaTheme="minorEastAsia" w:cstheme="minorEastAsia"/>
          <w:b/>
          <w:bCs/>
          <w:snapToGrid w:val="0"/>
          <w:color w:val="auto"/>
          <w:spacing w:val="-4"/>
          <w:kern w:val="0"/>
          <w:sz w:val="24"/>
          <w:szCs w:val="24"/>
          <w:lang w:val="en-US" w:eastAsia="zh-CN" w:bidi="ar-SA"/>
        </w:rPr>
        <w:t xml:space="preserve"> </w:t>
      </w:r>
      <w:r>
        <w:rPr>
          <w:rFonts w:hint="eastAsia" w:asciiTheme="minorEastAsia" w:hAnsiTheme="minorEastAsia" w:eastAsiaTheme="minorEastAsia" w:cstheme="minorEastAsia"/>
          <w:b/>
          <w:bCs/>
          <w:snapToGrid w:val="0"/>
          <w:color w:val="auto"/>
          <w:spacing w:val="-4"/>
          <w:kern w:val="0"/>
          <w:sz w:val="24"/>
          <w:szCs w:val="24"/>
          <w:lang w:val="en-US" w:eastAsia="en-US" w:bidi="ar-SA"/>
        </w:rPr>
        <w:t>采购清单：</w:t>
      </w:r>
    </w:p>
    <w:tbl>
      <w:tblPr>
        <w:tblStyle w:val="10"/>
        <w:tblW w:w="90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9"/>
        <w:gridCol w:w="2115"/>
        <w:gridCol w:w="765"/>
        <w:gridCol w:w="1035"/>
        <w:gridCol w:w="4552"/>
      </w:tblGrid>
      <w:tr w14:paraId="09FDF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79" w:type="dxa"/>
            <w:noWrap w:val="0"/>
            <w:vAlign w:val="top"/>
          </w:tcPr>
          <w:p w14:paraId="6F72BFA0">
            <w:pPr>
              <w:pStyle w:val="9"/>
              <w:pageBreakBefore w:val="0"/>
              <w:wordWrap/>
              <w:overflowPunct/>
              <w:topLinePunct w:val="0"/>
              <w:bidi w:val="0"/>
              <w:spacing w:before="38" w:line="500" w:lineRule="exact"/>
              <w:rPr>
                <w:rFonts w:hint="eastAsia" w:asciiTheme="minorEastAsia" w:hAnsiTheme="minorEastAsia" w:eastAsiaTheme="minorEastAsia" w:cstheme="minorEastAsia"/>
                <w:b/>
                <w:bCs/>
                <w:snapToGrid w:val="0"/>
                <w:color w:val="auto"/>
                <w:spacing w:val="-4"/>
                <w:kern w:val="0"/>
                <w:sz w:val="24"/>
                <w:szCs w:val="24"/>
                <w:lang w:val="en-US" w:eastAsia="en-US" w:bidi="ar-SA"/>
              </w:rPr>
            </w:pPr>
            <w:r>
              <w:rPr>
                <w:rFonts w:hint="eastAsia" w:asciiTheme="minorEastAsia" w:hAnsiTheme="minorEastAsia" w:eastAsiaTheme="minorEastAsia" w:cstheme="minorEastAsia"/>
                <w:b/>
                <w:bCs/>
                <w:snapToGrid w:val="0"/>
                <w:color w:val="auto"/>
                <w:spacing w:val="-4"/>
                <w:kern w:val="0"/>
                <w:sz w:val="24"/>
                <w:szCs w:val="24"/>
                <w:lang w:val="en-US" w:eastAsia="en-US" w:bidi="ar-SA"/>
              </w:rPr>
              <w:t>序号</w:t>
            </w:r>
          </w:p>
        </w:tc>
        <w:tc>
          <w:tcPr>
            <w:tcW w:w="2115" w:type="dxa"/>
            <w:noWrap w:val="0"/>
            <w:vAlign w:val="top"/>
          </w:tcPr>
          <w:p w14:paraId="7AD6327C">
            <w:pPr>
              <w:pStyle w:val="9"/>
              <w:pageBreakBefore w:val="0"/>
              <w:wordWrap/>
              <w:overflowPunct/>
              <w:topLinePunct w:val="0"/>
              <w:bidi w:val="0"/>
              <w:spacing w:before="38" w:line="500" w:lineRule="exact"/>
              <w:ind w:left="1046"/>
              <w:rPr>
                <w:rFonts w:hint="eastAsia" w:asciiTheme="minorEastAsia" w:hAnsiTheme="minorEastAsia" w:eastAsiaTheme="minorEastAsia" w:cstheme="minorEastAsia"/>
                <w:b/>
                <w:bCs/>
                <w:snapToGrid w:val="0"/>
                <w:color w:val="auto"/>
                <w:spacing w:val="-4"/>
                <w:kern w:val="0"/>
                <w:sz w:val="24"/>
                <w:szCs w:val="24"/>
                <w:lang w:val="en-US" w:eastAsia="en-US" w:bidi="ar-SA"/>
              </w:rPr>
            </w:pPr>
            <w:r>
              <w:rPr>
                <w:rFonts w:hint="eastAsia" w:asciiTheme="minorEastAsia" w:hAnsiTheme="minorEastAsia" w:eastAsiaTheme="minorEastAsia" w:cstheme="minorEastAsia"/>
                <w:b/>
                <w:bCs/>
                <w:snapToGrid w:val="0"/>
                <w:color w:val="auto"/>
                <w:spacing w:val="-4"/>
                <w:kern w:val="0"/>
                <w:sz w:val="24"/>
                <w:szCs w:val="24"/>
                <w:lang w:val="en-US" w:eastAsia="en-US" w:bidi="ar-SA"/>
              </w:rPr>
              <w:t>品目</w:t>
            </w:r>
          </w:p>
        </w:tc>
        <w:tc>
          <w:tcPr>
            <w:tcW w:w="765" w:type="dxa"/>
            <w:noWrap w:val="0"/>
            <w:vAlign w:val="top"/>
          </w:tcPr>
          <w:p w14:paraId="3C2E01C7">
            <w:pPr>
              <w:pStyle w:val="9"/>
              <w:pageBreakBefore w:val="0"/>
              <w:wordWrap/>
              <w:overflowPunct/>
              <w:topLinePunct w:val="0"/>
              <w:bidi w:val="0"/>
              <w:spacing w:before="38" w:line="500" w:lineRule="exact"/>
              <w:rPr>
                <w:rFonts w:hint="eastAsia" w:asciiTheme="minorEastAsia" w:hAnsiTheme="minorEastAsia" w:eastAsiaTheme="minorEastAsia" w:cstheme="minorEastAsia"/>
                <w:b/>
                <w:bCs/>
                <w:snapToGrid w:val="0"/>
                <w:color w:val="auto"/>
                <w:spacing w:val="-4"/>
                <w:kern w:val="0"/>
                <w:sz w:val="24"/>
                <w:szCs w:val="24"/>
                <w:lang w:val="en-US" w:eastAsia="en-US" w:bidi="ar-SA"/>
              </w:rPr>
            </w:pPr>
            <w:r>
              <w:rPr>
                <w:rFonts w:hint="eastAsia" w:asciiTheme="minorEastAsia" w:hAnsiTheme="minorEastAsia" w:eastAsiaTheme="minorEastAsia" w:cstheme="minorEastAsia"/>
                <w:b/>
                <w:bCs/>
                <w:snapToGrid w:val="0"/>
                <w:color w:val="auto"/>
                <w:spacing w:val="-4"/>
                <w:kern w:val="0"/>
                <w:sz w:val="24"/>
                <w:szCs w:val="24"/>
                <w:lang w:val="en-US" w:eastAsia="en-US" w:bidi="ar-SA"/>
              </w:rPr>
              <w:t>单位</w:t>
            </w:r>
          </w:p>
        </w:tc>
        <w:tc>
          <w:tcPr>
            <w:tcW w:w="1035" w:type="dxa"/>
            <w:noWrap w:val="0"/>
            <w:vAlign w:val="top"/>
          </w:tcPr>
          <w:p w14:paraId="2B65D075">
            <w:pPr>
              <w:pStyle w:val="9"/>
              <w:pageBreakBefore w:val="0"/>
              <w:wordWrap/>
              <w:overflowPunct/>
              <w:topLinePunct w:val="0"/>
              <w:bidi w:val="0"/>
              <w:spacing w:before="38" w:line="500" w:lineRule="exact"/>
              <w:ind w:left="384"/>
              <w:rPr>
                <w:rFonts w:hint="eastAsia" w:asciiTheme="minorEastAsia" w:hAnsiTheme="minorEastAsia" w:eastAsiaTheme="minorEastAsia" w:cstheme="minorEastAsia"/>
                <w:b/>
                <w:bCs/>
                <w:snapToGrid w:val="0"/>
                <w:color w:val="auto"/>
                <w:spacing w:val="-4"/>
                <w:kern w:val="0"/>
                <w:sz w:val="24"/>
                <w:szCs w:val="24"/>
                <w:lang w:val="en-US" w:eastAsia="en-US" w:bidi="ar-SA"/>
              </w:rPr>
            </w:pPr>
            <w:r>
              <w:rPr>
                <w:rFonts w:hint="eastAsia" w:asciiTheme="minorEastAsia" w:hAnsiTheme="minorEastAsia" w:eastAsiaTheme="minorEastAsia" w:cstheme="minorEastAsia"/>
                <w:b/>
                <w:bCs/>
                <w:snapToGrid w:val="0"/>
                <w:color w:val="auto"/>
                <w:spacing w:val="-4"/>
                <w:kern w:val="0"/>
                <w:sz w:val="24"/>
                <w:szCs w:val="24"/>
                <w:lang w:val="en-US" w:eastAsia="en-US" w:bidi="ar-SA"/>
              </w:rPr>
              <w:t>数量</w:t>
            </w:r>
          </w:p>
        </w:tc>
        <w:tc>
          <w:tcPr>
            <w:tcW w:w="4552" w:type="dxa"/>
            <w:noWrap w:val="0"/>
            <w:vAlign w:val="top"/>
          </w:tcPr>
          <w:p w14:paraId="23127245">
            <w:pPr>
              <w:pStyle w:val="9"/>
              <w:pageBreakBefore w:val="0"/>
              <w:wordWrap/>
              <w:overflowPunct/>
              <w:topLinePunct w:val="0"/>
              <w:bidi w:val="0"/>
              <w:spacing w:before="38" w:line="500" w:lineRule="exact"/>
              <w:ind w:left="1465"/>
              <w:rPr>
                <w:rFonts w:hint="eastAsia" w:asciiTheme="minorEastAsia" w:hAnsiTheme="minorEastAsia" w:eastAsiaTheme="minorEastAsia" w:cstheme="minorEastAsia"/>
                <w:b/>
                <w:bCs/>
                <w:snapToGrid w:val="0"/>
                <w:color w:val="auto"/>
                <w:spacing w:val="-4"/>
                <w:kern w:val="0"/>
                <w:sz w:val="24"/>
                <w:szCs w:val="24"/>
                <w:lang w:val="en-US" w:eastAsia="en-US" w:bidi="ar-SA"/>
              </w:rPr>
            </w:pPr>
            <w:r>
              <w:rPr>
                <w:rFonts w:hint="eastAsia" w:asciiTheme="minorEastAsia" w:hAnsiTheme="minorEastAsia" w:eastAsiaTheme="minorEastAsia" w:cstheme="minorEastAsia"/>
                <w:b/>
                <w:bCs/>
                <w:snapToGrid w:val="0"/>
                <w:color w:val="auto"/>
                <w:spacing w:val="-4"/>
                <w:kern w:val="0"/>
                <w:sz w:val="24"/>
                <w:szCs w:val="24"/>
                <w:lang w:val="en-US" w:eastAsia="en-US" w:bidi="ar-SA"/>
              </w:rPr>
              <w:t>要求</w:t>
            </w:r>
          </w:p>
        </w:tc>
      </w:tr>
      <w:tr w14:paraId="3F06A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79" w:type="dxa"/>
            <w:noWrap w:val="0"/>
            <w:vAlign w:val="top"/>
          </w:tcPr>
          <w:p w14:paraId="46954E88">
            <w:pPr>
              <w:pStyle w:val="9"/>
              <w:pageBreakBefore w:val="0"/>
              <w:wordWrap/>
              <w:overflowPunct/>
              <w:topLinePunct w:val="0"/>
              <w:bidi w:val="0"/>
              <w:spacing w:before="33" w:line="500" w:lineRule="exact"/>
              <w:ind w:right="98"/>
              <w:jc w:val="center"/>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snapToGrid w:val="0"/>
                <w:color w:val="auto"/>
                <w:spacing w:val="-4"/>
                <w:kern w:val="0"/>
                <w:sz w:val="24"/>
                <w:szCs w:val="24"/>
                <w:lang w:val="en-US" w:eastAsia="en-US" w:bidi="ar-SA"/>
              </w:rPr>
              <w:t>1</w:t>
            </w:r>
          </w:p>
        </w:tc>
        <w:tc>
          <w:tcPr>
            <w:tcW w:w="2115" w:type="dxa"/>
            <w:noWrap w:val="0"/>
            <w:vAlign w:val="top"/>
          </w:tcPr>
          <w:p w14:paraId="29F9585B">
            <w:pPr>
              <w:pStyle w:val="9"/>
              <w:pageBreakBefore w:val="0"/>
              <w:wordWrap/>
              <w:overflowPunct/>
              <w:topLinePunct w:val="0"/>
              <w:bidi w:val="0"/>
              <w:spacing w:before="33" w:line="500" w:lineRule="exact"/>
              <w:ind w:left="108" w:right="98" w:firstLine="17"/>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snapToGrid w:val="0"/>
                <w:color w:val="auto"/>
                <w:spacing w:val="-4"/>
                <w:kern w:val="0"/>
                <w:sz w:val="24"/>
                <w:szCs w:val="24"/>
                <w:lang w:val="en-US" w:eastAsia="en-US" w:bidi="ar-SA"/>
              </w:rPr>
              <w:t>灭鼠毒饵</w:t>
            </w:r>
          </w:p>
        </w:tc>
        <w:tc>
          <w:tcPr>
            <w:tcW w:w="765" w:type="dxa"/>
            <w:noWrap w:val="0"/>
            <w:vAlign w:val="top"/>
          </w:tcPr>
          <w:p w14:paraId="319F3684">
            <w:pPr>
              <w:pStyle w:val="9"/>
              <w:pageBreakBefore w:val="0"/>
              <w:wordWrap/>
              <w:overflowPunct/>
              <w:topLinePunct w:val="0"/>
              <w:bidi w:val="0"/>
              <w:spacing w:before="33" w:line="500" w:lineRule="exact"/>
              <w:ind w:right="98"/>
              <w:jc w:val="center"/>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snapToGrid w:val="0"/>
                <w:color w:val="auto"/>
                <w:spacing w:val="-4"/>
                <w:kern w:val="0"/>
                <w:sz w:val="24"/>
                <w:szCs w:val="24"/>
                <w:lang w:val="en-US" w:eastAsia="en-US" w:bidi="ar-SA"/>
              </w:rPr>
              <w:t>kg</w:t>
            </w:r>
          </w:p>
        </w:tc>
        <w:tc>
          <w:tcPr>
            <w:tcW w:w="1035" w:type="dxa"/>
            <w:noWrap w:val="0"/>
            <w:vAlign w:val="center"/>
          </w:tcPr>
          <w:p w14:paraId="5455A163">
            <w:pPr>
              <w:pStyle w:val="9"/>
              <w:pageBreakBefore w:val="0"/>
              <w:wordWrap/>
              <w:overflowPunct/>
              <w:topLinePunct w:val="0"/>
              <w:bidi w:val="0"/>
              <w:spacing w:before="33" w:line="500" w:lineRule="exact"/>
              <w:ind w:left="108" w:right="98" w:firstLine="17"/>
              <w:jc w:val="center"/>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snapToGrid w:val="0"/>
                <w:color w:val="auto"/>
                <w:spacing w:val="-4"/>
                <w:kern w:val="0"/>
                <w:sz w:val="24"/>
                <w:szCs w:val="24"/>
                <w:lang w:val="en-US" w:eastAsia="en-US" w:bidi="ar-SA"/>
              </w:rPr>
              <w:t>35000</w:t>
            </w:r>
          </w:p>
        </w:tc>
        <w:tc>
          <w:tcPr>
            <w:tcW w:w="4552" w:type="dxa"/>
            <w:noWrap w:val="0"/>
            <w:vAlign w:val="center"/>
          </w:tcPr>
          <w:p w14:paraId="16660A1A">
            <w:pPr>
              <w:pStyle w:val="9"/>
              <w:pageBreakBefore w:val="0"/>
              <w:wordWrap/>
              <w:overflowPunct/>
              <w:topLinePunct w:val="0"/>
              <w:bidi w:val="0"/>
              <w:spacing w:before="33" w:line="500" w:lineRule="exact"/>
              <w:ind w:left="108" w:leftChars="0" w:right="98" w:rightChars="0" w:firstLine="17" w:firstLineChars="0"/>
              <w:jc w:val="left"/>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color w:val="auto"/>
                <w:spacing w:val="-2"/>
                <w:sz w:val="24"/>
                <w:szCs w:val="24"/>
              </w:rPr>
              <w:t>国家规定的相</w:t>
            </w:r>
            <w:r>
              <w:rPr>
                <w:rFonts w:hint="eastAsia" w:asciiTheme="minorEastAsia" w:hAnsiTheme="minorEastAsia" w:eastAsiaTheme="minorEastAsia" w:cstheme="minorEastAsia"/>
                <w:color w:val="auto"/>
                <w:spacing w:val="-1"/>
                <w:sz w:val="24"/>
                <w:szCs w:val="24"/>
              </w:rPr>
              <w:t>关要求，科学、安全、高效、环保</w:t>
            </w:r>
          </w:p>
        </w:tc>
      </w:tr>
      <w:tr w14:paraId="04764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79" w:type="dxa"/>
            <w:noWrap w:val="0"/>
            <w:vAlign w:val="top"/>
          </w:tcPr>
          <w:p w14:paraId="1A53EB8D">
            <w:pPr>
              <w:pStyle w:val="9"/>
              <w:pageBreakBefore w:val="0"/>
              <w:wordWrap/>
              <w:overflowPunct/>
              <w:topLinePunct w:val="0"/>
              <w:bidi w:val="0"/>
              <w:spacing w:before="33" w:line="500" w:lineRule="exact"/>
              <w:ind w:right="98"/>
              <w:jc w:val="center"/>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snapToGrid w:val="0"/>
                <w:color w:val="auto"/>
                <w:spacing w:val="-4"/>
                <w:kern w:val="0"/>
                <w:sz w:val="24"/>
                <w:szCs w:val="24"/>
                <w:lang w:val="en-US" w:eastAsia="en-US" w:bidi="ar-SA"/>
              </w:rPr>
              <w:t>2</w:t>
            </w:r>
          </w:p>
        </w:tc>
        <w:tc>
          <w:tcPr>
            <w:tcW w:w="2115" w:type="dxa"/>
            <w:noWrap w:val="0"/>
            <w:vAlign w:val="top"/>
          </w:tcPr>
          <w:p w14:paraId="68389F79">
            <w:pPr>
              <w:pStyle w:val="9"/>
              <w:pageBreakBefore w:val="0"/>
              <w:wordWrap/>
              <w:overflowPunct/>
              <w:topLinePunct w:val="0"/>
              <w:bidi w:val="0"/>
              <w:spacing w:before="33" w:line="500" w:lineRule="exact"/>
              <w:ind w:left="108" w:right="98" w:firstLine="17"/>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snapToGrid w:val="0"/>
                <w:color w:val="auto"/>
                <w:spacing w:val="-4"/>
                <w:kern w:val="0"/>
                <w:sz w:val="24"/>
                <w:szCs w:val="24"/>
                <w:lang w:val="en-US" w:eastAsia="en-US" w:bidi="ar-SA"/>
              </w:rPr>
              <w:t>毒饵站</w:t>
            </w:r>
          </w:p>
        </w:tc>
        <w:tc>
          <w:tcPr>
            <w:tcW w:w="765" w:type="dxa"/>
            <w:noWrap w:val="0"/>
            <w:vAlign w:val="top"/>
          </w:tcPr>
          <w:p w14:paraId="7459E1DF">
            <w:pPr>
              <w:pStyle w:val="9"/>
              <w:pageBreakBefore w:val="0"/>
              <w:wordWrap/>
              <w:overflowPunct/>
              <w:topLinePunct w:val="0"/>
              <w:bidi w:val="0"/>
              <w:spacing w:before="33" w:line="500" w:lineRule="exact"/>
              <w:ind w:right="98"/>
              <w:jc w:val="center"/>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snapToGrid w:val="0"/>
                <w:color w:val="auto"/>
                <w:spacing w:val="-4"/>
                <w:kern w:val="0"/>
                <w:sz w:val="24"/>
                <w:szCs w:val="24"/>
                <w:lang w:val="en-US" w:eastAsia="en-US" w:bidi="ar-SA"/>
              </w:rPr>
              <w:t>个</w:t>
            </w:r>
          </w:p>
        </w:tc>
        <w:tc>
          <w:tcPr>
            <w:tcW w:w="1035" w:type="dxa"/>
            <w:noWrap w:val="0"/>
            <w:vAlign w:val="center"/>
          </w:tcPr>
          <w:p w14:paraId="425A33B0">
            <w:pPr>
              <w:pStyle w:val="9"/>
              <w:pageBreakBefore w:val="0"/>
              <w:wordWrap/>
              <w:overflowPunct/>
              <w:topLinePunct w:val="0"/>
              <w:bidi w:val="0"/>
              <w:spacing w:before="33" w:line="500" w:lineRule="exact"/>
              <w:ind w:left="108" w:right="98" w:firstLine="17"/>
              <w:jc w:val="center"/>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snapToGrid w:val="0"/>
                <w:color w:val="auto"/>
                <w:spacing w:val="-4"/>
                <w:kern w:val="0"/>
                <w:sz w:val="24"/>
                <w:szCs w:val="24"/>
                <w:lang w:val="en-US" w:eastAsia="en-US" w:bidi="ar-SA"/>
              </w:rPr>
              <w:t>15000</w:t>
            </w:r>
          </w:p>
        </w:tc>
        <w:tc>
          <w:tcPr>
            <w:tcW w:w="4552" w:type="dxa"/>
            <w:noWrap w:val="0"/>
            <w:vAlign w:val="center"/>
          </w:tcPr>
          <w:p w14:paraId="487EDB06">
            <w:pPr>
              <w:pStyle w:val="9"/>
              <w:pageBreakBefore w:val="0"/>
              <w:wordWrap/>
              <w:overflowPunct/>
              <w:topLinePunct w:val="0"/>
              <w:bidi w:val="0"/>
              <w:spacing w:before="33" w:line="500" w:lineRule="exact"/>
              <w:ind w:left="108" w:leftChars="0" w:right="98" w:rightChars="0" w:firstLine="17" w:firstLineChars="0"/>
              <w:jc w:val="both"/>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snapToGrid w:val="0"/>
                <w:color w:val="auto"/>
                <w:spacing w:val="-4"/>
                <w:kern w:val="0"/>
                <w:sz w:val="24"/>
                <w:szCs w:val="24"/>
                <w:lang w:val="en-US" w:eastAsia="en-US" w:bidi="ar-SA"/>
              </w:rPr>
              <w:t>毒饵站长度≥30cm, 有警示标识</w:t>
            </w:r>
          </w:p>
        </w:tc>
      </w:tr>
      <w:tr w14:paraId="6C21D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79" w:type="dxa"/>
            <w:noWrap w:val="0"/>
            <w:vAlign w:val="top"/>
          </w:tcPr>
          <w:p w14:paraId="75CF104D">
            <w:pPr>
              <w:pStyle w:val="9"/>
              <w:pageBreakBefore w:val="0"/>
              <w:wordWrap/>
              <w:overflowPunct/>
              <w:topLinePunct w:val="0"/>
              <w:bidi w:val="0"/>
              <w:spacing w:before="33" w:line="500" w:lineRule="exact"/>
              <w:ind w:right="98"/>
              <w:jc w:val="center"/>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snapToGrid w:val="0"/>
                <w:color w:val="auto"/>
                <w:spacing w:val="-4"/>
                <w:kern w:val="0"/>
                <w:sz w:val="24"/>
                <w:szCs w:val="24"/>
                <w:lang w:val="en-US" w:eastAsia="en-US" w:bidi="ar-SA"/>
              </w:rPr>
              <w:t>3</w:t>
            </w:r>
          </w:p>
        </w:tc>
        <w:tc>
          <w:tcPr>
            <w:tcW w:w="2115" w:type="dxa"/>
            <w:noWrap w:val="0"/>
            <w:vAlign w:val="top"/>
          </w:tcPr>
          <w:p w14:paraId="3E2944A1">
            <w:pPr>
              <w:pStyle w:val="9"/>
              <w:pageBreakBefore w:val="0"/>
              <w:wordWrap/>
              <w:overflowPunct/>
              <w:topLinePunct w:val="0"/>
              <w:bidi w:val="0"/>
              <w:spacing w:before="33" w:line="500" w:lineRule="exact"/>
              <w:ind w:left="108" w:right="98" w:firstLine="17"/>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snapToGrid w:val="0"/>
                <w:color w:val="auto"/>
                <w:spacing w:val="-4"/>
                <w:kern w:val="0"/>
                <w:sz w:val="24"/>
                <w:szCs w:val="24"/>
                <w:lang w:val="en-US" w:eastAsia="en-US" w:bidi="ar-SA"/>
              </w:rPr>
              <w:t>蚊蝇蟑螂消杀用药</w:t>
            </w:r>
          </w:p>
        </w:tc>
        <w:tc>
          <w:tcPr>
            <w:tcW w:w="765" w:type="dxa"/>
            <w:noWrap w:val="0"/>
            <w:vAlign w:val="top"/>
          </w:tcPr>
          <w:p w14:paraId="110CFF55">
            <w:pPr>
              <w:pStyle w:val="9"/>
              <w:pageBreakBefore w:val="0"/>
              <w:wordWrap/>
              <w:overflowPunct/>
              <w:topLinePunct w:val="0"/>
              <w:bidi w:val="0"/>
              <w:spacing w:before="33" w:line="500" w:lineRule="exact"/>
              <w:ind w:right="98"/>
              <w:jc w:val="center"/>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snapToGrid w:val="0"/>
                <w:color w:val="auto"/>
                <w:spacing w:val="-4"/>
                <w:kern w:val="0"/>
                <w:sz w:val="24"/>
                <w:szCs w:val="24"/>
                <w:lang w:val="en-US" w:eastAsia="en-US" w:bidi="ar-SA"/>
              </w:rPr>
              <w:t>L</w:t>
            </w:r>
          </w:p>
        </w:tc>
        <w:tc>
          <w:tcPr>
            <w:tcW w:w="1035" w:type="dxa"/>
            <w:noWrap w:val="0"/>
            <w:vAlign w:val="center"/>
          </w:tcPr>
          <w:p w14:paraId="162FAFD1">
            <w:pPr>
              <w:pStyle w:val="9"/>
              <w:pageBreakBefore w:val="0"/>
              <w:wordWrap/>
              <w:overflowPunct/>
              <w:topLinePunct w:val="0"/>
              <w:bidi w:val="0"/>
              <w:spacing w:before="33" w:line="500" w:lineRule="exact"/>
              <w:ind w:left="108" w:right="98" w:firstLine="17"/>
              <w:jc w:val="center"/>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snapToGrid w:val="0"/>
                <w:color w:val="auto"/>
                <w:spacing w:val="-4"/>
                <w:kern w:val="0"/>
                <w:sz w:val="24"/>
                <w:szCs w:val="24"/>
                <w:lang w:val="en-US" w:eastAsia="en-US" w:bidi="ar-SA"/>
              </w:rPr>
              <w:t>5000</w:t>
            </w:r>
          </w:p>
        </w:tc>
        <w:tc>
          <w:tcPr>
            <w:tcW w:w="4552" w:type="dxa"/>
            <w:noWrap w:val="0"/>
            <w:vAlign w:val="top"/>
          </w:tcPr>
          <w:p w14:paraId="2B5DDD7A">
            <w:pPr>
              <w:pStyle w:val="9"/>
              <w:pageBreakBefore w:val="0"/>
              <w:wordWrap/>
              <w:overflowPunct/>
              <w:topLinePunct w:val="0"/>
              <w:bidi w:val="0"/>
              <w:spacing w:before="33" w:line="500" w:lineRule="exact"/>
              <w:ind w:left="108" w:leftChars="0" w:right="98" w:rightChars="0" w:firstLine="17" w:firstLineChars="0"/>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color w:val="auto"/>
                <w:spacing w:val="-2"/>
                <w:sz w:val="24"/>
                <w:szCs w:val="24"/>
              </w:rPr>
              <w:t>国家规定的相</w:t>
            </w:r>
            <w:r>
              <w:rPr>
                <w:rFonts w:hint="eastAsia" w:asciiTheme="minorEastAsia" w:hAnsiTheme="minorEastAsia" w:eastAsiaTheme="minorEastAsia" w:cstheme="minorEastAsia"/>
                <w:color w:val="auto"/>
                <w:spacing w:val="-1"/>
                <w:sz w:val="24"/>
                <w:szCs w:val="24"/>
              </w:rPr>
              <w:t>关要求，科学、安全、高效、环保</w:t>
            </w:r>
          </w:p>
        </w:tc>
      </w:tr>
      <w:tr w14:paraId="08BD3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79" w:type="dxa"/>
            <w:noWrap w:val="0"/>
            <w:vAlign w:val="top"/>
          </w:tcPr>
          <w:p w14:paraId="0BEBD6D1">
            <w:pPr>
              <w:pStyle w:val="9"/>
              <w:pageBreakBefore w:val="0"/>
              <w:wordWrap/>
              <w:overflowPunct/>
              <w:topLinePunct w:val="0"/>
              <w:bidi w:val="0"/>
              <w:spacing w:before="78" w:line="500" w:lineRule="exact"/>
              <w:ind w:firstLine="232" w:firstLineChars="100"/>
              <w:jc w:val="both"/>
              <w:rPr>
                <w:rFonts w:hint="eastAsia" w:asciiTheme="minorEastAsia" w:hAnsiTheme="minorEastAsia" w:eastAsiaTheme="minorEastAsia" w:cstheme="minorEastAsia"/>
                <w:snapToGrid w:val="0"/>
                <w:color w:val="auto"/>
                <w:spacing w:val="-4"/>
                <w:kern w:val="0"/>
                <w:sz w:val="24"/>
                <w:szCs w:val="24"/>
                <w:lang w:val="en-US" w:eastAsia="zh-CN" w:bidi="ar-SA"/>
              </w:rPr>
            </w:pPr>
            <w:r>
              <w:rPr>
                <w:rFonts w:hint="eastAsia" w:asciiTheme="minorEastAsia" w:hAnsiTheme="minorEastAsia" w:eastAsiaTheme="minorEastAsia" w:cstheme="minorEastAsia"/>
                <w:snapToGrid w:val="0"/>
                <w:color w:val="auto"/>
                <w:spacing w:val="-4"/>
                <w:kern w:val="0"/>
                <w:sz w:val="24"/>
                <w:szCs w:val="24"/>
                <w:lang w:val="en-US" w:eastAsia="zh-CN" w:bidi="ar-SA"/>
              </w:rPr>
              <w:t>4</w:t>
            </w:r>
          </w:p>
        </w:tc>
        <w:tc>
          <w:tcPr>
            <w:tcW w:w="2115" w:type="dxa"/>
            <w:noWrap w:val="0"/>
            <w:vAlign w:val="top"/>
          </w:tcPr>
          <w:p w14:paraId="324BD9FD">
            <w:pPr>
              <w:pStyle w:val="9"/>
              <w:pageBreakBefore w:val="0"/>
              <w:wordWrap/>
              <w:overflowPunct/>
              <w:topLinePunct w:val="0"/>
              <w:bidi w:val="0"/>
              <w:spacing w:before="78" w:line="500" w:lineRule="exact"/>
              <w:ind w:left="916"/>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snapToGrid w:val="0"/>
                <w:color w:val="auto"/>
                <w:spacing w:val="-4"/>
                <w:kern w:val="0"/>
                <w:sz w:val="24"/>
                <w:szCs w:val="24"/>
                <w:lang w:val="en-US" w:eastAsia="en-US" w:bidi="ar-SA"/>
              </w:rPr>
              <w:t>灭蚊灯</w:t>
            </w:r>
          </w:p>
        </w:tc>
        <w:tc>
          <w:tcPr>
            <w:tcW w:w="765" w:type="dxa"/>
            <w:noWrap w:val="0"/>
            <w:vAlign w:val="top"/>
          </w:tcPr>
          <w:p w14:paraId="766A08E2">
            <w:pPr>
              <w:pStyle w:val="9"/>
              <w:pageBreakBefore w:val="0"/>
              <w:wordWrap/>
              <w:overflowPunct/>
              <w:topLinePunct w:val="0"/>
              <w:bidi w:val="0"/>
              <w:spacing w:before="78" w:line="500" w:lineRule="exact"/>
              <w:jc w:val="center"/>
              <w:rPr>
                <w:rFonts w:hint="default" w:asciiTheme="minorEastAsia" w:hAnsiTheme="minorEastAsia" w:eastAsiaTheme="minorEastAsia" w:cstheme="minorEastAsia"/>
                <w:snapToGrid w:val="0"/>
                <w:color w:val="auto"/>
                <w:spacing w:val="-4"/>
                <w:kern w:val="0"/>
                <w:sz w:val="24"/>
                <w:szCs w:val="24"/>
                <w:lang w:val="en-US" w:eastAsia="zh-CN" w:bidi="ar-SA"/>
              </w:rPr>
            </w:pPr>
            <w:r>
              <w:rPr>
                <w:rFonts w:hint="eastAsia" w:asciiTheme="minorEastAsia" w:hAnsiTheme="minorEastAsia" w:eastAsiaTheme="minorEastAsia" w:cstheme="minorEastAsia"/>
                <w:snapToGrid w:val="0"/>
                <w:color w:val="auto"/>
                <w:spacing w:val="-4"/>
                <w:kern w:val="0"/>
                <w:sz w:val="24"/>
                <w:szCs w:val="24"/>
                <w:lang w:val="en-US" w:eastAsia="zh-CN" w:bidi="ar-SA"/>
              </w:rPr>
              <w:t>个</w:t>
            </w:r>
          </w:p>
        </w:tc>
        <w:tc>
          <w:tcPr>
            <w:tcW w:w="1035" w:type="dxa"/>
            <w:noWrap w:val="0"/>
            <w:vAlign w:val="center"/>
          </w:tcPr>
          <w:p w14:paraId="1231FB7D">
            <w:pPr>
              <w:pStyle w:val="9"/>
              <w:pageBreakBefore w:val="0"/>
              <w:wordWrap/>
              <w:overflowPunct/>
              <w:topLinePunct w:val="0"/>
              <w:bidi w:val="0"/>
              <w:spacing w:before="78" w:line="500" w:lineRule="exact"/>
              <w:jc w:val="center"/>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snapToGrid w:val="0"/>
                <w:color w:val="auto"/>
                <w:spacing w:val="-4"/>
                <w:kern w:val="0"/>
                <w:sz w:val="24"/>
                <w:szCs w:val="24"/>
                <w:lang w:val="en-US" w:eastAsia="en-US" w:bidi="ar-SA"/>
              </w:rPr>
              <w:t>50</w:t>
            </w:r>
          </w:p>
        </w:tc>
        <w:tc>
          <w:tcPr>
            <w:tcW w:w="4552" w:type="dxa"/>
            <w:noWrap w:val="0"/>
            <w:vAlign w:val="top"/>
          </w:tcPr>
          <w:p w14:paraId="7B2B8C32">
            <w:pPr>
              <w:pStyle w:val="9"/>
              <w:pageBreakBefore w:val="0"/>
              <w:wordWrap/>
              <w:overflowPunct/>
              <w:topLinePunct w:val="0"/>
              <w:bidi w:val="0"/>
              <w:spacing w:before="35" w:line="500" w:lineRule="exact"/>
              <w:ind w:left="116" w:leftChars="0" w:right="46" w:rightChars="0" w:firstLine="14" w:firstLineChars="0"/>
              <w:jc w:val="both"/>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snapToGrid w:val="0"/>
                <w:color w:val="auto"/>
                <w:spacing w:val="-4"/>
                <w:kern w:val="0"/>
                <w:sz w:val="24"/>
                <w:szCs w:val="24"/>
                <w:lang w:val="en-US" w:eastAsia="zh-CN" w:bidi="ar-SA"/>
              </w:rPr>
              <w:t>符合行业标准要求</w:t>
            </w:r>
            <w:r>
              <w:rPr>
                <w:rFonts w:hint="eastAsia" w:asciiTheme="minorEastAsia" w:hAnsiTheme="minorEastAsia" w:eastAsiaTheme="minorEastAsia" w:cstheme="minorEastAsia"/>
                <w:snapToGrid w:val="0"/>
                <w:color w:val="auto"/>
                <w:spacing w:val="-4"/>
                <w:kern w:val="0"/>
                <w:sz w:val="24"/>
                <w:szCs w:val="24"/>
                <w:lang w:val="en-US" w:eastAsia="en-US" w:bidi="ar-SA"/>
              </w:rPr>
              <w:t>。</w:t>
            </w:r>
          </w:p>
        </w:tc>
      </w:tr>
      <w:tr w14:paraId="4E2B3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jc w:val="center"/>
        </w:trPr>
        <w:tc>
          <w:tcPr>
            <w:tcW w:w="579" w:type="dxa"/>
            <w:noWrap w:val="0"/>
            <w:vAlign w:val="top"/>
          </w:tcPr>
          <w:p w14:paraId="2BBBFF5B">
            <w:pPr>
              <w:pStyle w:val="9"/>
              <w:pageBreakBefore w:val="0"/>
              <w:wordWrap/>
              <w:overflowPunct/>
              <w:topLinePunct w:val="0"/>
              <w:bidi w:val="0"/>
              <w:spacing w:before="78" w:line="500" w:lineRule="exact"/>
              <w:ind w:firstLine="232" w:firstLineChars="100"/>
              <w:jc w:val="both"/>
              <w:rPr>
                <w:rFonts w:hint="eastAsia" w:asciiTheme="minorEastAsia" w:hAnsiTheme="minorEastAsia" w:eastAsiaTheme="minorEastAsia" w:cstheme="minorEastAsia"/>
                <w:snapToGrid w:val="0"/>
                <w:color w:val="auto"/>
                <w:spacing w:val="-4"/>
                <w:kern w:val="0"/>
                <w:sz w:val="24"/>
                <w:szCs w:val="24"/>
                <w:lang w:val="en-US" w:eastAsia="zh-CN" w:bidi="ar-SA"/>
              </w:rPr>
            </w:pPr>
            <w:r>
              <w:rPr>
                <w:rFonts w:hint="eastAsia" w:asciiTheme="minorEastAsia" w:hAnsiTheme="minorEastAsia" w:eastAsiaTheme="minorEastAsia" w:cstheme="minorEastAsia"/>
                <w:snapToGrid w:val="0"/>
                <w:color w:val="auto"/>
                <w:spacing w:val="-4"/>
                <w:kern w:val="0"/>
                <w:sz w:val="24"/>
                <w:szCs w:val="24"/>
                <w:lang w:val="en-US" w:eastAsia="zh-CN" w:bidi="ar-SA"/>
              </w:rPr>
              <w:t>5</w:t>
            </w:r>
          </w:p>
        </w:tc>
        <w:tc>
          <w:tcPr>
            <w:tcW w:w="2115" w:type="dxa"/>
            <w:noWrap w:val="0"/>
            <w:vAlign w:val="top"/>
          </w:tcPr>
          <w:p w14:paraId="25158408">
            <w:pPr>
              <w:pStyle w:val="9"/>
              <w:pageBreakBefore w:val="0"/>
              <w:wordWrap/>
              <w:overflowPunct/>
              <w:topLinePunct w:val="0"/>
              <w:bidi w:val="0"/>
              <w:spacing w:before="78" w:line="500" w:lineRule="exact"/>
              <w:ind w:left="914"/>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snapToGrid w:val="0"/>
                <w:color w:val="auto"/>
                <w:spacing w:val="-4"/>
                <w:kern w:val="0"/>
                <w:sz w:val="24"/>
                <w:szCs w:val="24"/>
                <w:lang w:val="en-US" w:eastAsia="en-US" w:bidi="ar-SA"/>
              </w:rPr>
              <w:t>捕蝇笼</w:t>
            </w:r>
          </w:p>
        </w:tc>
        <w:tc>
          <w:tcPr>
            <w:tcW w:w="765" w:type="dxa"/>
            <w:noWrap w:val="0"/>
            <w:vAlign w:val="top"/>
          </w:tcPr>
          <w:p w14:paraId="4F934195">
            <w:pPr>
              <w:pStyle w:val="9"/>
              <w:pageBreakBefore w:val="0"/>
              <w:wordWrap/>
              <w:overflowPunct/>
              <w:topLinePunct w:val="0"/>
              <w:bidi w:val="0"/>
              <w:spacing w:before="78" w:line="500" w:lineRule="exact"/>
              <w:jc w:val="center"/>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snapToGrid w:val="0"/>
                <w:color w:val="auto"/>
                <w:spacing w:val="-4"/>
                <w:kern w:val="0"/>
                <w:sz w:val="24"/>
                <w:szCs w:val="24"/>
                <w:lang w:val="en-US" w:eastAsia="en-US" w:bidi="ar-SA"/>
              </w:rPr>
              <w:t>个</w:t>
            </w:r>
          </w:p>
        </w:tc>
        <w:tc>
          <w:tcPr>
            <w:tcW w:w="1035" w:type="dxa"/>
            <w:noWrap w:val="0"/>
            <w:vAlign w:val="center"/>
          </w:tcPr>
          <w:p w14:paraId="7A755953">
            <w:pPr>
              <w:pStyle w:val="9"/>
              <w:pageBreakBefore w:val="0"/>
              <w:wordWrap/>
              <w:overflowPunct/>
              <w:topLinePunct w:val="0"/>
              <w:bidi w:val="0"/>
              <w:spacing w:before="78" w:line="500" w:lineRule="exact"/>
              <w:jc w:val="center"/>
              <w:rPr>
                <w:rFonts w:hint="default" w:asciiTheme="minorEastAsia" w:hAnsiTheme="minorEastAsia" w:eastAsiaTheme="minorEastAsia" w:cstheme="minorEastAsia"/>
                <w:snapToGrid w:val="0"/>
                <w:color w:val="auto"/>
                <w:spacing w:val="-4"/>
                <w:kern w:val="0"/>
                <w:sz w:val="24"/>
                <w:szCs w:val="24"/>
                <w:lang w:val="en-US" w:eastAsia="zh-CN" w:bidi="ar-SA"/>
              </w:rPr>
            </w:pPr>
            <w:r>
              <w:rPr>
                <w:rFonts w:hint="eastAsia" w:asciiTheme="minorEastAsia" w:hAnsiTheme="minorEastAsia" w:eastAsiaTheme="minorEastAsia" w:cstheme="minorEastAsia"/>
                <w:snapToGrid w:val="0"/>
                <w:color w:val="auto"/>
                <w:spacing w:val="-4"/>
                <w:kern w:val="0"/>
                <w:sz w:val="24"/>
                <w:szCs w:val="24"/>
                <w:lang w:val="en-US" w:eastAsia="zh-CN" w:bidi="ar-SA"/>
              </w:rPr>
              <w:t>600</w:t>
            </w:r>
          </w:p>
        </w:tc>
        <w:tc>
          <w:tcPr>
            <w:tcW w:w="4552" w:type="dxa"/>
            <w:noWrap w:val="0"/>
            <w:vAlign w:val="top"/>
          </w:tcPr>
          <w:p w14:paraId="40A14ED8">
            <w:pPr>
              <w:pStyle w:val="9"/>
              <w:pageBreakBefore w:val="0"/>
              <w:wordWrap/>
              <w:overflowPunct/>
              <w:topLinePunct w:val="0"/>
              <w:bidi w:val="0"/>
              <w:spacing w:before="78" w:line="500" w:lineRule="exact"/>
              <w:jc w:val="both"/>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snapToGrid w:val="0"/>
                <w:color w:val="auto"/>
                <w:spacing w:val="-4"/>
                <w:kern w:val="0"/>
                <w:sz w:val="24"/>
                <w:szCs w:val="24"/>
                <w:lang w:val="en-US" w:eastAsia="zh-CN" w:bidi="ar-SA"/>
              </w:rPr>
              <w:t>符合行业标准要求，</w:t>
            </w:r>
            <w:r>
              <w:rPr>
                <w:rFonts w:hint="eastAsia" w:asciiTheme="minorEastAsia" w:hAnsiTheme="minorEastAsia" w:eastAsiaTheme="minorEastAsia" w:cstheme="minorEastAsia"/>
                <w:snapToGrid w:val="0"/>
                <w:color w:val="auto"/>
                <w:spacing w:val="-4"/>
                <w:kern w:val="0"/>
                <w:sz w:val="24"/>
                <w:szCs w:val="24"/>
                <w:lang w:val="en-US" w:eastAsia="en-US" w:bidi="ar-SA"/>
              </w:rPr>
              <w:t>并含有宣传标语。</w:t>
            </w:r>
          </w:p>
        </w:tc>
      </w:tr>
    </w:tbl>
    <w:p w14:paraId="7D5EF5C0">
      <w:pPr>
        <w:keepNext w:val="0"/>
        <w:keepLines w:val="0"/>
        <w:pageBreakBefore w:val="0"/>
        <w:widowControl/>
        <w:kinsoku w:val="0"/>
        <w:wordWrap/>
        <w:overflowPunct/>
        <w:topLinePunct w:val="0"/>
        <w:autoSpaceDE w:val="0"/>
        <w:autoSpaceDN w:val="0"/>
        <w:bidi w:val="0"/>
        <w:adjustRightInd w:val="0"/>
        <w:snapToGrid w:val="0"/>
        <w:spacing w:line="480" w:lineRule="exact"/>
        <w:ind w:firstLine="470"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lang w:val="en-US" w:eastAsia="zh-CN"/>
        </w:rPr>
        <w:t>3</w:t>
      </w:r>
      <w:r>
        <w:rPr>
          <w:rFonts w:hint="eastAsia" w:asciiTheme="minorEastAsia" w:hAnsiTheme="minorEastAsia" w:eastAsiaTheme="minorEastAsia" w:cstheme="minorEastAsia"/>
          <w:b/>
          <w:bCs/>
          <w:color w:val="auto"/>
          <w:spacing w:val="-3"/>
          <w:sz w:val="24"/>
          <w:szCs w:val="24"/>
        </w:rPr>
        <w:t>、采购项目内容</w:t>
      </w:r>
    </w:p>
    <w:p w14:paraId="7F898A6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62"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lang w:val="en-US" w:eastAsia="zh-CN"/>
        </w:rPr>
        <w:t>3</w:t>
      </w:r>
      <w:r>
        <w:rPr>
          <w:rFonts w:hint="eastAsia" w:asciiTheme="minorEastAsia" w:hAnsiTheme="minorEastAsia" w:eastAsiaTheme="minorEastAsia" w:cstheme="minorEastAsia"/>
          <w:b/>
          <w:bCs/>
          <w:color w:val="auto"/>
          <w:spacing w:val="-5"/>
          <w:sz w:val="24"/>
          <w:szCs w:val="24"/>
        </w:rPr>
        <w:t>.1</w:t>
      </w:r>
      <w:r>
        <w:rPr>
          <w:rFonts w:hint="eastAsia" w:asciiTheme="minorEastAsia" w:hAnsiTheme="minorEastAsia" w:eastAsiaTheme="minorEastAsia" w:cstheme="minorEastAsia"/>
          <w:b/>
          <w:bCs/>
          <w:color w:val="auto"/>
          <w:spacing w:val="-5"/>
          <w:sz w:val="24"/>
          <w:szCs w:val="24"/>
          <w:lang w:val="en-US" w:eastAsia="zh-CN"/>
        </w:rPr>
        <w:t xml:space="preserve"> </w:t>
      </w:r>
      <w:r>
        <w:rPr>
          <w:rFonts w:hint="eastAsia" w:asciiTheme="minorEastAsia" w:hAnsiTheme="minorEastAsia" w:eastAsiaTheme="minorEastAsia" w:cstheme="minorEastAsia"/>
          <w:b/>
          <w:bCs/>
          <w:color w:val="auto"/>
          <w:spacing w:val="-5"/>
          <w:sz w:val="24"/>
          <w:szCs w:val="24"/>
        </w:rPr>
        <w:t>基本情况：</w:t>
      </w:r>
    </w:p>
    <w:p w14:paraId="3C7E223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lang w:val="en-US" w:eastAsia="zh-CN"/>
        </w:rPr>
        <w:t>宜春市中心城区</w:t>
      </w:r>
      <w:r>
        <w:rPr>
          <w:rFonts w:hint="eastAsia" w:asciiTheme="minorEastAsia" w:hAnsiTheme="minorEastAsia" w:eastAsiaTheme="minorEastAsia" w:cstheme="minorEastAsia"/>
          <w:color w:val="auto"/>
          <w:spacing w:val="-1"/>
          <w:sz w:val="24"/>
          <w:szCs w:val="24"/>
        </w:rPr>
        <w:t>建成区</w:t>
      </w:r>
      <w:r>
        <w:rPr>
          <w:rFonts w:hint="eastAsia" w:asciiTheme="minorEastAsia" w:hAnsiTheme="minorEastAsia" w:eastAsiaTheme="minorEastAsia" w:cstheme="minorEastAsia"/>
          <w:color w:val="auto"/>
          <w:spacing w:val="-1"/>
          <w:sz w:val="24"/>
          <w:szCs w:val="24"/>
          <w:lang w:val="en-US" w:eastAsia="zh-CN"/>
        </w:rPr>
        <w:t>下辖</w:t>
      </w:r>
      <w:r>
        <w:rPr>
          <w:rFonts w:hint="eastAsia" w:asciiTheme="minorEastAsia" w:hAnsiTheme="minorEastAsia" w:eastAsiaTheme="minorEastAsia" w:cstheme="minorEastAsia"/>
          <w:color w:val="auto"/>
          <w:spacing w:val="-1"/>
          <w:sz w:val="24"/>
          <w:szCs w:val="24"/>
        </w:rPr>
        <w:t>袁州区、经济技术开发区</w:t>
      </w:r>
      <w:r>
        <w:rPr>
          <w:rFonts w:hint="eastAsia" w:asciiTheme="minorEastAsia" w:hAnsiTheme="minorEastAsia" w:eastAsiaTheme="minorEastAsia" w:cstheme="minorEastAsia"/>
          <w:color w:val="auto"/>
          <w:spacing w:val="-1"/>
          <w:sz w:val="24"/>
          <w:szCs w:val="24"/>
          <w:lang w:val="en-US" w:eastAsia="zh-CN"/>
        </w:rPr>
        <w:t>和</w:t>
      </w:r>
      <w:r>
        <w:rPr>
          <w:rFonts w:hint="eastAsia" w:asciiTheme="minorEastAsia" w:hAnsiTheme="minorEastAsia" w:eastAsiaTheme="minorEastAsia" w:cstheme="minorEastAsia"/>
          <w:color w:val="auto"/>
          <w:spacing w:val="-1"/>
          <w:sz w:val="24"/>
          <w:szCs w:val="24"/>
        </w:rPr>
        <w:t>宜阳新区10个街道78个社区</w:t>
      </w:r>
      <w:r>
        <w:rPr>
          <w:rFonts w:hint="eastAsia" w:asciiTheme="minorEastAsia" w:hAnsiTheme="minorEastAsia" w:eastAsiaTheme="minorEastAsia" w:cstheme="minorEastAsia"/>
          <w:color w:val="auto"/>
          <w:spacing w:val="-1"/>
          <w:sz w:val="24"/>
          <w:szCs w:val="24"/>
          <w:lang w:val="en-US" w:eastAsia="zh-CN"/>
        </w:rPr>
        <w:t>公共外环境病媒生物防制</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lang w:val="en-US" w:eastAsia="zh-CN"/>
        </w:rPr>
        <w:t>面积72平方公里</w:t>
      </w:r>
      <w:r>
        <w:rPr>
          <w:rFonts w:hint="eastAsia" w:asciiTheme="minorEastAsia" w:hAnsiTheme="minorEastAsia" w:eastAsiaTheme="minorEastAsia" w:cstheme="minorEastAsia"/>
          <w:color w:val="auto"/>
          <w:spacing w:val="-1"/>
          <w:sz w:val="24"/>
          <w:szCs w:val="24"/>
        </w:rPr>
        <w:t>。公共</w:t>
      </w:r>
      <w:r>
        <w:rPr>
          <w:rFonts w:hint="eastAsia" w:asciiTheme="minorEastAsia" w:hAnsiTheme="minorEastAsia" w:eastAsiaTheme="minorEastAsia" w:cstheme="minorEastAsia"/>
          <w:color w:val="auto"/>
          <w:spacing w:val="-1"/>
          <w:sz w:val="24"/>
          <w:szCs w:val="24"/>
          <w:lang w:val="en-US" w:eastAsia="zh-CN"/>
        </w:rPr>
        <w:t>外</w:t>
      </w:r>
      <w:r>
        <w:rPr>
          <w:rFonts w:hint="eastAsia" w:asciiTheme="minorEastAsia" w:hAnsiTheme="minorEastAsia" w:eastAsiaTheme="minorEastAsia" w:cstheme="minorEastAsia"/>
          <w:color w:val="auto"/>
          <w:spacing w:val="-1"/>
          <w:sz w:val="24"/>
          <w:szCs w:val="24"/>
        </w:rPr>
        <w:t>环境</w:t>
      </w:r>
      <w:r>
        <w:rPr>
          <w:rFonts w:hint="eastAsia" w:asciiTheme="minorEastAsia" w:hAnsiTheme="minorEastAsia" w:eastAsiaTheme="minorEastAsia" w:cstheme="minorEastAsia"/>
          <w:color w:val="auto"/>
          <w:spacing w:val="-1"/>
          <w:sz w:val="24"/>
          <w:szCs w:val="24"/>
          <w:lang w:val="en-US" w:eastAsia="zh-CN"/>
        </w:rPr>
        <w:t>具体</w:t>
      </w:r>
      <w:r>
        <w:rPr>
          <w:rFonts w:hint="eastAsia" w:asciiTheme="minorEastAsia" w:hAnsiTheme="minorEastAsia" w:eastAsiaTheme="minorEastAsia" w:cstheme="minorEastAsia"/>
          <w:color w:val="auto"/>
          <w:spacing w:val="-1"/>
          <w:sz w:val="24"/>
          <w:szCs w:val="24"/>
        </w:rPr>
        <w:t>包括主次干道、背街小巷、居民住宅区（无物业管理）、城中村、城乡结合部、绿化带、草坪、公园（广场）、停建工地（烂尾楼）、待建地、闲置地、下水道、公厕、外环境生活垃圾存放容器、垃圾中转站、排水管网（下水道）、河涌、沟渠、洼地</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lang w:val="en-US" w:eastAsia="zh-CN"/>
        </w:rPr>
        <w:t>公共停车场</w:t>
      </w:r>
      <w:r>
        <w:rPr>
          <w:rFonts w:hint="eastAsia" w:asciiTheme="minorEastAsia" w:hAnsiTheme="minorEastAsia" w:eastAsiaTheme="minorEastAsia" w:cstheme="minorEastAsia"/>
          <w:color w:val="auto"/>
          <w:spacing w:val="-1"/>
          <w:sz w:val="24"/>
          <w:szCs w:val="24"/>
        </w:rPr>
        <w:t>等场所。</w:t>
      </w:r>
    </w:p>
    <w:p w14:paraId="169D79E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42" w:firstLineChars="200"/>
        <w:textAlignment w:val="baseline"/>
        <w:rPr>
          <w:rFonts w:hint="eastAsia" w:asciiTheme="minorEastAsia" w:hAnsiTheme="minorEastAsia" w:eastAsiaTheme="minorEastAsia" w:cstheme="minorEastAsia"/>
          <w:b/>
          <w:bCs/>
          <w:color w:val="auto"/>
          <w:spacing w:val="-10"/>
          <w:sz w:val="24"/>
          <w:szCs w:val="24"/>
        </w:rPr>
      </w:pPr>
      <w:r>
        <w:rPr>
          <w:rFonts w:hint="eastAsia" w:asciiTheme="minorEastAsia" w:hAnsiTheme="minorEastAsia" w:eastAsiaTheme="minorEastAsia" w:cstheme="minorEastAsia"/>
          <w:b/>
          <w:bCs/>
          <w:color w:val="auto"/>
          <w:spacing w:val="-10"/>
          <w:sz w:val="24"/>
          <w:szCs w:val="24"/>
          <w:lang w:val="en-US" w:eastAsia="zh-CN"/>
        </w:rPr>
        <w:t>3</w:t>
      </w:r>
      <w:r>
        <w:rPr>
          <w:rFonts w:hint="eastAsia" w:asciiTheme="minorEastAsia" w:hAnsiTheme="minorEastAsia" w:eastAsiaTheme="minorEastAsia" w:cstheme="minorEastAsia"/>
          <w:b/>
          <w:bCs/>
          <w:color w:val="auto"/>
          <w:spacing w:val="-10"/>
          <w:sz w:val="24"/>
          <w:szCs w:val="24"/>
        </w:rPr>
        <w:t>.2</w:t>
      </w:r>
      <w:r>
        <w:rPr>
          <w:rFonts w:hint="eastAsia" w:asciiTheme="minorEastAsia" w:hAnsiTheme="minorEastAsia" w:eastAsiaTheme="minorEastAsia" w:cstheme="minorEastAsia"/>
          <w:b/>
          <w:bCs/>
          <w:color w:val="auto"/>
          <w:spacing w:val="-10"/>
          <w:sz w:val="24"/>
          <w:szCs w:val="24"/>
          <w:lang w:val="en-US" w:eastAsia="zh-CN"/>
        </w:rPr>
        <w:t xml:space="preserve"> 项目</w:t>
      </w:r>
      <w:r>
        <w:rPr>
          <w:rFonts w:hint="eastAsia" w:asciiTheme="minorEastAsia" w:hAnsiTheme="minorEastAsia" w:eastAsiaTheme="minorEastAsia" w:cstheme="minorEastAsia"/>
          <w:b/>
          <w:bCs/>
          <w:color w:val="auto"/>
          <w:spacing w:val="-10"/>
          <w:sz w:val="24"/>
          <w:szCs w:val="24"/>
        </w:rPr>
        <w:t>目标：</w:t>
      </w:r>
    </w:p>
    <w:p w14:paraId="61AB448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rPr>
        <w:t>对</w:t>
      </w:r>
      <w:r>
        <w:rPr>
          <w:rFonts w:hint="eastAsia" w:asciiTheme="minorEastAsia" w:hAnsiTheme="minorEastAsia" w:eastAsiaTheme="minorEastAsia" w:cstheme="minorEastAsia"/>
          <w:color w:val="auto"/>
          <w:spacing w:val="-1"/>
          <w:sz w:val="24"/>
          <w:szCs w:val="24"/>
          <w:lang w:eastAsia="zh-CN"/>
        </w:rPr>
        <w:t>宜春市</w:t>
      </w:r>
      <w:r>
        <w:rPr>
          <w:rFonts w:hint="eastAsia" w:asciiTheme="minorEastAsia" w:hAnsiTheme="minorEastAsia" w:eastAsiaTheme="minorEastAsia" w:cstheme="minorEastAsia"/>
          <w:color w:val="auto"/>
          <w:spacing w:val="-1"/>
          <w:sz w:val="24"/>
          <w:szCs w:val="24"/>
        </w:rPr>
        <w:t>建成区范围创卫区域的病媒生物进行防制工作，鼠、蚊、蝇</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lang w:val="en-US" w:eastAsia="zh-CN"/>
        </w:rPr>
        <w:t>蟑螂</w:t>
      </w:r>
      <w:r>
        <w:rPr>
          <w:rFonts w:hint="eastAsia" w:asciiTheme="minorEastAsia" w:hAnsiTheme="minorEastAsia" w:eastAsiaTheme="minorEastAsia" w:cstheme="minorEastAsia"/>
          <w:color w:val="auto"/>
          <w:spacing w:val="-1"/>
          <w:sz w:val="24"/>
          <w:szCs w:val="24"/>
        </w:rPr>
        <w:t>防制（投放地点、药量、投放环境）方法符合《</w:t>
      </w:r>
      <w:r>
        <w:rPr>
          <w:rFonts w:hint="eastAsia" w:asciiTheme="minorEastAsia" w:hAnsiTheme="minorEastAsia" w:eastAsiaTheme="minorEastAsia" w:cstheme="minorEastAsia"/>
          <w:color w:val="auto"/>
          <w:spacing w:val="-1"/>
          <w:sz w:val="24"/>
          <w:szCs w:val="24"/>
          <w:lang w:val="en-US" w:eastAsia="zh-CN"/>
        </w:rPr>
        <w:t>宜春市</w:t>
      </w:r>
      <w:r>
        <w:rPr>
          <w:rFonts w:hint="eastAsia" w:asciiTheme="minorEastAsia" w:hAnsiTheme="minorEastAsia" w:eastAsiaTheme="minorEastAsia" w:cstheme="minorEastAsia"/>
          <w:color w:val="auto"/>
          <w:spacing w:val="-1"/>
          <w:sz w:val="24"/>
          <w:szCs w:val="24"/>
        </w:rPr>
        <w:t>病媒生物防制技术方案》相关要求</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rPr>
        <w:t>鼠、蚊、蝇</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lang w:val="en-US" w:eastAsia="zh-CN"/>
        </w:rPr>
        <w:t>蟑螂病媒生物密度</w:t>
      </w:r>
      <w:r>
        <w:rPr>
          <w:rFonts w:hint="eastAsia" w:asciiTheme="minorEastAsia" w:hAnsiTheme="minorEastAsia" w:eastAsiaTheme="minorEastAsia" w:cstheme="minorEastAsia"/>
          <w:color w:val="auto"/>
          <w:spacing w:val="-1"/>
          <w:sz w:val="24"/>
          <w:szCs w:val="24"/>
        </w:rPr>
        <w:t>控制指标符合</w:t>
      </w:r>
      <w:r>
        <w:rPr>
          <w:rFonts w:hint="eastAsia" w:asciiTheme="minorEastAsia" w:hAnsiTheme="minorEastAsia" w:eastAsiaTheme="minorEastAsia" w:cstheme="minorEastAsia"/>
          <w:color w:val="auto"/>
          <w:spacing w:val="-1"/>
          <w:sz w:val="24"/>
          <w:szCs w:val="24"/>
          <w:lang w:val="en-US" w:eastAsia="zh-CN"/>
        </w:rPr>
        <w:t>相应病媒生物密度控制水平国家标准B级</w:t>
      </w:r>
      <w:r>
        <w:rPr>
          <w:rFonts w:hint="eastAsia" w:asciiTheme="minorEastAsia" w:hAnsiTheme="minorEastAsia" w:eastAsiaTheme="minorEastAsia" w:cstheme="minorEastAsia"/>
          <w:color w:val="auto"/>
          <w:spacing w:val="-1"/>
          <w:sz w:val="24"/>
          <w:szCs w:val="24"/>
        </w:rPr>
        <w:t>要求</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lang w:val="en-US" w:eastAsia="zh-CN"/>
        </w:rPr>
        <w:t>防鼠、防蝇设施</w:t>
      </w:r>
      <w:r>
        <w:rPr>
          <w:rFonts w:hint="eastAsia" w:asciiTheme="minorEastAsia" w:hAnsiTheme="minorEastAsia" w:eastAsiaTheme="minorEastAsia" w:cstheme="minorEastAsia"/>
          <w:color w:val="auto"/>
          <w:spacing w:val="-1"/>
          <w:sz w:val="24"/>
          <w:szCs w:val="24"/>
          <w:lang w:val="en-US" w:eastAsia="zh-CN"/>
        </w:rPr>
        <w:t>合格率</w:t>
      </w:r>
      <w:r>
        <w:rPr>
          <w:rFonts w:hint="eastAsia" w:asciiTheme="minorEastAsia" w:hAnsiTheme="minorEastAsia" w:eastAsiaTheme="minorEastAsia" w:cstheme="minorEastAsia"/>
          <w:color w:val="auto"/>
          <w:spacing w:val="-1"/>
          <w:sz w:val="24"/>
          <w:szCs w:val="24"/>
          <w:lang w:val="en-US" w:eastAsia="zh-CN"/>
        </w:rPr>
        <w:t>达到</w:t>
      </w:r>
      <w:r>
        <w:rPr>
          <w:rFonts w:hint="eastAsia" w:asciiTheme="minorEastAsia" w:hAnsiTheme="minorEastAsia" w:eastAsiaTheme="minorEastAsia" w:cstheme="minorEastAsia"/>
          <w:color w:val="auto"/>
          <w:spacing w:val="-1"/>
          <w:sz w:val="24"/>
          <w:szCs w:val="24"/>
          <w:lang w:val="en-US" w:eastAsia="zh-CN"/>
        </w:rPr>
        <w:t>《国家卫生城市和国家卫生县标准》（全爱卫办〔2021〕7号）中C级以上，</w:t>
      </w:r>
      <w:r>
        <w:rPr>
          <w:rFonts w:hint="eastAsia" w:asciiTheme="minorEastAsia" w:hAnsiTheme="minorEastAsia" w:eastAsiaTheme="minorEastAsia" w:cstheme="minorEastAsia"/>
          <w:color w:val="auto"/>
          <w:spacing w:val="-1"/>
          <w:sz w:val="24"/>
          <w:szCs w:val="24"/>
        </w:rPr>
        <w:t>提高城市卫生水平和群众满意度</w:t>
      </w:r>
      <w:r>
        <w:rPr>
          <w:rFonts w:hint="eastAsia" w:asciiTheme="minorEastAsia" w:hAnsiTheme="minorEastAsia" w:eastAsiaTheme="minorEastAsia" w:cstheme="minorEastAsia"/>
          <w:color w:val="auto"/>
          <w:spacing w:val="-1"/>
          <w:sz w:val="24"/>
          <w:szCs w:val="24"/>
          <w:lang w:val="en-US" w:eastAsia="zh-CN"/>
        </w:rPr>
        <w:t>，</w:t>
      </w:r>
      <w:r>
        <w:rPr>
          <w:rFonts w:hint="eastAsia" w:asciiTheme="minorEastAsia" w:hAnsiTheme="minorEastAsia" w:eastAsiaTheme="minorEastAsia" w:cstheme="minorEastAsia"/>
          <w:color w:val="auto"/>
          <w:spacing w:val="-1"/>
          <w:sz w:val="24"/>
          <w:szCs w:val="24"/>
        </w:rPr>
        <w:t>确保通过</w:t>
      </w:r>
      <w:r>
        <w:rPr>
          <w:rFonts w:hint="eastAsia" w:asciiTheme="minorEastAsia" w:hAnsiTheme="minorEastAsia" w:eastAsiaTheme="minorEastAsia" w:cstheme="minorEastAsia"/>
          <w:color w:val="auto"/>
          <w:spacing w:val="-1"/>
          <w:sz w:val="24"/>
          <w:szCs w:val="24"/>
          <w:lang w:val="en-US" w:eastAsia="zh-CN"/>
        </w:rPr>
        <w:t>全省统一开展的病媒生物密度控制水平年度评估</w:t>
      </w:r>
      <w:r>
        <w:rPr>
          <w:rFonts w:hint="eastAsia" w:asciiTheme="minorEastAsia" w:hAnsiTheme="minorEastAsia" w:eastAsiaTheme="minorEastAsia" w:cstheme="minorEastAsia"/>
          <w:color w:val="auto"/>
          <w:spacing w:val="-1"/>
          <w:sz w:val="24"/>
          <w:szCs w:val="24"/>
          <w:lang w:eastAsia="zh-CN"/>
        </w:rPr>
        <w:t>。</w:t>
      </w:r>
    </w:p>
    <w:p w14:paraId="594CB11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66"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lang w:val="en-US" w:eastAsia="zh-CN"/>
        </w:rPr>
        <w:t>3</w:t>
      </w:r>
      <w:r>
        <w:rPr>
          <w:rFonts w:hint="eastAsia" w:asciiTheme="minorEastAsia" w:hAnsiTheme="minorEastAsia" w:eastAsiaTheme="minorEastAsia" w:cstheme="minorEastAsia"/>
          <w:b/>
          <w:bCs/>
          <w:color w:val="auto"/>
          <w:spacing w:val="-4"/>
          <w:sz w:val="24"/>
          <w:szCs w:val="24"/>
        </w:rPr>
        <w:t>.3</w:t>
      </w:r>
      <w:r>
        <w:rPr>
          <w:rFonts w:hint="eastAsia" w:asciiTheme="minorEastAsia" w:hAnsiTheme="minorEastAsia" w:eastAsiaTheme="minorEastAsia" w:cstheme="minorEastAsia"/>
          <w:b/>
          <w:bCs/>
          <w:color w:val="auto"/>
          <w:spacing w:val="-4"/>
          <w:sz w:val="24"/>
          <w:szCs w:val="24"/>
          <w:lang w:val="en-US" w:eastAsia="zh-CN"/>
        </w:rPr>
        <w:t xml:space="preserve"> </w:t>
      </w:r>
      <w:r>
        <w:rPr>
          <w:rFonts w:hint="eastAsia" w:asciiTheme="minorEastAsia" w:hAnsiTheme="minorEastAsia" w:eastAsiaTheme="minorEastAsia" w:cstheme="minorEastAsia"/>
          <w:b/>
          <w:bCs/>
          <w:color w:val="auto"/>
          <w:spacing w:val="-4"/>
          <w:sz w:val="24"/>
          <w:szCs w:val="24"/>
        </w:rPr>
        <w:t>项目实施计划：</w:t>
      </w:r>
    </w:p>
    <w:p w14:paraId="24A026A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0" w:firstLineChars="200"/>
        <w:textAlignment w:val="baseline"/>
        <w:rPr>
          <w:rFonts w:hint="eastAsia" w:asciiTheme="minorEastAsia" w:hAnsiTheme="minorEastAsia" w:eastAsiaTheme="minorEastAsia" w:cstheme="minorEastAsia"/>
          <w:b/>
          <w:bCs/>
          <w:color w:val="auto"/>
          <w:spacing w:val="-3"/>
          <w:sz w:val="24"/>
          <w:szCs w:val="24"/>
        </w:rPr>
      </w:pPr>
      <w:r>
        <w:rPr>
          <w:rFonts w:hint="eastAsia" w:asciiTheme="minorEastAsia" w:hAnsiTheme="minorEastAsia" w:eastAsiaTheme="minorEastAsia" w:cstheme="minorEastAsia"/>
          <w:b/>
          <w:bCs/>
          <w:color w:val="auto"/>
          <w:spacing w:val="-3"/>
          <w:sz w:val="24"/>
          <w:szCs w:val="24"/>
          <w:lang w:val="en-US" w:eastAsia="zh-CN"/>
        </w:rPr>
        <w:t>3</w:t>
      </w:r>
      <w:r>
        <w:rPr>
          <w:rFonts w:hint="eastAsia" w:asciiTheme="minorEastAsia" w:hAnsiTheme="minorEastAsia" w:eastAsiaTheme="minorEastAsia" w:cstheme="minorEastAsia"/>
          <w:b/>
          <w:bCs/>
          <w:color w:val="auto"/>
          <w:spacing w:val="-3"/>
          <w:sz w:val="24"/>
          <w:szCs w:val="24"/>
        </w:rPr>
        <w:t>.3.1</w:t>
      </w:r>
      <w:r>
        <w:rPr>
          <w:rFonts w:hint="eastAsia" w:asciiTheme="minorEastAsia" w:hAnsiTheme="minorEastAsia" w:eastAsiaTheme="minorEastAsia" w:cstheme="minorEastAsia"/>
          <w:b/>
          <w:bCs/>
          <w:color w:val="auto"/>
          <w:spacing w:val="-3"/>
          <w:sz w:val="24"/>
          <w:szCs w:val="24"/>
          <w:lang w:val="en-US" w:eastAsia="zh-CN"/>
        </w:rPr>
        <w:t xml:space="preserve"> </w:t>
      </w:r>
      <w:r>
        <w:rPr>
          <w:rFonts w:hint="eastAsia" w:asciiTheme="minorEastAsia" w:hAnsiTheme="minorEastAsia" w:eastAsiaTheme="minorEastAsia" w:cstheme="minorEastAsia"/>
          <w:b/>
          <w:bCs/>
          <w:color w:val="auto"/>
          <w:spacing w:val="-3"/>
          <w:sz w:val="24"/>
          <w:szCs w:val="24"/>
        </w:rPr>
        <w:t>本底和孳生地调查：</w:t>
      </w:r>
    </w:p>
    <w:p w14:paraId="77FB460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为科学有效制订病媒生物防制工作计划，切合实际有效展开相关综合防治工作，在</w:t>
      </w:r>
      <w:r>
        <w:rPr>
          <w:rFonts w:hint="eastAsia" w:asciiTheme="minorEastAsia" w:hAnsiTheme="minorEastAsia" w:eastAsiaTheme="minorEastAsia" w:cstheme="minorEastAsia"/>
          <w:color w:val="auto"/>
          <w:spacing w:val="5"/>
          <w:sz w:val="24"/>
          <w:szCs w:val="24"/>
        </w:rPr>
        <w:t>开始病媒生物防制服务消杀工作之前必须先开展建成区范围病媒生物密度本底和</w:t>
      </w:r>
      <w:r>
        <w:rPr>
          <w:rFonts w:hint="eastAsia" w:asciiTheme="minorEastAsia" w:hAnsiTheme="minorEastAsia" w:eastAsiaTheme="minorEastAsia" w:cstheme="minorEastAsia"/>
          <w:color w:val="auto"/>
          <w:spacing w:val="4"/>
          <w:sz w:val="24"/>
          <w:szCs w:val="24"/>
        </w:rPr>
        <w:t>孳生</w:t>
      </w:r>
      <w:r>
        <w:rPr>
          <w:rFonts w:hint="eastAsia" w:asciiTheme="minorEastAsia" w:hAnsiTheme="minorEastAsia" w:eastAsiaTheme="minorEastAsia" w:cstheme="minorEastAsia"/>
          <w:color w:val="auto"/>
          <w:spacing w:val="-1"/>
          <w:sz w:val="24"/>
          <w:szCs w:val="24"/>
        </w:rPr>
        <w:t>地调查以及杀灭前监测，在消杀过程中自评</w:t>
      </w:r>
      <w:r>
        <w:rPr>
          <w:rFonts w:hint="eastAsia" w:asciiTheme="minorEastAsia" w:hAnsiTheme="minorEastAsia" w:eastAsiaTheme="minorEastAsia" w:cstheme="minorEastAsia"/>
          <w:color w:val="auto"/>
          <w:spacing w:val="-2"/>
          <w:sz w:val="24"/>
          <w:szCs w:val="24"/>
        </w:rPr>
        <w:t>防治效果，并依据评估情况进行及时纠偏，</w:t>
      </w:r>
      <w:r>
        <w:rPr>
          <w:rFonts w:hint="eastAsia" w:asciiTheme="minorEastAsia" w:hAnsiTheme="minorEastAsia" w:eastAsiaTheme="minorEastAsia" w:cstheme="minorEastAsia"/>
          <w:color w:val="auto"/>
          <w:sz w:val="24"/>
          <w:szCs w:val="24"/>
        </w:rPr>
        <w:t>确保综合防制效果。同时形成</w:t>
      </w:r>
      <w:r>
        <w:rPr>
          <w:rFonts w:hint="eastAsia" w:asciiTheme="minorEastAsia" w:hAnsiTheme="minorEastAsia" w:eastAsiaTheme="minorEastAsia" w:cstheme="minorEastAsia"/>
          <w:color w:val="auto"/>
          <w:sz w:val="24"/>
          <w:szCs w:val="24"/>
          <w:lang w:val="en-US" w:eastAsia="zh-CN"/>
        </w:rPr>
        <w:t>巩卫</w:t>
      </w:r>
      <w:r>
        <w:rPr>
          <w:rFonts w:hint="eastAsia" w:asciiTheme="minorEastAsia" w:hAnsiTheme="minorEastAsia" w:eastAsiaTheme="minorEastAsia" w:cstheme="minorEastAsia"/>
          <w:color w:val="auto"/>
          <w:sz w:val="24"/>
          <w:szCs w:val="24"/>
        </w:rPr>
        <w:t>病媒生物防制台</w:t>
      </w:r>
      <w:r>
        <w:rPr>
          <w:rFonts w:hint="eastAsia" w:asciiTheme="minorEastAsia" w:hAnsiTheme="minorEastAsia" w:eastAsiaTheme="minorEastAsia" w:cstheme="minorEastAsia"/>
          <w:color w:val="auto"/>
          <w:spacing w:val="-1"/>
          <w:sz w:val="24"/>
          <w:szCs w:val="24"/>
        </w:rPr>
        <w:t>账资料，收集归档。</w:t>
      </w:r>
    </w:p>
    <w:p w14:paraId="7C4334F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66"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lang w:val="en-US" w:eastAsia="zh-CN"/>
        </w:rPr>
        <w:t>3</w:t>
      </w:r>
      <w:r>
        <w:rPr>
          <w:rFonts w:hint="eastAsia" w:asciiTheme="minorEastAsia" w:hAnsiTheme="minorEastAsia" w:eastAsiaTheme="minorEastAsia" w:cstheme="minorEastAsia"/>
          <w:b/>
          <w:bCs/>
          <w:color w:val="auto"/>
          <w:spacing w:val="-4"/>
          <w:sz w:val="24"/>
          <w:szCs w:val="24"/>
        </w:rPr>
        <w:t>.3.2</w:t>
      </w:r>
      <w:r>
        <w:rPr>
          <w:rFonts w:hint="eastAsia" w:asciiTheme="minorEastAsia" w:hAnsiTheme="minorEastAsia" w:eastAsiaTheme="minorEastAsia" w:cstheme="minorEastAsia"/>
          <w:b/>
          <w:bCs/>
          <w:color w:val="auto"/>
          <w:spacing w:val="-4"/>
          <w:sz w:val="24"/>
          <w:szCs w:val="24"/>
          <w:lang w:val="en-US" w:eastAsia="zh-CN"/>
        </w:rPr>
        <w:t xml:space="preserve"> </w:t>
      </w:r>
      <w:r>
        <w:rPr>
          <w:rFonts w:hint="eastAsia" w:asciiTheme="minorEastAsia" w:hAnsiTheme="minorEastAsia" w:eastAsiaTheme="minorEastAsia" w:cstheme="minorEastAsia"/>
          <w:b/>
          <w:bCs/>
          <w:color w:val="auto"/>
          <w:spacing w:val="-4"/>
          <w:sz w:val="24"/>
          <w:szCs w:val="24"/>
        </w:rPr>
        <w:t>消杀范围：</w:t>
      </w:r>
    </w:p>
    <w:p w14:paraId="3A5F501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textAlignment w:val="baseline"/>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2"/>
          <w:sz w:val="24"/>
          <w:szCs w:val="24"/>
          <w:lang w:val="en-US" w:eastAsia="zh-CN"/>
        </w:rPr>
        <w:t>宜春市中心城区</w:t>
      </w:r>
      <w:r>
        <w:rPr>
          <w:rFonts w:hint="eastAsia" w:asciiTheme="minorEastAsia" w:hAnsiTheme="minorEastAsia" w:eastAsiaTheme="minorEastAsia" w:cstheme="minorEastAsia"/>
          <w:color w:val="auto"/>
          <w:spacing w:val="-2"/>
          <w:sz w:val="24"/>
          <w:szCs w:val="24"/>
        </w:rPr>
        <w:t>建成区</w:t>
      </w:r>
      <w:r>
        <w:rPr>
          <w:rFonts w:hint="eastAsia" w:asciiTheme="minorEastAsia" w:hAnsiTheme="minorEastAsia" w:eastAsiaTheme="minorEastAsia" w:cstheme="minorEastAsia"/>
          <w:color w:val="auto"/>
          <w:spacing w:val="-2"/>
          <w:sz w:val="24"/>
          <w:szCs w:val="24"/>
          <w:lang w:val="en-US" w:eastAsia="zh-CN"/>
        </w:rPr>
        <w:t>下辖</w:t>
      </w:r>
      <w:r>
        <w:rPr>
          <w:rFonts w:hint="eastAsia" w:asciiTheme="minorEastAsia" w:hAnsiTheme="minorEastAsia" w:eastAsiaTheme="minorEastAsia" w:cstheme="minorEastAsia"/>
          <w:color w:val="auto"/>
          <w:spacing w:val="-2"/>
          <w:sz w:val="24"/>
          <w:szCs w:val="24"/>
        </w:rPr>
        <w:t>袁州区、经济技术开发区</w:t>
      </w:r>
      <w:r>
        <w:rPr>
          <w:rFonts w:hint="eastAsia" w:asciiTheme="minorEastAsia" w:hAnsiTheme="minorEastAsia" w:eastAsiaTheme="minorEastAsia" w:cstheme="minorEastAsia"/>
          <w:color w:val="auto"/>
          <w:spacing w:val="-2"/>
          <w:sz w:val="24"/>
          <w:szCs w:val="24"/>
          <w:lang w:val="en-US" w:eastAsia="zh-CN"/>
        </w:rPr>
        <w:t>和</w:t>
      </w:r>
      <w:r>
        <w:rPr>
          <w:rFonts w:hint="eastAsia" w:asciiTheme="minorEastAsia" w:hAnsiTheme="minorEastAsia" w:eastAsiaTheme="minorEastAsia" w:cstheme="minorEastAsia"/>
          <w:color w:val="auto"/>
          <w:spacing w:val="-2"/>
          <w:sz w:val="24"/>
          <w:szCs w:val="24"/>
        </w:rPr>
        <w:t>宜阳新区10个街道78个社区</w:t>
      </w:r>
      <w:r>
        <w:rPr>
          <w:rFonts w:hint="eastAsia" w:asciiTheme="minorEastAsia" w:hAnsiTheme="minorEastAsia" w:eastAsiaTheme="minorEastAsia" w:cstheme="minorEastAsia"/>
          <w:color w:val="auto"/>
          <w:spacing w:val="-2"/>
          <w:sz w:val="24"/>
          <w:szCs w:val="24"/>
          <w:lang w:val="en-US" w:eastAsia="zh-CN"/>
        </w:rPr>
        <w:t>公共外环境病媒生物防制</w:t>
      </w:r>
      <w:r>
        <w:rPr>
          <w:rFonts w:hint="eastAsia" w:asciiTheme="minorEastAsia" w:hAnsiTheme="minorEastAsia" w:eastAsiaTheme="minorEastAsia" w:cstheme="minorEastAsia"/>
          <w:color w:val="auto"/>
          <w:spacing w:val="-2"/>
          <w:sz w:val="24"/>
          <w:szCs w:val="24"/>
          <w:lang w:eastAsia="zh-CN"/>
        </w:rPr>
        <w:t>，</w:t>
      </w:r>
      <w:r>
        <w:rPr>
          <w:rFonts w:hint="eastAsia" w:asciiTheme="minorEastAsia" w:hAnsiTheme="minorEastAsia" w:eastAsiaTheme="minorEastAsia" w:cstheme="minorEastAsia"/>
          <w:color w:val="auto"/>
          <w:spacing w:val="-2"/>
          <w:sz w:val="24"/>
          <w:szCs w:val="24"/>
          <w:lang w:val="en-US" w:eastAsia="zh-CN"/>
        </w:rPr>
        <w:t>面积72平方公里</w:t>
      </w:r>
      <w:r>
        <w:rPr>
          <w:rFonts w:hint="eastAsia" w:asciiTheme="minorEastAsia" w:hAnsiTheme="minorEastAsia" w:eastAsiaTheme="minorEastAsia" w:cstheme="minorEastAsia"/>
          <w:color w:val="auto"/>
          <w:spacing w:val="-2"/>
          <w:sz w:val="24"/>
          <w:szCs w:val="24"/>
        </w:rPr>
        <w:t>。公共</w:t>
      </w:r>
      <w:r>
        <w:rPr>
          <w:rFonts w:hint="eastAsia" w:asciiTheme="minorEastAsia" w:hAnsiTheme="minorEastAsia" w:eastAsiaTheme="minorEastAsia" w:cstheme="minorEastAsia"/>
          <w:color w:val="auto"/>
          <w:spacing w:val="-2"/>
          <w:sz w:val="24"/>
          <w:szCs w:val="24"/>
          <w:lang w:val="en-US" w:eastAsia="zh-CN"/>
        </w:rPr>
        <w:t>外</w:t>
      </w:r>
      <w:r>
        <w:rPr>
          <w:rFonts w:hint="eastAsia" w:asciiTheme="minorEastAsia" w:hAnsiTheme="minorEastAsia" w:eastAsiaTheme="minorEastAsia" w:cstheme="minorEastAsia"/>
          <w:color w:val="auto"/>
          <w:spacing w:val="-2"/>
          <w:sz w:val="24"/>
          <w:szCs w:val="24"/>
        </w:rPr>
        <w:t>环境</w:t>
      </w:r>
      <w:r>
        <w:rPr>
          <w:rFonts w:hint="eastAsia" w:asciiTheme="minorEastAsia" w:hAnsiTheme="minorEastAsia" w:eastAsiaTheme="minorEastAsia" w:cstheme="minorEastAsia"/>
          <w:color w:val="auto"/>
          <w:spacing w:val="-2"/>
          <w:sz w:val="24"/>
          <w:szCs w:val="24"/>
          <w:lang w:val="en-US" w:eastAsia="zh-CN"/>
        </w:rPr>
        <w:t>具体</w:t>
      </w:r>
      <w:r>
        <w:rPr>
          <w:rFonts w:hint="eastAsia" w:asciiTheme="minorEastAsia" w:hAnsiTheme="minorEastAsia" w:eastAsiaTheme="minorEastAsia" w:cstheme="minorEastAsia"/>
          <w:color w:val="auto"/>
          <w:spacing w:val="-2"/>
          <w:sz w:val="24"/>
          <w:szCs w:val="24"/>
        </w:rPr>
        <w:t>包括主次干道、背街小巷、居民住宅区（无物业管理）、城中村、城乡结合部、绿化带、草坪、公园（广场）、停建工地（烂尾楼）、待建地、闲置地</w:t>
      </w:r>
      <w:r>
        <w:rPr>
          <w:rFonts w:hint="eastAsia" w:asciiTheme="minorEastAsia" w:hAnsiTheme="minorEastAsia" w:eastAsiaTheme="minorEastAsia" w:cstheme="minorEastAsia"/>
          <w:color w:val="auto"/>
          <w:spacing w:val="1"/>
          <w:sz w:val="24"/>
          <w:szCs w:val="24"/>
        </w:rPr>
        <w:t>、公厕、外环境生活垃圾存放容器、排水管网（下水道）、</w:t>
      </w:r>
      <w:r>
        <w:rPr>
          <w:rFonts w:hint="eastAsia" w:asciiTheme="minorEastAsia" w:hAnsiTheme="minorEastAsia" w:eastAsiaTheme="minorEastAsia" w:cstheme="minorEastAsia"/>
          <w:color w:val="auto"/>
          <w:spacing w:val="1"/>
          <w:sz w:val="24"/>
          <w:szCs w:val="24"/>
          <w:lang w:val="en-US" w:eastAsia="zh-CN"/>
        </w:rPr>
        <w:t>公共停车场、</w:t>
      </w:r>
      <w:r>
        <w:rPr>
          <w:rFonts w:hint="eastAsia" w:asciiTheme="minorEastAsia" w:hAnsiTheme="minorEastAsia" w:eastAsiaTheme="minorEastAsia" w:cstheme="minorEastAsia"/>
          <w:color w:val="auto"/>
          <w:spacing w:val="1"/>
          <w:sz w:val="24"/>
          <w:szCs w:val="24"/>
        </w:rPr>
        <w:t>垃圾中转站</w:t>
      </w:r>
      <w:r>
        <w:rPr>
          <w:rFonts w:hint="eastAsia" w:asciiTheme="minorEastAsia" w:hAnsiTheme="minorEastAsia" w:eastAsiaTheme="minorEastAsia" w:cstheme="minorEastAsia"/>
          <w:color w:val="auto"/>
          <w:spacing w:val="1"/>
          <w:sz w:val="24"/>
          <w:szCs w:val="24"/>
          <w:lang w:val="en-US" w:eastAsia="zh-CN"/>
        </w:rPr>
        <w:t>周边</w:t>
      </w:r>
      <w:r>
        <w:rPr>
          <w:rFonts w:hint="eastAsia" w:asciiTheme="minorEastAsia" w:hAnsiTheme="minorEastAsia" w:eastAsiaTheme="minorEastAsia" w:cstheme="minorEastAsia"/>
          <w:color w:val="auto"/>
          <w:spacing w:val="1"/>
          <w:sz w:val="24"/>
          <w:szCs w:val="24"/>
        </w:rPr>
        <w:t>、河流湖泊及沿岸、公共绿化带、蚊虫孳生水体、苍蝇孳生地</w:t>
      </w:r>
      <w:r>
        <w:rPr>
          <w:rFonts w:hint="eastAsia" w:asciiTheme="minorEastAsia" w:hAnsiTheme="minorEastAsia" w:eastAsiaTheme="minorEastAsia" w:cstheme="minorEastAsia"/>
          <w:color w:val="auto"/>
          <w:spacing w:val="1"/>
          <w:sz w:val="24"/>
          <w:szCs w:val="24"/>
          <w:lang w:val="en-US" w:eastAsia="zh-CN"/>
        </w:rPr>
        <w:t>等的</w:t>
      </w:r>
      <w:r>
        <w:rPr>
          <w:rFonts w:hint="eastAsia" w:asciiTheme="minorEastAsia" w:hAnsiTheme="minorEastAsia" w:eastAsiaTheme="minorEastAsia" w:cstheme="minorEastAsia"/>
          <w:color w:val="auto"/>
          <w:spacing w:val="1"/>
          <w:sz w:val="24"/>
          <w:szCs w:val="24"/>
        </w:rPr>
        <w:t>公共外环境区域。</w:t>
      </w:r>
    </w:p>
    <w:p w14:paraId="0F4D5FD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66" w:firstLineChars="200"/>
        <w:textAlignment w:val="baseline"/>
        <w:rPr>
          <w:rFonts w:hint="eastAsia" w:asciiTheme="minorEastAsia" w:hAnsiTheme="minorEastAsia" w:eastAsiaTheme="minorEastAsia" w:cstheme="minorEastAsia"/>
          <w:b/>
          <w:bCs/>
          <w:color w:val="auto"/>
          <w:spacing w:val="-4"/>
          <w:sz w:val="24"/>
          <w:szCs w:val="24"/>
        </w:rPr>
      </w:pPr>
      <w:r>
        <w:rPr>
          <w:rFonts w:hint="eastAsia" w:asciiTheme="minorEastAsia" w:hAnsiTheme="minorEastAsia" w:eastAsiaTheme="minorEastAsia" w:cstheme="minorEastAsia"/>
          <w:b/>
          <w:bCs/>
          <w:color w:val="auto"/>
          <w:spacing w:val="-4"/>
          <w:sz w:val="24"/>
          <w:szCs w:val="24"/>
          <w:lang w:val="en-US" w:eastAsia="zh-CN"/>
        </w:rPr>
        <w:t>3</w:t>
      </w:r>
      <w:r>
        <w:rPr>
          <w:rFonts w:hint="eastAsia" w:asciiTheme="minorEastAsia" w:hAnsiTheme="minorEastAsia" w:eastAsiaTheme="minorEastAsia" w:cstheme="minorEastAsia"/>
          <w:b/>
          <w:bCs/>
          <w:color w:val="auto"/>
          <w:spacing w:val="-4"/>
          <w:sz w:val="24"/>
          <w:szCs w:val="24"/>
        </w:rPr>
        <w:t>.3.3</w:t>
      </w:r>
      <w:r>
        <w:rPr>
          <w:rFonts w:hint="eastAsia" w:asciiTheme="minorEastAsia" w:hAnsiTheme="minorEastAsia" w:eastAsiaTheme="minorEastAsia" w:cstheme="minorEastAsia"/>
          <w:b/>
          <w:bCs/>
          <w:color w:val="auto"/>
          <w:spacing w:val="-4"/>
          <w:sz w:val="24"/>
          <w:szCs w:val="24"/>
          <w:lang w:val="en-US" w:eastAsia="zh-CN"/>
        </w:rPr>
        <w:t xml:space="preserve"> </w:t>
      </w:r>
      <w:r>
        <w:rPr>
          <w:rFonts w:hint="eastAsia" w:asciiTheme="minorEastAsia" w:hAnsiTheme="minorEastAsia" w:eastAsiaTheme="minorEastAsia" w:cstheme="minorEastAsia"/>
          <w:b/>
          <w:bCs/>
          <w:color w:val="auto"/>
          <w:spacing w:val="-4"/>
          <w:sz w:val="24"/>
          <w:szCs w:val="24"/>
        </w:rPr>
        <w:t>病媒生物防制作业要求：</w:t>
      </w:r>
    </w:p>
    <w:p w14:paraId="71F3F5E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4"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（1）落实建成区域的公共外环境病媒生物防制工作，确保按计划在各区域进行全</w:t>
      </w:r>
      <w:r>
        <w:rPr>
          <w:rFonts w:hint="eastAsia" w:asciiTheme="minorEastAsia" w:hAnsiTheme="minorEastAsia" w:eastAsiaTheme="minorEastAsia" w:cstheme="minorEastAsia"/>
          <w:color w:val="auto"/>
          <w:spacing w:val="-1"/>
          <w:sz w:val="24"/>
          <w:szCs w:val="24"/>
        </w:rPr>
        <w:t>方位的灭鼠、灭蚊、灭蝇、灭蟑螂作业，确保达到国</w:t>
      </w:r>
      <w:r>
        <w:rPr>
          <w:rFonts w:hint="eastAsia" w:asciiTheme="minorEastAsia" w:hAnsiTheme="minorEastAsia" w:eastAsiaTheme="minorEastAsia" w:cstheme="minorEastAsia"/>
          <w:color w:val="auto"/>
          <w:spacing w:val="-2"/>
          <w:sz w:val="24"/>
          <w:szCs w:val="24"/>
        </w:rPr>
        <w:t>家标准</w:t>
      </w:r>
      <w:r>
        <w:rPr>
          <w:rFonts w:hint="eastAsia" w:asciiTheme="minorEastAsia" w:hAnsiTheme="minorEastAsia" w:eastAsiaTheme="minorEastAsia" w:cstheme="minorEastAsia"/>
          <w:color w:val="auto"/>
          <w:spacing w:val="-2"/>
          <w:sz w:val="24"/>
          <w:szCs w:val="24"/>
          <w:lang w:val="en-US" w:eastAsia="zh-CN"/>
        </w:rPr>
        <w:t>B</w:t>
      </w:r>
      <w:r>
        <w:rPr>
          <w:rFonts w:hint="eastAsia" w:asciiTheme="minorEastAsia" w:hAnsiTheme="minorEastAsia" w:eastAsiaTheme="minorEastAsia" w:cstheme="minorEastAsia"/>
          <w:color w:val="auto"/>
          <w:spacing w:val="-2"/>
          <w:sz w:val="24"/>
          <w:szCs w:val="24"/>
        </w:rPr>
        <w:t>级。</w:t>
      </w:r>
    </w:p>
    <w:p w14:paraId="0D40985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4"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（2）坚持“预防为主，综合</w:t>
      </w:r>
      <w:r>
        <w:rPr>
          <w:rFonts w:hint="eastAsia" w:asciiTheme="minorEastAsia" w:hAnsiTheme="minorEastAsia" w:eastAsiaTheme="minorEastAsia" w:cstheme="minorEastAsia"/>
          <w:color w:val="auto"/>
          <w:spacing w:val="1"/>
          <w:sz w:val="24"/>
          <w:szCs w:val="24"/>
          <w:lang w:val="en-US" w:eastAsia="zh-CN"/>
        </w:rPr>
        <w:t>防制</w:t>
      </w:r>
      <w:r>
        <w:rPr>
          <w:rFonts w:hint="eastAsia" w:asciiTheme="minorEastAsia" w:hAnsiTheme="minorEastAsia" w:eastAsiaTheme="minorEastAsia" w:cstheme="minorEastAsia"/>
          <w:color w:val="auto"/>
          <w:spacing w:val="1"/>
          <w:sz w:val="24"/>
          <w:szCs w:val="24"/>
        </w:rPr>
        <w:t>”的消杀方针，确保使用</w:t>
      </w:r>
      <w:r>
        <w:rPr>
          <w:rFonts w:hint="eastAsia" w:asciiTheme="minorEastAsia" w:hAnsiTheme="minorEastAsia" w:eastAsiaTheme="minorEastAsia" w:cstheme="minorEastAsia"/>
          <w:color w:val="auto"/>
          <w:spacing w:val="1"/>
          <w:sz w:val="24"/>
          <w:szCs w:val="24"/>
          <w:lang w:val="en-US" w:eastAsia="zh-CN"/>
        </w:rPr>
        <w:t>符合</w:t>
      </w:r>
      <w:r>
        <w:rPr>
          <w:rFonts w:hint="eastAsia" w:asciiTheme="minorEastAsia" w:hAnsiTheme="minorEastAsia" w:eastAsiaTheme="minorEastAsia" w:cstheme="minorEastAsia"/>
          <w:color w:val="auto"/>
          <w:spacing w:val="1"/>
          <w:sz w:val="24"/>
          <w:szCs w:val="24"/>
        </w:rPr>
        <w:t>国家规定</w:t>
      </w:r>
      <w:r>
        <w:rPr>
          <w:rFonts w:hint="eastAsia" w:asciiTheme="minorEastAsia" w:hAnsiTheme="minorEastAsia" w:eastAsiaTheme="minorEastAsia" w:cstheme="minorEastAsia"/>
          <w:color w:val="auto"/>
          <w:spacing w:val="1"/>
          <w:sz w:val="24"/>
          <w:szCs w:val="24"/>
          <w:lang w:eastAsia="zh-CN"/>
        </w:rPr>
        <w:t>的</w:t>
      </w:r>
      <w:r>
        <w:rPr>
          <w:rFonts w:hint="eastAsia" w:asciiTheme="minorEastAsia" w:hAnsiTheme="minorEastAsia" w:eastAsiaTheme="minorEastAsia" w:cstheme="minorEastAsia"/>
          <w:color w:val="auto"/>
          <w:spacing w:val="-1"/>
          <w:sz w:val="24"/>
          <w:szCs w:val="24"/>
        </w:rPr>
        <w:t>药物。投标单位必须注重科学合理用药，不得使用国家禁用的药物，并须确保药物来源和质量正当可靠，提供药品厂家盖章的“三证”资质资料， 即生产厂家的农药登记证、农药生产许可证</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rPr>
        <w:t>或农药生产批准证书</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rPr>
        <w:t>、企业执行标准证书</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rPr>
        <w:t>或国家执行标准证书</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pacing w:val="-1"/>
          <w:sz w:val="24"/>
          <w:szCs w:val="24"/>
        </w:rPr>
        <w:br w:type="textWrapping"/>
      </w:r>
      <w:r>
        <w:rPr>
          <w:rFonts w:hint="eastAsia" w:asciiTheme="minorEastAsia" w:hAnsiTheme="minorEastAsia" w:eastAsiaTheme="minorEastAsia" w:cstheme="minorEastAsia"/>
          <w:color w:val="auto"/>
          <w:spacing w:val="-1"/>
          <w:sz w:val="24"/>
          <w:szCs w:val="24"/>
          <w:lang w:val="en-US" w:eastAsia="zh-CN"/>
        </w:rPr>
        <w:t xml:space="preserve">    </w:t>
      </w:r>
      <w:r>
        <w:rPr>
          <w:rFonts w:hint="eastAsia" w:asciiTheme="minorEastAsia" w:hAnsiTheme="minorEastAsia" w:eastAsiaTheme="minorEastAsia" w:cstheme="minorEastAsia"/>
          <w:color w:val="auto"/>
          <w:spacing w:val="1"/>
          <w:sz w:val="24"/>
          <w:szCs w:val="24"/>
        </w:rPr>
        <w:t>（3）病媒生物防制工作人员需经培训后持证上岗，按照病媒生物防制工作的法规</w:t>
      </w:r>
      <w:r>
        <w:rPr>
          <w:rFonts w:hint="eastAsia" w:asciiTheme="minorEastAsia" w:hAnsiTheme="minorEastAsia" w:eastAsiaTheme="minorEastAsia" w:cstheme="minorEastAsia"/>
          <w:color w:val="auto"/>
          <w:sz w:val="24"/>
          <w:szCs w:val="24"/>
        </w:rPr>
        <w:t>标准，规范操作。作业时必须统一服装、统一标准，做到安全作业</w:t>
      </w:r>
      <w:r>
        <w:rPr>
          <w:rFonts w:hint="eastAsia" w:asciiTheme="minorEastAsia" w:hAnsiTheme="minorEastAsia" w:eastAsiaTheme="minorEastAsia" w:cstheme="minorEastAsia"/>
          <w:color w:val="auto"/>
          <w:spacing w:val="-1"/>
          <w:sz w:val="24"/>
          <w:szCs w:val="24"/>
        </w:rPr>
        <w:t>、文明作业。</w:t>
      </w:r>
    </w:p>
    <w:p w14:paraId="1773CE4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4"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（4）在各</w:t>
      </w:r>
      <w:r>
        <w:rPr>
          <w:rFonts w:hint="eastAsia" w:asciiTheme="minorEastAsia" w:hAnsiTheme="minorEastAsia" w:eastAsiaTheme="minorEastAsia" w:cstheme="minorEastAsia"/>
          <w:color w:val="auto"/>
          <w:spacing w:val="1"/>
          <w:sz w:val="24"/>
          <w:szCs w:val="24"/>
          <w:lang w:val="en-US" w:eastAsia="zh-CN"/>
        </w:rPr>
        <w:t>街道</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pacing w:val="1"/>
          <w:sz w:val="24"/>
          <w:szCs w:val="24"/>
          <w:lang w:val="en-US" w:eastAsia="zh-CN"/>
        </w:rPr>
        <w:t>社区</w:t>
      </w:r>
      <w:r>
        <w:rPr>
          <w:rFonts w:hint="eastAsia" w:asciiTheme="minorEastAsia" w:hAnsiTheme="minorEastAsia" w:eastAsiaTheme="minorEastAsia" w:cstheme="minorEastAsia"/>
          <w:color w:val="auto"/>
          <w:spacing w:val="1"/>
          <w:sz w:val="24"/>
          <w:szCs w:val="24"/>
        </w:rPr>
        <w:t>）等区域的公共外环境进行病媒生物防制作业时，重点解决基层</w:t>
      </w:r>
      <w:r>
        <w:rPr>
          <w:rFonts w:hint="eastAsia" w:asciiTheme="minorEastAsia" w:hAnsiTheme="minorEastAsia" w:eastAsiaTheme="minorEastAsia" w:cstheme="minorEastAsia"/>
          <w:color w:val="auto"/>
          <w:spacing w:val="-1"/>
          <w:sz w:val="24"/>
          <w:szCs w:val="24"/>
        </w:rPr>
        <w:t>群众反映的病媒生物问题。</w:t>
      </w:r>
    </w:p>
    <w:p w14:paraId="1192872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（5）做好每次病媒生物防制工作的记录，登记</w:t>
      </w:r>
      <w:r>
        <w:rPr>
          <w:rFonts w:hint="eastAsia" w:asciiTheme="minorEastAsia" w:hAnsiTheme="minorEastAsia" w:eastAsiaTheme="minorEastAsia" w:cstheme="minorEastAsia"/>
          <w:color w:val="auto"/>
          <w:spacing w:val="-1"/>
          <w:sz w:val="24"/>
          <w:szCs w:val="24"/>
          <w:lang w:eastAsia="zh-CN"/>
        </w:rPr>
        <w:t>作业</w:t>
      </w:r>
      <w:r>
        <w:rPr>
          <w:rFonts w:hint="eastAsia" w:asciiTheme="minorEastAsia" w:hAnsiTheme="minorEastAsia" w:eastAsiaTheme="minorEastAsia" w:cstheme="minorEastAsia"/>
          <w:color w:val="auto"/>
          <w:spacing w:val="-1"/>
          <w:sz w:val="24"/>
          <w:szCs w:val="24"/>
        </w:rPr>
        <w:t>时间、</w:t>
      </w:r>
      <w:r>
        <w:rPr>
          <w:rFonts w:hint="eastAsia" w:asciiTheme="minorEastAsia" w:hAnsiTheme="minorEastAsia" w:eastAsiaTheme="minorEastAsia" w:cstheme="minorEastAsia"/>
          <w:color w:val="auto"/>
          <w:spacing w:val="-1"/>
          <w:sz w:val="24"/>
          <w:szCs w:val="24"/>
          <w:lang w:eastAsia="zh-CN"/>
        </w:rPr>
        <w:t>地点、气象、作业面积</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pacing w:val="-1"/>
          <w:sz w:val="24"/>
          <w:szCs w:val="24"/>
        </w:rPr>
        <w:t>用药量</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lang w:eastAsia="zh-CN"/>
        </w:rPr>
        <w:t>施药方法</w:t>
      </w:r>
      <w:r>
        <w:rPr>
          <w:rFonts w:hint="eastAsia" w:asciiTheme="minorEastAsia" w:hAnsiTheme="minorEastAsia" w:eastAsiaTheme="minorEastAsia" w:cstheme="minorEastAsia"/>
          <w:color w:val="auto"/>
          <w:spacing w:val="-1"/>
          <w:sz w:val="24"/>
          <w:szCs w:val="24"/>
        </w:rPr>
        <w:t>等</w:t>
      </w:r>
      <w:r>
        <w:rPr>
          <w:rFonts w:hint="eastAsia" w:asciiTheme="minorEastAsia" w:hAnsiTheme="minorEastAsia" w:eastAsiaTheme="minorEastAsia" w:cstheme="minorEastAsia"/>
          <w:color w:val="auto"/>
          <w:spacing w:val="-1"/>
          <w:sz w:val="24"/>
          <w:szCs w:val="24"/>
          <w:lang w:eastAsia="zh-CN"/>
        </w:rPr>
        <w:t>信息</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pacing w:val="-2"/>
          <w:sz w:val="24"/>
          <w:szCs w:val="24"/>
        </w:rPr>
        <w:t>并拍摄现场</w:t>
      </w:r>
      <w:r>
        <w:rPr>
          <w:rFonts w:hint="eastAsia" w:asciiTheme="minorEastAsia" w:hAnsiTheme="minorEastAsia" w:eastAsiaTheme="minorEastAsia" w:cstheme="minorEastAsia"/>
          <w:color w:val="auto"/>
          <w:spacing w:val="-2"/>
          <w:sz w:val="24"/>
          <w:szCs w:val="24"/>
          <w:lang w:eastAsia="zh-CN"/>
        </w:rPr>
        <w:t>工作水印</w:t>
      </w:r>
      <w:r>
        <w:rPr>
          <w:rFonts w:hint="eastAsia" w:asciiTheme="minorEastAsia" w:hAnsiTheme="minorEastAsia" w:eastAsiaTheme="minorEastAsia" w:cstheme="minorEastAsia"/>
          <w:color w:val="auto"/>
          <w:spacing w:val="-2"/>
          <w:sz w:val="24"/>
          <w:szCs w:val="24"/>
        </w:rPr>
        <w:t>照片。</w:t>
      </w:r>
    </w:p>
    <w:p w14:paraId="2F763BC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4"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（6）安排专人负责巡查</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rPr>
        <w:t>对创建区内的重点孳生地进行全面巡检和治理。</w:t>
      </w:r>
    </w:p>
    <w:p w14:paraId="1281745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4"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（7）于合同签订后立即进行一次大规模的孳生地调查和病媒生物密度监测，并将</w:t>
      </w:r>
      <w:r>
        <w:rPr>
          <w:rFonts w:hint="eastAsia" w:asciiTheme="minorEastAsia" w:hAnsiTheme="minorEastAsia" w:eastAsiaTheme="minorEastAsia" w:cstheme="minorEastAsia"/>
          <w:color w:val="auto"/>
          <w:spacing w:val="-1"/>
          <w:sz w:val="24"/>
          <w:szCs w:val="24"/>
        </w:rPr>
        <w:t>孳生地情况、密度监测和相关环境问题等详细资料汇总成册报市爱卫办。</w:t>
      </w:r>
    </w:p>
    <w:p w14:paraId="4972EA2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4"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（8）合同签订后立即开展一次大规模病媒生物消杀防制工作，迅速降低建成区内</w:t>
      </w:r>
      <w:r>
        <w:rPr>
          <w:rFonts w:hint="eastAsia" w:asciiTheme="minorEastAsia" w:hAnsiTheme="minorEastAsia" w:eastAsiaTheme="minorEastAsia" w:cstheme="minorEastAsia"/>
          <w:color w:val="auto"/>
          <w:spacing w:val="-1"/>
          <w:sz w:val="24"/>
          <w:szCs w:val="24"/>
        </w:rPr>
        <w:t>病媒生物密度。</w:t>
      </w:r>
    </w:p>
    <w:p w14:paraId="0FC2CF1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4"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（9）在完成首次全方位病媒生物防制工作后，组织对防制区域全面安装毒饵站、</w:t>
      </w:r>
      <w:r>
        <w:rPr>
          <w:rFonts w:hint="eastAsia" w:asciiTheme="minorEastAsia" w:hAnsiTheme="minorEastAsia" w:eastAsiaTheme="minorEastAsia" w:cstheme="minorEastAsia"/>
          <w:color w:val="auto"/>
          <w:spacing w:val="-2"/>
          <w:sz w:val="24"/>
          <w:szCs w:val="24"/>
        </w:rPr>
        <w:t>捕蝇笼、灭蚊灯和堵塞鼠洞等工作，并张贴标签（警示）牌等标识标语。必须对其进行</w:t>
      </w:r>
      <w:r>
        <w:rPr>
          <w:rFonts w:hint="eastAsia" w:asciiTheme="minorEastAsia" w:hAnsiTheme="minorEastAsia" w:eastAsiaTheme="minorEastAsia" w:cstheme="minorEastAsia"/>
          <w:color w:val="auto"/>
          <w:spacing w:val="-1"/>
          <w:sz w:val="24"/>
          <w:szCs w:val="24"/>
        </w:rPr>
        <w:t>日常维护，毒饵料必须常年保持新鲜。</w:t>
      </w:r>
    </w:p>
    <w:p w14:paraId="5712C08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4" w:firstLineChars="200"/>
        <w:textAlignment w:val="baseline"/>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（10）</w:t>
      </w:r>
      <w:r>
        <w:rPr>
          <w:rFonts w:hint="eastAsia" w:asciiTheme="minorEastAsia" w:hAnsiTheme="minorEastAsia" w:eastAsiaTheme="minorEastAsia" w:cstheme="minorEastAsia"/>
          <w:color w:val="auto"/>
          <w:spacing w:val="1"/>
          <w:sz w:val="24"/>
          <w:szCs w:val="24"/>
          <w:lang w:eastAsia="zh-CN"/>
        </w:rPr>
        <w:t>每季度</w:t>
      </w:r>
      <w:r>
        <w:rPr>
          <w:rFonts w:hint="eastAsia" w:asciiTheme="minorEastAsia" w:hAnsiTheme="minorEastAsia" w:eastAsiaTheme="minorEastAsia" w:cstheme="minorEastAsia"/>
          <w:color w:val="auto"/>
          <w:spacing w:val="1"/>
          <w:sz w:val="24"/>
          <w:szCs w:val="24"/>
        </w:rPr>
        <w:t>开展病媒生物防制效果</w:t>
      </w:r>
      <w:r>
        <w:rPr>
          <w:rFonts w:hint="eastAsia" w:asciiTheme="minorEastAsia" w:hAnsiTheme="minorEastAsia" w:eastAsiaTheme="minorEastAsia" w:cstheme="minorEastAsia"/>
          <w:color w:val="auto"/>
          <w:spacing w:val="1"/>
          <w:sz w:val="24"/>
          <w:szCs w:val="24"/>
          <w:lang w:eastAsia="zh-CN"/>
        </w:rPr>
        <w:t>评估和密度控制水平评估，并形成相关报告。根据评估结果，及时调整防制措施</w:t>
      </w:r>
      <w:r>
        <w:rPr>
          <w:rFonts w:hint="eastAsia" w:asciiTheme="minorEastAsia" w:hAnsiTheme="minorEastAsia" w:eastAsiaTheme="minorEastAsia" w:cstheme="minorEastAsia"/>
          <w:color w:val="auto"/>
          <w:spacing w:val="-1"/>
          <w:sz w:val="24"/>
          <w:szCs w:val="24"/>
        </w:rPr>
        <w:t>。</w:t>
      </w:r>
    </w:p>
    <w:p w14:paraId="36DA275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4" w:firstLineChars="200"/>
        <w:textAlignment w:val="baseline"/>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（11）在</w:t>
      </w:r>
      <w:r>
        <w:rPr>
          <w:rFonts w:hint="eastAsia" w:asciiTheme="minorEastAsia" w:hAnsiTheme="minorEastAsia" w:eastAsiaTheme="minorEastAsia" w:cstheme="minorEastAsia"/>
          <w:color w:val="auto"/>
          <w:spacing w:val="1"/>
          <w:sz w:val="24"/>
          <w:szCs w:val="24"/>
          <w:lang w:val="en-US" w:eastAsia="zh-CN"/>
        </w:rPr>
        <w:t>巩卫</w:t>
      </w:r>
      <w:r>
        <w:rPr>
          <w:rFonts w:hint="eastAsia" w:asciiTheme="minorEastAsia" w:hAnsiTheme="minorEastAsia" w:eastAsiaTheme="minorEastAsia" w:cstheme="minorEastAsia"/>
          <w:color w:val="auto"/>
          <w:spacing w:val="1"/>
          <w:sz w:val="24"/>
          <w:szCs w:val="24"/>
        </w:rPr>
        <w:t>调研、暗访和明查期间，根据通知各进行一次全范围的重点病媒生物防制和突击治理工作。</w:t>
      </w:r>
    </w:p>
    <w:p w14:paraId="322ED41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4" w:firstLineChars="200"/>
        <w:textAlignment w:val="baseline"/>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（12）合同期间应配合</w:t>
      </w:r>
      <w:r>
        <w:rPr>
          <w:rFonts w:hint="eastAsia" w:asciiTheme="minorEastAsia" w:hAnsiTheme="minorEastAsia" w:eastAsiaTheme="minorEastAsia" w:cstheme="minorEastAsia"/>
          <w:color w:val="auto"/>
          <w:spacing w:val="1"/>
          <w:sz w:val="24"/>
          <w:szCs w:val="24"/>
          <w:lang w:val="en-US" w:eastAsia="zh-CN"/>
        </w:rPr>
        <w:t>爱卫办</w:t>
      </w:r>
      <w:r>
        <w:rPr>
          <w:rFonts w:hint="eastAsia" w:asciiTheme="minorEastAsia" w:hAnsiTheme="minorEastAsia" w:eastAsiaTheme="minorEastAsia" w:cstheme="minorEastAsia"/>
          <w:color w:val="auto"/>
          <w:spacing w:val="1"/>
          <w:sz w:val="24"/>
          <w:szCs w:val="24"/>
        </w:rPr>
        <w:t>组织的大规模环境整治行动，在行动前或市级的突击、应急检查前配合做好病媒生物防制工作。</w:t>
      </w:r>
    </w:p>
    <w:p w14:paraId="789D144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4" w:firstLineChars="200"/>
        <w:textAlignment w:val="baseline"/>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（13）配合市疾控中心开展病媒生物密度监测工作。</w:t>
      </w:r>
    </w:p>
    <w:p w14:paraId="4A23572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66" w:firstLineChars="200"/>
        <w:textAlignment w:val="baseline"/>
        <w:rPr>
          <w:rFonts w:hint="eastAsia" w:asciiTheme="minorEastAsia" w:hAnsiTheme="minorEastAsia" w:eastAsiaTheme="minorEastAsia" w:cstheme="minorEastAsia"/>
          <w:b/>
          <w:bCs/>
          <w:color w:val="auto"/>
          <w:spacing w:val="-4"/>
          <w:sz w:val="24"/>
          <w:szCs w:val="24"/>
        </w:rPr>
      </w:pPr>
      <w:r>
        <w:rPr>
          <w:rFonts w:hint="eastAsia" w:asciiTheme="minorEastAsia" w:hAnsiTheme="minorEastAsia" w:eastAsiaTheme="minorEastAsia" w:cstheme="minorEastAsia"/>
          <w:b/>
          <w:bCs/>
          <w:color w:val="auto"/>
          <w:spacing w:val="-4"/>
          <w:sz w:val="24"/>
          <w:szCs w:val="24"/>
          <w:lang w:val="en-US" w:eastAsia="zh-CN"/>
        </w:rPr>
        <w:t>3</w:t>
      </w:r>
      <w:r>
        <w:rPr>
          <w:rFonts w:hint="eastAsia" w:asciiTheme="minorEastAsia" w:hAnsiTheme="minorEastAsia" w:eastAsiaTheme="minorEastAsia" w:cstheme="minorEastAsia"/>
          <w:b/>
          <w:bCs/>
          <w:color w:val="auto"/>
          <w:spacing w:val="-4"/>
          <w:sz w:val="24"/>
          <w:szCs w:val="24"/>
        </w:rPr>
        <w:t>.4</w:t>
      </w:r>
      <w:r>
        <w:rPr>
          <w:rFonts w:hint="eastAsia" w:asciiTheme="minorEastAsia" w:hAnsiTheme="minorEastAsia" w:eastAsiaTheme="minorEastAsia" w:cstheme="minorEastAsia"/>
          <w:b/>
          <w:bCs/>
          <w:color w:val="auto"/>
          <w:spacing w:val="-4"/>
          <w:sz w:val="24"/>
          <w:szCs w:val="24"/>
          <w:lang w:val="en-US" w:eastAsia="zh-CN"/>
        </w:rPr>
        <w:t xml:space="preserve"> </w:t>
      </w:r>
      <w:r>
        <w:rPr>
          <w:rFonts w:hint="eastAsia" w:asciiTheme="minorEastAsia" w:hAnsiTheme="minorEastAsia" w:eastAsiaTheme="minorEastAsia" w:cstheme="minorEastAsia"/>
          <w:b/>
          <w:bCs/>
          <w:color w:val="auto"/>
          <w:spacing w:val="-4"/>
          <w:sz w:val="24"/>
          <w:szCs w:val="24"/>
        </w:rPr>
        <w:t>服务内容和要求：</w:t>
      </w:r>
    </w:p>
    <w:p w14:paraId="7923D1F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64" w:firstLineChars="200"/>
        <w:textAlignment w:val="baseline"/>
        <w:rPr>
          <w:rFonts w:hint="eastAsia" w:asciiTheme="minorEastAsia" w:hAnsiTheme="minorEastAsia" w:eastAsiaTheme="minorEastAsia" w:cstheme="minorEastAsia"/>
          <w:b w:val="0"/>
          <w:bCs w:val="0"/>
          <w:color w:val="auto"/>
          <w:spacing w:val="-6"/>
          <w:sz w:val="24"/>
          <w:szCs w:val="24"/>
          <w:lang w:eastAsia="zh-CN"/>
        </w:rPr>
      </w:pPr>
      <w:r>
        <w:rPr>
          <w:rFonts w:hint="eastAsia" w:asciiTheme="minorEastAsia" w:hAnsiTheme="minorEastAsia" w:eastAsiaTheme="minorEastAsia" w:cstheme="minorEastAsia"/>
          <w:b w:val="0"/>
          <w:bCs w:val="0"/>
          <w:color w:val="auto"/>
          <w:spacing w:val="-4"/>
          <w:sz w:val="24"/>
          <w:szCs w:val="24"/>
          <w:lang w:val="en-US" w:eastAsia="zh-CN"/>
        </w:rPr>
        <w:t>一、</w:t>
      </w:r>
      <w:r>
        <w:rPr>
          <w:rFonts w:hint="eastAsia" w:asciiTheme="minorEastAsia" w:hAnsiTheme="minorEastAsia" w:eastAsiaTheme="minorEastAsia" w:cstheme="minorEastAsia"/>
          <w:b w:val="0"/>
          <w:bCs w:val="0"/>
          <w:color w:val="auto"/>
          <w:spacing w:val="-4"/>
          <w:sz w:val="24"/>
          <w:szCs w:val="24"/>
        </w:rPr>
        <w:t>服务内容</w:t>
      </w:r>
      <w:r>
        <w:rPr>
          <w:rFonts w:hint="eastAsia" w:asciiTheme="minorEastAsia" w:hAnsiTheme="minorEastAsia" w:eastAsiaTheme="minorEastAsia" w:cstheme="minorEastAsia"/>
          <w:b w:val="0"/>
          <w:bCs w:val="0"/>
          <w:color w:val="auto"/>
          <w:spacing w:val="-6"/>
          <w:sz w:val="24"/>
          <w:szCs w:val="24"/>
        </w:rPr>
        <w:t>在服务区内全面铺开进行病媒生物防制专项整治，投放灭鼠药饵，开展蚊</w:t>
      </w:r>
      <w:r>
        <w:rPr>
          <w:rFonts w:hint="eastAsia" w:asciiTheme="minorEastAsia" w:hAnsiTheme="minorEastAsia" w:eastAsiaTheme="minorEastAsia" w:cstheme="minorEastAsia"/>
          <w:b w:val="0"/>
          <w:bCs w:val="0"/>
          <w:color w:val="auto"/>
          <w:spacing w:val="-6"/>
          <w:sz w:val="24"/>
          <w:szCs w:val="24"/>
          <w:lang w:eastAsia="zh-CN"/>
        </w:rPr>
        <w:t>、</w:t>
      </w:r>
    </w:p>
    <w:p w14:paraId="4DD622DA">
      <w:pPr>
        <w:keepNext w:val="0"/>
        <w:keepLines w:val="0"/>
        <w:pageBreakBefore w:val="0"/>
        <w:widowControl/>
        <w:kinsoku w:val="0"/>
        <w:wordWrap/>
        <w:overflowPunct/>
        <w:topLinePunct w:val="0"/>
        <w:autoSpaceDE w:val="0"/>
        <w:autoSpaceDN w:val="0"/>
        <w:bidi w:val="0"/>
        <w:adjustRightInd w:val="0"/>
        <w:snapToGrid w:val="0"/>
        <w:spacing w:line="480" w:lineRule="exact"/>
        <w:ind w:right="0"/>
        <w:textAlignment w:val="baseline"/>
        <w:rPr>
          <w:rFonts w:hint="eastAsia" w:asciiTheme="minorEastAsia" w:hAnsiTheme="minorEastAsia" w:eastAsiaTheme="minorEastAsia" w:cstheme="minorEastAsia"/>
          <w:b w:val="0"/>
          <w:bCs w:val="0"/>
          <w:color w:val="auto"/>
          <w:spacing w:val="-6"/>
          <w:sz w:val="24"/>
          <w:szCs w:val="24"/>
        </w:rPr>
      </w:pPr>
      <w:r>
        <w:rPr>
          <w:rFonts w:hint="eastAsia" w:asciiTheme="minorEastAsia" w:hAnsiTheme="minorEastAsia" w:eastAsiaTheme="minorEastAsia" w:cstheme="minorEastAsia"/>
          <w:b w:val="0"/>
          <w:bCs w:val="0"/>
          <w:color w:val="auto"/>
          <w:spacing w:val="-6"/>
          <w:sz w:val="24"/>
          <w:szCs w:val="24"/>
        </w:rPr>
        <w:t>蝇、蟑的药物消杀，包括喷洒灭蚊蝇药物，熏杀下水道蟑螂，道路两侧灭蚊、蝇、公共区域积水等水体灭蚊孑孓、垃圾等孳生地灭蝇幼虫。按相关要求布放灭鼠毒饵站，鼠药、灭蚊灯、捕蝇笼和堵塞鼠洞等。</w:t>
      </w:r>
    </w:p>
    <w:p w14:paraId="6F0A732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6" w:firstLineChars="200"/>
        <w:textAlignment w:val="baseline"/>
        <w:rPr>
          <w:rFonts w:hint="eastAsia" w:asciiTheme="minorEastAsia" w:hAnsiTheme="minorEastAsia" w:eastAsiaTheme="minorEastAsia" w:cstheme="minorEastAsia"/>
          <w:b w:val="0"/>
          <w:bCs w:val="0"/>
          <w:color w:val="auto"/>
          <w:spacing w:val="-6"/>
          <w:sz w:val="24"/>
          <w:szCs w:val="24"/>
        </w:rPr>
      </w:pPr>
      <w:r>
        <w:rPr>
          <w:rFonts w:hint="eastAsia" w:asciiTheme="minorEastAsia" w:hAnsiTheme="minorEastAsia" w:eastAsiaTheme="minorEastAsia" w:cstheme="minorEastAsia"/>
          <w:b w:val="0"/>
          <w:bCs w:val="0"/>
          <w:color w:val="auto"/>
          <w:spacing w:val="-6"/>
          <w:sz w:val="24"/>
          <w:szCs w:val="24"/>
          <w:lang w:eastAsia="zh-CN"/>
        </w:rPr>
        <w:t>（</w:t>
      </w:r>
      <w:r>
        <w:rPr>
          <w:rFonts w:hint="eastAsia" w:asciiTheme="minorEastAsia" w:hAnsiTheme="minorEastAsia" w:eastAsiaTheme="minorEastAsia" w:cstheme="minorEastAsia"/>
          <w:b w:val="0"/>
          <w:bCs w:val="0"/>
          <w:color w:val="auto"/>
          <w:spacing w:val="-6"/>
          <w:sz w:val="24"/>
          <w:szCs w:val="24"/>
          <w:lang w:val="en-US" w:eastAsia="zh-CN"/>
        </w:rPr>
        <w:t>1</w:t>
      </w:r>
      <w:r>
        <w:rPr>
          <w:rFonts w:hint="eastAsia" w:asciiTheme="minorEastAsia" w:hAnsiTheme="minorEastAsia" w:eastAsiaTheme="minorEastAsia" w:cstheme="minorEastAsia"/>
          <w:b w:val="0"/>
          <w:bCs w:val="0"/>
          <w:color w:val="auto"/>
          <w:spacing w:val="-6"/>
          <w:sz w:val="24"/>
          <w:szCs w:val="24"/>
          <w:lang w:eastAsia="zh-CN"/>
        </w:rPr>
        <w:t>）</w:t>
      </w:r>
      <w:r>
        <w:rPr>
          <w:rFonts w:hint="eastAsia" w:asciiTheme="minorEastAsia" w:hAnsiTheme="minorEastAsia" w:eastAsiaTheme="minorEastAsia" w:cstheme="minorEastAsia"/>
          <w:b w:val="0"/>
          <w:bCs w:val="0"/>
          <w:color w:val="auto"/>
          <w:spacing w:val="-6"/>
          <w:sz w:val="24"/>
          <w:szCs w:val="24"/>
        </w:rPr>
        <w:t>每年为1个防制服务周期，日常防制须根据“四害”消长季节规律</w:t>
      </w:r>
      <w:r>
        <w:rPr>
          <w:rFonts w:hint="eastAsia" w:asciiTheme="minorEastAsia" w:hAnsiTheme="minorEastAsia" w:eastAsiaTheme="minorEastAsia" w:cstheme="minorEastAsia"/>
          <w:b w:val="0"/>
          <w:bCs w:val="0"/>
          <w:color w:val="auto"/>
          <w:spacing w:val="-6"/>
          <w:sz w:val="24"/>
          <w:szCs w:val="24"/>
          <w:lang w:val="en-US" w:eastAsia="zh-CN"/>
        </w:rPr>
        <w:t>开展</w:t>
      </w:r>
      <w:r>
        <w:rPr>
          <w:rFonts w:hint="eastAsia" w:asciiTheme="minorEastAsia" w:hAnsiTheme="minorEastAsia" w:eastAsiaTheme="minorEastAsia" w:cstheme="minorEastAsia"/>
          <w:b w:val="0"/>
          <w:bCs w:val="0"/>
          <w:color w:val="auto"/>
          <w:spacing w:val="-6"/>
          <w:sz w:val="24"/>
          <w:szCs w:val="24"/>
        </w:rPr>
        <w:t>（3-10月份每月至少1次</w:t>
      </w:r>
      <w:r>
        <w:rPr>
          <w:rFonts w:hint="eastAsia" w:asciiTheme="minorEastAsia" w:hAnsiTheme="minorEastAsia" w:eastAsiaTheme="minorEastAsia" w:cstheme="minorEastAsia"/>
          <w:b w:val="0"/>
          <w:bCs w:val="0"/>
          <w:color w:val="auto"/>
          <w:spacing w:val="-6"/>
          <w:sz w:val="24"/>
          <w:szCs w:val="24"/>
          <w:lang w:eastAsia="zh-CN"/>
        </w:rPr>
        <w:t>，</w:t>
      </w:r>
      <w:r>
        <w:rPr>
          <w:rFonts w:hint="eastAsia" w:asciiTheme="minorEastAsia" w:hAnsiTheme="minorEastAsia" w:eastAsiaTheme="minorEastAsia" w:cstheme="minorEastAsia"/>
          <w:b w:val="0"/>
          <w:bCs w:val="0"/>
          <w:color w:val="auto"/>
          <w:spacing w:val="-6"/>
          <w:sz w:val="24"/>
          <w:szCs w:val="24"/>
        </w:rPr>
        <w:t>11-2月每两月至少1次）</w:t>
      </w:r>
      <w:r>
        <w:rPr>
          <w:rFonts w:hint="eastAsia" w:asciiTheme="minorEastAsia" w:hAnsiTheme="minorEastAsia" w:eastAsiaTheme="minorEastAsia" w:cstheme="minorEastAsia"/>
          <w:b w:val="0"/>
          <w:bCs w:val="0"/>
          <w:color w:val="auto"/>
          <w:spacing w:val="-6"/>
          <w:sz w:val="24"/>
          <w:szCs w:val="24"/>
          <w:lang w:eastAsia="zh-CN"/>
        </w:rPr>
        <w:t>；</w:t>
      </w:r>
      <w:r>
        <w:rPr>
          <w:rFonts w:hint="eastAsia" w:asciiTheme="minorEastAsia" w:hAnsiTheme="minorEastAsia" w:eastAsiaTheme="minorEastAsia" w:cstheme="minorEastAsia"/>
          <w:b w:val="0"/>
          <w:bCs w:val="0"/>
          <w:color w:val="auto"/>
          <w:spacing w:val="-6"/>
          <w:sz w:val="24"/>
          <w:szCs w:val="24"/>
        </w:rPr>
        <w:t>除日常防制外每年开展</w:t>
      </w:r>
      <w:r>
        <w:rPr>
          <w:rFonts w:hint="eastAsia" w:asciiTheme="minorEastAsia" w:hAnsiTheme="minorEastAsia" w:eastAsiaTheme="minorEastAsia" w:cstheme="minorEastAsia"/>
          <w:b w:val="0"/>
          <w:bCs w:val="0"/>
          <w:color w:val="auto"/>
          <w:spacing w:val="-6"/>
          <w:sz w:val="24"/>
          <w:szCs w:val="24"/>
          <w:lang w:val="en-US" w:eastAsia="zh-CN"/>
        </w:rPr>
        <w:t>8</w:t>
      </w:r>
      <w:r>
        <w:rPr>
          <w:rFonts w:hint="eastAsia" w:asciiTheme="minorEastAsia" w:hAnsiTheme="minorEastAsia" w:eastAsiaTheme="minorEastAsia" w:cstheme="minorEastAsia"/>
          <w:b w:val="0"/>
          <w:bCs w:val="0"/>
          <w:color w:val="auto"/>
          <w:spacing w:val="-6"/>
          <w:sz w:val="24"/>
          <w:szCs w:val="24"/>
        </w:rPr>
        <w:t>次全覆盖集中防制工作（</w:t>
      </w:r>
      <w:r>
        <w:rPr>
          <w:rFonts w:hint="eastAsia" w:asciiTheme="minorEastAsia" w:hAnsiTheme="minorEastAsia" w:eastAsiaTheme="minorEastAsia" w:cstheme="minorEastAsia"/>
          <w:b w:val="0"/>
          <w:bCs w:val="0"/>
          <w:color w:val="auto"/>
          <w:spacing w:val="-6"/>
          <w:sz w:val="24"/>
          <w:szCs w:val="24"/>
        </w:rPr>
        <w:t>防制</w:t>
      </w:r>
      <w:r>
        <w:rPr>
          <w:rFonts w:hint="eastAsia" w:asciiTheme="minorEastAsia" w:hAnsiTheme="minorEastAsia" w:eastAsiaTheme="minorEastAsia" w:cstheme="minorEastAsia"/>
          <w:b w:val="0"/>
          <w:bCs w:val="0"/>
          <w:color w:val="auto"/>
          <w:spacing w:val="-6"/>
          <w:sz w:val="24"/>
          <w:szCs w:val="24"/>
          <w:lang w:val="en-US" w:eastAsia="zh-CN"/>
        </w:rPr>
        <w:t>内容是在中心城区范围内集中、统一开展“四害”消杀及孳生地治理活动，</w:t>
      </w:r>
      <w:r>
        <w:rPr>
          <w:rFonts w:hint="eastAsia" w:asciiTheme="minorEastAsia" w:hAnsiTheme="minorEastAsia" w:eastAsiaTheme="minorEastAsia" w:cstheme="minorEastAsia"/>
          <w:b w:val="0"/>
          <w:bCs w:val="0"/>
          <w:color w:val="auto"/>
          <w:spacing w:val="-6"/>
          <w:sz w:val="24"/>
          <w:szCs w:val="24"/>
        </w:rPr>
        <w:t>时间安排具体以采购单位通知为准</w:t>
      </w:r>
      <w:r>
        <w:rPr>
          <w:rFonts w:hint="eastAsia" w:asciiTheme="minorEastAsia" w:hAnsiTheme="minorEastAsia" w:eastAsiaTheme="minorEastAsia" w:cstheme="minorEastAsia"/>
          <w:b w:val="0"/>
          <w:bCs w:val="0"/>
          <w:color w:val="auto"/>
          <w:spacing w:val="-6"/>
          <w:sz w:val="24"/>
          <w:szCs w:val="24"/>
        </w:rPr>
        <w:t>）。防制工作必须保证全年的鼠、蚊、蝇、蟑螂密度达到国家病媒生物密度控制水平标准</w:t>
      </w:r>
      <w:r>
        <w:rPr>
          <w:rFonts w:hint="eastAsia" w:asciiTheme="minorEastAsia" w:hAnsiTheme="minorEastAsia" w:eastAsiaTheme="minorEastAsia" w:cstheme="minorEastAsia"/>
          <w:b w:val="0"/>
          <w:bCs w:val="0"/>
          <w:color w:val="auto"/>
          <w:spacing w:val="-6"/>
          <w:sz w:val="24"/>
          <w:szCs w:val="24"/>
          <w:lang w:val="en-US" w:eastAsia="zh-CN"/>
        </w:rPr>
        <w:t>B</w:t>
      </w:r>
      <w:r>
        <w:rPr>
          <w:rFonts w:hint="eastAsia" w:asciiTheme="minorEastAsia" w:hAnsiTheme="minorEastAsia" w:eastAsiaTheme="minorEastAsia" w:cstheme="minorEastAsia"/>
          <w:b w:val="0"/>
          <w:bCs w:val="0"/>
          <w:color w:val="auto"/>
          <w:spacing w:val="-6"/>
          <w:sz w:val="24"/>
          <w:szCs w:val="24"/>
        </w:rPr>
        <w:t>级要求；</w:t>
      </w:r>
    </w:p>
    <w:p w14:paraId="7702E2C2">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456" w:firstLineChars="200"/>
        <w:textAlignment w:val="baseline"/>
        <w:rPr>
          <w:rFonts w:hint="eastAsia" w:asciiTheme="minorEastAsia" w:hAnsiTheme="minorEastAsia" w:eastAsiaTheme="minorEastAsia" w:cstheme="minorEastAsia"/>
          <w:b w:val="0"/>
          <w:bCs w:val="0"/>
          <w:color w:val="auto"/>
          <w:spacing w:val="-6"/>
          <w:sz w:val="24"/>
          <w:szCs w:val="24"/>
        </w:rPr>
      </w:pPr>
      <w:r>
        <w:rPr>
          <w:rFonts w:hint="eastAsia" w:asciiTheme="minorEastAsia" w:hAnsiTheme="minorEastAsia" w:eastAsiaTheme="minorEastAsia" w:cstheme="minorEastAsia"/>
          <w:b w:val="0"/>
          <w:bCs w:val="0"/>
          <w:color w:val="auto"/>
          <w:spacing w:val="-6"/>
          <w:sz w:val="24"/>
          <w:szCs w:val="24"/>
        </w:rPr>
        <w:t>（2）每次大面积统一突击除四害活动中要零散投药，并免费提供除四害药品给各区爱卫办用于城区纯居民户药物消杀，全年免费提供灭鼠药40000包（50克/包），灭蚊药20000包，灭蟑药20000包）；</w:t>
      </w:r>
    </w:p>
    <w:p w14:paraId="384954F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6" w:firstLineChars="200"/>
        <w:textAlignment w:val="baseline"/>
        <w:rPr>
          <w:rFonts w:hint="eastAsia" w:asciiTheme="minorEastAsia" w:hAnsiTheme="minorEastAsia" w:eastAsiaTheme="minorEastAsia" w:cstheme="minorEastAsia"/>
          <w:b w:val="0"/>
          <w:bCs w:val="0"/>
          <w:color w:val="auto"/>
          <w:spacing w:val="-6"/>
          <w:sz w:val="24"/>
          <w:szCs w:val="24"/>
        </w:rPr>
      </w:pPr>
      <w:r>
        <w:rPr>
          <w:rFonts w:hint="eastAsia" w:asciiTheme="minorEastAsia" w:hAnsiTheme="minorEastAsia" w:eastAsiaTheme="minorEastAsia" w:cstheme="minorEastAsia"/>
          <w:b w:val="0"/>
          <w:bCs w:val="0"/>
          <w:color w:val="auto"/>
          <w:spacing w:val="-6"/>
          <w:sz w:val="24"/>
          <w:szCs w:val="24"/>
        </w:rPr>
        <w:t>（3）外环境灭鼠毒饵盒布置要数量充足、放置规范；灭鼠毒饵盒要设置醒目警示及标志，张贴毒饵盒分布示意图，毒饵盒每月进行一至两次投放和更换鼠药。</w:t>
      </w:r>
    </w:p>
    <w:p w14:paraId="65FB612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6" w:firstLineChars="200"/>
        <w:textAlignment w:val="baseline"/>
        <w:rPr>
          <w:rFonts w:hint="eastAsia" w:asciiTheme="minorEastAsia" w:hAnsiTheme="minorEastAsia" w:eastAsiaTheme="minorEastAsia" w:cstheme="minorEastAsia"/>
          <w:color w:val="auto"/>
          <w:spacing w:val="-6"/>
          <w:sz w:val="24"/>
          <w:szCs w:val="24"/>
          <w:lang w:val="en-US" w:eastAsia="zh-CN"/>
        </w:rPr>
      </w:pPr>
      <w:r>
        <w:rPr>
          <w:rFonts w:hint="eastAsia" w:asciiTheme="minorEastAsia" w:hAnsiTheme="minorEastAsia" w:eastAsiaTheme="minorEastAsia" w:cstheme="minorEastAsia"/>
          <w:b w:val="0"/>
          <w:bCs w:val="0"/>
          <w:color w:val="auto"/>
          <w:spacing w:val="-6"/>
          <w:sz w:val="24"/>
          <w:szCs w:val="24"/>
        </w:rPr>
        <w:t>（4）突发公共卫生应急事件环境消杀工作（含登革热等病媒生物引发相关疫情应急处置、洪涝等灾害后病媒生物应急处置）。</w:t>
      </w:r>
    </w:p>
    <w:p w14:paraId="37C120D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66"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lang w:val="en-US" w:eastAsia="zh-CN"/>
        </w:rPr>
        <w:t>3</w:t>
      </w:r>
      <w:r>
        <w:rPr>
          <w:rFonts w:hint="eastAsia" w:asciiTheme="minorEastAsia" w:hAnsiTheme="minorEastAsia" w:eastAsiaTheme="minorEastAsia" w:cstheme="minorEastAsia"/>
          <w:b/>
          <w:bCs/>
          <w:color w:val="auto"/>
          <w:spacing w:val="-4"/>
          <w:sz w:val="24"/>
          <w:szCs w:val="24"/>
        </w:rPr>
        <w:t>.5</w:t>
      </w:r>
      <w:r>
        <w:rPr>
          <w:rFonts w:hint="eastAsia" w:asciiTheme="minorEastAsia" w:hAnsiTheme="minorEastAsia" w:eastAsiaTheme="minorEastAsia" w:cstheme="minorEastAsia"/>
          <w:b/>
          <w:bCs/>
          <w:color w:val="auto"/>
          <w:spacing w:val="-4"/>
          <w:sz w:val="24"/>
          <w:szCs w:val="24"/>
          <w:lang w:val="en-US" w:eastAsia="zh-CN"/>
        </w:rPr>
        <w:t xml:space="preserve"> </w:t>
      </w:r>
      <w:r>
        <w:rPr>
          <w:rFonts w:hint="eastAsia" w:asciiTheme="minorEastAsia" w:hAnsiTheme="minorEastAsia" w:eastAsiaTheme="minorEastAsia" w:cstheme="minorEastAsia"/>
          <w:b/>
          <w:bCs/>
          <w:color w:val="auto"/>
          <w:spacing w:val="-4"/>
          <w:sz w:val="24"/>
          <w:szCs w:val="24"/>
        </w:rPr>
        <w:t>相关服务标准：</w:t>
      </w:r>
    </w:p>
    <w:p w14:paraId="26D695F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0"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lang w:val="en-US" w:eastAsia="zh-CN"/>
        </w:rPr>
        <w:t xml:space="preserve">3.5.1 </w:t>
      </w:r>
      <w:r>
        <w:rPr>
          <w:rFonts w:hint="eastAsia" w:asciiTheme="minorEastAsia" w:hAnsiTheme="minorEastAsia" w:eastAsiaTheme="minorEastAsia" w:cstheme="minorEastAsia"/>
          <w:b/>
          <w:bCs/>
          <w:color w:val="auto"/>
          <w:spacing w:val="-3"/>
          <w:sz w:val="24"/>
          <w:szCs w:val="24"/>
        </w:rPr>
        <w:t>病媒生物防制质量标准</w:t>
      </w:r>
    </w:p>
    <w:p w14:paraId="184C6810">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466"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监测标准：</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pacing w:val="-2"/>
          <w:sz w:val="24"/>
          <w:szCs w:val="24"/>
        </w:rPr>
        <w:t>病媒生物密度监测方</w:t>
      </w:r>
      <w:r>
        <w:rPr>
          <w:rFonts w:hint="eastAsia" w:asciiTheme="minorEastAsia" w:hAnsiTheme="minorEastAsia" w:eastAsiaTheme="minorEastAsia" w:cstheme="minorEastAsia"/>
          <w:color w:val="auto"/>
          <w:spacing w:val="-10"/>
          <w:sz w:val="24"/>
          <w:szCs w:val="24"/>
        </w:rPr>
        <w:t>法</w:t>
      </w:r>
      <w:r>
        <w:rPr>
          <w:rFonts w:hint="eastAsia" w:asciiTheme="minorEastAsia" w:hAnsiTheme="minorEastAsia" w:eastAsiaTheme="minorEastAsia" w:cstheme="minorEastAsia"/>
          <w:color w:val="auto"/>
          <w:spacing w:val="-10"/>
          <w:sz w:val="24"/>
          <w:szCs w:val="24"/>
          <w:lang w:val="en-US" w:eastAsia="zh-CN"/>
        </w:rPr>
        <w:t xml:space="preserve"> </w:t>
      </w:r>
      <w:r>
        <w:rPr>
          <w:rFonts w:hint="eastAsia" w:asciiTheme="minorEastAsia" w:hAnsiTheme="minorEastAsia" w:eastAsiaTheme="minorEastAsia" w:cstheme="minorEastAsia"/>
          <w:color w:val="auto"/>
          <w:spacing w:val="-10"/>
          <w:sz w:val="24"/>
          <w:szCs w:val="24"/>
        </w:rPr>
        <w:t>蝇类</w:t>
      </w:r>
      <w:r>
        <w:rPr>
          <w:rFonts w:hint="eastAsia" w:asciiTheme="minorEastAsia" w:hAnsiTheme="minorEastAsia" w:eastAsiaTheme="minorEastAsia" w:cstheme="minorEastAsia"/>
          <w:color w:val="auto"/>
          <w:spacing w:val="-10"/>
          <w:sz w:val="24"/>
          <w:szCs w:val="24"/>
          <w:lang w:eastAsia="zh-CN"/>
        </w:rPr>
        <w:t>》</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b/>
          <w:bCs/>
          <w:color w:val="auto"/>
          <w:spacing w:val="-4"/>
          <w:sz w:val="24"/>
          <w:szCs w:val="24"/>
        </w:rPr>
        <w:t>GB/T23796-2009</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pacing w:val="-2"/>
          <w:sz w:val="24"/>
          <w:szCs w:val="24"/>
          <w:lang w:eastAsia="zh-CN"/>
        </w:rPr>
        <w:t>、</w:t>
      </w:r>
      <w:r>
        <w:rPr>
          <w:rFonts w:hint="eastAsia" w:asciiTheme="minorEastAsia" w:hAnsiTheme="minorEastAsia" w:eastAsiaTheme="minorEastAsia" w:cstheme="minorEastAsia"/>
          <w:color w:val="auto"/>
          <w:spacing w:val="-10"/>
          <w:sz w:val="24"/>
          <w:szCs w:val="24"/>
          <w:lang w:eastAsia="zh-CN"/>
        </w:rPr>
        <w:t>《</w:t>
      </w:r>
      <w:r>
        <w:rPr>
          <w:rFonts w:hint="eastAsia" w:asciiTheme="minorEastAsia" w:hAnsiTheme="minorEastAsia" w:eastAsiaTheme="minorEastAsia" w:cstheme="minorEastAsia"/>
          <w:color w:val="auto"/>
          <w:spacing w:val="-10"/>
          <w:sz w:val="24"/>
          <w:szCs w:val="24"/>
        </w:rPr>
        <w:t>病媒生物密度监测方法</w:t>
      </w:r>
      <w:r>
        <w:rPr>
          <w:rFonts w:hint="eastAsia" w:asciiTheme="minorEastAsia" w:hAnsiTheme="minorEastAsia" w:eastAsiaTheme="minorEastAsia" w:cstheme="minorEastAsia"/>
          <w:color w:val="auto"/>
          <w:spacing w:val="-10"/>
          <w:sz w:val="24"/>
          <w:szCs w:val="24"/>
          <w:lang w:val="en-US" w:eastAsia="zh-CN"/>
        </w:rPr>
        <w:t xml:space="preserve"> </w:t>
      </w:r>
      <w:r>
        <w:rPr>
          <w:rFonts w:hint="eastAsia" w:asciiTheme="minorEastAsia" w:hAnsiTheme="minorEastAsia" w:eastAsiaTheme="minorEastAsia" w:cstheme="minorEastAsia"/>
          <w:color w:val="auto"/>
          <w:spacing w:val="-10"/>
          <w:sz w:val="24"/>
          <w:szCs w:val="24"/>
        </w:rPr>
        <w:t>蚊虫</w:t>
      </w:r>
      <w:r>
        <w:rPr>
          <w:rFonts w:hint="eastAsia" w:asciiTheme="minorEastAsia" w:hAnsiTheme="minorEastAsia" w:eastAsiaTheme="minorEastAsia" w:cstheme="minorEastAsia"/>
          <w:color w:val="auto"/>
          <w:spacing w:val="-10"/>
          <w:sz w:val="24"/>
          <w:szCs w:val="24"/>
          <w:lang w:eastAsia="zh-CN"/>
        </w:rPr>
        <w:t>》</w:t>
      </w:r>
      <w:r>
        <w:rPr>
          <w:rFonts w:hint="eastAsia" w:asciiTheme="minorEastAsia" w:hAnsiTheme="minorEastAsia" w:eastAsiaTheme="minorEastAsia" w:cstheme="minorEastAsia"/>
          <w:color w:val="auto"/>
          <w:spacing w:val="-10"/>
          <w:sz w:val="24"/>
          <w:szCs w:val="24"/>
        </w:rPr>
        <w:t>（</w:t>
      </w:r>
      <w:r>
        <w:rPr>
          <w:rFonts w:hint="eastAsia" w:asciiTheme="minorEastAsia" w:hAnsiTheme="minorEastAsia" w:eastAsiaTheme="minorEastAsia" w:cstheme="minorEastAsia"/>
          <w:b/>
          <w:bCs/>
          <w:color w:val="auto"/>
          <w:spacing w:val="-4"/>
          <w:sz w:val="24"/>
          <w:szCs w:val="24"/>
        </w:rPr>
        <w:t>GB/T23797-2009</w:t>
      </w:r>
      <w:r>
        <w:rPr>
          <w:rFonts w:hint="eastAsia" w:asciiTheme="minorEastAsia" w:hAnsiTheme="minorEastAsia" w:eastAsiaTheme="minorEastAsia" w:cstheme="minorEastAsia"/>
          <w:color w:val="auto"/>
          <w:spacing w:val="-10"/>
          <w:sz w:val="24"/>
          <w:szCs w:val="24"/>
        </w:rPr>
        <w:t>）</w:t>
      </w:r>
      <w:r>
        <w:rPr>
          <w:rFonts w:hint="eastAsia" w:asciiTheme="minorEastAsia" w:hAnsiTheme="minorEastAsia" w:eastAsiaTheme="minorEastAsia" w:cstheme="minorEastAsia"/>
          <w:color w:val="auto"/>
          <w:spacing w:val="-10"/>
          <w:sz w:val="24"/>
          <w:szCs w:val="24"/>
          <w:lang w:eastAsia="zh-CN"/>
        </w:rPr>
        <w:t>、《</w:t>
      </w:r>
      <w:r>
        <w:rPr>
          <w:rFonts w:hint="eastAsia" w:asciiTheme="minorEastAsia" w:hAnsiTheme="minorEastAsia" w:eastAsiaTheme="minorEastAsia" w:cstheme="minorEastAsia"/>
          <w:color w:val="auto"/>
          <w:spacing w:val="-4"/>
          <w:sz w:val="24"/>
          <w:szCs w:val="24"/>
        </w:rPr>
        <w:t>病媒生物密度监测方法</w:t>
      </w:r>
      <w:r>
        <w:rPr>
          <w:rFonts w:hint="eastAsia" w:asciiTheme="minorEastAsia" w:hAnsiTheme="minorEastAsia" w:eastAsiaTheme="minorEastAsia" w:cstheme="minorEastAsia"/>
          <w:color w:val="auto"/>
          <w:spacing w:val="-4"/>
          <w:sz w:val="24"/>
          <w:szCs w:val="24"/>
          <w:lang w:val="en-US" w:eastAsia="zh-CN"/>
        </w:rPr>
        <w:t xml:space="preserve"> </w:t>
      </w:r>
      <w:r>
        <w:rPr>
          <w:rFonts w:hint="eastAsia" w:asciiTheme="minorEastAsia" w:hAnsiTheme="minorEastAsia" w:eastAsiaTheme="minorEastAsia" w:cstheme="minorEastAsia"/>
          <w:color w:val="auto"/>
          <w:spacing w:val="-4"/>
          <w:sz w:val="24"/>
          <w:szCs w:val="24"/>
        </w:rPr>
        <w:t>鼠类</w:t>
      </w:r>
      <w:r>
        <w:rPr>
          <w:rFonts w:hint="eastAsia" w:asciiTheme="minorEastAsia" w:hAnsiTheme="minorEastAsia" w:eastAsiaTheme="minorEastAsia" w:cstheme="minorEastAsia"/>
          <w:color w:val="auto"/>
          <w:spacing w:val="-4"/>
          <w:sz w:val="24"/>
          <w:szCs w:val="24"/>
          <w:lang w:eastAsia="zh-CN"/>
        </w:rPr>
        <w:t>》</w:t>
      </w: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b/>
          <w:bCs/>
          <w:color w:val="auto"/>
          <w:spacing w:val="-4"/>
          <w:sz w:val="24"/>
          <w:szCs w:val="24"/>
        </w:rPr>
        <w:t>GB/T23798-2009</w:t>
      </w: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color w:val="auto"/>
          <w:spacing w:val="-4"/>
          <w:sz w:val="24"/>
          <w:szCs w:val="24"/>
          <w:lang w:eastAsia="zh-CN"/>
        </w:rPr>
        <w:t>、《</w:t>
      </w:r>
      <w:r>
        <w:rPr>
          <w:rFonts w:hint="eastAsia" w:asciiTheme="minorEastAsia" w:hAnsiTheme="minorEastAsia" w:eastAsiaTheme="minorEastAsia" w:cstheme="minorEastAsia"/>
          <w:color w:val="auto"/>
          <w:spacing w:val="-3"/>
          <w:sz w:val="24"/>
          <w:szCs w:val="24"/>
        </w:rPr>
        <w:t>病媒生物密度监测方法</w:t>
      </w:r>
      <w:r>
        <w:rPr>
          <w:rFonts w:hint="eastAsia" w:asciiTheme="minorEastAsia" w:hAnsiTheme="minorEastAsia" w:eastAsiaTheme="minorEastAsia" w:cstheme="minorEastAsia"/>
          <w:color w:val="auto"/>
          <w:spacing w:val="-3"/>
          <w:sz w:val="24"/>
          <w:szCs w:val="24"/>
          <w:lang w:val="en-US" w:eastAsia="zh-CN"/>
        </w:rPr>
        <w:t xml:space="preserve"> </w:t>
      </w:r>
      <w:r>
        <w:rPr>
          <w:rFonts w:hint="eastAsia" w:asciiTheme="minorEastAsia" w:hAnsiTheme="minorEastAsia" w:eastAsiaTheme="minorEastAsia" w:cstheme="minorEastAsia"/>
          <w:color w:val="auto"/>
          <w:spacing w:val="-3"/>
          <w:sz w:val="24"/>
          <w:szCs w:val="24"/>
        </w:rPr>
        <w:t>蜚蠊》</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b/>
          <w:bCs/>
          <w:color w:val="auto"/>
          <w:spacing w:val="-4"/>
          <w:sz w:val="24"/>
          <w:szCs w:val="24"/>
        </w:rPr>
        <w:t>GB/T23795-2009</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3"/>
          <w:sz w:val="24"/>
          <w:szCs w:val="24"/>
          <w:lang w:eastAsia="zh-CN"/>
        </w:rPr>
        <w:t>等</w:t>
      </w:r>
      <w:r>
        <w:rPr>
          <w:rFonts w:hint="eastAsia" w:asciiTheme="minorEastAsia" w:hAnsiTheme="minorEastAsia" w:eastAsiaTheme="minorEastAsia" w:cstheme="minorEastAsia"/>
          <w:color w:val="auto"/>
          <w:spacing w:val="-3"/>
          <w:sz w:val="24"/>
          <w:szCs w:val="24"/>
        </w:rPr>
        <w:t>。</w:t>
      </w:r>
    </w:p>
    <w:p w14:paraId="55973743">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466"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控制水平标准：</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4"/>
          <w:sz w:val="24"/>
          <w:szCs w:val="24"/>
        </w:rPr>
        <w:t>病媒生物密度控制水平</w:t>
      </w:r>
      <w:r>
        <w:rPr>
          <w:rFonts w:hint="eastAsia" w:asciiTheme="minorEastAsia" w:hAnsiTheme="minorEastAsia" w:eastAsiaTheme="minorEastAsia" w:cstheme="minorEastAsia"/>
          <w:color w:val="auto"/>
          <w:spacing w:val="-4"/>
          <w:sz w:val="24"/>
          <w:szCs w:val="24"/>
          <w:lang w:val="en-US" w:eastAsia="zh-CN"/>
        </w:rPr>
        <w:t xml:space="preserve"> </w:t>
      </w:r>
      <w:r>
        <w:rPr>
          <w:rFonts w:hint="eastAsia" w:asciiTheme="minorEastAsia" w:hAnsiTheme="minorEastAsia" w:eastAsiaTheme="minorEastAsia" w:cstheme="minorEastAsia"/>
          <w:color w:val="auto"/>
          <w:spacing w:val="-4"/>
          <w:sz w:val="24"/>
          <w:szCs w:val="24"/>
        </w:rPr>
        <w:t>蜚蠊</w:t>
      </w:r>
      <w:r>
        <w:rPr>
          <w:rFonts w:hint="eastAsia" w:asciiTheme="minorEastAsia" w:hAnsiTheme="minorEastAsia" w:eastAsiaTheme="minorEastAsia" w:cstheme="minorEastAsia"/>
          <w:color w:val="auto"/>
          <w:spacing w:val="-4"/>
          <w:sz w:val="24"/>
          <w:szCs w:val="24"/>
          <w:lang w:eastAsia="zh-CN"/>
        </w:rPr>
        <w:t>》</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b/>
          <w:bCs/>
          <w:color w:val="auto"/>
          <w:spacing w:val="-4"/>
          <w:sz w:val="24"/>
          <w:szCs w:val="24"/>
        </w:rPr>
        <w:t>GB/T27773-2011</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3"/>
          <w:sz w:val="24"/>
          <w:szCs w:val="24"/>
          <w:lang w:eastAsia="zh-CN"/>
        </w:rPr>
        <w:t>、</w:t>
      </w:r>
      <w:r>
        <w:rPr>
          <w:rFonts w:hint="eastAsia" w:asciiTheme="minorEastAsia" w:hAnsiTheme="minorEastAsia" w:eastAsiaTheme="minorEastAsia" w:cstheme="minorEastAsia"/>
          <w:color w:val="auto"/>
          <w:spacing w:val="-4"/>
          <w:sz w:val="24"/>
          <w:szCs w:val="24"/>
          <w:lang w:eastAsia="zh-CN"/>
        </w:rPr>
        <w:t>《</w:t>
      </w:r>
      <w:r>
        <w:rPr>
          <w:rFonts w:hint="eastAsia" w:asciiTheme="minorEastAsia" w:hAnsiTheme="minorEastAsia" w:eastAsiaTheme="minorEastAsia" w:cstheme="minorEastAsia"/>
          <w:color w:val="auto"/>
          <w:spacing w:val="-4"/>
          <w:sz w:val="24"/>
          <w:szCs w:val="24"/>
        </w:rPr>
        <w:t>病媒生物密度控制水平</w:t>
      </w:r>
      <w:r>
        <w:rPr>
          <w:rFonts w:hint="eastAsia" w:asciiTheme="minorEastAsia" w:hAnsiTheme="minorEastAsia" w:eastAsiaTheme="minorEastAsia" w:cstheme="minorEastAsia"/>
          <w:color w:val="auto"/>
          <w:spacing w:val="-4"/>
          <w:sz w:val="24"/>
          <w:szCs w:val="24"/>
          <w:lang w:val="en-US" w:eastAsia="zh-CN"/>
        </w:rPr>
        <w:t xml:space="preserve"> </w:t>
      </w:r>
      <w:r>
        <w:rPr>
          <w:rFonts w:hint="eastAsia" w:asciiTheme="minorEastAsia" w:hAnsiTheme="minorEastAsia" w:eastAsiaTheme="minorEastAsia" w:cstheme="minorEastAsia"/>
          <w:color w:val="auto"/>
          <w:spacing w:val="-4"/>
          <w:sz w:val="24"/>
          <w:szCs w:val="24"/>
        </w:rPr>
        <w:t>蝇</w:t>
      </w:r>
      <w:r>
        <w:rPr>
          <w:rFonts w:hint="eastAsia" w:asciiTheme="minorEastAsia" w:hAnsiTheme="minorEastAsia" w:eastAsiaTheme="minorEastAsia" w:cstheme="minorEastAsia"/>
          <w:color w:val="auto"/>
          <w:spacing w:val="-13"/>
          <w:sz w:val="24"/>
          <w:szCs w:val="24"/>
        </w:rPr>
        <w:t>类</w:t>
      </w:r>
      <w:r>
        <w:rPr>
          <w:rFonts w:hint="eastAsia" w:asciiTheme="minorEastAsia" w:hAnsiTheme="minorEastAsia" w:eastAsiaTheme="minorEastAsia" w:cstheme="minorEastAsia"/>
          <w:color w:val="auto"/>
          <w:spacing w:val="-13"/>
          <w:sz w:val="24"/>
          <w:szCs w:val="24"/>
          <w:lang w:eastAsia="zh-CN"/>
        </w:rPr>
        <w:t>》</w:t>
      </w: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b/>
          <w:bCs/>
          <w:color w:val="auto"/>
          <w:spacing w:val="-4"/>
          <w:sz w:val="24"/>
          <w:szCs w:val="24"/>
        </w:rPr>
        <w:t>GB/T27772-2011</w:t>
      </w: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color w:val="auto"/>
          <w:spacing w:val="-4"/>
          <w:sz w:val="24"/>
          <w:szCs w:val="24"/>
          <w:lang w:eastAsia="zh-CN"/>
        </w:rPr>
        <w:t>、</w:t>
      </w:r>
      <w:r>
        <w:rPr>
          <w:rFonts w:hint="eastAsia" w:asciiTheme="minorEastAsia" w:hAnsiTheme="minorEastAsia" w:eastAsiaTheme="minorEastAsia" w:cstheme="minorEastAsia"/>
          <w:color w:val="auto"/>
          <w:spacing w:val="-13"/>
          <w:sz w:val="24"/>
          <w:szCs w:val="24"/>
          <w:lang w:eastAsia="zh-CN"/>
        </w:rPr>
        <w:t>《</w:t>
      </w:r>
      <w:r>
        <w:rPr>
          <w:rFonts w:hint="eastAsia" w:asciiTheme="minorEastAsia" w:hAnsiTheme="minorEastAsia" w:eastAsiaTheme="minorEastAsia" w:cstheme="minorEastAsia"/>
          <w:color w:val="auto"/>
          <w:spacing w:val="-13"/>
          <w:sz w:val="24"/>
          <w:szCs w:val="24"/>
        </w:rPr>
        <w:t>病媒生物密度控制水平</w:t>
      </w:r>
      <w:r>
        <w:rPr>
          <w:rFonts w:hint="eastAsia" w:asciiTheme="minorEastAsia" w:hAnsiTheme="minorEastAsia" w:eastAsiaTheme="minorEastAsia" w:cstheme="minorEastAsia"/>
          <w:color w:val="auto"/>
          <w:spacing w:val="-13"/>
          <w:sz w:val="24"/>
          <w:szCs w:val="24"/>
          <w:lang w:val="en-US" w:eastAsia="zh-CN"/>
        </w:rPr>
        <w:t xml:space="preserve"> </w:t>
      </w:r>
      <w:r>
        <w:rPr>
          <w:rFonts w:hint="eastAsia" w:asciiTheme="minorEastAsia" w:hAnsiTheme="minorEastAsia" w:eastAsiaTheme="minorEastAsia" w:cstheme="minorEastAsia"/>
          <w:color w:val="auto"/>
          <w:spacing w:val="-13"/>
          <w:sz w:val="24"/>
          <w:szCs w:val="24"/>
        </w:rPr>
        <w:t>蚊虫</w:t>
      </w:r>
      <w:r>
        <w:rPr>
          <w:rFonts w:hint="eastAsia" w:asciiTheme="minorEastAsia" w:hAnsiTheme="minorEastAsia" w:eastAsiaTheme="minorEastAsia" w:cstheme="minorEastAsia"/>
          <w:color w:val="auto"/>
          <w:spacing w:val="-13"/>
          <w:sz w:val="24"/>
          <w:szCs w:val="24"/>
          <w:lang w:eastAsia="zh-CN"/>
        </w:rPr>
        <w:t>》</w:t>
      </w:r>
      <w:r>
        <w:rPr>
          <w:rFonts w:hint="eastAsia" w:asciiTheme="minorEastAsia" w:hAnsiTheme="minorEastAsia" w:eastAsiaTheme="minorEastAsia" w:cstheme="minorEastAsia"/>
          <w:color w:val="auto"/>
          <w:spacing w:val="-13"/>
          <w:sz w:val="24"/>
          <w:szCs w:val="24"/>
        </w:rPr>
        <w:t>（</w:t>
      </w:r>
      <w:r>
        <w:rPr>
          <w:rFonts w:hint="eastAsia" w:asciiTheme="minorEastAsia" w:hAnsiTheme="minorEastAsia" w:eastAsiaTheme="minorEastAsia" w:cstheme="minorEastAsia"/>
          <w:b/>
          <w:bCs/>
          <w:color w:val="auto"/>
          <w:spacing w:val="-4"/>
          <w:sz w:val="24"/>
          <w:szCs w:val="24"/>
        </w:rPr>
        <w:t>GB/T27771-2011</w:t>
      </w:r>
      <w:r>
        <w:rPr>
          <w:rFonts w:hint="eastAsia" w:asciiTheme="minorEastAsia" w:hAnsiTheme="minorEastAsia" w:eastAsiaTheme="minorEastAsia" w:cstheme="minorEastAsia"/>
          <w:color w:val="auto"/>
          <w:spacing w:val="-13"/>
          <w:sz w:val="24"/>
          <w:szCs w:val="24"/>
        </w:rPr>
        <w:t>）</w:t>
      </w:r>
      <w:r>
        <w:rPr>
          <w:rFonts w:hint="eastAsia" w:asciiTheme="minorEastAsia" w:hAnsiTheme="minorEastAsia" w:eastAsiaTheme="minorEastAsia" w:cstheme="minorEastAsia"/>
          <w:color w:val="auto"/>
          <w:spacing w:val="-13"/>
          <w:sz w:val="24"/>
          <w:szCs w:val="24"/>
          <w:lang w:eastAsia="zh-CN"/>
        </w:rPr>
        <w:t>、《</w:t>
      </w:r>
      <w:r>
        <w:rPr>
          <w:rFonts w:hint="eastAsia" w:asciiTheme="minorEastAsia" w:hAnsiTheme="minorEastAsia" w:eastAsiaTheme="minorEastAsia" w:cstheme="minorEastAsia"/>
          <w:color w:val="auto"/>
          <w:spacing w:val="-3"/>
          <w:sz w:val="24"/>
          <w:szCs w:val="24"/>
        </w:rPr>
        <w:t>病媒生物密度控制水平</w:t>
      </w:r>
      <w:r>
        <w:rPr>
          <w:rFonts w:hint="eastAsia" w:asciiTheme="minorEastAsia" w:hAnsiTheme="minorEastAsia" w:eastAsiaTheme="minorEastAsia" w:cstheme="minorEastAsia"/>
          <w:color w:val="auto"/>
          <w:spacing w:val="-3"/>
          <w:sz w:val="24"/>
          <w:szCs w:val="24"/>
          <w:lang w:val="en-US" w:eastAsia="zh-CN"/>
        </w:rPr>
        <w:t xml:space="preserve"> </w:t>
      </w:r>
      <w:r>
        <w:rPr>
          <w:rFonts w:hint="eastAsia" w:asciiTheme="minorEastAsia" w:hAnsiTheme="minorEastAsia" w:eastAsiaTheme="minorEastAsia" w:cstheme="minorEastAsia"/>
          <w:color w:val="auto"/>
          <w:spacing w:val="-3"/>
          <w:sz w:val="24"/>
          <w:szCs w:val="24"/>
        </w:rPr>
        <w:t>鼠类》</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b/>
          <w:bCs/>
          <w:color w:val="auto"/>
          <w:spacing w:val="-4"/>
          <w:sz w:val="24"/>
          <w:szCs w:val="24"/>
        </w:rPr>
        <w:t>GB/T27770-2011</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3"/>
          <w:sz w:val="24"/>
          <w:szCs w:val="24"/>
          <w:lang w:eastAsia="zh-CN"/>
        </w:rPr>
        <w:t>等</w:t>
      </w:r>
      <w:r>
        <w:rPr>
          <w:rFonts w:hint="eastAsia" w:asciiTheme="minorEastAsia" w:hAnsiTheme="minorEastAsia" w:eastAsiaTheme="minorEastAsia" w:cstheme="minorEastAsia"/>
          <w:color w:val="auto"/>
          <w:spacing w:val="-3"/>
          <w:sz w:val="24"/>
          <w:szCs w:val="24"/>
        </w:rPr>
        <w:t>。</w:t>
      </w:r>
    </w:p>
    <w:p w14:paraId="540385F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66" w:firstLineChars="200"/>
        <w:textAlignment w:val="baseline"/>
        <w:rPr>
          <w:rFonts w:hint="eastAsia" w:asciiTheme="minorEastAsia" w:hAnsiTheme="minorEastAsia" w:eastAsiaTheme="minorEastAsia" w:cstheme="minorEastAsia"/>
          <w:b/>
          <w:bCs/>
          <w:color w:val="auto"/>
          <w:spacing w:val="-2"/>
          <w:sz w:val="24"/>
          <w:szCs w:val="24"/>
        </w:rPr>
      </w:pPr>
      <w:r>
        <w:rPr>
          <w:rFonts w:hint="eastAsia" w:asciiTheme="minorEastAsia" w:hAnsiTheme="minorEastAsia" w:eastAsiaTheme="minorEastAsia" w:cstheme="minorEastAsia"/>
          <w:b/>
          <w:bCs/>
          <w:color w:val="auto"/>
          <w:spacing w:val="-4"/>
          <w:sz w:val="24"/>
          <w:szCs w:val="24"/>
          <w:lang w:val="en-US" w:eastAsia="zh-CN"/>
        </w:rPr>
        <w:t xml:space="preserve">3.5.2 </w:t>
      </w:r>
      <w:r>
        <w:rPr>
          <w:rFonts w:hint="eastAsia" w:asciiTheme="minorEastAsia" w:hAnsiTheme="minorEastAsia" w:eastAsiaTheme="minorEastAsia" w:cstheme="minorEastAsia"/>
          <w:b/>
          <w:bCs/>
          <w:color w:val="auto"/>
          <w:spacing w:val="-4"/>
          <w:sz w:val="24"/>
          <w:szCs w:val="24"/>
        </w:rPr>
        <w:t>用药标准</w:t>
      </w:r>
      <w:r>
        <w:rPr>
          <w:rFonts w:hint="eastAsia" w:asciiTheme="minorEastAsia" w:hAnsiTheme="minorEastAsia" w:eastAsiaTheme="minorEastAsia" w:cstheme="minorEastAsia"/>
          <w:b/>
          <w:bCs/>
          <w:color w:val="auto"/>
          <w:spacing w:val="-2"/>
          <w:sz w:val="24"/>
          <w:szCs w:val="24"/>
        </w:rPr>
        <w:t>：</w:t>
      </w:r>
    </w:p>
    <w:p w14:paraId="4F789EEF">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474" w:firstLineChars="200"/>
        <w:textAlignment w:val="baseline"/>
        <w:rPr>
          <w:rFonts w:hint="eastAsia" w:asciiTheme="minorEastAsia" w:hAnsiTheme="minorEastAsia" w:eastAsiaTheme="minorEastAsia" w:cstheme="minorEastAsia"/>
          <w:b/>
          <w:bCs/>
          <w:color w:val="auto"/>
          <w:spacing w:val="-4"/>
          <w:sz w:val="24"/>
          <w:szCs w:val="24"/>
        </w:rPr>
      </w:pPr>
      <w:r>
        <w:rPr>
          <w:rFonts w:hint="eastAsia" w:asciiTheme="minorEastAsia" w:hAnsiTheme="minorEastAsia" w:eastAsiaTheme="minorEastAsia" w:cstheme="minorEastAsia"/>
          <w:b/>
          <w:bCs/>
          <w:color w:val="auto"/>
          <w:spacing w:val="-2"/>
          <w:sz w:val="24"/>
          <w:szCs w:val="24"/>
          <w:lang w:val="en-US" w:eastAsia="zh-CN"/>
        </w:rPr>
        <w:t xml:space="preserve">（1） </w:t>
      </w:r>
      <w:r>
        <w:rPr>
          <w:rFonts w:hint="eastAsia" w:asciiTheme="minorEastAsia" w:hAnsiTheme="minorEastAsia" w:eastAsiaTheme="minorEastAsia" w:cstheme="minorEastAsia"/>
          <w:color w:val="auto"/>
          <w:spacing w:val="-2"/>
          <w:sz w:val="24"/>
          <w:szCs w:val="24"/>
        </w:rPr>
        <w:t>必须注重科学合理用药，不得使用国家禁用的药物，并须</w:t>
      </w:r>
      <w:r>
        <w:rPr>
          <w:rFonts w:hint="eastAsia" w:asciiTheme="minorEastAsia" w:hAnsiTheme="minorEastAsia" w:eastAsiaTheme="minorEastAsia" w:cstheme="minorEastAsia"/>
          <w:color w:val="auto"/>
          <w:spacing w:val="-3"/>
          <w:sz w:val="24"/>
          <w:szCs w:val="24"/>
        </w:rPr>
        <w:t>确保药物来源</w:t>
      </w:r>
      <w:r>
        <w:rPr>
          <w:rFonts w:hint="eastAsia" w:asciiTheme="minorEastAsia" w:hAnsiTheme="minorEastAsia" w:eastAsiaTheme="minorEastAsia" w:cstheme="minorEastAsia"/>
          <w:color w:val="auto"/>
          <w:spacing w:val="7"/>
          <w:sz w:val="24"/>
          <w:szCs w:val="24"/>
        </w:rPr>
        <w:t>和质量正当可靠。使用的药物必须符合</w:t>
      </w:r>
      <w:r>
        <w:rPr>
          <w:rFonts w:hint="eastAsia" w:asciiTheme="minorEastAsia" w:hAnsiTheme="minorEastAsia" w:eastAsiaTheme="minorEastAsia" w:cstheme="minorEastAsia"/>
          <w:color w:val="auto"/>
          <w:sz w:val="24"/>
          <w:szCs w:val="24"/>
        </w:rPr>
        <w:t>GB</w:t>
      </w:r>
      <w:r>
        <w:rPr>
          <w:rFonts w:hint="eastAsia" w:asciiTheme="minorEastAsia" w:hAnsiTheme="minorEastAsia" w:eastAsiaTheme="minorEastAsia" w:cstheme="minorEastAsia"/>
          <w:color w:val="auto"/>
          <w:spacing w:val="7"/>
          <w:sz w:val="24"/>
          <w:szCs w:val="24"/>
        </w:rPr>
        <w:t>/T7777-2011《杀鼠剂安全使用准则》与</w:t>
      </w:r>
      <w:r>
        <w:rPr>
          <w:rFonts w:hint="eastAsia" w:asciiTheme="minorEastAsia" w:hAnsiTheme="minorEastAsia" w:eastAsiaTheme="minorEastAsia" w:cstheme="minorEastAsia"/>
          <w:color w:val="auto"/>
          <w:spacing w:val="-1"/>
          <w:sz w:val="24"/>
          <w:szCs w:val="24"/>
        </w:rPr>
        <w:t>GB/T27779-2011《卫生杀虫剂安全使用准则》等要求，使</w:t>
      </w:r>
      <w:r>
        <w:rPr>
          <w:rFonts w:hint="eastAsia" w:asciiTheme="minorEastAsia" w:hAnsiTheme="minorEastAsia" w:eastAsiaTheme="minorEastAsia" w:cstheme="minorEastAsia"/>
          <w:color w:val="auto"/>
          <w:spacing w:val="-2"/>
          <w:sz w:val="24"/>
          <w:szCs w:val="24"/>
        </w:rPr>
        <w:t>用器械必须符合国家规定的相</w:t>
      </w:r>
      <w:r>
        <w:rPr>
          <w:rFonts w:hint="eastAsia" w:asciiTheme="minorEastAsia" w:hAnsiTheme="minorEastAsia" w:eastAsiaTheme="minorEastAsia" w:cstheme="minorEastAsia"/>
          <w:color w:val="auto"/>
          <w:spacing w:val="-1"/>
          <w:sz w:val="24"/>
          <w:szCs w:val="24"/>
        </w:rPr>
        <w:t>关要求，达到“科学、安全、高效、环保”。</w:t>
      </w:r>
    </w:p>
    <w:p w14:paraId="1555AF7A">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474" w:firstLineChars="200"/>
        <w:textAlignment w:val="baseline"/>
        <w:rPr>
          <w:rFonts w:hint="eastAsia" w:asciiTheme="minorEastAsia" w:hAnsiTheme="minorEastAsia" w:eastAsiaTheme="minorEastAsia" w:cstheme="minorEastAsia"/>
          <w:b/>
          <w:bCs/>
          <w:color w:val="auto"/>
          <w:spacing w:val="-4"/>
          <w:sz w:val="24"/>
          <w:szCs w:val="24"/>
        </w:rPr>
      </w:pPr>
      <w:r>
        <w:rPr>
          <w:rFonts w:hint="eastAsia" w:asciiTheme="minorEastAsia" w:hAnsiTheme="minorEastAsia" w:eastAsiaTheme="minorEastAsia" w:cstheme="minorEastAsia"/>
          <w:b/>
          <w:bCs/>
          <w:color w:val="auto"/>
          <w:spacing w:val="-2"/>
          <w:sz w:val="24"/>
          <w:szCs w:val="24"/>
          <w:lang w:val="en-US" w:eastAsia="zh-CN"/>
        </w:rPr>
        <w:t>（2）</w:t>
      </w:r>
      <w:r>
        <w:rPr>
          <w:rFonts w:hint="eastAsia" w:asciiTheme="minorEastAsia" w:hAnsiTheme="minorEastAsia" w:eastAsiaTheme="minorEastAsia" w:cstheme="minorEastAsia"/>
          <w:color w:val="auto"/>
          <w:spacing w:val="-1"/>
          <w:sz w:val="24"/>
          <w:szCs w:val="24"/>
        </w:rPr>
        <w:t>采购的药品必须是国内合格厂家的药物，并取得</w:t>
      </w:r>
      <w:r>
        <w:rPr>
          <w:rFonts w:hint="eastAsia" w:asciiTheme="minorEastAsia" w:hAnsiTheme="minorEastAsia" w:eastAsiaTheme="minorEastAsia" w:cstheme="minorEastAsia"/>
          <w:b/>
          <w:bCs/>
          <w:color w:val="auto"/>
          <w:spacing w:val="-4"/>
          <w:sz w:val="24"/>
          <w:szCs w:val="24"/>
        </w:rPr>
        <w:t>“三证（产品农药登记证、生产</w:t>
      </w:r>
    </w:p>
    <w:p w14:paraId="46118F5C">
      <w:pPr>
        <w:keepNext w:val="0"/>
        <w:keepLines w:val="0"/>
        <w:pageBreakBefore w:val="0"/>
        <w:widowControl/>
        <w:kinsoku w:val="0"/>
        <w:wordWrap/>
        <w:overflowPunct/>
        <w:topLinePunct w:val="0"/>
        <w:autoSpaceDE w:val="0"/>
        <w:autoSpaceDN w:val="0"/>
        <w:bidi w:val="0"/>
        <w:adjustRightInd w:val="0"/>
        <w:snapToGrid w:val="0"/>
        <w:spacing w:line="480" w:lineRule="exact"/>
        <w:ind w:right="0"/>
        <w:textAlignment w:val="baseline"/>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b/>
          <w:bCs/>
          <w:color w:val="auto"/>
          <w:spacing w:val="-4"/>
          <w:sz w:val="24"/>
          <w:szCs w:val="24"/>
        </w:rPr>
        <w:t>许可证或农药生产批准证书、企业执行标准证书）”</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pacing w:val="-1"/>
          <w:sz w:val="24"/>
          <w:szCs w:val="24"/>
          <w:lang w:eastAsia="zh-CN"/>
        </w:rPr>
        <w:t>相关药品信息可通过中国农药信息网官网（http://www.chinapesticide.org.cn/）验证，确保不使用违禁或登记证号失效药品。</w:t>
      </w:r>
    </w:p>
    <w:p w14:paraId="42876B72">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474"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lang w:val="en-US" w:eastAsia="zh-CN"/>
        </w:rPr>
        <w:t>（3）</w:t>
      </w:r>
      <w:r>
        <w:rPr>
          <w:rFonts w:hint="eastAsia" w:asciiTheme="minorEastAsia" w:hAnsiTheme="minorEastAsia" w:eastAsiaTheme="minorEastAsia" w:cstheme="minorEastAsia"/>
          <w:color w:val="auto"/>
          <w:spacing w:val="-1"/>
          <w:sz w:val="24"/>
          <w:szCs w:val="24"/>
        </w:rPr>
        <w:t>公共外环境用药必须注重科学合理用药，不得使用假冒伪劣药、国家禁用的药物，并须确保药物来源和质量正当可靠。使用的药物必须符合GB/T27777-2011《杀鼠剂安全使用准则》与GB/T27779-2011《卫生杀虫剂安全使用准则》的要求，达到“安全、高效、环保”并交替使用药物防止产生耐药性的要求。</w:t>
      </w:r>
    </w:p>
    <w:p w14:paraId="0E30F7F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4"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lang w:val="en-US" w:eastAsia="zh-CN"/>
        </w:rPr>
        <w:t>（4）</w:t>
      </w:r>
      <w:r>
        <w:rPr>
          <w:rFonts w:hint="eastAsia" w:asciiTheme="minorEastAsia" w:hAnsiTheme="minorEastAsia" w:eastAsiaTheme="minorEastAsia" w:cstheme="minorEastAsia"/>
          <w:color w:val="auto"/>
          <w:spacing w:val="1"/>
          <w:sz w:val="24"/>
          <w:szCs w:val="24"/>
        </w:rPr>
        <w:t>在开展杀虫灭鼠活动时应提前通知甲方，并发放投（喷）药宣传单，以便甲</w:t>
      </w:r>
      <w:r>
        <w:rPr>
          <w:rFonts w:hint="eastAsia" w:asciiTheme="minorEastAsia" w:hAnsiTheme="minorEastAsia" w:eastAsiaTheme="minorEastAsia" w:cstheme="minorEastAsia"/>
          <w:color w:val="auto"/>
          <w:spacing w:val="2"/>
          <w:sz w:val="24"/>
          <w:szCs w:val="24"/>
        </w:rPr>
        <w:t>方进行安排及配合工作，施药现场应摆放警示牌</w:t>
      </w:r>
      <w:r>
        <w:rPr>
          <w:rFonts w:hint="eastAsia" w:asciiTheme="minorEastAsia" w:hAnsiTheme="minorEastAsia" w:eastAsiaTheme="minorEastAsia" w:cstheme="minorEastAsia"/>
          <w:color w:val="auto"/>
          <w:spacing w:val="2"/>
          <w:sz w:val="24"/>
          <w:szCs w:val="24"/>
          <w:lang w:eastAsia="zh-CN"/>
        </w:rPr>
        <w:t>，</w:t>
      </w:r>
      <w:r>
        <w:rPr>
          <w:rFonts w:hint="eastAsia" w:asciiTheme="minorEastAsia" w:hAnsiTheme="minorEastAsia" w:eastAsiaTheme="minorEastAsia" w:cstheme="minorEastAsia"/>
          <w:color w:val="auto"/>
          <w:spacing w:val="2"/>
          <w:sz w:val="24"/>
          <w:szCs w:val="24"/>
        </w:rPr>
        <w:t>在</w:t>
      </w:r>
      <w:r>
        <w:rPr>
          <w:rFonts w:hint="eastAsia" w:asciiTheme="minorEastAsia" w:hAnsiTheme="minorEastAsia" w:eastAsiaTheme="minorEastAsia" w:cstheme="minorEastAsia"/>
          <w:color w:val="auto"/>
          <w:spacing w:val="1"/>
          <w:sz w:val="24"/>
          <w:szCs w:val="24"/>
        </w:rPr>
        <w:t>开展杀虫灭鼠活动前必须和相关单</w:t>
      </w:r>
      <w:r>
        <w:rPr>
          <w:rFonts w:hint="eastAsia" w:asciiTheme="minorEastAsia" w:hAnsiTheme="minorEastAsia" w:eastAsiaTheme="minorEastAsia" w:cstheme="minorEastAsia"/>
          <w:color w:val="auto"/>
          <w:spacing w:val="-1"/>
          <w:sz w:val="24"/>
          <w:szCs w:val="24"/>
        </w:rPr>
        <w:t>位联系，由相关单位安排人员提供协助和监督消杀情况。</w:t>
      </w:r>
    </w:p>
    <w:p w14:paraId="741018C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4"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lang w:val="en-US" w:eastAsia="zh-CN"/>
        </w:rPr>
        <w:t>（5）</w:t>
      </w:r>
      <w:r>
        <w:rPr>
          <w:rFonts w:hint="eastAsia" w:asciiTheme="minorEastAsia" w:hAnsiTheme="minorEastAsia" w:eastAsiaTheme="minorEastAsia" w:cstheme="minorEastAsia"/>
          <w:color w:val="auto"/>
          <w:spacing w:val="1"/>
          <w:sz w:val="24"/>
          <w:szCs w:val="24"/>
        </w:rPr>
        <w:t>蚊、蝇消杀：孳生地投放灭幼药剂，重点部位及害虫栖息场所进行药物滞留</w:t>
      </w:r>
      <w:r>
        <w:rPr>
          <w:rFonts w:hint="eastAsia" w:asciiTheme="minorEastAsia" w:hAnsiTheme="minorEastAsia" w:eastAsiaTheme="minorEastAsia" w:cstheme="minorEastAsia"/>
          <w:color w:val="auto"/>
          <w:spacing w:val="-2"/>
          <w:sz w:val="24"/>
          <w:szCs w:val="24"/>
        </w:rPr>
        <w:t>喷洒和空间喷雾，药品均采用国家相关部门批准使用的高效低毒卫生杀虫药剂；宣传并指导相关村民和居民做好防蚊、防蝇工作，消除孳生地，做到重点区域重点监控，发现</w:t>
      </w:r>
      <w:r>
        <w:rPr>
          <w:rFonts w:hint="eastAsia" w:asciiTheme="minorEastAsia" w:hAnsiTheme="minorEastAsia" w:eastAsiaTheme="minorEastAsia" w:cstheme="minorEastAsia"/>
          <w:color w:val="auto"/>
          <w:spacing w:val="-1"/>
          <w:sz w:val="24"/>
          <w:szCs w:val="24"/>
        </w:rPr>
        <w:t>问题及时处理的施工原则。</w:t>
      </w:r>
    </w:p>
    <w:p w14:paraId="2CB3CD5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4"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lang w:val="en-US" w:eastAsia="zh-CN"/>
        </w:rPr>
        <w:t>（6）</w:t>
      </w:r>
      <w:r>
        <w:rPr>
          <w:rFonts w:hint="eastAsia" w:asciiTheme="minorEastAsia" w:hAnsiTheme="minorEastAsia" w:eastAsiaTheme="minorEastAsia" w:cstheme="minorEastAsia"/>
          <w:color w:val="auto"/>
          <w:spacing w:val="1"/>
          <w:sz w:val="24"/>
          <w:szCs w:val="24"/>
        </w:rPr>
        <w:t>灭鼠药械统一投放，进行多轮统一投药，即：灭鼠重点区域为各级道路、下</w:t>
      </w:r>
      <w:r>
        <w:rPr>
          <w:rFonts w:hint="eastAsia" w:asciiTheme="minorEastAsia" w:hAnsiTheme="minorEastAsia" w:eastAsiaTheme="minorEastAsia" w:cstheme="minorEastAsia"/>
          <w:color w:val="auto"/>
          <w:spacing w:val="-1"/>
          <w:sz w:val="24"/>
          <w:szCs w:val="24"/>
        </w:rPr>
        <w:t>水道、农贸市场周边、公厕周边、垃圾中转</w:t>
      </w:r>
      <w:r>
        <w:rPr>
          <w:rFonts w:hint="eastAsia" w:asciiTheme="minorEastAsia" w:hAnsiTheme="minorEastAsia" w:eastAsiaTheme="minorEastAsia" w:cstheme="minorEastAsia"/>
          <w:color w:val="auto"/>
          <w:spacing w:val="-2"/>
          <w:sz w:val="24"/>
          <w:szCs w:val="24"/>
        </w:rPr>
        <w:t>站及周边、无物业管理居民区、广场、公共</w:t>
      </w:r>
      <w:r>
        <w:rPr>
          <w:rFonts w:hint="eastAsia" w:asciiTheme="minorEastAsia" w:hAnsiTheme="minorEastAsia" w:eastAsiaTheme="minorEastAsia" w:cstheme="minorEastAsia"/>
          <w:color w:val="auto"/>
          <w:spacing w:val="-1"/>
          <w:sz w:val="24"/>
          <w:szCs w:val="24"/>
        </w:rPr>
        <w:t>绿化带、果皮箱、鼠洞、鼠道等，对老鼠活</w:t>
      </w:r>
      <w:r>
        <w:rPr>
          <w:rFonts w:hint="eastAsia" w:asciiTheme="minorEastAsia" w:hAnsiTheme="minorEastAsia" w:eastAsiaTheme="minorEastAsia" w:cstheme="minorEastAsia"/>
          <w:color w:val="auto"/>
          <w:spacing w:val="-2"/>
          <w:sz w:val="24"/>
          <w:szCs w:val="24"/>
        </w:rPr>
        <w:t>动和容易孳生栖息的地点等作为灭鼠防鼠工</w:t>
      </w:r>
      <w:r>
        <w:rPr>
          <w:rFonts w:hint="eastAsia" w:asciiTheme="minorEastAsia" w:hAnsiTheme="minorEastAsia" w:eastAsiaTheme="minorEastAsia" w:cstheme="minorEastAsia"/>
          <w:color w:val="auto"/>
          <w:spacing w:val="-1"/>
          <w:sz w:val="24"/>
          <w:szCs w:val="24"/>
        </w:rPr>
        <w:t>作重点，原则上投药必须投入固定鼠穴、毒</w:t>
      </w:r>
      <w:r>
        <w:rPr>
          <w:rFonts w:hint="eastAsia" w:asciiTheme="minorEastAsia" w:hAnsiTheme="minorEastAsia" w:eastAsiaTheme="minorEastAsia" w:cstheme="minorEastAsia"/>
          <w:color w:val="auto"/>
          <w:spacing w:val="-2"/>
          <w:sz w:val="24"/>
          <w:szCs w:val="24"/>
        </w:rPr>
        <w:t>鼠屋或相对隐蔽的区域和地点，选用药物为</w:t>
      </w:r>
      <w:r>
        <w:rPr>
          <w:rFonts w:hint="eastAsia" w:asciiTheme="minorEastAsia" w:hAnsiTheme="minorEastAsia" w:eastAsiaTheme="minorEastAsia" w:cstheme="minorEastAsia"/>
          <w:color w:val="auto"/>
          <w:spacing w:val="-1"/>
          <w:sz w:val="24"/>
          <w:szCs w:val="24"/>
        </w:rPr>
        <w:t>第二代抗凝血剂灭鼠毒饵，确保安全高效，</w:t>
      </w:r>
      <w:r>
        <w:rPr>
          <w:rFonts w:hint="eastAsia" w:asciiTheme="minorEastAsia" w:hAnsiTheme="minorEastAsia" w:eastAsiaTheme="minorEastAsia" w:cstheme="minorEastAsia"/>
          <w:color w:val="auto"/>
          <w:spacing w:val="-2"/>
          <w:sz w:val="24"/>
          <w:szCs w:val="24"/>
        </w:rPr>
        <w:t>严禁使用国家禁止使用的灭鼠药物，并将加</w:t>
      </w:r>
      <w:r>
        <w:rPr>
          <w:rFonts w:hint="eastAsia" w:asciiTheme="minorEastAsia" w:hAnsiTheme="minorEastAsia" w:eastAsiaTheme="minorEastAsia" w:cstheme="minorEastAsia"/>
          <w:color w:val="auto"/>
          <w:spacing w:val="3"/>
          <w:sz w:val="24"/>
          <w:szCs w:val="24"/>
        </w:rPr>
        <w:t>大对服务范围内各单位、各居民区人员的宣传介绍，提供药</w:t>
      </w:r>
      <w:r>
        <w:rPr>
          <w:rFonts w:hint="eastAsia" w:asciiTheme="minorEastAsia" w:hAnsiTheme="minorEastAsia" w:eastAsiaTheme="minorEastAsia" w:cstheme="minorEastAsia"/>
          <w:color w:val="auto"/>
          <w:spacing w:val="2"/>
          <w:sz w:val="24"/>
          <w:szCs w:val="24"/>
        </w:rPr>
        <w:t>物保障和24小时的技术支</w:t>
      </w:r>
      <w:r>
        <w:rPr>
          <w:rFonts w:hint="eastAsia" w:asciiTheme="minorEastAsia" w:hAnsiTheme="minorEastAsia" w:eastAsiaTheme="minorEastAsia" w:cstheme="minorEastAsia"/>
          <w:color w:val="auto"/>
          <w:spacing w:val="-4"/>
          <w:sz w:val="24"/>
          <w:szCs w:val="24"/>
        </w:rPr>
        <w:t>撑。</w:t>
      </w:r>
    </w:p>
    <w:p w14:paraId="5D6FED4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firstLineChars="200"/>
        <w:textAlignment w:val="baseline"/>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a.灭鼠毒饵站：陶瓷毒饵站表面上釉，长30cm，高10cm，宽10cm</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rPr>
        <w:t>毒饵站口径7cm，毒饵站外表面应有彩色的警示标示。毒饵站应按合同约定足量投放，且合同约定量为暂估数量，以投放区域实际需求量为准，并及时对遗失、损坏的毒饵站进行补充，保证毒饵站的总量。</w:t>
      </w:r>
    </w:p>
    <w:p w14:paraId="018667F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firstLineChars="200"/>
        <w:textAlignment w:val="baseline"/>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b.成交单位提供的灭鼠服务，毒饵投放覆盖率、到位率、饱和率及灭效均≥80%。</w:t>
      </w:r>
    </w:p>
    <w:p w14:paraId="6A2DB49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firstLineChars="200"/>
        <w:textAlignment w:val="baseline"/>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c.毒饵施放应准确到位防止人、畜、禽、鸟等误食误服。保证作业安全、规范，无责任事故发生。</w:t>
      </w:r>
    </w:p>
    <w:p w14:paraId="282C277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4" w:firstLineChars="200"/>
        <w:textAlignment w:val="baseline"/>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b/>
          <w:bCs/>
          <w:color w:val="auto"/>
          <w:spacing w:val="-2"/>
          <w:sz w:val="24"/>
          <w:szCs w:val="24"/>
          <w:lang w:val="en-US" w:eastAsia="zh-CN"/>
        </w:rPr>
        <w:t>（7）</w:t>
      </w:r>
      <w:r>
        <w:rPr>
          <w:rFonts w:hint="eastAsia" w:asciiTheme="minorEastAsia" w:hAnsiTheme="minorEastAsia" w:eastAsiaTheme="minorEastAsia" w:cstheme="minorEastAsia"/>
          <w:color w:val="auto"/>
          <w:spacing w:val="1"/>
          <w:sz w:val="24"/>
          <w:szCs w:val="24"/>
        </w:rPr>
        <w:t>下水道的灭蟑灭虫：街道和背街小巷周边等害虫侵犯点需进行下水道的灭蟑</w:t>
      </w:r>
      <w:r>
        <w:rPr>
          <w:rFonts w:hint="eastAsia" w:asciiTheme="minorEastAsia" w:hAnsiTheme="minorEastAsia" w:eastAsiaTheme="minorEastAsia" w:cstheme="minorEastAsia"/>
          <w:color w:val="auto"/>
          <w:spacing w:val="-1"/>
          <w:sz w:val="24"/>
          <w:szCs w:val="24"/>
        </w:rPr>
        <w:t>灭虫</w:t>
      </w:r>
    </w:p>
    <w:p w14:paraId="0E3AC357">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工作，药品采用国家相关部门批准使用</w:t>
      </w:r>
      <w:r>
        <w:rPr>
          <w:rFonts w:hint="eastAsia" w:asciiTheme="minorEastAsia" w:hAnsiTheme="minorEastAsia" w:eastAsiaTheme="minorEastAsia" w:cstheme="minorEastAsia"/>
          <w:color w:val="auto"/>
          <w:spacing w:val="-2"/>
          <w:sz w:val="24"/>
          <w:szCs w:val="24"/>
        </w:rPr>
        <w:t>的卫生杀虫药剂；这些街道四害孳生的点主</w:t>
      </w:r>
      <w:r>
        <w:rPr>
          <w:rFonts w:hint="eastAsia" w:asciiTheme="minorEastAsia" w:hAnsiTheme="minorEastAsia" w:eastAsiaTheme="minorEastAsia" w:cstheme="minorEastAsia"/>
          <w:color w:val="auto"/>
          <w:sz w:val="24"/>
          <w:szCs w:val="24"/>
        </w:rPr>
        <w:t>要是下水</w:t>
      </w:r>
    </w:p>
    <w:p w14:paraId="293D0677">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z w:val="24"/>
          <w:szCs w:val="24"/>
        </w:rPr>
        <w:t>道、农贸市场周边、公厕周边、垃圾中转站及周边、公</w:t>
      </w:r>
      <w:r>
        <w:rPr>
          <w:rFonts w:hint="eastAsia" w:asciiTheme="minorEastAsia" w:hAnsiTheme="minorEastAsia" w:eastAsiaTheme="minorEastAsia" w:cstheme="minorEastAsia"/>
          <w:color w:val="auto"/>
          <w:spacing w:val="-1"/>
          <w:sz w:val="24"/>
          <w:szCs w:val="24"/>
        </w:rPr>
        <w:t>共绿化带及周边等。</w:t>
      </w:r>
    </w:p>
    <w:p w14:paraId="01A4D6A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4"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lang w:val="en-US" w:eastAsia="zh-CN"/>
        </w:rPr>
        <w:t>（8）</w:t>
      </w:r>
      <w:r>
        <w:rPr>
          <w:rFonts w:hint="eastAsia" w:asciiTheme="minorEastAsia" w:hAnsiTheme="minorEastAsia" w:eastAsiaTheme="minorEastAsia" w:cstheme="minorEastAsia"/>
          <w:color w:val="auto"/>
          <w:spacing w:val="1"/>
          <w:sz w:val="24"/>
          <w:szCs w:val="24"/>
        </w:rPr>
        <w:t>按相关要求在区域内完成固定毒饵站布放。毒饵站应根据孳生地调查和病媒</w:t>
      </w:r>
      <w:r>
        <w:rPr>
          <w:rFonts w:hint="eastAsia" w:asciiTheme="minorEastAsia" w:hAnsiTheme="minorEastAsia" w:eastAsiaTheme="minorEastAsia" w:cstheme="minorEastAsia"/>
          <w:color w:val="auto"/>
          <w:spacing w:val="-1"/>
          <w:sz w:val="24"/>
          <w:szCs w:val="24"/>
        </w:rPr>
        <w:t>生物密度监测结果设置在有鼠迹、位置隐蔽</w:t>
      </w:r>
      <w:r>
        <w:rPr>
          <w:rFonts w:hint="eastAsia" w:asciiTheme="minorEastAsia" w:hAnsiTheme="minorEastAsia" w:eastAsiaTheme="minorEastAsia" w:cstheme="minorEastAsia"/>
          <w:color w:val="auto"/>
          <w:spacing w:val="-2"/>
          <w:sz w:val="24"/>
          <w:szCs w:val="24"/>
        </w:rPr>
        <w:t>、人员稀少、不引人注目的地方沿墙等位置</w:t>
      </w:r>
      <w:r>
        <w:rPr>
          <w:rFonts w:hint="eastAsia" w:asciiTheme="minorEastAsia" w:hAnsiTheme="minorEastAsia" w:eastAsiaTheme="minorEastAsia" w:cstheme="minorEastAsia"/>
          <w:color w:val="auto"/>
          <w:spacing w:val="-1"/>
          <w:sz w:val="24"/>
          <w:szCs w:val="24"/>
        </w:rPr>
        <w:t>布放，在主次街路、人行道等人员集中的地</w:t>
      </w:r>
      <w:r>
        <w:rPr>
          <w:rFonts w:hint="eastAsia" w:asciiTheme="minorEastAsia" w:hAnsiTheme="minorEastAsia" w:eastAsiaTheme="minorEastAsia" w:cstheme="minorEastAsia"/>
          <w:color w:val="auto"/>
          <w:spacing w:val="-2"/>
          <w:sz w:val="24"/>
          <w:szCs w:val="24"/>
        </w:rPr>
        <w:t>方布放时应慎重；要求在公共区域的背街小</w:t>
      </w:r>
      <w:r>
        <w:rPr>
          <w:rFonts w:hint="eastAsia" w:asciiTheme="minorEastAsia" w:hAnsiTheme="minorEastAsia" w:eastAsiaTheme="minorEastAsia" w:cstheme="minorEastAsia"/>
          <w:color w:val="auto"/>
          <w:spacing w:val="-1"/>
          <w:sz w:val="24"/>
          <w:szCs w:val="24"/>
        </w:rPr>
        <w:t>巷、无物业管理老旧社区、老旧居民区以及</w:t>
      </w:r>
      <w:r>
        <w:rPr>
          <w:rFonts w:hint="eastAsia" w:asciiTheme="minorEastAsia" w:hAnsiTheme="minorEastAsia" w:eastAsiaTheme="minorEastAsia" w:cstheme="minorEastAsia"/>
          <w:color w:val="auto"/>
          <w:spacing w:val="-2"/>
          <w:sz w:val="24"/>
          <w:szCs w:val="24"/>
        </w:rPr>
        <w:t>城乡结合部、城中村、公园、广场、垃圾箱（屋、桶）周边、农贸市场周边、垃圾中转站周边、公厕周边等选取适宜位置布放固定毒饵站。</w:t>
      </w:r>
    </w:p>
    <w:p w14:paraId="7E84712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352" w:firstLineChars="15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lang w:val="en-US" w:eastAsia="zh-CN"/>
        </w:rPr>
        <w:t>3</w:t>
      </w:r>
      <w:r>
        <w:rPr>
          <w:rFonts w:hint="eastAsia" w:asciiTheme="minorEastAsia" w:hAnsiTheme="minorEastAsia" w:eastAsiaTheme="minorEastAsia" w:cstheme="minorEastAsia"/>
          <w:b/>
          <w:bCs/>
          <w:color w:val="auto"/>
          <w:spacing w:val="-3"/>
          <w:sz w:val="24"/>
          <w:szCs w:val="24"/>
          <w:highlight w:val="none"/>
        </w:rPr>
        <w:t>.6</w:t>
      </w:r>
      <w:r>
        <w:rPr>
          <w:rFonts w:hint="eastAsia" w:asciiTheme="minorEastAsia" w:hAnsiTheme="minorEastAsia" w:eastAsiaTheme="minorEastAsia" w:cstheme="minorEastAsia"/>
          <w:b/>
          <w:bCs/>
          <w:color w:val="auto"/>
          <w:spacing w:val="-3"/>
          <w:sz w:val="24"/>
          <w:szCs w:val="24"/>
          <w:highlight w:val="none"/>
          <w:lang w:val="en-US" w:eastAsia="zh-CN"/>
        </w:rPr>
        <w:t xml:space="preserve"> </w:t>
      </w:r>
      <w:r>
        <w:rPr>
          <w:rFonts w:hint="eastAsia" w:asciiTheme="minorEastAsia" w:hAnsiTheme="minorEastAsia" w:eastAsiaTheme="minorEastAsia" w:cstheme="minorEastAsia"/>
          <w:b/>
          <w:bCs/>
          <w:color w:val="auto"/>
          <w:spacing w:val="-3"/>
          <w:sz w:val="24"/>
          <w:szCs w:val="24"/>
          <w:highlight w:val="none"/>
        </w:rPr>
        <w:t>病媒生物防制项目人员、设备配置要求：</w:t>
      </w:r>
    </w:p>
    <w:p w14:paraId="65CAC28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348" w:firstLineChars="15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lang w:eastAsia="zh-CN"/>
        </w:rPr>
        <w:t>（</w:t>
      </w:r>
      <w:r>
        <w:rPr>
          <w:rFonts w:hint="eastAsia" w:asciiTheme="minorEastAsia" w:hAnsiTheme="minorEastAsia" w:eastAsiaTheme="minorEastAsia" w:cstheme="minorEastAsia"/>
          <w:color w:val="auto"/>
          <w:spacing w:val="-4"/>
          <w:sz w:val="24"/>
          <w:szCs w:val="24"/>
        </w:rPr>
        <w:t>1</w:t>
      </w:r>
      <w:r>
        <w:rPr>
          <w:rFonts w:hint="eastAsia" w:asciiTheme="minorEastAsia" w:hAnsiTheme="minorEastAsia" w:eastAsiaTheme="minorEastAsia" w:cstheme="minorEastAsia"/>
          <w:color w:val="auto"/>
          <w:spacing w:val="-4"/>
          <w:sz w:val="24"/>
          <w:szCs w:val="24"/>
          <w:lang w:eastAsia="zh-CN"/>
        </w:rPr>
        <w:t>）</w:t>
      </w:r>
      <w:r>
        <w:rPr>
          <w:rFonts w:hint="eastAsia" w:asciiTheme="minorEastAsia" w:hAnsiTheme="minorEastAsia" w:eastAsiaTheme="minorEastAsia" w:cstheme="minorEastAsia"/>
          <w:color w:val="auto"/>
          <w:spacing w:val="-4"/>
          <w:sz w:val="24"/>
          <w:szCs w:val="24"/>
        </w:rPr>
        <w:t>病媒生物防制项目人员配置表</w:t>
      </w:r>
    </w:p>
    <w:tbl>
      <w:tblPr>
        <w:tblStyle w:val="10"/>
        <w:tblW w:w="8031" w:type="dxa"/>
        <w:tblInd w:w="3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9"/>
        <w:gridCol w:w="1443"/>
        <w:gridCol w:w="1177"/>
        <w:gridCol w:w="4742"/>
      </w:tblGrid>
      <w:tr w14:paraId="1F62F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669" w:type="dxa"/>
            <w:shd w:val="clear" w:color="auto" w:fill="F2F2F2"/>
            <w:noWrap w:val="0"/>
            <w:vAlign w:val="top"/>
          </w:tcPr>
          <w:p w14:paraId="7BAB1A40">
            <w:pPr>
              <w:pStyle w:val="9"/>
              <w:keepNext w:val="0"/>
              <w:keepLines w:val="0"/>
              <w:pageBreakBefore w:val="0"/>
              <w:wordWrap/>
              <w:overflowPunct/>
              <w:topLinePunct w:val="0"/>
              <w:bidi w:val="0"/>
              <w:adjustRightInd w:val="0"/>
              <w:spacing w:line="500" w:lineRule="exact"/>
              <w:ind w:left="0" w:right="0" w:firstLine="225"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8"/>
                <w:sz w:val="24"/>
                <w:szCs w:val="24"/>
                <w:shd w:val="clear" w:color="auto" w:fill="FFFFFE"/>
              </w:rPr>
              <w:t>序号</w:t>
            </w:r>
          </w:p>
        </w:tc>
        <w:tc>
          <w:tcPr>
            <w:tcW w:w="1443" w:type="dxa"/>
            <w:shd w:val="clear" w:color="auto" w:fill="F2F2F2"/>
            <w:noWrap w:val="0"/>
            <w:vAlign w:val="top"/>
          </w:tcPr>
          <w:p w14:paraId="6EB4F8F0">
            <w:pPr>
              <w:pStyle w:val="9"/>
              <w:keepNext w:val="0"/>
              <w:keepLines w:val="0"/>
              <w:pageBreakBefore w:val="0"/>
              <w:wordWrap/>
              <w:overflowPunct/>
              <w:topLinePunct w:val="0"/>
              <w:bidi w:val="0"/>
              <w:adjustRightInd w:val="0"/>
              <w:spacing w:line="500" w:lineRule="exact"/>
              <w:ind w:left="0" w:right="0" w:firstLine="211"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5"/>
                <w:sz w:val="24"/>
                <w:szCs w:val="24"/>
                <w:shd w:val="clear" w:color="auto" w:fill="FFFFFE"/>
              </w:rPr>
              <w:t>岗位</w:t>
            </w:r>
          </w:p>
        </w:tc>
        <w:tc>
          <w:tcPr>
            <w:tcW w:w="1177" w:type="dxa"/>
            <w:shd w:val="clear" w:color="auto" w:fill="F2F2F2"/>
            <w:noWrap w:val="0"/>
            <w:vAlign w:val="top"/>
          </w:tcPr>
          <w:p w14:paraId="0679E638">
            <w:pPr>
              <w:pStyle w:val="9"/>
              <w:keepNext w:val="0"/>
              <w:keepLines w:val="0"/>
              <w:pageBreakBefore w:val="0"/>
              <w:wordWrap/>
              <w:overflowPunct/>
              <w:topLinePunct w:val="0"/>
              <w:bidi w:val="0"/>
              <w:adjustRightInd w:val="0"/>
              <w:spacing w:line="500" w:lineRule="exact"/>
              <w:ind w:left="0" w:right="0" w:firstLine="221"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0"/>
                <w:sz w:val="24"/>
                <w:szCs w:val="24"/>
                <w:shd w:val="clear" w:color="auto" w:fill="FFFFFE"/>
              </w:rPr>
              <w:t>人数</w:t>
            </w:r>
          </w:p>
        </w:tc>
        <w:tc>
          <w:tcPr>
            <w:tcW w:w="4742" w:type="dxa"/>
            <w:shd w:val="clear" w:color="auto" w:fill="F2F2F2"/>
            <w:noWrap w:val="0"/>
            <w:vAlign w:val="top"/>
          </w:tcPr>
          <w:p w14:paraId="123EC7AE">
            <w:pPr>
              <w:pStyle w:val="9"/>
              <w:keepNext w:val="0"/>
              <w:keepLines w:val="0"/>
              <w:pageBreakBefore w:val="0"/>
              <w:wordWrap/>
              <w:overflowPunct/>
              <w:topLinePunct w:val="0"/>
              <w:bidi w:val="0"/>
              <w:adjustRightInd w:val="0"/>
              <w:spacing w:line="500" w:lineRule="exact"/>
              <w:ind w:left="0" w:right="0" w:firstLine="225"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8"/>
                <w:sz w:val="24"/>
                <w:szCs w:val="24"/>
                <w:shd w:val="clear" w:color="auto" w:fill="FFFFFE"/>
              </w:rPr>
              <w:t>备注</w:t>
            </w:r>
          </w:p>
        </w:tc>
      </w:tr>
      <w:tr w14:paraId="58B4E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669" w:type="dxa"/>
            <w:noWrap w:val="0"/>
            <w:vAlign w:val="top"/>
          </w:tcPr>
          <w:p w14:paraId="448317CF">
            <w:pPr>
              <w:pStyle w:val="9"/>
              <w:keepNext w:val="0"/>
              <w:keepLines w:val="0"/>
              <w:pageBreakBefore w:val="0"/>
              <w:wordWrap/>
              <w:overflowPunct/>
              <w:topLinePunct w:val="0"/>
              <w:bidi w:val="0"/>
              <w:adjustRightInd w:val="0"/>
              <w:spacing w:line="500" w:lineRule="exact"/>
              <w:ind w:left="0" w:right="0"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443" w:type="dxa"/>
            <w:noWrap w:val="0"/>
            <w:vAlign w:val="top"/>
          </w:tcPr>
          <w:p w14:paraId="014FC6D0">
            <w:pPr>
              <w:pStyle w:val="9"/>
              <w:keepNext w:val="0"/>
              <w:keepLines w:val="0"/>
              <w:pageBreakBefore w:val="0"/>
              <w:wordWrap/>
              <w:overflowPunct/>
              <w:topLinePunct w:val="0"/>
              <w:bidi w:val="0"/>
              <w:adjustRightInd w:val="0"/>
              <w:spacing w:line="500" w:lineRule="exact"/>
              <w:ind w:left="0" w:right="0" w:firstLine="232"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负责人</w:t>
            </w:r>
          </w:p>
        </w:tc>
        <w:tc>
          <w:tcPr>
            <w:tcW w:w="1177" w:type="dxa"/>
            <w:noWrap w:val="0"/>
            <w:vAlign w:val="top"/>
          </w:tcPr>
          <w:p w14:paraId="6ACECC0B">
            <w:pPr>
              <w:pStyle w:val="9"/>
              <w:keepNext w:val="0"/>
              <w:keepLines w:val="0"/>
              <w:pageBreakBefore w:val="0"/>
              <w:wordWrap/>
              <w:overflowPunct/>
              <w:topLinePunct w:val="0"/>
              <w:bidi w:val="0"/>
              <w:adjustRightInd w:val="0"/>
              <w:spacing w:line="500" w:lineRule="exact"/>
              <w:ind w:left="0" w:right="0" w:firstLine="218"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1人</w:t>
            </w:r>
          </w:p>
        </w:tc>
        <w:tc>
          <w:tcPr>
            <w:tcW w:w="4742" w:type="dxa"/>
            <w:noWrap w:val="0"/>
            <w:vAlign w:val="top"/>
          </w:tcPr>
          <w:p w14:paraId="0C163D57">
            <w:pPr>
              <w:pStyle w:val="9"/>
              <w:keepNext w:val="0"/>
              <w:keepLines w:val="0"/>
              <w:pageBreakBefore w:val="0"/>
              <w:wordWrap/>
              <w:overflowPunct/>
              <w:topLinePunct w:val="0"/>
              <w:bidi w:val="0"/>
              <w:adjustRightInd w:val="0"/>
              <w:spacing w:line="500" w:lineRule="exact"/>
              <w:ind w:left="0" w:right="0" w:firstLine="236"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负责全面工作</w:t>
            </w:r>
          </w:p>
        </w:tc>
      </w:tr>
      <w:tr w14:paraId="2D0B1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69" w:type="dxa"/>
            <w:noWrap w:val="0"/>
            <w:vAlign w:val="top"/>
          </w:tcPr>
          <w:p w14:paraId="4AD4EEA0">
            <w:pPr>
              <w:pStyle w:val="9"/>
              <w:keepNext w:val="0"/>
              <w:keepLines w:val="0"/>
              <w:pageBreakBefore w:val="0"/>
              <w:wordWrap/>
              <w:overflowPunct/>
              <w:topLinePunct w:val="0"/>
              <w:bidi w:val="0"/>
              <w:adjustRightInd w:val="0"/>
              <w:spacing w:line="500" w:lineRule="exact"/>
              <w:ind w:left="0" w:right="0"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443" w:type="dxa"/>
            <w:noWrap w:val="0"/>
            <w:vAlign w:val="top"/>
          </w:tcPr>
          <w:p w14:paraId="59BAABBE">
            <w:pPr>
              <w:pStyle w:val="9"/>
              <w:keepNext w:val="0"/>
              <w:keepLines w:val="0"/>
              <w:pageBreakBefore w:val="0"/>
              <w:wordWrap/>
              <w:overflowPunct/>
              <w:topLinePunct w:val="0"/>
              <w:bidi w:val="0"/>
              <w:adjustRightInd w:val="0"/>
              <w:spacing w:line="500" w:lineRule="exact"/>
              <w:ind w:left="0" w:right="0" w:firstLine="23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组长</w:t>
            </w:r>
          </w:p>
        </w:tc>
        <w:tc>
          <w:tcPr>
            <w:tcW w:w="1177" w:type="dxa"/>
            <w:noWrap w:val="0"/>
            <w:vAlign w:val="top"/>
          </w:tcPr>
          <w:p w14:paraId="54117193">
            <w:pPr>
              <w:pStyle w:val="9"/>
              <w:keepNext w:val="0"/>
              <w:keepLines w:val="0"/>
              <w:pageBreakBefore w:val="0"/>
              <w:wordWrap/>
              <w:overflowPunct/>
              <w:topLinePunct w:val="0"/>
              <w:bidi w:val="0"/>
              <w:adjustRightInd w:val="0"/>
              <w:spacing w:line="500" w:lineRule="exact"/>
              <w:ind w:left="0" w:right="0" w:firstLine="23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lang w:val="en-US" w:eastAsia="zh-CN"/>
              </w:rPr>
              <w:t>1</w:t>
            </w:r>
            <w:r>
              <w:rPr>
                <w:rFonts w:hint="eastAsia" w:asciiTheme="minorEastAsia" w:hAnsiTheme="minorEastAsia" w:eastAsiaTheme="minorEastAsia" w:cstheme="minorEastAsia"/>
                <w:color w:val="auto"/>
                <w:spacing w:val="-5"/>
                <w:sz w:val="24"/>
                <w:szCs w:val="24"/>
              </w:rPr>
              <w:t>人</w:t>
            </w:r>
          </w:p>
        </w:tc>
        <w:tc>
          <w:tcPr>
            <w:tcW w:w="4742" w:type="dxa"/>
            <w:noWrap w:val="0"/>
            <w:vAlign w:val="top"/>
          </w:tcPr>
          <w:p w14:paraId="1B782BD2">
            <w:pPr>
              <w:pStyle w:val="9"/>
              <w:keepNext w:val="0"/>
              <w:keepLines w:val="0"/>
              <w:pageBreakBefore w:val="0"/>
              <w:wordWrap/>
              <w:overflowPunct/>
              <w:topLinePunct w:val="0"/>
              <w:bidi w:val="0"/>
              <w:adjustRightInd w:val="0"/>
              <w:spacing w:line="500" w:lineRule="exact"/>
              <w:ind w:left="0" w:right="0" w:firstLine="232"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负责小组安排、指导和参与日常施工作</w:t>
            </w:r>
            <w:r>
              <w:rPr>
                <w:rFonts w:hint="eastAsia" w:asciiTheme="minorEastAsia" w:hAnsiTheme="minorEastAsia" w:eastAsiaTheme="minorEastAsia" w:cstheme="minorEastAsia"/>
                <w:color w:val="auto"/>
                <w:sz w:val="24"/>
                <w:szCs w:val="24"/>
              </w:rPr>
              <w:t>业</w:t>
            </w:r>
          </w:p>
        </w:tc>
      </w:tr>
      <w:tr w14:paraId="08B73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69" w:type="dxa"/>
            <w:noWrap w:val="0"/>
            <w:vAlign w:val="top"/>
          </w:tcPr>
          <w:p w14:paraId="4943C460">
            <w:pPr>
              <w:pStyle w:val="9"/>
              <w:keepNext w:val="0"/>
              <w:keepLines w:val="0"/>
              <w:pageBreakBefore w:val="0"/>
              <w:wordWrap/>
              <w:overflowPunct/>
              <w:topLinePunct w:val="0"/>
              <w:bidi w:val="0"/>
              <w:adjustRightInd w:val="0"/>
              <w:spacing w:line="500" w:lineRule="exact"/>
              <w:ind w:left="0" w:right="0"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443" w:type="dxa"/>
            <w:noWrap w:val="0"/>
            <w:vAlign w:val="top"/>
          </w:tcPr>
          <w:p w14:paraId="0F9E39B9">
            <w:pPr>
              <w:pStyle w:val="9"/>
              <w:keepNext w:val="0"/>
              <w:keepLines w:val="0"/>
              <w:pageBreakBefore w:val="0"/>
              <w:wordWrap/>
              <w:overflowPunct/>
              <w:topLinePunct w:val="0"/>
              <w:bidi w:val="0"/>
              <w:adjustRightInd w:val="0"/>
              <w:spacing w:line="500" w:lineRule="exact"/>
              <w:ind w:left="0" w:right="0" w:firstLine="226"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文员</w:t>
            </w:r>
          </w:p>
        </w:tc>
        <w:tc>
          <w:tcPr>
            <w:tcW w:w="1177" w:type="dxa"/>
            <w:noWrap w:val="0"/>
            <w:vAlign w:val="top"/>
          </w:tcPr>
          <w:p w14:paraId="6B25AAD7">
            <w:pPr>
              <w:pStyle w:val="9"/>
              <w:keepNext w:val="0"/>
              <w:keepLines w:val="0"/>
              <w:pageBreakBefore w:val="0"/>
              <w:wordWrap/>
              <w:overflowPunct/>
              <w:topLinePunct w:val="0"/>
              <w:bidi w:val="0"/>
              <w:adjustRightInd w:val="0"/>
              <w:spacing w:line="500" w:lineRule="exact"/>
              <w:ind w:left="0" w:right="0" w:firstLine="218"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1人</w:t>
            </w:r>
          </w:p>
        </w:tc>
        <w:tc>
          <w:tcPr>
            <w:tcW w:w="4742" w:type="dxa"/>
            <w:noWrap w:val="0"/>
            <w:vAlign w:val="top"/>
          </w:tcPr>
          <w:p w14:paraId="00E34912">
            <w:pPr>
              <w:pStyle w:val="9"/>
              <w:keepNext w:val="0"/>
              <w:keepLines w:val="0"/>
              <w:pageBreakBefore w:val="0"/>
              <w:wordWrap/>
              <w:overflowPunct/>
              <w:topLinePunct w:val="0"/>
              <w:bidi w:val="0"/>
              <w:adjustRightInd w:val="0"/>
              <w:spacing w:line="500" w:lineRule="exact"/>
              <w:ind w:left="0" w:right="0" w:firstLine="238"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负责仓管、每日作业记录及资料整理</w:t>
            </w:r>
          </w:p>
        </w:tc>
      </w:tr>
      <w:tr w14:paraId="5BBC0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669" w:type="dxa"/>
            <w:noWrap w:val="0"/>
            <w:vAlign w:val="top"/>
          </w:tcPr>
          <w:p w14:paraId="287BCD1B">
            <w:pPr>
              <w:pStyle w:val="9"/>
              <w:keepNext w:val="0"/>
              <w:keepLines w:val="0"/>
              <w:pageBreakBefore w:val="0"/>
              <w:wordWrap/>
              <w:overflowPunct/>
              <w:topLinePunct w:val="0"/>
              <w:bidi w:val="0"/>
              <w:adjustRightInd w:val="0"/>
              <w:spacing w:line="500" w:lineRule="exact"/>
              <w:ind w:left="0" w:right="0"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443" w:type="dxa"/>
            <w:noWrap w:val="0"/>
            <w:vAlign w:val="top"/>
          </w:tcPr>
          <w:p w14:paraId="6494F1BD">
            <w:pPr>
              <w:pStyle w:val="9"/>
              <w:keepNext w:val="0"/>
              <w:keepLines w:val="0"/>
              <w:pageBreakBefore w:val="0"/>
              <w:wordWrap/>
              <w:overflowPunct/>
              <w:topLinePunct w:val="0"/>
              <w:bidi w:val="0"/>
              <w:adjustRightInd w:val="0"/>
              <w:spacing w:line="500" w:lineRule="exact"/>
              <w:ind w:left="0" w:right="0" w:firstLine="234"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施工员</w:t>
            </w:r>
          </w:p>
        </w:tc>
        <w:tc>
          <w:tcPr>
            <w:tcW w:w="1177" w:type="dxa"/>
            <w:noWrap w:val="0"/>
            <w:vAlign w:val="top"/>
          </w:tcPr>
          <w:p w14:paraId="4F71CCC7">
            <w:pPr>
              <w:pStyle w:val="9"/>
              <w:keepNext w:val="0"/>
              <w:keepLines w:val="0"/>
              <w:pageBreakBefore w:val="0"/>
              <w:wordWrap/>
              <w:overflowPunct/>
              <w:topLinePunct w:val="0"/>
              <w:bidi w:val="0"/>
              <w:adjustRightInd w:val="0"/>
              <w:spacing w:line="500" w:lineRule="exact"/>
              <w:ind w:left="0" w:right="0" w:firstLine="224"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lang w:val="en-US" w:eastAsia="zh-CN"/>
              </w:rPr>
              <w:t>6</w:t>
            </w:r>
            <w:r>
              <w:rPr>
                <w:rFonts w:hint="eastAsia" w:asciiTheme="minorEastAsia" w:hAnsiTheme="minorEastAsia" w:eastAsiaTheme="minorEastAsia" w:cstheme="minorEastAsia"/>
                <w:color w:val="auto"/>
                <w:spacing w:val="-8"/>
                <w:sz w:val="24"/>
                <w:szCs w:val="24"/>
              </w:rPr>
              <w:t>人</w:t>
            </w:r>
          </w:p>
        </w:tc>
        <w:tc>
          <w:tcPr>
            <w:tcW w:w="4742" w:type="dxa"/>
            <w:noWrap w:val="0"/>
            <w:vAlign w:val="top"/>
          </w:tcPr>
          <w:p w14:paraId="5227AFCA">
            <w:pPr>
              <w:pStyle w:val="9"/>
              <w:keepNext w:val="0"/>
              <w:keepLines w:val="0"/>
              <w:pageBreakBefore w:val="0"/>
              <w:wordWrap/>
              <w:overflowPunct/>
              <w:topLinePunct w:val="0"/>
              <w:bidi w:val="0"/>
              <w:adjustRightInd w:val="0"/>
              <w:spacing w:line="500" w:lineRule="exact"/>
              <w:ind w:left="0" w:right="0" w:firstLine="236"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负责现场作业</w:t>
            </w:r>
          </w:p>
        </w:tc>
      </w:tr>
      <w:tr w14:paraId="588ED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69" w:type="dxa"/>
            <w:noWrap w:val="0"/>
            <w:vAlign w:val="top"/>
          </w:tcPr>
          <w:p w14:paraId="1D8C82EF">
            <w:pPr>
              <w:pStyle w:val="9"/>
              <w:keepNext w:val="0"/>
              <w:keepLines w:val="0"/>
              <w:pageBreakBefore w:val="0"/>
              <w:wordWrap/>
              <w:overflowPunct/>
              <w:topLinePunct w:val="0"/>
              <w:bidi w:val="0"/>
              <w:adjustRightInd w:val="0"/>
              <w:spacing w:line="500" w:lineRule="exact"/>
              <w:ind w:left="0" w:right="0"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443" w:type="dxa"/>
            <w:noWrap w:val="0"/>
            <w:vAlign w:val="top"/>
          </w:tcPr>
          <w:p w14:paraId="566F15C5">
            <w:pPr>
              <w:pStyle w:val="9"/>
              <w:keepNext w:val="0"/>
              <w:keepLines w:val="0"/>
              <w:pageBreakBefore w:val="0"/>
              <w:wordWrap/>
              <w:overflowPunct/>
              <w:topLinePunct w:val="0"/>
              <w:bidi w:val="0"/>
              <w:adjustRightInd w:val="0"/>
              <w:spacing w:line="500" w:lineRule="exact"/>
              <w:ind w:left="0" w:right="0" w:firstLine="236"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技术巡查员</w:t>
            </w:r>
          </w:p>
        </w:tc>
        <w:tc>
          <w:tcPr>
            <w:tcW w:w="1177" w:type="dxa"/>
            <w:noWrap w:val="0"/>
            <w:vAlign w:val="top"/>
          </w:tcPr>
          <w:p w14:paraId="43ABD7CE">
            <w:pPr>
              <w:pStyle w:val="9"/>
              <w:keepNext w:val="0"/>
              <w:keepLines w:val="0"/>
              <w:pageBreakBefore w:val="0"/>
              <w:wordWrap/>
              <w:overflowPunct/>
              <w:topLinePunct w:val="0"/>
              <w:bidi w:val="0"/>
              <w:adjustRightInd w:val="0"/>
              <w:spacing w:line="500" w:lineRule="exact"/>
              <w:ind w:left="0" w:right="0" w:firstLine="218"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1人</w:t>
            </w:r>
          </w:p>
        </w:tc>
        <w:tc>
          <w:tcPr>
            <w:tcW w:w="4742" w:type="dxa"/>
            <w:noWrap w:val="0"/>
            <w:vAlign w:val="top"/>
          </w:tcPr>
          <w:p w14:paraId="20BD555A">
            <w:pPr>
              <w:pStyle w:val="9"/>
              <w:keepNext w:val="0"/>
              <w:keepLines w:val="0"/>
              <w:pageBreakBefore w:val="0"/>
              <w:wordWrap/>
              <w:overflowPunct/>
              <w:topLinePunct w:val="0"/>
              <w:bidi w:val="0"/>
              <w:adjustRightInd w:val="0"/>
              <w:spacing w:line="500" w:lineRule="exact"/>
              <w:ind w:left="0" w:right="0" w:firstLine="238"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负责巡查、监督、监测记录工作</w:t>
            </w:r>
          </w:p>
        </w:tc>
      </w:tr>
      <w:tr w14:paraId="23180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112" w:type="dxa"/>
            <w:gridSpan w:val="2"/>
            <w:noWrap w:val="0"/>
            <w:vAlign w:val="top"/>
          </w:tcPr>
          <w:p w14:paraId="20D7B757">
            <w:pPr>
              <w:pStyle w:val="9"/>
              <w:keepNext w:val="0"/>
              <w:keepLines w:val="0"/>
              <w:pageBreakBefore w:val="0"/>
              <w:wordWrap/>
              <w:overflowPunct/>
              <w:topLinePunct w:val="0"/>
              <w:bidi w:val="0"/>
              <w:adjustRightInd w:val="0"/>
              <w:spacing w:line="500" w:lineRule="exact"/>
              <w:ind w:left="0" w:right="0" w:firstLine="228"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合计</w:t>
            </w:r>
          </w:p>
        </w:tc>
        <w:tc>
          <w:tcPr>
            <w:tcW w:w="1177" w:type="dxa"/>
            <w:noWrap w:val="0"/>
            <w:vAlign w:val="top"/>
          </w:tcPr>
          <w:p w14:paraId="0DCAC258">
            <w:pPr>
              <w:pStyle w:val="9"/>
              <w:keepNext w:val="0"/>
              <w:keepLines w:val="0"/>
              <w:pageBreakBefore w:val="0"/>
              <w:wordWrap/>
              <w:overflowPunct/>
              <w:topLinePunct w:val="0"/>
              <w:bidi w:val="0"/>
              <w:adjustRightInd w:val="0"/>
              <w:spacing w:line="500" w:lineRule="exact"/>
              <w:ind w:left="0" w:right="0" w:firstLine="234"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lang w:val="en-US" w:eastAsia="zh-CN"/>
              </w:rPr>
              <w:t>10</w:t>
            </w:r>
            <w:r>
              <w:rPr>
                <w:rFonts w:hint="eastAsia" w:asciiTheme="minorEastAsia" w:hAnsiTheme="minorEastAsia" w:eastAsiaTheme="minorEastAsia" w:cstheme="minorEastAsia"/>
                <w:color w:val="auto"/>
                <w:spacing w:val="-3"/>
                <w:sz w:val="24"/>
                <w:szCs w:val="24"/>
              </w:rPr>
              <w:t>人</w:t>
            </w:r>
          </w:p>
        </w:tc>
        <w:tc>
          <w:tcPr>
            <w:tcW w:w="4742" w:type="dxa"/>
            <w:noWrap w:val="0"/>
            <w:vAlign w:val="top"/>
          </w:tcPr>
          <w:p w14:paraId="1637D32B">
            <w:pPr>
              <w:keepNext w:val="0"/>
              <w:keepLines w:val="0"/>
              <w:pageBreakBefore w:val="0"/>
              <w:wordWrap/>
              <w:overflowPunct/>
              <w:topLinePunct w:val="0"/>
              <w:bidi w:val="0"/>
              <w:adjustRightInd w:val="0"/>
              <w:spacing w:line="500" w:lineRule="exact"/>
              <w:ind w:left="0" w:right="0" w:firstLine="240" w:firstLineChars="100"/>
              <w:rPr>
                <w:rFonts w:hint="eastAsia" w:asciiTheme="minorEastAsia" w:hAnsiTheme="minorEastAsia" w:eastAsiaTheme="minorEastAsia" w:cstheme="minorEastAsia"/>
                <w:color w:val="auto"/>
                <w:sz w:val="24"/>
                <w:szCs w:val="24"/>
              </w:rPr>
            </w:pPr>
          </w:p>
        </w:tc>
      </w:tr>
    </w:tbl>
    <w:p w14:paraId="20DF884D">
      <w:pPr>
        <w:keepNext w:val="0"/>
        <w:keepLines w:val="0"/>
        <w:pageBreakBefore w:val="0"/>
        <w:numPr>
          <w:ilvl w:val="0"/>
          <w:numId w:val="0"/>
        </w:numPr>
        <w:wordWrap/>
        <w:overflowPunct/>
        <w:topLinePunct w:val="0"/>
        <w:bidi w:val="0"/>
        <w:adjustRightInd w:val="0"/>
        <w:spacing w:line="500" w:lineRule="exact"/>
        <w:ind w:leftChars="100" w:right="0" w:rightChars="0"/>
        <w:rPr>
          <w:rFonts w:hint="eastAsia" w:asciiTheme="minorEastAsia" w:hAnsiTheme="minorEastAsia" w:eastAsiaTheme="minorEastAsia" w:cstheme="minorEastAsia"/>
          <w:color w:val="auto"/>
          <w:spacing w:val="-68"/>
          <w:sz w:val="24"/>
          <w:szCs w:val="24"/>
          <w:lang w:eastAsia="zh-CN"/>
        </w:rPr>
      </w:pPr>
      <w:r>
        <w:rPr>
          <w:rFonts w:hint="eastAsia" w:asciiTheme="minorEastAsia" w:hAnsiTheme="minorEastAsia" w:eastAsiaTheme="minorEastAsia" w:cstheme="minorEastAsia"/>
          <w:color w:val="auto"/>
          <w:spacing w:val="-2"/>
          <w:sz w:val="24"/>
          <w:szCs w:val="24"/>
          <w:lang w:eastAsia="zh-CN"/>
        </w:rPr>
        <w:t>（</w:t>
      </w:r>
      <w:r>
        <w:rPr>
          <w:rFonts w:hint="eastAsia" w:asciiTheme="minorEastAsia" w:hAnsiTheme="minorEastAsia" w:eastAsiaTheme="minorEastAsia" w:cstheme="minorEastAsia"/>
          <w:color w:val="auto"/>
          <w:spacing w:val="-2"/>
          <w:sz w:val="24"/>
          <w:szCs w:val="24"/>
          <w:lang w:val="en-US" w:eastAsia="zh-CN"/>
        </w:rPr>
        <w:t>2）</w:t>
      </w:r>
      <w:r>
        <w:rPr>
          <w:rFonts w:hint="eastAsia" w:asciiTheme="minorEastAsia" w:hAnsiTheme="minorEastAsia" w:eastAsiaTheme="minorEastAsia" w:cstheme="minorEastAsia"/>
          <w:color w:val="auto"/>
          <w:spacing w:val="-2"/>
          <w:sz w:val="24"/>
          <w:szCs w:val="24"/>
        </w:rPr>
        <w:t>本项目要具备必要的机械设备及工具数量（须严格按照下表要求</w:t>
      </w:r>
      <w:r>
        <w:rPr>
          <w:rFonts w:hint="eastAsia" w:asciiTheme="minorEastAsia" w:hAnsiTheme="minorEastAsia" w:eastAsiaTheme="minorEastAsia" w:cstheme="minorEastAsia"/>
          <w:color w:val="auto"/>
          <w:spacing w:val="-2"/>
          <w:sz w:val="24"/>
          <w:szCs w:val="24"/>
          <w:lang w:eastAsia="zh-CN"/>
        </w:rPr>
        <w:t>）：</w:t>
      </w:r>
    </w:p>
    <w:tbl>
      <w:tblPr>
        <w:tblStyle w:val="10"/>
        <w:tblW w:w="7984" w:type="dxa"/>
        <w:tblInd w:w="3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9"/>
        <w:gridCol w:w="4195"/>
        <w:gridCol w:w="1271"/>
        <w:gridCol w:w="1759"/>
      </w:tblGrid>
      <w:tr w14:paraId="12506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759" w:type="dxa"/>
            <w:shd w:val="clear" w:color="auto" w:fill="F2F2F2"/>
            <w:noWrap w:val="0"/>
            <w:vAlign w:val="top"/>
          </w:tcPr>
          <w:p w14:paraId="4306EBF6">
            <w:pPr>
              <w:pStyle w:val="9"/>
              <w:keepNext w:val="0"/>
              <w:keepLines w:val="0"/>
              <w:pageBreakBefore w:val="0"/>
              <w:wordWrap/>
              <w:overflowPunct/>
              <w:topLinePunct w:val="0"/>
              <w:bidi w:val="0"/>
              <w:adjustRightInd w:val="0"/>
              <w:spacing w:line="500" w:lineRule="exact"/>
              <w:ind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8"/>
                <w:sz w:val="24"/>
                <w:szCs w:val="24"/>
                <w:shd w:val="clear" w:color="auto" w:fill="FFFFFE"/>
              </w:rPr>
              <w:t>序号</w:t>
            </w:r>
          </w:p>
        </w:tc>
        <w:tc>
          <w:tcPr>
            <w:tcW w:w="4195" w:type="dxa"/>
            <w:shd w:val="clear" w:color="auto" w:fill="F2F2F2"/>
            <w:noWrap w:val="0"/>
            <w:vAlign w:val="top"/>
          </w:tcPr>
          <w:p w14:paraId="630C75B9">
            <w:pPr>
              <w:pStyle w:val="9"/>
              <w:keepNext w:val="0"/>
              <w:keepLines w:val="0"/>
              <w:pageBreakBefore w:val="0"/>
              <w:wordWrap/>
              <w:overflowPunct/>
              <w:topLinePunct w:val="0"/>
              <w:bidi w:val="0"/>
              <w:adjustRightInd w:val="0"/>
              <w:spacing w:line="500" w:lineRule="exact"/>
              <w:ind w:left="0" w:right="0" w:firstLine="211" w:firstLine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5"/>
                <w:sz w:val="24"/>
                <w:szCs w:val="24"/>
                <w:shd w:val="clear" w:color="auto" w:fill="FFFFFE"/>
              </w:rPr>
              <w:t>岗位</w:t>
            </w:r>
            <w:r>
              <w:rPr>
                <w:rFonts w:hint="eastAsia" w:asciiTheme="minorEastAsia" w:hAnsiTheme="minorEastAsia" w:eastAsiaTheme="minorEastAsia" w:cstheme="minorEastAsia"/>
                <w:b/>
                <w:bCs/>
                <w:color w:val="auto"/>
                <w:spacing w:val="-15"/>
                <w:sz w:val="24"/>
                <w:szCs w:val="24"/>
                <w:shd w:val="clear" w:color="auto" w:fill="FFFFFE"/>
                <w:lang w:eastAsia="zh-CN"/>
              </w:rPr>
              <w:t>器械类型</w:t>
            </w:r>
          </w:p>
        </w:tc>
        <w:tc>
          <w:tcPr>
            <w:tcW w:w="1271" w:type="dxa"/>
            <w:shd w:val="clear" w:color="auto" w:fill="F2F2F2"/>
            <w:noWrap w:val="0"/>
            <w:vAlign w:val="top"/>
          </w:tcPr>
          <w:p w14:paraId="2DDC8A3A">
            <w:pPr>
              <w:pStyle w:val="9"/>
              <w:keepNext w:val="0"/>
              <w:keepLines w:val="0"/>
              <w:pageBreakBefore w:val="0"/>
              <w:wordWrap/>
              <w:overflowPunct/>
              <w:topLinePunct w:val="0"/>
              <w:bidi w:val="0"/>
              <w:adjustRightInd w:val="0"/>
              <w:spacing w:line="500" w:lineRule="exact"/>
              <w:ind w:left="0" w:right="0" w:firstLine="219" w:firstLine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1"/>
                <w:sz w:val="24"/>
                <w:szCs w:val="24"/>
                <w:shd w:val="clear" w:color="auto" w:fill="FFFFFE"/>
              </w:rPr>
              <w:t>单位</w:t>
            </w:r>
          </w:p>
        </w:tc>
        <w:tc>
          <w:tcPr>
            <w:tcW w:w="1759" w:type="dxa"/>
            <w:shd w:val="clear" w:color="auto" w:fill="F2F2F2"/>
            <w:noWrap w:val="0"/>
            <w:vAlign w:val="top"/>
          </w:tcPr>
          <w:p w14:paraId="06E6AA3D">
            <w:pPr>
              <w:pStyle w:val="9"/>
              <w:keepNext w:val="0"/>
              <w:keepLines w:val="0"/>
              <w:pageBreakBefore w:val="0"/>
              <w:wordWrap/>
              <w:overflowPunct/>
              <w:topLinePunct w:val="0"/>
              <w:bidi w:val="0"/>
              <w:adjustRightInd w:val="0"/>
              <w:spacing w:line="500" w:lineRule="exact"/>
              <w:ind w:left="0" w:right="0" w:firstLine="225" w:firstLine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8"/>
                <w:sz w:val="24"/>
                <w:szCs w:val="24"/>
                <w:shd w:val="clear" w:color="auto" w:fill="FFFFFE"/>
              </w:rPr>
              <w:t>数量</w:t>
            </w:r>
          </w:p>
        </w:tc>
      </w:tr>
      <w:tr w14:paraId="3D498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59" w:type="dxa"/>
            <w:noWrap w:val="0"/>
            <w:vAlign w:val="top"/>
          </w:tcPr>
          <w:p w14:paraId="5B7A0D04">
            <w:pPr>
              <w:pStyle w:val="9"/>
              <w:keepNext w:val="0"/>
              <w:keepLines w:val="0"/>
              <w:pageBreakBefore w:val="0"/>
              <w:wordWrap/>
              <w:overflowPunct/>
              <w:topLinePunct w:val="0"/>
              <w:bidi w:val="0"/>
              <w:adjustRightInd w:val="0"/>
              <w:spacing w:line="500" w:lineRule="exact"/>
              <w:ind w:left="0" w:right="0"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4195" w:type="dxa"/>
            <w:noWrap w:val="0"/>
            <w:vAlign w:val="top"/>
          </w:tcPr>
          <w:p w14:paraId="0BDE9A02">
            <w:pPr>
              <w:pStyle w:val="9"/>
              <w:keepNext w:val="0"/>
              <w:keepLines w:val="0"/>
              <w:pageBreakBefore w:val="0"/>
              <w:wordWrap/>
              <w:overflowPunct/>
              <w:topLinePunct w:val="0"/>
              <w:bidi w:val="0"/>
              <w:adjustRightInd w:val="0"/>
              <w:spacing w:line="500" w:lineRule="exact"/>
              <w:ind w:left="0" w:right="0" w:firstLine="234" w:firstLine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车载式喷雾机</w:t>
            </w:r>
          </w:p>
        </w:tc>
        <w:tc>
          <w:tcPr>
            <w:tcW w:w="1271" w:type="dxa"/>
            <w:noWrap w:val="0"/>
            <w:vAlign w:val="top"/>
          </w:tcPr>
          <w:p w14:paraId="17082736">
            <w:pPr>
              <w:pStyle w:val="9"/>
              <w:keepNext w:val="0"/>
              <w:keepLines w:val="0"/>
              <w:pageBreakBefore w:val="0"/>
              <w:wordWrap/>
              <w:overflowPunct/>
              <w:topLinePunct w:val="0"/>
              <w:bidi w:val="0"/>
              <w:adjustRightInd w:val="0"/>
              <w:spacing w:line="500" w:lineRule="exact"/>
              <w:ind w:left="0" w:right="0" w:firstLine="240" w:firstLine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c>
          <w:tcPr>
            <w:tcW w:w="1759" w:type="dxa"/>
            <w:noWrap w:val="0"/>
            <w:vAlign w:val="top"/>
          </w:tcPr>
          <w:p w14:paraId="0D5F4A1D">
            <w:pPr>
              <w:pStyle w:val="9"/>
              <w:keepNext w:val="0"/>
              <w:keepLines w:val="0"/>
              <w:pageBreakBefore w:val="0"/>
              <w:wordWrap/>
              <w:overflowPunct/>
              <w:topLinePunct w:val="0"/>
              <w:bidi w:val="0"/>
              <w:adjustRightInd w:val="0"/>
              <w:spacing w:line="500" w:lineRule="exact"/>
              <w:ind w:left="0" w:right="0" w:firstLine="240" w:firstLine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14:paraId="065FE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9" w:type="dxa"/>
            <w:noWrap w:val="0"/>
            <w:vAlign w:val="top"/>
          </w:tcPr>
          <w:p w14:paraId="65BAEF38">
            <w:pPr>
              <w:pStyle w:val="9"/>
              <w:keepNext w:val="0"/>
              <w:keepLines w:val="0"/>
              <w:pageBreakBefore w:val="0"/>
              <w:wordWrap/>
              <w:overflowPunct/>
              <w:topLinePunct w:val="0"/>
              <w:bidi w:val="0"/>
              <w:adjustRightInd w:val="0"/>
              <w:spacing w:line="500" w:lineRule="exact"/>
              <w:ind w:left="0" w:right="0"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4195" w:type="dxa"/>
            <w:noWrap w:val="0"/>
            <w:vAlign w:val="top"/>
          </w:tcPr>
          <w:p w14:paraId="36982021">
            <w:pPr>
              <w:pStyle w:val="9"/>
              <w:keepNext w:val="0"/>
              <w:keepLines w:val="0"/>
              <w:pageBreakBefore w:val="0"/>
              <w:wordWrap/>
              <w:overflowPunct/>
              <w:topLinePunct w:val="0"/>
              <w:bidi w:val="0"/>
              <w:adjustRightInd w:val="0"/>
              <w:spacing w:line="500" w:lineRule="exact"/>
              <w:ind w:left="0" w:right="0" w:firstLine="234" w:firstLine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热烟雾机</w:t>
            </w:r>
          </w:p>
        </w:tc>
        <w:tc>
          <w:tcPr>
            <w:tcW w:w="1271" w:type="dxa"/>
            <w:noWrap w:val="0"/>
            <w:vAlign w:val="top"/>
          </w:tcPr>
          <w:p w14:paraId="313F6685">
            <w:pPr>
              <w:pStyle w:val="9"/>
              <w:keepNext w:val="0"/>
              <w:keepLines w:val="0"/>
              <w:pageBreakBefore w:val="0"/>
              <w:wordWrap/>
              <w:overflowPunct/>
              <w:topLinePunct w:val="0"/>
              <w:bidi w:val="0"/>
              <w:adjustRightInd w:val="0"/>
              <w:spacing w:line="500" w:lineRule="exact"/>
              <w:ind w:left="0" w:right="0" w:firstLine="240" w:firstLine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c>
          <w:tcPr>
            <w:tcW w:w="1759" w:type="dxa"/>
            <w:noWrap w:val="0"/>
            <w:vAlign w:val="top"/>
          </w:tcPr>
          <w:p w14:paraId="57BEC9FD">
            <w:pPr>
              <w:pStyle w:val="9"/>
              <w:keepNext w:val="0"/>
              <w:keepLines w:val="0"/>
              <w:pageBreakBefore w:val="0"/>
              <w:wordWrap/>
              <w:overflowPunct/>
              <w:topLinePunct w:val="0"/>
              <w:bidi w:val="0"/>
              <w:adjustRightInd w:val="0"/>
              <w:spacing w:line="500" w:lineRule="exact"/>
              <w:ind w:left="0" w:right="0" w:firstLine="240" w:firstLine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r>
      <w:tr w14:paraId="20B2F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59" w:type="dxa"/>
            <w:noWrap w:val="0"/>
            <w:vAlign w:val="top"/>
          </w:tcPr>
          <w:p w14:paraId="365D859C">
            <w:pPr>
              <w:pStyle w:val="9"/>
              <w:keepNext w:val="0"/>
              <w:keepLines w:val="0"/>
              <w:pageBreakBefore w:val="0"/>
              <w:wordWrap/>
              <w:overflowPunct/>
              <w:topLinePunct w:val="0"/>
              <w:bidi w:val="0"/>
              <w:adjustRightInd w:val="0"/>
              <w:spacing w:line="500" w:lineRule="exact"/>
              <w:ind w:left="0" w:right="0"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4195" w:type="dxa"/>
            <w:noWrap w:val="0"/>
            <w:vAlign w:val="top"/>
          </w:tcPr>
          <w:p w14:paraId="7D5713FE">
            <w:pPr>
              <w:pStyle w:val="9"/>
              <w:keepNext w:val="0"/>
              <w:keepLines w:val="0"/>
              <w:pageBreakBefore w:val="0"/>
              <w:wordWrap/>
              <w:overflowPunct/>
              <w:topLinePunct w:val="0"/>
              <w:bidi w:val="0"/>
              <w:adjustRightInd w:val="0"/>
              <w:spacing w:line="500" w:lineRule="exact"/>
              <w:ind w:left="0" w:right="0" w:firstLine="268" w:firstLine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背负式锂电池超微粒雾化喷雾</w:t>
            </w:r>
            <w:r>
              <w:rPr>
                <w:rFonts w:hint="eastAsia" w:asciiTheme="minorEastAsia" w:hAnsiTheme="minorEastAsia" w:eastAsiaTheme="minorEastAsia" w:cstheme="minorEastAsia"/>
                <w:color w:val="auto"/>
                <w:sz w:val="24"/>
                <w:szCs w:val="24"/>
              </w:rPr>
              <w:t>器</w:t>
            </w:r>
          </w:p>
        </w:tc>
        <w:tc>
          <w:tcPr>
            <w:tcW w:w="1271" w:type="dxa"/>
            <w:noWrap w:val="0"/>
            <w:vAlign w:val="top"/>
          </w:tcPr>
          <w:p w14:paraId="31C7CDEB">
            <w:pPr>
              <w:pStyle w:val="9"/>
              <w:keepNext w:val="0"/>
              <w:keepLines w:val="0"/>
              <w:pageBreakBefore w:val="0"/>
              <w:wordWrap/>
              <w:overflowPunct/>
              <w:topLinePunct w:val="0"/>
              <w:bidi w:val="0"/>
              <w:adjustRightInd w:val="0"/>
              <w:spacing w:line="500" w:lineRule="exact"/>
              <w:ind w:left="0" w:right="0" w:firstLine="240" w:firstLine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c>
          <w:tcPr>
            <w:tcW w:w="1759" w:type="dxa"/>
            <w:noWrap w:val="0"/>
            <w:vAlign w:val="top"/>
          </w:tcPr>
          <w:p w14:paraId="3D14F971">
            <w:pPr>
              <w:pStyle w:val="9"/>
              <w:keepNext w:val="0"/>
              <w:keepLines w:val="0"/>
              <w:pageBreakBefore w:val="0"/>
              <w:wordWrap/>
              <w:overflowPunct/>
              <w:topLinePunct w:val="0"/>
              <w:bidi w:val="0"/>
              <w:adjustRightInd w:val="0"/>
              <w:spacing w:line="500" w:lineRule="exact"/>
              <w:ind w:left="0" w:right="0" w:firstLine="218" w:firstLine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10</w:t>
            </w:r>
          </w:p>
        </w:tc>
      </w:tr>
      <w:tr w14:paraId="772E9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9" w:type="dxa"/>
            <w:noWrap w:val="0"/>
            <w:vAlign w:val="top"/>
          </w:tcPr>
          <w:p w14:paraId="7BD5CF25">
            <w:pPr>
              <w:pStyle w:val="9"/>
              <w:keepNext w:val="0"/>
              <w:keepLines w:val="0"/>
              <w:pageBreakBefore w:val="0"/>
              <w:wordWrap/>
              <w:overflowPunct/>
              <w:topLinePunct w:val="0"/>
              <w:bidi w:val="0"/>
              <w:adjustRightInd w:val="0"/>
              <w:spacing w:line="500" w:lineRule="exact"/>
              <w:ind w:left="0" w:right="0"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4195" w:type="dxa"/>
            <w:noWrap w:val="0"/>
            <w:vAlign w:val="top"/>
          </w:tcPr>
          <w:p w14:paraId="7F536A36">
            <w:pPr>
              <w:pStyle w:val="9"/>
              <w:keepNext w:val="0"/>
              <w:keepLines w:val="0"/>
              <w:pageBreakBefore w:val="0"/>
              <w:wordWrap/>
              <w:overflowPunct/>
              <w:topLinePunct w:val="0"/>
              <w:bidi w:val="0"/>
              <w:adjustRightInd w:val="0"/>
              <w:spacing w:line="500" w:lineRule="exact"/>
              <w:ind w:left="0" w:right="0" w:firstLine="236" w:firstLine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超低容量喷雾器</w:t>
            </w:r>
          </w:p>
        </w:tc>
        <w:tc>
          <w:tcPr>
            <w:tcW w:w="1271" w:type="dxa"/>
            <w:noWrap w:val="0"/>
            <w:vAlign w:val="top"/>
          </w:tcPr>
          <w:p w14:paraId="1C775F1F">
            <w:pPr>
              <w:pStyle w:val="9"/>
              <w:keepNext w:val="0"/>
              <w:keepLines w:val="0"/>
              <w:pageBreakBefore w:val="0"/>
              <w:wordWrap/>
              <w:overflowPunct/>
              <w:topLinePunct w:val="0"/>
              <w:bidi w:val="0"/>
              <w:adjustRightInd w:val="0"/>
              <w:spacing w:line="500" w:lineRule="exact"/>
              <w:ind w:left="0" w:right="0" w:firstLine="240" w:firstLine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c>
          <w:tcPr>
            <w:tcW w:w="1759" w:type="dxa"/>
            <w:noWrap w:val="0"/>
            <w:vAlign w:val="top"/>
          </w:tcPr>
          <w:p w14:paraId="4BE97593">
            <w:pPr>
              <w:pStyle w:val="9"/>
              <w:keepNext w:val="0"/>
              <w:keepLines w:val="0"/>
              <w:pageBreakBefore w:val="0"/>
              <w:wordWrap/>
              <w:overflowPunct/>
              <w:topLinePunct w:val="0"/>
              <w:bidi w:val="0"/>
              <w:adjustRightInd w:val="0"/>
              <w:spacing w:line="500" w:lineRule="exact"/>
              <w:ind w:left="0" w:right="0" w:firstLine="240" w:firstLine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r>
      <w:tr w14:paraId="459A3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59" w:type="dxa"/>
            <w:noWrap w:val="0"/>
            <w:vAlign w:val="top"/>
          </w:tcPr>
          <w:p w14:paraId="036FCAC8">
            <w:pPr>
              <w:pStyle w:val="9"/>
              <w:keepNext w:val="0"/>
              <w:keepLines w:val="0"/>
              <w:pageBreakBefore w:val="0"/>
              <w:wordWrap/>
              <w:overflowPunct/>
              <w:topLinePunct w:val="0"/>
              <w:bidi w:val="0"/>
              <w:adjustRightInd w:val="0"/>
              <w:spacing w:line="500" w:lineRule="exact"/>
              <w:ind w:left="0" w:right="0"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4195" w:type="dxa"/>
            <w:noWrap w:val="0"/>
            <w:vAlign w:val="top"/>
          </w:tcPr>
          <w:p w14:paraId="7E486490">
            <w:pPr>
              <w:pStyle w:val="9"/>
              <w:keepNext w:val="0"/>
              <w:keepLines w:val="0"/>
              <w:pageBreakBefore w:val="0"/>
              <w:wordWrap/>
              <w:overflowPunct/>
              <w:topLinePunct w:val="0"/>
              <w:bidi w:val="0"/>
              <w:adjustRightInd w:val="0"/>
              <w:spacing w:line="500" w:lineRule="exact"/>
              <w:ind w:left="0" w:right="0" w:firstLine="236" w:firstLine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背负式喷雾器</w:t>
            </w:r>
          </w:p>
        </w:tc>
        <w:tc>
          <w:tcPr>
            <w:tcW w:w="1271" w:type="dxa"/>
            <w:noWrap w:val="0"/>
            <w:vAlign w:val="top"/>
          </w:tcPr>
          <w:p w14:paraId="76DA0640">
            <w:pPr>
              <w:pStyle w:val="9"/>
              <w:keepNext w:val="0"/>
              <w:keepLines w:val="0"/>
              <w:pageBreakBefore w:val="0"/>
              <w:wordWrap/>
              <w:overflowPunct/>
              <w:topLinePunct w:val="0"/>
              <w:bidi w:val="0"/>
              <w:adjustRightInd w:val="0"/>
              <w:spacing w:line="500" w:lineRule="exact"/>
              <w:ind w:left="0" w:right="0" w:firstLine="240" w:firstLine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c>
          <w:tcPr>
            <w:tcW w:w="1759" w:type="dxa"/>
            <w:noWrap w:val="0"/>
            <w:vAlign w:val="top"/>
          </w:tcPr>
          <w:p w14:paraId="7CCB13D6">
            <w:pPr>
              <w:pStyle w:val="9"/>
              <w:keepNext w:val="0"/>
              <w:keepLines w:val="0"/>
              <w:pageBreakBefore w:val="0"/>
              <w:wordWrap/>
              <w:overflowPunct/>
              <w:topLinePunct w:val="0"/>
              <w:bidi w:val="0"/>
              <w:adjustRightInd w:val="0"/>
              <w:spacing w:line="500" w:lineRule="exact"/>
              <w:ind w:left="0" w:right="0" w:firstLine="240" w:firstLine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r>
      <w:tr w14:paraId="69298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59" w:type="dxa"/>
            <w:noWrap w:val="0"/>
            <w:vAlign w:val="top"/>
          </w:tcPr>
          <w:p w14:paraId="11BC803A">
            <w:pPr>
              <w:pStyle w:val="9"/>
              <w:keepNext w:val="0"/>
              <w:keepLines w:val="0"/>
              <w:pageBreakBefore w:val="0"/>
              <w:wordWrap/>
              <w:overflowPunct/>
              <w:topLinePunct w:val="0"/>
              <w:bidi w:val="0"/>
              <w:adjustRightInd w:val="0"/>
              <w:spacing w:line="500" w:lineRule="exact"/>
              <w:ind w:left="0" w:right="0" w:firstLine="236" w:firstLineChars="100"/>
              <w:jc w:val="both"/>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6</w:t>
            </w:r>
          </w:p>
        </w:tc>
        <w:tc>
          <w:tcPr>
            <w:tcW w:w="4195" w:type="dxa"/>
            <w:noWrap w:val="0"/>
            <w:vAlign w:val="top"/>
          </w:tcPr>
          <w:p w14:paraId="7B2FC35E">
            <w:pPr>
              <w:pStyle w:val="9"/>
              <w:keepNext w:val="0"/>
              <w:keepLines w:val="0"/>
              <w:pageBreakBefore w:val="0"/>
              <w:wordWrap/>
              <w:overflowPunct/>
              <w:topLinePunct w:val="0"/>
              <w:bidi w:val="0"/>
              <w:adjustRightInd w:val="0"/>
              <w:spacing w:line="500" w:lineRule="exact"/>
              <w:ind w:left="0" w:right="0" w:firstLine="236" w:firstLineChars="100"/>
              <w:jc w:val="center"/>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病媒生物防制作业汽车</w:t>
            </w:r>
          </w:p>
        </w:tc>
        <w:tc>
          <w:tcPr>
            <w:tcW w:w="1271" w:type="dxa"/>
            <w:noWrap w:val="0"/>
            <w:vAlign w:val="top"/>
          </w:tcPr>
          <w:p w14:paraId="639A37CB">
            <w:pPr>
              <w:pStyle w:val="9"/>
              <w:keepNext w:val="0"/>
              <w:keepLines w:val="0"/>
              <w:pageBreakBefore w:val="0"/>
              <w:wordWrap/>
              <w:overflowPunct/>
              <w:topLinePunct w:val="0"/>
              <w:bidi w:val="0"/>
              <w:adjustRightInd w:val="0"/>
              <w:spacing w:line="500" w:lineRule="exact"/>
              <w:ind w:left="0" w:right="0" w:firstLine="236" w:firstLineChars="100"/>
              <w:jc w:val="center"/>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辆</w:t>
            </w:r>
          </w:p>
        </w:tc>
        <w:tc>
          <w:tcPr>
            <w:tcW w:w="1759" w:type="dxa"/>
            <w:noWrap w:val="0"/>
            <w:vAlign w:val="top"/>
          </w:tcPr>
          <w:p w14:paraId="42625DEC">
            <w:pPr>
              <w:pStyle w:val="9"/>
              <w:keepNext w:val="0"/>
              <w:keepLines w:val="0"/>
              <w:pageBreakBefore w:val="0"/>
              <w:wordWrap/>
              <w:overflowPunct/>
              <w:topLinePunct w:val="0"/>
              <w:bidi w:val="0"/>
              <w:adjustRightInd w:val="0"/>
              <w:spacing w:line="500" w:lineRule="exact"/>
              <w:ind w:left="0" w:right="0" w:firstLine="236" w:firstLineChars="100"/>
              <w:jc w:val="center"/>
              <w:rPr>
                <w:rFonts w:hint="eastAsia"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val="en-US" w:eastAsia="zh-CN"/>
              </w:rPr>
              <w:t>1</w:t>
            </w:r>
          </w:p>
        </w:tc>
      </w:tr>
    </w:tbl>
    <w:p w14:paraId="5CD7D212">
      <w:pPr>
        <w:keepNext w:val="0"/>
        <w:keepLines w:val="0"/>
        <w:pageBreakBefore w:val="0"/>
        <w:wordWrap/>
        <w:overflowPunct/>
        <w:topLinePunct w:val="0"/>
        <w:bidi w:val="0"/>
        <w:adjustRightInd w:val="0"/>
        <w:spacing w:line="500" w:lineRule="exact"/>
        <w:ind w:left="0" w:right="0" w:firstLine="239" w:firstLineChars="100"/>
        <w:rPr>
          <w:rFonts w:hint="eastAsia" w:asciiTheme="minorEastAsia" w:hAnsiTheme="minorEastAsia" w:eastAsiaTheme="minorEastAsia" w:cstheme="minorEastAsia"/>
          <w:b/>
          <w:bCs/>
          <w:color w:val="auto"/>
          <w:spacing w:val="-4"/>
          <w:sz w:val="24"/>
          <w:szCs w:val="24"/>
          <w:highlight w:val="yellow"/>
        </w:rPr>
      </w:pPr>
      <w:r>
        <w:rPr>
          <w:rFonts w:hint="eastAsia" w:asciiTheme="minorEastAsia" w:hAnsiTheme="minorEastAsia" w:eastAsiaTheme="minorEastAsia" w:cstheme="minorEastAsia"/>
          <w:b/>
          <w:bCs/>
          <w:color w:val="auto"/>
          <w:spacing w:val="-1"/>
          <w:sz w:val="24"/>
          <w:szCs w:val="24"/>
        </w:rPr>
        <w:t>注：以上所有内容为技术必须完全满足，否则做无效</w:t>
      </w:r>
      <w:r>
        <w:rPr>
          <w:rFonts w:hint="eastAsia" w:asciiTheme="minorEastAsia" w:hAnsiTheme="minorEastAsia" w:eastAsiaTheme="minorEastAsia" w:cstheme="minorEastAsia"/>
          <w:b/>
          <w:bCs/>
          <w:color w:val="auto"/>
          <w:spacing w:val="-2"/>
          <w:sz w:val="24"/>
          <w:szCs w:val="24"/>
        </w:rPr>
        <w:t>投标处理。</w:t>
      </w:r>
    </w:p>
    <w:p w14:paraId="5CE2E5B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33" w:firstLineChars="100"/>
        <w:textAlignment w:val="baseline"/>
        <w:outlineLvl w:val="1"/>
        <w:rPr>
          <w:rFonts w:hint="eastAsia" w:asciiTheme="minorEastAsia" w:hAnsiTheme="minorEastAsia" w:eastAsiaTheme="minorEastAsia" w:cstheme="minorEastAsia"/>
          <w:b/>
          <w:bCs/>
          <w:color w:val="auto"/>
          <w:spacing w:val="-4"/>
          <w:sz w:val="24"/>
          <w:szCs w:val="24"/>
          <w:highlight w:val="none"/>
          <w:lang w:val="en-US" w:eastAsia="zh-CN"/>
        </w:rPr>
      </w:pPr>
    </w:p>
    <w:p w14:paraId="7AE09F7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66" w:firstLineChars="200"/>
        <w:textAlignment w:val="baseline"/>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lang w:val="en-US" w:eastAsia="zh-CN"/>
        </w:rPr>
        <w:t>4、商务条款要求</w:t>
      </w:r>
    </w:p>
    <w:p w14:paraId="397B6C6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jc w:val="both"/>
        <w:textAlignment w:val="baseline"/>
        <w:rPr>
          <w:rFonts w:hint="eastAsia" w:asciiTheme="minorEastAsia" w:hAnsiTheme="minorEastAsia" w:eastAsiaTheme="minorEastAsia" w:cstheme="minorEastAsia"/>
          <w:b w:val="0"/>
          <w:bCs w:val="0"/>
          <w:color w:val="auto"/>
          <w:spacing w:val="-2"/>
          <w:sz w:val="24"/>
          <w:szCs w:val="24"/>
        </w:rPr>
      </w:pPr>
      <w:r>
        <w:rPr>
          <w:rFonts w:hint="eastAsia" w:asciiTheme="minorEastAsia" w:hAnsiTheme="minorEastAsia" w:eastAsiaTheme="minorEastAsia" w:cstheme="minorEastAsia"/>
          <w:b w:val="0"/>
          <w:bCs w:val="0"/>
          <w:color w:val="auto"/>
          <w:spacing w:val="-2"/>
          <w:sz w:val="24"/>
          <w:szCs w:val="24"/>
          <w:lang w:val="en-US" w:eastAsia="zh-CN"/>
        </w:rPr>
        <w:t>4.</w:t>
      </w:r>
      <w:r>
        <w:rPr>
          <w:rFonts w:hint="eastAsia" w:asciiTheme="minorEastAsia" w:hAnsiTheme="minorEastAsia" w:eastAsiaTheme="minorEastAsia" w:cstheme="minorEastAsia"/>
          <w:b w:val="0"/>
          <w:bCs w:val="0"/>
          <w:color w:val="auto"/>
          <w:spacing w:val="-2"/>
          <w:sz w:val="24"/>
          <w:szCs w:val="24"/>
        </w:rPr>
        <w:t>1、服务期限：自合同签订之后1年。</w:t>
      </w:r>
    </w:p>
    <w:p w14:paraId="283A666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jc w:val="both"/>
        <w:textAlignment w:val="baseline"/>
        <w:rPr>
          <w:rFonts w:hint="eastAsia" w:asciiTheme="minorEastAsia" w:hAnsiTheme="minorEastAsia" w:eastAsiaTheme="minorEastAsia" w:cstheme="minorEastAsia"/>
          <w:b w:val="0"/>
          <w:bCs w:val="0"/>
          <w:color w:val="auto"/>
          <w:spacing w:val="-2"/>
          <w:sz w:val="24"/>
          <w:szCs w:val="24"/>
        </w:rPr>
      </w:pPr>
      <w:r>
        <w:rPr>
          <w:rFonts w:hint="eastAsia" w:asciiTheme="minorEastAsia" w:hAnsiTheme="minorEastAsia" w:eastAsiaTheme="minorEastAsia" w:cstheme="minorEastAsia"/>
          <w:b w:val="0"/>
          <w:bCs w:val="0"/>
          <w:color w:val="auto"/>
          <w:spacing w:val="-2"/>
          <w:sz w:val="24"/>
          <w:szCs w:val="24"/>
        </w:rPr>
        <w:t>在这期间每年需开展3个阶段的大面积防治，即：春季、夏季、秋冬季灭鼠蚊蝇、蟑螂工作，期间要完成城区的公共外环境场所病媒生物防治工作并确保质量</w:t>
      </w:r>
      <w:r>
        <w:rPr>
          <w:rFonts w:hint="eastAsia" w:asciiTheme="minorEastAsia" w:hAnsiTheme="minorEastAsia" w:eastAsiaTheme="minorEastAsia" w:cstheme="minorEastAsia"/>
          <w:b w:val="0"/>
          <w:bCs w:val="0"/>
          <w:color w:val="auto"/>
          <w:spacing w:val="-2"/>
          <w:sz w:val="24"/>
          <w:szCs w:val="24"/>
          <w:lang w:eastAsia="zh-CN"/>
        </w:rPr>
        <w:t>，</w:t>
      </w:r>
      <w:r>
        <w:rPr>
          <w:rFonts w:hint="eastAsia" w:asciiTheme="minorEastAsia" w:hAnsiTheme="minorEastAsia" w:eastAsiaTheme="minorEastAsia" w:cstheme="minorEastAsia"/>
          <w:b w:val="0"/>
          <w:bCs w:val="0"/>
          <w:color w:val="auto"/>
          <w:spacing w:val="-2"/>
          <w:sz w:val="24"/>
          <w:szCs w:val="24"/>
        </w:rPr>
        <w:t>其它应急消杀随叫随到，迎检前必须进行一次全方位消杀。</w:t>
      </w:r>
    </w:p>
    <w:p w14:paraId="0A9EEA9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jc w:val="both"/>
        <w:textAlignment w:val="baseline"/>
        <w:rPr>
          <w:rFonts w:hint="eastAsia" w:asciiTheme="minorEastAsia" w:hAnsiTheme="minorEastAsia" w:eastAsiaTheme="minorEastAsia" w:cstheme="minorEastAsia"/>
          <w:b w:val="0"/>
          <w:bCs w:val="0"/>
          <w:color w:val="auto"/>
          <w:spacing w:val="-2"/>
          <w:sz w:val="24"/>
          <w:szCs w:val="24"/>
        </w:rPr>
      </w:pPr>
      <w:r>
        <w:rPr>
          <w:rFonts w:hint="eastAsia" w:asciiTheme="minorEastAsia" w:hAnsiTheme="minorEastAsia" w:eastAsiaTheme="minorEastAsia" w:cstheme="minorEastAsia"/>
          <w:b w:val="0"/>
          <w:bCs w:val="0"/>
          <w:color w:val="auto"/>
          <w:spacing w:val="-2"/>
          <w:sz w:val="24"/>
          <w:szCs w:val="24"/>
          <w:lang w:val="en-US" w:eastAsia="zh-CN"/>
        </w:rPr>
        <w:t>4.</w:t>
      </w:r>
      <w:r>
        <w:rPr>
          <w:rFonts w:hint="eastAsia" w:asciiTheme="minorEastAsia" w:hAnsiTheme="minorEastAsia" w:eastAsiaTheme="minorEastAsia" w:cstheme="minorEastAsia"/>
          <w:b w:val="0"/>
          <w:bCs w:val="0"/>
          <w:color w:val="auto"/>
          <w:spacing w:val="-2"/>
          <w:sz w:val="24"/>
          <w:szCs w:val="24"/>
        </w:rPr>
        <w:t>2、付款方式：按季度支付，每季度支付</w:t>
      </w:r>
      <w:r>
        <w:rPr>
          <w:rFonts w:hint="eastAsia" w:asciiTheme="minorEastAsia" w:hAnsiTheme="minorEastAsia" w:eastAsiaTheme="minorEastAsia" w:cstheme="minorEastAsia"/>
          <w:b w:val="0"/>
          <w:bCs w:val="0"/>
          <w:color w:val="auto"/>
          <w:spacing w:val="-2"/>
          <w:sz w:val="24"/>
          <w:szCs w:val="24"/>
          <w:lang w:val="en-US" w:eastAsia="zh-CN"/>
        </w:rPr>
        <w:t>合同款的25%</w:t>
      </w:r>
      <w:r>
        <w:rPr>
          <w:rFonts w:hint="eastAsia" w:asciiTheme="minorEastAsia" w:hAnsiTheme="minorEastAsia" w:eastAsiaTheme="minorEastAsia" w:cstheme="minorEastAsia"/>
          <w:b w:val="0"/>
          <w:bCs w:val="0"/>
          <w:color w:val="auto"/>
          <w:spacing w:val="-2"/>
          <w:sz w:val="24"/>
          <w:szCs w:val="24"/>
        </w:rPr>
        <w:t xml:space="preserve">。成交供应商在签订合同后 10 </w:t>
      </w:r>
    </w:p>
    <w:p w14:paraId="3875A232">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hint="eastAsia" w:asciiTheme="minorEastAsia" w:hAnsiTheme="minorEastAsia" w:eastAsiaTheme="minorEastAsia" w:cstheme="minorEastAsia"/>
          <w:b w:val="0"/>
          <w:bCs w:val="0"/>
          <w:color w:val="auto"/>
          <w:spacing w:val="-2"/>
          <w:sz w:val="24"/>
          <w:szCs w:val="24"/>
          <w:lang w:val="en-US" w:eastAsia="zh-CN"/>
        </w:rPr>
      </w:pPr>
      <w:r>
        <w:rPr>
          <w:rFonts w:hint="eastAsia" w:asciiTheme="minorEastAsia" w:hAnsiTheme="minorEastAsia" w:eastAsiaTheme="minorEastAsia" w:cstheme="minorEastAsia"/>
          <w:b w:val="0"/>
          <w:bCs w:val="0"/>
          <w:color w:val="auto"/>
          <w:spacing w:val="-2"/>
          <w:sz w:val="24"/>
          <w:szCs w:val="24"/>
        </w:rPr>
        <w:t>天内开展病媒生物防制工作，按照采购方的相关要求保质保量完成城区的病媒生物防制工作，确保防制效果。每季度付款前，服务方需对消杀区域进行</w:t>
      </w:r>
      <w:r>
        <w:rPr>
          <w:rFonts w:hint="eastAsia" w:asciiTheme="minorEastAsia" w:hAnsiTheme="minorEastAsia" w:eastAsiaTheme="minorEastAsia" w:cstheme="minorEastAsia"/>
          <w:b w:val="0"/>
          <w:bCs w:val="0"/>
          <w:color w:val="auto"/>
          <w:spacing w:val="-2"/>
          <w:sz w:val="24"/>
          <w:szCs w:val="24"/>
          <w:lang w:val="en-US" w:eastAsia="zh-CN"/>
        </w:rPr>
        <w:t>监测</w:t>
      </w:r>
      <w:r>
        <w:rPr>
          <w:rFonts w:hint="eastAsia" w:asciiTheme="minorEastAsia" w:hAnsiTheme="minorEastAsia" w:eastAsiaTheme="minorEastAsia" w:cstheme="minorEastAsia"/>
          <w:b w:val="0"/>
          <w:bCs w:val="0"/>
          <w:color w:val="auto"/>
          <w:spacing w:val="-2"/>
          <w:sz w:val="24"/>
          <w:szCs w:val="24"/>
        </w:rPr>
        <w:t>并作出评估报告，连同工作记录等资料报送采购人</w:t>
      </w:r>
      <w:r>
        <w:rPr>
          <w:rFonts w:hint="eastAsia" w:asciiTheme="minorEastAsia" w:hAnsiTheme="minorEastAsia" w:eastAsiaTheme="minorEastAsia" w:cstheme="minorEastAsia"/>
          <w:b w:val="0"/>
          <w:bCs w:val="0"/>
          <w:color w:val="auto"/>
          <w:spacing w:val="-2"/>
          <w:sz w:val="24"/>
          <w:szCs w:val="24"/>
          <w:lang w:eastAsia="zh-CN"/>
        </w:rPr>
        <w:t>；</w:t>
      </w:r>
      <w:r>
        <w:rPr>
          <w:rFonts w:hint="eastAsia" w:asciiTheme="minorEastAsia" w:hAnsiTheme="minorEastAsia" w:eastAsiaTheme="minorEastAsia" w:cstheme="minorEastAsia"/>
          <w:b w:val="0"/>
          <w:bCs w:val="0"/>
          <w:color w:val="auto"/>
          <w:spacing w:val="-2"/>
          <w:sz w:val="24"/>
          <w:szCs w:val="24"/>
        </w:rPr>
        <w:t>宜春市疾控中心对病媒生物防制</w:t>
      </w:r>
      <w:r>
        <w:rPr>
          <w:rFonts w:hint="eastAsia" w:asciiTheme="minorEastAsia" w:hAnsiTheme="minorEastAsia" w:eastAsiaTheme="minorEastAsia" w:cstheme="minorEastAsia"/>
          <w:b w:val="0"/>
          <w:bCs w:val="0"/>
          <w:color w:val="auto"/>
          <w:spacing w:val="-2"/>
          <w:sz w:val="24"/>
          <w:szCs w:val="24"/>
          <w:lang w:val="en-US" w:eastAsia="zh-CN"/>
        </w:rPr>
        <w:t>效果</w:t>
      </w:r>
      <w:r>
        <w:rPr>
          <w:rFonts w:hint="eastAsia" w:asciiTheme="minorEastAsia" w:hAnsiTheme="minorEastAsia" w:eastAsiaTheme="minorEastAsia" w:cstheme="minorEastAsia"/>
          <w:b w:val="0"/>
          <w:bCs w:val="0"/>
          <w:color w:val="auto"/>
          <w:spacing w:val="-2"/>
          <w:sz w:val="24"/>
          <w:szCs w:val="24"/>
        </w:rPr>
        <w:t>进行</w:t>
      </w:r>
      <w:r>
        <w:rPr>
          <w:rFonts w:hint="eastAsia" w:asciiTheme="minorEastAsia" w:hAnsiTheme="minorEastAsia" w:eastAsiaTheme="minorEastAsia" w:cstheme="minorEastAsia"/>
          <w:b w:val="0"/>
          <w:bCs w:val="0"/>
          <w:color w:val="auto"/>
          <w:spacing w:val="-2"/>
          <w:sz w:val="24"/>
          <w:szCs w:val="24"/>
          <w:lang w:val="en-US" w:eastAsia="zh-CN"/>
        </w:rPr>
        <w:t>验收</w:t>
      </w:r>
      <w:r>
        <w:rPr>
          <w:rFonts w:hint="eastAsia" w:asciiTheme="minorEastAsia" w:hAnsiTheme="minorEastAsia" w:eastAsiaTheme="minorEastAsia" w:cstheme="minorEastAsia"/>
          <w:b w:val="0"/>
          <w:bCs w:val="0"/>
          <w:color w:val="auto"/>
          <w:spacing w:val="-2"/>
          <w:sz w:val="24"/>
          <w:szCs w:val="24"/>
        </w:rPr>
        <w:t>评估，验收合格后支付合同相应阶段金额</w:t>
      </w:r>
      <w:r>
        <w:rPr>
          <w:rFonts w:hint="eastAsia" w:asciiTheme="minorEastAsia" w:hAnsiTheme="minorEastAsia" w:eastAsiaTheme="minorEastAsia" w:cstheme="minorEastAsia"/>
          <w:b w:val="0"/>
          <w:bCs w:val="0"/>
          <w:color w:val="auto"/>
          <w:spacing w:val="-2"/>
          <w:sz w:val="24"/>
          <w:szCs w:val="24"/>
          <w:lang w:eastAsia="zh-CN"/>
        </w:rPr>
        <w:t>，</w:t>
      </w:r>
      <w:r>
        <w:rPr>
          <w:rFonts w:hint="eastAsia" w:asciiTheme="minorEastAsia" w:hAnsiTheme="minorEastAsia" w:eastAsiaTheme="minorEastAsia" w:cstheme="minorEastAsia"/>
          <w:b w:val="0"/>
          <w:bCs w:val="0"/>
          <w:color w:val="auto"/>
          <w:spacing w:val="-2"/>
          <w:sz w:val="24"/>
          <w:szCs w:val="24"/>
        </w:rPr>
        <w:t>达不到要求则按考核内容扣除相关费用并进行整改，整改验收合格后再进行支付。</w:t>
      </w:r>
    </w:p>
    <w:p w14:paraId="07F8813E">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68" w:firstLineChars="200"/>
        <w:textAlignment w:val="baseline"/>
        <w:rPr>
          <w:rFonts w:hint="eastAsia" w:asciiTheme="minorEastAsia" w:hAnsiTheme="minorEastAsia" w:eastAsiaTheme="minorEastAsia" w:cstheme="minorEastAsia"/>
          <w:b w:val="0"/>
          <w:bCs w:val="0"/>
          <w:color w:val="auto"/>
          <w:spacing w:val="-1"/>
          <w:sz w:val="24"/>
          <w:szCs w:val="24"/>
        </w:rPr>
      </w:pPr>
      <w:r>
        <w:rPr>
          <w:rFonts w:hint="eastAsia" w:asciiTheme="minorEastAsia" w:hAnsiTheme="minorEastAsia" w:eastAsiaTheme="minorEastAsia" w:cstheme="minorEastAsia"/>
          <w:b w:val="0"/>
          <w:bCs w:val="0"/>
          <w:color w:val="auto"/>
          <w:spacing w:val="-3"/>
          <w:sz w:val="24"/>
          <w:szCs w:val="24"/>
          <w:lang w:val="en-US" w:eastAsia="zh-CN"/>
        </w:rPr>
        <w:t>4</w:t>
      </w:r>
      <w:r>
        <w:rPr>
          <w:rFonts w:hint="eastAsia" w:asciiTheme="minorEastAsia" w:hAnsiTheme="minorEastAsia" w:eastAsiaTheme="minorEastAsia" w:cstheme="minorEastAsia"/>
          <w:b w:val="0"/>
          <w:bCs w:val="0"/>
          <w:color w:val="auto"/>
          <w:spacing w:val="-1"/>
          <w:sz w:val="24"/>
          <w:szCs w:val="24"/>
          <w:lang w:val="en-US" w:eastAsia="zh-CN"/>
        </w:rPr>
        <w:t>.</w:t>
      </w:r>
      <w:r>
        <w:rPr>
          <w:rFonts w:hint="eastAsia" w:asciiTheme="minorEastAsia" w:hAnsiTheme="minorEastAsia" w:eastAsiaTheme="minorEastAsia" w:cstheme="minorEastAsia"/>
          <w:b w:val="0"/>
          <w:bCs w:val="0"/>
          <w:color w:val="auto"/>
          <w:spacing w:val="-1"/>
          <w:sz w:val="24"/>
          <w:szCs w:val="24"/>
        </w:rPr>
        <w:t>3、交付地点：采购人指定</w:t>
      </w:r>
    </w:p>
    <w:p w14:paraId="491931E6">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468" w:firstLineChars="200"/>
        <w:textAlignment w:val="baseline"/>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pacing w:val="-3"/>
          <w:sz w:val="24"/>
          <w:szCs w:val="24"/>
          <w:lang w:val="en-US" w:eastAsia="zh-CN"/>
        </w:rPr>
        <w:t>4</w:t>
      </w:r>
      <w:r>
        <w:rPr>
          <w:rFonts w:hint="eastAsia" w:asciiTheme="minorEastAsia" w:hAnsiTheme="minorEastAsia" w:eastAsiaTheme="minorEastAsia" w:cstheme="minorEastAsia"/>
          <w:b w:val="0"/>
          <w:bCs w:val="0"/>
          <w:color w:val="auto"/>
          <w:spacing w:val="-1"/>
          <w:sz w:val="24"/>
          <w:szCs w:val="24"/>
          <w:lang w:val="en-US" w:eastAsia="zh-CN"/>
        </w:rPr>
        <w:t>.</w:t>
      </w:r>
      <w:r>
        <w:rPr>
          <w:rFonts w:hint="eastAsia" w:asciiTheme="minorEastAsia" w:hAnsiTheme="minorEastAsia" w:eastAsiaTheme="minorEastAsia" w:cstheme="minorEastAsia"/>
          <w:b w:val="0"/>
          <w:bCs w:val="0"/>
          <w:color w:val="auto"/>
          <w:spacing w:val="-1"/>
          <w:sz w:val="24"/>
          <w:szCs w:val="24"/>
        </w:rPr>
        <w:t>4、监督考核及其它要求：</w:t>
      </w:r>
      <w:r>
        <w:rPr>
          <w:rFonts w:hint="eastAsia" w:asciiTheme="minorEastAsia" w:hAnsiTheme="minorEastAsia" w:eastAsiaTheme="minorEastAsia" w:cstheme="minorEastAsia"/>
          <w:b w:val="0"/>
          <w:bCs w:val="0"/>
          <w:color w:val="auto"/>
          <w:spacing w:val="-1"/>
          <w:sz w:val="24"/>
          <w:szCs w:val="24"/>
        </w:rPr>
        <w:br w:type="textWrapping"/>
      </w:r>
      <w:r>
        <w:rPr>
          <w:rFonts w:hint="eastAsia" w:asciiTheme="minorEastAsia" w:hAnsiTheme="minorEastAsia" w:eastAsiaTheme="minorEastAsia" w:cstheme="minorEastAsia"/>
          <w:b w:val="0"/>
          <w:bCs w:val="0"/>
          <w:color w:val="auto"/>
          <w:spacing w:val="-1"/>
          <w:sz w:val="24"/>
          <w:szCs w:val="24"/>
          <w:lang w:val="en-US" w:eastAsia="zh-CN"/>
        </w:rPr>
        <w:t xml:space="preserve">    </w:t>
      </w:r>
      <w:r>
        <w:rPr>
          <w:rFonts w:hint="eastAsia" w:asciiTheme="minorEastAsia" w:hAnsiTheme="minorEastAsia" w:eastAsiaTheme="minorEastAsia" w:cstheme="minorEastAsia"/>
          <w:b w:val="0"/>
          <w:bCs w:val="0"/>
          <w:color w:val="auto"/>
          <w:spacing w:val="1"/>
          <w:sz w:val="24"/>
          <w:szCs w:val="24"/>
        </w:rPr>
        <w:t>（</w:t>
      </w:r>
      <w:r>
        <w:rPr>
          <w:rFonts w:hint="eastAsia" w:asciiTheme="minorEastAsia" w:hAnsiTheme="minorEastAsia" w:eastAsiaTheme="minorEastAsia" w:cstheme="minorEastAsia"/>
          <w:b w:val="0"/>
          <w:bCs w:val="0"/>
          <w:color w:val="auto"/>
          <w:spacing w:val="1"/>
          <w:sz w:val="24"/>
          <w:szCs w:val="24"/>
          <w:lang w:val="en-US" w:eastAsia="zh-CN"/>
        </w:rPr>
        <w:t>1</w:t>
      </w:r>
      <w:r>
        <w:rPr>
          <w:rFonts w:hint="eastAsia" w:asciiTheme="minorEastAsia" w:hAnsiTheme="minorEastAsia" w:eastAsiaTheme="minorEastAsia" w:cstheme="minorEastAsia"/>
          <w:b w:val="0"/>
          <w:bCs w:val="0"/>
          <w:color w:val="auto"/>
          <w:spacing w:val="1"/>
          <w:sz w:val="24"/>
          <w:szCs w:val="24"/>
        </w:rPr>
        <w:t>）成交单位整个服务期限内须做到：每项工作开始前要有计划安排表、阶段性总结</w:t>
      </w:r>
      <w:r>
        <w:rPr>
          <w:rFonts w:hint="eastAsia" w:asciiTheme="minorEastAsia" w:hAnsiTheme="minorEastAsia" w:eastAsiaTheme="minorEastAsia" w:cstheme="minorEastAsia"/>
          <w:b w:val="0"/>
          <w:bCs w:val="0"/>
          <w:color w:val="auto"/>
          <w:spacing w:val="-1"/>
          <w:sz w:val="24"/>
          <w:szCs w:val="24"/>
        </w:rPr>
        <w:t>和全年工作总结并按时上报采购人；</w:t>
      </w:r>
    </w:p>
    <w:p w14:paraId="68D38E5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4" w:firstLineChars="200"/>
        <w:textAlignment w:val="baseline"/>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pacing w:val="1"/>
          <w:sz w:val="24"/>
          <w:szCs w:val="24"/>
        </w:rPr>
        <w:t>（</w:t>
      </w:r>
      <w:r>
        <w:rPr>
          <w:rFonts w:hint="eastAsia" w:asciiTheme="minorEastAsia" w:hAnsiTheme="minorEastAsia" w:eastAsiaTheme="minorEastAsia" w:cstheme="minorEastAsia"/>
          <w:b w:val="0"/>
          <w:bCs w:val="0"/>
          <w:color w:val="auto"/>
          <w:spacing w:val="1"/>
          <w:sz w:val="24"/>
          <w:szCs w:val="24"/>
          <w:lang w:val="en-US" w:eastAsia="zh-CN"/>
        </w:rPr>
        <w:t>2</w:t>
      </w:r>
      <w:r>
        <w:rPr>
          <w:rFonts w:hint="eastAsia" w:asciiTheme="minorEastAsia" w:hAnsiTheme="minorEastAsia" w:eastAsiaTheme="minorEastAsia" w:cstheme="minorEastAsia"/>
          <w:b w:val="0"/>
          <w:bCs w:val="0"/>
          <w:color w:val="auto"/>
          <w:spacing w:val="1"/>
          <w:sz w:val="24"/>
          <w:szCs w:val="24"/>
        </w:rPr>
        <w:t>）成交单位需要对全体员工进行全面培训，以提高业务水平，并制订完善的员工培</w:t>
      </w:r>
      <w:r>
        <w:rPr>
          <w:rFonts w:hint="eastAsia" w:asciiTheme="minorEastAsia" w:hAnsiTheme="minorEastAsia" w:eastAsiaTheme="minorEastAsia" w:cstheme="minorEastAsia"/>
          <w:b w:val="0"/>
          <w:bCs w:val="0"/>
          <w:color w:val="auto"/>
          <w:spacing w:val="-2"/>
          <w:sz w:val="24"/>
          <w:szCs w:val="24"/>
        </w:rPr>
        <w:t>训计划和方案</w:t>
      </w:r>
      <w:r>
        <w:rPr>
          <w:rFonts w:hint="eastAsia" w:asciiTheme="minorEastAsia" w:hAnsiTheme="minorEastAsia" w:eastAsiaTheme="minorEastAsia" w:cstheme="minorEastAsia"/>
          <w:b w:val="0"/>
          <w:bCs w:val="0"/>
          <w:color w:val="auto"/>
          <w:spacing w:val="-2"/>
          <w:sz w:val="24"/>
          <w:szCs w:val="24"/>
          <w:lang w:eastAsia="zh-CN"/>
        </w:rPr>
        <w:t>；</w:t>
      </w:r>
    </w:p>
    <w:p w14:paraId="69D2464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Theme="minorEastAsia" w:hAnsiTheme="minorEastAsia" w:eastAsiaTheme="minorEastAsia" w:cstheme="minorEastAsia"/>
          <w:b w:val="0"/>
          <w:bCs w:val="0"/>
          <w:color w:val="auto"/>
          <w:spacing w:val="1"/>
          <w:sz w:val="24"/>
          <w:szCs w:val="24"/>
          <w:lang w:val="en-US" w:eastAsia="zh-CN"/>
        </w:rPr>
      </w:pPr>
      <w:r>
        <w:rPr>
          <w:rFonts w:hint="eastAsia" w:asciiTheme="minorEastAsia" w:hAnsiTheme="minorEastAsia" w:eastAsiaTheme="minorEastAsia" w:cstheme="minorEastAsia"/>
          <w:b w:val="0"/>
          <w:bCs w:val="0"/>
          <w:color w:val="auto"/>
          <w:spacing w:val="-1"/>
          <w:sz w:val="24"/>
          <w:szCs w:val="24"/>
        </w:rPr>
        <w:t>（</w:t>
      </w:r>
      <w:r>
        <w:rPr>
          <w:rFonts w:hint="eastAsia" w:asciiTheme="minorEastAsia" w:hAnsiTheme="minorEastAsia" w:eastAsiaTheme="minorEastAsia" w:cstheme="minorEastAsia"/>
          <w:b w:val="0"/>
          <w:bCs w:val="0"/>
          <w:color w:val="auto"/>
          <w:spacing w:val="-1"/>
          <w:sz w:val="24"/>
          <w:szCs w:val="24"/>
          <w:lang w:val="en-US" w:eastAsia="zh-CN"/>
        </w:rPr>
        <w:t>3</w:t>
      </w:r>
      <w:r>
        <w:rPr>
          <w:rFonts w:hint="eastAsia" w:asciiTheme="minorEastAsia" w:hAnsiTheme="minorEastAsia" w:eastAsiaTheme="minorEastAsia" w:cstheme="minorEastAsia"/>
          <w:b w:val="0"/>
          <w:bCs w:val="0"/>
          <w:color w:val="auto"/>
          <w:spacing w:val="-1"/>
          <w:sz w:val="24"/>
          <w:szCs w:val="24"/>
        </w:rPr>
        <w:t>）成交单位须对</w:t>
      </w:r>
      <w:r>
        <w:rPr>
          <w:rFonts w:hint="eastAsia" w:asciiTheme="minorEastAsia" w:hAnsiTheme="minorEastAsia" w:eastAsiaTheme="minorEastAsia" w:cstheme="minorEastAsia"/>
          <w:b w:val="0"/>
          <w:bCs w:val="0"/>
          <w:color w:val="auto"/>
          <w:spacing w:val="-1"/>
          <w:sz w:val="24"/>
          <w:szCs w:val="24"/>
          <w:lang w:eastAsia="zh-CN"/>
        </w:rPr>
        <w:t>宜春市</w:t>
      </w:r>
      <w:r>
        <w:rPr>
          <w:rFonts w:hint="eastAsia" w:asciiTheme="minorEastAsia" w:hAnsiTheme="minorEastAsia" w:eastAsiaTheme="minorEastAsia" w:cstheme="minorEastAsia"/>
          <w:b w:val="0"/>
          <w:bCs w:val="0"/>
          <w:color w:val="auto"/>
          <w:spacing w:val="-1"/>
          <w:sz w:val="24"/>
          <w:szCs w:val="24"/>
        </w:rPr>
        <w:t>区各街道、社区等相关工作人员进行培训和业务指导</w:t>
      </w:r>
      <w:r>
        <w:rPr>
          <w:rFonts w:hint="eastAsia" w:asciiTheme="minorEastAsia" w:hAnsiTheme="minorEastAsia" w:eastAsiaTheme="minorEastAsia" w:cstheme="minorEastAsia"/>
          <w:b w:val="0"/>
          <w:bCs w:val="0"/>
          <w:color w:val="auto"/>
          <w:spacing w:val="-1"/>
          <w:sz w:val="24"/>
          <w:szCs w:val="24"/>
          <w:lang w:eastAsia="zh-CN"/>
        </w:rPr>
        <w:t>；</w:t>
      </w:r>
    </w:p>
    <w:p w14:paraId="1950F28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4" w:firstLineChars="200"/>
        <w:textAlignment w:val="baseline"/>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pacing w:val="1"/>
          <w:sz w:val="24"/>
          <w:szCs w:val="24"/>
        </w:rPr>
        <w:t>（</w:t>
      </w:r>
      <w:r>
        <w:rPr>
          <w:rFonts w:hint="eastAsia" w:asciiTheme="minorEastAsia" w:hAnsiTheme="minorEastAsia" w:eastAsiaTheme="minorEastAsia" w:cstheme="minorEastAsia"/>
          <w:b w:val="0"/>
          <w:bCs w:val="0"/>
          <w:color w:val="auto"/>
          <w:spacing w:val="1"/>
          <w:sz w:val="24"/>
          <w:szCs w:val="24"/>
          <w:lang w:val="en-US" w:eastAsia="zh-CN"/>
        </w:rPr>
        <w:t>4</w:t>
      </w:r>
      <w:r>
        <w:rPr>
          <w:rFonts w:hint="eastAsia" w:asciiTheme="minorEastAsia" w:hAnsiTheme="minorEastAsia" w:eastAsiaTheme="minorEastAsia" w:cstheme="minorEastAsia"/>
          <w:b w:val="0"/>
          <w:bCs w:val="0"/>
          <w:color w:val="auto"/>
          <w:spacing w:val="1"/>
          <w:sz w:val="24"/>
          <w:szCs w:val="24"/>
        </w:rPr>
        <w:t>）成交单位应按采购单位的管理要求和标准组织开展病媒生物防制工作，并接受采</w:t>
      </w:r>
      <w:r>
        <w:rPr>
          <w:rFonts w:hint="eastAsia" w:asciiTheme="minorEastAsia" w:hAnsiTheme="minorEastAsia" w:eastAsiaTheme="minorEastAsia" w:cstheme="minorEastAsia"/>
          <w:b w:val="0"/>
          <w:bCs w:val="0"/>
          <w:color w:val="auto"/>
          <w:spacing w:val="-1"/>
          <w:sz w:val="24"/>
          <w:szCs w:val="24"/>
        </w:rPr>
        <w:t>购单位的指导、监督、抽查、考核。</w:t>
      </w:r>
      <w:r>
        <w:rPr>
          <w:rFonts w:hint="eastAsia" w:asciiTheme="minorEastAsia" w:hAnsiTheme="minorEastAsia" w:eastAsiaTheme="minorEastAsia" w:cstheme="minorEastAsia"/>
          <w:b w:val="0"/>
          <w:bCs w:val="0"/>
          <w:color w:val="auto"/>
          <w:spacing w:val="-1"/>
          <w:sz w:val="24"/>
          <w:szCs w:val="24"/>
          <w:lang w:val="en-US" w:eastAsia="zh-CN"/>
        </w:rPr>
        <w:t>常驻中心城区工作人员随时接受甲方抽检，不足应标承诺最大数的一半，每次扣除5000元；</w:t>
      </w:r>
    </w:p>
    <w:p w14:paraId="5A74FC4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textAlignment w:val="baseline"/>
        <w:rPr>
          <w:rFonts w:hint="eastAsia" w:asciiTheme="minorEastAsia" w:hAnsiTheme="minorEastAsia" w:eastAsiaTheme="minorEastAsia" w:cstheme="minorEastAsia"/>
          <w:b w:val="0"/>
          <w:bCs w:val="0"/>
          <w:color w:val="auto"/>
          <w:spacing w:val="-2"/>
          <w:sz w:val="24"/>
          <w:szCs w:val="24"/>
        </w:rPr>
      </w:pPr>
      <w:r>
        <w:rPr>
          <w:rFonts w:hint="eastAsia" w:asciiTheme="minorEastAsia" w:hAnsiTheme="minorEastAsia" w:eastAsiaTheme="minorEastAsia" w:cstheme="minorEastAsia"/>
          <w:b w:val="0"/>
          <w:bCs w:val="0"/>
          <w:color w:val="auto"/>
          <w:spacing w:val="-2"/>
          <w:sz w:val="24"/>
          <w:szCs w:val="24"/>
        </w:rPr>
        <w:t>（</w:t>
      </w:r>
      <w:r>
        <w:rPr>
          <w:rFonts w:hint="eastAsia" w:asciiTheme="minorEastAsia" w:hAnsiTheme="minorEastAsia" w:eastAsiaTheme="minorEastAsia" w:cstheme="minorEastAsia"/>
          <w:b w:val="0"/>
          <w:bCs w:val="0"/>
          <w:color w:val="auto"/>
          <w:spacing w:val="-2"/>
          <w:sz w:val="24"/>
          <w:szCs w:val="24"/>
          <w:lang w:val="en-US" w:eastAsia="zh-CN"/>
        </w:rPr>
        <w:t>5</w:t>
      </w:r>
      <w:r>
        <w:rPr>
          <w:rFonts w:hint="eastAsia" w:asciiTheme="minorEastAsia" w:hAnsiTheme="minorEastAsia" w:eastAsiaTheme="minorEastAsia" w:cstheme="minorEastAsia"/>
          <w:b w:val="0"/>
          <w:bCs w:val="0"/>
          <w:color w:val="auto"/>
          <w:spacing w:val="-2"/>
          <w:sz w:val="24"/>
          <w:szCs w:val="24"/>
        </w:rPr>
        <w:t>）鼠、蚊、蝇、蟑螂密度需达到国家病媒生物密度控制水平标准</w:t>
      </w:r>
      <w:r>
        <w:rPr>
          <w:rFonts w:hint="eastAsia" w:asciiTheme="minorEastAsia" w:hAnsiTheme="minorEastAsia" w:eastAsiaTheme="minorEastAsia" w:cstheme="minorEastAsia"/>
          <w:b w:val="0"/>
          <w:bCs w:val="0"/>
          <w:color w:val="auto"/>
          <w:spacing w:val="-2"/>
          <w:sz w:val="24"/>
          <w:szCs w:val="24"/>
          <w:lang w:val="en-US" w:eastAsia="zh-CN"/>
        </w:rPr>
        <w:t>B</w:t>
      </w:r>
      <w:r>
        <w:rPr>
          <w:rFonts w:hint="eastAsia" w:asciiTheme="minorEastAsia" w:hAnsiTheme="minorEastAsia" w:eastAsiaTheme="minorEastAsia" w:cstheme="minorEastAsia"/>
          <w:b w:val="0"/>
          <w:bCs w:val="0"/>
          <w:color w:val="auto"/>
          <w:spacing w:val="-2"/>
          <w:sz w:val="24"/>
          <w:szCs w:val="24"/>
        </w:rPr>
        <w:t>级要求</w:t>
      </w:r>
      <w:r>
        <w:rPr>
          <w:rFonts w:hint="eastAsia" w:asciiTheme="minorEastAsia" w:hAnsiTheme="minorEastAsia" w:eastAsiaTheme="minorEastAsia" w:cstheme="minorEastAsia"/>
          <w:b w:val="0"/>
          <w:bCs w:val="0"/>
          <w:color w:val="auto"/>
          <w:spacing w:val="-47"/>
          <w:sz w:val="24"/>
          <w:szCs w:val="24"/>
        </w:rPr>
        <w:t>，</w:t>
      </w:r>
      <w:r>
        <w:rPr>
          <w:rFonts w:hint="eastAsia" w:asciiTheme="minorEastAsia" w:hAnsiTheme="minorEastAsia" w:eastAsiaTheme="minorEastAsia" w:cstheme="minorEastAsia"/>
          <w:b w:val="0"/>
          <w:bCs w:val="0"/>
          <w:color w:val="auto"/>
          <w:spacing w:val="1"/>
          <w:sz w:val="24"/>
          <w:szCs w:val="24"/>
        </w:rPr>
        <w:t>1项不达标扣除季服务费20%；2项不达标扣除季服</w:t>
      </w:r>
      <w:r>
        <w:rPr>
          <w:rFonts w:hint="eastAsia" w:asciiTheme="minorEastAsia" w:hAnsiTheme="minorEastAsia" w:eastAsiaTheme="minorEastAsia" w:cstheme="minorEastAsia"/>
          <w:b w:val="0"/>
          <w:bCs w:val="0"/>
          <w:color w:val="auto"/>
          <w:sz w:val="24"/>
          <w:szCs w:val="24"/>
        </w:rPr>
        <w:t>务费40%；3项</w:t>
      </w:r>
      <w:r>
        <w:rPr>
          <w:rFonts w:hint="eastAsia" w:asciiTheme="minorEastAsia" w:hAnsiTheme="minorEastAsia" w:eastAsiaTheme="minorEastAsia" w:cstheme="minorEastAsia"/>
          <w:b w:val="0"/>
          <w:bCs w:val="0"/>
          <w:color w:val="auto"/>
          <w:spacing w:val="-1"/>
          <w:sz w:val="24"/>
          <w:szCs w:val="24"/>
        </w:rPr>
        <w:t>不达标扣除季服务费60%；4项不达标扣除季服务费10</w:t>
      </w:r>
      <w:r>
        <w:rPr>
          <w:rFonts w:hint="eastAsia" w:asciiTheme="minorEastAsia" w:hAnsiTheme="minorEastAsia" w:eastAsiaTheme="minorEastAsia" w:cstheme="minorEastAsia"/>
          <w:b w:val="0"/>
          <w:bCs w:val="0"/>
          <w:color w:val="auto"/>
          <w:spacing w:val="-2"/>
          <w:sz w:val="24"/>
          <w:szCs w:val="24"/>
        </w:rPr>
        <w:t>0%；连续2次监测不达标，拒付进度款并终止合同；</w:t>
      </w:r>
    </w:p>
    <w:p w14:paraId="125724D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4" w:firstLineChars="200"/>
        <w:textAlignment w:val="baseline"/>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pacing w:val="1"/>
          <w:sz w:val="24"/>
          <w:szCs w:val="24"/>
        </w:rPr>
        <w:t>（</w:t>
      </w:r>
      <w:r>
        <w:rPr>
          <w:rFonts w:hint="eastAsia" w:asciiTheme="minorEastAsia" w:hAnsiTheme="minorEastAsia" w:eastAsiaTheme="minorEastAsia" w:cstheme="minorEastAsia"/>
          <w:b w:val="0"/>
          <w:bCs w:val="0"/>
          <w:color w:val="auto"/>
          <w:spacing w:val="1"/>
          <w:sz w:val="24"/>
          <w:szCs w:val="24"/>
          <w:lang w:val="en-US" w:eastAsia="zh-CN"/>
        </w:rPr>
        <w:t>6</w:t>
      </w:r>
      <w:r>
        <w:rPr>
          <w:rFonts w:hint="eastAsia" w:asciiTheme="minorEastAsia" w:hAnsiTheme="minorEastAsia" w:eastAsiaTheme="minorEastAsia" w:cstheme="minorEastAsia"/>
          <w:b w:val="0"/>
          <w:bCs w:val="0"/>
          <w:color w:val="auto"/>
          <w:spacing w:val="1"/>
          <w:sz w:val="24"/>
          <w:szCs w:val="24"/>
        </w:rPr>
        <w:t>）每次大面积防治工作结束后采购人将进行综合检查和考核，要求灭鼠效果投诉处</w:t>
      </w:r>
      <w:r>
        <w:rPr>
          <w:rFonts w:hint="eastAsia" w:asciiTheme="minorEastAsia" w:hAnsiTheme="minorEastAsia" w:eastAsiaTheme="minorEastAsia" w:cstheme="minorEastAsia"/>
          <w:b w:val="0"/>
          <w:bCs w:val="0"/>
          <w:color w:val="auto"/>
          <w:sz w:val="24"/>
          <w:szCs w:val="24"/>
        </w:rPr>
        <w:t>理率100%。群众满意率低于</w:t>
      </w:r>
      <w:r>
        <w:rPr>
          <w:rFonts w:hint="eastAsia" w:asciiTheme="minorEastAsia" w:hAnsiTheme="minorEastAsia" w:eastAsiaTheme="minorEastAsia" w:cstheme="minorEastAsia"/>
          <w:b w:val="0"/>
          <w:bCs w:val="0"/>
          <w:color w:val="auto"/>
          <w:sz w:val="24"/>
          <w:szCs w:val="24"/>
          <w:lang w:val="en-US" w:eastAsia="zh-CN"/>
        </w:rPr>
        <w:t>9</w:t>
      </w:r>
      <w:r>
        <w:rPr>
          <w:rFonts w:hint="eastAsia" w:asciiTheme="minorEastAsia" w:hAnsiTheme="minorEastAsia" w:eastAsiaTheme="minorEastAsia" w:cstheme="minorEastAsia"/>
          <w:b w:val="0"/>
          <w:bCs w:val="0"/>
          <w:color w:val="auto"/>
          <w:sz w:val="24"/>
          <w:szCs w:val="24"/>
        </w:rPr>
        <w:t>0%或者群众累计投诉三次，扣除2000元，并责令限期整</w:t>
      </w:r>
      <w:r>
        <w:rPr>
          <w:rFonts w:hint="eastAsia" w:asciiTheme="minorEastAsia" w:hAnsiTheme="minorEastAsia" w:eastAsiaTheme="minorEastAsia" w:cstheme="minorEastAsia"/>
          <w:b w:val="0"/>
          <w:bCs w:val="0"/>
          <w:color w:val="auto"/>
          <w:spacing w:val="-5"/>
          <w:sz w:val="24"/>
          <w:szCs w:val="24"/>
        </w:rPr>
        <w:t>改。</w:t>
      </w:r>
    </w:p>
    <w:p w14:paraId="126BEAF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60" w:firstLineChars="200"/>
        <w:textAlignment w:val="baseline"/>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pacing w:val="-5"/>
          <w:sz w:val="24"/>
          <w:szCs w:val="24"/>
        </w:rPr>
        <w:t>（</w:t>
      </w:r>
      <w:r>
        <w:rPr>
          <w:rFonts w:hint="eastAsia" w:asciiTheme="minorEastAsia" w:hAnsiTheme="minorEastAsia" w:eastAsiaTheme="minorEastAsia" w:cstheme="minorEastAsia"/>
          <w:b w:val="0"/>
          <w:bCs w:val="0"/>
          <w:color w:val="auto"/>
          <w:spacing w:val="-5"/>
          <w:sz w:val="24"/>
          <w:szCs w:val="24"/>
          <w:lang w:val="en-US" w:eastAsia="zh-CN"/>
        </w:rPr>
        <w:t>7</w:t>
      </w:r>
      <w:r>
        <w:rPr>
          <w:rFonts w:hint="eastAsia" w:asciiTheme="minorEastAsia" w:hAnsiTheme="minorEastAsia" w:eastAsiaTheme="minorEastAsia" w:cstheme="minorEastAsia"/>
          <w:b w:val="0"/>
          <w:bCs w:val="0"/>
          <w:color w:val="auto"/>
          <w:spacing w:val="-5"/>
          <w:sz w:val="24"/>
          <w:szCs w:val="24"/>
        </w:rPr>
        <w:t>）每一次开展病媒生物防制工作都要有“除四害消杀作业确认记录表”，</w:t>
      </w:r>
      <w:r>
        <w:rPr>
          <w:rFonts w:hint="eastAsia" w:asciiTheme="minorEastAsia" w:hAnsiTheme="minorEastAsia" w:eastAsiaTheme="minorEastAsia" w:cstheme="minorEastAsia"/>
          <w:b w:val="0"/>
          <w:bCs w:val="0"/>
          <w:color w:val="auto"/>
          <w:spacing w:val="-6"/>
          <w:sz w:val="24"/>
          <w:szCs w:val="24"/>
        </w:rPr>
        <w:t>确认记录表</w:t>
      </w:r>
      <w:r>
        <w:rPr>
          <w:rFonts w:hint="eastAsia" w:asciiTheme="minorEastAsia" w:hAnsiTheme="minorEastAsia" w:eastAsiaTheme="minorEastAsia" w:cstheme="minorEastAsia"/>
          <w:b w:val="0"/>
          <w:bCs w:val="0"/>
          <w:color w:val="auto"/>
          <w:spacing w:val="-2"/>
          <w:sz w:val="24"/>
          <w:szCs w:val="24"/>
        </w:rPr>
        <w:t>内容须含日期、时间、消杀药物名称、用量比例、消杀地点、消杀员等具体数据，并由区爱卫办或街道、社区负责人签字确认；</w:t>
      </w:r>
    </w:p>
    <w:p w14:paraId="068A072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32" w:firstLineChars="200"/>
        <w:textAlignment w:val="baseline"/>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pacing w:val="-12"/>
          <w:sz w:val="24"/>
          <w:szCs w:val="24"/>
        </w:rPr>
        <w:t>（</w:t>
      </w:r>
      <w:r>
        <w:rPr>
          <w:rFonts w:hint="eastAsia" w:asciiTheme="minorEastAsia" w:hAnsiTheme="minorEastAsia" w:eastAsiaTheme="minorEastAsia" w:cstheme="minorEastAsia"/>
          <w:b w:val="0"/>
          <w:bCs w:val="0"/>
          <w:color w:val="auto"/>
          <w:spacing w:val="-12"/>
          <w:sz w:val="24"/>
          <w:szCs w:val="24"/>
          <w:lang w:val="en-US" w:eastAsia="zh-CN"/>
        </w:rPr>
        <w:t>8</w:t>
      </w:r>
      <w:r>
        <w:rPr>
          <w:rFonts w:hint="eastAsia" w:asciiTheme="minorEastAsia" w:hAnsiTheme="minorEastAsia" w:eastAsiaTheme="minorEastAsia" w:cstheme="minorEastAsia"/>
          <w:b w:val="0"/>
          <w:bCs w:val="0"/>
          <w:color w:val="auto"/>
          <w:spacing w:val="-12"/>
          <w:sz w:val="24"/>
          <w:szCs w:val="24"/>
        </w:rPr>
        <w:t>）药品不符合要求，无“三证”发现一次扣除2000元；药品</w:t>
      </w:r>
      <w:r>
        <w:rPr>
          <w:rFonts w:hint="eastAsia" w:asciiTheme="minorEastAsia" w:hAnsiTheme="minorEastAsia" w:eastAsiaTheme="minorEastAsia" w:cstheme="minorEastAsia"/>
          <w:b w:val="0"/>
          <w:bCs w:val="0"/>
          <w:color w:val="auto"/>
          <w:spacing w:val="-12"/>
          <w:sz w:val="24"/>
          <w:szCs w:val="24"/>
          <w:lang w:val="en-US" w:eastAsia="zh-CN"/>
        </w:rPr>
        <w:t>种类</w:t>
      </w:r>
      <w:r>
        <w:rPr>
          <w:rFonts w:hint="eastAsia" w:asciiTheme="minorEastAsia" w:hAnsiTheme="minorEastAsia" w:eastAsiaTheme="minorEastAsia" w:cstheme="minorEastAsia"/>
          <w:b w:val="0"/>
          <w:bCs w:val="0"/>
          <w:color w:val="auto"/>
          <w:spacing w:val="-12"/>
          <w:sz w:val="24"/>
          <w:szCs w:val="24"/>
        </w:rPr>
        <w:t>不</w:t>
      </w:r>
      <w:r>
        <w:rPr>
          <w:rFonts w:hint="eastAsia" w:asciiTheme="minorEastAsia" w:hAnsiTheme="minorEastAsia" w:eastAsiaTheme="minorEastAsia" w:cstheme="minorEastAsia"/>
          <w:b w:val="0"/>
          <w:bCs w:val="0"/>
          <w:color w:val="auto"/>
          <w:spacing w:val="-12"/>
          <w:sz w:val="24"/>
          <w:szCs w:val="24"/>
          <w:lang w:val="en-US" w:eastAsia="zh-CN"/>
        </w:rPr>
        <w:t>符合约定，</w:t>
      </w:r>
      <w:r>
        <w:rPr>
          <w:rFonts w:hint="eastAsia" w:asciiTheme="minorEastAsia" w:hAnsiTheme="minorEastAsia" w:eastAsiaTheme="minorEastAsia" w:cstheme="minorEastAsia"/>
          <w:b w:val="0"/>
          <w:bCs w:val="0"/>
          <w:color w:val="auto"/>
          <w:spacing w:val="-12"/>
          <w:sz w:val="24"/>
          <w:szCs w:val="24"/>
        </w:rPr>
        <w:t>发现一</w:t>
      </w:r>
      <w:r>
        <w:rPr>
          <w:rFonts w:hint="eastAsia" w:asciiTheme="minorEastAsia" w:hAnsiTheme="minorEastAsia" w:eastAsiaTheme="minorEastAsia" w:cstheme="minorEastAsia"/>
          <w:b w:val="0"/>
          <w:bCs w:val="0"/>
          <w:color w:val="auto"/>
          <w:spacing w:val="-13"/>
          <w:sz w:val="24"/>
          <w:szCs w:val="24"/>
        </w:rPr>
        <w:t>次扣除2000</w:t>
      </w:r>
      <w:r>
        <w:rPr>
          <w:rFonts w:hint="eastAsia" w:asciiTheme="minorEastAsia" w:hAnsiTheme="minorEastAsia" w:eastAsiaTheme="minorEastAsia" w:cstheme="minorEastAsia"/>
          <w:b w:val="0"/>
          <w:bCs w:val="0"/>
          <w:color w:val="auto"/>
          <w:spacing w:val="-2"/>
          <w:sz w:val="24"/>
          <w:szCs w:val="24"/>
        </w:rPr>
        <w:t>元；药品存放不规范发现一次扣除2000元。</w:t>
      </w:r>
    </w:p>
    <w:p w14:paraId="64CC17A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pacing w:val="-1"/>
          <w:sz w:val="24"/>
          <w:szCs w:val="24"/>
        </w:rPr>
        <w:t>（</w:t>
      </w:r>
      <w:r>
        <w:rPr>
          <w:rFonts w:hint="eastAsia" w:asciiTheme="minorEastAsia" w:hAnsiTheme="minorEastAsia" w:eastAsiaTheme="minorEastAsia" w:cstheme="minorEastAsia"/>
          <w:b w:val="0"/>
          <w:bCs w:val="0"/>
          <w:color w:val="auto"/>
          <w:spacing w:val="-1"/>
          <w:sz w:val="24"/>
          <w:szCs w:val="24"/>
          <w:lang w:val="en-US" w:eastAsia="zh-CN"/>
        </w:rPr>
        <w:t>9</w:t>
      </w:r>
      <w:r>
        <w:rPr>
          <w:rFonts w:hint="eastAsia" w:asciiTheme="minorEastAsia" w:hAnsiTheme="minorEastAsia" w:eastAsiaTheme="minorEastAsia" w:cstheme="minorEastAsia"/>
          <w:b w:val="0"/>
          <w:bCs w:val="0"/>
          <w:color w:val="auto"/>
          <w:spacing w:val="-1"/>
          <w:sz w:val="24"/>
          <w:szCs w:val="24"/>
        </w:rPr>
        <w:t>）现场防制人员未经专业机构培训合格上岗作业的，每人次扣除2000元。</w:t>
      </w:r>
    </w:p>
    <w:p w14:paraId="59F2815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68" w:firstLineChars="200"/>
        <w:textAlignment w:val="baseline"/>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pacing w:val="-3"/>
          <w:sz w:val="24"/>
          <w:szCs w:val="24"/>
        </w:rPr>
        <w:t>（</w:t>
      </w:r>
      <w:r>
        <w:rPr>
          <w:rFonts w:hint="eastAsia" w:asciiTheme="minorEastAsia" w:hAnsiTheme="minorEastAsia" w:eastAsiaTheme="minorEastAsia" w:cstheme="minorEastAsia"/>
          <w:b w:val="0"/>
          <w:bCs w:val="0"/>
          <w:color w:val="auto"/>
          <w:spacing w:val="-3"/>
          <w:sz w:val="24"/>
          <w:szCs w:val="24"/>
          <w:lang w:val="en-US" w:eastAsia="zh-CN"/>
        </w:rPr>
        <w:t>10</w:t>
      </w:r>
      <w:r>
        <w:rPr>
          <w:rFonts w:hint="eastAsia" w:asciiTheme="minorEastAsia" w:hAnsiTheme="minorEastAsia" w:eastAsiaTheme="minorEastAsia" w:cstheme="minorEastAsia"/>
          <w:b w:val="0"/>
          <w:bCs w:val="0"/>
          <w:color w:val="auto"/>
          <w:spacing w:val="-3"/>
          <w:sz w:val="24"/>
          <w:szCs w:val="24"/>
        </w:rPr>
        <w:t>）出现媒体曝光的，一次扣除2000元。</w:t>
      </w:r>
    </w:p>
    <w:p w14:paraId="43F0CDB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pacing w:val="-1"/>
          <w:sz w:val="24"/>
          <w:szCs w:val="24"/>
        </w:rPr>
        <w:t>（1</w:t>
      </w:r>
      <w:r>
        <w:rPr>
          <w:rFonts w:hint="eastAsia" w:asciiTheme="minorEastAsia" w:hAnsiTheme="minorEastAsia" w:eastAsiaTheme="minorEastAsia" w:cstheme="minorEastAsia"/>
          <w:b w:val="0"/>
          <w:bCs w:val="0"/>
          <w:color w:val="auto"/>
          <w:spacing w:val="-1"/>
          <w:sz w:val="24"/>
          <w:szCs w:val="24"/>
          <w:lang w:val="en-US" w:eastAsia="zh-CN"/>
        </w:rPr>
        <w:t>1</w:t>
      </w:r>
      <w:r>
        <w:rPr>
          <w:rFonts w:hint="eastAsia" w:asciiTheme="minorEastAsia" w:hAnsiTheme="minorEastAsia" w:eastAsiaTheme="minorEastAsia" w:cstheme="minorEastAsia"/>
          <w:b w:val="0"/>
          <w:bCs w:val="0"/>
          <w:color w:val="auto"/>
          <w:spacing w:val="-1"/>
          <w:sz w:val="24"/>
          <w:szCs w:val="24"/>
        </w:rPr>
        <w:t>）办公、库房不符合要求发现一次扣除200</w:t>
      </w:r>
      <w:r>
        <w:rPr>
          <w:rFonts w:hint="eastAsia" w:asciiTheme="minorEastAsia" w:hAnsiTheme="minorEastAsia" w:eastAsiaTheme="minorEastAsia" w:cstheme="minorEastAsia"/>
          <w:b w:val="0"/>
          <w:bCs w:val="0"/>
          <w:color w:val="auto"/>
          <w:spacing w:val="-2"/>
          <w:sz w:val="24"/>
          <w:szCs w:val="24"/>
        </w:rPr>
        <w:t>0元。</w:t>
      </w:r>
    </w:p>
    <w:p w14:paraId="2CA277A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pacing w:val="-1"/>
          <w:sz w:val="24"/>
          <w:szCs w:val="24"/>
        </w:rPr>
        <w:t>（1</w:t>
      </w:r>
      <w:r>
        <w:rPr>
          <w:rFonts w:hint="eastAsia" w:asciiTheme="minorEastAsia" w:hAnsiTheme="minorEastAsia" w:eastAsiaTheme="minorEastAsia" w:cstheme="minorEastAsia"/>
          <w:b w:val="0"/>
          <w:bCs w:val="0"/>
          <w:color w:val="auto"/>
          <w:spacing w:val="-1"/>
          <w:sz w:val="24"/>
          <w:szCs w:val="24"/>
          <w:lang w:val="en-US" w:eastAsia="zh-CN"/>
        </w:rPr>
        <w:t>2</w:t>
      </w:r>
      <w:r>
        <w:rPr>
          <w:rFonts w:hint="eastAsia" w:asciiTheme="minorEastAsia" w:hAnsiTheme="minorEastAsia" w:eastAsiaTheme="minorEastAsia" w:cstheme="minorEastAsia"/>
          <w:b w:val="0"/>
          <w:bCs w:val="0"/>
          <w:color w:val="auto"/>
          <w:spacing w:val="-1"/>
          <w:sz w:val="24"/>
          <w:szCs w:val="24"/>
        </w:rPr>
        <w:t>）服务资料、台账不完整</w:t>
      </w:r>
      <w:r>
        <w:rPr>
          <w:rFonts w:hint="eastAsia" w:asciiTheme="minorEastAsia" w:hAnsiTheme="minorEastAsia" w:eastAsiaTheme="minorEastAsia" w:cstheme="minorEastAsia"/>
          <w:b w:val="0"/>
          <w:bCs w:val="0"/>
          <w:color w:val="auto"/>
          <w:spacing w:val="-1"/>
          <w:sz w:val="24"/>
          <w:szCs w:val="24"/>
          <w:lang w:val="en-US" w:eastAsia="zh-CN"/>
        </w:rPr>
        <w:t>或前后不能相互印证的</w:t>
      </w:r>
      <w:r>
        <w:rPr>
          <w:rFonts w:hint="eastAsia" w:asciiTheme="minorEastAsia" w:hAnsiTheme="minorEastAsia" w:eastAsiaTheme="minorEastAsia" w:cstheme="minorEastAsia"/>
          <w:b w:val="0"/>
          <w:bCs w:val="0"/>
          <w:color w:val="auto"/>
          <w:spacing w:val="-1"/>
          <w:sz w:val="24"/>
          <w:szCs w:val="24"/>
        </w:rPr>
        <w:t>，发现一次扣除2000</w:t>
      </w:r>
      <w:r>
        <w:rPr>
          <w:rFonts w:hint="eastAsia" w:asciiTheme="minorEastAsia" w:hAnsiTheme="minorEastAsia" w:eastAsiaTheme="minorEastAsia" w:cstheme="minorEastAsia"/>
          <w:b w:val="0"/>
          <w:bCs w:val="0"/>
          <w:color w:val="auto"/>
          <w:spacing w:val="-2"/>
          <w:sz w:val="24"/>
          <w:szCs w:val="24"/>
        </w:rPr>
        <w:t>元。</w:t>
      </w:r>
    </w:p>
    <w:p w14:paraId="4E7B7FD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Theme="minorEastAsia" w:hAnsiTheme="minorEastAsia" w:eastAsiaTheme="minorEastAsia" w:cstheme="minorEastAsia"/>
          <w:b w:val="0"/>
          <w:bCs w:val="0"/>
          <w:color w:val="auto"/>
          <w:spacing w:val="-2"/>
          <w:sz w:val="24"/>
          <w:szCs w:val="24"/>
        </w:rPr>
      </w:pPr>
      <w:r>
        <w:rPr>
          <w:rFonts w:hint="eastAsia" w:asciiTheme="minorEastAsia" w:hAnsiTheme="minorEastAsia" w:eastAsiaTheme="minorEastAsia" w:cstheme="minorEastAsia"/>
          <w:b w:val="0"/>
          <w:bCs w:val="0"/>
          <w:color w:val="auto"/>
          <w:spacing w:val="-1"/>
          <w:sz w:val="24"/>
          <w:szCs w:val="24"/>
        </w:rPr>
        <w:t>（1</w:t>
      </w:r>
      <w:r>
        <w:rPr>
          <w:rFonts w:hint="eastAsia" w:asciiTheme="minorEastAsia" w:hAnsiTheme="minorEastAsia" w:eastAsiaTheme="minorEastAsia" w:cstheme="minorEastAsia"/>
          <w:b w:val="0"/>
          <w:bCs w:val="0"/>
          <w:color w:val="auto"/>
          <w:spacing w:val="-1"/>
          <w:sz w:val="24"/>
          <w:szCs w:val="24"/>
          <w:lang w:val="en-US" w:eastAsia="zh-CN"/>
        </w:rPr>
        <w:t>3</w:t>
      </w:r>
      <w:r>
        <w:rPr>
          <w:rFonts w:hint="eastAsia" w:asciiTheme="minorEastAsia" w:hAnsiTheme="minorEastAsia" w:eastAsiaTheme="minorEastAsia" w:cstheme="minorEastAsia"/>
          <w:b w:val="0"/>
          <w:bCs w:val="0"/>
          <w:color w:val="auto"/>
          <w:spacing w:val="-1"/>
          <w:sz w:val="24"/>
          <w:szCs w:val="24"/>
        </w:rPr>
        <w:t>）少于工作计划服务频率发现一次扣除200</w:t>
      </w:r>
      <w:r>
        <w:rPr>
          <w:rFonts w:hint="eastAsia" w:asciiTheme="minorEastAsia" w:hAnsiTheme="minorEastAsia" w:eastAsiaTheme="minorEastAsia" w:cstheme="minorEastAsia"/>
          <w:b w:val="0"/>
          <w:bCs w:val="0"/>
          <w:color w:val="auto"/>
          <w:spacing w:val="-2"/>
          <w:sz w:val="24"/>
          <w:szCs w:val="24"/>
        </w:rPr>
        <w:t>0元。</w:t>
      </w:r>
    </w:p>
    <w:p w14:paraId="676E8E0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textAlignment w:val="baseline"/>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pacing w:val="-2"/>
          <w:sz w:val="24"/>
          <w:szCs w:val="24"/>
        </w:rPr>
        <w:t>（1</w:t>
      </w:r>
      <w:r>
        <w:rPr>
          <w:rFonts w:hint="eastAsia" w:asciiTheme="minorEastAsia" w:hAnsiTheme="minorEastAsia" w:eastAsiaTheme="minorEastAsia" w:cstheme="minorEastAsia"/>
          <w:b w:val="0"/>
          <w:bCs w:val="0"/>
          <w:color w:val="auto"/>
          <w:spacing w:val="-2"/>
          <w:sz w:val="24"/>
          <w:szCs w:val="24"/>
          <w:lang w:val="en-US" w:eastAsia="zh-CN"/>
        </w:rPr>
        <w:t>4</w:t>
      </w:r>
      <w:r>
        <w:rPr>
          <w:rFonts w:hint="eastAsia" w:asciiTheme="minorEastAsia" w:hAnsiTheme="minorEastAsia" w:eastAsiaTheme="minorEastAsia" w:cstheme="minorEastAsia"/>
          <w:b w:val="0"/>
          <w:bCs w:val="0"/>
          <w:color w:val="auto"/>
          <w:spacing w:val="-2"/>
          <w:sz w:val="24"/>
          <w:szCs w:val="24"/>
        </w:rPr>
        <w:t>）因施药问题造成人员和财产损失的安全事故，成交供应商负全部责任，承担</w:t>
      </w:r>
      <w:r>
        <w:rPr>
          <w:rFonts w:hint="eastAsia" w:asciiTheme="minorEastAsia" w:hAnsiTheme="minorEastAsia" w:eastAsiaTheme="minorEastAsia" w:cstheme="minorEastAsia"/>
          <w:b w:val="0"/>
          <w:bCs w:val="0"/>
          <w:color w:val="auto"/>
          <w:spacing w:val="-3"/>
          <w:sz w:val="24"/>
          <w:szCs w:val="24"/>
        </w:rPr>
        <w:t>所有</w:t>
      </w:r>
      <w:r>
        <w:rPr>
          <w:rFonts w:hint="eastAsia" w:asciiTheme="minorEastAsia" w:hAnsiTheme="minorEastAsia" w:eastAsiaTheme="minorEastAsia" w:cstheme="minorEastAsia"/>
          <w:b w:val="0"/>
          <w:bCs w:val="0"/>
          <w:color w:val="auto"/>
          <w:spacing w:val="-4"/>
          <w:sz w:val="24"/>
          <w:szCs w:val="24"/>
        </w:rPr>
        <w:t>的损失和赔偿。</w:t>
      </w:r>
    </w:p>
    <w:p w14:paraId="6F64D0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Theme="minorEastAsia" w:hAnsiTheme="minorEastAsia" w:eastAsiaTheme="minorEastAsia" w:cstheme="minorEastAsia"/>
          <w:b w:val="0"/>
          <w:bCs w:val="0"/>
          <w:color w:val="auto"/>
          <w:spacing w:val="-1"/>
          <w:sz w:val="24"/>
          <w:szCs w:val="24"/>
        </w:rPr>
      </w:pPr>
      <w:r>
        <w:rPr>
          <w:rFonts w:hint="eastAsia" w:asciiTheme="minorEastAsia" w:hAnsiTheme="minorEastAsia" w:eastAsiaTheme="minorEastAsia" w:cstheme="minorEastAsia"/>
          <w:b w:val="0"/>
          <w:bCs w:val="0"/>
          <w:color w:val="auto"/>
          <w:spacing w:val="-1"/>
          <w:sz w:val="24"/>
          <w:szCs w:val="24"/>
        </w:rPr>
        <w:t>（1</w:t>
      </w:r>
      <w:r>
        <w:rPr>
          <w:rFonts w:hint="eastAsia" w:asciiTheme="minorEastAsia" w:hAnsiTheme="minorEastAsia" w:eastAsiaTheme="minorEastAsia" w:cstheme="minorEastAsia"/>
          <w:b w:val="0"/>
          <w:bCs w:val="0"/>
          <w:color w:val="auto"/>
          <w:spacing w:val="-1"/>
          <w:sz w:val="24"/>
          <w:szCs w:val="24"/>
          <w:lang w:val="en-US" w:eastAsia="zh-CN"/>
        </w:rPr>
        <w:t>5</w:t>
      </w:r>
      <w:r>
        <w:rPr>
          <w:rFonts w:hint="eastAsia" w:asciiTheme="minorEastAsia" w:hAnsiTheme="minorEastAsia" w:eastAsiaTheme="minorEastAsia" w:cstheme="minorEastAsia"/>
          <w:b w:val="0"/>
          <w:bCs w:val="0"/>
          <w:color w:val="auto"/>
          <w:spacing w:val="-1"/>
          <w:sz w:val="24"/>
          <w:szCs w:val="24"/>
        </w:rPr>
        <w:t>）灭鼠毒饵、毒饵站、蚊蝇蟑螂消杀用药的投放量应配比合理，兼顾保护环境，以投放区域实际需求量为准，</w:t>
      </w:r>
      <w:r>
        <w:rPr>
          <w:rFonts w:hint="eastAsia" w:asciiTheme="minorEastAsia" w:hAnsiTheme="minorEastAsia" w:eastAsiaTheme="minorEastAsia" w:cstheme="minorEastAsia"/>
          <w:b w:val="0"/>
          <w:bCs w:val="0"/>
          <w:color w:val="auto"/>
          <w:spacing w:val="-1"/>
          <w:sz w:val="24"/>
          <w:szCs w:val="24"/>
          <w:lang w:val="en-US" w:eastAsia="zh-CN"/>
        </w:rPr>
        <w:t>如不符合要求，发现一次扣除3000元；</w:t>
      </w:r>
      <w:r>
        <w:rPr>
          <w:rFonts w:hint="eastAsia" w:asciiTheme="minorEastAsia" w:hAnsiTheme="minorEastAsia" w:eastAsiaTheme="minorEastAsia" w:cstheme="minorEastAsia"/>
          <w:b w:val="0"/>
          <w:bCs w:val="0"/>
          <w:color w:val="auto"/>
          <w:spacing w:val="-1"/>
          <w:sz w:val="24"/>
          <w:szCs w:val="24"/>
        </w:rPr>
        <w:t>如需适量增加毒饵站及毒饵、消杀药数量，不再追加费用。</w:t>
      </w:r>
    </w:p>
    <w:p w14:paraId="42EFAC8B">
      <w:pPr>
        <w:pStyle w:val="2"/>
        <w:pageBreakBefore w:val="0"/>
        <w:widowControl/>
        <w:kinsoku w:val="0"/>
        <w:wordWrap/>
        <w:overflowPunct/>
        <w:topLinePunct w:val="0"/>
        <w:autoSpaceDE w:val="0"/>
        <w:autoSpaceDN w:val="0"/>
        <w:bidi w:val="0"/>
        <w:adjustRightInd w:val="0"/>
        <w:snapToGrid w:val="0"/>
        <w:spacing w:line="360" w:lineRule="auto"/>
        <w:ind w:firstLine="476" w:firstLineChars="200"/>
        <w:jc w:val="both"/>
        <w:textAlignment w:val="baseline"/>
        <w:rPr>
          <w:rFonts w:hint="eastAsia" w:asciiTheme="minorEastAsia" w:hAnsiTheme="minorEastAsia" w:eastAsiaTheme="minorEastAsia" w:cstheme="minorEastAsia"/>
          <w:b w:val="0"/>
          <w:bCs w:val="0"/>
          <w:snapToGrid w:val="0"/>
          <w:color w:val="auto"/>
          <w:spacing w:val="-1"/>
          <w:kern w:val="0"/>
          <w:sz w:val="24"/>
          <w:szCs w:val="24"/>
          <w:lang w:val="en-US" w:eastAsia="zh-CN" w:bidi="ar-SA"/>
        </w:rPr>
      </w:pPr>
      <w:r>
        <w:rPr>
          <w:rFonts w:hint="eastAsia" w:asciiTheme="minorEastAsia" w:hAnsiTheme="minorEastAsia" w:eastAsiaTheme="minorEastAsia" w:cstheme="minorEastAsia"/>
          <w:b w:val="0"/>
          <w:bCs w:val="0"/>
          <w:snapToGrid w:val="0"/>
          <w:color w:val="auto"/>
          <w:spacing w:val="-1"/>
          <w:kern w:val="0"/>
          <w:sz w:val="24"/>
          <w:szCs w:val="24"/>
          <w:lang w:val="en-US" w:eastAsia="zh-CN" w:bidi="ar-SA"/>
        </w:rPr>
        <w:t>（16）对于所提供服务未达到预期效果的病媒生物防治公司，将列入采购人“黑名单”，今后招标不再接受其投标。</w:t>
      </w:r>
    </w:p>
    <w:p w14:paraId="76AE24CF">
      <w:pPr>
        <w:pStyle w:val="2"/>
        <w:pageBreakBefore w:val="0"/>
        <w:widowControl/>
        <w:kinsoku w:val="0"/>
        <w:wordWrap/>
        <w:overflowPunct/>
        <w:topLinePunct w:val="0"/>
        <w:autoSpaceDE w:val="0"/>
        <w:autoSpaceDN w:val="0"/>
        <w:bidi w:val="0"/>
        <w:adjustRightInd w:val="0"/>
        <w:snapToGrid w:val="0"/>
        <w:spacing w:line="360" w:lineRule="auto"/>
        <w:ind w:firstLine="476" w:firstLineChars="200"/>
        <w:jc w:val="both"/>
        <w:textAlignment w:val="baseline"/>
        <w:rPr>
          <w:rFonts w:hint="default" w:asciiTheme="minorEastAsia" w:hAnsiTheme="minorEastAsia" w:eastAsiaTheme="minorEastAsia" w:cstheme="minorEastAsia"/>
          <w:b w:val="0"/>
          <w:bCs w:val="0"/>
          <w:snapToGrid w:val="0"/>
          <w:color w:val="auto"/>
          <w:spacing w:val="-1"/>
          <w:kern w:val="0"/>
          <w:sz w:val="24"/>
          <w:szCs w:val="24"/>
          <w:lang w:val="en-US" w:eastAsia="zh-CN" w:bidi="ar-SA"/>
        </w:rPr>
      </w:pPr>
      <w:r>
        <w:rPr>
          <w:rFonts w:hint="eastAsia" w:asciiTheme="minorEastAsia" w:hAnsiTheme="minorEastAsia" w:eastAsiaTheme="minorEastAsia" w:cstheme="minorEastAsia"/>
          <w:b w:val="0"/>
          <w:bCs w:val="0"/>
          <w:snapToGrid w:val="0"/>
          <w:color w:val="auto"/>
          <w:spacing w:val="-1"/>
          <w:kern w:val="0"/>
          <w:sz w:val="24"/>
          <w:szCs w:val="24"/>
          <w:lang w:val="en-US" w:eastAsia="zh-CN" w:bidi="ar-SA"/>
        </w:rPr>
        <w:t>（17）供应商承诺在成交后一个季度内设立完善的售后服务场所，其中办公场所必须满足所有工作人员办公、培训等需求，并具有相应的办公设备，仓库必须满足设备设施、 药物存放需要和相关规定，药物存放符合相关技术要求，且鼠药存放仓库必须独立（需提供承诺函，承诺函加盖供应商公章，格式自拟）。</w:t>
      </w:r>
    </w:p>
    <w:p w14:paraId="34115D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480" w:lineRule="exact"/>
        <w:ind w:left="0" w:right="0" w:firstLine="474" w:firstLineChars="200"/>
        <w:jc w:val="left"/>
        <w:textAlignment w:val="baseline"/>
        <w:rPr>
          <w:rFonts w:hint="eastAsia" w:asciiTheme="minorEastAsia" w:hAnsiTheme="minorEastAsia" w:eastAsiaTheme="minorEastAsia" w:cstheme="minorEastAsia"/>
          <w:i w:val="0"/>
          <w:iCs w:val="0"/>
          <w:caps w:val="0"/>
          <w:color w:val="auto"/>
          <w:spacing w:val="15"/>
          <w:sz w:val="24"/>
          <w:szCs w:val="24"/>
        </w:rPr>
      </w:pPr>
      <w:r>
        <w:rPr>
          <w:rFonts w:hint="eastAsia" w:asciiTheme="minorEastAsia" w:hAnsiTheme="minorEastAsia" w:eastAsiaTheme="minorEastAsia" w:cstheme="minorEastAsia"/>
          <w:b/>
          <w:bCs/>
          <w:color w:val="auto"/>
          <w:spacing w:val="-2"/>
          <w:sz w:val="24"/>
          <w:szCs w:val="24"/>
        </w:rPr>
        <w:t>注：以上所有内容为商务实质性条款，投标人必须完全满足，否则做无效投标处理。</w:t>
      </w:r>
    </w:p>
    <w:p w14:paraId="6462F7BA">
      <w:pPr>
        <w:rPr>
          <w:color w:val="auto"/>
          <w:sz w:val="22"/>
          <w:szCs w:val="22"/>
        </w:rPr>
      </w:pPr>
    </w:p>
    <w:bookmarkEnd w:id="2"/>
    <w:sectPr>
      <w:footerReference r:id="rId3" w:type="default"/>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FF20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DA13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BDA13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NzViZWViNDJmZDFkMGUxNGYyNTk3MzU0YjZhNGYifQ=="/>
  </w:docVars>
  <w:rsids>
    <w:rsidRoot w:val="509F6039"/>
    <w:rsid w:val="006E1B20"/>
    <w:rsid w:val="10883B86"/>
    <w:rsid w:val="32C00B74"/>
    <w:rsid w:val="509F6039"/>
    <w:rsid w:val="5E0F6CFF"/>
    <w:rsid w:val="748E1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jc w:val="center"/>
      <w:outlineLvl w:val="1"/>
    </w:pPr>
    <w:rPr>
      <w:rFonts w:ascii="仿宋" w:hAnsi="仿宋"/>
      <w:b/>
      <w:sz w:val="32"/>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Table Text"/>
    <w:basedOn w:val="1"/>
    <w:semiHidden/>
    <w:qFormat/>
    <w:uiPriority w:val="0"/>
    <w:rPr>
      <w:rFonts w:ascii="黑体" w:hAnsi="黑体" w:eastAsia="黑体" w:cs="黑体"/>
      <w:sz w:val="19"/>
      <w:szCs w:val="19"/>
      <w:lang w:val="en-US" w:eastAsia="en-US" w:bidi="ar-SA"/>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5582</Words>
  <Characters>5947</Characters>
  <Lines>0</Lines>
  <Paragraphs>0</Paragraphs>
  <TotalTime>0</TotalTime>
  <ScaleCrop>false</ScaleCrop>
  <LinksUpToDate>false</LinksUpToDate>
  <CharactersWithSpaces>5981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2024-10-10T06:26:00Z</dcterms:created>
  <dc:creator>刘流流</dc:creator>
  <cp:lastModifiedBy>刘流流</cp:lastModifiedBy>
  <dcterms:modified xsi:type="dcterms:W3CDTF">2024-12-17T02:03:07Z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787B4DE124384784A9F6AD473E96B513_13</vt:lpwstr>
  </property>
</Properties>
</file>