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DBE49">
      <w:pPr>
        <w:jc w:val="center"/>
        <w:rPr>
          <w:rFonts w:hint="eastAsia" w:ascii="华文中宋" w:hAnsi="华文中宋" w:eastAsia="华文中宋"/>
          <w:b/>
          <w:sz w:val="84"/>
          <w:szCs w:val="84"/>
        </w:rPr>
      </w:pPr>
      <w:r>
        <w:rPr>
          <w:rFonts w:hint="eastAsia" w:ascii="华文中宋" w:hAnsi="华文中宋" w:eastAsia="华文中宋"/>
          <w:b/>
          <w:sz w:val="84"/>
          <w:szCs w:val="84"/>
        </w:rPr>
        <w:t>南山区蛇口街道办事处采购文件</w:t>
      </w:r>
    </w:p>
    <w:p w14:paraId="6849D946">
      <w:pPr>
        <w:jc w:val="center"/>
        <w:rPr>
          <w:rFonts w:hint="eastAsia" w:ascii="华文中宋" w:hAnsi="华文中宋" w:eastAsia="华文中宋"/>
          <w:sz w:val="44"/>
          <w:szCs w:val="44"/>
        </w:rPr>
      </w:pPr>
      <w:r>
        <w:rPr>
          <w:rFonts w:hint="eastAsia" w:ascii="华文中宋" w:hAnsi="华文中宋" w:eastAsia="华文中宋"/>
          <w:sz w:val="44"/>
          <w:szCs w:val="44"/>
        </w:rPr>
        <w:t>（</w:t>
      </w:r>
      <w:r>
        <w:rPr>
          <w:rFonts w:hint="eastAsia" w:ascii="华文中宋" w:hAnsi="华文中宋" w:eastAsia="华文中宋"/>
          <w:b/>
          <w:sz w:val="44"/>
          <w:szCs w:val="44"/>
        </w:rPr>
        <w:t>服务类</w:t>
      </w:r>
      <w:r>
        <w:rPr>
          <w:rFonts w:hint="eastAsia" w:ascii="华文中宋" w:hAnsi="华文中宋" w:eastAsia="华文中宋"/>
          <w:sz w:val="44"/>
          <w:szCs w:val="44"/>
        </w:rPr>
        <w:t>）</w:t>
      </w:r>
    </w:p>
    <w:p w14:paraId="74213BB3">
      <w:pPr>
        <w:pStyle w:val="3"/>
      </w:pPr>
      <w:r>
        <w:rPr>
          <w:rFonts w:hint="eastAsia"/>
        </w:rPr>
        <w:t>招标文件信息</w:t>
      </w:r>
    </w:p>
    <w:p w14:paraId="39FC4A19">
      <w:pPr>
        <w:spacing w:line="560" w:lineRule="exact"/>
        <w:rPr>
          <w:rFonts w:hint="eastAsia" w:ascii="仿宋_GB2312" w:hAnsi="宋体" w:eastAsia="仿宋_GB2312"/>
          <w:sz w:val="36"/>
          <w:szCs w:val="36"/>
        </w:rPr>
      </w:pPr>
      <w:r>
        <w:rPr>
          <w:rFonts w:hint="eastAsia" w:ascii="仿宋_GB2312" w:hAnsi="宋体" w:eastAsia="仿宋_GB2312"/>
          <w:sz w:val="36"/>
          <w:szCs w:val="36"/>
        </w:rPr>
        <w:t>项目名称：2025年度蛇口街道公共区域除“四害”消杀</w:t>
      </w:r>
      <w:r>
        <w:rPr>
          <w:rFonts w:hint="eastAsia" w:ascii="仿宋_GB2312" w:hAnsi="宋体" w:eastAsia="仿宋_GB2312"/>
          <w:sz w:val="36"/>
          <w:szCs w:val="36"/>
          <w:lang w:eastAsia="zh-CN"/>
        </w:rPr>
        <w:t>及</w:t>
      </w:r>
      <w:r>
        <w:rPr>
          <w:rFonts w:hint="eastAsia" w:ascii="仿宋_GB2312" w:hAnsi="宋体" w:eastAsia="仿宋_GB2312"/>
          <w:sz w:val="36"/>
          <w:szCs w:val="36"/>
        </w:rPr>
        <w:t>红火蚁</w:t>
      </w:r>
      <w:bookmarkStart w:id="3" w:name="_GoBack"/>
      <w:bookmarkEnd w:id="3"/>
      <w:r>
        <w:rPr>
          <w:rFonts w:hint="eastAsia" w:ascii="仿宋_GB2312" w:hAnsi="宋体" w:eastAsia="仿宋_GB2312"/>
          <w:sz w:val="36"/>
          <w:szCs w:val="36"/>
        </w:rPr>
        <w:t>防控服务项目</w:t>
      </w:r>
    </w:p>
    <w:p w14:paraId="1EB37587">
      <w:pPr>
        <w:spacing w:line="560" w:lineRule="exact"/>
        <w:rPr>
          <w:rFonts w:hint="eastAsia" w:ascii="仿宋_GB2312" w:hAnsi="宋体" w:eastAsia="仿宋_GB2312"/>
          <w:sz w:val="36"/>
          <w:szCs w:val="36"/>
        </w:rPr>
      </w:pPr>
      <w:r>
        <w:rPr>
          <w:rFonts w:hint="eastAsia" w:ascii="仿宋_GB2312" w:hAnsi="宋体" w:eastAsia="仿宋_GB2312"/>
          <w:sz w:val="36"/>
          <w:szCs w:val="36"/>
        </w:rPr>
        <w:t>包 号</w:t>
      </w:r>
      <w:r>
        <w:rPr>
          <w:rFonts w:hint="eastAsia" w:ascii="仿宋_GB2312" w:eastAsia="仿宋_GB2312"/>
          <w:b/>
          <w:sz w:val="32"/>
          <w:szCs w:val="32"/>
        </w:rPr>
        <w:t>：</w:t>
      </w:r>
      <w:r>
        <w:rPr>
          <w:rFonts w:hint="eastAsia" w:ascii="仿宋_GB2312" w:hAnsi="宋体" w:eastAsia="仿宋_GB2312"/>
          <w:sz w:val="36"/>
          <w:szCs w:val="36"/>
        </w:rPr>
        <w:t>A</w:t>
      </w:r>
    </w:p>
    <w:p w14:paraId="65B08AB7">
      <w:pPr>
        <w:spacing w:line="540" w:lineRule="exact"/>
        <w:jc w:val="left"/>
        <w:rPr>
          <w:rFonts w:hint="eastAsia" w:ascii="仿宋_GB2312" w:hAnsi="宋体" w:eastAsia="仿宋_GB2312"/>
          <w:sz w:val="36"/>
          <w:szCs w:val="36"/>
        </w:rPr>
      </w:pPr>
      <w:r>
        <w:rPr>
          <w:rFonts w:hint="eastAsia" w:ascii="仿宋_GB2312" w:hAnsi="宋体" w:eastAsia="仿宋_GB2312"/>
          <w:sz w:val="36"/>
          <w:szCs w:val="36"/>
        </w:rPr>
        <w:t>项目类型</w:t>
      </w:r>
      <w:r>
        <w:rPr>
          <w:rFonts w:hint="eastAsia" w:ascii="仿宋_GB2312" w:eastAsia="仿宋_GB2312"/>
          <w:b/>
          <w:sz w:val="32"/>
          <w:szCs w:val="32"/>
        </w:rPr>
        <w:t>：</w:t>
      </w:r>
      <w:r>
        <w:rPr>
          <w:rFonts w:hint="eastAsia" w:ascii="仿宋_GB2312" w:hAnsi="宋体" w:eastAsia="仿宋_GB2312"/>
          <w:sz w:val="36"/>
          <w:szCs w:val="36"/>
        </w:rPr>
        <w:t>服务类</w:t>
      </w:r>
    </w:p>
    <w:p w14:paraId="40C6840B">
      <w:pPr>
        <w:spacing w:line="540" w:lineRule="exact"/>
        <w:jc w:val="left"/>
        <w:rPr>
          <w:rFonts w:hint="eastAsia" w:ascii="仿宋_GB2312" w:hAnsi="宋体" w:eastAsia="仿宋_GB2312"/>
          <w:sz w:val="36"/>
          <w:szCs w:val="36"/>
        </w:rPr>
      </w:pPr>
      <w:r>
        <w:rPr>
          <w:rFonts w:hint="eastAsia" w:ascii="仿宋_GB2312" w:hAnsi="宋体" w:eastAsia="仿宋_GB2312"/>
          <w:sz w:val="36"/>
          <w:szCs w:val="36"/>
        </w:rPr>
        <w:t>采购方式</w:t>
      </w:r>
      <w:r>
        <w:rPr>
          <w:rFonts w:hint="eastAsia" w:ascii="仿宋_GB2312" w:eastAsia="仿宋_GB2312"/>
          <w:b/>
          <w:sz w:val="32"/>
          <w:szCs w:val="32"/>
        </w:rPr>
        <w:t>：</w:t>
      </w:r>
      <w:r>
        <w:rPr>
          <w:rFonts w:hint="eastAsia" w:ascii="仿宋_GB2312" w:hAnsi="Calibri" w:eastAsia="仿宋_GB2312"/>
          <w:sz w:val="36"/>
          <w:szCs w:val="36"/>
        </w:rPr>
        <w:t>公开招标</w:t>
      </w:r>
    </w:p>
    <w:p w14:paraId="1AC4739D">
      <w:pPr>
        <w:spacing w:line="540" w:lineRule="exact"/>
        <w:jc w:val="left"/>
        <w:rPr>
          <w:rFonts w:hint="eastAsia" w:ascii="仿宋_GB2312" w:hAnsi="宋体" w:eastAsia="仿宋_GB2312"/>
          <w:sz w:val="36"/>
          <w:szCs w:val="36"/>
        </w:rPr>
      </w:pPr>
      <w:r>
        <w:rPr>
          <w:rFonts w:hint="eastAsia" w:ascii="仿宋_GB2312" w:hAnsi="宋体" w:eastAsia="仿宋_GB2312"/>
          <w:sz w:val="36"/>
          <w:szCs w:val="36"/>
        </w:rPr>
        <w:t>货币类型</w:t>
      </w:r>
      <w:r>
        <w:rPr>
          <w:rFonts w:hint="eastAsia" w:ascii="仿宋_GB2312" w:eastAsia="仿宋_GB2312"/>
          <w:b/>
          <w:sz w:val="32"/>
          <w:szCs w:val="32"/>
        </w:rPr>
        <w:t>：</w:t>
      </w:r>
      <w:r>
        <w:rPr>
          <w:rFonts w:hint="eastAsia" w:ascii="仿宋_GB2312" w:hAnsi="宋体" w:eastAsia="仿宋_GB2312"/>
          <w:sz w:val="36"/>
          <w:szCs w:val="36"/>
        </w:rPr>
        <w:t>人民币</w:t>
      </w:r>
    </w:p>
    <w:p w14:paraId="7D940ACC">
      <w:pPr>
        <w:spacing w:line="540" w:lineRule="exact"/>
        <w:jc w:val="left"/>
        <w:rPr>
          <w:rFonts w:hint="eastAsia" w:ascii="仿宋_GB2312" w:hAnsi="宋体" w:eastAsia="仿宋_GB2312"/>
          <w:sz w:val="36"/>
          <w:szCs w:val="36"/>
        </w:rPr>
      </w:pPr>
      <w:r>
        <w:rPr>
          <w:rFonts w:hint="eastAsia" w:ascii="仿宋_GB2312" w:hAnsi="宋体" w:eastAsia="仿宋_GB2312"/>
          <w:sz w:val="36"/>
          <w:szCs w:val="36"/>
        </w:rPr>
        <w:t>评标方法</w:t>
      </w:r>
      <w:r>
        <w:rPr>
          <w:rFonts w:hint="eastAsia" w:ascii="仿宋_GB2312" w:eastAsia="仿宋_GB2312"/>
          <w:b/>
          <w:sz w:val="32"/>
          <w:szCs w:val="32"/>
        </w:rPr>
        <w:t>：</w:t>
      </w:r>
      <w:r>
        <w:rPr>
          <w:rFonts w:hint="eastAsia" w:ascii="仿宋_GB2312" w:hAnsi="宋体" w:eastAsia="仿宋_GB2312"/>
          <w:sz w:val="36"/>
          <w:szCs w:val="36"/>
        </w:rPr>
        <w:t>综合评分法（新价格分算法）</w:t>
      </w:r>
    </w:p>
    <w:p w14:paraId="336F403A">
      <w:pPr>
        <w:jc w:val="center"/>
        <w:rPr>
          <w:rFonts w:hint="eastAsia" w:ascii="黑体" w:hAnsi="黑体" w:eastAsia="黑体"/>
          <w:sz w:val="32"/>
          <w:szCs w:val="32"/>
        </w:rPr>
      </w:pPr>
    </w:p>
    <w:p w14:paraId="4DFFBE52">
      <w:pPr>
        <w:jc w:val="center"/>
        <w:rPr>
          <w:rFonts w:hint="eastAsia" w:ascii="黑体" w:hAnsi="黑体" w:eastAsia="黑体"/>
          <w:sz w:val="32"/>
          <w:szCs w:val="32"/>
        </w:rPr>
      </w:pPr>
    </w:p>
    <w:p w14:paraId="6735340B">
      <w:pPr>
        <w:jc w:val="center"/>
        <w:rPr>
          <w:rFonts w:hint="eastAsia" w:ascii="黑体" w:hAnsi="黑体" w:eastAsia="黑体"/>
          <w:sz w:val="32"/>
          <w:szCs w:val="32"/>
        </w:rPr>
      </w:pPr>
    </w:p>
    <w:p w14:paraId="7F1A652E">
      <w:pPr>
        <w:jc w:val="center"/>
        <w:rPr>
          <w:rFonts w:hint="eastAsia" w:ascii="黑体" w:hAnsi="黑体" w:eastAsia="黑体"/>
          <w:sz w:val="32"/>
          <w:szCs w:val="32"/>
        </w:rPr>
      </w:pPr>
    </w:p>
    <w:p w14:paraId="32A89816">
      <w:pPr>
        <w:jc w:val="center"/>
        <w:rPr>
          <w:rFonts w:hint="eastAsia" w:ascii="黑体" w:hAnsi="黑体" w:eastAsia="黑体"/>
          <w:sz w:val="32"/>
          <w:szCs w:val="32"/>
        </w:rPr>
      </w:pPr>
    </w:p>
    <w:p w14:paraId="08DF5FEF">
      <w:pPr>
        <w:jc w:val="center"/>
        <w:rPr>
          <w:rFonts w:hint="eastAsia" w:ascii="黑体" w:hAnsi="黑体" w:eastAsia="黑体"/>
          <w:sz w:val="32"/>
          <w:szCs w:val="32"/>
        </w:rPr>
      </w:pPr>
    </w:p>
    <w:p w14:paraId="7C70026D">
      <w:pPr>
        <w:pStyle w:val="3"/>
      </w:pPr>
      <w:r>
        <w:rPr>
          <w:rFonts w:hint="eastAsia"/>
        </w:rPr>
        <w:t>投标文件初审表</w:t>
      </w:r>
    </w:p>
    <w:tbl>
      <w:tblPr>
        <w:tblStyle w:val="24"/>
        <w:tblW w:w="83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15"/>
        <w:gridCol w:w="6430"/>
      </w:tblGrid>
      <w:tr w14:paraId="32C03E84">
        <w:tblPrEx>
          <w:tblLayout w:type="fixed"/>
        </w:tblPrEx>
        <w:trPr>
          <w:jc w:val="center"/>
        </w:trPr>
        <w:tc>
          <w:tcPr>
            <w:tcW w:w="8313" w:type="dxa"/>
            <w:gridSpan w:val="3"/>
          </w:tcPr>
          <w:p w14:paraId="701A0F0C">
            <w:pPr>
              <w:spacing w:line="540" w:lineRule="exact"/>
              <w:rPr>
                <w:rFonts w:ascii="仿宋_GB2312" w:eastAsia="仿宋_GB2312"/>
                <w:b/>
                <w:sz w:val="32"/>
                <w:szCs w:val="32"/>
              </w:rPr>
            </w:pPr>
            <w:r>
              <w:rPr>
                <w:rFonts w:hint="eastAsia" w:ascii="仿宋_GB2312" w:eastAsia="仿宋_GB2312"/>
                <w:b/>
                <w:sz w:val="32"/>
                <w:szCs w:val="32"/>
              </w:rPr>
              <w:t>资格性检查表</w:t>
            </w:r>
          </w:p>
        </w:tc>
      </w:tr>
      <w:tr w14:paraId="495BAC4C">
        <w:tblPrEx>
          <w:tblLayout w:type="fixed"/>
        </w:tblPrEx>
        <w:trPr>
          <w:trHeight w:val="127" w:hRule="atLeast"/>
          <w:jc w:val="center"/>
        </w:trPr>
        <w:tc>
          <w:tcPr>
            <w:tcW w:w="668" w:type="dxa"/>
            <w:vMerge w:val="restart"/>
            <w:vAlign w:val="center"/>
          </w:tcPr>
          <w:p w14:paraId="142B0ADF">
            <w:pPr>
              <w:spacing w:line="540" w:lineRule="exact"/>
              <w:rPr>
                <w:rFonts w:ascii="仿宋_GB2312" w:eastAsia="仿宋_GB2312"/>
                <w:sz w:val="32"/>
                <w:szCs w:val="32"/>
              </w:rPr>
            </w:pPr>
            <w:r>
              <w:rPr>
                <w:rFonts w:hint="eastAsia" w:ascii="仿宋_GB2312" w:eastAsia="仿宋_GB2312"/>
                <w:sz w:val="32"/>
                <w:szCs w:val="32"/>
              </w:rPr>
              <w:t>1</w:t>
            </w:r>
          </w:p>
        </w:tc>
        <w:tc>
          <w:tcPr>
            <w:tcW w:w="1215" w:type="dxa"/>
            <w:vMerge w:val="restart"/>
            <w:vAlign w:val="center"/>
          </w:tcPr>
          <w:p w14:paraId="524CDA56">
            <w:pPr>
              <w:widowControl/>
              <w:spacing w:line="540" w:lineRule="exact"/>
              <w:rPr>
                <w:rFonts w:ascii="仿宋_GB2312" w:eastAsia="仿宋_GB2312"/>
                <w:sz w:val="32"/>
                <w:szCs w:val="32"/>
              </w:rPr>
            </w:pPr>
            <w:r>
              <w:rPr>
                <w:rFonts w:hint="eastAsia" w:ascii="仿宋_GB2312" w:eastAsia="仿宋_GB2312"/>
                <w:sz w:val="32"/>
                <w:szCs w:val="32"/>
              </w:rPr>
              <w:t>投标人资质要求</w:t>
            </w:r>
          </w:p>
        </w:tc>
        <w:tc>
          <w:tcPr>
            <w:tcW w:w="6430" w:type="dxa"/>
            <w:vAlign w:val="center"/>
          </w:tcPr>
          <w:p w14:paraId="69610076">
            <w:pPr>
              <w:spacing w:line="540" w:lineRule="exact"/>
              <w:rPr>
                <w:rFonts w:ascii="仿宋_GB2312" w:eastAsia="仿宋_GB2312"/>
                <w:sz w:val="32"/>
                <w:szCs w:val="32"/>
              </w:rPr>
            </w:pPr>
            <w:r>
              <w:rPr>
                <w:rFonts w:hint="eastAsia" w:ascii="仿宋_GB2312" w:eastAsia="仿宋_GB2312"/>
                <w:sz w:val="32"/>
                <w:szCs w:val="32"/>
              </w:rPr>
              <w:t>1.具有独立承担民事责任能力的在中华人民共和国境内登记注册的法人或其他组织营业执照（或单位登记证书等相关证明材料）；</w:t>
            </w:r>
          </w:p>
        </w:tc>
      </w:tr>
      <w:tr w14:paraId="0D9F59BE">
        <w:tblPrEx>
          <w:tblLayout w:type="fixed"/>
        </w:tblPrEx>
        <w:trPr>
          <w:trHeight w:val="127" w:hRule="atLeast"/>
          <w:jc w:val="center"/>
        </w:trPr>
        <w:tc>
          <w:tcPr>
            <w:tcW w:w="668" w:type="dxa"/>
            <w:vMerge w:val="continue"/>
          </w:tcPr>
          <w:p w14:paraId="5CEDBBFF">
            <w:pPr>
              <w:spacing w:line="540" w:lineRule="exact"/>
              <w:ind w:firstLine="640" w:firstLineChars="200"/>
              <w:rPr>
                <w:rFonts w:ascii="仿宋_GB2312" w:eastAsia="仿宋_GB2312"/>
                <w:sz w:val="32"/>
                <w:szCs w:val="32"/>
              </w:rPr>
            </w:pPr>
          </w:p>
        </w:tc>
        <w:tc>
          <w:tcPr>
            <w:tcW w:w="1215" w:type="dxa"/>
            <w:vMerge w:val="continue"/>
            <w:vAlign w:val="center"/>
          </w:tcPr>
          <w:p w14:paraId="2751FE0E">
            <w:pPr>
              <w:widowControl/>
              <w:spacing w:line="540" w:lineRule="exact"/>
              <w:ind w:firstLine="643" w:firstLineChars="200"/>
              <w:jc w:val="left"/>
              <w:rPr>
                <w:rFonts w:ascii="仿宋_GB2312" w:eastAsia="仿宋_GB2312"/>
                <w:b/>
                <w:sz w:val="32"/>
                <w:szCs w:val="32"/>
              </w:rPr>
            </w:pPr>
          </w:p>
        </w:tc>
        <w:tc>
          <w:tcPr>
            <w:tcW w:w="6430" w:type="dxa"/>
            <w:vAlign w:val="center"/>
          </w:tcPr>
          <w:p w14:paraId="0F8C1F74">
            <w:pPr>
              <w:spacing w:line="540" w:lineRule="exact"/>
              <w:rPr>
                <w:rFonts w:ascii="仿宋_GB2312" w:eastAsia="仿宋_GB2312"/>
                <w:sz w:val="32"/>
                <w:szCs w:val="32"/>
              </w:rPr>
            </w:pPr>
            <w:r>
              <w:rPr>
                <w:rFonts w:hint="eastAsia" w:ascii="仿宋_GB2312" w:eastAsia="仿宋_GB2312"/>
                <w:sz w:val="32"/>
                <w:szCs w:val="32"/>
              </w:rPr>
              <w:t>2.投标人具备《政府采购法》第二十二条规定的条件，即投标人在参与本项目投标前三年内，在经营活动中没有重大违法记录以及参与本项目政府采购活动时不存在被有关部门禁止参与政府采购活动且在有效期内的情况（提供承诺函，承诺函格式详见招标文件“第三章投标文件格式、附件”)；</w:t>
            </w:r>
          </w:p>
        </w:tc>
      </w:tr>
      <w:tr w14:paraId="723FD839">
        <w:tblPrEx>
          <w:tblLayout w:type="fixed"/>
        </w:tblPrEx>
        <w:trPr>
          <w:trHeight w:val="127" w:hRule="atLeast"/>
          <w:jc w:val="center"/>
        </w:trPr>
        <w:tc>
          <w:tcPr>
            <w:tcW w:w="668" w:type="dxa"/>
            <w:vMerge w:val="continue"/>
          </w:tcPr>
          <w:p w14:paraId="35429522">
            <w:pPr>
              <w:spacing w:line="540" w:lineRule="exact"/>
              <w:ind w:firstLine="640" w:firstLineChars="200"/>
              <w:rPr>
                <w:rFonts w:ascii="仿宋_GB2312" w:eastAsia="仿宋_GB2312"/>
                <w:sz w:val="32"/>
                <w:szCs w:val="32"/>
              </w:rPr>
            </w:pPr>
          </w:p>
        </w:tc>
        <w:tc>
          <w:tcPr>
            <w:tcW w:w="1215" w:type="dxa"/>
            <w:vMerge w:val="continue"/>
            <w:vAlign w:val="center"/>
          </w:tcPr>
          <w:p w14:paraId="565FFB4A">
            <w:pPr>
              <w:widowControl/>
              <w:spacing w:line="540" w:lineRule="exact"/>
              <w:ind w:firstLine="643" w:firstLineChars="200"/>
              <w:jc w:val="left"/>
              <w:rPr>
                <w:rFonts w:ascii="仿宋_GB2312" w:eastAsia="仿宋_GB2312"/>
                <w:b/>
                <w:sz w:val="32"/>
                <w:szCs w:val="32"/>
              </w:rPr>
            </w:pPr>
          </w:p>
        </w:tc>
        <w:tc>
          <w:tcPr>
            <w:tcW w:w="6430" w:type="dxa"/>
            <w:vAlign w:val="center"/>
          </w:tcPr>
          <w:p w14:paraId="3B3819BA">
            <w:pPr>
              <w:spacing w:line="540" w:lineRule="exact"/>
              <w:rPr>
                <w:rFonts w:ascii="仿宋_GB2312" w:eastAsia="仿宋_GB2312"/>
                <w:sz w:val="32"/>
                <w:szCs w:val="32"/>
              </w:rPr>
            </w:pPr>
            <w:r>
              <w:rPr>
                <w:rFonts w:hint="eastAsia" w:ascii="仿宋_GB2312" w:eastAsia="仿宋_GB2312"/>
                <w:sz w:val="32"/>
                <w:szCs w:val="32"/>
              </w:rPr>
              <w:t>3.本项目不接受联合体投标人。</w:t>
            </w:r>
          </w:p>
        </w:tc>
      </w:tr>
      <w:tr w14:paraId="27493616">
        <w:tblPrEx>
          <w:tblLayout w:type="fixed"/>
        </w:tblPrEx>
        <w:trPr>
          <w:trHeight w:val="127" w:hRule="atLeast"/>
          <w:jc w:val="center"/>
        </w:trPr>
        <w:tc>
          <w:tcPr>
            <w:tcW w:w="668" w:type="dxa"/>
          </w:tcPr>
          <w:p w14:paraId="1656F2E1">
            <w:pPr>
              <w:spacing w:line="540" w:lineRule="exact"/>
              <w:rPr>
                <w:rFonts w:ascii="仿宋_GB2312" w:eastAsia="仿宋_GB2312"/>
                <w:sz w:val="32"/>
                <w:szCs w:val="32"/>
              </w:rPr>
            </w:pPr>
            <w:r>
              <w:rPr>
                <w:rFonts w:hint="eastAsia" w:ascii="仿宋_GB2312" w:eastAsia="仿宋_GB2312"/>
                <w:sz w:val="32"/>
                <w:szCs w:val="32"/>
              </w:rPr>
              <w:t>备注</w:t>
            </w:r>
          </w:p>
        </w:tc>
        <w:tc>
          <w:tcPr>
            <w:tcW w:w="7645" w:type="dxa"/>
            <w:gridSpan w:val="2"/>
            <w:vAlign w:val="center"/>
          </w:tcPr>
          <w:p w14:paraId="20B05212">
            <w:pPr>
              <w:spacing w:line="540" w:lineRule="exact"/>
              <w:rPr>
                <w:rFonts w:ascii="仿宋_GB2312" w:eastAsia="仿宋_GB2312"/>
                <w:sz w:val="32"/>
                <w:szCs w:val="32"/>
              </w:rPr>
            </w:pPr>
            <w:r>
              <w:rPr>
                <w:rFonts w:hint="eastAsia" w:ascii="仿宋_GB2312" w:eastAsia="仿宋_GB2312"/>
                <w:sz w:val="32"/>
                <w:szCs w:val="32"/>
              </w:rPr>
              <w:t>以上资料必须提供清晰复印件或扫描件加盖公章。</w:t>
            </w:r>
          </w:p>
        </w:tc>
      </w:tr>
      <w:tr w14:paraId="0201B52A">
        <w:tblPrEx>
          <w:tblLayout w:type="fixed"/>
        </w:tblPrEx>
        <w:trPr>
          <w:jc w:val="center"/>
        </w:trPr>
        <w:tc>
          <w:tcPr>
            <w:tcW w:w="8313" w:type="dxa"/>
            <w:gridSpan w:val="3"/>
          </w:tcPr>
          <w:p w14:paraId="3EACB0A6">
            <w:pPr>
              <w:spacing w:line="540" w:lineRule="exact"/>
              <w:rPr>
                <w:rFonts w:ascii="仿宋_GB2312" w:eastAsia="仿宋_GB2312"/>
                <w:sz w:val="32"/>
                <w:szCs w:val="32"/>
              </w:rPr>
            </w:pPr>
            <w:r>
              <w:rPr>
                <w:rFonts w:hint="eastAsia" w:ascii="仿宋_GB2312" w:eastAsia="仿宋_GB2312"/>
                <w:sz w:val="32"/>
                <w:szCs w:val="32"/>
              </w:rPr>
              <w:t>符合性检查表</w:t>
            </w:r>
          </w:p>
        </w:tc>
      </w:tr>
      <w:tr w14:paraId="0A739B23">
        <w:tblPrEx>
          <w:tblLayout w:type="fixed"/>
        </w:tblPrEx>
        <w:trPr>
          <w:jc w:val="center"/>
        </w:trPr>
        <w:tc>
          <w:tcPr>
            <w:tcW w:w="668" w:type="dxa"/>
            <w:vAlign w:val="center"/>
          </w:tcPr>
          <w:p w14:paraId="168FAC1B">
            <w:pPr>
              <w:spacing w:line="540" w:lineRule="exact"/>
              <w:jc w:val="center"/>
              <w:rPr>
                <w:rFonts w:ascii="仿宋_GB2312" w:eastAsia="仿宋_GB2312"/>
                <w:sz w:val="32"/>
                <w:szCs w:val="32"/>
              </w:rPr>
            </w:pPr>
            <w:r>
              <w:rPr>
                <w:rFonts w:hint="eastAsia" w:ascii="仿宋_GB2312" w:eastAsia="仿宋_GB2312"/>
                <w:sz w:val="32"/>
                <w:szCs w:val="32"/>
              </w:rPr>
              <w:t>1</w:t>
            </w:r>
          </w:p>
        </w:tc>
        <w:tc>
          <w:tcPr>
            <w:tcW w:w="7645" w:type="dxa"/>
            <w:gridSpan w:val="2"/>
          </w:tcPr>
          <w:p w14:paraId="20CA42DB">
            <w:pPr>
              <w:spacing w:line="540" w:lineRule="exact"/>
              <w:jc w:val="left"/>
              <w:rPr>
                <w:rFonts w:ascii="仿宋_GB2312" w:eastAsia="仿宋_GB2312"/>
                <w:sz w:val="32"/>
                <w:szCs w:val="32"/>
              </w:rPr>
            </w:pPr>
            <w:r>
              <w:rPr>
                <w:rFonts w:hint="eastAsia" w:ascii="仿宋_GB2312" w:eastAsia="仿宋_GB2312"/>
                <w:sz w:val="32"/>
                <w:szCs w:val="32"/>
              </w:rPr>
              <w:t>不得将一个包中的内容拆开投标</w:t>
            </w:r>
          </w:p>
        </w:tc>
      </w:tr>
      <w:tr w14:paraId="3AE23AD0">
        <w:tblPrEx>
          <w:tblLayout w:type="fixed"/>
        </w:tblPrEx>
        <w:trPr>
          <w:jc w:val="center"/>
        </w:trPr>
        <w:tc>
          <w:tcPr>
            <w:tcW w:w="668" w:type="dxa"/>
            <w:vAlign w:val="center"/>
          </w:tcPr>
          <w:p w14:paraId="10133D73">
            <w:pPr>
              <w:spacing w:line="540" w:lineRule="exact"/>
              <w:jc w:val="center"/>
              <w:rPr>
                <w:rFonts w:ascii="仿宋_GB2312" w:eastAsia="仿宋_GB2312"/>
                <w:sz w:val="32"/>
                <w:szCs w:val="32"/>
              </w:rPr>
            </w:pPr>
            <w:r>
              <w:rPr>
                <w:rFonts w:hint="eastAsia" w:ascii="仿宋_GB2312" w:eastAsia="仿宋_GB2312"/>
                <w:sz w:val="32"/>
                <w:szCs w:val="32"/>
              </w:rPr>
              <w:t>2</w:t>
            </w:r>
          </w:p>
        </w:tc>
        <w:tc>
          <w:tcPr>
            <w:tcW w:w="7645" w:type="dxa"/>
            <w:gridSpan w:val="2"/>
          </w:tcPr>
          <w:p w14:paraId="4D290CF0">
            <w:pPr>
              <w:spacing w:line="540" w:lineRule="exact"/>
              <w:jc w:val="left"/>
              <w:rPr>
                <w:rFonts w:ascii="仿宋_GB2312" w:eastAsia="仿宋_GB2312"/>
                <w:sz w:val="32"/>
                <w:szCs w:val="32"/>
              </w:rPr>
            </w:pPr>
            <w:r>
              <w:rPr>
                <w:rFonts w:hint="eastAsia" w:ascii="仿宋_GB2312" w:eastAsia="仿宋_GB2312"/>
                <w:sz w:val="32"/>
                <w:szCs w:val="32"/>
              </w:rPr>
              <w:t>不得同时提供两套或两套以上的投标方案</w:t>
            </w:r>
          </w:p>
        </w:tc>
      </w:tr>
      <w:tr w14:paraId="7F643A0B">
        <w:tblPrEx>
          <w:tblLayout w:type="fixed"/>
        </w:tblPrEx>
        <w:trPr>
          <w:jc w:val="center"/>
        </w:trPr>
        <w:tc>
          <w:tcPr>
            <w:tcW w:w="668" w:type="dxa"/>
            <w:vAlign w:val="center"/>
          </w:tcPr>
          <w:p w14:paraId="13F71F6C">
            <w:pPr>
              <w:spacing w:line="540" w:lineRule="exact"/>
              <w:jc w:val="center"/>
              <w:rPr>
                <w:rFonts w:ascii="仿宋_GB2312" w:eastAsia="仿宋_GB2312"/>
                <w:sz w:val="32"/>
                <w:szCs w:val="32"/>
              </w:rPr>
            </w:pPr>
            <w:r>
              <w:rPr>
                <w:rFonts w:hint="eastAsia" w:ascii="仿宋_GB2312" w:eastAsia="仿宋_GB2312"/>
                <w:sz w:val="32"/>
                <w:szCs w:val="32"/>
              </w:rPr>
              <w:t>3</w:t>
            </w:r>
          </w:p>
        </w:tc>
        <w:tc>
          <w:tcPr>
            <w:tcW w:w="7645" w:type="dxa"/>
            <w:gridSpan w:val="2"/>
          </w:tcPr>
          <w:p w14:paraId="0A7D2E41">
            <w:pPr>
              <w:spacing w:line="540" w:lineRule="exact"/>
              <w:jc w:val="left"/>
              <w:rPr>
                <w:rFonts w:ascii="仿宋_GB2312" w:eastAsia="仿宋_GB2312"/>
                <w:sz w:val="32"/>
                <w:szCs w:val="32"/>
              </w:rPr>
            </w:pPr>
            <w:r>
              <w:rPr>
                <w:rFonts w:hint="eastAsia" w:ascii="仿宋_GB2312" w:eastAsia="仿宋_GB2312"/>
                <w:sz w:val="32"/>
                <w:szCs w:val="32"/>
              </w:rPr>
              <w:t>投标总价或分项报价符合招标文件报价要求的</w:t>
            </w:r>
          </w:p>
        </w:tc>
      </w:tr>
      <w:tr w14:paraId="200F1A39">
        <w:tblPrEx>
          <w:tblLayout w:type="fixed"/>
        </w:tblPrEx>
        <w:trPr>
          <w:jc w:val="center"/>
        </w:trPr>
        <w:tc>
          <w:tcPr>
            <w:tcW w:w="668" w:type="dxa"/>
            <w:vAlign w:val="center"/>
          </w:tcPr>
          <w:p w14:paraId="4313AE4F">
            <w:pPr>
              <w:spacing w:line="540" w:lineRule="exact"/>
              <w:jc w:val="center"/>
              <w:rPr>
                <w:rFonts w:ascii="仿宋_GB2312" w:eastAsia="仿宋_GB2312"/>
                <w:sz w:val="32"/>
                <w:szCs w:val="32"/>
              </w:rPr>
            </w:pPr>
            <w:r>
              <w:rPr>
                <w:rFonts w:hint="eastAsia" w:ascii="仿宋_GB2312" w:eastAsia="仿宋_GB2312"/>
                <w:sz w:val="32"/>
                <w:szCs w:val="32"/>
              </w:rPr>
              <w:t>4</w:t>
            </w:r>
          </w:p>
        </w:tc>
        <w:tc>
          <w:tcPr>
            <w:tcW w:w="7645" w:type="dxa"/>
            <w:gridSpan w:val="2"/>
          </w:tcPr>
          <w:p w14:paraId="6512DF58">
            <w:pPr>
              <w:spacing w:line="540" w:lineRule="exact"/>
              <w:jc w:val="left"/>
              <w:rPr>
                <w:rFonts w:ascii="仿宋_GB2312" w:eastAsia="仿宋_GB2312"/>
                <w:sz w:val="32"/>
                <w:szCs w:val="32"/>
              </w:rPr>
            </w:pPr>
            <w:r>
              <w:rPr>
                <w:rFonts w:hint="eastAsia" w:ascii="仿宋_GB2312" w:eastAsia="仿宋_GB2312"/>
                <w:sz w:val="32"/>
                <w:szCs w:val="32"/>
              </w:rPr>
              <w:t>投标服务期/交货期符合招标文件要求的</w:t>
            </w:r>
          </w:p>
        </w:tc>
      </w:tr>
      <w:tr w14:paraId="497347F0">
        <w:tblPrEx>
          <w:tblLayout w:type="fixed"/>
        </w:tblPrEx>
        <w:trPr>
          <w:jc w:val="center"/>
        </w:trPr>
        <w:tc>
          <w:tcPr>
            <w:tcW w:w="668" w:type="dxa"/>
            <w:vAlign w:val="center"/>
          </w:tcPr>
          <w:p w14:paraId="7E6DBBB8">
            <w:pPr>
              <w:spacing w:line="540" w:lineRule="exact"/>
              <w:jc w:val="center"/>
              <w:rPr>
                <w:rFonts w:ascii="仿宋_GB2312" w:eastAsia="仿宋_GB2312"/>
                <w:sz w:val="32"/>
                <w:szCs w:val="32"/>
              </w:rPr>
            </w:pPr>
            <w:r>
              <w:rPr>
                <w:rFonts w:hint="eastAsia" w:ascii="仿宋_GB2312" w:eastAsia="仿宋_GB2312"/>
                <w:sz w:val="32"/>
                <w:szCs w:val="32"/>
              </w:rPr>
              <w:t>5</w:t>
            </w:r>
          </w:p>
        </w:tc>
        <w:tc>
          <w:tcPr>
            <w:tcW w:w="7645" w:type="dxa"/>
            <w:gridSpan w:val="2"/>
          </w:tcPr>
          <w:p w14:paraId="52C778D4">
            <w:pPr>
              <w:spacing w:line="540" w:lineRule="exact"/>
              <w:jc w:val="left"/>
              <w:rPr>
                <w:rFonts w:ascii="仿宋_GB2312" w:eastAsia="仿宋_GB2312"/>
                <w:sz w:val="32"/>
                <w:szCs w:val="32"/>
              </w:rPr>
            </w:pPr>
            <w:r>
              <w:rPr>
                <w:rFonts w:hint="eastAsia" w:ascii="仿宋_GB2312" w:eastAsia="仿宋_GB2312"/>
                <w:sz w:val="32"/>
                <w:szCs w:val="32"/>
              </w:rPr>
              <w:t>法律、法规规定的其他情形</w:t>
            </w:r>
          </w:p>
        </w:tc>
      </w:tr>
    </w:tbl>
    <w:p w14:paraId="669BA3BE">
      <w:pPr>
        <w:pStyle w:val="3"/>
      </w:pPr>
      <w:r>
        <w:rPr>
          <w:rFonts w:hint="eastAsia"/>
        </w:rPr>
        <w:t>评标信息</w:t>
      </w:r>
    </w:p>
    <w:p w14:paraId="7BE59CE4">
      <w:pPr>
        <w:spacing w:line="540" w:lineRule="exact"/>
        <w:ind w:firstLine="643" w:firstLineChars="200"/>
        <w:rPr>
          <w:rFonts w:ascii="仿宋_GB2312" w:eastAsia="仿宋_GB2312"/>
          <w:sz w:val="32"/>
          <w:szCs w:val="32"/>
        </w:rPr>
      </w:pPr>
      <w:r>
        <w:rPr>
          <w:rFonts w:hint="eastAsia" w:ascii="仿宋_GB2312" w:eastAsia="仿宋_GB2312"/>
          <w:b/>
          <w:sz w:val="32"/>
          <w:szCs w:val="32"/>
        </w:rPr>
        <w:t>评标方法：综合评分法（新价格分算法）</w:t>
      </w:r>
      <w:r>
        <w:rPr>
          <w:rFonts w:hint="eastAsia" w:ascii="仿宋_GB2312" w:eastAsia="仿宋_GB2312"/>
          <w:sz w:val="32"/>
          <w:szCs w:val="32"/>
        </w:rPr>
        <w:t xml:space="preserve"> 综合评分法，是指投标文件满足招标文件全部实质性要求，且按照评审因素的量化指标评审得分最高的投标人为中标候选人的评标方法。 </w:t>
      </w:r>
    </w:p>
    <w:p w14:paraId="32C0D41C">
      <w:pPr>
        <w:spacing w:line="540" w:lineRule="exact"/>
        <w:ind w:firstLine="640" w:firstLineChars="200"/>
        <w:rPr>
          <w:rFonts w:ascii="仿宋_GB2312" w:eastAsia="仿宋_GB2312"/>
          <w:sz w:val="32"/>
          <w:szCs w:val="32"/>
        </w:rPr>
      </w:pPr>
      <w:r>
        <w:rPr>
          <w:rFonts w:hint="eastAsia" w:ascii="仿宋_GB2312" w:eastAsia="仿宋_GB2312"/>
          <w:sz w:val="32"/>
          <w:szCs w:val="32"/>
        </w:rPr>
        <w:t>价格分计算方法：</w:t>
      </w:r>
    </w:p>
    <w:p w14:paraId="2A9604A0">
      <w:pPr>
        <w:spacing w:line="540" w:lineRule="exact"/>
        <w:ind w:firstLine="640" w:firstLineChars="200"/>
        <w:rPr>
          <w:rFonts w:ascii="仿宋_GB2312" w:eastAsia="仿宋_GB2312"/>
          <w:sz w:val="32"/>
          <w:szCs w:val="32"/>
        </w:rPr>
      </w:pPr>
      <w:r>
        <w:rPr>
          <w:rFonts w:hint="eastAsia" w:ascii="仿宋_GB2312" w:eastAsia="仿宋_GB2312"/>
          <w:sz w:val="32"/>
          <w:szCs w:val="32"/>
        </w:rPr>
        <w:t>采用低价优先法计算，即满足招标文件要求且投标价格最低的投标报价为评标基准价，其价格分为满分。其他投标人的价格分统一按照下列公式计算：</w:t>
      </w:r>
    </w:p>
    <w:p w14:paraId="583C286B">
      <w:pPr>
        <w:spacing w:line="540" w:lineRule="exact"/>
        <w:ind w:firstLine="640" w:firstLineChars="200"/>
        <w:rPr>
          <w:rFonts w:ascii="仿宋_GB2312" w:eastAsia="仿宋_GB2312"/>
          <w:sz w:val="32"/>
          <w:szCs w:val="32"/>
        </w:rPr>
      </w:pPr>
      <w:r>
        <w:rPr>
          <w:rFonts w:hint="eastAsia" w:ascii="仿宋_GB2312" w:eastAsia="仿宋_GB2312"/>
          <w:sz w:val="32"/>
          <w:szCs w:val="32"/>
        </w:rPr>
        <w:t>投标报价得分=(评标基准价／投标报价)×100</w:t>
      </w:r>
    </w:p>
    <w:p w14:paraId="16E776DA">
      <w:pPr>
        <w:spacing w:line="540" w:lineRule="exact"/>
        <w:ind w:firstLine="640" w:firstLineChars="200"/>
        <w:rPr>
          <w:rFonts w:ascii="仿宋_GB2312" w:eastAsia="仿宋_GB2312"/>
          <w:sz w:val="32"/>
          <w:szCs w:val="32"/>
        </w:rPr>
      </w:pPr>
      <w:r>
        <w:rPr>
          <w:rFonts w:hint="eastAsia" w:ascii="仿宋_GB2312" w:eastAsia="仿宋_GB2312"/>
          <w:sz w:val="32"/>
          <w:szCs w:val="32"/>
        </w:rPr>
        <w:t>评标总得分＝F1×A1＋F2×A2＋……＋Fn×An</w:t>
      </w:r>
    </w:p>
    <w:p w14:paraId="48C744D7">
      <w:pPr>
        <w:spacing w:line="540" w:lineRule="exact"/>
        <w:ind w:firstLine="640" w:firstLineChars="200"/>
        <w:rPr>
          <w:rFonts w:ascii="仿宋_GB2312" w:eastAsia="仿宋_GB2312"/>
          <w:sz w:val="32"/>
          <w:szCs w:val="32"/>
        </w:rPr>
      </w:pPr>
      <w:r>
        <w:rPr>
          <w:rFonts w:hint="eastAsia" w:ascii="仿宋_GB2312" w:eastAsia="仿宋_GB2312"/>
          <w:sz w:val="32"/>
          <w:szCs w:val="32"/>
        </w:rPr>
        <w:t>F1、F2……Fn 分别为各项评审因素的得分；</w:t>
      </w:r>
    </w:p>
    <w:p w14:paraId="1FA8B610">
      <w:pPr>
        <w:spacing w:line="540" w:lineRule="exact"/>
        <w:ind w:firstLine="640" w:firstLineChars="200"/>
        <w:rPr>
          <w:rFonts w:ascii="仿宋_GB2312" w:eastAsia="仿宋_GB2312"/>
          <w:sz w:val="32"/>
          <w:szCs w:val="32"/>
        </w:rPr>
      </w:pPr>
      <w:r>
        <w:rPr>
          <w:rFonts w:hint="eastAsia" w:ascii="仿宋_GB2312" w:eastAsia="仿宋_GB2312"/>
          <w:sz w:val="32"/>
          <w:szCs w:val="32"/>
        </w:rPr>
        <w:t>A1、A2、……An 分别为各项评审因素所占的权重(A1＋A2＋……＋An＝1)。</w:t>
      </w:r>
    </w:p>
    <w:p w14:paraId="265D4201">
      <w:pPr>
        <w:spacing w:line="540" w:lineRule="exact"/>
        <w:ind w:firstLine="640" w:firstLineChars="200"/>
        <w:rPr>
          <w:rFonts w:ascii="仿宋_GB2312" w:eastAsia="仿宋_GB2312"/>
          <w:sz w:val="32"/>
          <w:szCs w:val="32"/>
        </w:rPr>
      </w:pPr>
      <w:r>
        <w:rPr>
          <w:rFonts w:hint="eastAsia" w:ascii="仿宋_GB2312" w:eastAsia="仿宋_GB2312"/>
          <w:sz w:val="32"/>
          <w:szCs w:val="32"/>
        </w:rPr>
        <w:t>评标过程中，不得去掉报价中的最高报价和最低报价。</w:t>
      </w:r>
    </w:p>
    <w:p w14:paraId="62B9F10F">
      <w:pPr>
        <w:spacing w:line="540" w:lineRule="exact"/>
        <w:ind w:firstLine="640" w:firstLineChars="200"/>
        <w:rPr>
          <w:rFonts w:ascii="仿宋_GB2312" w:eastAsia="仿宋_GB2312"/>
          <w:sz w:val="32"/>
          <w:szCs w:val="32"/>
        </w:rPr>
      </w:pPr>
      <w:r>
        <w:rPr>
          <w:rFonts w:hint="eastAsia" w:ascii="仿宋_GB2312" w:eastAsia="仿宋_GB2312"/>
          <w:sz w:val="32"/>
          <w:szCs w:val="32"/>
        </w:rPr>
        <w:t>此方法适用于货物类、服务类、工程类项目。</w:t>
      </w:r>
    </w:p>
    <w:tbl>
      <w:tblPr>
        <w:tblStyle w:val="24"/>
        <w:tblW w:w="949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550"/>
        <w:gridCol w:w="1647"/>
        <w:gridCol w:w="791"/>
        <w:gridCol w:w="5529"/>
      </w:tblGrid>
      <w:tr w14:paraId="2434FAC7">
        <w:tblPrEx>
          <w:tblLayout w:type="fixed"/>
        </w:tblPrEx>
        <w:tc>
          <w:tcPr>
            <w:tcW w:w="981"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14:paraId="46954449">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序号</w:t>
            </w:r>
          </w:p>
        </w:tc>
        <w:tc>
          <w:tcPr>
            <w:tcW w:w="2988" w:type="dxa"/>
            <w:gridSpan w:val="3"/>
            <w:tcBorders>
              <w:top w:val="single" w:color="auto" w:sz="4" w:space="0"/>
              <w:left w:val="single" w:color="auto" w:sz="4" w:space="0"/>
              <w:bottom w:val="single" w:color="auto" w:sz="4" w:space="0"/>
              <w:right w:val="single" w:color="auto" w:sz="4" w:space="0"/>
            </w:tcBorders>
            <w:shd w:val="clear" w:color="auto" w:fill="DBE5F1" w:themeFill="accent1" w:themeFillTint="33"/>
          </w:tcPr>
          <w:p w14:paraId="676974FE">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评分项</w:t>
            </w:r>
          </w:p>
        </w:tc>
        <w:tc>
          <w:tcPr>
            <w:tcW w:w="5529"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14:paraId="53BA1142">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权重</w:t>
            </w:r>
          </w:p>
        </w:tc>
      </w:tr>
      <w:tr w14:paraId="58754BEC">
        <w:tblPrEx>
          <w:tblLayout w:type="fixed"/>
        </w:tblPrEx>
        <w:tc>
          <w:tcPr>
            <w:tcW w:w="981"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14:paraId="1F856A0E">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1</w:t>
            </w:r>
          </w:p>
        </w:tc>
        <w:tc>
          <w:tcPr>
            <w:tcW w:w="2988" w:type="dxa"/>
            <w:gridSpan w:val="3"/>
            <w:tcBorders>
              <w:top w:val="single" w:color="auto" w:sz="4" w:space="0"/>
              <w:left w:val="single" w:color="auto" w:sz="4" w:space="0"/>
              <w:bottom w:val="single" w:color="auto" w:sz="4" w:space="0"/>
              <w:right w:val="single" w:color="auto" w:sz="4" w:space="0"/>
            </w:tcBorders>
            <w:shd w:val="clear" w:color="auto" w:fill="DBE5F1" w:themeFill="accent1" w:themeFillTint="33"/>
          </w:tcPr>
          <w:p w14:paraId="5C4252AE">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价格</w:t>
            </w:r>
          </w:p>
        </w:tc>
        <w:tc>
          <w:tcPr>
            <w:tcW w:w="5529"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14:paraId="776AD4DE">
            <w:pPr>
              <w:jc w:val="center"/>
              <w:rPr>
                <w:rFonts w:hint="eastAsia" w:ascii="仿宋_GB2312" w:hAnsi="宋体" w:eastAsia="仿宋_GB2312" w:cs="宋体"/>
                <w:b/>
                <w:sz w:val="28"/>
                <w:szCs w:val="28"/>
              </w:rPr>
            </w:pPr>
            <w:r>
              <w:rPr>
                <w:rFonts w:ascii="仿宋_GB2312" w:hAnsi="宋体" w:eastAsia="仿宋_GB2312" w:cs="宋体"/>
                <w:b/>
                <w:sz w:val="28"/>
                <w:szCs w:val="28"/>
              </w:rPr>
              <w:t>2</w:t>
            </w:r>
            <w:r>
              <w:rPr>
                <w:rFonts w:hint="eastAsia" w:ascii="仿宋_GB2312" w:hAnsi="宋体" w:eastAsia="仿宋_GB2312" w:cs="宋体"/>
                <w:b/>
                <w:sz w:val="28"/>
                <w:szCs w:val="28"/>
              </w:rPr>
              <w:t>0</w:t>
            </w:r>
          </w:p>
        </w:tc>
      </w:tr>
      <w:tr w14:paraId="1066FCCE">
        <w:tblPrEx>
          <w:tblLayout w:type="fixed"/>
        </w:tblPrEx>
        <w:trPr>
          <w:trHeight w:val="90" w:hRule="atLeast"/>
        </w:trPr>
        <w:tc>
          <w:tcPr>
            <w:tcW w:w="981" w:type="dxa"/>
            <w:vMerge w:val="restart"/>
            <w:tcBorders>
              <w:top w:val="single" w:color="auto" w:sz="4" w:space="0"/>
              <w:left w:val="single" w:color="auto" w:sz="4" w:space="0"/>
              <w:right w:val="single" w:color="auto" w:sz="4" w:space="0"/>
            </w:tcBorders>
          </w:tcPr>
          <w:p w14:paraId="26EE7F91">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2</w:t>
            </w:r>
          </w:p>
        </w:tc>
        <w:tc>
          <w:tcPr>
            <w:tcW w:w="2988" w:type="dxa"/>
            <w:gridSpan w:val="3"/>
            <w:tcBorders>
              <w:top w:val="single" w:color="auto" w:sz="4" w:space="0"/>
              <w:left w:val="single" w:color="auto" w:sz="4" w:space="0"/>
              <w:bottom w:val="single" w:color="auto" w:sz="4" w:space="0"/>
              <w:right w:val="single" w:color="auto" w:sz="4" w:space="0"/>
            </w:tcBorders>
            <w:shd w:val="clear" w:color="auto" w:fill="DBE5F1" w:themeFill="accent1" w:themeFillTint="33"/>
          </w:tcPr>
          <w:p w14:paraId="26A0A78F">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技术</w:t>
            </w:r>
          </w:p>
        </w:tc>
        <w:tc>
          <w:tcPr>
            <w:tcW w:w="5529"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14:paraId="7C48D02B">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50</w:t>
            </w:r>
          </w:p>
        </w:tc>
      </w:tr>
      <w:tr w14:paraId="578E5B80">
        <w:tblPrEx>
          <w:tblLayout w:type="fixed"/>
        </w:tblPrEx>
        <w:trPr>
          <w:trHeight w:val="63" w:hRule="atLeast"/>
        </w:trPr>
        <w:tc>
          <w:tcPr>
            <w:tcW w:w="981" w:type="dxa"/>
            <w:vMerge w:val="continue"/>
            <w:tcBorders>
              <w:left w:val="single" w:color="auto" w:sz="4" w:space="0"/>
              <w:right w:val="single" w:color="auto" w:sz="4" w:space="0"/>
            </w:tcBorders>
          </w:tcPr>
          <w:p w14:paraId="59FD35FD">
            <w:pPr>
              <w:jc w:val="center"/>
              <w:rPr>
                <w:rFonts w:hint="eastAsia"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620D0BDE">
            <w:pPr>
              <w:jc w:val="center"/>
              <w:rPr>
                <w:rFonts w:hint="eastAsia" w:ascii="仿宋_GB2312" w:hAnsi="宋体" w:eastAsia="仿宋_GB2312" w:cs="宋体"/>
                <w:sz w:val="28"/>
                <w:szCs w:val="28"/>
              </w:rPr>
            </w:pPr>
            <w:r>
              <w:rPr>
                <w:rFonts w:hint="eastAsia" w:ascii="仿宋_GB2312" w:hAnsi="宋体" w:eastAsia="仿宋_GB2312" w:cs="宋体"/>
                <w:sz w:val="28"/>
                <w:szCs w:val="28"/>
              </w:rPr>
              <w:t>序号</w:t>
            </w:r>
          </w:p>
        </w:tc>
        <w:tc>
          <w:tcPr>
            <w:tcW w:w="1647" w:type="dxa"/>
            <w:tcBorders>
              <w:top w:val="single" w:color="auto" w:sz="4" w:space="0"/>
              <w:left w:val="single" w:color="auto" w:sz="4" w:space="0"/>
              <w:bottom w:val="single" w:color="auto" w:sz="4" w:space="0"/>
              <w:right w:val="single" w:color="auto" w:sz="4" w:space="0"/>
            </w:tcBorders>
            <w:vAlign w:val="center"/>
          </w:tcPr>
          <w:p w14:paraId="298D1F23">
            <w:pPr>
              <w:jc w:val="center"/>
              <w:rPr>
                <w:rFonts w:hint="eastAsia" w:ascii="仿宋_GB2312" w:hAnsi="宋体" w:eastAsia="仿宋_GB2312" w:cs="宋体"/>
                <w:sz w:val="28"/>
                <w:szCs w:val="28"/>
              </w:rPr>
            </w:pPr>
            <w:r>
              <w:rPr>
                <w:rFonts w:hint="eastAsia" w:ascii="仿宋_GB2312" w:hAnsi="宋体" w:eastAsia="仿宋_GB2312" w:cs="宋体"/>
                <w:sz w:val="28"/>
                <w:szCs w:val="28"/>
              </w:rPr>
              <w:t>内容</w:t>
            </w:r>
          </w:p>
        </w:tc>
        <w:tc>
          <w:tcPr>
            <w:tcW w:w="791" w:type="dxa"/>
            <w:tcBorders>
              <w:top w:val="single" w:color="auto" w:sz="4" w:space="0"/>
              <w:left w:val="single" w:color="auto" w:sz="4" w:space="0"/>
              <w:bottom w:val="single" w:color="auto" w:sz="4" w:space="0"/>
              <w:right w:val="single" w:color="auto" w:sz="4" w:space="0"/>
            </w:tcBorders>
            <w:vAlign w:val="center"/>
          </w:tcPr>
          <w:p w14:paraId="25F0533D">
            <w:pPr>
              <w:jc w:val="center"/>
              <w:rPr>
                <w:rFonts w:hint="eastAsia" w:ascii="仿宋_GB2312" w:hAnsi="宋体" w:eastAsia="仿宋_GB2312" w:cs="宋体"/>
                <w:sz w:val="28"/>
                <w:szCs w:val="28"/>
              </w:rPr>
            </w:pPr>
            <w:r>
              <w:rPr>
                <w:rFonts w:hint="eastAsia" w:ascii="仿宋_GB2312" w:hAnsi="宋体" w:eastAsia="仿宋_GB2312" w:cs="宋体"/>
                <w:sz w:val="28"/>
                <w:szCs w:val="28"/>
              </w:rPr>
              <w:t>权重</w:t>
            </w:r>
          </w:p>
        </w:tc>
        <w:tc>
          <w:tcPr>
            <w:tcW w:w="5529" w:type="dxa"/>
            <w:tcBorders>
              <w:top w:val="single" w:color="auto" w:sz="4" w:space="0"/>
              <w:left w:val="single" w:color="auto" w:sz="4" w:space="0"/>
              <w:bottom w:val="single" w:color="auto" w:sz="4" w:space="0"/>
              <w:right w:val="single" w:color="auto" w:sz="4" w:space="0"/>
            </w:tcBorders>
            <w:vAlign w:val="center"/>
          </w:tcPr>
          <w:p w14:paraId="0FB6169E">
            <w:pPr>
              <w:jc w:val="center"/>
              <w:rPr>
                <w:rFonts w:hint="eastAsia" w:ascii="仿宋_GB2312" w:hAnsi="宋体" w:eastAsia="仿宋_GB2312" w:cs="宋体"/>
                <w:sz w:val="28"/>
                <w:szCs w:val="28"/>
              </w:rPr>
            </w:pPr>
            <w:r>
              <w:rPr>
                <w:rFonts w:hint="eastAsia" w:ascii="仿宋_GB2312" w:hAnsi="宋体" w:eastAsia="仿宋_GB2312" w:cs="宋体"/>
                <w:sz w:val="28"/>
                <w:szCs w:val="28"/>
              </w:rPr>
              <w:t>评分准则</w:t>
            </w:r>
          </w:p>
        </w:tc>
      </w:tr>
      <w:tr w14:paraId="14EDDF09">
        <w:tblPrEx>
          <w:tblLayout w:type="fixed"/>
        </w:tblPrEx>
        <w:trPr>
          <w:trHeight w:val="63" w:hRule="atLeast"/>
        </w:trPr>
        <w:tc>
          <w:tcPr>
            <w:tcW w:w="981" w:type="dxa"/>
            <w:vMerge w:val="continue"/>
            <w:tcBorders>
              <w:left w:val="single" w:color="auto" w:sz="4" w:space="0"/>
              <w:right w:val="single" w:color="auto" w:sz="4" w:space="0"/>
            </w:tcBorders>
            <w:vAlign w:val="center"/>
          </w:tcPr>
          <w:p w14:paraId="0B592EDF">
            <w:pPr>
              <w:rPr>
                <w:rFonts w:hint="eastAsia"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7767CDAA">
            <w:pPr>
              <w:jc w:val="center"/>
              <w:rPr>
                <w:rFonts w:hint="eastAsia" w:ascii="仿宋_GB2312" w:hAnsi="宋体" w:eastAsia="仿宋_GB2312" w:cs="宋体"/>
                <w:sz w:val="28"/>
                <w:szCs w:val="28"/>
              </w:rPr>
            </w:pPr>
            <w:r>
              <w:rPr>
                <w:rFonts w:ascii="仿宋_GB2312" w:hAnsi="宋体" w:eastAsia="仿宋_GB2312" w:cs="宋体"/>
                <w:sz w:val="28"/>
                <w:szCs w:val="28"/>
              </w:rPr>
              <w:t>1</w:t>
            </w:r>
          </w:p>
        </w:tc>
        <w:tc>
          <w:tcPr>
            <w:tcW w:w="1647" w:type="dxa"/>
            <w:tcBorders>
              <w:top w:val="single" w:color="auto" w:sz="4" w:space="0"/>
              <w:left w:val="single" w:color="auto" w:sz="4" w:space="0"/>
              <w:bottom w:val="single" w:color="auto" w:sz="4" w:space="0"/>
              <w:right w:val="single" w:color="auto" w:sz="4" w:space="0"/>
            </w:tcBorders>
            <w:vAlign w:val="center"/>
          </w:tcPr>
          <w:p w14:paraId="6449FCD9">
            <w:pPr>
              <w:jc w:val="center"/>
              <w:rPr>
                <w:rFonts w:ascii="仿宋_GB2312" w:eastAsia="仿宋_GB2312"/>
                <w:sz w:val="28"/>
                <w:szCs w:val="28"/>
              </w:rPr>
            </w:pPr>
            <w:r>
              <w:rPr>
                <w:rFonts w:hint="eastAsia" w:ascii="仿宋_GB2312" w:eastAsia="仿宋_GB2312"/>
                <w:sz w:val="28"/>
                <w:szCs w:val="28"/>
              </w:rPr>
              <w:t>实施方案</w:t>
            </w:r>
          </w:p>
        </w:tc>
        <w:tc>
          <w:tcPr>
            <w:tcW w:w="791" w:type="dxa"/>
            <w:tcBorders>
              <w:top w:val="single" w:color="auto" w:sz="4" w:space="0"/>
              <w:left w:val="single" w:color="auto" w:sz="4" w:space="0"/>
              <w:bottom w:val="single" w:color="auto" w:sz="4" w:space="0"/>
              <w:right w:val="single" w:color="auto" w:sz="4" w:space="0"/>
            </w:tcBorders>
            <w:vAlign w:val="center"/>
          </w:tcPr>
          <w:p w14:paraId="0576080C">
            <w:pPr>
              <w:ind w:left="-50" w:right="-51"/>
              <w:jc w:val="center"/>
              <w:rPr>
                <w:rFonts w:ascii="仿宋_GB2312" w:eastAsia="仿宋_GB2312"/>
                <w:sz w:val="28"/>
                <w:szCs w:val="28"/>
              </w:rPr>
            </w:pPr>
            <w:r>
              <w:rPr>
                <w:rFonts w:hint="eastAsia" w:ascii="仿宋_GB2312" w:eastAsia="仿宋_GB2312"/>
                <w:sz w:val="28"/>
                <w:szCs w:val="28"/>
              </w:rPr>
              <w:t>20</w:t>
            </w:r>
          </w:p>
        </w:tc>
        <w:tc>
          <w:tcPr>
            <w:tcW w:w="5529" w:type="dxa"/>
            <w:tcBorders>
              <w:top w:val="single" w:color="auto" w:sz="4" w:space="0"/>
              <w:left w:val="single" w:color="auto" w:sz="4" w:space="0"/>
              <w:bottom w:val="single" w:color="auto" w:sz="4" w:space="0"/>
              <w:right w:val="single" w:color="auto" w:sz="4" w:space="0"/>
            </w:tcBorders>
            <w:vAlign w:val="center"/>
          </w:tcPr>
          <w:p w14:paraId="1C1F6777">
            <w:pPr>
              <w:ind w:firstLine="562" w:firstLineChars="200"/>
              <w:rPr>
                <w:rFonts w:hint="eastAsia" w:ascii="仿宋_GB2312" w:hAnsi="宋体" w:eastAsia="仿宋_GB2312" w:cs="宋体"/>
                <w:b/>
                <w:bCs/>
                <w:sz w:val="28"/>
                <w:szCs w:val="28"/>
              </w:rPr>
            </w:pPr>
            <w:r>
              <w:rPr>
                <w:rFonts w:hint="eastAsia" w:ascii="仿宋_GB2312" w:hAnsi="宋体" w:eastAsia="仿宋_GB2312" w:cs="宋体"/>
                <w:b/>
                <w:bCs/>
                <w:sz w:val="28"/>
                <w:szCs w:val="28"/>
              </w:rPr>
              <w:t>（一）评审内容：</w:t>
            </w:r>
          </w:p>
          <w:p w14:paraId="7BD0EF0F">
            <w:pPr>
              <w:tabs>
                <w:tab w:val="left" w:pos="2880"/>
              </w:tabs>
              <w:spacing w:line="0" w:lineRule="atLeast"/>
              <w:ind w:left="46" w:leftChars="19" w:firstLine="560" w:firstLineChars="200"/>
              <w:rPr>
                <w:rFonts w:hint="eastAsia" w:ascii="仿宋_GB2312" w:hAnsi="宋体" w:eastAsia="仿宋_GB2312" w:cs="宋体"/>
                <w:sz w:val="28"/>
                <w:szCs w:val="28"/>
              </w:rPr>
            </w:pPr>
            <w:r>
              <w:rPr>
                <w:rFonts w:ascii="仿宋_GB2312" w:hAnsi="宋体" w:eastAsia="仿宋_GB2312" w:cs="宋体"/>
                <w:sz w:val="28"/>
                <w:szCs w:val="28"/>
              </w:rPr>
              <w:t>1</w:t>
            </w:r>
            <w:r>
              <w:rPr>
                <w:rFonts w:hint="eastAsia" w:ascii="仿宋_GB2312" w:hAnsi="宋体" w:eastAsia="仿宋_GB2312" w:cs="宋体"/>
                <w:sz w:val="28"/>
                <w:szCs w:val="28"/>
              </w:rPr>
              <w:t>、实施方案包含前期调研；</w:t>
            </w:r>
          </w:p>
          <w:p w14:paraId="19700072">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2、实施方案包含需求分析；</w:t>
            </w:r>
          </w:p>
          <w:p w14:paraId="78CDE1C3">
            <w:pPr>
              <w:tabs>
                <w:tab w:val="left" w:pos="2880"/>
              </w:tabs>
              <w:spacing w:line="0" w:lineRule="atLeast"/>
              <w:ind w:left="46" w:leftChars="19" w:firstLine="560" w:firstLineChars="200"/>
              <w:rPr>
                <w:rFonts w:hint="eastAsia" w:ascii="仿宋_GB2312" w:hAnsi="宋体" w:eastAsia="仿宋_GB2312" w:cs="宋体"/>
                <w:sz w:val="28"/>
                <w:szCs w:val="28"/>
              </w:rPr>
            </w:pPr>
            <w:r>
              <w:rPr>
                <w:rFonts w:ascii="仿宋_GB2312" w:hAnsi="宋体" w:eastAsia="仿宋_GB2312" w:cs="宋体"/>
                <w:sz w:val="28"/>
                <w:szCs w:val="28"/>
              </w:rPr>
              <w:t>3</w:t>
            </w:r>
            <w:r>
              <w:rPr>
                <w:rFonts w:hint="eastAsia" w:ascii="仿宋_GB2312" w:hAnsi="宋体" w:eastAsia="仿宋_GB2312" w:cs="宋体"/>
                <w:sz w:val="28"/>
                <w:szCs w:val="28"/>
              </w:rPr>
              <w:t>、实施方案包含编制思路、工作流程。</w:t>
            </w:r>
          </w:p>
          <w:p w14:paraId="0D5AF991">
            <w:pPr>
              <w:ind w:firstLine="562" w:firstLineChars="200"/>
              <w:rPr>
                <w:rFonts w:hint="eastAsia" w:ascii="仿宋_GB2312" w:hAnsi="宋体" w:eastAsia="仿宋_GB2312" w:cs="宋体"/>
                <w:b/>
                <w:bCs/>
                <w:sz w:val="28"/>
                <w:szCs w:val="28"/>
              </w:rPr>
            </w:pPr>
            <w:r>
              <w:rPr>
                <w:rFonts w:hint="eastAsia" w:ascii="仿宋_GB2312" w:hAnsi="宋体" w:eastAsia="仿宋_GB2312" w:cs="宋体"/>
                <w:b/>
                <w:bCs/>
                <w:sz w:val="28"/>
                <w:szCs w:val="28"/>
              </w:rPr>
              <w:t>（二）评分标准：</w:t>
            </w:r>
          </w:p>
          <w:p w14:paraId="7624EFBD">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投标人提供的项目实施方案包含以上</w:t>
            </w:r>
            <w:r>
              <w:rPr>
                <w:rFonts w:ascii="仿宋_GB2312" w:hAnsi="宋体" w:eastAsia="仿宋_GB2312" w:cs="宋体"/>
                <w:sz w:val="28"/>
                <w:szCs w:val="28"/>
              </w:rPr>
              <w:t>3</w:t>
            </w:r>
            <w:r>
              <w:rPr>
                <w:rFonts w:hint="eastAsia" w:ascii="仿宋_GB2312" w:hAnsi="宋体" w:eastAsia="仿宋_GB2312" w:cs="宋体"/>
                <w:sz w:val="28"/>
                <w:szCs w:val="28"/>
              </w:rPr>
              <w:t>点且符合项目需求的得10分。</w:t>
            </w:r>
          </w:p>
          <w:p w14:paraId="020E0B1E">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投标人提供的项目实施方案包含以上</w:t>
            </w:r>
            <w:r>
              <w:rPr>
                <w:rFonts w:ascii="仿宋_GB2312" w:hAnsi="宋体" w:eastAsia="仿宋_GB2312" w:cs="宋体"/>
                <w:sz w:val="28"/>
                <w:szCs w:val="28"/>
              </w:rPr>
              <w:t>2</w:t>
            </w:r>
            <w:r>
              <w:rPr>
                <w:rFonts w:hint="eastAsia" w:ascii="仿宋_GB2312" w:hAnsi="宋体" w:eastAsia="仿宋_GB2312" w:cs="宋体"/>
                <w:sz w:val="28"/>
                <w:szCs w:val="28"/>
              </w:rPr>
              <w:t>点且符合项目需求的得8分。</w:t>
            </w:r>
          </w:p>
          <w:p w14:paraId="6FCD2F46">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投标人提供的项目实施方案包含以上</w:t>
            </w:r>
            <w:r>
              <w:rPr>
                <w:rFonts w:ascii="仿宋_GB2312" w:hAnsi="宋体" w:eastAsia="仿宋_GB2312" w:cs="宋体"/>
                <w:sz w:val="28"/>
                <w:szCs w:val="28"/>
              </w:rPr>
              <w:t>1</w:t>
            </w:r>
            <w:r>
              <w:rPr>
                <w:rFonts w:hint="eastAsia" w:ascii="仿宋_GB2312" w:hAnsi="宋体" w:eastAsia="仿宋_GB2312" w:cs="宋体"/>
                <w:sz w:val="28"/>
                <w:szCs w:val="28"/>
              </w:rPr>
              <w:t>点且符合项目需求的得6分。</w:t>
            </w:r>
          </w:p>
          <w:p w14:paraId="2D9B852C">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其他情况得0分。</w:t>
            </w:r>
          </w:p>
          <w:p w14:paraId="4250B363">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在此基础上，进一步评审：</w:t>
            </w:r>
          </w:p>
          <w:p w14:paraId="2CFEC4F8">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投标人提供的方案，贴合项目实际、具有全面性、针对性的评价为优得10分。</w:t>
            </w:r>
          </w:p>
          <w:p w14:paraId="44D71611">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投标人提供的方案，基本贴合项目实际、具有一定全面性、针对性，方案也基本能够解决问题的评价为良得8分。</w:t>
            </w:r>
          </w:p>
          <w:p w14:paraId="0A7657F4">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投标人提供的方案不够全面的评价为中得6分。</w:t>
            </w:r>
          </w:p>
          <w:p w14:paraId="7918F3F1">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其他情况不得分。</w:t>
            </w:r>
          </w:p>
          <w:p w14:paraId="4D536F9E">
            <w:pPr>
              <w:tabs>
                <w:tab w:val="left" w:pos="2880"/>
              </w:tabs>
              <w:spacing w:line="0" w:lineRule="atLeast"/>
              <w:ind w:left="46" w:leftChars="19" w:firstLine="560" w:firstLineChars="200"/>
              <w:rPr>
                <w:rFonts w:ascii="仿宋_GB2312" w:eastAsia="仿宋_GB2312"/>
                <w:sz w:val="28"/>
                <w:szCs w:val="28"/>
              </w:rPr>
            </w:pPr>
            <w:r>
              <w:rPr>
                <w:rFonts w:hint="eastAsia" w:ascii="仿宋_GB2312" w:hAnsi="宋体" w:eastAsia="仿宋_GB2312" w:cs="宋体"/>
                <w:sz w:val="28"/>
                <w:szCs w:val="28"/>
              </w:rPr>
              <w:t>以上两点累积相加，满分为20分，最低为0分。</w:t>
            </w:r>
          </w:p>
        </w:tc>
      </w:tr>
      <w:tr w14:paraId="0C98CF3A">
        <w:tblPrEx>
          <w:tblLayout w:type="fixed"/>
        </w:tblPrEx>
        <w:trPr>
          <w:trHeight w:val="63" w:hRule="atLeast"/>
        </w:trPr>
        <w:tc>
          <w:tcPr>
            <w:tcW w:w="981" w:type="dxa"/>
            <w:vMerge w:val="continue"/>
            <w:tcBorders>
              <w:left w:val="single" w:color="auto" w:sz="4" w:space="0"/>
              <w:right w:val="single" w:color="auto" w:sz="4" w:space="0"/>
            </w:tcBorders>
            <w:vAlign w:val="center"/>
          </w:tcPr>
          <w:p w14:paraId="04921F8F">
            <w:pPr>
              <w:rPr>
                <w:rFonts w:hint="eastAsia"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74D168C5">
            <w:pPr>
              <w:jc w:val="center"/>
              <w:rPr>
                <w:rFonts w:hint="eastAsia" w:ascii="仿宋_GB2312" w:hAnsi="宋体" w:eastAsia="仿宋_GB2312" w:cs="宋体"/>
                <w:sz w:val="28"/>
                <w:szCs w:val="28"/>
              </w:rPr>
            </w:pPr>
            <w:r>
              <w:rPr>
                <w:rFonts w:ascii="仿宋_GB2312" w:hAnsi="宋体" w:eastAsia="仿宋_GB2312" w:cs="宋体"/>
                <w:sz w:val="28"/>
                <w:szCs w:val="28"/>
              </w:rPr>
              <w:t>2</w:t>
            </w:r>
          </w:p>
        </w:tc>
        <w:tc>
          <w:tcPr>
            <w:tcW w:w="1647" w:type="dxa"/>
            <w:tcBorders>
              <w:top w:val="single" w:color="auto" w:sz="4" w:space="0"/>
              <w:left w:val="single" w:color="auto" w:sz="4" w:space="0"/>
              <w:bottom w:val="single" w:color="auto" w:sz="4" w:space="0"/>
              <w:right w:val="single" w:color="auto" w:sz="4" w:space="0"/>
            </w:tcBorders>
            <w:vAlign w:val="center"/>
          </w:tcPr>
          <w:p w14:paraId="20AD33C5">
            <w:pPr>
              <w:pStyle w:val="43"/>
              <w:jc w:val="center"/>
              <w:rPr>
                <w:rFonts w:ascii="仿宋_GB2312" w:eastAsia="仿宋_GB2312"/>
                <w:sz w:val="28"/>
                <w:szCs w:val="28"/>
              </w:rPr>
            </w:pPr>
            <w:bookmarkStart w:id="0" w:name="_Hlk143116238"/>
            <w:r>
              <w:rPr>
                <w:rFonts w:hint="eastAsia" w:ascii="仿宋_GB2312" w:eastAsia="仿宋_GB2312"/>
                <w:sz w:val="28"/>
                <w:szCs w:val="28"/>
              </w:rPr>
              <w:t>项目实施重点难点分析及解决方案</w:t>
            </w:r>
            <w:bookmarkEnd w:id="0"/>
          </w:p>
        </w:tc>
        <w:tc>
          <w:tcPr>
            <w:tcW w:w="791" w:type="dxa"/>
            <w:tcBorders>
              <w:top w:val="single" w:color="auto" w:sz="4" w:space="0"/>
              <w:left w:val="single" w:color="auto" w:sz="4" w:space="0"/>
              <w:bottom w:val="single" w:color="auto" w:sz="4" w:space="0"/>
              <w:right w:val="single" w:color="auto" w:sz="4" w:space="0"/>
            </w:tcBorders>
            <w:vAlign w:val="center"/>
          </w:tcPr>
          <w:p w14:paraId="2FA7DD1E">
            <w:pPr>
              <w:ind w:left="-50" w:right="-51"/>
              <w:jc w:val="center"/>
              <w:rPr>
                <w:rFonts w:ascii="仿宋_GB2312" w:eastAsia="仿宋_GB2312"/>
                <w:sz w:val="28"/>
                <w:szCs w:val="28"/>
              </w:rPr>
            </w:pPr>
            <w:r>
              <w:rPr>
                <w:rFonts w:hint="eastAsia" w:ascii="仿宋_GB2312" w:eastAsia="仿宋_GB2312"/>
                <w:sz w:val="28"/>
                <w:szCs w:val="28"/>
              </w:rPr>
              <w:t>20</w:t>
            </w:r>
          </w:p>
        </w:tc>
        <w:tc>
          <w:tcPr>
            <w:tcW w:w="5529" w:type="dxa"/>
            <w:tcBorders>
              <w:top w:val="single" w:color="auto" w:sz="4" w:space="0"/>
              <w:left w:val="single" w:color="auto" w:sz="4" w:space="0"/>
              <w:bottom w:val="single" w:color="auto" w:sz="4" w:space="0"/>
              <w:right w:val="single" w:color="auto" w:sz="4" w:space="0"/>
            </w:tcBorders>
            <w:vAlign w:val="center"/>
          </w:tcPr>
          <w:p w14:paraId="55DA857D">
            <w:pPr>
              <w:tabs>
                <w:tab w:val="left" w:pos="2880"/>
              </w:tabs>
              <w:spacing w:line="0" w:lineRule="atLeast"/>
              <w:ind w:left="46" w:leftChars="19" w:firstLine="562" w:firstLineChars="200"/>
              <w:rPr>
                <w:rFonts w:hint="eastAsia" w:ascii="仿宋_GB2312" w:hAnsi="宋体" w:eastAsia="仿宋_GB2312" w:cs="宋体"/>
                <w:b/>
                <w:bCs/>
                <w:sz w:val="28"/>
                <w:szCs w:val="28"/>
              </w:rPr>
            </w:pPr>
            <w:r>
              <w:rPr>
                <w:rFonts w:hint="eastAsia" w:ascii="仿宋_GB2312" w:hAnsi="宋体" w:eastAsia="仿宋_GB2312" w:cs="宋体"/>
                <w:b/>
                <w:bCs/>
                <w:sz w:val="28"/>
                <w:szCs w:val="28"/>
              </w:rPr>
              <w:t>（一）评审内容：</w:t>
            </w:r>
          </w:p>
          <w:p w14:paraId="3B3FF217">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投标人需针对本项目</w:t>
            </w:r>
          </w:p>
          <w:p w14:paraId="1F37227E">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1、项目重点难点分析方案。</w:t>
            </w:r>
          </w:p>
          <w:p w14:paraId="2132EFDA">
            <w:pPr>
              <w:tabs>
                <w:tab w:val="left" w:pos="2880"/>
              </w:tabs>
              <w:spacing w:line="0" w:lineRule="atLeast"/>
              <w:ind w:left="46" w:leftChars="19" w:firstLine="560" w:firstLineChars="200"/>
              <w:rPr>
                <w:rFonts w:hint="eastAsia" w:ascii="仿宋_GB2312" w:hAnsi="宋体" w:eastAsia="仿宋_GB2312" w:cs="宋体"/>
                <w:sz w:val="28"/>
                <w:szCs w:val="28"/>
              </w:rPr>
            </w:pPr>
            <w:r>
              <w:rPr>
                <w:rFonts w:ascii="仿宋_GB2312" w:eastAsia="仿宋_GB2312"/>
                <w:sz w:val="28"/>
                <w:szCs w:val="28"/>
              </w:rPr>
              <w:t>2</w:t>
            </w:r>
            <w:r>
              <w:rPr>
                <w:rFonts w:hint="eastAsia" w:ascii="仿宋_GB2312" w:eastAsia="仿宋_GB2312"/>
                <w:sz w:val="28"/>
                <w:szCs w:val="28"/>
              </w:rPr>
              <w:t>、</w:t>
            </w:r>
            <w:r>
              <w:rPr>
                <w:rFonts w:hint="eastAsia" w:ascii="仿宋_GB2312" w:hAnsi="宋体" w:eastAsia="仿宋_GB2312" w:cs="宋体"/>
                <w:sz w:val="28"/>
                <w:szCs w:val="28"/>
              </w:rPr>
              <w:t>应对措施及合理化建议</w:t>
            </w:r>
            <w:r>
              <w:rPr>
                <w:rFonts w:hint="eastAsia" w:ascii="仿宋_GB2312" w:eastAsia="仿宋_GB2312"/>
                <w:sz w:val="28"/>
                <w:szCs w:val="28"/>
              </w:rPr>
              <w:t>方案。</w:t>
            </w:r>
          </w:p>
          <w:p w14:paraId="3A283AE3">
            <w:pPr>
              <w:tabs>
                <w:tab w:val="left" w:pos="2880"/>
              </w:tabs>
              <w:spacing w:line="0" w:lineRule="atLeast"/>
              <w:ind w:left="46" w:leftChars="19" w:firstLine="560" w:firstLineChars="200"/>
              <w:rPr>
                <w:rFonts w:hint="eastAsia" w:ascii="仿宋_GB2312" w:hAnsi="宋体" w:eastAsia="仿宋_GB2312" w:cs="宋体"/>
                <w:sz w:val="28"/>
                <w:szCs w:val="28"/>
              </w:rPr>
            </w:pPr>
            <w:r>
              <w:rPr>
                <w:rFonts w:ascii="仿宋_GB2312" w:hAnsi="宋体" w:eastAsia="仿宋_GB2312" w:cs="宋体"/>
                <w:sz w:val="28"/>
                <w:szCs w:val="28"/>
              </w:rPr>
              <w:t>3</w:t>
            </w:r>
            <w:r>
              <w:rPr>
                <w:rFonts w:hint="eastAsia" w:ascii="仿宋_GB2312" w:hAnsi="宋体" w:eastAsia="仿宋_GB2312" w:cs="宋体"/>
                <w:sz w:val="28"/>
                <w:szCs w:val="28"/>
              </w:rPr>
              <w:t>、进度控制和完成时间安排合理。</w:t>
            </w:r>
          </w:p>
          <w:p w14:paraId="3467F540">
            <w:pPr>
              <w:tabs>
                <w:tab w:val="left" w:pos="2880"/>
              </w:tabs>
              <w:spacing w:line="0" w:lineRule="atLeast"/>
              <w:ind w:left="46" w:leftChars="19" w:firstLine="562" w:firstLineChars="200"/>
              <w:rPr>
                <w:rFonts w:hint="eastAsia" w:ascii="仿宋_GB2312" w:hAnsi="宋体" w:eastAsia="仿宋_GB2312" w:cs="宋体"/>
                <w:b/>
                <w:bCs/>
                <w:sz w:val="28"/>
                <w:szCs w:val="28"/>
              </w:rPr>
            </w:pPr>
            <w:r>
              <w:rPr>
                <w:rFonts w:hint="eastAsia" w:ascii="仿宋_GB2312" w:hAnsi="宋体" w:eastAsia="仿宋_GB2312" w:cs="宋体"/>
                <w:b/>
                <w:bCs/>
                <w:sz w:val="28"/>
                <w:szCs w:val="28"/>
              </w:rPr>
              <w:t>（二）评审依据：</w:t>
            </w:r>
          </w:p>
          <w:p w14:paraId="1338697A">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投标人提供的</w:t>
            </w:r>
            <w:r>
              <w:rPr>
                <w:rFonts w:hint="eastAsia" w:ascii="仿宋_GB2312" w:eastAsia="仿宋_GB2312"/>
                <w:sz w:val="28"/>
                <w:szCs w:val="28"/>
              </w:rPr>
              <w:t>项目实施重点难点分析及解决方案</w:t>
            </w:r>
            <w:r>
              <w:rPr>
                <w:rFonts w:hint="eastAsia" w:ascii="仿宋_GB2312" w:hAnsi="宋体" w:eastAsia="仿宋_GB2312" w:cs="宋体"/>
                <w:sz w:val="28"/>
                <w:szCs w:val="28"/>
              </w:rPr>
              <w:t>包含以上</w:t>
            </w:r>
            <w:r>
              <w:rPr>
                <w:rFonts w:ascii="仿宋_GB2312" w:hAnsi="宋体" w:eastAsia="仿宋_GB2312" w:cs="宋体"/>
                <w:sz w:val="28"/>
                <w:szCs w:val="28"/>
              </w:rPr>
              <w:t>3</w:t>
            </w:r>
            <w:r>
              <w:rPr>
                <w:rFonts w:hint="eastAsia" w:ascii="仿宋_GB2312" w:hAnsi="宋体" w:eastAsia="仿宋_GB2312" w:cs="宋体"/>
                <w:sz w:val="28"/>
                <w:szCs w:val="28"/>
              </w:rPr>
              <w:t>点且符合项目需求的得10分。</w:t>
            </w:r>
          </w:p>
          <w:p w14:paraId="76331CE6">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投标人提供的</w:t>
            </w:r>
            <w:r>
              <w:rPr>
                <w:rFonts w:hint="eastAsia" w:ascii="仿宋_GB2312" w:eastAsia="仿宋_GB2312"/>
                <w:sz w:val="28"/>
                <w:szCs w:val="28"/>
              </w:rPr>
              <w:t>项目实施重点难点分析及解决方案</w:t>
            </w:r>
            <w:r>
              <w:rPr>
                <w:rFonts w:hint="eastAsia" w:ascii="仿宋_GB2312" w:hAnsi="宋体" w:eastAsia="仿宋_GB2312" w:cs="宋体"/>
                <w:sz w:val="28"/>
                <w:szCs w:val="28"/>
              </w:rPr>
              <w:t>包含以上</w:t>
            </w:r>
            <w:r>
              <w:rPr>
                <w:rFonts w:ascii="仿宋_GB2312" w:hAnsi="宋体" w:eastAsia="仿宋_GB2312" w:cs="宋体"/>
                <w:sz w:val="28"/>
                <w:szCs w:val="28"/>
              </w:rPr>
              <w:t>2</w:t>
            </w:r>
            <w:r>
              <w:rPr>
                <w:rFonts w:hint="eastAsia" w:ascii="仿宋_GB2312" w:hAnsi="宋体" w:eastAsia="仿宋_GB2312" w:cs="宋体"/>
                <w:sz w:val="28"/>
                <w:szCs w:val="28"/>
              </w:rPr>
              <w:t>点且符合项目需求的得8分。</w:t>
            </w:r>
          </w:p>
          <w:p w14:paraId="21E88A82">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投标人提供的</w:t>
            </w:r>
            <w:r>
              <w:rPr>
                <w:rFonts w:hint="eastAsia" w:ascii="仿宋_GB2312" w:eastAsia="仿宋_GB2312"/>
                <w:sz w:val="28"/>
                <w:szCs w:val="28"/>
              </w:rPr>
              <w:t>项目实施重点难点分析及解决方案</w:t>
            </w:r>
            <w:r>
              <w:rPr>
                <w:rFonts w:hint="eastAsia" w:ascii="仿宋_GB2312" w:hAnsi="宋体" w:eastAsia="仿宋_GB2312" w:cs="宋体"/>
                <w:sz w:val="28"/>
                <w:szCs w:val="28"/>
              </w:rPr>
              <w:t>包含以上</w:t>
            </w:r>
            <w:r>
              <w:rPr>
                <w:rFonts w:ascii="仿宋_GB2312" w:hAnsi="宋体" w:eastAsia="仿宋_GB2312" w:cs="宋体"/>
                <w:sz w:val="28"/>
                <w:szCs w:val="28"/>
              </w:rPr>
              <w:t>1</w:t>
            </w:r>
            <w:r>
              <w:rPr>
                <w:rFonts w:hint="eastAsia" w:ascii="仿宋_GB2312" w:hAnsi="宋体" w:eastAsia="仿宋_GB2312" w:cs="宋体"/>
                <w:sz w:val="28"/>
                <w:szCs w:val="28"/>
              </w:rPr>
              <w:t>点且符合项目需求的得6分。</w:t>
            </w:r>
          </w:p>
          <w:p w14:paraId="711666E1">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其他情况得0分。</w:t>
            </w:r>
          </w:p>
          <w:p w14:paraId="0375B4C9">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在此基础上，进一步评审：</w:t>
            </w:r>
          </w:p>
          <w:p w14:paraId="55A53DFD">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投标人提供的方案，贴合项目实际、具有全面性、针对性的评价为优得10分。</w:t>
            </w:r>
          </w:p>
          <w:p w14:paraId="3F47EAE0">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投标人提供的方案，基本贴合项目实际、具有一定全面性、针对性，方案也基本能够解决问题的评价为良得8分。</w:t>
            </w:r>
          </w:p>
          <w:p w14:paraId="450A76A8">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投标人提供的方案不够全面的评价为中得6分。</w:t>
            </w:r>
          </w:p>
          <w:p w14:paraId="3D76D85C">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其他情况不得分。</w:t>
            </w:r>
          </w:p>
          <w:p w14:paraId="13570649">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以上两点累积相加，满分为20分，最低为0分。</w:t>
            </w:r>
          </w:p>
        </w:tc>
      </w:tr>
      <w:tr w14:paraId="70F6AB5F">
        <w:tblPrEx>
          <w:tblLayout w:type="fixed"/>
        </w:tblPrEx>
        <w:trPr>
          <w:trHeight w:val="63" w:hRule="atLeast"/>
        </w:trPr>
        <w:tc>
          <w:tcPr>
            <w:tcW w:w="981" w:type="dxa"/>
            <w:vMerge w:val="continue"/>
            <w:tcBorders>
              <w:left w:val="single" w:color="auto" w:sz="4" w:space="0"/>
              <w:right w:val="single" w:color="auto" w:sz="4" w:space="0"/>
            </w:tcBorders>
            <w:vAlign w:val="center"/>
          </w:tcPr>
          <w:p w14:paraId="5D529A18">
            <w:pPr>
              <w:rPr>
                <w:rFonts w:hint="eastAsia"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44EE6322">
            <w:pPr>
              <w:jc w:val="center"/>
              <w:rPr>
                <w:rFonts w:hint="eastAsia" w:ascii="仿宋_GB2312" w:hAnsi="宋体" w:eastAsia="仿宋_GB2312" w:cs="宋体"/>
                <w:sz w:val="28"/>
                <w:szCs w:val="28"/>
              </w:rPr>
            </w:pPr>
            <w:r>
              <w:rPr>
                <w:rFonts w:hint="eastAsia" w:ascii="仿宋_GB2312" w:hAnsi="宋体" w:eastAsia="仿宋_GB2312" w:cs="宋体"/>
                <w:sz w:val="28"/>
                <w:szCs w:val="28"/>
              </w:rPr>
              <w:t>3</w:t>
            </w:r>
          </w:p>
        </w:tc>
        <w:tc>
          <w:tcPr>
            <w:tcW w:w="1647" w:type="dxa"/>
            <w:tcBorders>
              <w:top w:val="single" w:color="auto" w:sz="4" w:space="0"/>
              <w:left w:val="single" w:color="auto" w:sz="4" w:space="0"/>
              <w:bottom w:val="single" w:color="auto" w:sz="4" w:space="0"/>
              <w:right w:val="single" w:color="auto" w:sz="4" w:space="0"/>
            </w:tcBorders>
            <w:vAlign w:val="center"/>
          </w:tcPr>
          <w:p w14:paraId="085DF615">
            <w:pPr>
              <w:pStyle w:val="43"/>
              <w:jc w:val="center"/>
              <w:rPr>
                <w:rFonts w:ascii="仿宋_GB2312" w:eastAsia="仿宋_GB2312"/>
                <w:sz w:val="28"/>
                <w:szCs w:val="28"/>
              </w:rPr>
            </w:pPr>
            <w:r>
              <w:rPr>
                <w:rFonts w:hint="eastAsia" w:ascii="仿宋_GB2312" w:eastAsia="仿宋_GB2312"/>
                <w:sz w:val="28"/>
                <w:szCs w:val="28"/>
              </w:rPr>
              <w:t>拟安排的项目负责人情况</w:t>
            </w:r>
          </w:p>
        </w:tc>
        <w:tc>
          <w:tcPr>
            <w:tcW w:w="791" w:type="dxa"/>
            <w:tcBorders>
              <w:top w:val="single" w:color="auto" w:sz="4" w:space="0"/>
              <w:left w:val="single" w:color="auto" w:sz="4" w:space="0"/>
              <w:bottom w:val="single" w:color="auto" w:sz="4" w:space="0"/>
              <w:right w:val="single" w:color="auto" w:sz="4" w:space="0"/>
            </w:tcBorders>
            <w:vAlign w:val="center"/>
          </w:tcPr>
          <w:p w14:paraId="17B6383B">
            <w:pPr>
              <w:ind w:left="-50" w:right="-51"/>
              <w:jc w:val="center"/>
              <w:rPr>
                <w:rFonts w:ascii="仿宋_GB2312" w:eastAsia="仿宋_GB2312"/>
                <w:sz w:val="28"/>
                <w:szCs w:val="28"/>
              </w:rPr>
            </w:pPr>
            <w:r>
              <w:rPr>
                <w:rFonts w:hint="eastAsia" w:ascii="仿宋_GB2312" w:eastAsia="仿宋_GB2312"/>
                <w:sz w:val="28"/>
                <w:szCs w:val="28"/>
              </w:rPr>
              <w:t>10</w:t>
            </w:r>
          </w:p>
        </w:tc>
        <w:tc>
          <w:tcPr>
            <w:tcW w:w="5529" w:type="dxa"/>
            <w:tcBorders>
              <w:top w:val="single" w:color="auto" w:sz="4" w:space="0"/>
              <w:left w:val="single" w:color="auto" w:sz="4" w:space="0"/>
              <w:bottom w:val="single" w:color="auto" w:sz="4" w:space="0"/>
              <w:right w:val="single" w:color="auto" w:sz="4" w:space="0"/>
            </w:tcBorders>
            <w:vAlign w:val="center"/>
          </w:tcPr>
          <w:p w14:paraId="4497F68A">
            <w:pPr>
              <w:tabs>
                <w:tab w:val="left" w:pos="2880"/>
              </w:tabs>
              <w:spacing w:line="0" w:lineRule="atLeast"/>
              <w:ind w:left="46" w:leftChars="19" w:firstLine="562" w:firstLineChars="200"/>
              <w:rPr>
                <w:rFonts w:hint="eastAsia" w:ascii="仿宋_GB2312" w:hAnsi="宋体" w:eastAsia="仿宋_GB2312" w:cs="宋体"/>
                <w:b/>
                <w:bCs/>
                <w:sz w:val="28"/>
                <w:szCs w:val="28"/>
              </w:rPr>
            </w:pPr>
            <w:r>
              <w:rPr>
                <w:rFonts w:hint="eastAsia" w:ascii="仿宋_GB2312" w:hAnsi="宋体" w:eastAsia="仿宋_GB2312" w:cs="宋体"/>
                <w:b/>
                <w:bCs/>
                <w:sz w:val="28"/>
                <w:szCs w:val="28"/>
              </w:rPr>
              <w:t>（一）评审内容：</w:t>
            </w:r>
          </w:p>
          <w:p w14:paraId="14D9F470">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1、具有专科或以上学历得5分。</w:t>
            </w:r>
          </w:p>
          <w:p w14:paraId="08831A2C">
            <w:pPr>
              <w:tabs>
                <w:tab w:val="left" w:pos="2880"/>
              </w:tabs>
              <w:spacing w:line="0" w:lineRule="atLeast"/>
              <w:ind w:left="46" w:leftChars="19" w:firstLine="560" w:firstLineChars="200"/>
              <w:rPr>
                <w:rFonts w:hint="eastAsia" w:ascii="仿宋_GB2312" w:hAnsi="宋体" w:eastAsia="仿宋_GB2312" w:cs="宋体"/>
                <w:color w:val="FF0000"/>
                <w:sz w:val="28"/>
                <w:szCs w:val="28"/>
              </w:rPr>
            </w:pPr>
            <w:r>
              <w:rPr>
                <w:rFonts w:hint="eastAsia" w:ascii="仿宋_GB2312" w:hAnsi="宋体" w:eastAsia="仿宋_GB2312" w:cs="宋体"/>
                <w:sz w:val="28"/>
                <w:szCs w:val="28"/>
              </w:rPr>
              <w:t>2、具有市级及以上</w:t>
            </w:r>
            <w:r>
              <w:rPr>
                <w:rFonts w:hint="eastAsia" w:ascii="仿宋" w:hAnsi="仿宋" w:eastAsia="仿宋"/>
                <w:sz w:val="28"/>
                <w:szCs w:val="28"/>
              </w:rPr>
              <w:t>政府劳动部门颁发的有害生物</w:t>
            </w:r>
            <w:r>
              <w:rPr>
                <w:rFonts w:ascii="仿宋" w:hAnsi="仿宋" w:eastAsia="仿宋"/>
                <w:sz w:val="28"/>
                <w:szCs w:val="28"/>
              </w:rPr>
              <w:t>防制</w:t>
            </w:r>
            <w:r>
              <w:rPr>
                <w:rFonts w:hint="eastAsia" w:ascii="仿宋" w:hAnsi="仿宋" w:eastAsia="仿宋"/>
                <w:sz w:val="28"/>
                <w:szCs w:val="28"/>
              </w:rPr>
              <w:t>员</w:t>
            </w:r>
            <w:r>
              <w:rPr>
                <w:rFonts w:hint="eastAsia" w:ascii="仿宋_GB2312" w:hAnsi="宋体" w:eastAsia="仿宋_GB2312" w:cs="宋体"/>
                <w:sz w:val="28"/>
                <w:szCs w:val="28"/>
              </w:rPr>
              <w:t>高级证书得5分。</w:t>
            </w:r>
          </w:p>
          <w:p w14:paraId="288FC747">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以上两项累积相加，满分为10分。</w:t>
            </w:r>
          </w:p>
          <w:p w14:paraId="2EDCB899">
            <w:pPr>
              <w:tabs>
                <w:tab w:val="left" w:pos="2880"/>
              </w:tabs>
              <w:spacing w:line="0" w:lineRule="atLeast"/>
              <w:ind w:left="46" w:leftChars="19" w:firstLine="562" w:firstLineChars="200"/>
              <w:rPr>
                <w:rFonts w:hint="eastAsia" w:ascii="仿宋_GB2312" w:hAnsi="宋体" w:eastAsia="仿宋_GB2312" w:cs="宋体"/>
                <w:b/>
                <w:bCs/>
                <w:sz w:val="28"/>
                <w:szCs w:val="28"/>
              </w:rPr>
            </w:pPr>
            <w:r>
              <w:rPr>
                <w:rFonts w:hint="eastAsia" w:ascii="仿宋_GB2312" w:hAnsi="宋体" w:eastAsia="仿宋_GB2312" w:cs="宋体"/>
                <w:b/>
                <w:bCs/>
                <w:sz w:val="28"/>
                <w:szCs w:val="28"/>
              </w:rPr>
              <w:t>（二）评审依据：</w:t>
            </w:r>
          </w:p>
          <w:p w14:paraId="64A29C32">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拟安排的项目人员必须为供应商自有员工，提供供应商为其缴交的载有社保部门公章的社保缴交证明材料或提供劳动合同或返聘协议扫描件，原件备查。</w:t>
            </w:r>
          </w:p>
          <w:p w14:paraId="4D4F2977">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eastAsia="仿宋_GB2312"/>
                <w:sz w:val="28"/>
                <w:szCs w:val="28"/>
              </w:rPr>
              <w:t>提供相关证书扫描件。</w:t>
            </w:r>
          </w:p>
        </w:tc>
      </w:tr>
      <w:tr w14:paraId="46227D0B">
        <w:tblPrEx>
          <w:tblLayout w:type="fixed"/>
        </w:tblPrEx>
        <w:tc>
          <w:tcPr>
            <w:tcW w:w="981"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14:paraId="42193FFE">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3</w:t>
            </w:r>
          </w:p>
        </w:tc>
        <w:tc>
          <w:tcPr>
            <w:tcW w:w="2988" w:type="dxa"/>
            <w:gridSpan w:val="3"/>
            <w:tcBorders>
              <w:top w:val="single" w:color="auto" w:sz="4" w:space="0"/>
              <w:left w:val="single" w:color="auto" w:sz="4" w:space="0"/>
              <w:bottom w:val="single" w:color="auto" w:sz="4" w:space="0"/>
              <w:right w:val="single" w:color="auto" w:sz="4" w:space="0"/>
            </w:tcBorders>
            <w:shd w:val="clear" w:color="auto" w:fill="DBE5F1" w:themeFill="accent1" w:themeFillTint="33"/>
          </w:tcPr>
          <w:p w14:paraId="5DB8BD14">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综合实力</w:t>
            </w:r>
          </w:p>
        </w:tc>
        <w:tc>
          <w:tcPr>
            <w:tcW w:w="5529"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14:paraId="133A7EE3">
            <w:pPr>
              <w:jc w:val="center"/>
              <w:rPr>
                <w:rFonts w:hint="eastAsia" w:ascii="仿宋_GB2312" w:hAnsi="宋体" w:eastAsia="仿宋_GB2312" w:cs="宋体"/>
                <w:b/>
                <w:sz w:val="28"/>
                <w:szCs w:val="28"/>
              </w:rPr>
            </w:pPr>
            <w:r>
              <w:rPr>
                <w:rFonts w:hint="eastAsia" w:ascii="仿宋_GB2312" w:hAnsi="宋体" w:eastAsia="仿宋_GB2312" w:cs="宋体"/>
                <w:b/>
                <w:sz w:val="28"/>
                <w:szCs w:val="28"/>
              </w:rPr>
              <w:t>30</w:t>
            </w:r>
          </w:p>
        </w:tc>
      </w:tr>
      <w:tr w14:paraId="40C122ED">
        <w:tblPrEx>
          <w:tblLayout w:type="fixed"/>
        </w:tblPrEx>
        <w:trPr>
          <w:trHeight w:val="81" w:hRule="atLeast"/>
        </w:trPr>
        <w:tc>
          <w:tcPr>
            <w:tcW w:w="981" w:type="dxa"/>
            <w:vMerge w:val="restart"/>
            <w:tcBorders>
              <w:top w:val="single" w:color="auto" w:sz="4" w:space="0"/>
              <w:left w:val="single" w:color="auto" w:sz="4" w:space="0"/>
              <w:right w:val="single" w:color="auto" w:sz="4" w:space="0"/>
            </w:tcBorders>
          </w:tcPr>
          <w:p w14:paraId="3423D9C7">
            <w:pPr>
              <w:jc w:val="center"/>
              <w:rPr>
                <w:rFonts w:hint="eastAsia"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5E666568">
            <w:pPr>
              <w:jc w:val="center"/>
              <w:rPr>
                <w:rFonts w:hint="eastAsia" w:ascii="仿宋_GB2312" w:hAnsi="宋体" w:eastAsia="仿宋_GB2312" w:cs="宋体"/>
                <w:sz w:val="28"/>
                <w:szCs w:val="28"/>
              </w:rPr>
            </w:pPr>
            <w:r>
              <w:rPr>
                <w:rFonts w:hint="eastAsia" w:ascii="仿宋_GB2312" w:hAnsi="宋体" w:eastAsia="仿宋_GB2312" w:cs="宋体"/>
                <w:sz w:val="28"/>
                <w:szCs w:val="28"/>
              </w:rPr>
              <w:t>序号</w:t>
            </w:r>
          </w:p>
        </w:tc>
        <w:tc>
          <w:tcPr>
            <w:tcW w:w="1647" w:type="dxa"/>
            <w:tcBorders>
              <w:top w:val="single" w:color="auto" w:sz="4" w:space="0"/>
              <w:left w:val="single" w:color="auto" w:sz="4" w:space="0"/>
              <w:bottom w:val="single" w:color="auto" w:sz="4" w:space="0"/>
              <w:right w:val="single" w:color="auto" w:sz="4" w:space="0"/>
            </w:tcBorders>
            <w:vAlign w:val="center"/>
          </w:tcPr>
          <w:p w14:paraId="194D36E0">
            <w:pPr>
              <w:jc w:val="center"/>
              <w:rPr>
                <w:rFonts w:hint="eastAsia" w:ascii="仿宋_GB2312" w:hAnsi="宋体" w:eastAsia="仿宋_GB2312" w:cs="宋体"/>
                <w:sz w:val="28"/>
                <w:szCs w:val="28"/>
              </w:rPr>
            </w:pPr>
            <w:r>
              <w:rPr>
                <w:rFonts w:hint="eastAsia" w:ascii="仿宋_GB2312" w:hAnsi="宋体" w:eastAsia="仿宋_GB2312" w:cs="宋体"/>
                <w:sz w:val="28"/>
                <w:szCs w:val="28"/>
              </w:rPr>
              <w:t>内容</w:t>
            </w:r>
          </w:p>
        </w:tc>
        <w:tc>
          <w:tcPr>
            <w:tcW w:w="791" w:type="dxa"/>
            <w:tcBorders>
              <w:top w:val="single" w:color="auto" w:sz="4" w:space="0"/>
              <w:left w:val="single" w:color="auto" w:sz="4" w:space="0"/>
              <w:bottom w:val="single" w:color="auto" w:sz="4" w:space="0"/>
              <w:right w:val="single" w:color="auto" w:sz="4" w:space="0"/>
            </w:tcBorders>
            <w:vAlign w:val="center"/>
          </w:tcPr>
          <w:p w14:paraId="423EFF06">
            <w:pPr>
              <w:jc w:val="center"/>
              <w:rPr>
                <w:rFonts w:hint="eastAsia" w:ascii="仿宋_GB2312" w:hAnsi="宋体" w:eastAsia="仿宋_GB2312" w:cs="宋体"/>
                <w:sz w:val="28"/>
                <w:szCs w:val="28"/>
              </w:rPr>
            </w:pPr>
            <w:r>
              <w:rPr>
                <w:rFonts w:hint="eastAsia" w:ascii="仿宋_GB2312" w:hAnsi="宋体" w:eastAsia="仿宋_GB2312" w:cs="宋体"/>
                <w:sz w:val="28"/>
                <w:szCs w:val="28"/>
              </w:rPr>
              <w:t>权重</w:t>
            </w:r>
          </w:p>
        </w:tc>
        <w:tc>
          <w:tcPr>
            <w:tcW w:w="5529" w:type="dxa"/>
            <w:tcBorders>
              <w:top w:val="single" w:color="auto" w:sz="4" w:space="0"/>
              <w:left w:val="single" w:color="auto" w:sz="4" w:space="0"/>
              <w:bottom w:val="single" w:color="auto" w:sz="4" w:space="0"/>
              <w:right w:val="single" w:color="auto" w:sz="4" w:space="0"/>
            </w:tcBorders>
            <w:vAlign w:val="center"/>
          </w:tcPr>
          <w:p w14:paraId="05CA663F">
            <w:pPr>
              <w:jc w:val="center"/>
              <w:rPr>
                <w:rFonts w:hint="eastAsia" w:ascii="仿宋_GB2312" w:hAnsi="宋体" w:eastAsia="仿宋_GB2312" w:cs="宋体"/>
                <w:sz w:val="28"/>
                <w:szCs w:val="28"/>
              </w:rPr>
            </w:pPr>
            <w:r>
              <w:rPr>
                <w:rFonts w:hint="eastAsia" w:ascii="仿宋_GB2312" w:hAnsi="宋体" w:eastAsia="仿宋_GB2312" w:cs="宋体"/>
                <w:sz w:val="28"/>
                <w:szCs w:val="28"/>
              </w:rPr>
              <w:t>评分准则</w:t>
            </w:r>
          </w:p>
        </w:tc>
      </w:tr>
      <w:tr w14:paraId="5D08200A">
        <w:tblPrEx>
          <w:tblLayout w:type="fixed"/>
        </w:tblPrEx>
        <w:trPr>
          <w:trHeight w:val="78" w:hRule="atLeast"/>
        </w:trPr>
        <w:tc>
          <w:tcPr>
            <w:tcW w:w="981" w:type="dxa"/>
            <w:vMerge w:val="continue"/>
            <w:tcBorders>
              <w:left w:val="single" w:color="auto" w:sz="4" w:space="0"/>
              <w:right w:val="single" w:color="auto" w:sz="4" w:space="0"/>
            </w:tcBorders>
            <w:vAlign w:val="center"/>
          </w:tcPr>
          <w:p w14:paraId="4C65C619">
            <w:pPr>
              <w:rPr>
                <w:rFonts w:hint="eastAsia" w:ascii="仿宋_GB2312" w:hAnsi="宋体" w:eastAsia="仿宋_GB2312" w:cs="宋体"/>
                <w:sz w:val="28"/>
                <w:szCs w:val="28"/>
              </w:rPr>
            </w:pPr>
          </w:p>
        </w:tc>
        <w:tc>
          <w:tcPr>
            <w:tcW w:w="550" w:type="dxa"/>
            <w:tcBorders>
              <w:top w:val="single" w:color="auto" w:sz="4" w:space="0"/>
              <w:left w:val="single" w:color="auto" w:sz="4" w:space="0"/>
              <w:bottom w:val="single" w:color="auto" w:sz="4" w:space="0"/>
              <w:right w:val="single" w:color="auto" w:sz="4" w:space="0"/>
            </w:tcBorders>
            <w:vAlign w:val="center"/>
          </w:tcPr>
          <w:p w14:paraId="776D8B6A">
            <w:pPr>
              <w:tabs>
                <w:tab w:val="left" w:pos="2880"/>
              </w:tabs>
              <w:spacing w:line="0" w:lineRule="atLeast"/>
              <w:ind w:left="46" w:leftChars="19"/>
              <w:rPr>
                <w:rFonts w:hint="eastAsia" w:ascii="仿宋_GB2312" w:hAnsi="宋体" w:eastAsia="仿宋_GB2312" w:cs="宋体"/>
                <w:sz w:val="28"/>
                <w:szCs w:val="28"/>
              </w:rPr>
            </w:pPr>
            <w:r>
              <w:rPr>
                <w:rFonts w:hint="eastAsia" w:ascii="仿宋_GB2312" w:hAnsi="宋体" w:eastAsia="仿宋_GB2312" w:cs="宋体"/>
                <w:sz w:val="28"/>
                <w:szCs w:val="28"/>
              </w:rPr>
              <w:t>1</w:t>
            </w:r>
          </w:p>
        </w:tc>
        <w:tc>
          <w:tcPr>
            <w:tcW w:w="1647" w:type="dxa"/>
            <w:tcBorders>
              <w:top w:val="single" w:color="auto" w:sz="4" w:space="0"/>
              <w:left w:val="single" w:color="auto" w:sz="4" w:space="0"/>
              <w:bottom w:val="single" w:color="auto" w:sz="4" w:space="0"/>
              <w:right w:val="single" w:color="auto" w:sz="4" w:space="0"/>
            </w:tcBorders>
            <w:vAlign w:val="center"/>
          </w:tcPr>
          <w:p w14:paraId="408A55A6">
            <w:pPr>
              <w:tabs>
                <w:tab w:val="left" w:pos="2880"/>
              </w:tabs>
              <w:spacing w:line="0" w:lineRule="atLeast"/>
              <w:ind w:left="46" w:leftChars="19"/>
              <w:rPr>
                <w:rFonts w:hint="eastAsia" w:ascii="仿宋_GB2312" w:hAnsi="宋体" w:eastAsia="仿宋_GB2312" w:cs="宋体"/>
                <w:sz w:val="28"/>
                <w:szCs w:val="28"/>
              </w:rPr>
            </w:pPr>
            <w:r>
              <w:rPr>
                <w:rFonts w:hint="eastAsia" w:ascii="仿宋_GB2312" w:hAnsi="宋体" w:eastAsia="仿宋_GB2312" w:cs="宋体"/>
                <w:sz w:val="28"/>
                <w:szCs w:val="28"/>
              </w:rPr>
              <w:t>同类项目业绩</w:t>
            </w:r>
          </w:p>
        </w:tc>
        <w:tc>
          <w:tcPr>
            <w:tcW w:w="791" w:type="dxa"/>
            <w:tcBorders>
              <w:top w:val="single" w:color="auto" w:sz="4" w:space="0"/>
              <w:left w:val="single" w:color="auto" w:sz="4" w:space="0"/>
              <w:bottom w:val="single" w:color="auto" w:sz="4" w:space="0"/>
              <w:right w:val="single" w:color="auto" w:sz="4" w:space="0"/>
            </w:tcBorders>
            <w:vAlign w:val="center"/>
          </w:tcPr>
          <w:p w14:paraId="160489C3">
            <w:pPr>
              <w:pStyle w:val="44"/>
              <w:tabs>
                <w:tab w:val="left" w:pos="2880"/>
              </w:tabs>
              <w:spacing w:line="0" w:lineRule="atLeast"/>
              <w:ind w:left="46" w:leftChars="19"/>
              <w:rPr>
                <w:rFonts w:hint="eastAsia" w:ascii="仿宋_GB2312" w:hAnsi="宋体" w:eastAsia="仿宋_GB2312" w:cs="宋体"/>
                <w:sz w:val="28"/>
                <w:szCs w:val="28"/>
              </w:rPr>
            </w:pPr>
            <w:r>
              <w:rPr>
                <w:rFonts w:hint="eastAsia" w:ascii="仿宋_GB2312" w:hAnsi="宋体" w:eastAsia="仿宋_GB2312" w:cs="宋体"/>
                <w:sz w:val="28"/>
                <w:szCs w:val="28"/>
              </w:rPr>
              <w:t>30</w:t>
            </w:r>
          </w:p>
        </w:tc>
        <w:tc>
          <w:tcPr>
            <w:tcW w:w="5529" w:type="dxa"/>
            <w:tcBorders>
              <w:top w:val="single" w:color="auto" w:sz="4" w:space="0"/>
              <w:left w:val="single" w:color="auto" w:sz="4" w:space="0"/>
              <w:bottom w:val="single" w:color="auto" w:sz="4" w:space="0"/>
              <w:right w:val="single" w:color="auto" w:sz="4" w:space="0"/>
            </w:tcBorders>
            <w:vAlign w:val="center"/>
          </w:tcPr>
          <w:p w14:paraId="4725CA1E">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（一）评审内容：</w:t>
            </w:r>
          </w:p>
          <w:p w14:paraId="0FC7B74B">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投标人近3年（2020年8月1日以来）承担过类似服务项目的，每个项目得6分，本项最高得30分。</w:t>
            </w:r>
          </w:p>
          <w:p w14:paraId="7BCF7C47">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（二）评分依据：</w:t>
            </w:r>
          </w:p>
          <w:p w14:paraId="61DFAD4C">
            <w:pPr>
              <w:tabs>
                <w:tab w:val="left" w:pos="2880"/>
              </w:tabs>
              <w:spacing w:line="0" w:lineRule="atLeast"/>
              <w:ind w:left="46" w:leftChars="19" w:firstLine="560" w:firstLineChars="200"/>
              <w:rPr>
                <w:rFonts w:hint="eastAsia" w:ascii="仿宋_GB2312" w:hAnsi="宋体" w:eastAsia="仿宋_GB2312" w:cs="宋体"/>
                <w:sz w:val="28"/>
                <w:szCs w:val="28"/>
              </w:rPr>
            </w:pPr>
            <w:r>
              <w:rPr>
                <w:rFonts w:hint="eastAsia" w:ascii="仿宋_GB2312" w:hAnsi="宋体" w:eastAsia="仿宋_GB2312" w:cs="宋体"/>
                <w:sz w:val="28"/>
                <w:szCs w:val="28"/>
              </w:rPr>
              <w:t>提供项目合同（或协议）关键页（包括但不限于：合同名称页、合同主要内容页、合同签订日期页、合同双方签字盖章页）扫描件，原件备查。如未按要求提供证明材料，或所提供的证明材料未能体现上述评分内容的，视为该证明材料无效。</w:t>
            </w:r>
          </w:p>
        </w:tc>
      </w:tr>
    </w:tbl>
    <w:p w14:paraId="02830264">
      <w:pPr>
        <w:pStyle w:val="2"/>
        <w:rPr>
          <w:rFonts w:hint="eastAsia"/>
          <w:lang w:val="en-US" w:bidi="ar-SA"/>
        </w:rPr>
      </w:pPr>
    </w:p>
    <w:p w14:paraId="76FF5D83">
      <w:pPr>
        <w:pStyle w:val="2"/>
        <w:rPr>
          <w:rFonts w:hint="eastAsia"/>
          <w:lang w:val="en-US" w:bidi="ar-SA"/>
        </w:rPr>
      </w:pPr>
      <w:r>
        <w:rPr>
          <w:lang w:val="en-US" w:bidi="ar-SA"/>
        </w:rPr>
        <w:t xml:space="preserve"> </w:t>
      </w:r>
      <w:r>
        <w:rPr>
          <w:lang w:val="en-US" w:bidi="ar-SA"/>
        </w:rPr>
        <w:br w:type="page"/>
      </w:r>
    </w:p>
    <w:p w14:paraId="3DB36AB8">
      <w:pPr>
        <w:pStyle w:val="3"/>
      </w:pPr>
      <w:r>
        <w:rPr>
          <w:rFonts w:hint="eastAsia"/>
        </w:rPr>
        <w:t>第一章</w:t>
      </w:r>
      <w:bookmarkStart w:id="1" w:name="_Hlk133310639"/>
      <w:r>
        <w:rPr>
          <w:rFonts w:hint="eastAsia"/>
        </w:rPr>
        <w:t xml:space="preserve"> </w:t>
      </w:r>
      <w:bookmarkStart w:id="2" w:name="_Hlk171949755"/>
      <w:r>
        <w:rPr>
          <w:rFonts w:hint="eastAsia"/>
        </w:rPr>
        <w:t>招标公告</w:t>
      </w:r>
    </w:p>
    <w:bookmarkEnd w:id="1"/>
    <w:p w14:paraId="2711F6A1">
      <w:pPr>
        <w:spacing w:line="540" w:lineRule="exact"/>
        <w:ind w:firstLine="640" w:firstLineChars="200"/>
        <w:rPr>
          <w:rFonts w:ascii="仿宋_GB2312" w:eastAsia="仿宋_GB2312"/>
          <w:sz w:val="32"/>
          <w:szCs w:val="32"/>
        </w:rPr>
      </w:pPr>
      <w:r>
        <w:rPr>
          <w:rFonts w:hint="eastAsia" w:ascii="仿宋_GB2312" w:eastAsia="仿宋_GB2312"/>
          <w:sz w:val="32"/>
          <w:szCs w:val="32"/>
        </w:rPr>
        <w:t>根据《中华人民共和国政府采购法》《深圳经济特区政府采购条例》《深圳经济特区政府采购条例实施细则》等有关规定，我街道办就本项目采用公开招标的方式采购，接受合格的国内投标人提交密封投标。有关事项如下:</w:t>
      </w:r>
    </w:p>
    <w:p w14:paraId="772F3389">
      <w:pPr>
        <w:spacing w:line="540" w:lineRule="exact"/>
        <w:ind w:firstLine="643" w:firstLineChars="200"/>
        <w:rPr>
          <w:rFonts w:ascii="仿宋_GB2312" w:eastAsia="仿宋_GB2312"/>
          <w:sz w:val="32"/>
          <w:szCs w:val="32"/>
        </w:rPr>
      </w:pPr>
      <w:r>
        <w:rPr>
          <w:rFonts w:hint="eastAsia" w:ascii="仿宋_GB2312" w:eastAsia="仿宋_GB2312"/>
          <w:b/>
          <w:sz w:val="32"/>
          <w:szCs w:val="32"/>
        </w:rPr>
        <w:t>一、项目名称</w:t>
      </w:r>
      <w:r>
        <w:rPr>
          <w:rFonts w:hint="eastAsia" w:ascii="仿宋_GB2312" w:eastAsia="仿宋_GB2312"/>
          <w:sz w:val="32"/>
          <w:szCs w:val="32"/>
        </w:rPr>
        <w:t>:2025年度蛇口街道公共区域除“四害”及消杀红火蚁防控服务项目</w:t>
      </w:r>
    </w:p>
    <w:p w14:paraId="68D8FFAF">
      <w:pPr>
        <w:spacing w:line="540" w:lineRule="exact"/>
        <w:ind w:firstLine="643" w:firstLineChars="200"/>
        <w:rPr>
          <w:rFonts w:ascii="仿宋_GB2312" w:eastAsia="仿宋_GB2312"/>
          <w:b/>
          <w:sz w:val="32"/>
          <w:szCs w:val="32"/>
        </w:rPr>
      </w:pPr>
      <w:r>
        <w:rPr>
          <w:rFonts w:hint="eastAsia" w:ascii="仿宋_GB2312" w:eastAsia="仿宋_GB2312"/>
          <w:b/>
          <w:sz w:val="32"/>
          <w:szCs w:val="32"/>
        </w:rPr>
        <w:t>二、项目内容及需求:</w:t>
      </w:r>
    </w:p>
    <w:p w14:paraId="67D5D296">
      <w:pPr>
        <w:spacing w:line="540" w:lineRule="exact"/>
        <w:ind w:firstLine="640" w:firstLineChars="200"/>
        <w:rPr>
          <w:rFonts w:ascii="仿宋_GB2312" w:eastAsia="仿宋_GB2312"/>
          <w:sz w:val="32"/>
          <w:szCs w:val="32"/>
        </w:rPr>
      </w:pPr>
      <w:r>
        <w:rPr>
          <w:rFonts w:hint="eastAsia" w:ascii="仿宋_GB2312" w:eastAsia="仿宋_GB2312"/>
          <w:sz w:val="32"/>
          <w:szCs w:val="32"/>
        </w:rPr>
        <w:t>（一）项目类别:服务类</w:t>
      </w:r>
    </w:p>
    <w:p w14:paraId="10FCA18E">
      <w:pPr>
        <w:spacing w:line="540" w:lineRule="exact"/>
        <w:ind w:firstLine="640" w:firstLineChars="200"/>
        <w:rPr>
          <w:rFonts w:ascii="仿宋_GB2312" w:eastAsia="仿宋_GB2312"/>
          <w:sz w:val="32"/>
          <w:szCs w:val="32"/>
        </w:rPr>
      </w:pPr>
      <w:r>
        <w:rPr>
          <w:rFonts w:hint="eastAsia" w:ascii="仿宋_GB2312" w:eastAsia="仿宋_GB2312"/>
          <w:sz w:val="32"/>
          <w:szCs w:val="32"/>
        </w:rPr>
        <w:t>（二）项目预算:</w:t>
      </w:r>
      <w:r>
        <w:rPr>
          <w:rFonts w:ascii="仿宋_GB2312" w:eastAsia="仿宋_GB2312"/>
          <w:sz w:val="32"/>
          <w:szCs w:val="32"/>
        </w:rPr>
        <w:t>651700</w:t>
      </w:r>
      <w:r>
        <w:rPr>
          <w:rFonts w:hint="eastAsia" w:ascii="仿宋_GB2312" w:eastAsia="仿宋_GB2312"/>
          <w:sz w:val="32"/>
          <w:szCs w:val="32"/>
        </w:rPr>
        <w:t>元</w:t>
      </w:r>
    </w:p>
    <w:p w14:paraId="46CE8EFD">
      <w:pPr>
        <w:spacing w:line="540" w:lineRule="exact"/>
        <w:ind w:firstLine="640" w:firstLineChars="200"/>
        <w:rPr>
          <w:rFonts w:ascii="仿宋_GB2312" w:eastAsia="仿宋_GB2312"/>
          <w:sz w:val="32"/>
          <w:szCs w:val="32"/>
        </w:rPr>
      </w:pPr>
      <w:r>
        <w:rPr>
          <w:rFonts w:hint="eastAsia" w:ascii="仿宋_GB2312" w:eastAsia="仿宋_GB2312"/>
          <w:sz w:val="32"/>
          <w:szCs w:val="32"/>
        </w:rPr>
        <w:t>（三）评标方法:综合评分法</w:t>
      </w:r>
    </w:p>
    <w:p w14:paraId="7D5067E8">
      <w:pPr>
        <w:spacing w:line="540" w:lineRule="exact"/>
        <w:ind w:firstLine="640" w:firstLineChars="200"/>
        <w:rPr>
          <w:rFonts w:ascii="仿宋_GB2312" w:eastAsia="仿宋_GB2312"/>
          <w:sz w:val="32"/>
          <w:szCs w:val="32"/>
        </w:rPr>
      </w:pPr>
      <w:r>
        <w:rPr>
          <w:rFonts w:hint="eastAsia" w:ascii="仿宋_GB2312" w:eastAsia="仿宋_GB2312"/>
          <w:sz w:val="32"/>
          <w:szCs w:val="32"/>
        </w:rPr>
        <w:t>（四）项目需求:详见项目需求文件</w:t>
      </w:r>
    </w:p>
    <w:p w14:paraId="10AF33FC">
      <w:pPr>
        <w:spacing w:line="540" w:lineRule="exact"/>
        <w:ind w:firstLine="643" w:firstLineChars="200"/>
        <w:rPr>
          <w:rFonts w:ascii="仿宋_GB2312" w:eastAsia="仿宋_GB2312"/>
          <w:b/>
          <w:sz w:val="32"/>
          <w:szCs w:val="32"/>
        </w:rPr>
      </w:pPr>
      <w:r>
        <w:rPr>
          <w:rFonts w:hint="eastAsia" w:ascii="仿宋_GB2312" w:eastAsia="仿宋_GB2312"/>
          <w:b/>
          <w:sz w:val="32"/>
          <w:szCs w:val="32"/>
        </w:rPr>
        <w:t>三、投标人资质要求:</w:t>
      </w:r>
    </w:p>
    <w:p w14:paraId="48FABB07">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（一）具有独立承担民事责任能力的在中华人民共和国境内登记注册的法人或其他组织营业执照（或单位登记证书等相关证明材料）；</w:t>
      </w:r>
    </w:p>
    <w:p w14:paraId="7777128A">
      <w:pPr>
        <w:spacing w:line="540" w:lineRule="exact"/>
        <w:ind w:firstLine="640" w:firstLineChars="200"/>
        <w:rPr>
          <w:rFonts w:ascii="仿宋_GB2312" w:eastAsia="仿宋_GB2312"/>
          <w:sz w:val="32"/>
          <w:szCs w:val="32"/>
        </w:rPr>
      </w:pPr>
      <w:r>
        <w:rPr>
          <w:rFonts w:hint="eastAsia" w:ascii="仿宋_GB2312" w:eastAsia="仿宋_GB2312"/>
          <w:sz w:val="32"/>
          <w:szCs w:val="32"/>
        </w:rPr>
        <w:t>（二）投标人具备《政府采购法》第二十二条规定的条件，即投标人在参与本项目投标前三年内，在经营活动中没有重大违法记录以及参与本项目政府采购活动时不存在被有关部门禁止参与政府采购活动且在有效期内的情况（提供承诺函，承诺函格式详见招标文件“第三章投标文件格式、附件”)；</w:t>
      </w:r>
    </w:p>
    <w:p w14:paraId="2E0F3F15">
      <w:pPr>
        <w:spacing w:line="560" w:lineRule="exact"/>
        <w:ind w:firstLine="640" w:firstLineChars="200"/>
        <w:rPr>
          <w:rFonts w:ascii="仿宋_GB2312" w:eastAsia="仿宋_GB2312"/>
          <w:sz w:val="32"/>
          <w:szCs w:val="32"/>
        </w:rPr>
      </w:pPr>
      <w:r>
        <w:rPr>
          <w:rFonts w:hint="eastAsia" w:ascii="仿宋_GB2312" w:eastAsia="仿宋_GB2312"/>
          <w:sz w:val="32"/>
          <w:szCs w:val="32"/>
        </w:rPr>
        <w:t>（三）本项目不接受联合体投标人。</w:t>
      </w:r>
    </w:p>
    <w:p w14:paraId="19F3C15A">
      <w:pPr>
        <w:spacing w:line="540" w:lineRule="exact"/>
        <w:ind w:firstLine="643" w:firstLineChars="200"/>
        <w:rPr>
          <w:rFonts w:hint="eastAsia" w:ascii="黑体" w:hAnsi="黑体" w:eastAsia="黑体" w:cs="黑体"/>
          <w:bCs/>
          <w:sz w:val="32"/>
          <w:szCs w:val="32"/>
        </w:rPr>
      </w:pPr>
      <w:r>
        <w:rPr>
          <w:rFonts w:hint="eastAsia" w:ascii="仿宋_GB2312" w:eastAsia="仿宋_GB2312"/>
          <w:b/>
          <w:sz w:val="32"/>
          <w:szCs w:val="32"/>
        </w:rPr>
        <w:t>四、投标报名方式、投标截止时间、开标时间及地点</w:t>
      </w:r>
    </w:p>
    <w:p w14:paraId="374D606E">
      <w:pPr>
        <w:spacing w:line="560" w:lineRule="exact"/>
        <w:ind w:firstLine="640" w:firstLineChars="200"/>
        <w:rPr>
          <w:rFonts w:ascii="仿宋_GB2312" w:eastAsia="仿宋_GB2312"/>
          <w:sz w:val="32"/>
          <w:szCs w:val="32"/>
        </w:rPr>
      </w:pPr>
      <w:r>
        <w:rPr>
          <w:rFonts w:hint="eastAsia" w:ascii="仿宋_GB2312" w:eastAsia="仿宋_GB2312"/>
          <w:sz w:val="32"/>
          <w:szCs w:val="32"/>
        </w:rPr>
        <w:t>（一）获取招标文件方式：网上下载。</w:t>
      </w:r>
    </w:p>
    <w:p w14:paraId="2E79216C">
      <w:pPr>
        <w:spacing w:line="560" w:lineRule="exact"/>
        <w:ind w:firstLine="640" w:firstLineChars="200"/>
        <w:rPr>
          <w:rFonts w:ascii="仿宋_GB2312" w:eastAsia="仿宋_GB2312"/>
          <w:sz w:val="32"/>
          <w:szCs w:val="32"/>
        </w:rPr>
      </w:pPr>
      <w:r>
        <w:rPr>
          <w:rFonts w:hint="eastAsia" w:ascii="仿宋_GB2312" w:eastAsia="仿宋_GB2312"/>
          <w:sz w:val="32"/>
          <w:szCs w:val="32"/>
        </w:rPr>
        <w:t>（二）投标文件递交截止时间：2024年12月18日下午15:00（北京时间），所有投标文件递交于深圳市南山区蛇口街道。供应商代表应携带营业执照复印件或扫描件、法定代表人授权委托书、企业法人代表身份证复印件、委托人身份证复印件至深圳市南山区蛇口街道办办理递交。</w:t>
      </w:r>
    </w:p>
    <w:p w14:paraId="7803EE51">
      <w:pPr>
        <w:spacing w:line="560" w:lineRule="exact"/>
        <w:ind w:firstLine="640" w:firstLineChars="200"/>
        <w:rPr>
          <w:rFonts w:ascii="仿宋_GB2312" w:eastAsia="仿宋_GB2312"/>
          <w:sz w:val="32"/>
          <w:szCs w:val="32"/>
        </w:rPr>
      </w:pPr>
      <w:r>
        <w:rPr>
          <w:rFonts w:hint="eastAsia" w:ascii="仿宋_GB2312" w:eastAsia="仿宋_GB2312"/>
          <w:sz w:val="32"/>
          <w:szCs w:val="32"/>
        </w:rPr>
        <w:t>（三）开标地点：深圳市南山区蛇口街道办。</w:t>
      </w:r>
    </w:p>
    <w:p w14:paraId="49DAA192">
      <w:pPr>
        <w:spacing w:line="560" w:lineRule="exact"/>
        <w:ind w:firstLine="640" w:firstLineChars="200"/>
        <w:rPr>
          <w:rFonts w:ascii="仿宋_GB2312" w:eastAsia="仿宋_GB2312"/>
          <w:sz w:val="32"/>
          <w:szCs w:val="32"/>
        </w:rPr>
      </w:pPr>
      <w:r>
        <w:rPr>
          <w:rFonts w:hint="eastAsia" w:ascii="仿宋_GB2312" w:eastAsia="仿宋_GB2312"/>
          <w:sz w:val="32"/>
          <w:szCs w:val="32"/>
        </w:rPr>
        <w:t>（四）开标时间：投标截止后5个工作日内，深圳市南山区蛇口街道办召开评标会议。</w:t>
      </w:r>
    </w:p>
    <w:p w14:paraId="63753986">
      <w:pPr>
        <w:spacing w:line="560" w:lineRule="exact"/>
        <w:ind w:firstLine="640" w:firstLineChars="200"/>
        <w:rPr>
          <w:rFonts w:ascii="仿宋_GB2312" w:eastAsia="仿宋_GB2312"/>
          <w:sz w:val="32"/>
          <w:szCs w:val="32"/>
        </w:rPr>
      </w:pPr>
      <w:r>
        <w:rPr>
          <w:rFonts w:hint="eastAsia" w:ascii="仿宋_GB2312" w:eastAsia="仿宋_GB2312"/>
          <w:sz w:val="32"/>
          <w:szCs w:val="32"/>
        </w:rPr>
        <w:t>（五）投标人如果有特殊情况需撤标的，请在开标前一天以书面形式通知深圳市南山区蛇口街道办。</w:t>
      </w:r>
    </w:p>
    <w:p w14:paraId="232CC191">
      <w:pPr>
        <w:pStyle w:val="18"/>
        <w:shd w:val="clear" w:color="auto" w:fill="FFFFFF"/>
        <w:spacing w:before="0" w:beforeAutospacing="0" w:after="0" w:afterAutospacing="0" w:line="560" w:lineRule="exact"/>
        <w:ind w:firstLine="643" w:firstLineChars="200"/>
        <w:rPr>
          <w:rFonts w:ascii="仿宋_GB2312" w:hAnsi="Times New Roman" w:eastAsia="仿宋_GB2312"/>
          <w:b/>
          <w:kern w:val="2"/>
          <w:sz w:val="32"/>
          <w:szCs w:val="32"/>
        </w:rPr>
      </w:pPr>
      <w:r>
        <w:rPr>
          <w:rFonts w:hint="eastAsia" w:ascii="仿宋_GB2312" w:hAnsi="Times New Roman" w:eastAsia="仿宋_GB2312"/>
          <w:b/>
          <w:kern w:val="2"/>
          <w:sz w:val="32"/>
          <w:szCs w:val="32"/>
        </w:rPr>
        <w:t>五、公告期限及答疑事项</w:t>
      </w:r>
    </w:p>
    <w:p w14:paraId="070AA322">
      <w:pPr>
        <w:spacing w:line="560" w:lineRule="exact"/>
        <w:ind w:firstLine="640" w:firstLineChars="200"/>
        <w:rPr>
          <w:rFonts w:ascii="仿宋_GB2312" w:eastAsia="仿宋_GB2312"/>
          <w:sz w:val="32"/>
          <w:szCs w:val="32"/>
        </w:rPr>
      </w:pPr>
      <w:r>
        <w:rPr>
          <w:rFonts w:hint="eastAsia" w:ascii="仿宋_GB2312" w:eastAsia="仿宋_GB2312"/>
          <w:sz w:val="32"/>
          <w:szCs w:val="32"/>
        </w:rPr>
        <w:t>自2024年12月12日起至2024年12月18日止。2024年12月16日下午17:00前凡对招标文件的疑问以书面形式（包括认为招标文件的技术指标或参数存在排他性或歧视性条款）加盖单位公章送达深圳市南山区蛇口街道办，逾期不予受理。深圳市南山区蛇口街道办将通过官网公告的形式发布答疑事项。</w:t>
      </w:r>
    </w:p>
    <w:p w14:paraId="3E20FF75">
      <w:pPr>
        <w:spacing w:line="540" w:lineRule="exact"/>
        <w:ind w:firstLine="643" w:firstLineChars="200"/>
        <w:rPr>
          <w:rFonts w:ascii="仿宋_GB2312" w:eastAsia="仿宋_GB2312"/>
          <w:b/>
          <w:sz w:val="32"/>
          <w:szCs w:val="32"/>
        </w:rPr>
      </w:pPr>
      <w:r>
        <w:rPr>
          <w:rFonts w:hint="eastAsia" w:ascii="仿宋_GB2312" w:eastAsia="仿宋_GB2312"/>
          <w:b/>
          <w:sz w:val="32"/>
          <w:szCs w:val="32"/>
        </w:rPr>
        <w:t>六、采购人联系方式</w:t>
      </w:r>
    </w:p>
    <w:p w14:paraId="12F4F683">
      <w:pPr>
        <w:spacing w:line="520" w:lineRule="exact"/>
        <w:ind w:firstLine="640" w:firstLineChars="200"/>
        <w:rPr>
          <w:rFonts w:ascii="仿宋_GB2312" w:eastAsia="仿宋_GB2312"/>
          <w:sz w:val="32"/>
          <w:szCs w:val="32"/>
        </w:rPr>
      </w:pPr>
      <w:r>
        <w:rPr>
          <w:rFonts w:hint="eastAsia" w:ascii="仿宋_GB2312" w:eastAsia="仿宋_GB2312"/>
          <w:sz w:val="32"/>
          <w:szCs w:val="32"/>
        </w:rPr>
        <w:t>采购人:深圳市南山区蛇口街道办事处</w:t>
      </w:r>
    </w:p>
    <w:p w14:paraId="5AA1AC3F">
      <w:pPr>
        <w:spacing w:line="520" w:lineRule="exact"/>
        <w:ind w:firstLine="640" w:firstLineChars="200"/>
        <w:rPr>
          <w:rFonts w:ascii="仿宋_GB2312" w:eastAsia="仿宋_GB2312"/>
          <w:sz w:val="32"/>
          <w:szCs w:val="32"/>
        </w:rPr>
      </w:pPr>
      <w:r>
        <w:rPr>
          <w:rFonts w:hint="eastAsia" w:ascii="仿宋_GB2312" w:eastAsia="仿宋_GB2312"/>
          <w:sz w:val="32"/>
          <w:szCs w:val="32"/>
        </w:rPr>
        <w:t>地址：深圳市南山区白云路44号蛇口大厦九楼910</w:t>
      </w:r>
    </w:p>
    <w:p w14:paraId="0759D09F">
      <w:pPr>
        <w:spacing w:line="520" w:lineRule="exact"/>
        <w:ind w:firstLine="640" w:firstLineChars="200"/>
        <w:rPr>
          <w:rFonts w:ascii="仿宋_GB2312" w:eastAsia="仿宋_GB2312"/>
          <w:sz w:val="32"/>
          <w:szCs w:val="32"/>
        </w:rPr>
      </w:pPr>
      <w:r>
        <w:rPr>
          <w:rFonts w:hint="eastAsia" w:ascii="仿宋_GB2312" w:eastAsia="仿宋_GB2312"/>
          <w:sz w:val="32"/>
          <w:szCs w:val="32"/>
        </w:rPr>
        <w:t>联系人：李工</w:t>
      </w:r>
    </w:p>
    <w:p w14:paraId="2CF32F4A">
      <w:pPr>
        <w:spacing w:line="520" w:lineRule="exact"/>
        <w:ind w:firstLine="640" w:firstLineChars="200"/>
        <w:rPr>
          <w:rFonts w:ascii="仿宋_GB2312" w:eastAsia="仿宋_GB2312"/>
          <w:sz w:val="32"/>
          <w:szCs w:val="32"/>
        </w:rPr>
      </w:pPr>
      <w:r>
        <w:rPr>
          <w:rFonts w:hint="eastAsia" w:ascii="仿宋_GB2312" w:eastAsia="仿宋_GB2312"/>
          <w:sz w:val="32"/>
          <w:szCs w:val="32"/>
        </w:rPr>
        <w:t>联系电话：</w:t>
      </w:r>
      <w:r>
        <w:rPr>
          <w:rFonts w:ascii="仿宋_GB2312" w:eastAsia="仿宋_GB2312"/>
          <w:sz w:val="32"/>
          <w:szCs w:val="32"/>
        </w:rPr>
        <w:t>15602973660</w:t>
      </w:r>
    </w:p>
    <w:p w14:paraId="261D807B">
      <w:pPr>
        <w:spacing w:line="520" w:lineRule="exact"/>
        <w:ind w:firstLine="643" w:firstLineChars="200"/>
        <w:rPr>
          <w:rFonts w:ascii="仿宋_GB2312" w:eastAsia="仿宋_GB2312"/>
          <w:b/>
          <w:sz w:val="32"/>
          <w:szCs w:val="32"/>
        </w:rPr>
      </w:pPr>
      <w:r>
        <w:rPr>
          <w:rFonts w:hint="eastAsia" w:ascii="仿宋_GB2312" w:eastAsia="仿宋_GB2312"/>
          <w:b/>
          <w:sz w:val="32"/>
          <w:szCs w:val="32"/>
        </w:rPr>
        <w:t>七、招标咨询机构联系方式:</w:t>
      </w:r>
    </w:p>
    <w:p w14:paraId="54D6C7FF">
      <w:pPr>
        <w:spacing w:line="540" w:lineRule="exact"/>
        <w:ind w:firstLine="640" w:firstLineChars="200"/>
        <w:rPr>
          <w:rFonts w:ascii="仿宋_GB2312" w:eastAsia="仿宋_GB2312"/>
          <w:sz w:val="32"/>
          <w:szCs w:val="32"/>
        </w:rPr>
      </w:pPr>
      <w:r>
        <w:rPr>
          <w:rFonts w:hint="eastAsia" w:ascii="仿宋_GB2312" w:eastAsia="仿宋_GB2312"/>
          <w:sz w:val="32"/>
          <w:szCs w:val="32"/>
        </w:rPr>
        <w:t>机构名称：深圳市夏林商务服务有限公司</w:t>
      </w:r>
    </w:p>
    <w:p w14:paraId="4EC36F42">
      <w:pPr>
        <w:spacing w:line="540" w:lineRule="exact"/>
        <w:ind w:firstLine="640" w:firstLineChars="200"/>
        <w:rPr>
          <w:rFonts w:ascii="仿宋_GB2312" w:eastAsia="仿宋_GB2312"/>
          <w:sz w:val="32"/>
          <w:szCs w:val="32"/>
        </w:rPr>
      </w:pPr>
      <w:r>
        <w:rPr>
          <w:rFonts w:hint="eastAsia" w:ascii="仿宋_GB2312" w:eastAsia="仿宋_GB2312"/>
          <w:sz w:val="32"/>
          <w:szCs w:val="32"/>
        </w:rPr>
        <w:t>联系人</w:t>
      </w:r>
      <w:r>
        <w:rPr>
          <w:rFonts w:hint="eastAsia" w:ascii="仿宋_GB2312" w:eastAsia="仿宋_GB2312"/>
          <w:b/>
          <w:sz w:val="32"/>
          <w:szCs w:val="32"/>
        </w:rPr>
        <w:t>:</w:t>
      </w:r>
      <w:r>
        <w:rPr>
          <w:rFonts w:hint="eastAsia" w:ascii="仿宋_GB2312" w:eastAsia="仿宋_GB2312"/>
          <w:sz w:val="32"/>
          <w:szCs w:val="32"/>
        </w:rPr>
        <w:t>夏先生</w:t>
      </w:r>
    </w:p>
    <w:p w14:paraId="3A9006DA">
      <w:pPr>
        <w:spacing w:line="540" w:lineRule="exact"/>
        <w:ind w:firstLine="640" w:firstLineChars="200"/>
        <w:rPr>
          <w:rFonts w:ascii="仿宋_GB2312" w:eastAsia="仿宋_GB2312"/>
          <w:sz w:val="32"/>
          <w:szCs w:val="32"/>
        </w:rPr>
      </w:pPr>
      <w:r>
        <w:rPr>
          <w:rFonts w:hint="eastAsia" w:ascii="仿宋_GB2312" w:eastAsia="仿宋_GB2312"/>
          <w:sz w:val="32"/>
          <w:szCs w:val="32"/>
        </w:rPr>
        <w:t>联系电话</w:t>
      </w:r>
      <w:r>
        <w:rPr>
          <w:rFonts w:hint="eastAsia" w:ascii="仿宋_GB2312" w:eastAsia="仿宋_GB2312"/>
          <w:b/>
          <w:sz w:val="32"/>
          <w:szCs w:val="32"/>
        </w:rPr>
        <w:t>:</w:t>
      </w:r>
      <w:r>
        <w:rPr>
          <w:rFonts w:hint="eastAsia" w:ascii="仿宋_GB2312" w:eastAsia="仿宋_GB2312"/>
          <w:sz w:val="32"/>
          <w:szCs w:val="32"/>
        </w:rPr>
        <w:t>13760226694</w:t>
      </w:r>
    </w:p>
    <w:p w14:paraId="4263A4CC">
      <w:pPr>
        <w:pStyle w:val="2"/>
        <w:rPr>
          <w:rFonts w:hint="eastAsia"/>
        </w:rPr>
      </w:pPr>
    </w:p>
    <w:p w14:paraId="03B60A84">
      <w:pPr>
        <w:spacing w:line="540" w:lineRule="exact"/>
        <w:ind w:firstLine="640" w:firstLineChars="200"/>
        <w:jc w:val="right"/>
        <w:rPr>
          <w:rFonts w:ascii="仿宋_GB2312" w:eastAsia="仿宋_GB2312"/>
          <w:sz w:val="32"/>
          <w:szCs w:val="32"/>
        </w:rPr>
      </w:pPr>
      <w:r>
        <w:rPr>
          <w:rFonts w:hint="eastAsia" w:ascii="仿宋_GB2312" w:eastAsia="仿宋_GB2312"/>
          <w:sz w:val="32"/>
          <w:szCs w:val="32"/>
        </w:rPr>
        <w:t>深圳市南山区蛇口街道办事处</w:t>
      </w:r>
    </w:p>
    <w:p w14:paraId="0FC63C41">
      <w:pPr>
        <w:jc w:val="right"/>
      </w:pPr>
      <w:r>
        <w:rPr>
          <w:rFonts w:hint="eastAsia" w:ascii="仿宋_GB2312" w:eastAsia="仿宋_GB2312"/>
          <w:sz w:val="32"/>
          <w:szCs w:val="32"/>
        </w:rPr>
        <w:t>2024年12月12日</w:t>
      </w:r>
    </w:p>
    <w:bookmarkEnd w:id="2"/>
    <w:p w14:paraId="43024016">
      <w:pPr>
        <w:pStyle w:val="3"/>
      </w:pPr>
      <w:r>
        <w:br w:type="page"/>
      </w:r>
    </w:p>
    <w:p w14:paraId="486167DB">
      <w:pPr>
        <w:pStyle w:val="3"/>
      </w:pPr>
      <w:r>
        <w:rPr>
          <w:rFonts w:hint="eastAsia"/>
        </w:rPr>
        <w:t>第二章 项目需求</w:t>
      </w:r>
    </w:p>
    <w:p w14:paraId="5BDA0A8F">
      <w:pPr>
        <w:pStyle w:val="4"/>
      </w:pPr>
      <w:r>
        <w:rPr>
          <w:rFonts w:hint="eastAsia"/>
        </w:rPr>
        <w:t>一、项目概况</w:t>
      </w:r>
    </w:p>
    <w:p w14:paraId="32B21467">
      <w:pPr>
        <w:ind w:firstLine="640" w:firstLineChars="200"/>
        <w:rPr>
          <w:rFonts w:ascii="仿宋_GB2312" w:eastAsia="仿宋_GB2312"/>
          <w:sz w:val="32"/>
          <w:szCs w:val="32"/>
        </w:rPr>
      </w:pPr>
      <w:r>
        <w:rPr>
          <w:rFonts w:hint="eastAsia" w:ascii="仿宋_GB2312" w:eastAsia="仿宋_GB2312"/>
          <w:sz w:val="32"/>
          <w:szCs w:val="32"/>
        </w:rPr>
        <w:t>（一）项目名称：2025年度蛇口街道公共区域除“四害”消杀及红火蚁疫情防控服务项目</w:t>
      </w:r>
    </w:p>
    <w:p w14:paraId="74C5835D">
      <w:pPr>
        <w:ind w:firstLine="640" w:firstLineChars="200"/>
        <w:rPr>
          <w:rFonts w:ascii="仿宋_GB2312" w:eastAsia="仿宋_GB2312"/>
          <w:sz w:val="32"/>
          <w:szCs w:val="32"/>
        </w:rPr>
      </w:pPr>
      <w:r>
        <w:rPr>
          <w:rFonts w:hint="eastAsia" w:ascii="仿宋_GB2312" w:eastAsia="仿宋_GB2312"/>
          <w:sz w:val="32"/>
          <w:szCs w:val="32"/>
        </w:rPr>
        <w:t>（二）采购人：蛇口街道办事处</w:t>
      </w:r>
    </w:p>
    <w:p w14:paraId="584D7FB8">
      <w:pPr>
        <w:ind w:firstLine="640" w:firstLineChars="200"/>
        <w:rPr>
          <w:rFonts w:ascii="仿宋_GB2312" w:eastAsia="仿宋_GB2312"/>
          <w:sz w:val="32"/>
          <w:szCs w:val="32"/>
        </w:rPr>
      </w:pPr>
      <w:r>
        <w:rPr>
          <w:rFonts w:hint="eastAsia" w:ascii="仿宋_GB2312" w:eastAsia="仿宋_GB2312"/>
          <w:sz w:val="32"/>
          <w:szCs w:val="32"/>
        </w:rPr>
        <w:t>（三）采购方式：公开招标</w:t>
      </w:r>
      <w:r>
        <w:rPr>
          <w:rFonts w:ascii="仿宋_GB2312" w:eastAsia="仿宋_GB2312"/>
          <w:sz w:val="32"/>
          <w:szCs w:val="32"/>
        </w:rPr>
        <w:t xml:space="preserve"> </w:t>
      </w:r>
    </w:p>
    <w:p w14:paraId="30299647">
      <w:pPr>
        <w:ind w:firstLine="640" w:firstLineChars="200"/>
        <w:rPr>
          <w:rFonts w:ascii="仿宋_GB2312" w:eastAsia="仿宋_GB2312"/>
          <w:sz w:val="32"/>
          <w:szCs w:val="32"/>
        </w:rPr>
      </w:pPr>
      <w:r>
        <w:rPr>
          <w:rFonts w:hint="eastAsia" w:ascii="仿宋_GB2312" w:eastAsia="仿宋_GB2312"/>
          <w:sz w:val="32"/>
          <w:szCs w:val="32"/>
        </w:rPr>
        <w:t>（四）项目预算：</w:t>
      </w:r>
      <w:r>
        <w:rPr>
          <w:rFonts w:ascii="仿宋_GB2312" w:eastAsia="仿宋_GB2312"/>
          <w:sz w:val="32"/>
          <w:szCs w:val="32"/>
        </w:rPr>
        <w:t>651700</w:t>
      </w:r>
      <w:r>
        <w:rPr>
          <w:rFonts w:hint="eastAsia" w:ascii="仿宋_GB2312" w:eastAsia="仿宋_GB2312"/>
          <w:sz w:val="32"/>
          <w:szCs w:val="32"/>
        </w:rPr>
        <w:t>元</w:t>
      </w:r>
    </w:p>
    <w:p w14:paraId="4676F2DE">
      <w:pPr>
        <w:ind w:firstLine="640" w:firstLineChars="200"/>
        <w:rPr>
          <w:rFonts w:ascii="仿宋_GB2312" w:eastAsia="仿宋_GB2312"/>
          <w:sz w:val="32"/>
          <w:szCs w:val="32"/>
        </w:rPr>
      </w:pPr>
      <w:r>
        <w:rPr>
          <w:rFonts w:hint="eastAsia" w:ascii="仿宋_GB2312" w:eastAsia="仿宋_GB2312"/>
          <w:sz w:val="32"/>
          <w:szCs w:val="32"/>
        </w:rPr>
        <w:t>（五）项目背景：为进一步做好辖区餐饮店、排水沟、公园等场所的消杀工作，阻断病虫携带病毒的传播途径，有效落实“登革热”等传染病的防控工作，确保辖区环境卫生状况良好稳定，保障市民群众身体健康，执法队拟开展2025年度公共区域除“四害”消杀</w:t>
      </w:r>
      <w:r>
        <w:rPr>
          <w:rFonts w:hint="eastAsia" w:ascii="仿宋_GB2312" w:hAnsi="仿宋_GB2312" w:eastAsia="仿宋_GB2312" w:cs="仿宋_GB2312"/>
          <w:sz w:val="32"/>
          <w:szCs w:val="32"/>
        </w:rPr>
        <w:t>及红火蚁防控工作</w:t>
      </w:r>
      <w:r>
        <w:rPr>
          <w:rFonts w:hint="eastAsia" w:ascii="仿宋_GB2312" w:eastAsia="仿宋_GB2312"/>
          <w:sz w:val="32"/>
          <w:szCs w:val="32"/>
        </w:rPr>
        <w:t>服务招标工作</w:t>
      </w:r>
      <w:r>
        <w:rPr>
          <w:rFonts w:hint="eastAsia" w:ascii="仿宋" w:hAnsi="仿宋" w:eastAsia="仿宋" w:cs="仿宋_GB2312"/>
          <w:sz w:val="32"/>
          <w:szCs w:val="32"/>
        </w:rPr>
        <w:t>。</w:t>
      </w:r>
    </w:p>
    <w:p w14:paraId="6510C3FF">
      <w:pPr>
        <w:ind w:firstLine="640" w:firstLineChars="200"/>
        <w:rPr>
          <w:rFonts w:hint="eastAsia" w:ascii="仿宋_GB2312" w:eastAsia="仿宋_GB2312"/>
          <w:sz w:val="32"/>
          <w:szCs w:val="32"/>
        </w:rPr>
      </w:pPr>
      <w:r>
        <w:rPr>
          <w:rFonts w:hint="eastAsia" w:ascii="仿宋_GB2312" w:eastAsia="仿宋_GB2312"/>
          <w:sz w:val="32"/>
          <w:szCs w:val="32"/>
        </w:rPr>
        <w:t>（六）项目服务期：本项目为长期服务项目，服务期为自合同签订之日起12个月</w:t>
      </w:r>
      <w:r>
        <w:rPr>
          <w:rFonts w:ascii="仿宋_GB2312" w:eastAsia="仿宋_GB2312"/>
          <w:sz w:val="32"/>
          <w:szCs w:val="32"/>
          <w:lang w:eastAsia="zh-Hans"/>
        </w:rPr>
        <w:t>。</w:t>
      </w:r>
    </w:p>
    <w:p w14:paraId="4BF140E0">
      <w:pPr>
        <w:pStyle w:val="4"/>
        <w:ind w:firstLine="640"/>
      </w:pPr>
      <w:r>
        <w:rPr>
          <w:rFonts w:hint="eastAsia"/>
        </w:rPr>
        <w:t>二、服务内容及要求</w:t>
      </w:r>
    </w:p>
    <w:p w14:paraId="0152BA81">
      <w:pPr>
        <w:pStyle w:val="5"/>
        <w:spacing w:before="240" w:after="240" w:line="540" w:lineRule="exact"/>
        <w:ind w:firstLine="643"/>
      </w:pPr>
      <w:r>
        <w:rPr>
          <w:rFonts w:hint="eastAsia"/>
        </w:rPr>
        <w:t>（一）</w:t>
      </w:r>
      <w:r>
        <w:t>服务范围</w:t>
      </w:r>
    </w:p>
    <w:p w14:paraId="5DC99445">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蛇口街道全域范围内的所有公共场所（含市政道路绿化带、排水沟、食街外环境、待建地、堆场、垃圾压缩中转站、社区公园、荔枝林等），消杀面积约为275887㎡。</w:t>
      </w:r>
    </w:p>
    <w:p w14:paraId="1949F7C2">
      <w:pPr>
        <w:pStyle w:val="5"/>
        <w:spacing w:before="240" w:after="240" w:line="540" w:lineRule="exact"/>
        <w:ind w:firstLine="643"/>
      </w:pPr>
      <w:r>
        <w:rPr>
          <w:rFonts w:hint="eastAsia"/>
        </w:rPr>
        <w:t>（二）</w:t>
      </w:r>
      <w:r>
        <w:t>人员及设备配置最低要求</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3544"/>
        <w:gridCol w:w="1549"/>
        <w:gridCol w:w="2074"/>
      </w:tblGrid>
      <w:tr w14:paraId="29AF958F">
        <w:tblPrEx>
          <w:tblLayout w:type="fixed"/>
        </w:tblPrEx>
        <w:tc>
          <w:tcPr>
            <w:tcW w:w="1129" w:type="dxa"/>
          </w:tcPr>
          <w:p w14:paraId="45B28081">
            <w:pPr>
              <w:spacing w:line="540" w:lineRule="exact"/>
              <w:jc w:val="center"/>
              <w:rPr>
                <w:rFonts w:hint="eastAsia" w:ascii="仿宋" w:hAnsi="仿宋" w:eastAsia="仿宋"/>
                <w:sz w:val="32"/>
                <w:szCs w:val="32"/>
              </w:rPr>
            </w:pPr>
            <w:r>
              <w:rPr>
                <w:rFonts w:hint="eastAsia" w:ascii="仿宋" w:hAnsi="仿宋" w:eastAsia="仿宋"/>
                <w:sz w:val="32"/>
                <w:szCs w:val="32"/>
              </w:rPr>
              <w:t>序号</w:t>
            </w:r>
          </w:p>
        </w:tc>
        <w:tc>
          <w:tcPr>
            <w:tcW w:w="3544" w:type="dxa"/>
          </w:tcPr>
          <w:p w14:paraId="6BF8A316">
            <w:pPr>
              <w:spacing w:line="540" w:lineRule="exact"/>
              <w:jc w:val="center"/>
              <w:rPr>
                <w:rFonts w:hint="eastAsia" w:ascii="仿宋" w:hAnsi="仿宋" w:eastAsia="仿宋"/>
                <w:sz w:val="32"/>
                <w:szCs w:val="32"/>
              </w:rPr>
            </w:pPr>
            <w:r>
              <w:rPr>
                <w:rFonts w:hint="eastAsia" w:ascii="仿宋" w:hAnsi="仿宋" w:eastAsia="仿宋"/>
                <w:sz w:val="32"/>
                <w:szCs w:val="32"/>
              </w:rPr>
              <w:t>人员及设备类别</w:t>
            </w:r>
          </w:p>
        </w:tc>
        <w:tc>
          <w:tcPr>
            <w:tcW w:w="1549" w:type="dxa"/>
          </w:tcPr>
          <w:p w14:paraId="3C95751C">
            <w:pPr>
              <w:spacing w:line="540" w:lineRule="exact"/>
              <w:jc w:val="center"/>
              <w:rPr>
                <w:rFonts w:hint="eastAsia" w:ascii="仿宋" w:hAnsi="仿宋" w:eastAsia="仿宋"/>
                <w:sz w:val="32"/>
                <w:szCs w:val="32"/>
              </w:rPr>
            </w:pPr>
            <w:r>
              <w:rPr>
                <w:rFonts w:hint="eastAsia" w:ascii="仿宋" w:hAnsi="仿宋" w:eastAsia="仿宋"/>
                <w:sz w:val="32"/>
                <w:szCs w:val="32"/>
              </w:rPr>
              <w:t>数量</w:t>
            </w:r>
          </w:p>
        </w:tc>
        <w:tc>
          <w:tcPr>
            <w:tcW w:w="2074" w:type="dxa"/>
          </w:tcPr>
          <w:p w14:paraId="4CBA7F39">
            <w:pPr>
              <w:spacing w:line="540" w:lineRule="exact"/>
              <w:jc w:val="center"/>
              <w:rPr>
                <w:rFonts w:hint="eastAsia" w:ascii="仿宋" w:hAnsi="仿宋" w:eastAsia="仿宋"/>
                <w:sz w:val="32"/>
                <w:szCs w:val="32"/>
              </w:rPr>
            </w:pPr>
            <w:r>
              <w:rPr>
                <w:rFonts w:hint="eastAsia" w:ascii="仿宋" w:hAnsi="仿宋" w:eastAsia="仿宋"/>
                <w:sz w:val="32"/>
                <w:szCs w:val="32"/>
              </w:rPr>
              <w:t>备注</w:t>
            </w:r>
          </w:p>
        </w:tc>
      </w:tr>
      <w:tr w14:paraId="6C422144">
        <w:tblPrEx>
          <w:tblLayout w:type="fixed"/>
        </w:tblPrEx>
        <w:tc>
          <w:tcPr>
            <w:tcW w:w="1129" w:type="dxa"/>
          </w:tcPr>
          <w:p w14:paraId="50095F59">
            <w:pPr>
              <w:spacing w:line="540" w:lineRule="exact"/>
              <w:jc w:val="center"/>
              <w:rPr>
                <w:rFonts w:hint="eastAsia" w:ascii="仿宋" w:hAnsi="仿宋" w:eastAsia="仿宋"/>
                <w:sz w:val="32"/>
                <w:szCs w:val="32"/>
              </w:rPr>
            </w:pPr>
            <w:r>
              <w:rPr>
                <w:rFonts w:hint="eastAsia" w:ascii="仿宋" w:hAnsi="仿宋" w:eastAsia="仿宋"/>
                <w:sz w:val="32"/>
                <w:szCs w:val="32"/>
              </w:rPr>
              <w:t>1</w:t>
            </w:r>
          </w:p>
        </w:tc>
        <w:tc>
          <w:tcPr>
            <w:tcW w:w="3544" w:type="dxa"/>
          </w:tcPr>
          <w:p w14:paraId="129BAF5A">
            <w:pPr>
              <w:spacing w:line="540" w:lineRule="exact"/>
              <w:jc w:val="center"/>
              <w:rPr>
                <w:rFonts w:hint="eastAsia" w:ascii="仿宋" w:hAnsi="仿宋" w:eastAsia="仿宋"/>
                <w:sz w:val="32"/>
                <w:szCs w:val="32"/>
              </w:rPr>
            </w:pPr>
            <w:r>
              <w:rPr>
                <w:rFonts w:hint="eastAsia" w:ascii="仿宋" w:hAnsi="仿宋" w:eastAsia="仿宋"/>
                <w:sz w:val="32"/>
                <w:szCs w:val="32"/>
              </w:rPr>
              <w:t>专职服务人员</w:t>
            </w:r>
          </w:p>
        </w:tc>
        <w:tc>
          <w:tcPr>
            <w:tcW w:w="1549" w:type="dxa"/>
          </w:tcPr>
          <w:p w14:paraId="79A2D740">
            <w:pPr>
              <w:spacing w:line="540" w:lineRule="exact"/>
              <w:jc w:val="center"/>
              <w:rPr>
                <w:rFonts w:hint="eastAsia" w:ascii="仿宋" w:hAnsi="仿宋" w:eastAsia="仿宋"/>
                <w:sz w:val="32"/>
                <w:szCs w:val="32"/>
              </w:rPr>
            </w:pPr>
            <w:r>
              <w:rPr>
                <w:rFonts w:hint="eastAsia" w:ascii="仿宋" w:hAnsi="仿宋" w:eastAsia="仿宋"/>
                <w:sz w:val="32"/>
                <w:szCs w:val="32"/>
              </w:rPr>
              <w:t>5人</w:t>
            </w:r>
          </w:p>
        </w:tc>
        <w:tc>
          <w:tcPr>
            <w:tcW w:w="2074" w:type="dxa"/>
            <w:vMerge w:val="restart"/>
          </w:tcPr>
          <w:p w14:paraId="77289DFE">
            <w:pPr>
              <w:spacing w:line="540" w:lineRule="exact"/>
              <w:jc w:val="center"/>
              <w:rPr>
                <w:rFonts w:hint="eastAsia" w:ascii="仿宋" w:hAnsi="仿宋" w:eastAsia="仿宋"/>
                <w:sz w:val="32"/>
                <w:szCs w:val="32"/>
              </w:rPr>
            </w:pPr>
            <w:r>
              <w:rPr>
                <w:rFonts w:hint="eastAsia" w:ascii="仿宋" w:hAnsi="仿宋" w:eastAsia="仿宋"/>
                <w:sz w:val="32"/>
                <w:szCs w:val="32"/>
              </w:rPr>
              <w:t>专职人员必须具有市级及以上政府劳动部门颁发的有害生物</w:t>
            </w:r>
            <w:r>
              <w:rPr>
                <w:rFonts w:ascii="仿宋" w:hAnsi="仿宋" w:eastAsia="仿宋"/>
                <w:sz w:val="32"/>
                <w:szCs w:val="32"/>
              </w:rPr>
              <w:t>防制</w:t>
            </w:r>
            <w:r>
              <w:rPr>
                <w:rFonts w:hint="eastAsia" w:ascii="仿宋" w:hAnsi="仿宋" w:eastAsia="仿宋"/>
                <w:sz w:val="32"/>
                <w:szCs w:val="32"/>
              </w:rPr>
              <w:t>员职业资格证书</w:t>
            </w:r>
          </w:p>
        </w:tc>
      </w:tr>
      <w:tr w14:paraId="5FA778CA">
        <w:tblPrEx>
          <w:tblLayout w:type="fixed"/>
        </w:tblPrEx>
        <w:tc>
          <w:tcPr>
            <w:tcW w:w="1129" w:type="dxa"/>
          </w:tcPr>
          <w:p w14:paraId="4003219E">
            <w:pPr>
              <w:spacing w:line="540" w:lineRule="exact"/>
              <w:jc w:val="center"/>
              <w:rPr>
                <w:rFonts w:hint="eastAsia" w:ascii="仿宋" w:hAnsi="仿宋" w:eastAsia="仿宋"/>
                <w:sz w:val="32"/>
                <w:szCs w:val="32"/>
              </w:rPr>
            </w:pPr>
            <w:r>
              <w:rPr>
                <w:rFonts w:hint="eastAsia" w:ascii="仿宋" w:hAnsi="仿宋" w:eastAsia="仿宋"/>
                <w:sz w:val="32"/>
                <w:szCs w:val="32"/>
              </w:rPr>
              <w:t>2</w:t>
            </w:r>
          </w:p>
        </w:tc>
        <w:tc>
          <w:tcPr>
            <w:tcW w:w="3544" w:type="dxa"/>
          </w:tcPr>
          <w:p w14:paraId="532D843D">
            <w:pPr>
              <w:spacing w:line="540" w:lineRule="exact"/>
              <w:jc w:val="center"/>
              <w:rPr>
                <w:rFonts w:hint="eastAsia" w:ascii="仿宋" w:hAnsi="仿宋" w:eastAsia="仿宋"/>
                <w:sz w:val="32"/>
                <w:szCs w:val="32"/>
              </w:rPr>
            </w:pPr>
            <w:r>
              <w:rPr>
                <w:rFonts w:hint="eastAsia" w:ascii="仿宋" w:hAnsi="仿宋" w:eastAsia="仿宋"/>
                <w:sz w:val="32"/>
                <w:szCs w:val="32"/>
              </w:rPr>
              <w:t>工作车辆</w:t>
            </w:r>
          </w:p>
        </w:tc>
        <w:tc>
          <w:tcPr>
            <w:tcW w:w="1549" w:type="dxa"/>
          </w:tcPr>
          <w:p w14:paraId="1436E9D6">
            <w:pPr>
              <w:spacing w:line="540" w:lineRule="exact"/>
              <w:jc w:val="center"/>
              <w:rPr>
                <w:rFonts w:hint="eastAsia" w:ascii="仿宋" w:hAnsi="仿宋" w:eastAsia="仿宋"/>
                <w:sz w:val="32"/>
                <w:szCs w:val="32"/>
              </w:rPr>
            </w:pPr>
            <w:r>
              <w:rPr>
                <w:rFonts w:hint="eastAsia" w:ascii="仿宋" w:hAnsi="仿宋" w:eastAsia="仿宋"/>
                <w:sz w:val="32"/>
                <w:szCs w:val="32"/>
              </w:rPr>
              <w:t>1台</w:t>
            </w:r>
          </w:p>
        </w:tc>
        <w:tc>
          <w:tcPr>
            <w:tcW w:w="2074" w:type="dxa"/>
            <w:vMerge w:val="continue"/>
          </w:tcPr>
          <w:p w14:paraId="19B569C5">
            <w:pPr>
              <w:spacing w:line="540" w:lineRule="exact"/>
              <w:jc w:val="center"/>
              <w:rPr>
                <w:rFonts w:hint="eastAsia" w:ascii="仿宋" w:hAnsi="仿宋" w:eastAsia="仿宋"/>
                <w:sz w:val="32"/>
                <w:szCs w:val="32"/>
              </w:rPr>
            </w:pPr>
          </w:p>
        </w:tc>
      </w:tr>
      <w:tr w14:paraId="017366CB">
        <w:tblPrEx>
          <w:tblLayout w:type="fixed"/>
        </w:tblPrEx>
        <w:tc>
          <w:tcPr>
            <w:tcW w:w="1129" w:type="dxa"/>
          </w:tcPr>
          <w:p w14:paraId="36D1CF80">
            <w:pPr>
              <w:spacing w:line="540" w:lineRule="exact"/>
              <w:jc w:val="center"/>
              <w:rPr>
                <w:rFonts w:hint="eastAsia" w:ascii="仿宋" w:hAnsi="仿宋" w:eastAsia="仿宋"/>
                <w:sz w:val="32"/>
                <w:szCs w:val="32"/>
              </w:rPr>
            </w:pPr>
            <w:r>
              <w:rPr>
                <w:rFonts w:hint="eastAsia" w:ascii="仿宋" w:hAnsi="仿宋" w:eastAsia="仿宋"/>
                <w:sz w:val="32"/>
                <w:szCs w:val="32"/>
              </w:rPr>
              <w:t>3</w:t>
            </w:r>
          </w:p>
        </w:tc>
        <w:tc>
          <w:tcPr>
            <w:tcW w:w="3544" w:type="dxa"/>
          </w:tcPr>
          <w:p w14:paraId="2A122D7B">
            <w:pPr>
              <w:spacing w:line="540" w:lineRule="exact"/>
              <w:jc w:val="center"/>
              <w:rPr>
                <w:rFonts w:hint="eastAsia" w:ascii="仿宋" w:hAnsi="仿宋" w:eastAsia="仿宋"/>
                <w:sz w:val="32"/>
                <w:szCs w:val="32"/>
              </w:rPr>
            </w:pPr>
            <w:r>
              <w:rPr>
                <w:rFonts w:ascii="仿宋" w:hAnsi="仿宋" w:eastAsia="仿宋"/>
                <w:sz w:val="32"/>
                <w:szCs w:val="32"/>
              </w:rPr>
              <w:t>防制</w:t>
            </w:r>
            <w:r>
              <w:rPr>
                <w:rFonts w:hint="eastAsia" w:ascii="仿宋" w:hAnsi="仿宋" w:eastAsia="仿宋"/>
                <w:sz w:val="32"/>
                <w:szCs w:val="32"/>
              </w:rPr>
              <w:t>作业车</w:t>
            </w:r>
          </w:p>
        </w:tc>
        <w:tc>
          <w:tcPr>
            <w:tcW w:w="1549" w:type="dxa"/>
          </w:tcPr>
          <w:p w14:paraId="16678235">
            <w:pPr>
              <w:spacing w:line="540" w:lineRule="exact"/>
              <w:jc w:val="center"/>
              <w:rPr>
                <w:rFonts w:hint="eastAsia" w:ascii="仿宋" w:hAnsi="仿宋" w:eastAsia="仿宋"/>
                <w:sz w:val="32"/>
                <w:szCs w:val="32"/>
              </w:rPr>
            </w:pPr>
            <w:r>
              <w:rPr>
                <w:rFonts w:hint="eastAsia" w:ascii="仿宋" w:hAnsi="仿宋" w:eastAsia="仿宋"/>
                <w:sz w:val="32"/>
                <w:szCs w:val="32"/>
              </w:rPr>
              <w:t>1台</w:t>
            </w:r>
          </w:p>
        </w:tc>
        <w:tc>
          <w:tcPr>
            <w:tcW w:w="2074" w:type="dxa"/>
            <w:vMerge w:val="continue"/>
          </w:tcPr>
          <w:p w14:paraId="1BFAD96A">
            <w:pPr>
              <w:spacing w:line="540" w:lineRule="exact"/>
              <w:jc w:val="center"/>
              <w:rPr>
                <w:rFonts w:hint="eastAsia" w:ascii="仿宋" w:hAnsi="仿宋" w:eastAsia="仿宋"/>
                <w:sz w:val="32"/>
                <w:szCs w:val="32"/>
              </w:rPr>
            </w:pPr>
          </w:p>
        </w:tc>
      </w:tr>
      <w:tr w14:paraId="3CC5B6D0">
        <w:tblPrEx>
          <w:tblLayout w:type="fixed"/>
        </w:tblPrEx>
        <w:tc>
          <w:tcPr>
            <w:tcW w:w="1129" w:type="dxa"/>
          </w:tcPr>
          <w:p w14:paraId="433B1E76">
            <w:pPr>
              <w:spacing w:line="540" w:lineRule="exact"/>
              <w:jc w:val="center"/>
              <w:rPr>
                <w:rFonts w:hint="eastAsia" w:ascii="仿宋" w:hAnsi="仿宋" w:eastAsia="仿宋"/>
                <w:sz w:val="32"/>
                <w:szCs w:val="32"/>
              </w:rPr>
            </w:pPr>
            <w:r>
              <w:rPr>
                <w:rFonts w:hint="eastAsia" w:ascii="仿宋" w:hAnsi="仿宋" w:eastAsia="仿宋"/>
                <w:sz w:val="32"/>
                <w:szCs w:val="32"/>
              </w:rPr>
              <w:t>4</w:t>
            </w:r>
          </w:p>
        </w:tc>
        <w:tc>
          <w:tcPr>
            <w:tcW w:w="3544" w:type="dxa"/>
          </w:tcPr>
          <w:p w14:paraId="4E0C6EDB">
            <w:pPr>
              <w:spacing w:line="540" w:lineRule="exact"/>
              <w:jc w:val="center"/>
              <w:rPr>
                <w:rFonts w:hint="eastAsia" w:ascii="仿宋" w:hAnsi="仿宋" w:eastAsia="仿宋"/>
                <w:sz w:val="32"/>
                <w:szCs w:val="32"/>
              </w:rPr>
            </w:pPr>
            <w:r>
              <w:rPr>
                <w:rFonts w:hint="eastAsia" w:ascii="仿宋" w:hAnsi="仿宋" w:eastAsia="仿宋"/>
                <w:sz w:val="32"/>
                <w:szCs w:val="32"/>
              </w:rPr>
              <w:t>烟雾机</w:t>
            </w:r>
          </w:p>
        </w:tc>
        <w:tc>
          <w:tcPr>
            <w:tcW w:w="1549" w:type="dxa"/>
          </w:tcPr>
          <w:p w14:paraId="4E05B2A1">
            <w:pPr>
              <w:spacing w:line="540" w:lineRule="exact"/>
              <w:jc w:val="center"/>
              <w:rPr>
                <w:rFonts w:hint="eastAsia" w:ascii="仿宋" w:hAnsi="仿宋" w:eastAsia="仿宋"/>
                <w:sz w:val="32"/>
                <w:szCs w:val="32"/>
              </w:rPr>
            </w:pPr>
            <w:r>
              <w:rPr>
                <w:rFonts w:ascii="仿宋" w:hAnsi="仿宋" w:eastAsia="仿宋"/>
                <w:sz w:val="32"/>
                <w:szCs w:val="32"/>
              </w:rPr>
              <w:t>4</w:t>
            </w:r>
            <w:r>
              <w:rPr>
                <w:rFonts w:hint="eastAsia" w:ascii="仿宋" w:hAnsi="仿宋" w:eastAsia="仿宋"/>
                <w:sz w:val="32"/>
                <w:szCs w:val="32"/>
              </w:rPr>
              <w:t>台</w:t>
            </w:r>
          </w:p>
        </w:tc>
        <w:tc>
          <w:tcPr>
            <w:tcW w:w="2074" w:type="dxa"/>
            <w:vMerge w:val="continue"/>
          </w:tcPr>
          <w:p w14:paraId="4BA2B9FB">
            <w:pPr>
              <w:spacing w:line="540" w:lineRule="exact"/>
              <w:jc w:val="center"/>
              <w:rPr>
                <w:rFonts w:hint="eastAsia" w:ascii="仿宋" w:hAnsi="仿宋" w:eastAsia="仿宋"/>
                <w:sz w:val="32"/>
                <w:szCs w:val="32"/>
              </w:rPr>
            </w:pPr>
          </w:p>
        </w:tc>
      </w:tr>
      <w:tr w14:paraId="764A4115">
        <w:tblPrEx>
          <w:tblLayout w:type="fixed"/>
        </w:tblPrEx>
        <w:tc>
          <w:tcPr>
            <w:tcW w:w="1129" w:type="dxa"/>
          </w:tcPr>
          <w:p w14:paraId="0803213B">
            <w:pPr>
              <w:spacing w:line="540" w:lineRule="exact"/>
              <w:jc w:val="center"/>
              <w:rPr>
                <w:rFonts w:hint="eastAsia" w:ascii="仿宋" w:hAnsi="仿宋" w:eastAsia="仿宋"/>
                <w:sz w:val="32"/>
                <w:szCs w:val="32"/>
              </w:rPr>
            </w:pPr>
            <w:r>
              <w:rPr>
                <w:rFonts w:hint="eastAsia" w:ascii="仿宋" w:hAnsi="仿宋" w:eastAsia="仿宋"/>
                <w:sz w:val="32"/>
                <w:szCs w:val="32"/>
              </w:rPr>
              <w:t>5</w:t>
            </w:r>
          </w:p>
        </w:tc>
        <w:tc>
          <w:tcPr>
            <w:tcW w:w="3544" w:type="dxa"/>
          </w:tcPr>
          <w:p w14:paraId="7B1E9BD6">
            <w:pPr>
              <w:spacing w:line="540" w:lineRule="exact"/>
              <w:jc w:val="center"/>
              <w:rPr>
                <w:rFonts w:hint="eastAsia" w:ascii="仿宋" w:hAnsi="仿宋" w:eastAsia="仿宋"/>
                <w:b/>
                <w:sz w:val="32"/>
                <w:szCs w:val="32"/>
              </w:rPr>
            </w:pPr>
            <w:r>
              <w:rPr>
                <w:rFonts w:hint="eastAsia" w:ascii="仿宋" w:hAnsi="仿宋" w:eastAsia="仿宋"/>
                <w:sz w:val="32"/>
                <w:szCs w:val="32"/>
              </w:rPr>
              <w:t>背负式高压动力喷雾器</w:t>
            </w:r>
          </w:p>
        </w:tc>
        <w:tc>
          <w:tcPr>
            <w:tcW w:w="1549" w:type="dxa"/>
          </w:tcPr>
          <w:p w14:paraId="604D64EA">
            <w:pPr>
              <w:spacing w:line="540" w:lineRule="exact"/>
              <w:jc w:val="center"/>
              <w:rPr>
                <w:rFonts w:hint="eastAsia" w:ascii="仿宋" w:hAnsi="仿宋" w:eastAsia="仿宋"/>
                <w:sz w:val="32"/>
                <w:szCs w:val="32"/>
              </w:rPr>
            </w:pPr>
            <w:r>
              <w:rPr>
                <w:rFonts w:ascii="仿宋" w:hAnsi="仿宋" w:eastAsia="仿宋"/>
                <w:sz w:val="32"/>
                <w:szCs w:val="32"/>
              </w:rPr>
              <w:t>3</w:t>
            </w:r>
            <w:r>
              <w:rPr>
                <w:rFonts w:hint="eastAsia" w:ascii="仿宋" w:hAnsi="仿宋" w:eastAsia="仿宋"/>
                <w:sz w:val="32"/>
                <w:szCs w:val="32"/>
              </w:rPr>
              <w:t>台</w:t>
            </w:r>
          </w:p>
        </w:tc>
        <w:tc>
          <w:tcPr>
            <w:tcW w:w="2074" w:type="dxa"/>
            <w:vMerge w:val="continue"/>
          </w:tcPr>
          <w:p w14:paraId="14254EBC">
            <w:pPr>
              <w:spacing w:line="540" w:lineRule="exact"/>
              <w:jc w:val="center"/>
              <w:rPr>
                <w:rFonts w:hint="eastAsia" w:ascii="仿宋" w:hAnsi="仿宋" w:eastAsia="仿宋"/>
                <w:sz w:val="32"/>
                <w:szCs w:val="32"/>
              </w:rPr>
            </w:pPr>
          </w:p>
        </w:tc>
      </w:tr>
      <w:tr w14:paraId="69BEEC62">
        <w:tblPrEx>
          <w:tblLayout w:type="fixed"/>
        </w:tblPrEx>
        <w:tc>
          <w:tcPr>
            <w:tcW w:w="1129" w:type="dxa"/>
          </w:tcPr>
          <w:p w14:paraId="19AFCB13">
            <w:pPr>
              <w:spacing w:line="540" w:lineRule="exact"/>
              <w:jc w:val="center"/>
              <w:rPr>
                <w:rFonts w:hint="eastAsia" w:ascii="仿宋" w:hAnsi="仿宋" w:eastAsia="仿宋"/>
                <w:sz w:val="32"/>
                <w:szCs w:val="32"/>
              </w:rPr>
            </w:pPr>
            <w:r>
              <w:rPr>
                <w:rFonts w:hint="eastAsia" w:ascii="仿宋" w:hAnsi="仿宋" w:eastAsia="仿宋"/>
                <w:sz w:val="32"/>
                <w:szCs w:val="32"/>
              </w:rPr>
              <w:t>6</w:t>
            </w:r>
          </w:p>
        </w:tc>
        <w:tc>
          <w:tcPr>
            <w:tcW w:w="3544" w:type="dxa"/>
          </w:tcPr>
          <w:p w14:paraId="080E68E7">
            <w:pPr>
              <w:spacing w:line="540" w:lineRule="exact"/>
              <w:jc w:val="center"/>
              <w:rPr>
                <w:rFonts w:hint="eastAsia" w:ascii="仿宋" w:hAnsi="仿宋" w:eastAsia="仿宋"/>
                <w:b/>
                <w:sz w:val="32"/>
                <w:szCs w:val="32"/>
              </w:rPr>
            </w:pPr>
            <w:r>
              <w:rPr>
                <w:rFonts w:ascii="仿宋" w:hAnsi="仿宋" w:eastAsia="仿宋"/>
                <w:sz w:val="32"/>
                <w:szCs w:val="32"/>
              </w:rPr>
              <w:t>背负式超低容量喷雾器</w:t>
            </w:r>
          </w:p>
        </w:tc>
        <w:tc>
          <w:tcPr>
            <w:tcW w:w="1549" w:type="dxa"/>
          </w:tcPr>
          <w:p w14:paraId="2BDB26F5">
            <w:pPr>
              <w:spacing w:line="540" w:lineRule="exact"/>
              <w:jc w:val="center"/>
              <w:rPr>
                <w:rFonts w:hint="eastAsia" w:ascii="仿宋" w:hAnsi="仿宋" w:eastAsia="仿宋"/>
                <w:sz w:val="32"/>
                <w:szCs w:val="32"/>
              </w:rPr>
            </w:pPr>
            <w:r>
              <w:rPr>
                <w:rFonts w:hint="eastAsia" w:ascii="仿宋" w:hAnsi="仿宋" w:eastAsia="仿宋"/>
                <w:sz w:val="32"/>
                <w:szCs w:val="32"/>
              </w:rPr>
              <w:t>5台</w:t>
            </w:r>
          </w:p>
        </w:tc>
        <w:tc>
          <w:tcPr>
            <w:tcW w:w="2074" w:type="dxa"/>
            <w:vMerge w:val="continue"/>
          </w:tcPr>
          <w:p w14:paraId="117251F5">
            <w:pPr>
              <w:spacing w:line="540" w:lineRule="exact"/>
              <w:jc w:val="center"/>
              <w:rPr>
                <w:rFonts w:hint="eastAsia" w:ascii="仿宋" w:hAnsi="仿宋" w:eastAsia="仿宋"/>
                <w:sz w:val="32"/>
                <w:szCs w:val="32"/>
              </w:rPr>
            </w:pPr>
          </w:p>
        </w:tc>
      </w:tr>
    </w:tbl>
    <w:p w14:paraId="5C7F5746">
      <w:pPr>
        <w:pStyle w:val="5"/>
        <w:spacing w:before="240" w:after="240" w:line="540" w:lineRule="exact"/>
        <w:ind w:firstLine="643"/>
      </w:pPr>
      <w:r>
        <w:rPr>
          <w:rFonts w:hint="eastAsia"/>
        </w:rPr>
        <w:t>（三）</w:t>
      </w:r>
      <w:r>
        <w:t>除“四害”消杀服务作业要求</w:t>
      </w:r>
    </w:p>
    <w:p w14:paraId="1C43F2F2">
      <w:pPr>
        <w:pStyle w:val="6"/>
        <w:spacing w:line="540" w:lineRule="exact"/>
        <w:ind w:firstLine="643"/>
      </w:pPr>
      <w:r>
        <w:rPr>
          <w:rFonts w:hint="eastAsia"/>
        </w:rPr>
        <w:t>1、</w:t>
      </w:r>
      <w:r>
        <w:t>作业要求:</w:t>
      </w:r>
    </w:p>
    <w:p w14:paraId="75CBF192">
      <w:pPr>
        <w:spacing w:line="540" w:lineRule="exact"/>
        <w:ind w:firstLine="640" w:firstLineChars="200"/>
        <w:rPr>
          <w:rFonts w:hint="eastAsia" w:ascii="仿宋" w:hAnsi="仿宋" w:eastAsia="仿宋"/>
          <w:sz w:val="32"/>
          <w:szCs w:val="32"/>
        </w:rPr>
      </w:pPr>
      <w:r>
        <w:rPr>
          <w:rFonts w:ascii="仿宋" w:hAnsi="仿宋" w:eastAsia="仿宋"/>
          <w:sz w:val="32"/>
          <w:szCs w:val="32"/>
        </w:rPr>
        <w:t>（1）实施杀灭作业前，必须先到现场调查“四害”的本地情况，应对卫生害虫种类、栖息部位、密度状况及孳生环境等情况有全面的了解，因地制宜制订合理的害虫综合控制方案。</w:t>
      </w:r>
    </w:p>
    <w:p w14:paraId="2BFF6F11">
      <w:pPr>
        <w:spacing w:line="540" w:lineRule="exact"/>
        <w:ind w:firstLine="640" w:firstLineChars="200"/>
        <w:rPr>
          <w:rFonts w:hint="eastAsia" w:ascii="仿宋" w:hAnsi="仿宋" w:eastAsia="仿宋"/>
          <w:sz w:val="32"/>
          <w:szCs w:val="32"/>
        </w:rPr>
      </w:pPr>
      <w:r>
        <w:rPr>
          <w:rFonts w:ascii="仿宋" w:hAnsi="仿宋" w:eastAsia="仿宋"/>
          <w:sz w:val="32"/>
          <w:szCs w:val="32"/>
        </w:rPr>
        <w:t>（2）配备相应数量的药品、器械和个人防护用品。</w:t>
      </w:r>
    </w:p>
    <w:p w14:paraId="0154B0ED">
      <w:pPr>
        <w:spacing w:line="540" w:lineRule="exact"/>
        <w:ind w:firstLine="640" w:firstLineChars="200"/>
        <w:rPr>
          <w:rFonts w:hint="eastAsia" w:ascii="仿宋" w:hAnsi="仿宋" w:eastAsia="仿宋"/>
          <w:sz w:val="32"/>
          <w:szCs w:val="32"/>
        </w:rPr>
      </w:pPr>
      <w:r>
        <w:rPr>
          <w:rFonts w:ascii="仿宋" w:hAnsi="仿宋" w:eastAsia="仿宋"/>
          <w:sz w:val="32"/>
          <w:szCs w:val="32"/>
        </w:rPr>
        <w:t>（3）实施消杀作业，应遵守安全操作规定，合理用药，施工到位，保证防制效果，并防止药物污染环境。</w:t>
      </w:r>
    </w:p>
    <w:p w14:paraId="29142E18">
      <w:pPr>
        <w:spacing w:line="540" w:lineRule="exact"/>
        <w:ind w:firstLine="640" w:firstLineChars="200"/>
        <w:rPr>
          <w:rFonts w:hint="eastAsia" w:ascii="仿宋" w:hAnsi="仿宋" w:eastAsia="仿宋"/>
          <w:sz w:val="32"/>
          <w:szCs w:val="32"/>
        </w:rPr>
      </w:pPr>
      <w:r>
        <w:rPr>
          <w:rFonts w:ascii="仿宋" w:hAnsi="仿宋" w:eastAsia="仿宋"/>
          <w:sz w:val="32"/>
          <w:szCs w:val="32"/>
        </w:rPr>
        <w:t>（4）消杀作业完成后应认真填写除“四害”消杀工作记录，并做消杀记录等相关资料的 归档和整理。从事消杀的作业人员必须穿着统一公司标识的工作服装，佩带《上岗证》。</w:t>
      </w:r>
    </w:p>
    <w:p w14:paraId="063918D4">
      <w:pPr>
        <w:spacing w:line="540" w:lineRule="exact"/>
        <w:ind w:firstLine="640" w:firstLineChars="200"/>
        <w:rPr>
          <w:rFonts w:hint="eastAsia" w:ascii="仿宋" w:hAnsi="仿宋" w:eastAsia="仿宋"/>
          <w:sz w:val="32"/>
          <w:szCs w:val="32"/>
        </w:rPr>
      </w:pPr>
      <w:r>
        <w:rPr>
          <w:rFonts w:ascii="仿宋" w:hAnsi="仿宋" w:eastAsia="仿宋"/>
          <w:sz w:val="32"/>
          <w:szCs w:val="32"/>
        </w:rPr>
        <w:t>（5）根据“四害”种类和有关规定，定期进行密度监测或防制效果监测，资料及时统计分析上报并归档保存。</w:t>
      </w:r>
    </w:p>
    <w:p w14:paraId="577A2E48">
      <w:pPr>
        <w:pStyle w:val="6"/>
        <w:spacing w:line="540" w:lineRule="exact"/>
        <w:ind w:firstLine="643"/>
      </w:pPr>
      <w:r>
        <w:rPr>
          <w:rFonts w:hint="eastAsia"/>
        </w:rPr>
        <w:t>2、</w:t>
      </w:r>
      <w:r>
        <w:t>药物和器械要求</w:t>
      </w:r>
    </w:p>
    <w:p w14:paraId="054E5744">
      <w:pPr>
        <w:spacing w:line="540" w:lineRule="exact"/>
        <w:ind w:firstLine="640" w:firstLineChars="200"/>
        <w:rPr>
          <w:rFonts w:hint="eastAsia" w:ascii="仿宋" w:hAnsi="仿宋" w:eastAsia="仿宋"/>
          <w:sz w:val="32"/>
          <w:szCs w:val="32"/>
        </w:rPr>
      </w:pPr>
      <w:r>
        <w:rPr>
          <w:rFonts w:ascii="仿宋" w:hAnsi="仿宋" w:eastAsia="仿宋"/>
          <w:sz w:val="32"/>
          <w:szCs w:val="32"/>
        </w:rPr>
        <w:t>（1）使用的药物和器械优先选用微生物制剂一类生态环保药物，使用化学消杀药物必须是国家规定允许使用的卫生杀虫剂，确保病媒生物控制达到“安全、有效、环保”的要 求，用于本服务项目的消杀药物购置金额不低于中标金额的 20%；以上承诺，投标人须提 供承诺函（承诺函格式详见招标文件第四章投标文件格式、附件中的“承诺函”），否则视为对招标文件不响应。</w:t>
      </w:r>
    </w:p>
    <w:p w14:paraId="29767211">
      <w:pPr>
        <w:spacing w:line="540" w:lineRule="exact"/>
        <w:ind w:firstLine="640" w:firstLineChars="200"/>
        <w:rPr>
          <w:rFonts w:hint="eastAsia" w:ascii="仿宋" w:hAnsi="仿宋" w:eastAsia="仿宋"/>
          <w:sz w:val="32"/>
          <w:szCs w:val="32"/>
        </w:rPr>
      </w:pPr>
      <w:r>
        <w:rPr>
          <w:rFonts w:ascii="仿宋" w:hAnsi="仿宋" w:eastAsia="仿宋"/>
          <w:sz w:val="32"/>
          <w:szCs w:val="32"/>
        </w:rPr>
        <w:t>（2）服务区域内不得发生人、畜中毒等事故，杜绝污染环境，符合绿色环保的有关要求；</w:t>
      </w:r>
    </w:p>
    <w:p w14:paraId="4002D004">
      <w:pPr>
        <w:spacing w:line="540" w:lineRule="exact"/>
        <w:ind w:firstLine="640" w:firstLineChars="200"/>
        <w:rPr>
          <w:rFonts w:hint="eastAsia" w:ascii="仿宋" w:hAnsi="仿宋" w:eastAsia="仿宋"/>
          <w:sz w:val="32"/>
          <w:szCs w:val="32"/>
        </w:rPr>
      </w:pPr>
      <w:r>
        <w:rPr>
          <w:rFonts w:ascii="仿宋" w:hAnsi="仿宋" w:eastAsia="仿宋"/>
          <w:sz w:val="32"/>
          <w:szCs w:val="32"/>
        </w:rPr>
        <w:t>（3）不同类型药物的混合配伍用药，应注意到会否产生增效作用，并进行相应的测 试，避免两用配伍产生拮抗作用影响防制效果；</w:t>
      </w:r>
    </w:p>
    <w:p w14:paraId="46F2FB20">
      <w:pPr>
        <w:spacing w:line="540" w:lineRule="exact"/>
        <w:ind w:firstLine="640" w:firstLineChars="200"/>
        <w:rPr>
          <w:rFonts w:hint="eastAsia" w:ascii="仿宋" w:hAnsi="仿宋" w:eastAsia="仿宋"/>
          <w:sz w:val="32"/>
          <w:szCs w:val="32"/>
        </w:rPr>
      </w:pPr>
      <w:r>
        <w:rPr>
          <w:rFonts w:ascii="仿宋" w:hAnsi="仿宋" w:eastAsia="仿宋"/>
          <w:sz w:val="32"/>
          <w:szCs w:val="32"/>
        </w:rPr>
        <w:t>（4）药物在不同环境用于不同的防制对象时，应采用相配套的喷洒器械，滞留喷洒应 用手动或背负式、手推式机动喷雾器，特殊环境（下水道、电缆 沟、地下室、防空洞、垃圾场）喷杀应用热烟雾发生机或机动喷雾器。</w:t>
      </w:r>
    </w:p>
    <w:p w14:paraId="7298D403">
      <w:pPr>
        <w:spacing w:line="540" w:lineRule="exact"/>
        <w:ind w:firstLine="640" w:firstLineChars="200"/>
        <w:rPr>
          <w:rFonts w:hint="eastAsia" w:ascii="仿宋" w:hAnsi="仿宋" w:eastAsia="仿宋"/>
          <w:sz w:val="32"/>
          <w:szCs w:val="32"/>
        </w:rPr>
      </w:pPr>
      <w:r>
        <w:rPr>
          <w:rFonts w:ascii="仿宋" w:hAnsi="仿宋" w:eastAsia="仿宋"/>
          <w:sz w:val="32"/>
          <w:szCs w:val="32"/>
        </w:rPr>
        <w:t>（5）用病媒生物防制的药物，其性质应符合化学性质稳定，残效期长、高效低毒、安全，对人、畜及环境无害，且有显著的击倒和致死作用等要求；</w:t>
      </w:r>
    </w:p>
    <w:p w14:paraId="6C0A6BAD">
      <w:pPr>
        <w:spacing w:line="540" w:lineRule="exact"/>
        <w:ind w:firstLine="640" w:firstLineChars="200"/>
        <w:rPr>
          <w:rFonts w:hint="eastAsia" w:ascii="仿宋" w:hAnsi="仿宋" w:eastAsia="仿宋"/>
          <w:sz w:val="32"/>
          <w:szCs w:val="32"/>
        </w:rPr>
      </w:pPr>
      <w:r>
        <w:rPr>
          <w:rFonts w:ascii="仿宋" w:hAnsi="仿宋" w:eastAsia="仿宋"/>
          <w:sz w:val="32"/>
          <w:szCs w:val="32"/>
        </w:rPr>
        <w:t>（6）药物必须存放在专用仓库，分类离墙离地存放，并设专人负责管理，药物采购及进出仓库制度健全，存放药物的专用仓库应符合消防安全的有关规定，设置相应的通风、防火、防爆、报警等安全设施，并随时接受抽查和监管；</w:t>
      </w:r>
    </w:p>
    <w:p w14:paraId="66D1BDF6">
      <w:pPr>
        <w:spacing w:line="540" w:lineRule="exact"/>
        <w:ind w:firstLine="640" w:firstLineChars="200"/>
        <w:rPr>
          <w:rFonts w:hint="eastAsia" w:ascii="仿宋" w:hAnsi="仿宋" w:eastAsia="仿宋"/>
          <w:sz w:val="32"/>
          <w:szCs w:val="32"/>
        </w:rPr>
      </w:pPr>
      <w:r>
        <w:rPr>
          <w:rFonts w:ascii="仿宋" w:hAnsi="仿宋" w:eastAsia="仿宋"/>
          <w:sz w:val="32"/>
          <w:szCs w:val="32"/>
        </w:rPr>
        <w:t>（7）盛装药物的容器入库时须检查包装是否完好无损，药物使用完毕，应按照环境保护的有关规定，妥善处理；</w:t>
      </w:r>
    </w:p>
    <w:p w14:paraId="177178C9">
      <w:pPr>
        <w:pStyle w:val="6"/>
        <w:spacing w:line="540" w:lineRule="exact"/>
        <w:ind w:firstLine="643"/>
      </w:pPr>
      <w:r>
        <w:rPr>
          <w:rFonts w:hint="eastAsia"/>
        </w:rPr>
        <w:t>3、</w:t>
      </w:r>
      <w:r>
        <w:t>安全防护措施</w:t>
      </w:r>
    </w:p>
    <w:p w14:paraId="77337881">
      <w:pPr>
        <w:spacing w:line="540" w:lineRule="exact"/>
        <w:ind w:firstLine="640" w:firstLineChars="200"/>
        <w:rPr>
          <w:rFonts w:hint="eastAsia" w:ascii="仿宋" w:hAnsi="仿宋" w:eastAsia="仿宋"/>
          <w:sz w:val="32"/>
          <w:szCs w:val="32"/>
        </w:rPr>
      </w:pPr>
      <w:r>
        <w:rPr>
          <w:rFonts w:ascii="仿宋" w:hAnsi="仿宋" w:eastAsia="仿宋"/>
          <w:sz w:val="32"/>
          <w:szCs w:val="32"/>
        </w:rPr>
        <w:t>（1）消杀作业前须熟悉现场工作情况，明确工作安全要求，做好安全防护工作；</w:t>
      </w:r>
    </w:p>
    <w:p w14:paraId="0CA2E3A1">
      <w:pPr>
        <w:spacing w:line="540" w:lineRule="exact"/>
        <w:ind w:firstLine="640" w:firstLineChars="200"/>
        <w:rPr>
          <w:rFonts w:hint="eastAsia" w:ascii="仿宋" w:hAnsi="仿宋" w:eastAsia="仿宋"/>
          <w:sz w:val="32"/>
          <w:szCs w:val="32"/>
        </w:rPr>
      </w:pPr>
      <w:r>
        <w:rPr>
          <w:rFonts w:ascii="仿宋" w:hAnsi="仿宋" w:eastAsia="仿宋"/>
          <w:sz w:val="32"/>
          <w:szCs w:val="32"/>
        </w:rPr>
        <w:t>（2）从事卫生虫害防治从业人员必须经过职业培训，熟悉卫生杀虫器械的使用，并熟知所用药物说明书上的注意事项和急救措施；</w:t>
      </w:r>
    </w:p>
    <w:p w14:paraId="60034737">
      <w:pPr>
        <w:spacing w:line="540" w:lineRule="exact"/>
        <w:ind w:firstLine="640" w:firstLineChars="200"/>
        <w:rPr>
          <w:rFonts w:hint="eastAsia" w:ascii="仿宋" w:hAnsi="仿宋" w:eastAsia="仿宋"/>
          <w:sz w:val="32"/>
          <w:szCs w:val="32"/>
        </w:rPr>
      </w:pPr>
      <w:r>
        <w:rPr>
          <w:rFonts w:ascii="仿宋" w:hAnsi="仿宋" w:eastAsia="仿宋"/>
          <w:sz w:val="32"/>
          <w:szCs w:val="32"/>
        </w:rPr>
        <w:t>（3）药物稀释喷杀，操作人员应熟悉药物的性质和配制方法，使用专门的量具，按要求正确配制使用；</w:t>
      </w:r>
    </w:p>
    <w:p w14:paraId="78CFFDDE">
      <w:pPr>
        <w:spacing w:line="540" w:lineRule="exact"/>
        <w:ind w:firstLine="640" w:firstLineChars="200"/>
        <w:rPr>
          <w:rFonts w:hint="eastAsia" w:ascii="仿宋" w:hAnsi="仿宋" w:eastAsia="仿宋"/>
          <w:sz w:val="32"/>
          <w:szCs w:val="32"/>
        </w:rPr>
      </w:pPr>
      <w:r>
        <w:rPr>
          <w:rFonts w:ascii="仿宋" w:hAnsi="仿宋" w:eastAsia="仿宋"/>
          <w:sz w:val="32"/>
          <w:szCs w:val="32"/>
        </w:rPr>
        <w:t>（4）防制人员应以体魄健康的中青年为宜，凡皮肤病患者、有禁忌症及“三期”（即经期、孕期、哺乳期）妇女不得从事配药施药工作；</w:t>
      </w:r>
    </w:p>
    <w:p w14:paraId="5E4B1546">
      <w:pPr>
        <w:spacing w:line="540" w:lineRule="exact"/>
        <w:ind w:firstLine="640" w:firstLineChars="200"/>
        <w:rPr>
          <w:rFonts w:hint="eastAsia" w:ascii="仿宋" w:hAnsi="仿宋" w:eastAsia="仿宋"/>
          <w:sz w:val="32"/>
          <w:szCs w:val="32"/>
        </w:rPr>
      </w:pPr>
      <w:r>
        <w:rPr>
          <w:rFonts w:ascii="仿宋" w:hAnsi="仿宋" w:eastAsia="仿宋"/>
          <w:sz w:val="32"/>
          <w:szCs w:val="32"/>
        </w:rPr>
        <w:t>（5）禁止使用国家禁用药物，使用灭鼠及其他有危险的药物时设置施（投）药警告标志；</w:t>
      </w:r>
    </w:p>
    <w:p w14:paraId="017C005D">
      <w:pPr>
        <w:spacing w:line="540" w:lineRule="exact"/>
        <w:ind w:firstLine="640" w:firstLineChars="200"/>
        <w:rPr>
          <w:rFonts w:hint="eastAsia" w:ascii="仿宋" w:hAnsi="仿宋" w:eastAsia="仿宋"/>
          <w:sz w:val="32"/>
          <w:szCs w:val="32"/>
        </w:rPr>
      </w:pPr>
      <w:r>
        <w:rPr>
          <w:rFonts w:ascii="仿宋" w:hAnsi="仿宋" w:eastAsia="仿宋"/>
          <w:sz w:val="32"/>
          <w:szCs w:val="32"/>
        </w:rPr>
        <w:t>（6）提醒服务区域有关单位对易被污染的食物、用品、衣物等做好防护工作，对不能 施药的地方不得施用任何药物；</w:t>
      </w:r>
    </w:p>
    <w:p w14:paraId="0D26B2C6">
      <w:pPr>
        <w:spacing w:line="540" w:lineRule="exact"/>
        <w:ind w:firstLine="640" w:firstLineChars="200"/>
        <w:rPr>
          <w:rFonts w:hint="eastAsia" w:ascii="仿宋" w:hAnsi="仿宋" w:eastAsia="仿宋"/>
          <w:sz w:val="32"/>
          <w:szCs w:val="32"/>
        </w:rPr>
      </w:pPr>
      <w:r>
        <w:rPr>
          <w:rFonts w:ascii="仿宋" w:hAnsi="仿宋" w:eastAsia="仿宋"/>
          <w:sz w:val="32"/>
          <w:szCs w:val="32"/>
        </w:rPr>
        <w:t>（7）在操作及施工过程中必须穿着长袖衣、长裤和鞋袜，戴手套和防护口罩，佩带上岗证；</w:t>
      </w:r>
    </w:p>
    <w:p w14:paraId="20A5183F">
      <w:pPr>
        <w:spacing w:line="540" w:lineRule="exact"/>
        <w:ind w:firstLine="640" w:firstLineChars="200"/>
        <w:rPr>
          <w:rFonts w:hint="eastAsia" w:ascii="仿宋" w:hAnsi="仿宋" w:eastAsia="仿宋"/>
          <w:sz w:val="32"/>
          <w:szCs w:val="32"/>
        </w:rPr>
      </w:pPr>
      <w:r>
        <w:rPr>
          <w:rFonts w:ascii="仿宋" w:hAnsi="仿宋" w:eastAsia="仿宋"/>
          <w:sz w:val="32"/>
          <w:szCs w:val="32"/>
        </w:rPr>
        <w:t>（8）施药期间严禁吸烟、饮水和用餐，确实需要饮水时必须洗手，工作结束后要及时进行清洗；</w:t>
      </w:r>
    </w:p>
    <w:p w14:paraId="789FDE58">
      <w:pPr>
        <w:spacing w:line="540" w:lineRule="exact"/>
        <w:ind w:firstLine="640" w:firstLineChars="200"/>
        <w:rPr>
          <w:rFonts w:hint="eastAsia" w:ascii="仿宋" w:hAnsi="仿宋" w:eastAsia="仿宋"/>
          <w:sz w:val="32"/>
          <w:szCs w:val="32"/>
        </w:rPr>
      </w:pPr>
      <w:r>
        <w:rPr>
          <w:rFonts w:ascii="仿宋" w:hAnsi="仿宋" w:eastAsia="仿宋"/>
          <w:sz w:val="32"/>
          <w:szCs w:val="32"/>
        </w:rPr>
        <w:t>（9）施药时应按照药物的使用说明正确施用,施药前检查施药器械能否正常使用,各接头有无渗漏。药物喷洒时作业人员应在上风位,遵循顺风、退步、换班的喷洒原则，36</w:t>
      </w:r>
      <w:r>
        <w:rPr>
          <w:rFonts w:hint="eastAsia" w:ascii="仿宋" w:hAnsi="仿宋" w:eastAsia="仿宋"/>
          <w:sz w:val="32"/>
          <w:szCs w:val="32"/>
        </w:rPr>
        <w:t>℃</w:t>
      </w:r>
      <w:r>
        <w:rPr>
          <w:rFonts w:ascii="仿宋" w:hAnsi="仿宋" w:eastAsia="仿宋"/>
          <w:sz w:val="32"/>
          <w:szCs w:val="32"/>
        </w:rPr>
        <w:t>以上 高温或三级以上风力时暂停作业</w:t>
      </w:r>
      <w:r>
        <w:rPr>
          <w:rFonts w:hint="eastAsia" w:ascii="仿宋" w:hAnsi="仿宋" w:eastAsia="仿宋"/>
          <w:sz w:val="32"/>
          <w:szCs w:val="32"/>
        </w:rPr>
        <w:t>；</w:t>
      </w:r>
    </w:p>
    <w:p w14:paraId="2821DA08">
      <w:pPr>
        <w:spacing w:line="540" w:lineRule="exact"/>
        <w:ind w:firstLine="640" w:firstLineChars="200"/>
        <w:rPr>
          <w:rFonts w:hint="eastAsia" w:ascii="仿宋" w:hAnsi="仿宋" w:eastAsia="仿宋"/>
          <w:sz w:val="32"/>
          <w:szCs w:val="32"/>
        </w:rPr>
      </w:pPr>
      <w:r>
        <w:rPr>
          <w:rFonts w:ascii="仿宋" w:hAnsi="仿宋" w:eastAsia="仿宋"/>
          <w:sz w:val="32"/>
          <w:szCs w:val="32"/>
        </w:rPr>
        <w:t>（10）妥善保管药物,作业完成后及时检查和核对剩余药物的品种和数量是否与携带量 及消耗量相符。消杀器械、器具不得在施工现场清洗，以免污染室内外环境。</w:t>
      </w:r>
    </w:p>
    <w:p w14:paraId="35B6311C">
      <w:pPr>
        <w:pStyle w:val="6"/>
        <w:spacing w:line="540" w:lineRule="exact"/>
        <w:ind w:firstLine="643"/>
      </w:pPr>
      <w:r>
        <w:t>4</w:t>
      </w:r>
      <w:r>
        <w:rPr>
          <w:rFonts w:hint="eastAsia"/>
        </w:rPr>
        <w:t>、</w:t>
      </w:r>
      <w:r>
        <w:t>劳动保障要求</w:t>
      </w:r>
    </w:p>
    <w:p w14:paraId="2986CE99">
      <w:pPr>
        <w:spacing w:line="540" w:lineRule="exact"/>
        <w:ind w:firstLine="640" w:firstLineChars="200"/>
        <w:rPr>
          <w:rFonts w:hint="eastAsia" w:ascii="仿宋" w:hAnsi="仿宋" w:eastAsia="仿宋"/>
          <w:sz w:val="32"/>
          <w:szCs w:val="32"/>
        </w:rPr>
      </w:pPr>
      <w:r>
        <w:rPr>
          <w:rFonts w:ascii="仿宋" w:hAnsi="仿宋" w:eastAsia="仿宋"/>
          <w:sz w:val="32"/>
          <w:szCs w:val="32"/>
        </w:rPr>
        <w:t>（1）遵守劳动保障有关要求，与员工签定书面劳动合同；</w:t>
      </w:r>
    </w:p>
    <w:p w14:paraId="33B08BBD">
      <w:pPr>
        <w:spacing w:line="540" w:lineRule="exact"/>
        <w:ind w:firstLine="640" w:firstLineChars="200"/>
        <w:rPr>
          <w:rFonts w:hint="eastAsia" w:ascii="仿宋" w:hAnsi="仿宋" w:eastAsia="仿宋"/>
          <w:sz w:val="32"/>
          <w:szCs w:val="32"/>
        </w:rPr>
      </w:pPr>
      <w:r>
        <w:rPr>
          <w:rFonts w:ascii="仿宋" w:hAnsi="仿宋" w:eastAsia="仿宋"/>
          <w:sz w:val="32"/>
          <w:szCs w:val="32"/>
        </w:rPr>
        <w:t>（2）工资标准须符合深圳市最低工资标准，并根据当年最低标准的变动作出调整；</w:t>
      </w:r>
    </w:p>
    <w:p w14:paraId="16EDA86E">
      <w:pPr>
        <w:spacing w:line="540" w:lineRule="exact"/>
        <w:ind w:firstLine="640" w:firstLineChars="200"/>
        <w:rPr>
          <w:rFonts w:hint="eastAsia" w:ascii="仿宋" w:hAnsi="仿宋" w:eastAsia="仿宋"/>
          <w:sz w:val="32"/>
          <w:szCs w:val="32"/>
        </w:rPr>
      </w:pPr>
      <w:r>
        <w:rPr>
          <w:rFonts w:ascii="仿宋" w:hAnsi="仿宋" w:eastAsia="仿宋"/>
          <w:sz w:val="32"/>
          <w:szCs w:val="32"/>
        </w:rPr>
        <w:t>（3）根据从业人员数量购买社会保险；</w:t>
      </w:r>
    </w:p>
    <w:p w14:paraId="3663447A">
      <w:pPr>
        <w:spacing w:line="540" w:lineRule="exact"/>
        <w:ind w:firstLine="640" w:firstLineChars="200"/>
        <w:rPr>
          <w:rFonts w:hint="eastAsia" w:ascii="仿宋" w:hAnsi="仿宋" w:eastAsia="仿宋"/>
          <w:sz w:val="32"/>
          <w:szCs w:val="32"/>
        </w:rPr>
      </w:pPr>
      <w:r>
        <w:rPr>
          <w:rFonts w:ascii="仿宋" w:hAnsi="仿宋" w:eastAsia="仿宋"/>
          <w:sz w:val="32"/>
          <w:szCs w:val="32"/>
        </w:rPr>
        <w:t>（4）确保从业人员有正常休息的时间，不违反《劳动法》。</w:t>
      </w:r>
    </w:p>
    <w:p w14:paraId="1946BEDC">
      <w:pPr>
        <w:pStyle w:val="6"/>
        <w:spacing w:line="540" w:lineRule="exact"/>
        <w:ind w:firstLine="643"/>
      </w:pPr>
      <w:r>
        <w:rPr>
          <w:rFonts w:hint="eastAsia"/>
        </w:rPr>
        <w:t>5、</w:t>
      </w:r>
      <w:r>
        <w:t>服务组织方案</w:t>
      </w:r>
    </w:p>
    <w:p w14:paraId="4A14BCC9">
      <w:pPr>
        <w:spacing w:line="540" w:lineRule="exact"/>
        <w:ind w:firstLine="640" w:firstLineChars="200"/>
        <w:rPr>
          <w:rFonts w:hint="eastAsia" w:ascii="仿宋" w:hAnsi="仿宋" w:eastAsia="仿宋"/>
          <w:sz w:val="32"/>
          <w:szCs w:val="32"/>
        </w:rPr>
      </w:pPr>
      <w:r>
        <w:rPr>
          <w:rFonts w:ascii="仿宋" w:hAnsi="仿宋" w:eastAsia="仿宋"/>
          <w:sz w:val="32"/>
          <w:szCs w:val="32"/>
        </w:rPr>
        <w:t>投标人必须制定完整、可行、详细的消杀组织方案，明确组织机构、人员配备、消杀要求、质量标准、检查考核办法、安全措施、奖罚措施、应急预案等。</w:t>
      </w:r>
    </w:p>
    <w:p w14:paraId="189B5412">
      <w:pPr>
        <w:pStyle w:val="6"/>
        <w:spacing w:line="540" w:lineRule="exact"/>
        <w:ind w:firstLine="643"/>
      </w:pPr>
      <w:r>
        <w:rPr>
          <w:rFonts w:hint="eastAsia"/>
        </w:rPr>
        <w:t>6、</w:t>
      </w:r>
      <w:r>
        <w:t>质量管理和监督措施</w:t>
      </w:r>
    </w:p>
    <w:p w14:paraId="19F50358">
      <w:pPr>
        <w:spacing w:line="540" w:lineRule="exact"/>
        <w:ind w:firstLine="640" w:firstLineChars="200"/>
        <w:rPr>
          <w:rFonts w:hint="eastAsia" w:ascii="仿宋" w:hAnsi="仿宋" w:eastAsia="仿宋"/>
          <w:sz w:val="32"/>
          <w:szCs w:val="32"/>
        </w:rPr>
      </w:pPr>
      <w:r>
        <w:rPr>
          <w:rFonts w:ascii="仿宋" w:hAnsi="仿宋" w:eastAsia="仿宋"/>
          <w:sz w:val="32"/>
          <w:szCs w:val="32"/>
        </w:rPr>
        <w:t>（1）接受采购方监督检查, 服务质量考核评分按照《关于印发</w:t>
      </w:r>
      <w:r>
        <w:rPr>
          <w:rFonts w:hint="eastAsia" w:ascii="仿宋" w:hAnsi="仿宋" w:eastAsia="仿宋"/>
          <w:sz w:val="32"/>
          <w:szCs w:val="32"/>
        </w:rPr>
        <w:t>&lt;</w:t>
      </w:r>
      <w:r>
        <w:rPr>
          <w:rFonts w:ascii="仿宋" w:hAnsi="仿宋" w:eastAsia="仿宋"/>
          <w:sz w:val="32"/>
          <w:szCs w:val="32"/>
        </w:rPr>
        <w:t>南山区病媒生物防制服务质量考评办法</w:t>
      </w:r>
      <w:r>
        <w:rPr>
          <w:rFonts w:hint="eastAsia" w:ascii="仿宋" w:hAnsi="仿宋" w:eastAsia="仿宋"/>
          <w:sz w:val="32"/>
          <w:szCs w:val="32"/>
        </w:rPr>
        <w:t>&gt;</w:t>
      </w:r>
      <w:r>
        <w:rPr>
          <w:rFonts w:ascii="仿宋" w:hAnsi="仿宋" w:eastAsia="仿宋"/>
          <w:sz w:val="32"/>
          <w:szCs w:val="32"/>
        </w:rPr>
        <w:t>的通知》（深南爱卫办[2016]8号）和《南山区爱卫办病媒生物防制服 务质量奖惩办法》执行，采购方有权根据主管部门的有关要求对有关条款作出调整；</w:t>
      </w:r>
    </w:p>
    <w:p w14:paraId="678E0169">
      <w:pPr>
        <w:spacing w:line="540" w:lineRule="exact"/>
        <w:ind w:firstLine="640" w:firstLineChars="200"/>
        <w:rPr>
          <w:rFonts w:hint="eastAsia" w:ascii="仿宋" w:hAnsi="仿宋" w:eastAsia="仿宋"/>
          <w:sz w:val="32"/>
          <w:szCs w:val="32"/>
        </w:rPr>
      </w:pPr>
      <w:r>
        <w:rPr>
          <w:rFonts w:ascii="仿宋" w:hAnsi="仿宋" w:eastAsia="仿宋"/>
          <w:sz w:val="32"/>
          <w:szCs w:val="32"/>
        </w:rPr>
        <w:t>（2）积极配合主管单位开展爱国卫生运动，服从采购方因特殊情况下对消杀范围作相 应调整的安排，增加投药范围或使用指定药物；</w:t>
      </w:r>
    </w:p>
    <w:p w14:paraId="4DD90D0F">
      <w:pPr>
        <w:spacing w:line="540" w:lineRule="exact"/>
        <w:ind w:firstLine="640" w:firstLineChars="200"/>
        <w:rPr>
          <w:rFonts w:hint="eastAsia" w:ascii="仿宋" w:hAnsi="仿宋" w:eastAsia="仿宋"/>
          <w:sz w:val="32"/>
          <w:szCs w:val="32"/>
        </w:rPr>
      </w:pPr>
      <w:r>
        <w:rPr>
          <w:rFonts w:ascii="仿宋" w:hAnsi="仿宋" w:eastAsia="仿宋"/>
          <w:sz w:val="32"/>
          <w:szCs w:val="32"/>
        </w:rPr>
        <w:t>（3）因违规使用药物或施工不当造成人员伤亡及经济损失的，中标人承担一切经济损 失和法律责任，且采购方有权立即终止合同；</w:t>
      </w:r>
    </w:p>
    <w:p w14:paraId="1AD6D237">
      <w:pPr>
        <w:spacing w:line="540" w:lineRule="exact"/>
        <w:ind w:firstLine="640" w:firstLineChars="200"/>
        <w:rPr>
          <w:rFonts w:hint="eastAsia" w:ascii="仿宋" w:hAnsi="仿宋" w:eastAsia="仿宋"/>
          <w:sz w:val="32"/>
          <w:szCs w:val="32"/>
        </w:rPr>
      </w:pPr>
      <w:r>
        <w:rPr>
          <w:rFonts w:ascii="仿宋" w:hAnsi="仿宋" w:eastAsia="仿宋"/>
          <w:sz w:val="32"/>
          <w:szCs w:val="32"/>
        </w:rPr>
        <w:t>（4）不得将本服务项目进行分包或转包给任何单位和个人。否则，采购方有权立即终 止合同，并要求中标人赔偿相应损失；</w:t>
      </w:r>
    </w:p>
    <w:p w14:paraId="3E4B52AF">
      <w:pPr>
        <w:spacing w:line="540" w:lineRule="exact"/>
        <w:ind w:firstLine="640" w:firstLineChars="200"/>
        <w:rPr>
          <w:rFonts w:hint="eastAsia" w:ascii="仿宋" w:hAnsi="仿宋" w:eastAsia="仿宋"/>
          <w:sz w:val="32"/>
          <w:szCs w:val="32"/>
        </w:rPr>
      </w:pPr>
      <w:r>
        <w:rPr>
          <w:rFonts w:ascii="仿宋" w:hAnsi="仿宋" w:eastAsia="仿宋"/>
          <w:sz w:val="32"/>
          <w:szCs w:val="32"/>
        </w:rPr>
        <w:t>（5）对本服务项目的实施不得弄虚作假，否则终止合同；</w:t>
      </w:r>
    </w:p>
    <w:p w14:paraId="6AAFE115">
      <w:pPr>
        <w:spacing w:line="540" w:lineRule="exact"/>
        <w:ind w:firstLine="640" w:firstLineChars="200"/>
        <w:rPr>
          <w:rFonts w:hint="eastAsia" w:ascii="仿宋" w:hAnsi="仿宋" w:eastAsia="仿宋"/>
          <w:sz w:val="32"/>
          <w:szCs w:val="32"/>
        </w:rPr>
      </w:pPr>
      <w:r>
        <w:rPr>
          <w:rFonts w:ascii="仿宋" w:hAnsi="仿宋" w:eastAsia="仿宋"/>
          <w:sz w:val="32"/>
          <w:szCs w:val="32"/>
        </w:rPr>
        <w:t>（6）不得违反劳动法的有关规定，否则终止合同；</w:t>
      </w:r>
    </w:p>
    <w:p w14:paraId="785AD6D7">
      <w:pPr>
        <w:spacing w:line="540" w:lineRule="exact"/>
        <w:ind w:firstLine="640" w:firstLineChars="200"/>
        <w:rPr>
          <w:rFonts w:hint="eastAsia" w:ascii="仿宋" w:hAnsi="仿宋" w:eastAsia="仿宋"/>
          <w:sz w:val="32"/>
          <w:szCs w:val="32"/>
        </w:rPr>
      </w:pPr>
      <w:r>
        <w:rPr>
          <w:rFonts w:ascii="仿宋" w:hAnsi="仿宋" w:eastAsia="仿宋"/>
          <w:sz w:val="32"/>
          <w:szCs w:val="32"/>
        </w:rPr>
        <w:t>（7）消杀服务质量考评不达标，经整改无明显改善的，按照《南山区病媒生物防制服 务质量考评办法》和《南山区爱卫办病媒生物防制服务质量奖惩办法》有关的处罚条款进行 扣款处罚。</w:t>
      </w:r>
    </w:p>
    <w:p w14:paraId="4FF0EBBE">
      <w:pPr>
        <w:pStyle w:val="5"/>
        <w:spacing w:before="240" w:after="240" w:line="540" w:lineRule="exact"/>
        <w:ind w:firstLine="643"/>
      </w:pPr>
      <w:r>
        <w:rPr>
          <w:rFonts w:hint="eastAsia"/>
        </w:rPr>
        <w:t>（四）</w:t>
      </w:r>
      <w:r>
        <w:t>白蚁防治作业要求</w:t>
      </w:r>
    </w:p>
    <w:p w14:paraId="6890B8C1">
      <w:pPr>
        <w:pStyle w:val="6"/>
        <w:spacing w:line="540" w:lineRule="exact"/>
        <w:ind w:firstLine="643"/>
      </w:pPr>
      <w:r>
        <w:rPr>
          <w:rFonts w:hint="eastAsia"/>
        </w:rPr>
        <w:t>1、</w:t>
      </w:r>
      <w:r>
        <w:t>作业要求:</w:t>
      </w:r>
    </w:p>
    <w:p w14:paraId="130CB110">
      <w:pPr>
        <w:spacing w:line="540" w:lineRule="exact"/>
        <w:ind w:firstLine="640" w:firstLineChars="200"/>
        <w:rPr>
          <w:rFonts w:hint="eastAsia" w:ascii="仿宋" w:hAnsi="仿宋" w:eastAsia="仿宋"/>
          <w:sz w:val="32"/>
          <w:szCs w:val="32"/>
        </w:rPr>
      </w:pPr>
      <w:r>
        <w:rPr>
          <w:rFonts w:ascii="仿宋" w:hAnsi="仿宋" w:eastAsia="仿宋"/>
          <w:sz w:val="32"/>
          <w:szCs w:val="32"/>
        </w:rPr>
        <w:t>（1）全面登记造册。本项目中标方须在招标完成后一个月内向采购方提交中标标段市 政道路行道树、城中村古树及公园树木白蚁侵蚀的本底调查资料，并因地制宜制订合理的害虫综合控制方案。</w:t>
      </w:r>
    </w:p>
    <w:p w14:paraId="68F16A55">
      <w:pPr>
        <w:spacing w:line="540" w:lineRule="exact"/>
        <w:ind w:firstLine="640" w:firstLineChars="200"/>
        <w:rPr>
          <w:rFonts w:hint="eastAsia" w:ascii="仿宋" w:hAnsi="仿宋" w:eastAsia="仿宋"/>
          <w:sz w:val="32"/>
          <w:szCs w:val="32"/>
        </w:rPr>
      </w:pPr>
      <w:r>
        <w:rPr>
          <w:rFonts w:ascii="仿宋" w:hAnsi="仿宋" w:eastAsia="仿宋"/>
          <w:sz w:val="32"/>
          <w:szCs w:val="32"/>
        </w:rPr>
        <w:t>（2）全面进行灭治和预防，防重于治。每月对防治范围进行全面检查，发现白蚁害情 即施传染性药物或采取其他有效灭杀措施。加强对景观路段、景观节点、市政公园等重点 场所，以及古树、名贵树、易受白蚁为害等重点树木的管理，进行全面和有效的药物预防 处理。采用的药物应对树木生长无害，不污染环境的高效和低毒药物。</w:t>
      </w:r>
    </w:p>
    <w:p w14:paraId="10892F93">
      <w:pPr>
        <w:spacing w:line="540" w:lineRule="exact"/>
        <w:ind w:firstLine="640" w:firstLineChars="200"/>
        <w:rPr>
          <w:rFonts w:hint="eastAsia" w:ascii="仿宋" w:hAnsi="仿宋" w:eastAsia="仿宋"/>
          <w:sz w:val="32"/>
          <w:szCs w:val="32"/>
        </w:rPr>
      </w:pPr>
      <w:r>
        <w:rPr>
          <w:rFonts w:ascii="仿宋" w:hAnsi="仿宋" w:eastAsia="仿宋"/>
          <w:sz w:val="32"/>
          <w:szCs w:val="32"/>
        </w:rPr>
        <w:t>（3）进行施工前应与施工范围相应的管理部门联系，做好白蚁防治作业记录，详细记 录白蚁危害情况、白蚁种类、蚁巢位置、施药种类、药量、效果情况等，并做好资料的归档 和管理，巡查工作记录须每月提交采购方签字确认， 作为考核验收的重要依据。每半年须 向采购方提交半年度工作总结。</w:t>
      </w:r>
    </w:p>
    <w:p w14:paraId="79F2D511">
      <w:pPr>
        <w:spacing w:line="540" w:lineRule="exact"/>
        <w:ind w:firstLine="640" w:firstLineChars="200"/>
        <w:rPr>
          <w:rFonts w:hint="eastAsia" w:ascii="仿宋" w:hAnsi="仿宋" w:eastAsia="仿宋"/>
          <w:sz w:val="32"/>
          <w:szCs w:val="32"/>
        </w:rPr>
      </w:pPr>
      <w:r>
        <w:rPr>
          <w:rFonts w:ascii="仿宋" w:hAnsi="仿宋" w:eastAsia="仿宋"/>
          <w:sz w:val="32"/>
          <w:szCs w:val="32"/>
        </w:rPr>
        <w:t>（4）消杀作业完成后应认真填写消杀工作记录，并做消杀记录等相关资料的归档和整 理。从事消杀的作业人员必须穿着统一公司标识的工作服装，佩带《上岗证》。</w:t>
      </w:r>
    </w:p>
    <w:p w14:paraId="73E4F5FE">
      <w:pPr>
        <w:pStyle w:val="5"/>
        <w:spacing w:before="240" w:after="240" w:line="540" w:lineRule="exact"/>
        <w:ind w:firstLine="643"/>
      </w:pPr>
      <w:r>
        <w:rPr>
          <w:rFonts w:hint="eastAsia"/>
        </w:rPr>
        <w:t>（五）红火蚁</w:t>
      </w:r>
      <w:r>
        <w:t>蚁防治作业要求</w:t>
      </w:r>
    </w:p>
    <w:p w14:paraId="31BE0530">
      <w:pPr>
        <w:ind w:firstLine="640" w:firstLineChars="200"/>
        <w:rPr>
          <w:rFonts w:hint="eastAsia" w:ascii="仿宋" w:hAnsi="仿宋" w:eastAsia="仿宋"/>
          <w:sz w:val="32"/>
          <w:szCs w:val="32"/>
        </w:rPr>
      </w:pPr>
      <w:r>
        <w:rPr>
          <w:rFonts w:hint="eastAsia" w:ascii="仿宋" w:hAnsi="仿宋" w:eastAsia="仿宋"/>
          <w:sz w:val="32"/>
          <w:szCs w:val="32"/>
        </w:rPr>
        <w:t>1、发生疫情时，甲方有权要求乙方及时对辖区的公共场所进行疫情消杀。</w:t>
      </w:r>
    </w:p>
    <w:p w14:paraId="61D9DC46">
      <w:pPr>
        <w:ind w:firstLine="640" w:firstLineChars="200"/>
        <w:rPr>
          <w:rFonts w:hint="eastAsia" w:ascii="仿宋" w:hAnsi="仿宋" w:eastAsia="仿宋"/>
          <w:sz w:val="32"/>
          <w:szCs w:val="32"/>
        </w:rPr>
      </w:pPr>
      <w:r>
        <w:rPr>
          <w:rFonts w:hint="eastAsia" w:ascii="仿宋" w:hAnsi="仿宋" w:eastAsia="仿宋"/>
          <w:sz w:val="32"/>
          <w:szCs w:val="32"/>
        </w:rPr>
        <w:t>2、如乙方在消杀过程中发生的一切安全事故，由乙方承担，甲方概不负责。</w:t>
      </w:r>
    </w:p>
    <w:p w14:paraId="7DE46176">
      <w:pPr>
        <w:ind w:firstLine="640" w:firstLineChars="200"/>
        <w:rPr>
          <w:rFonts w:hint="eastAsia" w:ascii="仿宋" w:hAnsi="仿宋" w:eastAsia="仿宋"/>
          <w:sz w:val="32"/>
          <w:szCs w:val="32"/>
        </w:rPr>
      </w:pPr>
      <w:r>
        <w:rPr>
          <w:rFonts w:hint="eastAsia" w:ascii="仿宋" w:hAnsi="仿宋" w:eastAsia="仿宋"/>
          <w:sz w:val="32"/>
          <w:szCs w:val="32"/>
        </w:rPr>
        <w:t>3、严格按《农药安全使用管理规定》（农牧渔业部1982年6月5日发布）做好安全防护措施，不得擅自使用污染严惩或高毒高残留药物进行消杀，承担由于自身安全防护不到位造成的事故责任及相关费用。并且在消杀过程中不得损毁公共设施。</w:t>
      </w:r>
    </w:p>
    <w:p w14:paraId="3D7BEB9F">
      <w:pPr>
        <w:ind w:firstLine="640" w:firstLineChars="200"/>
        <w:rPr>
          <w:rFonts w:hint="eastAsia" w:ascii="仿宋" w:hAnsi="仿宋" w:eastAsia="仿宋"/>
          <w:sz w:val="32"/>
          <w:szCs w:val="32"/>
        </w:rPr>
      </w:pPr>
      <w:r>
        <w:rPr>
          <w:rFonts w:hint="eastAsia" w:ascii="仿宋" w:hAnsi="仿宋" w:eastAsia="仿宋"/>
          <w:sz w:val="32"/>
          <w:szCs w:val="32"/>
        </w:rPr>
        <w:t>4、乙方必须按照红火蚁防治的有关工作规定，把红火蚁防控疫情控制到国家要求标准。</w:t>
      </w:r>
    </w:p>
    <w:p w14:paraId="560B0110">
      <w:pPr>
        <w:ind w:firstLine="640" w:firstLineChars="200"/>
        <w:rPr>
          <w:rFonts w:hint="eastAsia" w:ascii="仿宋" w:hAnsi="仿宋" w:eastAsia="仿宋"/>
          <w:sz w:val="32"/>
          <w:szCs w:val="32"/>
        </w:rPr>
      </w:pPr>
      <w:r>
        <w:rPr>
          <w:rFonts w:hint="eastAsia" w:ascii="仿宋" w:hAnsi="仿宋" w:eastAsia="仿宋"/>
          <w:sz w:val="32"/>
          <w:szCs w:val="32"/>
        </w:rPr>
        <w:t>5、安全作业，禁止使用国家违禁药物。作业时间，消杀人员必须佩戴上岗工作证按规范操作。</w:t>
      </w:r>
    </w:p>
    <w:p w14:paraId="7F349588">
      <w:pPr>
        <w:ind w:firstLine="640" w:firstLineChars="200"/>
        <w:rPr>
          <w:rFonts w:hint="eastAsia" w:ascii="仿宋" w:hAnsi="仿宋" w:eastAsia="仿宋"/>
          <w:sz w:val="32"/>
          <w:szCs w:val="32"/>
        </w:rPr>
      </w:pPr>
      <w:r>
        <w:rPr>
          <w:rFonts w:hint="eastAsia" w:ascii="仿宋" w:hAnsi="仿宋" w:eastAsia="仿宋"/>
          <w:sz w:val="32"/>
          <w:szCs w:val="32"/>
        </w:rPr>
        <w:t>6、保证公共场所及有偿服务对象的消杀质量和防治，乙方对消杀的地点必须通过甲方的验收，要做到人身安全，客户满意。</w:t>
      </w:r>
    </w:p>
    <w:p w14:paraId="1F5970A1">
      <w:pPr>
        <w:ind w:firstLine="640" w:firstLineChars="200"/>
        <w:rPr>
          <w:rFonts w:hint="eastAsia" w:ascii="仿宋" w:hAnsi="仿宋" w:eastAsia="仿宋"/>
          <w:sz w:val="32"/>
          <w:szCs w:val="32"/>
        </w:rPr>
      </w:pPr>
      <w:r>
        <w:rPr>
          <w:rFonts w:hint="eastAsia" w:ascii="仿宋" w:hAnsi="仿宋" w:eastAsia="仿宋"/>
          <w:sz w:val="32"/>
          <w:szCs w:val="32"/>
        </w:rPr>
        <w:t>7、定期组织消杀人员培训，提高消杀知识。</w:t>
      </w:r>
    </w:p>
    <w:p w14:paraId="45428B75">
      <w:pPr>
        <w:ind w:firstLine="640" w:firstLineChars="200"/>
        <w:rPr>
          <w:rFonts w:hint="eastAsia" w:ascii="仿宋" w:hAnsi="仿宋" w:eastAsia="仿宋"/>
          <w:sz w:val="32"/>
          <w:szCs w:val="32"/>
        </w:rPr>
      </w:pPr>
      <w:r>
        <w:rPr>
          <w:rFonts w:hint="eastAsia" w:ascii="仿宋" w:hAnsi="仿宋" w:eastAsia="仿宋"/>
          <w:sz w:val="32"/>
          <w:szCs w:val="32"/>
        </w:rPr>
        <w:t>8、积极配合甲方开展各项爱国卫生运动，落实市、区、街道办的文件精神，配合市、区爱国卫生检查，和顺利通过红火蚁防治检查。</w:t>
      </w:r>
    </w:p>
    <w:p w14:paraId="24ECDF79">
      <w:pPr>
        <w:ind w:firstLine="640" w:firstLineChars="200"/>
        <w:rPr>
          <w:rFonts w:hint="eastAsia" w:ascii="仿宋" w:hAnsi="仿宋" w:eastAsia="仿宋"/>
          <w:sz w:val="32"/>
          <w:szCs w:val="32"/>
        </w:rPr>
      </w:pPr>
      <w:r>
        <w:rPr>
          <w:rFonts w:hint="eastAsia" w:ascii="仿宋" w:hAnsi="仿宋" w:eastAsia="仿宋"/>
          <w:sz w:val="32"/>
          <w:szCs w:val="32"/>
        </w:rPr>
        <w:t>9、不得对外公开涉及项目疫情的数据和档案。项目结束后将所有疫情处理档案移交甲方。</w:t>
      </w:r>
    </w:p>
    <w:p w14:paraId="4C936D94">
      <w:pPr>
        <w:pStyle w:val="4"/>
      </w:pPr>
      <w:r>
        <w:rPr>
          <w:rFonts w:hint="eastAsia"/>
        </w:rPr>
        <w:t>三、投标报价</w:t>
      </w:r>
    </w:p>
    <w:p w14:paraId="4EDFA3E7">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本项目服务费采用包干制，应包括服务成本、法定税费和企业的利润。由企业根据招标文件所提供的资料自行测算投标报价</w:t>
      </w:r>
      <w:r>
        <w:rPr>
          <w:rFonts w:hint="eastAsia" w:ascii="仿宋_GB2312" w:eastAsia="仿宋_GB2312"/>
          <w:sz w:val="32"/>
          <w:szCs w:val="32"/>
        </w:rPr>
        <w:t>。</w:t>
      </w:r>
    </w:p>
    <w:p w14:paraId="749FA64A">
      <w:pPr>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w:t>
      </w:r>
      <w:r>
        <w:rPr>
          <w:rFonts w:ascii="仿宋_GB2312" w:eastAsia="仿宋_GB2312"/>
          <w:sz w:val="32"/>
          <w:szCs w:val="32"/>
        </w:rPr>
        <w:t>投标人应根据本企业的成本自行决定报价，但不得以低于其企业成本的报价投标。</w:t>
      </w:r>
    </w:p>
    <w:p w14:paraId="2BBB48C4">
      <w:pPr>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w:t>
      </w:r>
      <w:r>
        <w:rPr>
          <w:rFonts w:ascii="仿宋_GB2312" w:eastAsia="仿宋_GB2312"/>
          <w:sz w:val="32"/>
          <w:szCs w:val="32"/>
        </w:rPr>
        <w:t>本项目财政控制金额为人民币</w:t>
      </w:r>
      <w:r>
        <w:rPr>
          <w:rFonts w:hint="eastAsia" w:ascii="仿宋_GB2312" w:eastAsia="仿宋_GB2312"/>
          <w:sz w:val="32"/>
          <w:szCs w:val="32"/>
        </w:rPr>
        <w:t>万</w:t>
      </w:r>
      <w:r>
        <w:rPr>
          <w:rFonts w:ascii="仿宋_GB2312" w:eastAsia="仿宋_GB2312"/>
          <w:sz w:val="32"/>
          <w:szCs w:val="32"/>
        </w:rPr>
        <w:t>元651700</w:t>
      </w:r>
      <w:r>
        <w:rPr>
          <w:rFonts w:hint="eastAsia" w:ascii="仿宋_GB2312" w:eastAsia="仿宋_GB2312"/>
          <w:sz w:val="32"/>
          <w:szCs w:val="32"/>
        </w:rPr>
        <w:t>元</w:t>
      </w:r>
      <w:r>
        <w:rPr>
          <w:rFonts w:ascii="仿宋_GB2312" w:eastAsia="仿宋_GB2312"/>
          <w:sz w:val="32"/>
          <w:szCs w:val="32"/>
        </w:rPr>
        <w:t>，投标人的投标报价高于财政控制金额为无效投标</w:t>
      </w:r>
      <w:r>
        <w:rPr>
          <w:rFonts w:hint="eastAsia" w:ascii="仿宋_GB2312" w:eastAsia="仿宋_GB2312"/>
          <w:sz w:val="32"/>
          <w:szCs w:val="32"/>
        </w:rPr>
        <w:t>。</w:t>
      </w:r>
    </w:p>
    <w:p w14:paraId="4AE33FA0">
      <w:pPr>
        <w:spacing w:line="520" w:lineRule="exact"/>
        <w:ind w:firstLine="640" w:firstLineChars="200"/>
        <w:rPr>
          <w:rFonts w:ascii="仿宋_GB2312" w:eastAsia="仿宋_GB2312"/>
          <w:sz w:val="32"/>
          <w:szCs w:val="32"/>
        </w:rPr>
      </w:pPr>
      <w:r>
        <w:rPr>
          <w:rFonts w:hint="eastAsia" w:ascii="仿宋_GB2312" w:eastAsia="仿宋_GB2312"/>
          <w:sz w:val="32"/>
          <w:szCs w:val="32"/>
        </w:rPr>
        <w:t>4.付款方式：根据深圳市南山区财政局相关规定付款。</w:t>
      </w:r>
    </w:p>
    <w:p w14:paraId="0B0CAE5A">
      <w:pPr>
        <w:pStyle w:val="4"/>
      </w:pPr>
      <w:r>
        <w:rPr>
          <w:rFonts w:hint="eastAsia"/>
        </w:rPr>
        <w:t>四、评标方法和中标数量</w:t>
      </w:r>
    </w:p>
    <w:p w14:paraId="00896247">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（一）本项目采用评定结合方法进行评定标，评审方法为：综合评分法。</w:t>
      </w:r>
    </w:p>
    <w:p w14:paraId="318BFE62">
      <w:pPr>
        <w:spacing w:line="56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（二）综合评分法。按照投标文件要求进行评审，综合得分从高到低进行排序，排名第一的投标人作为候选中标供应商。</w:t>
      </w:r>
    </w:p>
    <w:p w14:paraId="62AABF1B">
      <w:pPr>
        <w:pStyle w:val="4"/>
        <w:spacing w:line="540" w:lineRule="exact"/>
        <w:rPr>
          <w:kern w:val="0"/>
          <w:szCs w:val="20"/>
        </w:rPr>
      </w:pPr>
      <w:r>
        <w:rPr>
          <w:rFonts w:hint="eastAsia"/>
        </w:rPr>
        <w:t>五、中标服务费</w:t>
      </w:r>
    </w:p>
    <w:p w14:paraId="4B725B6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由中标单位缴纳。中标服务费以预算为计算基数，参照《深圳市财政委员会关于规范深圳市社会采购代理机构的管理有关事项的补充通知（深财购〔2018〕27号）》文件相关规定，按差额定率累进法计算。</w:t>
      </w:r>
    </w:p>
    <w:p w14:paraId="4BF152E3">
      <w:pPr>
        <w:pStyle w:val="2"/>
        <w:rPr>
          <w:rFonts w:hint="eastAsia"/>
        </w:rPr>
      </w:pPr>
      <w:r>
        <w:br w:type="page"/>
      </w:r>
    </w:p>
    <w:p w14:paraId="04059CC5">
      <w:pPr>
        <w:pStyle w:val="3"/>
      </w:pPr>
      <w:r>
        <w:rPr>
          <w:rFonts w:hint="eastAsia"/>
        </w:rPr>
        <w:t>第三章 投标文件格式、附件</w:t>
      </w:r>
    </w:p>
    <w:p w14:paraId="665BDDEC">
      <w:pPr>
        <w:spacing w:line="560" w:lineRule="exact"/>
        <w:ind w:firstLine="640" w:firstLineChars="200"/>
        <w:rPr>
          <w:rFonts w:ascii="仿宋_GB2312" w:eastAsia="仿宋_GB2312"/>
          <w:sz w:val="32"/>
          <w:szCs w:val="32"/>
        </w:rPr>
      </w:pPr>
      <w:r>
        <w:rPr>
          <w:rFonts w:hint="eastAsia" w:ascii="仿宋_GB2312" w:eastAsia="仿宋_GB2312"/>
          <w:sz w:val="32"/>
          <w:szCs w:val="32"/>
        </w:rPr>
        <w:t>投标人需提交密封的投标文件，内含一式伍份，其中正本壹份和副本肆份，投标文件的副本可采用正本的复印件。每套投标文件须清楚地标明“正本”、“副本”。若副本与正本不符，以正本为准。投标文件需包含目录、页码等内容。</w:t>
      </w:r>
    </w:p>
    <w:p w14:paraId="6D5D94F4">
      <w:pPr>
        <w:spacing w:line="560" w:lineRule="exact"/>
        <w:ind w:firstLine="640" w:firstLineChars="200"/>
        <w:rPr>
          <w:rFonts w:ascii="仿宋_GB2312" w:eastAsia="仿宋_GB2312"/>
          <w:sz w:val="32"/>
          <w:szCs w:val="32"/>
        </w:rPr>
      </w:pPr>
      <w:r>
        <w:rPr>
          <w:rFonts w:hint="eastAsia" w:ascii="仿宋_GB2312" w:eastAsia="仿宋_GB2312"/>
          <w:sz w:val="32"/>
          <w:szCs w:val="32"/>
        </w:rPr>
        <w:t>特别提醒：投标文件需按照投标文件组成进行编制。</w:t>
      </w:r>
    </w:p>
    <w:p w14:paraId="3A2835E6">
      <w:pPr>
        <w:spacing w:line="560" w:lineRule="exact"/>
        <w:ind w:firstLine="640" w:firstLineChars="200"/>
        <w:rPr>
          <w:rFonts w:ascii="仿宋_GB2312" w:eastAsia="仿宋_GB2312"/>
          <w:sz w:val="32"/>
          <w:szCs w:val="32"/>
        </w:rPr>
      </w:pPr>
      <w:r>
        <w:rPr>
          <w:rFonts w:hint="eastAsia" w:ascii="仿宋_GB2312" w:eastAsia="仿宋_GB2312"/>
          <w:sz w:val="32"/>
          <w:szCs w:val="32"/>
        </w:rPr>
        <w:t>投标文件组成：</w:t>
      </w:r>
    </w:p>
    <w:p w14:paraId="33A889B4">
      <w:pPr>
        <w:spacing w:line="560" w:lineRule="exact"/>
        <w:ind w:firstLine="640" w:firstLineChars="200"/>
        <w:rPr>
          <w:rFonts w:ascii="仿宋_GB2312" w:eastAsia="仿宋_GB2312"/>
          <w:sz w:val="32"/>
          <w:szCs w:val="32"/>
        </w:rPr>
      </w:pPr>
      <w:r>
        <w:rPr>
          <w:rFonts w:hint="eastAsia" w:ascii="仿宋_GB2312" w:eastAsia="仿宋_GB2312"/>
          <w:sz w:val="32"/>
          <w:szCs w:val="32"/>
        </w:rPr>
        <w:t>（1）单位负责人证明书</w:t>
      </w:r>
    </w:p>
    <w:p w14:paraId="63B78D5D">
      <w:pPr>
        <w:spacing w:line="560" w:lineRule="exact"/>
        <w:ind w:firstLine="640" w:firstLineChars="200"/>
        <w:rPr>
          <w:rFonts w:ascii="仿宋_GB2312" w:eastAsia="仿宋_GB2312"/>
          <w:sz w:val="32"/>
          <w:szCs w:val="32"/>
        </w:rPr>
      </w:pPr>
      <w:r>
        <w:rPr>
          <w:rFonts w:hint="eastAsia" w:ascii="仿宋_GB2312" w:eastAsia="仿宋_GB2312"/>
          <w:sz w:val="32"/>
          <w:szCs w:val="32"/>
        </w:rPr>
        <w:t>（2）投标文件签署授权委托书</w:t>
      </w:r>
    </w:p>
    <w:p w14:paraId="13B713DC">
      <w:pPr>
        <w:spacing w:line="560" w:lineRule="exact"/>
        <w:ind w:firstLine="640" w:firstLineChars="200"/>
        <w:rPr>
          <w:rFonts w:ascii="仿宋_GB2312" w:eastAsia="仿宋_GB2312"/>
          <w:sz w:val="32"/>
          <w:szCs w:val="32"/>
        </w:rPr>
      </w:pPr>
      <w:r>
        <w:rPr>
          <w:rFonts w:hint="eastAsia" w:ascii="仿宋_GB2312" w:eastAsia="仿宋_GB2312"/>
          <w:sz w:val="32"/>
          <w:szCs w:val="32"/>
        </w:rPr>
        <w:t>（3）投标函</w:t>
      </w:r>
    </w:p>
    <w:p w14:paraId="7181A80D">
      <w:pPr>
        <w:spacing w:line="560" w:lineRule="exact"/>
        <w:ind w:firstLine="640" w:firstLineChars="200"/>
        <w:rPr>
          <w:rFonts w:ascii="仿宋_GB2312" w:eastAsia="仿宋_GB2312"/>
          <w:sz w:val="32"/>
          <w:szCs w:val="32"/>
        </w:rPr>
      </w:pPr>
      <w:r>
        <w:rPr>
          <w:rFonts w:hint="eastAsia" w:ascii="仿宋_GB2312" w:eastAsia="仿宋_GB2312"/>
          <w:sz w:val="32"/>
          <w:szCs w:val="32"/>
        </w:rPr>
        <w:t>（4）承诺函</w:t>
      </w:r>
    </w:p>
    <w:p w14:paraId="1618DF5B">
      <w:pPr>
        <w:spacing w:line="560" w:lineRule="exact"/>
        <w:ind w:firstLine="640" w:firstLineChars="200"/>
        <w:rPr>
          <w:rFonts w:ascii="仿宋_GB2312" w:eastAsia="仿宋_GB2312"/>
          <w:sz w:val="32"/>
          <w:szCs w:val="32"/>
        </w:rPr>
      </w:pPr>
      <w:r>
        <w:rPr>
          <w:rFonts w:hint="eastAsia" w:ascii="仿宋_GB2312" w:eastAsia="仿宋_GB2312"/>
          <w:sz w:val="32"/>
          <w:szCs w:val="32"/>
        </w:rPr>
        <w:t>（5）投标人资质条件要求</w:t>
      </w:r>
    </w:p>
    <w:p w14:paraId="533D576F">
      <w:pPr>
        <w:spacing w:line="560" w:lineRule="exact"/>
        <w:ind w:firstLine="640" w:firstLineChars="200"/>
        <w:rPr>
          <w:rFonts w:ascii="仿宋_GB2312" w:eastAsia="仿宋_GB2312"/>
          <w:sz w:val="32"/>
          <w:szCs w:val="32"/>
        </w:rPr>
      </w:pPr>
      <w:r>
        <w:rPr>
          <w:rFonts w:hint="eastAsia" w:ascii="仿宋_GB2312" w:eastAsia="仿宋_GB2312"/>
          <w:sz w:val="32"/>
          <w:szCs w:val="32"/>
        </w:rPr>
        <w:t>（6）分项报价表</w:t>
      </w:r>
    </w:p>
    <w:p w14:paraId="7350320F">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7</w:t>
      </w:r>
      <w:r>
        <w:rPr>
          <w:rFonts w:hint="eastAsia" w:ascii="仿宋_GB2312" w:eastAsia="仿宋_GB2312"/>
          <w:sz w:val="32"/>
          <w:szCs w:val="32"/>
        </w:rPr>
        <w:t>）技术部分</w:t>
      </w:r>
    </w:p>
    <w:p w14:paraId="669D6980">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8</w:t>
      </w:r>
      <w:r>
        <w:rPr>
          <w:rFonts w:hint="eastAsia" w:ascii="仿宋_GB2312" w:eastAsia="仿宋_GB2312"/>
          <w:sz w:val="32"/>
          <w:szCs w:val="32"/>
        </w:rPr>
        <w:t>）综合实力部分</w:t>
      </w:r>
    </w:p>
    <w:p w14:paraId="3FE53DAC">
      <w:pPr>
        <w:spacing w:line="560" w:lineRule="exact"/>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9</w:t>
      </w:r>
      <w:r>
        <w:rPr>
          <w:rFonts w:hint="eastAsia" w:ascii="仿宋_GB2312" w:eastAsia="仿宋_GB2312"/>
          <w:sz w:val="32"/>
          <w:szCs w:val="32"/>
        </w:rPr>
        <w:t>）投标人认为其他需要证明的材料</w:t>
      </w:r>
    </w:p>
    <w:p w14:paraId="587BD815">
      <w:pPr>
        <w:widowControl/>
        <w:spacing w:line="240" w:lineRule="auto"/>
        <w:jc w:val="left"/>
      </w:pPr>
      <w:r>
        <w:br w:type="page"/>
      </w:r>
    </w:p>
    <w:p w14:paraId="221D8D59">
      <w:pPr>
        <w:pStyle w:val="4"/>
        <w:rPr>
          <w:b w:val="0"/>
        </w:rPr>
      </w:pPr>
      <w:r>
        <w:rPr>
          <w:rFonts w:hint="eastAsia"/>
        </w:rPr>
        <w:t>一、单位负责人</w:t>
      </w:r>
      <w:r>
        <w:t>证明书</w:t>
      </w:r>
    </w:p>
    <w:p w14:paraId="62C46280">
      <w:pPr>
        <w:spacing w:line="54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同志，现任我单位职务，为</w:t>
      </w:r>
      <w:r>
        <w:rPr>
          <w:rFonts w:hint="eastAsia" w:ascii="仿宋_GB2312" w:hAnsi="仿宋_GB2312" w:eastAsia="仿宋_GB2312"/>
          <w:sz w:val="32"/>
          <w:szCs w:val="32"/>
        </w:rPr>
        <w:t>单位负责</w:t>
      </w:r>
      <w:r>
        <w:rPr>
          <w:rFonts w:ascii="仿宋_GB2312" w:hAnsi="仿宋_GB2312" w:eastAsia="仿宋_GB2312"/>
          <w:sz w:val="32"/>
          <w:szCs w:val="32"/>
        </w:rPr>
        <w:t>人，特此证明。</w:t>
      </w:r>
    </w:p>
    <w:p w14:paraId="2303BA2B">
      <w:pPr>
        <w:spacing w:line="540" w:lineRule="exact"/>
        <w:ind w:firstLine="640" w:firstLineChars="200"/>
        <w:rPr>
          <w:rFonts w:hint="eastAsia" w:ascii="仿宋_GB2312" w:hAnsi="仿宋_GB2312" w:eastAsia="仿宋_GB2312"/>
          <w:sz w:val="32"/>
          <w:szCs w:val="32"/>
        </w:rPr>
      </w:pPr>
    </w:p>
    <w:p w14:paraId="6109CC26">
      <w:pPr>
        <w:spacing w:line="54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有效日期</w:t>
      </w:r>
      <w:r>
        <w:rPr>
          <w:rFonts w:hint="eastAsia" w:ascii="仿宋_GB2312" w:hAnsi="仿宋_GB2312" w:eastAsia="仿宋_GB2312"/>
          <w:sz w:val="32"/>
          <w:szCs w:val="32"/>
        </w:rPr>
        <w:t>：</w:t>
      </w:r>
      <w:r>
        <w:rPr>
          <w:rFonts w:ascii="仿宋_GB2312" w:hAnsi="仿宋_GB2312" w:eastAsia="仿宋_GB2312"/>
          <w:sz w:val="32"/>
          <w:szCs w:val="32"/>
        </w:rPr>
        <w:t xml:space="preserve">         签发日期</w:t>
      </w:r>
      <w:r>
        <w:rPr>
          <w:rFonts w:hint="eastAsia" w:ascii="仿宋_GB2312" w:hAnsi="仿宋_GB2312" w:eastAsia="仿宋_GB2312"/>
          <w:sz w:val="32"/>
          <w:szCs w:val="32"/>
        </w:rPr>
        <w:t>：</w:t>
      </w:r>
      <w:r>
        <w:rPr>
          <w:rFonts w:ascii="仿宋_GB2312" w:hAnsi="仿宋_GB2312" w:eastAsia="仿宋_GB2312"/>
          <w:sz w:val="32"/>
          <w:szCs w:val="32"/>
        </w:rPr>
        <w:t xml:space="preserve">         单位盖章</w:t>
      </w:r>
      <w:r>
        <w:rPr>
          <w:rFonts w:hint="eastAsia" w:ascii="仿宋_GB2312" w:hAnsi="仿宋_GB2312" w:eastAsia="仿宋_GB2312"/>
          <w:sz w:val="32"/>
          <w:szCs w:val="32"/>
        </w:rPr>
        <w:t>：</w:t>
      </w:r>
    </w:p>
    <w:p w14:paraId="4FE9C76A">
      <w:pPr>
        <w:spacing w:line="540" w:lineRule="exact"/>
        <w:ind w:firstLine="640" w:firstLineChars="200"/>
        <w:rPr>
          <w:rFonts w:hint="eastAsia" w:ascii="仿宋_GB2312" w:hAnsi="仿宋_GB2312" w:eastAsia="仿宋_GB2312"/>
          <w:sz w:val="32"/>
          <w:szCs w:val="32"/>
        </w:rPr>
      </w:pPr>
    </w:p>
    <w:p w14:paraId="5693FFC7">
      <w:pPr>
        <w:spacing w:line="54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附</w:t>
      </w:r>
      <w:r>
        <w:rPr>
          <w:rFonts w:hint="eastAsia" w:ascii="仿宋_GB2312" w:hAnsi="仿宋_GB2312" w:eastAsia="仿宋_GB2312"/>
          <w:sz w:val="32"/>
          <w:szCs w:val="32"/>
        </w:rPr>
        <w:t>：</w:t>
      </w:r>
    </w:p>
    <w:p w14:paraId="06C86012">
      <w:pPr>
        <w:spacing w:line="54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营业执照号码</w:t>
      </w:r>
      <w:r>
        <w:rPr>
          <w:rFonts w:hint="eastAsia" w:ascii="仿宋_GB2312" w:hAnsi="仿宋_GB2312" w:eastAsia="仿宋_GB2312"/>
          <w:sz w:val="32"/>
          <w:szCs w:val="32"/>
        </w:rPr>
        <w:t>：</w:t>
      </w:r>
      <w:r>
        <w:rPr>
          <w:rFonts w:ascii="仿宋_GB2312" w:hAnsi="仿宋_GB2312" w:eastAsia="仿宋_GB2312"/>
          <w:sz w:val="32"/>
          <w:szCs w:val="32"/>
        </w:rPr>
        <w:t xml:space="preserve">                 经济性质</w:t>
      </w:r>
      <w:r>
        <w:rPr>
          <w:rFonts w:hint="eastAsia" w:ascii="仿宋_GB2312" w:hAnsi="仿宋_GB2312" w:eastAsia="仿宋_GB2312"/>
          <w:sz w:val="32"/>
          <w:szCs w:val="32"/>
        </w:rPr>
        <w:t>：</w:t>
      </w:r>
    </w:p>
    <w:p w14:paraId="501A3FCC">
      <w:pPr>
        <w:spacing w:line="54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主营</w:t>
      </w:r>
      <w:r>
        <w:rPr>
          <w:rFonts w:hint="eastAsia" w:ascii="仿宋_GB2312" w:hAnsi="仿宋_GB2312" w:eastAsia="仿宋_GB2312"/>
          <w:sz w:val="32"/>
          <w:szCs w:val="32"/>
        </w:rPr>
        <w:t>：</w:t>
      </w:r>
    </w:p>
    <w:p w14:paraId="1A0E43DD">
      <w:pPr>
        <w:spacing w:line="54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兼营</w:t>
      </w:r>
      <w:r>
        <w:rPr>
          <w:rFonts w:hint="eastAsia" w:ascii="仿宋_GB2312" w:hAnsi="仿宋_GB2312" w:eastAsia="仿宋_GB2312"/>
          <w:sz w:val="32"/>
          <w:szCs w:val="32"/>
        </w:rPr>
        <w:t>：</w:t>
      </w:r>
    </w:p>
    <w:p w14:paraId="304E2517">
      <w:pPr>
        <w:spacing w:line="54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说明</w:t>
      </w:r>
      <w:r>
        <w:rPr>
          <w:rFonts w:hint="eastAsia" w:ascii="仿宋_GB2312" w:hAnsi="仿宋_GB2312" w:eastAsia="仿宋_GB2312"/>
          <w:sz w:val="32"/>
          <w:szCs w:val="32"/>
        </w:rPr>
        <w:t>：</w:t>
      </w:r>
    </w:p>
    <w:p w14:paraId="40F1B8D9">
      <w:pPr>
        <w:spacing w:line="54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1、</w:t>
      </w:r>
      <w:r>
        <w:rPr>
          <w:rFonts w:hint="eastAsia" w:ascii="仿宋_GB2312" w:hAnsi="仿宋_GB2312" w:eastAsia="仿宋_GB2312"/>
          <w:sz w:val="32"/>
          <w:szCs w:val="32"/>
        </w:rPr>
        <w:t>单位负责</w:t>
      </w:r>
      <w:r>
        <w:rPr>
          <w:rFonts w:ascii="仿宋_GB2312" w:hAnsi="仿宋_GB2312" w:eastAsia="仿宋_GB2312"/>
          <w:sz w:val="32"/>
          <w:szCs w:val="32"/>
        </w:rPr>
        <w:t>人为企业事业单位、国家机关、社会团体的主要行政负责人。</w:t>
      </w:r>
    </w:p>
    <w:p w14:paraId="144D4057">
      <w:pPr>
        <w:spacing w:line="54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991235</wp:posOffset>
                </wp:positionV>
                <wp:extent cx="3237865" cy="1795780"/>
                <wp:effectExtent l="4445" t="4445" r="15240" b="9525"/>
                <wp:wrapNone/>
                <wp:docPr id="1" name="圆角矩形 1"/>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14:paraId="07ECAA9A">
                            <w:pPr/>
                          </w:p>
                          <w:p w14:paraId="1D597831">
                            <w:pPr/>
                          </w:p>
                          <w:p w14:paraId="0C64A3A8">
                            <w:pPr/>
                          </w:p>
                          <w:p w14:paraId="0BE70BD2">
                            <w:pPr/>
                          </w:p>
                          <w:p w14:paraId="39BD3C13">
                            <w:pPr>
                              <w:jc w:val="center"/>
                            </w:pPr>
                            <w:r>
                              <w:rPr>
                                <w:rFonts w:hint="eastAsia"/>
                              </w:rPr>
                              <w:t>附：单位负责人身份证扫描件</w:t>
                            </w:r>
                          </w:p>
                        </w:txbxContent>
                      </wps:txbx>
                      <wps:bodyPr wrap="square" upright="1"/>
                    </wps:wsp>
                  </a:graphicData>
                </a:graphic>
              </wp:anchor>
            </w:drawing>
          </mc:Choice>
          <mc:Fallback>
            <w:pict>
              <v:roundrect id="_x0000_s1026" o:spid="_x0000_s1026" o:spt="2" style="position:absolute;left:0pt;margin-left:72.95pt;margin-top:78.05pt;height:141.4pt;width:254.95pt;z-index:251659264;mso-width-relative:page;mso-height-relative:page;" fillcolor="#FFFFFF" filled="t" stroked="t" coordsize="21600,21600" arcsize="0.166666666666667" o:gfxdata="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yYVXjaAAAA&#10;CwEAAA8AAAAAAAAAAQAgAAAAIgAAAGRycy9kb3ducmV2LnhtbFBLAQIUABQAAAAIAIdO4kDop4n8&#10;GwIAACUEAAAOAAAAAAAAAAEAIAAAACkBAABkcnMvZTJvRG9jLnhtbFBLBQYAAAAABgAGAFkBAAC2&#10;BQAAAAAA&#10;">
                <v:fill on="t" focussize="0,0"/>
                <v:stroke color="#000000" joinstyle="round" dashstyle="1 1" endcap="round"/>
                <v:imagedata o:title=""/>
                <o:lock v:ext="edit" aspectratio="f"/>
                <v:textbox>
                  <w:txbxContent>
                    <w:p w14:paraId="07ECAA9A">
                      <w:pPr/>
                    </w:p>
                    <w:p w14:paraId="1D597831">
                      <w:pPr/>
                    </w:p>
                    <w:p w14:paraId="0C64A3A8">
                      <w:pPr/>
                    </w:p>
                    <w:p w14:paraId="0BE70BD2">
                      <w:pPr/>
                    </w:p>
                    <w:p w14:paraId="39BD3C13">
                      <w:pPr>
                        <w:jc w:val="center"/>
                      </w:pPr>
                      <w:r>
                        <w:rPr>
                          <w:rFonts w:hint="eastAsia"/>
                        </w:rPr>
                        <w:t>附：单位负责人身份证扫描件</w:t>
                      </w:r>
                    </w:p>
                  </w:txbxContent>
                </v:textbox>
              </v:roundrect>
            </w:pict>
          </mc:Fallback>
        </mc:AlternateContent>
      </w:r>
      <w:r>
        <w:rPr>
          <w:rFonts w:ascii="仿宋_GB2312" w:hAnsi="仿宋_GB2312" w:eastAsia="仿宋_GB2312"/>
          <w:sz w:val="32"/>
          <w:szCs w:val="32"/>
        </w:rPr>
        <w:t>2、内容必须填</w:t>
      </w:r>
      <w:r>
        <w:rPr>
          <w:rFonts w:hint="eastAsia" w:ascii="仿宋_GB2312" w:hAnsi="仿宋_GB2312" w:eastAsia="仿宋_GB2312"/>
          <w:sz w:val="32"/>
          <w:szCs w:val="32"/>
        </w:rPr>
        <w:t>写真实、清楚，涂改无效，不得转让、买卖。</w:t>
      </w:r>
    </w:p>
    <w:p w14:paraId="72AA0578">
      <w:pPr>
        <w:widowControl/>
        <w:spacing w:line="540" w:lineRule="exact"/>
        <w:jc w:val="left"/>
        <w:rPr>
          <w:rFonts w:hint="eastAsia" w:ascii="仿宋_GB2312" w:hAnsi="仿宋_GB2312" w:eastAsia="仿宋_GB2312"/>
          <w:sz w:val="32"/>
          <w:szCs w:val="32"/>
        </w:rPr>
      </w:pPr>
      <w:r>
        <w:rPr>
          <w:rFonts w:ascii="仿宋_GB2312" w:hAnsi="仿宋_GB2312" w:eastAsia="仿宋_GB2312"/>
          <w:sz w:val="32"/>
          <w:szCs w:val="32"/>
        </w:rPr>
        <w:br w:type="page"/>
      </w:r>
    </w:p>
    <w:p w14:paraId="7FA0D1D0">
      <w:pPr>
        <w:pStyle w:val="4"/>
        <w:rPr>
          <w:b w:val="0"/>
        </w:rPr>
      </w:pPr>
      <w:r>
        <w:t>二、</w:t>
      </w:r>
      <w:r>
        <w:rPr>
          <w:rFonts w:hint="eastAsia"/>
        </w:rPr>
        <w:t>单位负责人</w:t>
      </w:r>
      <w:r>
        <w:t>授权委托书</w:t>
      </w:r>
    </w:p>
    <w:p w14:paraId="579E1744">
      <w:pPr>
        <w:spacing w:line="54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本授权委托书声明</w:t>
      </w:r>
      <w:r>
        <w:rPr>
          <w:rFonts w:hint="eastAsia" w:ascii="仿宋_GB2312" w:hAnsi="仿宋_GB2312" w:eastAsia="仿宋_GB2312"/>
          <w:sz w:val="32"/>
          <w:szCs w:val="32"/>
        </w:rPr>
        <w:t>：</w:t>
      </w:r>
      <w:r>
        <w:rPr>
          <w:rFonts w:ascii="仿宋_GB2312" w:hAnsi="仿宋_GB2312" w:eastAsia="仿宋_GB2312"/>
          <w:sz w:val="32"/>
          <w:szCs w:val="32"/>
        </w:rPr>
        <w:t>我（姓名）系（投标人名称）的</w:t>
      </w:r>
      <w:r>
        <w:rPr>
          <w:rFonts w:hint="eastAsia" w:ascii="仿宋_GB2312" w:hAnsi="仿宋_GB2312" w:eastAsia="仿宋_GB2312"/>
          <w:sz w:val="32"/>
          <w:szCs w:val="32"/>
        </w:rPr>
        <w:t>单位负责人</w:t>
      </w:r>
      <w:r>
        <w:rPr>
          <w:rFonts w:ascii="仿宋_GB2312" w:hAnsi="仿宋_GB2312" w:eastAsia="仿宋_GB2312"/>
          <w:sz w:val="32"/>
          <w:szCs w:val="32"/>
        </w:rPr>
        <w:t>，现授权委托（单位名称）的（姓名）为我公司签署本项目已递交的投标文件的</w:t>
      </w:r>
      <w:r>
        <w:rPr>
          <w:rFonts w:hint="eastAsia" w:ascii="仿宋_GB2312" w:hAnsi="仿宋_GB2312" w:eastAsia="仿宋_GB2312"/>
          <w:sz w:val="32"/>
          <w:szCs w:val="32"/>
        </w:rPr>
        <w:t>单位负责人</w:t>
      </w:r>
      <w:r>
        <w:rPr>
          <w:rFonts w:ascii="仿宋_GB2312" w:hAnsi="仿宋_GB2312" w:eastAsia="仿宋_GB2312"/>
          <w:sz w:val="32"/>
          <w:szCs w:val="32"/>
        </w:rPr>
        <w:t>的授权委托代理人，代理人全权代表我所签署的本项目已递交的投标文件内容我均承认。</w:t>
      </w:r>
    </w:p>
    <w:p w14:paraId="66EF6B89">
      <w:pPr>
        <w:spacing w:line="54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代理人无转委托权，特此委托。</w:t>
      </w:r>
    </w:p>
    <w:p w14:paraId="09FD4CD3">
      <w:pPr>
        <w:spacing w:line="54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代理人</w:t>
      </w:r>
      <w:r>
        <w:rPr>
          <w:rFonts w:hint="eastAsia" w:ascii="仿宋_GB2312" w:hAnsi="仿宋_GB2312" w:eastAsia="仿宋_GB2312"/>
          <w:sz w:val="32"/>
          <w:szCs w:val="32"/>
        </w:rPr>
        <w:t>：</w:t>
      </w:r>
    </w:p>
    <w:p w14:paraId="5578FD43">
      <w:pPr>
        <w:spacing w:line="54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职务</w:t>
      </w:r>
      <w:r>
        <w:rPr>
          <w:rFonts w:hint="eastAsia" w:ascii="仿宋_GB2312" w:hAnsi="仿宋_GB2312" w:eastAsia="仿宋_GB2312"/>
          <w:sz w:val="32"/>
          <w:szCs w:val="32"/>
        </w:rPr>
        <w:t>：</w:t>
      </w:r>
    </w:p>
    <w:p w14:paraId="1D98DF8A">
      <w:pPr>
        <w:spacing w:line="54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详细通讯地址</w:t>
      </w:r>
      <w:r>
        <w:rPr>
          <w:rFonts w:hint="eastAsia" w:ascii="仿宋_GB2312" w:hAnsi="仿宋_GB2312" w:eastAsia="仿宋_GB2312"/>
          <w:sz w:val="32"/>
          <w:szCs w:val="32"/>
        </w:rPr>
        <w:t>：</w:t>
      </w:r>
    </w:p>
    <w:p w14:paraId="0CC46FB4">
      <w:pPr>
        <w:spacing w:line="54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邮政编码</w:t>
      </w:r>
      <w:r>
        <w:rPr>
          <w:rFonts w:hint="eastAsia" w:ascii="仿宋_GB2312" w:hAnsi="仿宋_GB2312" w:eastAsia="仿宋_GB2312"/>
          <w:sz w:val="32"/>
          <w:szCs w:val="32"/>
        </w:rPr>
        <w:t>：</w:t>
      </w:r>
    </w:p>
    <w:p w14:paraId="66FDF334">
      <w:pPr>
        <w:spacing w:line="54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电话</w:t>
      </w:r>
      <w:r>
        <w:rPr>
          <w:rFonts w:hint="eastAsia" w:ascii="仿宋_GB2312" w:hAnsi="仿宋_GB2312" w:eastAsia="仿宋_GB2312"/>
          <w:sz w:val="32"/>
          <w:szCs w:val="32"/>
        </w:rPr>
        <w:t>：</w:t>
      </w:r>
    </w:p>
    <w:p w14:paraId="3767EF2D">
      <w:pPr>
        <w:spacing w:line="54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移动电话</w:t>
      </w:r>
      <w:r>
        <w:rPr>
          <w:rFonts w:hint="eastAsia" w:ascii="仿宋_GB2312" w:hAnsi="仿宋_GB2312" w:eastAsia="仿宋_GB2312"/>
          <w:sz w:val="32"/>
          <w:szCs w:val="32"/>
        </w:rPr>
        <w:t xml:space="preserve">：                                                                                                                                                                                                                                                                                                                                                                                                                                                                                                                                                                                                                                                                                                                                                                                                                                                                                                                                                                                                                                                                                                                                                                                                                                                                                                                                                                                                                                                                                                                                                                                                                                                                                                                                                                                                                                                                                                                                                                                                                                                                                                                                                                                                                                                                                                                                                                                                                                                                                                                                                                                                                                                                                                                                                                                                                                                                                                                                                                                                                                                                                                                                                                                                                                                                                                                                                                                                                                                                                                                                                                                                                                                                                                                                                                                                                                                                                                                                                                                                                                                                                                                                                                                                                                                                                                                                                                                                                                                                                                                                                                                                                                                                                                                                                                                                                                                                                                                                                                                                                                                                                                                                                                                                                                                                                                                                                                                                                                                                                                                                                                                                                                                                                                                                                                                                                                                                                                                                                                                                                                                                                                                                                                                                                                                                                                                                                                                                                                                                                                                                                                                                                                                                                                                                                                                                                                                                                                                                                                                                                                                                                                                                                                                                                                                                                                                                                                                                                                                                                                                                                                                                                                                                                                                                                                                                                                                                                                                                                                                                                                                                                                                                                                                                                                                                                                                                                                                                                                                                                                                                                                                                                                                                                                                                                                                                                                                                                                                                                                                                                                                                              </w:t>
      </w:r>
    </w:p>
    <w:p w14:paraId="294F70A8">
      <w:pPr>
        <w:spacing w:line="54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传真</w:t>
      </w:r>
      <w:r>
        <w:rPr>
          <w:rFonts w:hint="eastAsia" w:ascii="仿宋_GB2312" w:hAnsi="仿宋_GB2312" w:eastAsia="仿宋_GB2312"/>
          <w:sz w:val="32"/>
          <w:szCs w:val="32"/>
        </w:rPr>
        <w:t>：</w:t>
      </w:r>
    </w:p>
    <w:p w14:paraId="67A1B8AB">
      <w:pPr>
        <w:spacing w:line="54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投标人</w:t>
      </w:r>
      <w:r>
        <w:rPr>
          <w:rFonts w:hint="eastAsia" w:ascii="仿宋_GB2312" w:hAnsi="仿宋_GB2312" w:eastAsia="仿宋_GB2312"/>
          <w:sz w:val="32"/>
          <w:szCs w:val="32"/>
        </w:rPr>
        <w:t>：</w:t>
      </w:r>
    </w:p>
    <w:p w14:paraId="42365794">
      <w:pPr>
        <w:spacing w:line="54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法定代表人</w:t>
      </w:r>
      <w:r>
        <w:rPr>
          <w:rFonts w:hint="eastAsia" w:ascii="仿宋_GB2312" w:hAnsi="仿宋_GB2312" w:eastAsia="仿宋_GB2312"/>
          <w:sz w:val="32"/>
          <w:szCs w:val="32"/>
        </w:rPr>
        <w:t>：</w:t>
      </w:r>
    </w:p>
    <w:p w14:paraId="39CAB257">
      <w:pPr>
        <w:spacing w:line="54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授权委托日期</w:t>
      </w:r>
      <w:r>
        <w:rPr>
          <w:rFonts w:hint="eastAsia" w:ascii="仿宋_GB2312" w:hAnsi="仿宋_GB2312" w:eastAsia="仿宋_GB2312"/>
          <w:sz w:val="32"/>
          <w:szCs w:val="32"/>
        </w:rPr>
        <w:t>：</w:t>
      </w:r>
      <w:r>
        <w:rPr>
          <w:rFonts w:ascii="仿宋_GB2312" w:hAnsi="仿宋_GB2312" w:eastAsia="仿宋_GB2312"/>
          <w:sz w:val="32"/>
          <w:szCs w:val="32"/>
        </w:rPr>
        <w:t xml:space="preserve">         年     月       日</w:t>
      </w:r>
      <w:r>
        <w:rPr>
          <w:rFonts w:ascii="仿宋_GB2312" w:hAnsi="仿宋_GB2312" w:eastAsia="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979805</wp:posOffset>
                </wp:positionH>
                <wp:positionV relativeFrom="paragraph">
                  <wp:posOffset>708660</wp:posOffset>
                </wp:positionV>
                <wp:extent cx="3237865" cy="1795780"/>
                <wp:effectExtent l="4445" t="4445" r="15240" b="9525"/>
                <wp:wrapNone/>
                <wp:docPr id="4" name="圆角矩形 4"/>
                <wp:cNvGraphicFramePr/>
                <a:graphic xmlns:a="http://schemas.openxmlformats.org/drawingml/2006/main">
                  <a:graphicData uri="http://schemas.microsoft.com/office/word/2010/wordprocessingShape">
                    <wps:wsp>
                      <wps:cNvSpPr/>
                      <wps:spPr>
                        <a:xfrm>
                          <a:off x="0" y="0"/>
                          <a:ext cx="3237865" cy="1795780"/>
                        </a:xfrm>
                        <a:prstGeom prst="roundRect">
                          <a:avLst>
                            <a:gd name="adj" fmla="val 16667"/>
                          </a:avLst>
                        </a:prstGeom>
                        <a:solidFill>
                          <a:srgbClr val="FFFFFF"/>
                        </a:solidFill>
                        <a:ln w="9525" cap="rnd" cmpd="sng">
                          <a:solidFill>
                            <a:srgbClr val="000000"/>
                          </a:solidFill>
                          <a:prstDash val="sysDot"/>
                          <a:headEnd type="none" w="med" len="med"/>
                          <a:tailEnd type="none" w="med" len="med"/>
                        </a:ln>
                        <a:effectLst/>
                      </wps:spPr>
                      <wps:txbx>
                        <w:txbxContent>
                          <w:p w14:paraId="11B36183">
                            <w:pPr/>
                          </w:p>
                          <w:p w14:paraId="29B09045">
                            <w:pPr/>
                          </w:p>
                          <w:p w14:paraId="759B6AF3">
                            <w:pPr/>
                          </w:p>
                          <w:p w14:paraId="6662DBD8">
                            <w:pPr/>
                          </w:p>
                          <w:p w14:paraId="7998D923">
                            <w:pPr>
                              <w:jc w:val="center"/>
                            </w:pPr>
                            <w:r>
                              <w:rPr>
                                <w:rFonts w:hint="eastAsia"/>
                              </w:rPr>
                              <w:t>附：代理人身份证扫描件</w:t>
                            </w:r>
                          </w:p>
                        </w:txbxContent>
                      </wps:txbx>
                      <wps:bodyPr wrap="square" upright="1"/>
                    </wps:wsp>
                  </a:graphicData>
                </a:graphic>
              </wp:anchor>
            </w:drawing>
          </mc:Choice>
          <mc:Fallback>
            <w:pict>
              <v:roundrect id="_x0000_s1026" o:spid="_x0000_s1026" o:spt="2" style="position:absolute;left:0pt;margin-left:77.15pt;margin-top:55.8pt;height:141.4pt;width:254.95pt;z-index:251660288;mso-width-relative:page;mso-height-relative:page;" fillcolor="#FFFFFF" filled="t" stroked="t" coordsize="21600,21600" arcsize="0.166666666666667" o:gfxdata="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HlEPMdoA&#10;AAALAQAADwAAAAAAAAABACAAAAAiAAAAZHJzL2Rvd25yZXYueG1sUEsBAhQAFAAAAAgAh07iQCSw&#10;N/YdAgAAJQQAAA4AAAAAAAAAAQAgAAAAKQEAAGRycy9lMm9Eb2MueG1sUEsFBgAAAAAGAAYAWQEA&#10;ALgFAAAAAAAA&#10;">
                <v:fill on="t" focussize="0,0"/>
                <v:stroke color="#000000" joinstyle="round" dashstyle="1 1" endcap="round"/>
                <v:imagedata o:title=""/>
                <o:lock v:ext="edit" aspectratio="f"/>
                <v:textbox>
                  <w:txbxContent>
                    <w:p w14:paraId="11B36183">
                      <w:pPr/>
                    </w:p>
                    <w:p w14:paraId="29B09045">
                      <w:pPr/>
                    </w:p>
                    <w:p w14:paraId="759B6AF3">
                      <w:pPr/>
                    </w:p>
                    <w:p w14:paraId="6662DBD8">
                      <w:pPr/>
                    </w:p>
                    <w:p w14:paraId="7998D923">
                      <w:pPr>
                        <w:jc w:val="center"/>
                      </w:pPr>
                      <w:r>
                        <w:rPr>
                          <w:rFonts w:hint="eastAsia"/>
                        </w:rPr>
                        <w:t>附：代理人身份证扫描件</w:t>
                      </w:r>
                    </w:p>
                  </w:txbxContent>
                </v:textbox>
              </v:roundrect>
            </w:pict>
          </mc:Fallback>
        </mc:AlternateContent>
      </w:r>
    </w:p>
    <w:p w14:paraId="30288AD3">
      <w:pPr>
        <w:spacing w:line="540" w:lineRule="exact"/>
        <w:ind w:firstLine="640" w:firstLineChars="200"/>
        <w:rPr>
          <w:rFonts w:hint="eastAsia" w:ascii="仿宋_GB2312" w:hAnsi="仿宋_GB2312" w:eastAsia="仿宋_GB2312"/>
          <w:sz w:val="32"/>
          <w:szCs w:val="32"/>
        </w:rPr>
      </w:pPr>
    </w:p>
    <w:p w14:paraId="1E62849D">
      <w:pPr>
        <w:widowControl/>
        <w:spacing w:line="540" w:lineRule="exact"/>
        <w:jc w:val="left"/>
        <w:rPr>
          <w:rFonts w:hint="eastAsia" w:ascii="仿宋_GB2312" w:hAnsi="仿宋_GB2312" w:eastAsia="仿宋_GB2312"/>
          <w:sz w:val="32"/>
          <w:szCs w:val="32"/>
        </w:rPr>
      </w:pPr>
      <w:r>
        <w:rPr>
          <w:rFonts w:ascii="仿宋_GB2312" w:hAnsi="仿宋_GB2312" w:eastAsia="仿宋_GB2312"/>
          <w:sz w:val="32"/>
          <w:szCs w:val="32"/>
        </w:rPr>
        <w:br w:type="page"/>
      </w:r>
    </w:p>
    <w:p w14:paraId="44864B35">
      <w:pPr>
        <w:pStyle w:val="4"/>
        <w:rPr>
          <w:b w:val="0"/>
        </w:rPr>
      </w:pPr>
      <w:r>
        <w:rPr>
          <w:rFonts w:hint="eastAsia"/>
        </w:rPr>
        <w:t>三、</w:t>
      </w:r>
      <w:r>
        <w:t>投标函</w:t>
      </w:r>
    </w:p>
    <w:p w14:paraId="6F0017BA">
      <w:pPr>
        <w:spacing w:line="540" w:lineRule="exact"/>
        <w:ind w:firstLine="640" w:firstLineChars="200"/>
        <w:rPr>
          <w:rFonts w:hint="eastAsia" w:ascii="仿宋_GB2312" w:hAnsi="仿宋_GB2312" w:eastAsia="仿宋_GB2312"/>
          <w:sz w:val="32"/>
          <w:szCs w:val="32"/>
        </w:rPr>
      </w:pPr>
      <w:r>
        <w:rPr>
          <w:rFonts w:ascii="仿宋_GB2312" w:hAnsi="仿宋_GB2312" w:eastAsia="仿宋_GB2312"/>
          <w:sz w:val="32"/>
          <w:szCs w:val="32"/>
        </w:rPr>
        <w:t>致</w:t>
      </w:r>
      <w:r>
        <w:rPr>
          <w:rFonts w:hint="eastAsia" w:ascii="仿宋_GB2312" w:hAnsi="仿宋_GB2312" w:eastAsia="仿宋_GB2312"/>
          <w:sz w:val="32"/>
          <w:szCs w:val="32"/>
        </w:rPr>
        <w:t>：深圳市南山区蛇口街道办事处</w:t>
      </w:r>
    </w:p>
    <w:p w14:paraId="719B34DA">
      <w:pPr>
        <w:spacing w:line="540" w:lineRule="exact"/>
        <w:ind w:firstLine="640" w:firstLineChars="200"/>
        <w:rPr>
          <w:rFonts w:hint="eastAsia" w:ascii="仿宋_GB2312" w:hAnsi="仿宋_GB2312" w:eastAsia="仿宋_GB2312"/>
          <w:color w:val="000000"/>
          <w:sz w:val="32"/>
          <w:szCs w:val="32"/>
        </w:rPr>
      </w:pPr>
      <w:r>
        <w:rPr>
          <w:rFonts w:ascii="仿宋_GB2312" w:hAnsi="仿宋_GB2312" w:eastAsia="仿宋_GB2312"/>
          <w:color w:val="000000"/>
          <w:sz w:val="32"/>
          <w:szCs w:val="32"/>
        </w:rPr>
        <w:t>1、根据已收到贵方的</w:t>
      </w:r>
      <w:r>
        <w:rPr>
          <w:rFonts w:hint="eastAsia" w:ascii="仿宋_GB2312" w:hAnsi="仿宋_GB2312" w:eastAsia="仿宋_GB2312"/>
          <w:color w:val="000000"/>
          <w:sz w:val="32"/>
          <w:szCs w:val="32"/>
        </w:rPr>
        <w:t>项目名称</w:t>
      </w:r>
      <w:r>
        <w:rPr>
          <w:rFonts w:ascii="仿宋_GB2312" w:hAnsi="仿宋_GB2312" w:eastAsia="仿宋_GB2312"/>
          <w:color w:val="000000"/>
          <w:sz w:val="32"/>
          <w:szCs w:val="32"/>
        </w:rPr>
        <w:t>为的项目的采购文件，遵照</w:t>
      </w:r>
      <w:r>
        <w:rPr>
          <w:rFonts w:ascii="仿宋_GB2312" w:hAnsi="仿宋_GB2312" w:eastAsia="仿宋_GB2312"/>
          <w:color w:val="000000"/>
          <w:kern w:val="0"/>
          <w:sz w:val="32"/>
          <w:szCs w:val="32"/>
        </w:rPr>
        <w:t>《中华人民共和国政府采购法》</w:t>
      </w:r>
      <w:r>
        <w:rPr>
          <w:rFonts w:hint="eastAsia" w:ascii="仿宋_GB2312" w:hAnsi="仿宋_GB2312" w:eastAsia="仿宋_GB2312"/>
          <w:color w:val="000000"/>
          <w:kern w:val="0"/>
          <w:sz w:val="32"/>
          <w:szCs w:val="32"/>
        </w:rPr>
        <w:t>、</w:t>
      </w:r>
      <w:r>
        <w:rPr>
          <w:rFonts w:ascii="仿宋_GB2312" w:hAnsi="仿宋_GB2312" w:eastAsia="仿宋_GB2312"/>
          <w:color w:val="000000"/>
          <w:kern w:val="0"/>
          <w:sz w:val="32"/>
          <w:szCs w:val="32"/>
        </w:rPr>
        <w:t>《</w:t>
      </w:r>
      <w:r>
        <w:rPr>
          <w:rFonts w:hint="eastAsia" w:ascii="仿宋_GB2312" w:hAnsi="仿宋_GB2312" w:eastAsia="仿宋_GB2312"/>
          <w:color w:val="000000"/>
          <w:kern w:val="0"/>
          <w:sz w:val="32"/>
          <w:szCs w:val="32"/>
        </w:rPr>
        <w:t>深圳经济特区政府采购条例</w:t>
      </w:r>
      <w:r>
        <w:rPr>
          <w:rFonts w:ascii="仿宋_GB2312" w:hAnsi="仿宋_GB2312" w:eastAsia="仿宋_GB2312"/>
          <w:color w:val="000000"/>
          <w:kern w:val="0"/>
          <w:sz w:val="32"/>
          <w:szCs w:val="32"/>
        </w:rPr>
        <w:t>》</w:t>
      </w:r>
      <w:r>
        <w:rPr>
          <w:rFonts w:hint="eastAsia" w:ascii="仿宋_GB2312" w:hAnsi="仿宋_GB2312" w:eastAsia="仿宋_GB2312"/>
          <w:color w:val="000000"/>
          <w:kern w:val="0"/>
          <w:sz w:val="32"/>
          <w:szCs w:val="32"/>
        </w:rPr>
        <w:t>、《深圳经济特区政府采购条例实施细则》</w:t>
      </w:r>
      <w:r>
        <w:rPr>
          <w:rFonts w:ascii="仿宋_GB2312" w:hAnsi="仿宋_GB2312" w:eastAsia="仿宋_GB2312"/>
          <w:color w:val="000000"/>
          <w:kern w:val="0"/>
          <w:sz w:val="32"/>
          <w:szCs w:val="32"/>
        </w:rPr>
        <w:t>和有关规定，我单位经研究上述采购文件的专用条款及通用条款后，我方愿</w:t>
      </w:r>
      <w:r>
        <w:rPr>
          <w:rFonts w:ascii="仿宋_GB2312" w:hAnsi="仿宋_GB2312" w:eastAsia="仿宋_GB2312"/>
          <w:color w:val="000000"/>
          <w:sz w:val="32"/>
          <w:szCs w:val="32"/>
        </w:rPr>
        <w:t>以投标文件编制《开标一览表》中填写的投标报价并按采购文件要求承包上述项目并修补其任何缺陷。</w:t>
      </w:r>
    </w:p>
    <w:p w14:paraId="6A4779D1">
      <w:pPr>
        <w:spacing w:line="540" w:lineRule="exact"/>
        <w:ind w:firstLine="640" w:firstLineChars="200"/>
        <w:rPr>
          <w:rFonts w:hint="eastAsia" w:ascii="仿宋_GB2312" w:hAnsi="仿宋_GB2312" w:eastAsia="仿宋_GB2312"/>
          <w:color w:val="000000"/>
          <w:sz w:val="32"/>
          <w:szCs w:val="32"/>
        </w:rPr>
      </w:pPr>
      <w:r>
        <w:rPr>
          <w:rFonts w:ascii="仿宋_GB2312" w:hAnsi="仿宋_GB2312" w:eastAsia="仿宋_GB2312"/>
          <w:color w:val="000000"/>
          <w:sz w:val="32"/>
          <w:szCs w:val="32"/>
        </w:rPr>
        <w:t>2、如果我方中标，我方将按照规定提交上述总价</w:t>
      </w:r>
      <w:r>
        <w:rPr>
          <w:rFonts w:hint="eastAsia" w:ascii="仿宋_GB2312" w:hAnsi="仿宋_GB2312" w:eastAsia="仿宋_GB2312"/>
          <w:color w:val="000000"/>
          <w:sz w:val="32"/>
          <w:szCs w:val="32"/>
        </w:rPr>
        <w:t>0</w:t>
      </w:r>
      <w:r>
        <w:rPr>
          <w:rFonts w:ascii="仿宋_GB2312" w:hAnsi="仿宋_GB2312" w:eastAsia="仿宋_GB2312"/>
          <w:color w:val="000000"/>
          <w:sz w:val="32"/>
          <w:szCs w:val="32"/>
        </w:rPr>
        <w:t>％（或万元）作为履约担保（可提供保函或现金）。</w:t>
      </w:r>
    </w:p>
    <w:p w14:paraId="5319330C">
      <w:pPr>
        <w:spacing w:line="54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3</w:t>
      </w:r>
      <w:r>
        <w:rPr>
          <w:rFonts w:ascii="仿宋_GB2312" w:hAnsi="仿宋_GB2312" w:eastAsia="仿宋_GB2312"/>
          <w:color w:val="000000"/>
          <w:sz w:val="32"/>
          <w:szCs w:val="32"/>
        </w:rPr>
        <w:t>、除非另外达成协议并生效，贵方的中标通知书和本投标文件将构成约束我们双方的合同。</w:t>
      </w:r>
    </w:p>
    <w:p w14:paraId="08C83153">
      <w:pPr>
        <w:spacing w:line="54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4</w:t>
      </w:r>
      <w:r>
        <w:rPr>
          <w:rFonts w:ascii="仿宋_GB2312" w:hAnsi="仿宋_GB2312" w:eastAsia="仿宋_GB2312"/>
          <w:color w:val="000000"/>
          <w:sz w:val="32"/>
          <w:szCs w:val="32"/>
        </w:rPr>
        <w:t>、我方理解贵方将不受必须接受你们所收到的最低标价或其它任何投标文件的约束。</w:t>
      </w:r>
    </w:p>
    <w:p w14:paraId="0318E817">
      <w:pPr>
        <w:spacing w:line="540" w:lineRule="exact"/>
        <w:rPr>
          <w:rFonts w:hint="eastAsia" w:ascii="仿宋_GB2312" w:hAnsi="仿宋_GB2312" w:eastAsia="仿宋_GB2312"/>
          <w:sz w:val="32"/>
          <w:szCs w:val="32"/>
        </w:rPr>
      </w:pPr>
    </w:p>
    <w:p w14:paraId="6D8C70E7">
      <w:pPr>
        <w:spacing w:line="540" w:lineRule="exact"/>
        <w:ind w:left="617" w:leftChars="257"/>
        <w:rPr>
          <w:rFonts w:hint="eastAsia" w:ascii="仿宋_GB2312" w:hAnsi="仿宋_GB2312" w:eastAsia="仿宋_GB2312"/>
          <w:sz w:val="32"/>
          <w:szCs w:val="32"/>
          <w:u w:val="single"/>
        </w:rPr>
      </w:pPr>
      <w:r>
        <w:rPr>
          <w:rFonts w:ascii="仿宋_GB2312" w:hAnsi="仿宋_GB2312" w:eastAsia="仿宋_GB2312"/>
          <w:sz w:val="32"/>
          <w:szCs w:val="32"/>
        </w:rPr>
        <w:t>投标人</w:t>
      </w:r>
      <w:r>
        <w:rPr>
          <w:rFonts w:hint="eastAsia" w:ascii="仿宋_GB2312" w:hAnsi="仿宋_GB2312" w:eastAsia="仿宋_GB2312"/>
          <w:sz w:val="32"/>
          <w:szCs w:val="32"/>
        </w:rPr>
        <w:t>：</w:t>
      </w:r>
      <w:r>
        <w:rPr>
          <w:rFonts w:ascii="仿宋_GB2312" w:hAnsi="仿宋_GB2312" w:eastAsia="仿宋_GB2312"/>
          <w:sz w:val="32"/>
          <w:szCs w:val="32"/>
        </w:rPr>
        <w:t xml:space="preserve">    单位地址</w:t>
      </w:r>
      <w:r>
        <w:rPr>
          <w:rFonts w:hint="eastAsia" w:ascii="仿宋_GB2312" w:hAnsi="仿宋_GB2312" w:eastAsia="仿宋_GB2312"/>
          <w:sz w:val="32"/>
          <w:szCs w:val="32"/>
        </w:rPr>
        <w:t>：</w:t>
      </w:r>
    </w:p>
    <w:p w14:paraId="3FD430C0">
      <w:pPr>
        <w:spacing w:line="540" w:lineRule="exact"/>
        <w:ind w:left="617" w:leftChars="257"/>
        <w:rPr>
          <w:rFonts w:hint="eastAsia" w:ascii="仿宋_GB2312" w:hAnsi="仿宋_GB2312" w:eastAsia="仿宋_GB2312"/>
          <w:sz w:val="32"/>
          <w:szCs w:val="32"/>
          <w:u w:val="single"/>
        </w:rPr>
      </w:pPr>
      <w:r>
        <w:rPr>
          <w:rFonts w:ascii="仿宋_GB2312" w:hAnsi="仿宋_GB2312" w:eastAsia="仿宋_GB2312"/>
          <w:sz w:val="32"/>
          <w:szCs w:val="32"/>
        </w:rPr>
        <w:t>法定代表人或其委托代理人</w:t>
      </w:r>
      <w:r>
        <w:rPr>
          <w:rFonts w:hint="eastAsia" w:ascii="仿宋_GB2312" w:hAnsi="仿宋_GB2312" w:eastAsia="仿宋_GB2312"/>
          <w:sz w:val="32"/>
          <w:szCs w:val="32"/>
        </w:rPr>
        <w:t>：</w:t>
      </w:r>
    </w:p>
    <w:p w14:paraId="4A5F16A2">
      <w:pPr>
        <w:spacing w:line="540" w:lineRule="exact"/>
        <w:ind w:left="617" w:leftChars="257"/>
        <w:rPr>
          <w:rFonts w:hint="eastAsia" w:ascii="仿宋_GB2312" w:hAnsi="仿宋_GB2312" w:eastAsia="仿宋_GB2312"/>
          <w:sz w:val="32"/>
          <w:szCs w:val="32"/>
          <w:u w:val="single"/>
        </w:rPr>
      </w:pPr>
      <w:r>
        <w:rPr>
          <w:rFonts w:ascii="仿宋_GB2312" w:hAnsi="仿宋_GB2312" w:eastAsia="仿宋_GB2312"/>
          <w:sz w:val="32"/>
          <w:szCs w:val="32"/>
        </w:rPr>
        <w:t>邮政编码</w:t>
      </w:r>
      <w:r>
        <w:rPr>
          <w:rFonts w:hint="eastAsia" w:ascii="仿宋_GB2312" w:hAnsi="仿宋_GB2312" w:eastAsia="仿宋_GB2312"/>
          <w:sz w:val="32"/>
          <w:szCs w:val="32"/>
        </w:rPr>
        <w:t>：</w:t>
      </w:r>
      <w:r>
        <w:rPr>
          <w:rFonts w:ascii="仿宋_GB2312" w:hAnsi="仿宋_GB2312" w:eastAsia="仿宋_GB2312"/>
          <w:sz w:val="32"/>
          <w:szCs w:val="32"/>
        </w:rPr>
        <w:t xml:space="preserve">  电话</w:t>
      </w:r>
      <w:r>
        <w:rPr>
          <w:rFonts w:hint="eastAsia" w:ascii="仿宋_GB2312" w:hAnsi="仿宋_GB2312" w:eastAsia="仿宋_GB2312"/>
          <w:sz w:val="32"/>
          <w:szCs w:val="32"/>
        </w:rPr>
        <w:t>：</w:t>
      </w:r>
      <w:r>
        <w:rPr>
          <w:rFonts w:ascii="仿宋_GB2312" w:hAnsi="仿宋_GB2312" w:eastAsia="仿宋_GB2312"/>
          <w:sz w:val="32"/>
          <w:szCs w:val="32"/>
        </w:rPr>
        <w:t xml:space="preserve">  传真</w:t>
      </w:r>
      <w:r>
        <w:rPr>
          <w:rFonts w:hint="eastAsia" w:ascii="仿宋_GB2312" w:hAnsi="仿宋_GB2312" w:eastAsia="仿宋_GB2312"/>
          <w:sz w:val="32"/>
          <w:szCs w:val="32"/>
        </w:rPr>
        <w:t>：</w:t>
      </w:r>
    </w:p>
    <w:p w14:paraId="3CF4195F">
      <w:pPr>
        <w:spacing w:line="540" w:lineRule="exact"/>
        <w:ind w:left="617" w:leftChars="257"/>
        <w:rPr>
          <w:rFonts w:hint="eastAsia" w:ascii="仿宋_GB2312" w:hAnsi="仿宋_GB2312" w:eastAsia="仿宋_GB2312"/>
          <w:sz w:val="32"/>
          <w:szCs w:val="32"/>
        </w:rPr>
      </w:pPr>
      <w:r>
        <w:rPr>
          <w:rFonts w:ascii="仿宋_GB2312" w:hAnsi="仿宋_GB2312" w:eastAsia="仿宋_GB2312"/>
          <w:sz w:val="32"/>
          <w:szCs w:val="32"/>
        </w:rPr>
        <w:t>开户银行名称</w:t>
      </w:r>
      <w:r>
        <w:rPr>
          <w:rFonts w:hint="eastAsia" w:ascii="仿宋_GB2312" w:hAnsi="仿宋_GB2312" w:eastAsia="仿宋_GB2312"/>
          <w:sz w:val="32"/>
          <w:szCs w:val="32"/>
        </w:rPr>
        <w:t>：</w:t>
      </w:r>
      <w:r>
        <w:rPr>
          <w:rFonts w:ascii="仿宋_GB2312" w:hAnsi="仿宋_GB2312" w:eastAsia="仿宋_GB2312"/>
          <w:sz w:val="32"/>
          <w:szCs w:val="32"/>
          <w:u w:val="single"/>
        </w:rPr>
        <w:tab/>
      </w:r>
      <w:r>
        <w:rPr>
          <w:rFonts w:ascii="仿宋_GB2312" w:hAnsi="仿宋_GB2312" w:eastAsia="仿宋_GB2312"/>
          <w:sz w:val="32"/>
          <w:szCs w:val="32"/>
          <w:u w:val="single"/>
        </w:rPr>
        <w:tab/>
      </w:r>
      <w:r>
        <w:rPr>
          <w:rFonts w:ascii="仿宋_GB2312" w:hAnsi="仿宋_GB2312" w:eastAsia="仿宋_GB2312"/>
          <w:sz w:val="32"/>
          <w:szCs w:val="32"/>
          <w:u w:val="single"/>
        </w:rPr>
        <w:tab/>
      </w:r>
      <w:r>
        <w:rPr>
          <w:rFonts w:ascii="仿宋_GB2312" w:hAnsi="仿宋_GB2312" w:eastAsia="仿宋_GB2312"/>
          <w:sz w:val="32"/>
          <w:szCs w:val="32"/>
          <w:u w:val="single"/>
        </w:rPr>
        <w:tab/>
      </w:r>
      <w:r>
        <w:rPr>
          <w:rFonts w:ascii="仿宋_GB2312" w:hAnsi="仿宋_GB2312" w:eastAsia="仿宋_GB2312"/>
          <w:sz w:val="32"/>
          <w:szCs w:val="32"/>
        </w:rPr>
        <w:tab/>
      </w:r>
      <w:r>
        <w:rPr>
          <w:rFonts w:ascii="仿宋_GB2312" w:hAnsi="仿宋_GB2312" w:eastAsia="仿宋_GB2312"/>
          <w:sz w:val="32"/>
          <w:szCs w:val="32"/>
        </w:rPr>
        <w:t>开户银行帐号</w:t>
      </w:r>
      <w:r>
        <w:rPr>
          <w:rFonts w:hint="eastAsia" w:ascii="仿宋_GB2312" w:hAnsi="仿宋_GB2312" w:eastAsia="仿宋_GB2312"/>
          <w:sz w:val="32"/>
          <w:szCs w:val="32"/>
        </w:rPr>
        <w:t>：</w:t>
      </w:r>
      <w:r>
        <w:rPr>
          <w:rFonts w:ascii="仿宋_GB2312" w:hAnsi="仿宋_GB2312" w:eastAsia="仿宋_GB2312"/>
          <w:sz w:val="32"/>
          <w:szCs w:val="32"/>
          <w:u w:val="single"/>
        </w:rPr>
        <w:tab/>
      </w:r>
      <w:r>
        <w:rPr>
          <w:rFonts w:ascii="仿宋_GB2312" w:hAnsi="仿宋_GB2312" w:eastAsia="仿宋_GB2312"/>
          <w:sz w:val="32"/>
          <w:szCs w:val="32"/>
          <w:u w:val="single"/>
        </w:rPr>
        <w:tab/>
      </w:r>
      <w:r>
        <w:rPr>
          <w:rFonts w:ascii="仿宋_GB2312" w:hAnsi="仿宋_GB2312" w:eastAsia="仿宋_GB2312"/>
          <w:sz w:val="32"/>
          <w:szCs w:val="32"/>
          <w:u w:val="single"/>
        </w:rPr>
        <w:tab/>
      </w:r>
    </w:p>
    <w:p w14:paraId="7B7E2727">
      <w:pPr>
        <w:spacing w:line="540" w:lineRule="exact"/>
        <w:ind w:left="617" w:leftChars="257"/>
        <w:rPr>
          <w:rFonts w:hint="eastAsia" w:ascii="仿宋_GB2312" w:hAnsi="仿宋_GB2312" w:eastAsia="仿宋_GB2312"/>
          <w:sz w:val="32"/>
          <w:szCs w:val="32"/>
          <w:u w:val="single"/>
        </w:rPr>
      </w:pPr>
      <w:r>
        <w:rPr>
          <w:rFonts w:ascii="仿宋_GB2312" w:hAnsi="仿宋_GB2312" w:eastAsia="仿宋_GB2312"/>
          <w:sz w:val="32"/>
          <w:szCs w:val="32"/>
        </w:rPr>
        <w:t>开户银行地址</w:t>
      </w:r>
      <w:r>
        <w:rPr>
          <w:rFonts w:hint="eastAsia" w:ascii="仿宋_GB2312" w:hAnsi="仿宋_GB2312" w:eastAsia="仿宋_GB2312"/>
          <w:sz w:val="32"/>
          <w:szCs w:val="32"/>
        </w:rPr>
        <w:t>：</w:t>
      </w:r>
      <w:r>
        <w:rPr>
          <w:rFonts w:ascii="仿宋_GB2312" w:hAnsi="仿宋_GB2312" w:eastAsia="仿宋_GB2312"/>
          <w:sz w:val="32"/>
          <w:szCs w:val="32"/>
          <w:u w:val="single"/>
        </w:rPr>
        <w:tab/>
      </w:r>
      <w:r>
        <w:rPr>
          <w:rFonts w:ascii="仿宋_GB2312" w:hAnsi="仿宋_GB2312" w:eastAsia="仿宋_GB2312"/>
          <w:sz w:val="32"/>
          <w:szCs w:val="32"/>
          <w:u w:val="single"/>
        </w:rPr>
        <w:tab/>
      </w:r>
      <w:r>
        <w:rPr>
          <w:rFonts w:ascii="仿宋_GB2312" w:hAnsi="仿宋_GB2312" w:eastAsia="仿宋_GB2312"/>
          <w:sz w:val="32"/>
          <w:szCs w:val="32"/>
          <w:u w:val="single"/>
        </w:rPr>
        <w:tab/>
      </w:r>
      <w:r>
        <w:rPr>
          <w:rFonts w:ascii="仿宋_GB2312" w:hAnsi="仿宋_GB2312" w:eastAsia="仿宋_GB2312"/>
          <w:sz w:val="32"/>
          <w:szCs w:val="32"/>
          <w:u w:val="single"/>
        </w:rPr>
        <w:tab/>
      </w:r>
      <w:r>
        <w:rPr>
          <w:rFonts w:ascii="仿宋_GB2312" w:hAnsi="仿宋_GB2312" w:eastAsia="仿宋_GB2312"/>
          <w:sz w:val="32"/>
          <w:szCs w:val="32"/>
        </w:rPr>
        <w:tab/>
      </w:r>
      <w:r>
        <w:rPr>
          <w:rFonts w:ascii="仿宋_GB2312" w:hAnsi="仿宋_GB2312" w:eastAsia="仿宋_GB2312"/>
          <w:sz w:val="32"/>
          <w:szCs w:val="32"/>
        </w:rPr>
        <w:t>开户银行电话</w:t>
      </w:r>
      <w:r>
        <w:rPr>
          <w:rFonts w:hint="eastAsia" w:ascii="仿宋_GB2312" w:hAnsi="仿宋_GB2312" w:eastAsia="仿宋_GB2312"/>
          <w:sz w:val="32"/>
          <w:szCs w:val="32"/>
        </w:rPr>
        <w:t>：</w:t>
      </w:r>
      <w:r>
        <w:rPr>
          <w:rFonts w:ascii="仿宋_GB2312" w:hAnsi="仿宋_GB2312" w:eastAsia="仿宋_GB2312"/>
          <w:sz w:val="32"/>
          <w:szCs w:val="32"/>
          <w:u w:val="single"/>
        </w:rPr>
        <w:tab/>
      </w:r>
      <w:r>
        <w:rPr>
          <w:rFonts w:ascii="仿宋_GB2312" w:hAnsi="仿宋_GB2312" w:eastAsia="仿宋_GB2312"/>
          <w:sz w:val="32"/>
          <w:szCs w:val="32"/>
          <w:u w:val="single"/>
        </w:rPr>
        <w:tab/>
      </w:r>
      <w:r>
        <w:rPr>
          <w:rFonts w:ascii="仿宋_GB2312" w:hAnsi="仿宋_GB2312" w:eastAsia="仿宋_GB2312"/>
          <w:sz w:val="32"/>
          <w:szCs w:val="32"/>
          <w:u w:val="single"/>
        </w:rPr>
        <w:tab/>
      </w:r>
    </w:p>
    <w:p w14:paraId="31B0F49C">
      <w:pPr>
        <w:spacing w:line="540" w:lineRule="exact"/>
        <w:ind w:left="617" w:leftChars="257" w:firstLine="4800" w:firstLineChars="1500"/>
        <w:rPr>
          <w:rFonts w:hint="eastAsia" w:ascii="仿宋_GB2312" w:hAnsi="仿宋_GB2312" w:eastAsia="仿宋_GB2312"/>
          <w:sz w:val="32"/>
          <w:szCs w:val="32"/>
        </w:rPr>
      </w:pPr>
      <w:r>
        <w:rPr>
          <w:rFonts w:ascii="仿宋_GB2312" w:hAnsi="仿宋_GB2312" w:eastAsia="仿宋_GB2312"/>
          <w:sz w:val="32"/>
          <w:szCs w:val="32"/>
        </w:rPr>
        <w:t>日期</w:t>
      </w:r>
      <w:r>
        <w:rPr>
          <w:rFonts w:hint="eastAsia" w:ascii="仿宋_GB2312" w:hAnsi="仿宋_GB2312" w:eastAsia="仿宋_GB2312"/>
          <w:sz w:val="32"/>
          <w:szCs w:val="32"/>
        </w:rPr>
        <w:t>：</w:t>
      </w:r>
      <w:r>
        <w:rPr>
          <w:rFonts w:ascii="仿宋_GB2312" w:hAnsi="仿宋_GB2312" w:eastAsia="仿宋_GB2312"/>
          <w:sz w:val="32"/>
          <w:szCs w:val="32"/>
        </w:rPr>
        <w:t>年月日</w:t>
      </w:r>
    </w:p>
    <w:p w14:paraId="6CA4DECF">
      <w:pPr>
        <w:ind w:firstLine="480" w:firstLineChars="200"/>
      </w:pPr>
    </w:p>
    <w:p w14:paraId="0C0498BF">
      <w:pPr>
        <w:pStyle w:val="4"/>
        <w:rPr>
          <w:b w:val="0"/>
        </w:rPr>
      </w:pPr>
      <w:r>
        <w:br w:type="page"/>
      </w:r>
      <w:r>
        <w:rPr>
          <w:rFonts w:hint="eastAsia"/>
        </w:rPr>
        <w:t>四、承诺函</w:t>
      </w:r>
    </w:p>
    <w:p w14:paraId="2764A072">
      <w:pPr>
        <w:spacing w:line="540" w:lineRule="exact"/>
        <w:rPr>
          <w:rFonts w:hint="eastAsia" w:ascii="仿宋_GB2312" w:hAnsi="仿宋_GB2312" w:eastAsia="仿宋_GB2312"/>
          <w:sz w:val="32"/>
          <w:szCs w:val="32"/>
        </w:rPr>
      </w:pPr>
      <w:r>
        <w:rPr>
          <w:rFonts w:hint="eastAsia" w:ascii="仿宋_GB2312" w:hAnsi="仿宋_GB2312" w:eastAsia="仿宋_GB2312"/>
          <w:color w:val="000000"/>
          <w:sz w:val="32"/>
          <w:szCs w:val="32"/>
        </w:rPr>
        <w:t>致：</w:t>
      </w:r>
      <w:r>
        <w:rPr>
          <w:rFonts w:hint="eastAsia" w:ascii="仿宋_GB2312" w:hAnsi="仿宋_GB2312" w:eastAsia="仿宋_GB2312"/>
          <w:sz w:val="32"/>
          <w:szCs w:val="32"/>
        </w:rPr>
        <w:t>深圳市南山区蛇口街道办事处</w:t>
      </w:r>
    </w:p>
    <w:p w14:paraId="5A6BECB6">
      <w:pPr>
        <w:spacing w:line="540" w:lineRule="exact"/>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我公司承诺：</w:t>
      </w:r>
    </w:p>
    <w:p w14:paraId="7964DDE7">
      <w:pPr>
        <w:spacing w:line="54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1.我公司依法缴纳税收和社会保障资金。</w:t>
      </w:r>
    </w:p>
    <w:p w14:paraId="2DA1D451">
      <w:pPr>
        <w:spacing w:line="54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2.我公司具备合同所必需的设备和专业技术能力。</w:t>
      </w:r>
    </w:p>
    <w:p w14:paraId="345AE265">
      <w:pPr>
        <w:spacing w:line="54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3. 我公司承诺在参与本项目投标前三年内，在经营活动中没有重大违法记录，以及参与本项目政府采购活动时不存在被有关部门禁止参与政府采购活动且在有效期内的情况。</w:t>
      </w:r>
    </w:p>
    <w:p w14:paraId="1DAC14A9">
      <w:pPr>
        <w:spacing w:line="54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4.我公司对本招标项目所提供的货物、工程或服务未侵犯知识产权。</w:t>
      </w:r>
    </w:p>
    <w:p w14:paraId="6DA1544F">
      <w:pPr>
        <w:spacing w:line="54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5.如我公司在投标文件中提供了专利证书的，我公司保证所投对应产品具有该项专利。</w:t>
      </w:r>
    </w:p>
    <w:p w14:paraId="612C4E63">
      <w:pPr>
        <w:spacing w:line="54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6.我公司保证采购人拥有所投产品完整的所有权，不以保护知识产权或技术保密的名义对所有权和使用权进行任何限制。</w:t>
      </w:r>
    </w:p>
    <w:p w14:paraId="7BC8172F">
      <w:pPr>
        <w:spacing w:line="54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7.我公司参与该项目投标，严格遵守政府采购相关法律，投标做到诚实，不造假，不围标、串标、陪标。我公司已清楚，如违反上述要求，所投标将作废，被没收投标保证金，被列入不良记录名单并在网上曝光，同时将被提请政府采购主管部门给予一定年限内禁止参与政府采购活动或其他处罚。</w:t>
      </w:r>
    </w:p>
    <w:p w14:paraId="462E6381">
      <w:pPr>
        <w:spacing w:line="54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8.如果我公司中标，将依照本项目招标文件需求、投标承诺及采购合同，做到诚信履约，不偷工减料，项目验收达到合格，力争优良。</w:t>
      </w:r>
    </w:p>
    <w:p w14:paraId="7CAC2865">
      <w:pPr>
        <w:spacing w:line="54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9. 我公司保证不违法分包转包。</w:t>
      </w:r>
    </w:p>
    <w:p w14:paraId="7396B767">
      <w:pPr>
        <w:spacing w:line="54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10.</w:t>
      </w:r>
      <w:r>
        <w:rPr>
          <w:rFonts w:hint="eastAsia" w:ascii="仿宋_GB2312" w:eastAsia="仿宋_GB2312"/>
          <w:bCs/>
          <w:sz w:val="32"/>
          <w:szCs w:val="32"/>
        </w:rPr>
        <w:t>根据项目招标需求，我公司中标后，必须满足招标文件中规定的配置人员要求。</w:t>
      </w:r>
    </w:p>
    <w:p w14:paraId="7806EF6A">
      <w:pPr>
        <w:spacing w:line="540" w:lineRule="exact"/>
        <w:ind w:firstLine="640" w:firstLineChars="2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以上承诺，如有违反，愿依照国家相关法律处理，并承担由此给采购人带来的损失。</w:t>
      </w:r>
    </w:p>
    <w:p w14:paraId="3D1B9F3B">
      <w:pPr>
        <w:spacing w:line="540" w:lineRule="exact"/>
        <w:ind w:firstLine="645"/>
        <w:rPr>
          <w:rFonts w:hint="eastAsia" w:ascii="仿宋_GB2312" w:hAnsi="仿宋_GB2312" w:eastAsia="仿宋_GB2312"/>
          <w:color w:val="000000"/>
          <w:sz w:val="32"/>
          <w:szCs w:val="32"/>
        </w:rPr>
      </w:pPr>
    </w:p>
    <w:p w14:paraId="67B87FA9">
      <w:pPr>
        <w:spacing w:line="540" w:lineRule="exact"/>
        <w:ind w:right="480" w:firstLine="2880" w:firstLineChars="900"/>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投标单位名称：</w:t>
      </w:r>
    </w:p>
    <w:p w14:paraId="2C065F72">
      <w:pPr>
        <w:spacing w:line="540" w:lineRule="exact"/>
        <w:ind w:firstLine="6080" w:firstLineChars="1900"/>
        <w:rPr>
          <w:rFonts w:hint="eastAsia" w:ascii="仿宋_GB2312" w:hAnsi="仿宋_GB2312" w:eastAsia="仿宋_GB2312"/>
          <w:sz w:val="32"/>
          <w:szCs w:val="32"/>
        </w:rPr>
      </w:pPr>
      <w:r>
        <w:rPr>
          <w:rFonts w:hint="eastAsia" w:ascii="仿宋_GB2312" w:hAnsi="仿宋_GB2312" w:eastAsia="仿宋_GB2312"/>
          <w:sz w:val="32"/>
          <w:szCs w:val="32"/>
        </w:rPr>
        <w:t>年   月    日</w:t>
      </w:r>
    </w:p>
    <w:p w14:paraId="0B886538">
      <w:pPr>
        <w:spacing w:line="540" w:lineRule="exact"/>
        <w:rPr>
          <w:rFonts w:hint="eastAsia" w:ascii="仿宋_GB2312" w:hAnsi="仿宋_GB2312" w:eastAsia="仿宋_GB2312"/>
          <w:b/>
          <w:color w:val="FF0000"/>
          <w:sz w:val="32"/>
          <w:szCs w:val="32"/>
        </w:rPr>
      </w:pPr>
      <w:r>
        <w:rPr>
          <w:rFonts w:hint="eastAsia" w:ascii="仿宋_GB2312" w:hAnsi="仿宋_GB2312" w:eastAsia="仿宋_GB2312"/>
          <w:b/>
          <w:color w:val="FF0000"/>
          <w:sz w:val="32"/>
          <w:szCs w:val="32"/>
        </w:rPr>
        <w:t>注意事项：投标人必须严格按照上述格式及内容提供承诺函，否则视为没有实质性满足招标文件要求。</w:t>
      </w:r>
    </w:p>
    <w:p w14:paraId="0A9FCFCB">
      <w:pPr>
        <w:pStyle w:val="4"/>
      </w:pPr>
      <w:r>
        <w:rPr>
          <w:rFonts w:hint="eastAsia"/>
        </w:rPr>
        <w:t>五、投标人资质条件要求</w:t>
      </w:r>
    </w:p>
    <w:p w14:paraId="2FF345EF">
      <w:pPr>
        <w:widowControl/>
        <w:spacing w:line="240" w:lineRule="auto"/>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（投标人资质要求的证明材料）</w:t>
      </w:r>
    </w:p>
    <w:p w14:paraId="22CEBB97">
      <w:pPr>
        <w:pStyle w:val="4"/>
      </w:pPr>
      <w:r>
        <w:rPr>
          <w:rFonts w:hint="eastAsia"/>
        </w:rPr>
        <w:t>六、分项报价表</w:t>
      </w:r>
    </w:p>
    <w:p w14:paraId="6FFF5A8E">
      <w:pPr>
        <w:widowControl/>
        <w:spacing w:line="240" w:lineRule="auto"/>
        <w:ind w:firstLine="640" w:firstLineChars="200"/>
        <w:jc w:val="left"/>
        <w:rPr>
          <w:rFonts w:hint="eastAsia" w:ascii="仿宋_GB2312" w:hAnsi="仿宋_GB2312" w:eastAsia="仿宋_GB2312"/>
          <w:sz w:val="32"/>
          <w:szCs w:val="32"/>
        </w:rPr>
      </w:pPr>
      <w:r>
        <w:rPr>
          <w:rFonts w:hint="eastAsia" w:ascii="仿宋_GB2312" w:hAnsi="仿宋_GB2312" w:eastAsia="仿宋_GB2312"/>
          <w:sz w:val="32"/>
          <w:szCs w:val="32"/>
        </w:rPr>
        <w:t>格式自拟</w:t>
      </w:r>
    </w:p>
    <w:p w14:paraId="3241FD76">
      <w:pPr>
        <w:pStyle w:val="4"/>
      </w:pPr>
      <w:r>
        <w:rPr>
          <w:rFonts w:hint="eastAsia"/>
        </w:rPr>
        <w:t>七、实施方案</w:t>
      </w:r>
    </w:p>
    <w:p w14:paraId="28A565B8">
      <w:pPr/>
    </w:p>
    <w:p w14:paraId="6C3C131E">
      <w:pPr>
        <w:pStyle w:val="4"/>
      </w:pPr>
      <w:r>
        <w:rPr>
          <w:rFonts w:hint="eastAsia"/>
        </w:rPr>
        <w:t>八、项目实施重点难点分析及解决方案</w:t>
      </w:r>
    </w:p>
    <w:p w14:paraId="57B6467B">
      <w:pPr/>
    </w:p>
    <w:p w14:paraId="06BABBC5">
      <w:pPr>
        <w:pStyle w:val="4"/>
      </w:pPr>
      <w:r>
        <w:rPr>
          <w:rFonts w:hint="eastAsia"/>
        </w:rPr>
        <w:t>九、拟安排的项目负责人情况</w:t>
      </w:r>
    </w:p>
    <w:p w14:paraId="44C23B4C">
      <w:pPr/>
    </w:p>
    <w:p w14:paraId="6A69BE6E">
      <w:pPr>
        <w:pStyle w:val="4"/>
      </w:pPr>
      <w:r>
        <w:rPr>
          <w:rFonts w:hint="eastAsia"/>
        </w:rPr>
        <w:t>十、同类项目业绩</w:t>
      </w:r>
    </w:p>
    <w:p w14:paraId="75BB6A68">
      <w:pPr/>
    </w:p>
    <w:p w14:paraId="332432E8">
      <w:pPr/>
    </w:p>
    <w:p w14:paraId="0EC1C4C0">
      <w:pPr>
        <w:pStyle w:val="4"/>
      </w:pPr>
      <w:r>
        <w:rPr>
          <w:rFonts w:hint="eastAsia"/>
        </w:rPr>
        <w:t>十一、投标人认为其他需要证明的材料</w:t>
      </w:r>
      <w:r>
        <w:br w:type="page"/>
      </w:r>
    </w:p>
    <w:p w14:paraId="3AA5C4C1">
      <w:pPr>
        <w:pStyle w:val="3"/>
      </w:pPr>
      <w:r>
        <w:rPr>
          <w:rFonts w:hint="eastAsia"/>
        </w:rPr>
        <w:t>第四章开标一览表</w:t>
      </w:r>
    </w:p>
    <w:p w14:paraId="0479F323">
      <w:pPr>
        <w:ind w:right="840"/>
        <w:rPr>
          <w:szCs w:val="21"/>
        </w:rPr>
      </w:pPr>
    </w:p>
    <w:p w14:paraId="75274D66">
      <w:pPr>
        <w:ind w:right="840"/>
      </w:pPr>
    </w:p>
    <w:p w14:paraId="7FD13AE9">
      <w:pPr>
        <w:spacing w:line="540" w:lineRule="exact"/>
        <w:rPr>
          <w:rFonts w:hint="eastAsia" w:ascii="仿宋_GB2312" w:hAnsi="仿宋_GB2312" w:eastAsia="仿宋_GB2312"/>
          <w:sz w:val="32"/>
          <w:szCs w:val="32"/>
        </w:rPr>
      </w:pPr>
      <w:r>
        <w:rPr>
          <w:rFonts w:ascii="仿宋_GB2312" w:hAnsi="仿宋_GB2312" w:eastAsia="仿宋_GB2312"/>
          <w:sz w:val="32"/>
          <w:szCs w:val="32"/>
        </w:rPr>
        <w:t>投标人名称</w:t>
      </w:r>
      <w:r>
        <w:rPr>
          <w:rFonts w:hint="eastAsia" w:ascii="仿宋_GB2312" w:hAnsi="仿宋_GB2312" w:eastAsia="仿宋_GB2312"/>
          <w:sz w:val="32"/>
          <w:szCs w:val="32"/>
        </w:rPr>
        <w:t>：</w:t>
      </w:r>
      <w:r>
        <w:rPr>
          <w:rFonts w:ascii="仿宋_GB2312" w:hAnsi="仿宋_GB2312" w:eastAsia="仿宋_GB2312"/>
          <w:sz w:val="32"/>
          <w:szCs w:val="32"/>
        </w:rPr>
        <w:t xml:space="preserve"> </w:t>
      </w:r>
    </w:p>
    <w:p w14:paraId="18CDFC66">
      <w:pPr>
        <w:spacing w:line="540" w:lineRule="exact"/>
        <w:rPr>
          <w:rFonts w:hint="eastAsia" w:ascii="仿宋_GB2312" w:hAnsi="仿宋_GB2312" w:eastAsia="仿宋_GB2312"/>
          <w:sz w:val="32"/>
          <w:szCs w:val="32"/>
        </w:rPr>
      </w:pPr>
    </w:p>
    <w:tbl>
      <w:tblPr>
        <w:tblStyle w:val="24"/>
        <w:tblW w:w="90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7"/>
        <w:gridCol w:w="2126"/>
        <w:gridCol w:w="2835"/>
        <w:gridCol w:w="1558"/>
      </w:tblGrid>
      <w:tr w14:paraId="6277ABD4">
        <w:tblPrEx>
          <w:tblLayout w:type="fixed"/>
        </w:tblPrEx>
        <w:trPr>
          <w:cantSplit/>
          <w:trHeight w:val="713"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3158A35B">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hint="eastAsia" w:ascii="仿宋_GB2312" w:hAnsi="仿宋_GB2312" w:eastAsia="仿宋_GB2312"/>
                <w:sz w:val="32"/>
                <w:szCs w:val="32"/>
              </w:rPr>
            </w:pPr>
            <w:r>
              <w:rPr>
                <w:rFonts w:ascii="仿宋_GB2312" w:hAnsi="仿宋_GB2312" w:eastAsia="仿宋_GB2312"/>
                <w:sz w:val="32"/>
                <w:szCs w:val="32"/>
              </w:rPr>
              <w:t>项目名称</w:t>
            </w:r>
          </w:p>
        </w:tc>
        <w:tc>
          <w:tcPr>
            <w:tcW w:w="2126" w:type="dxa"/>
            <w:tcBorders>
              <w:top w:val="single" w:color="auto" w:sz="4" w:space="0"/>
              <w:left w:val="single" w:color="auto" w:sz="4" w:space="0"/>
              <w:bottom w:val="single" w:color="auto" w:sz="4" w:space="0"/>
              <w:right w:val="single" w:color="auto" w:sz="4" w:space="0"/>
            </w:tcBorders>
            <w:vAlign w:val="center"/>
          </w:tcPr>
          <w:p w14:paraId="307FACC8">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hint="eastAsia" w:ascii="仿宋_GB2312" w:hAnsi="仿宋_GB2312" w:eastAsia="仿宋_GB2312"/>
                <w:sz w:val="32"/>
                <w:szCs w:val="32"/>
              </w:rPr>
            </w:pPr>
            <w:r>
              <w:rPr>
                <w:rFonts w:hint="eastAsia" w:ascii="仿宋_GB2312" w:hAnsi="仿宋_GB2312" w:eastAsia="仿宋_GB2312"/>
                <w:sz w:val="32"/>
                <w:szCs w:val="32"/>
              </w:rPr>
              <w:t>报价</w:t>
            </w:r>
          </w:p>
        </w:tc>
        <w:tc>
          <w:tcPr>
            <w:tcW w:w="2835" w:type="dxa"/>
            <w:tcBorders>
              <w:top w:val="single" w:color="auto" w:sz="4" w:space="0"/>
              <w:left w:val="single" w:color="auto" w:sz="4" w:space="0"/>
              <w:bottom w:val="single" w:color="auto" w:sz="4" w:space="0"/>
              <w:right w:val="single" w:color="auto" w:sz="4" w:space="0"/>
            </w:tcBorders>
          </w:tcPr>
          <w:p w14:paraId="2D143C84">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hint="eastAsia" w:ascii="仿宋_GB2312" w:hAnsi="仿宋_GB2312" w:eastAsia="仿宋_GB2312"/>
                <w:sz w:val="32"/>
                <w:szCs w:val="32"/>
              </w:rPr>
            </w:pPr>
            <w:r>
              <w:rPr>
                <w:rFonts w:hint="eastAsia" w:ascii="仿宋_GB2312" w:hAnsi="仿宋_GB2312" w:eastAsia="仿宋_GB2312"/>
                <w:sz w:val="32"/>
                <w:szCs w:val="32"/>
              </w:rPr>
              <w:t>服务期</w:t>
            </w:r>
          </w:p>
        </w:tc>
        <w:tc>
          <w:tcPr>
            <w:tcW w:w="1558" w:type="dxa"/>
            <w:tcBorders>
              <w:top w:val="single" w:color="auto" w:sz="4" w:space="0"/>
              <w:left w:val="single" w:color="auto" w:sz="4" w:space="0"/>
              <w:bottom w:val="single" w:color="auto" w:sz="4" w:space="0"/>
              <w:right w:val="single" w:color="auto" w:sz="4" w:space="0"/>
            </w:tcBorders>
            <w:vAlign w:val="center"/>
          </w:tcPr>
          <w:p w14:paraId="7C624ED8">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hint="eastAsia" w:ascii="仿宋_GB2312" w:hAnsi="仿宋_GB2312" w:eastAsia="仿宋_GB2312"/>
                <w:sz w:val="32"/>
                <w:szCs w:val="32"/>
              </w:rPr>
            </w:pPr>
            <w:r>
              <w:rPr>
                <w:rFonts w:ascii="仿宋_GB2312" w:hAnsi="仿宋_GB2312" w:eastAsia="仿宋_GB2312"/>
                <w:sz w:val="32"/>
                <w:szCs w:val="32"/>
              </w:rPr>
              <w:t>备注</w:t>
            </w:r>
          </w:p>
        </w:tc>
      </w:tr>
      <w:tr w14:paraId="0F4288A7">
        <w:tblPrEx>
          <w:tblLayout w:type="fixed"/>
        </w:tblPrEx>
        <w:trPr>
          <w:cantSplit/>
          <w:trHeight w:val="1924" w:hRule="atLeast"/>
          <w:jc w:val="center"/>
        </w:trPr>
        <w:tc>
          <w:tcPr>
            <w:tcW w:w="2547" w:type="dxa"/>
            <w:tcBorders>
              <w:top w:val="single" w:color="auto" w:sz="4" w:space="0"/>
              <w:left w:val="single" w:color="auto" w:sz="4" w:space="0"/>
              <w:bottom w:val="single" w:color="auto" w:sz="4" w:space="0"/>
              <w:right w:val="single" w:color="auto" w:sz="4" w:space="0"/>
            </w:tcBorders>
          </w:tcPr>
          <w:p w14:paraId="2407CB7E">
            <w:pPr>
              <w:tabs>
                <w:tab w:val="left" w:pos="654"/>
                <w:tab w:val="left" w:pos="1734"/>
                <w:tab w:val="left" w:pos="2814"/>
                <w:tab w:val="left" w:pos="3894"/>
                <w:tab w:val="left" w:pos="5334"/>
                <w:tab w:val="left" w:pos="6414"/>
                <w:tab w:val="left" w:pos="7254"/>
                <w:tab w:val="left" w:pos="8574"/>
                <w:tab w:val="left" w:pos="9654"/>
              </w:tabs>
              <w:spacing w:line="540" w:lineRule="exact"/>
              <w:rPr>
                <w:rFonts w:hint="eastAsia" w:ascii="仿宋_GB2312" w:hAnsi="仿宋_GB2312" w:eastAsia="仿宋_GB2312"/>
                <w:sz w:val="32"/>
                <w:szCs w:val="32"/>
              </w:rPr>
            </w:pPr>
          </w:p>
        </w:tc>
        <w:tc>
          <w:tcPr>
            <w:tcW w:w="2126" w:type="dxa"/>
            <w:tcBorders>
              <w:top w:val="single" w:color="auto" w:sz="4" w:space="0"/>
              <w:left w:val="single" w:color="auto" w:sz="4" w:space="0"/>
              <w:bottom w:val="single" w:color="auto" w:sz="4" w:space="0"/>
              <w:right w:val="single" w:color="auto" w:sz="4" w:space="0"/>
            </w:tcBorders>
          </w:tcPr>
          <w:p w14:paraId="5A1674B1">
            <w:pPr>
              <w:tabs>
                <w:tab w:val="left" w:pos="654"/>
                <w:tab w:val="left" w:pos="1734"/>
                <w:tab w:val="left" w:pos="2814"/>
                <w:tab w:val="left" w:pos="3894"/>
                <w:tab w:val="left" w:pos="5334"/>
                <w:tab w:val="left" w:pos="6414"/>
                <w:tab w:val="left" w:pos="7254"/>
                <w:tab w:val="left" w:pos="8574"/>
                <w:tab w:val="left" w:pos="9654"/>
              </w:tabs>
              <w:spacing w:line="540" w:lineRule="exact"/>
              <w:rPr>
                <w:rFonts w:hint="eastAsia" w:ascii="仿宋_GB2312" w:hAnsi="宋体" w:eastAsia="仿宋_GB2312"/>
                <w:sz w:val="32"/>
                <w:szCs w:val="32"/>
              </w:rPr>
            </w:pPr>
          </w:p>
        </w:tc>
        <w:tc>
          <w:tcPr>
            <w:tcW w:w="2835" w:type="dxa"/>
            <w:tcBorders>
              <w:top w:val="single" w:color="auto" w:sz="4" w:space="0"/>
              <w:left w:val="single" w:color="auto" w:sz="4" w:space="0"/>
              <w:bottom w:val="single" w:color="auto" w:sz="4" w:space="0"/>
              <w:right w:val="single" w:color="auto" w:sz="4" w:space="0"/>
            </w:tcBorders>
            <w:vAlign w:val="center"/>
          </w:tcPr>
          <w:p w14:paraId="2A8794ED">
            <w:pPr>
              <w:tabs>
                <w:tab w:val="left" w:pos="654"/>
                <w:tab w:val="left" w:pos="1734"/>
                <w:tab w:val="left" w:pos="2814"/>
                <w:tab w:val="left" w:pos="3894"/>
                <w:tab w:val="left" w:pos="5334"/>
                <w:tab w:val="left" w:pos="6414"/>
                <w:tab w:val="left" w:pos="7254"/>
                <w:tab w:val="left" w:pos="8574"/>
                <w:tab w:val="left" w:pos="9654"/>
              </w:tabs>
              <w:spacing w:line="540" w:lineRule="exact"/>
              <w:jc w:val="center"/>
              <w:rPr>
                <w:rFonts w:hint="eastAsia" w:ascii="仿宋_GB2312" w:hAnsi="仿宋_GB2312" w:eastAsia="仿宋_GB2312"/>
                <w:sz w:val="32"/>
                <w:szCs w:val="32"/>
              </w:rPr>
            </w:pPr>
            <w:r>
              <w:rPr>
                <w:rFonts w:hint="eastAsia" w:ascii="仿宋_GB2312" w:eastAsia="仿宋_GB2312"/>
                <w:sz w:val="32"/>
                <w:szCs w:val="32"/>
              </w:rPr>
              <w:t>1年</w:t>
            </w:r>
          </w:p>
        </w:tc>
        <w:tc>
          <w:tcPr>
            <w:tcW w:w="1558" w:type="dxa"/>
            <w:tcBorders>
              <w:top w:val="single" w:color="auto" w:sz="4" w:space="0"/>
              <w:left w:val="single" w:color="auto" w:sz="4" w:space="0"/>
              <w:bottom w:val="single" w:color="auto" w:sz="4" w:space="0"/>
              <w:right w:val="single" w:color="auto" w:sz="4" w:space="0"/>
            </w:tcBorders>
          </w:tcPr>
          <w:p w14:paraId="2E690DC8">
            <w:pPr>
              <w:tabs>
                <w:tab w:val="left" w:pos="654"/>
                <w:tab w:val="left" w:pos="1734"/>
                <w:tab w:val="left" w:pos="2814"/>
                <w:tab w:val="left" w:pos="3894"/>
                <w:tab w:val="left" w:pos="5334"/>
                <w:tab w:val="left" w:pos="6414"/>
                <w:tab w:val="left" w:pos="7254"/>
                <w:tab w:val="left" w:pos="8574"/>
                <w:tab w:val="left" w:pos="9654"/>
              </w:tabs>
              <w:spacing w:line="540" w:lineRule="exact"/>
              <w:rPr>
                <w:rFonts w:hint="eastAsia" w:ascii="仿宋_GB2312" w:hAnsi="仿宋_GB2312" w:eastAsia="仿宋_GB2312"/>
                <w:sz w:val="32"/>
                <w:szCs w:val="32"/>
              </w:rPr>
            </w:pPr>
          </w:p>
        </w:tc>
      </w:tr>
    </w:tbl>
    <w:p w14:paraId="06811DBA">
      <w:pPr>
        <w:spacing w:line="540" w:lineRule="exact"/>
        <w:rPr>
          <w:rFonts w:hint="eastAsia" w:ascii="仿宋_GB2312" w:hAnsi="仿宋_GB2312" w:eastAsia="仿宋_GB2312"/>
          <w:sz w:val="32"/>
          <w:szCs w:val="32"/>
        </w:rPr>
      </w:pPr>
    </w:p>
    <w:p w14:paraId="225E1EBF">
      <w:pPr>
        <w:spacing w:line="540" w:lineRule="exact"/>
        <w:rPr>
          <w:rFonts w:hint="eastAsia" w:ascii="仿宋_GB2312" w:hAnsi="仿宋_GB2312" w:eastAsia="仿宋_GB2312"/>
          <w:sz w:val="32"/>
          <w:szCs w:val="32"/>
        </w:rPr>
      </w:pPr>
    </w:p>
    <w:p w14:paraId="0FCE4561">
      <w:pPr>
        <w:spacing w:line="540" w:lineRule="exact"/>
        <w:rPr>
          <w:rFonts w:hint="eastAsia" w:ascii="仿宋_GB2312" w:hAnsi="仿宋_GB2312" w:eastAsia="仿宋_GB2312"/>
          <w:sz w:val="32"/>
          <w:szCs w:val="32"/>
        </w:rPr>
      </w:pPr>
      <w:r>
        <w:rPr>
          <w:rFonts w:ascii="仿宋_GB2312" w:hAnsi="仿宋_GB2312" w:eastAsia="仿宋_GB2312"/>
          <w:sz w:val="32"/>
          <w:szCs w:val="32"/>
        </w:rPr>
        <w:t>投标人代表签字</w:t>
      </w:r>
      <w:r>
        <w:rPr>
          <w:rFonts w:hint="eastAsia" w:ascii="仿宋_GB2312" w:hAnsi="仿宋_GB2312" w:eastAsia="仿宋_GB2312"/>
          <w:sz w:val="32"/>
          <w:szCs w:val="32"/>
        </w:rPr>
        <w:t>：</w:t>
      </w:r>
    </w:p>
    <w:p w14:paraId="7748525B">
      <w:pPr>
        <w:spacing w:line="540" w:lineRule="exact"/>
        <w:rPr>
          <w:rFonts w:hint="eastAsia" w:ascii="仿宋_GB2312" w:hAnsi="仿宋_GB2312" w:eastAsia="仿宋_GB2312"/>
          <w:sz w:val="32"/>
          <w:szCs w:val="32"/>
        </w:rPr>
      </w:pPr>
      <w:r>
        <w:rPr>
          <w:rFonts w:ascii="仿宋_GB2312" w:hAnsi="仿宋_GB2312" w:eastAsia="仿宋_GB2312"/>
          <w:sz w:val="32"/>
          <w:szCs w:val="32"/>
        </w:rPr>
        <w:t>投标人盖章</w:t>
      </w:r>
      <w:r>
        <w:rPr>
          <w:rFonts w:hint="eastAsia" w:ascii="仿宋_GB2312" w:hAnsi="仿宋_GB2312" w:eastAsia="仿宋_GB2312"/>
          <w:sz w:val="32"/>
          <w:szCs w:val="32"/>
        </w:rPr>
        <w:t>：</w:t>
      </w:r>
    </w:p>
    <w:p w14:paraId="2C8C6F23">
      <w:pPr>
        <w:spacing w:line="540" w:lineRule="exact"/>
        <w:rPr>
          <w:rFonts w:hint="eastAsia" w:ascii="仿宋_GB2312" w:hAnsi="仿宋_GB2312" w:eastAsia="仿宋_GB2312"/>
          <w:sz w:val="32"/>
          <w:szCs w:val="32"/>
        </w:rPr>
      </w:pPr>
      <w:r>
        <w:rPr>
          <w:rFonts w:hint="eastAsia" w:ascii="仿宋_GB2312" w:hAnsi="仿宋_GB2312" w:eastAsia="仿宋_GB2312"/>
          <w:sz w:val="32"/>
          <w:szCs w:val="32"/>
        </w:rPr>
        <w:t>日期：</w:t>
      </w:r>
    </w:p>
    <w:p w14:paraId="229051C8">
      <w:pPr>
        <w:spacing w:line="540" w:lineRule="exact"/>
        <w:rPr>
          <w:rFonts w:hint="eastAsia" w:ascii="仿宋_GB2312" w:hAnsi="仿宋_GB2312" w:eastAsia="仿宋_GB2312"/>
          <w:sz w:val="32"/>
          <w:szCs w:val="32"/>
        </w:rPr>
      </w:pPr>
    </w:p>
    <w:p w14:paraId="159E24C0">
      <w:pPr>
        <w:spacing w:line="540" w:lineRule="exact"/>
        <w:rPr>
          <w:rFonts w:hint="eastAsia" w:ascii="仿宋_GB2312" w:hAnsi="仿宋_GB2312" w:eastAsia="仿宋_GB2312"/>
          <w:sz w:val="32"/>
          <w:szCs w:val="32"/>
        </w:rPr>
      </w:pPr>
      <w:r>
        <w:rPr>
          <w:rFonts w:hint="eastAsia" w:ascii="仿宋_GB2312" w:hAnsi="仿宋_GB2312" w:eastAsia="仿宋_GB2312"/>
          <w:sz w:val="32"/>
          <w:szCs w:val="32"/>
        </w:rPr>
        <w:t>备注：</w:t>
      </w:r>
    </w:p>
    <w:p w14:paraId="6EF48AFA">
      <w:pPr>
        <w:numPr>
          <w:ilvl w:val="0"/>
          <w:numId w:val="1"/>
        </w:numPr>
        <w:spacing w:line="540" w:lineRule="exact"/>
        <w:jc w:val="left"/>
        <w:rPr>
          <w:rFonts w:hint="eastAsia" w:ascii="仿宋_GB2312" w:hAnsi="仿宋_GB2312" w:eastAsia="仿宋_GB2312"/>
          <w:b/>
          <w:bCs/>
          <w:color w:val="FF0000"/>
          <w:sz w:val="32"/>
          <w:szCs w:val="32"/>
        </w:rPr>
      </w:pPr>
      <w:r>
        <w:rPr>
          <w:rFonts w:ascii="仿宋_GB2312" w:hAnsi="仿宋_GB2312" w:eastAsia="仿宋_GB2312"/>
          <w:b/>
          <w:bCs/>
          <w:color w:val="FF0000"/>
          <w:sz w:val="32"/>
          <w:szCs w:val="32"/>
        </w:rPr>
        <w:t>此表应密封单独提交，毋须装订投标文件中。</w:t>
      </w:r>
    </w:p>
    <w:p w14:paraId="36847F9F">
      <w:pPr>
        <w:rPr>
          <w:color w:val="000000"/>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00000000" w:usb1="00000000"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E8585">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EE687B">
                          <w:pPr>
                            <w:pStyle w:val="1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SauIPpQEAAD8DAAAOAAAAAAAA&#10;AAEAIAAAAB4BAABkcnMvZTJvRG9jLnhtbFBLBQYAAAAABgAGAFkBAAA1BQAAAAAA&#10;">
              <v:fill on="f" focussize="0,0"/>
              <v:stroke on="f"/>
              <v:imagedata o:title=""/>
              <o:lock v:ext="edit" aspectratio="f"/>
              <v:textbox inset="0mm,0mm,0mm,0mm" style="mso-fit-shape-to-text:t;">
                <w:txbxContent>
                  <w:p w14:paraId="1CEE687B">
                    <w:pPr>
                      <w:pStyle w:val="1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2079E"/>
    <w:multiLevelType w:val="multilevel"/>
    <w:tmpl w:val="4952079E"/>
    <w:lvl w:ilvl="0" w:tentative="0">
      <w:start w:val="1"/>
      <w:numFmt w:val="decimal"/>
      <w:lvlText w:val="%1、"/>
      <w:lvlJc w:val="left"/>
      <w:pPr>
        <w:ind w:left="720" w:hanging="720"/>
      </w:pPr>
      <w:rPr>
        <w:rFonts w:ascii="Times New Roman" w:hAnsi="Times New Roman"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7"/>
    <w:qFormat/>
    <w:uiPriority w:val="9"/>
    <w:pPr>
      <w:keepNext/>
      <w:keepLines/>
      <w:spacing w:before="340" w:after="330" w:line="578" w:lineRule="auto"/>
      <w:jc w:val="center"/>
      <w:outlineLvl w:val="0"/>
    </w:pPr>
    <w:rPr>
      <w:b/>
      <w:bCs/>
      <w:kern w:val="44"/>
      <w:sz w:val="40"/>
      <w:szCs w:val="44"/>
    </w:rPr>
  </w:style>
  <w:style w:type="paragraph" w:styleId="4">
    <w:name w:val="heading 2"/>
    <w:basedOn w:val="1"/>
    <w:next w:val="1"/>
    <w:link w:val="28"/>
    <w:qFormat/>
    <w:uiPriority w:val="0"/>
    <w:pPr>
      <w:spacing w:line="520" w:lineRule="exact"/>
      <w:jc w:val="left"/>
      <w:outlineLvl w:val="1"/>
    </w:pPr>
    <w:rPr>
      <w:rFonts w:eastAsia="黑体"/>
      <w:b/>
      <w:sz w:val="32"/>
    </w:rPr>
  </w:style>
  <w:style w:type="paragraph" w:styleId="5">
    <w:name w:val="heading 3"/>
    <w:basedOn w:val="1"/>
    <w:next w:val="1"/>
    <w:link w:val="30"/>
    <w:qFormat/>
    <w:uiPriority w:val="9"/>
    <w:pPr>
      <w:keepNext/>
      <w:keepLines/>
      <w:spacing w:before="20" w:after="20" w:line="240" w:lineRule="auto"/>
      <w:jc w:val="left"/>
      <w:outlineLvl w:val="2"/>
    </w:pPr>
    <w:rPr>
      <w:rFonts w:eastAsia="仿宋"/>
      <w:b/>
      <w:bCs/>
      <w:sz w:val="32"/>
      <w:szCs w:val="32"/>
    </w:rPr>
  </w:style>
  <w:style w:type="paragraph" w:styleId="6">
    <w:name w:val="heading 4"/>
    <w:basedOn w:val="1"/>
    <w:next w:val="1"/>
    <w:link w:val="29"/>
    <w:qFormat/>
    <w:uiPriority w:val="9"/>
    <w:pPr>
      <w:keepNext/>
      <w:keepLines/>
      <w:spacing w:before="20" w:after="20" w:line="240" w:lineRule="auto"/>
      <w:outlineLvl w:val="3"/>
    </w:pPr>
    <w:rPr>
      <w:rFonts w:ascii="Cambria" w:hAnsi="Cambria" w:eastAsia="仿宋_GB2312"/>
      <w:b/>
      <w:bCs/>
      <w:sz w:val="32"/>
      <w:szCs w:val="28"/>
    </w:rPr>
  </w:style>
  <w:style w:type="paragraph" w:styleId="7">
    <w:name w:val="heading 5"/>
    <w:basedOn w:val="1"/>
    <w:next w:val="1"/>
    <w:link w:val="31"/>
    <w:qFormat/>
    <w:uiPriority w:val="9"/>
    <w:pPr>
      <w:keepNext/>
      <w:keepLines/>
      <w:spacing w:before="280" w:after="290" w:line="376" w:lineRule="auto"/>
      <w:outlineLvl w:val="4"/>
    </w:pPr>
    <w:rPr>
      <w:b/>
      <w:bCs/>
      <w:sz w:val="28"/>
      <w:szCs w:val="28"/>
    </w:rPr>
  </w:style>
  <w:style w:type="paragraph" w:styleId="8">
    <w:name w:val="heading 8"/>
    <w:basedOn w:val="1"/>
    <w:next w:val="1"/>
    <w:link w:val="52"/>
    <w:unhideWhenUsed/>
    <w:qFormat/>
    <w:uiPriority w:val="9"/>
    <w:pPr>
      <w:keepNext/>
      <w:keepLines/>
      <w:spacing w:before="240" w:after="64" w:line="320" w:lineRule="auto"/>
      <w:outlineLvl w:val="7"/>
    </w:pPr>
    <w:rPr>
      <w:rFonts w:asciiTheme="majorHAnsi" w:hAnsiTheme="majorHAnsi" w:eastAsiaTheme="majorEastAsia" w:cstheme="majorBidi"/>
    </w:rPr>
  </w:style>
  <w:style w:type="character" w:default="1" w:styleId="19">
    <w:name w:val="Default Paragraph Font"/>
    <w:unhideWhenUsed/>
    <w:uiPriority w:val="1"/>
  </w:style>
  <w:style w:type="table" w:default="1" w:styleId="24">
    <w:name w:val="Normal Table"/>
    <w:unhideWhenUsed/>
    <w:uiPriority w:val="99"/>
    <w:tblPr>
      <w:tblLayout w:type="fixed"/>
      <w:tblCellMar>
        <w:top w:w="0" w:type="dxa"/>
        <w:left w:w="108" w:type="dxa"/>
        <w:bottom w:w="0" w:type="dxa"/>
        <w:right w:w="108" w:type="dxa"/>
      </w:tblCellMar>
    </w:tblPr>
  </w:style>
  <w:style w:type="paragraph" w:styleId="2">
    <w:name w:val="Body Text"/>
    <w:basedOn w:val="1"/>
    <w:next w:val="1"/>
    <w:link w:val="26"/>
    <w:qFormat/>
    <w:uiPriority w:val="1"/>
    <w:pPr>
      <w:autoSpaceDE w:val="0"/>
      <w:autoSpaceDN w:val="0"/>
      <w:spacing w:line="240" w:lineRule="auto"/>
      <w:jc w:val="left"/>
    </w:pPr>
    <w:rPr>
      <w:rFonts w:ascii="宋体" w:hAnsi="宋体" w:cs="宋体"/>
      <w:kern w:val="0"/>
      <w:sz w:val="21"/>
      <w:szCs w:val="21"/>
      <w:lang w:val="zh-CN" w:bidi="zh-CN"/>
    </w:rPr>
  </w:style>
  <w:style w:type="paragraph" w:styleId="9">
    <w:name w:val="annotation subject"/>
    <w:basedOn w:val="10"/>
    <w:next w:val="10"/>
    <w:link w:val="37"/>
    <w:unhideWhenUsed/>
    <w:qFormat/>
    <w:uiPriority w:val="99"/>
    <w:rPr>
      <w:rFonts w:ascii="Times New Roman" w:hAnsi="Times New Roman"/>
      <w:b/>
      <w:bCs/>
    </w:rPr>
  </w:style>
  <w:style w:type="paragraph" w:styleId="10">
    <w:name w:val="annotation text"/>
    <w:basedOn w:val="1"/>
    <w:link w:val="33"/>
    <w:qFormat/>
    <w:uiPriority w:val="0"/>
    <w:pPr>
      <w:jc w:val="left"/>
    </w:pPr>
    <w:rPr>
      <w:rFonts w:ascii="Calibri" w:hAnsi="Calibri"/>
    </w:rPr>
  </w:style>
  <w:style w:type="paragraph" w:styleId="11">
    <w:name w:val="Normal Indent"/>
    <w:basedOn w:val="1"/>
    <w:link w:val="32"/>
    <w:qFormat/>
    <w:uiPriority w:val="0"/>
    <w:pPr>
      <w:spacing w:line="240" w:lineRule="auto"/>
      <w:ind w:firstLine="420"/>
    </w:pPr>
    <w:rPr>
      <w:rFonts w:ascii="Calibri" w:hAnsi="Calibri"/>
      <w:sz w:val="21"/>
      <w:szCs w:val="22"/>
    </w:rPr>
  </w:style>
  <w:style w:type="paragraph" w:styleId="12">
    <w:name w:val="Body Text Indent"/>
    <w:basedOn w:val="1"/>
    <w:next w:val="1"/>
    <w:link w:val="49"/>
    <w:unhideWhenUsed/>
    <w:qFormat/>
    <w:uiPriority w:val="99"/>
    <w:pPr>
      <w:spacing w:after="120"/>
      <w:ind w:left="420" w:leftChars="200"/>
    </w:pPr>
  </w:style>
  <w:style w:type="paragraph" w:styleId="13">
    <w:name w:val="Balloon Text"/>
    <w:basedOn w:val="1"/>
    <w:link w:val="34"/>
    <w:unhideWhenUsed/>
    <w:qFormat/>
    <w:uiPriority w:val="99"/>
    <w:pPr>
      <w:spacing w:line="240" w:lineRule="auto"/>
    </w:pPr>
    <w:rPr>
      <w:sz w:val="18"/>
      <w:szCs w:val="18"/>
    </w:rPr>
  </w:style>
  <w:style w:type="paragraph" w:styleId="14">
    <w:name w:val="footer"/>
    <w:basedOn w:val="1"/>
    <w:link w:val="35"/>
    <w:unhideWhenUsed/>
    <w:qFormat/>
    <w:uiPriority w:val="99"/>
    <w:pPr>
      <w:tabs>
        <w:tab w:val="center" w:pos="4153"/>
        <w:tab w:val="right" w:pos="8306"/>
      </w:tabs>
      <w:snapToGrid w:val="0"/>
      <w:spacing w:line="240" w:lineRule="auto"/>
      <w:jc w:val="left"/>
    </w:pPr>
    <w:rPr>
      <w:sz w:val="18"/>
      <w:szCs w:val="18"/>
    </w:rPr>
  </w:style>
  <w:style w:type="paragraph" w:styleId="15">
    <w:name w:val="Body Text First Indent 2"/>
    <w:basedOn w:val="12"/>
    <w:next w:val="1"/>
    <w:link w:val="50"/>
    <w:unhideWhenUsed/>
    <w:qFormat/>
    <w:uiPriority w:val="0"/>
    <w:pPr>
      <w:widowControl/>
      <w:spacing w:line="240" w:lineRule="auto"/>
      <w:ind w:firstLine="420" w:firstLineChars="200"/>
      <w:jc w:val="left"/>
    </w:pPr>
    <w:rPr>
      <w:rFonts w:eastAsiaTheme="minorEastAsia"/>
      <w:kern w:val="0"/>
    </w:rPr>
  </w:style>
  <w:style w:type="paragraph" w:styleId="16">
    <w:name w:val="header"/>
    <w:basedOn w:val="1"/>
    <w:link w:val="3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7">
    <w:name w:val="toc 1"/>
    <w:basedOn w:val="1"/>
    <w:next w:val="1"/>
    <w:unhideWhenUsed/>
    <w:qFormat/>
    <w:uiPriority w:val="39"/>
    <w:pPr>
      <w:tabs>
        <w:tab w:val="right" w:leader="dot" w:pos="8296"/>
      </w:tabs>
    </w:pPr>
  </w:style>
  <w:style w:type="paragraph" w:styleId="18">
    <w:name w:val="Normal (Web)"/>
    <w:basedOn w:val="1"/>
    <w:qFormat/>
    <w:uiPriority w:val="99"/>
    <w:pPr>
      <w:widowControl/>
      <w:spacing w:before="100" w:beforeAutospacing="1" w:after="100" w:afterAutospacing="1"/>
      <w:jc w:val="left"/>
    </w:pPr>
    <w:rPr>
      <w:rFonts w:ascii="宋体" w:hAnsi="宋体"/>
      <w:kern w:val="0"/>
    </w:rPr>
  </w:style>
  <w:style w:type="character" w:styleId="20">
    <w:name w:val="Strong"/>
    <w:qFormat/>
    <w:uiPriority w:val="0"/>
    <w:rPr>
      <w:b/>
      <w:bCs/>
    </w:rPr>
  </w:style>
  <w:style w:type="character" w:styleId="21">
    <w:name w:val="FollowedHyperlink"/>
    <w:unhideWhenUsed/>
    <w:qFormat/>
    <w:uiPriority w:val="99"/>
    <w:rPr>
      <w:color w:val="800080"/>
      <w:u w:val="single"/>
    </w:rPr>
  </w:style>
  <w:style w:type="character" w:styleId="22">
    <w:name w:val="Hyperlink"/>
    <w:unhideWhenUsed/>
    <w:qFormat/>
    <w:uiPriority w:val="99"/>
    <w:rPr>
      <w:color w:val="0000FF"/>
      <w:u w:val="single"/>
    </w:rPr>
  </w:style>
  <w:style w:type="character" w:styleId="23">
    <w:name w:val="annotation reference"/>
    <w:qFormat/>
    <w:uiPriority w:val="0"/>
    <w:rPr>
      <w:sz w:val="21"/>
      <w:szCs w:val="21"/>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6">
    <w:name w:val="正文文本 字符"/>
    <w:link w:val="2"/>
    <w:qFormat/>
    <w:uiPriority w:val="1"/>
    <w:rPr>
      <w:rFonts w:ascii="宋体" w:hAnsi="宋体" w:eastAsia="宋体" w:cs="宋体"/>
      <w:kern w:val="0"/>
      <w:szCs w:val="21"/>
      <w:lang w:val="zh-CN" w:bidi="zh-CN"/>
    </w:rPr>
  </w:style>
  <w:style w:type="character" w:customStyle="1" w:styleId="27">
    <w:name w:val="标题 1 字符"/>
    <w:link w:val="3"/>
    <w:qFormat/>
    <w:uiPriority w:val="9"/>
    <w:rPr>
      <w:rFonts w:ascii="Times New Roman" w:hAnsi="Times New Roman" w:eastAsia="宋体" w:cs="Times New Roman"/>
      <w:b/>
      <w:bCs/>
      <w:kern w:val="44"/>
      <w:sz w:val="40"/>
      <w:szCs w:val="44"/>
    </w:rPr>
  </w:style>
  <w:style w:type="character" w:customStyle="1" w:styleId="28">
    <w:name w:val="标题 2 字符"/>
    <w:link w:val="4"/>
    <w:qFormat/>
    <w:uiPriority w:val="0"/>
    <w:rPr>
      <w:rFonts w:eastAsia="黑体"/>
      <w:b/>
      <w:kern w:val="2"/>
      <w:sz w:val="32"/>
      <w:szCs w:val="24"/>
    </w:rPr>
  </w:style>
  <w:style w:type="character" w:customStyle="1" w:styleId="29">
    <w:name w:val="标题 4 字符"/>
    <w:link w:val="6"/>
    <w:qFormat/>
    <w:uiPriority w:val="9"/>
    <w:rPr>
      <w:rFonts w:ascii="Cambria" w:hAnsi="Cambria" w:eastAsia="仿宋_GB2312" w:cs="Times New Roman"/>
      <w:b/>
      <w:bCs/>
      <w:kern w:val="2"/>
      <w:sz w:val="32"/>
      <w:szCs w:val="28"/>
    </w:rPr>
  </w:style>
  <w:style w:type="character" w:customStyle="1" w:styleId="30">
    <w:name w:val="标题 3 字符"/>
    <w:link w:val="5"/>
    <w:qFormat/>
    <w:uiPriority w:val="9"/>
    <w:rPr>
      <w:rFonts w:ascii="Times New Roman" w:hAnsi="Times New Roman" w:eastAsia="仿宋" w:cs="Times New Roman"/>
      <w:b/>
      <w:bCs/>
      <w:sz w:val="32"/>
      <w:szCs w:val="32"/>
    </w:rPr>
  </w:style>
  <w:style w:type="character" w:customStyle="1" w:styleId="31">
    <w:name w:val="标题 5 字符"/>
    <w:link w:val="7"/>
    <w:qFormat/>
    <w:uiPriority w:val="9"/>
    <w:rPr>
      <w:rFonts w:ascii="Times New Roman" w:hAnsi="Times New Roman" w:eastAsia="宋体" w:cs="Times New Roman"/>
      <w:b/>
      <w:bCs/>
      <w:sz w:val="28"/>
      <w:szCs w:val="28"/>
    </w:rPr>
  </w:style>
  <w:style w:type="character" w:customStyle="1" w:styleId="32">
    <w:name w:val="正文缩进 字符"/>
    <w:link w:val="11"/>
    <w:qFormat/>
    <w:uiPriority w:val="0"/>
  </w:style>
  <w:style w:type="character" w:customStyle="1" w:styleId="33">
    <w:name w:val="批注文字 字符"/>
    <w:link w:val="10"/>
    <w:qFormat/>
    <w:uiPriority w:val="0"/>
    <w:rPr>
      <w:szCs w:val="24"/>
    </w:rPr>
  </w:style>
  <w:style w:type="character" w:customStyle="1" w:styleId="34">
    <w:name w:val="批注框文本 字符"/>
    <w:link w:val="13"/>
    <w:semiHidden/>
    <w:qFormat/>
    <w:uiPriority w:val="99"/>
    <w:rPr>
      <w:rFonts w:ascii="Times New Roman" w:hAnsi="Times New Roman" w:eastAsia="宋体" w:cs="Times New Roman"/>
      <w:sz w:val="18"/>
      <w:szCs w:val="18"/>
    </w:rPr>
  </w:style>
  <w:style w:type="character" w:customStyle="1" w:styleId="35">
    <w:name w:val="页脚 字符"/>
    <w:link w:val="14"/>
    <w:qFormat/>
    <w:uiPriority w:val="99"/>
    <w:rPr>
      <w:rFonts w:ascii="Times New Roman" w:hAnsi="Times New Roman" w:eastAsia="宋体" w:cs="Times New Roman"/>
      <w:sz w:val="18"/>
      <w:szCs w:val="18"/>
    </w:rPr>
  </w:style>
  <w:style w:type="character" w:customStyle="1" w:styleId="36">
    <w:name w:val="页眉 字符"/>
    <w:link w:val="16"/>
    <w:qFormat/>
    <w:uiPriority w:val="99"/>
    <w:rPr>
      <w:rFonts w:ascii="Times New Roman" w:hAnsi="Times New Roman" w:eastAsia="宋体" w:cs="Times New Roman"/>
      <w:sz w:val="18"/>
      <w:szCs w:val="18"/>
    </w:rPr>
  </w:style>
  <w:style w:type="character" w:customStyle="1" w:styleId="37">
    <w:name w:val="批注主题 字符"/>
    <w:link w:val="9"/>
    <w:semiHidden/>
    <w:qFormat/>
    <w:uiPriority w:val="99"/>
    <w:rPr>
      <w:rFonts w:ascii="Times New Roman" w:hAnsi="Times New Roman" w:eastAsia="宋体" w:cs="Times New Roman"/>
      <w:b/>
      <w:bCs/>
      <w:sz w:val="24"/>
      <w:szCs w:val="24"/>
    </w:rPr>
  </w:style>
  <w:style w:type="character" w:customStyle="1" w:styleId="38">
    <w:name w:val="批注文字 Char1"/>
    <w:semiHidden/>
    <w:qFormat/>
    <w:uiPriority w:val="99"/>
    <w:rPr>
      <w:rFonts w:ascii="Times New Roman" w:hAnsi="Times New Roman" w:eastAsia="宋体" w:cs="Times New Roman"/>
      <w:szCs w:val="24"/>
    </w:rPr>
  </w:style>
  <w:style w:type="paragraph" w:customStyle="1" w:styleId="39">
    <w:name w:val="正文 A"/>
    <w:qFormat/>
    <w:uiPriority w:val="0"/>
    <w:pPr>
      <w:shd w:val="clear" w:color="auto" w:fill="FFFFFF"/>
      <w:tabs>
        <w:tab w:val="left" w:pos="426"/>
      </w:tabs>
      <w:spacing w:line="360" w:lineRule="auto"/>
      <w:jc w:val="both"/>
    </w:pPr>
    <w:rPr>
      <w:rFonts w:ascii="宋体" w:hAnsi="宋体" w:eastAsia="宋体" w:cs="宋体"/>
      <w:color w:val="000000"/>
      <w:sz w:val="21"/>
      <w:szCs w:val="21"/>
      <w:lang w:val="en-US" w:eastAsia="zh-CN" w:bidi="ar-SA"/>
    </w:rPr>
  </w:style>
  <w:style w:type="paragraph" w:customStyle="1" w:styleId="40">
    <w:name w:val="列表段落1"/>
    <w:basedOn w:val="1"/>
    <w:qFormat/>
    <w:uiPriority w:val="34"/>
    <w:pPr>
      <w:ind w:firstLine="420" w:firstLineChars="200"/>
    </w:pPr>
  </w:style>
  <w:style w:type="paragraph" w:customStyle="1" w:styleId="41">
    <w:name w:val="Char Char Char Char"/>
    <w:basedOn w:val="1"/>
    <w:qFormat/>
    <w:uiPriority w:val="0"/>
    <w:pPr>
      <w:widowControl/>
      <w:spacing w:after="160" w:line="240" w:lineRule="exact"/>
      <w:jc w:val="left"/>
    </w:pPr>
    <w:rPr>
      <w:rFonts w:ascii="Calibri" w:hAnsi="Calibri"/>
      <w:sz w:val="21"/>
    </w:rPr>
  </w:style>
  <w:style w:type="paragraph" w:customStyle="1" w:styleId="42">
    <w:name w:val="Table Paragraph"/>
    <w:basedOn w:val="1"/>
    <w:qFormat/>
    <w:uiPriority w:val="1"/>
    <w:pPr>
      <w:autoSpaceDE w:val="0"/>
      <w:autoSpaceDN w:val="0"/>
      <w:spacing w:line="240" w:lineRule="auto"/>
      <w:jc w:val="left"/>
    </w:pPr>
    <w:rPr>
      <w:rFonts w:ascii="宋体" w:hAnsi="宋体" w:cs="宋体"/>
      <w:kern w:val="0"/>
      <w:sz w:val="22"/>
      <w:szCs w:val="22"/>
      <w:lang w:val="zh-CN" w:bidi="zh-CN"/>
    </w:rPr>
  </w:style>
  <w:style w:type="paragraph" w:customStyle="1" w:styleId="43">
    <w:name w:val="Default"/>
    <w:link w:val="54"/>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4">
    <w:name w:val="正文 New New New New New"/>
    <w:basedOn w:val="1"/>
    <w:qFormat/>
    <w:uiPriority w:val="0"/>
    <w:pPr>
      <w:spacing w:line="240" w:lineRule="auto"/>
    </w:pPr>
    <w:rPr>
      <w:sz w:val="21"/>
    </w:rPr>
  </w:style>
  <w:style w:type="table" w:customStyle="1" w:styleId="45">
    <w:name w:val="网格表 1 浅色1"/>
    <w:basedOn w:val="24"/>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Layout w:type="fixed"/>
    </w:tblPr>
    <w:tblStylePr w:type="firstRow">
      <w:rPr>
        <w:b/>
        <w:bCs/>
      </w:rPr>
      <w:tblPr>
        <w:tblLayout w:type="fixed"/>
      </w:tblPr>
      <w:tcPr>
        <w:tcBorders>
          <w:top w:val="nil"/>
          <w:left w:val="single" w:color="666666" w:sz="12" w:space="0"/>
          <w:bottom w:val="nil"/>
          <w:right w:val="nil"/>
          <w:insideH w:val="nil"/>
          <w:insideV w:val="nil"/>
          <w:tl2br w:val="nil"/>
          <w:tr2bl w:val="nil"/>
        </w:tcBorders>
      </w:tcPr>
    </w:tblStylePr>
    <w:tblStylePr w:type="lastRow">
      <w:rPr>
        <w:b/>
        <w:bCs/>
      </w:rPr>
      <w:tblPr>
        <w:tblLayout w:type="fixed"/>
      </w:tblPr>
      <w:tcPr>
        <w:tcBorders>
          <w:top w:val="double" w:color="6666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46">
    <w:name w:val="网格表 1 浅色 - 着色 11"/>
    <w:basedOn w:val="24"/>
    <w:qFormat/>
    <w:uiPriority w:val="46"/>
    <w:tblPr>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Layout w:type="fixed"/>
    </w:tblPr>
    <w:tblStylePr w:type="firstRow">
      <w:rPr>
        <w:b/>
        <w:bCs/>
      </w:rPr>
      <w:tblPr>
        <w:tblLayout w:type="fixed"/>
      </w:tblPr>
      <w:tcPr>
        <w:tcBorders>
          <w:top w:val="nil"/>
          <w:left w:val="single" w:color="8EAADB" w:sz="12" w:space="0"/>
          <w:bottom w:val="nil"/>
          <w:right w:val="nil"/>
          <w:insideH w:val="nil"/>
          <w:insideV w:val="nil"/>
          <w:tl2br w:val="nil"/>
          <w:tr2bl w:val="nil"/>
        </w:tcBorders>
      </w:tcPr>
    </w:tblStylePr>
    <w:tblStylePr w:type="lastRow">
      <w:rPr>
        <w:b/>
        <w:bCs/>
      </w:rPr>
      <w:tblPr>
        <w:tblLayout w:type="fixed"/>
      </w:tblPr>
      <w:tcPr>
        <w:tcBorders>
          <w:top w:val="double" w:color="8EAADB"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47">
    <w:name w:val="_正文段落 Char"/>
    <w:link w:val="48"/>
    <w:qFormat/>
    <w:uiPriority w:val="0"/>
    <w:rPr>
      <w:sz w:val="24"/>
      <w:szCs w:val="24"/>
    </w:rPr>
  </w:style>
  <w:style w:type="paragraph" w:customStyle="1" w:styleId="48">
    <w:name w:val="_正文段落"/>
    <w:basedOn w:val="1"/>
    <w:link w:val="47"/>
    <w:qFormat/>
    <w:uiPriority w:val="0"/>
    <w:pPr>
      <w:snapToGrid w:val="0"/>
      <w:spacing w:before="240" w:after="120"/>
      <w:ind w:firstLine="200" w:firstLineChars="200"/>
      <w:jc w:val="left"/>
    </w:pPr>
    <w:rPr>
      <w:kern w:val="0"/>
    </w:rPr>
  </w:style>
  <w:style w:type="character" w:customStyle="1" w:styleId="49">
    <w:name w:val="正文文本缩进 字符"/>
    <w:basedOn w:val="19"/>
    <w:link w:val="12"/>
    <w:semiHidden/>
    <w:qFormat/>
    <w:uiPriority w:val="99"/>
    <w:rPr>
      <w:kern w:val="2"/>
      <w:sz w:val="24"/>
      <w:szCs w:val="24"/>
    </w:rPr>
  </w:style>
  <w:style w:type="character" w:customStyle="1" w:styleId="50">
    <w:name w:val="正文文本首行缩进 2 字符"/>
    <w:basedOn w:val="49"/>
    <w:link w:val="15"/>
    <w:qFormat/>
    <w:uiPriority w:val="0"/>
    <w:rPr>
      <w:rFonts w:eastAsiaTheme="minorEastAsia"/>
      <w:kern w:val="2"/>
      <w:sz w:val="24"/>
      <w:szCs w:val="24"/>
    </w:rPr>
  </w:style>
  <w:style w:type="paragraph" w:customStyle="1" w:styleId="51">
    <w:name w:val="章标题"/>
    <w:basedOn w:val="1"/>
    <w:next w:val="1"/>
    <w:qFormat/>
    <w:uiPriority w:val="0"/>
    <w:pPr>
      <w:widowControl/>
      <w:spacing w:before="156" w:after="156" w:line="240" w:lineRule="auto"/>
      <w:outlineLvl w:val="1"/>
    </w:pPr>
    <w:rPr>
      <w:rFonts w:ascii="黑体" w:hAnsi="Arial" w:eastAsia="黑体" w:cs="Arial"/>
      <w:b/>
      <w:snapToGrid w:val="0"/>
      <w:kern w:val="0"/>
      <w:sz w:val="21"/>
    </w:rPr>
  </w:style>
  <w:style w:type="character" w:customStyle="1" w:styleId="52">
    <w:name w:val="标题 8 字符"/>
    <w:basedOn w:val="19"/>
    <w:link w:val="8"/>
    <w:semiHidden/>
    <w:qFormat/>
    <w:uiPriority w:val="9"/>
    <w:rPr>
      <w:rFonts w:asciiTheme="majorHAnsi" w:hAnsiTheme="majorHAnsi" w:eastAsiaTheme="majorEastAsia" w:cstheme="majorBidi"/>
      <w:kern w:val="2"/>
      <w:sz w:val="24"/>
      <w:szCs w:val="24"/>
    </w:rPr>
  </w:style>
  <w:style w:type="paragraph" w:customStyle="1" w:styleId="53">
    <w:name w:val="方案正文"/>
    <w:basedOn w:val="1"/>
    <w:qFormat/>
    <w:uiPriority w:val="0"/>
    <w:pPr>
      <w:ind w:firstLine="200" w:firstLineChars="200"/>
    </w:pPr>
    <w:rPr>
      <w:rFonts w:ascii="仿宋_GB2312" w:hAnsi="Calibri" w:eastAsia="仿宋_GB2312"/>
      <w:sz w:val="28"/>
      <w:szCs w:val="28"/>
    </w:rPr>
  </w:style>
  <w:style w:type="character" w:customStyle="1" w:styleId="54">
    <w:name w:val="Default Char Char"/>
    <w:link w:val="43"/>
    <w:qFormat/>
    <w:locked/>
    <w:uiPriority w:val="0"/>
    <w:rPr>
      <w:rFonts w:ascii="宋体" w:hAnsi="Calibri" w:cs="宋体"/>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2625</Words>
  <Characters>14964</Characters>
  <Lines>124</Lines>
  <Paragraphs>35</Paragraphs>
  <TotalTime>0</TotalTime>
  <ScaleCrop>false</ScaleCrop>
  <LinksUpToDate>false</LinksUpToDate>
  <CharactersWithSpaces>17554</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2024-10-30T10:06:00Z</dcterms:created>
  <dc:creator>夏丰良</dc:creator>
  <cp:lastModifiedBy>iPhone</cp:lastModifiedBy>
  <cp:lastPrinted>2021-01-13T15:00:00Z</cp:lastPrinted>
  <dcterms:modified xsi:type="dcterms:W3CDTF">2024-12-12T09:50:10Z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2052-12.19.1</vt:lpwstr>
  </property>
  <property fmtid="{D5CDD505-2E9C-101B-9397-08002B2CF9AE}" pid="3" name="ICV">
    <vt:lpwstr>57F16A46DE6F43E7913DF39E52417A38_13</vt:lpwstr>
  </property>
</Properties>
</file>