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8AD1B">
      <w:pPr>
        <w:pStyle w:val="4"/>
        <w:jc w:val="center"/>
        <w:outlineLvl w:val="1"/>
      </w:pPr>
      <w:r>
        <w:rPr>
          <w:b/>
          <w:sz w:val="36"/>
        </w:rPr>
        <w:t>技术、服务及其他要求</w:t>
      </w:r>
    </w:p>
    <w:p w14:paraId="1E64FF9B">
      <w:pPr>
        <w:pStyle w:val="4"/>
        <w:ind w:firstLine="480"/>
        <w:jc w:val="left"/>
      </w:pPr>
      <w:r>
        <w:t>（注：本章的技术、服务及其他要求中，带“★”的要求为实质性要求。采购人、代理机构应当根据项目实际要求合理设定，并在第五章符合性审查中明确响应要求。）</w:t>
      </w:r>
    </w:p>
    <w:p w14:paraId="00D0239E">
      <w:pPr>
        <w:pStyle w:val="4"/>
        <w:jc w:val="left"/>
        <w:outlineLvl w:val="2"/>
      </w:pPr>
      <w:r>
        <w:rPr>
          <w:b/>
          <w:sz w:val="28"/>
        </w:rPr>
        <w:t>3.1.采购内容</w:t>
      </w:r>
    </w:p>
    <w:p w14:paraId="784877F6">
      <w:pPr>
        <w:pStyle w:val="4"/>
        <w:jc w:val="left"/>
      </w:pPr>
      <w:r>
        <w:t>采购包1：</w:t>
      </w:r>
    </w:p>
    <w:p w14:paraId="5BF83F1C">
      <w:pPr>
        <w:pStyle w:val="4"/>
        <w:jc w:val="left"/>
      </w:pPr>
      <w:r>
        <w:t>采购包预算金额（元）: 584,900.00</w:t>
      </w:r>
    </w:p>
    <w:p w14:paraId="7CC8A265">
      <w:pPr>
        <w:pStyle w:val="4"/>
        <w:jc w:val="left"/>
      </w:pPr>
      <w:r>
        <w:t>采购包最高限价（元）: 584,900.00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808"/>
        <w:gridCol w:w="808"/>
        <w:gridCol w:w="821"/>
        <w:gridCol w:w="1128"/>
        <w:gridCol w:w="814"/>
        <w:gridCol w:w="808"/>
        <w:gridCol w:w="808"/>
        <w:gridCol w:w="808"/>
        <w:gridCol w:w="632"/>
        <w:gridCol w:w="632"/>
      </w:tblGrid>
      <w:tr w14:paraId="264D3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F670A44">
            <w:pPr>
              <w:pStyle w:val="4"/>
              <w:jc w:val="center"/>
            </w:pPr>
            <w:r>
              <w:t>序号</w:t>
            </w:r>
          </w:p>
        </w:tc>
        <w:tc>
          <w:tcPr>
            <w:tcW w:w="821" w:type="dxa"/>
          </w:tcPr>
          <w:p w14:paraId="205CD6A0">
            <w:pPr>
              <w:pStyle w:val="4"/>
              <w:jc w:val="center"/>
            </w:pPr>
            <w:r>
              <w:t>采购品目名称</w:t>
            </w:r>
          </w:p>
        </w:tc>
        <w:tc>
          <w:tcPr>
            <w:tcW w:w="821" w:type="dxa"/>
          </w:tcPr>
          <w:p w14:paraId="0E83D160">
            <w:pPr>
              <w:pStyle w:val="4"/>
              <w:jc w:val="center"/>
            </w:pPr>
            <w:r>
              <w:t>标的名称</w:t>
            </w:r>
          </w:p>
        </w:tc>
        <w:tc>
          <w:tcPr>
            <w:tcW w:w="821" w:type="dxa"/>
          </w:tcPr>
          <w:p w14:paraId="4144B79B">
            <w:pPr>
              <w:pStyle w:val="4"/>
              <w:jc w:val="center"/>
            </w:pPr>
            <w:r>
              <w:t>数量</w:t>
            </w:r>
            <w:r>
              <w:br w:type="textWrapping"/>
            </w:r>
            <w:r>
              <w:t>(计量单位)</w:t>
            </w:r>
          </w:p>
        </w:tc>
        <w:tc>
          <w:tcPr>
            <w:tcW w:w="821" w:type="dxa"/>
          </w:tcPr>
          <w:p w14:paraId="622DCD16">
            <w:pPr>
              <w:pStyle w:val="4"/>
              <w:jc w:val="center"/>
            </w:pPr>
            <w:r>
              <w:t>标的金额 （元）</w:t>
            </w:r>
          </w:p>
        </w:tc>
        <w:tc>
          <w:tcPr>
            <w:tcW w:w="821" w:type="dxa"/>
          </w:tcPr>
          <w:p w14:paraId="37A8D441">
            <w:pPr>
              <w:pStyle w:val="4"/>
              <w:jc w:val="center"/>
            </w:pPr>
            <w:r>
              <w:t>所属行业</w:t>
            </w:r>
          </w:p>
        </w:tc>
        <w:tc>
          <w:tcPr>
            <w:tcW w:w="821" w:type="dxa"/>
          </w:tcPr>
          <w:p w14:paraId="09DE854F">
            <w:pPr>
              <w:pStyle w:val="4"/>
              <w:jc w:val="center"/>
            </w:pPr>
            <w:r>
              <w:t>是否涉及核心产品</w:t>
            </w:r>
          </w:p>
        </w:tc>
        <w:tc>
          <w:tcPr>
            <w:tcW w:w="821" w:type="dxa"/>
          </w:tcPr>
          <w:p w14:paraId="3A8EACDA">
            <w:pPr>
              <w:pStyle w:val="4"/>
              <w:jc w:val="center"/>
            </w:pPr>
            <w:r>
              <w:t>是否涉及采购进口产品</w:t>
            </w:r>
          </w:p>
        </w:tc>
        <w:tc>
          <w:tcPr>
            <w:tcW w:w="821" w:type="dxa"/>
          </w:tcPr>
          <w:p w14:paraId="26145E22">
            <w:pPr>
              <w:pStyle w:val="4"/>
              <w:jc w:val="center"/>
            </w:pPr>
            <w:r>
              <w:t>是否涉及强制采购节能产品</w:t>
            </w:r>
          </w:p>
        </w:tc>
        <w:tc>
          <w:tcPr>
            <w:tcW w:w="639" w:type="dxa"/>
          </w:tcPr>
          <w:p w14:paraId="5986A939">
            <w:pPr>
              <w:pStyle w:val="4"/>
              <w:jc w:val="center"/>
            </w:pPr>
            <w:r>
              <w:t>是否涉及优先采购节能产品</w:t>
            </w:r>
          </w:p>
        </w:tc>
        <w:tc>
          <w:tcPr>
            <w:tcW w:w="639" w:type="dxa"/>
          </w:tcPr>
          <w:p w14:paraId="19481E64">
            <w:pPr>
              <w:pStyle w:val="4"/>
              <w:jc w:val="center"/>
            </w:pPr>
            <w:r>
              <w:t>是否涉及优先采购环境标志产品</w:t>
            </w:r>
          </w:p>
        </w:tc>
      </w:tr>
      <w:tr w14:paraId="6C29D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F4956D">
            <w:pPr>
              <w:pStyle w:val="4"/>
              <w:jc w:val="left"/>
            </w:pPr>
            <w:r>
              <w:t>1</w:t>
            </w:r>
          </w:p>
        </w:tc>
        <w:tc>
          <w:tcPr>
            <w:tcW w:w="821" w:type="dxa"/>
          </w:tcPr>
          <w:p w14:paraId="0DCC73C2">
            <w:pPr>
              <w:pStyle w:val="4"/>
              <w:jc w:val="left"/>
            </w:pPr>
            <w:r>
              <w:t>林业有害生物防治服务</w:t>
            </w:r>
          </w:p>
        </w:tc>
        <w:tc>
          <w:tcPr>
            <w:tcW w:w="821" w:type="dxa"/>
          </w:tcPr>
          <w:p w14:paraId="6507056B">
            <w:pPr>
              <w:pStyle w:val="4"/>
              <w:jc w:val="left"/>
            </w:pPr>
            <w:r>
              <w:t>锦江区祝国寺片区红火蚁监测根除</w:t>
            </w:r>
          </w:p>
        </w:tc>
        <w:tc>
          <w:tcPr>
            <w:tcW w:w="821" w:type="dxa"/>
          </w:tcPr>
          <w:p w14:paraId="3CC372BE">
            <w:pPr>
              <w:pStyle w:val="4"/>
              <w:jc w:val="right"/>
            </w:pPr>
            <w:r>
              <w:t>1.00（项）</w:t>
            </w:r>
          </w:p>
        </w:tc>
        <w:tc>
          <w:tcPr>
            <w:tcW w:w="821" w:type="dxa"/>
          </w:tcPr>
          <w:p w14:paraId="079043A3">
            <w:pPr>
              <w:pStyle w:val="4"/>
              <w:jc w:val="right"/>
            </w:pPr>
            <w:r>
              <w:t>584,900.00</w:t>
            </w:r>
          </w:p>
        </w:tc>
        <w:tc>
          <w:tcPr>
            <w:tcW w:w="821" w:type="dxa"/>
          </w:tcPr>
          <w:p w14:paraId="7F13AB43">
            <w:pPr>
              <w:pStyle w:val="4"/>
              <w:jc w:val="left"/>
            </w:pPr>
            <w:r>
              <w:t>农、林、牧、渔业</w:t>
            </w:r>
          </w:p>
        </w:tc>
        <w:tc>
          <w:tcPr>
            <w:tcW w:w="821" w:type="dxa"/>
          </w:tcPr>
          <w:p w14:paraId="506A5C83">
            <w:pPr>
              <w:pStyle w:val="4"/>
              <w:jc w:val="left"/>
            </w:pPr>
            <w:r>
              <w:t>否</w:t>
            </w:r>
          </w:p>
        </w:tc>
        <w:tc>
          <w:tcPr>
            <w:tcW w:w="821" w:type="dxa"/>
          </w:tcPr>
          <w:p w14:paraId="03385CCF">
            <w:pPr>
              <w:pStyle w:val="4"/>
              <w:jc w:val="left"/>
            </w:pPr>
            <w:r>
              <w:t>否</w:t>
            </w:r>
          </w:p>
        </w:tc>
        <w:tc>
          <w:tcPr>
            <w:tcW w:w="821" w:type="dxa"/>
          </w:tcPr>
          <w:p w14:paraId="1C379008">
            <w:pPr>
              <w:pStyle w:val="4"/>
              <w:jc w:val="left"/>
            </w:pPr>
            <w:r>
              <w:t>否</w:t>
            </w:r>
          </w:p>
        </w:tc>
        <w:tc>
          <w:tcPr>
            <w:tcW w:w="639" w:type="dxa"/>
          </w:tcPr>
          <w:p w14:paraId="4A125853">
            <w:pPr>
              <w:pStyle w:val="4"/>
              <w:jc w:val="left"/>
            </w:pPr>
            <w:r>
              <w:t>否</w:t>
            </w:r>
          </w:p>
        </w:tc>
        <w:tc>
          <w:tcPr>
            <w:tcW w:w="639" w:type="dxa"/>
          </w:tcPr>
          <w:p w14:paraId="161D4EFE">
            <w:pPr>
              <w:pStyle w:val="4"/>
              <w:jc w:val="left"/>
            </w:pPr>
            <w:r>
              <w:t>否</w:t>
            </w:r>
          </w:p>
        </w:tc>
      </w:tr>
    </w:tbl>
    <w:p w14:paraId="3EE6F23F">
      <w:pPr>
        <w:pStyle w:val="4"/>
        <w:jc w:val="left"/>
        <w:outlineLvl w:val="3"/>
      </w:pPr>
      <w:r>
        <w:rPr>
          <w:b/>
          <w:sz w:val="24"/>
        </w:rPr>
        <w:t>报价要求</w:t>
      </w:r>
    </w:p>
    <w:p w14:paraId="360E9678">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173"/>
        <w:gridCol w:w="977"/>
        <w:gridCol w:w="1661"/>
      </w:tblGrid>
      <w:tr w14:paraId="74FBC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54E1B24">
            <w:pPr>
              <w:pStyle w:val="4"/>
              <w:jc w:val="center"/>
            </w:pPr>
            <w:r>
              <w:t>序号</w:t>
            </w:r>
          </w:p>
        </w:tc>
        <w:tc>
          <w:tcPr>
            <w:tcW w:w="1466" w:type="dxa"/>
          </w:tcPr>
          <w:p w14:paraId="3EF7F72F">
            <w:pPr>
              <w:pStyle w:val="4"/>
              <w:jc w:val="center"/>
            </w:pPr>
            <w:r>
              <w:t>报价内容</w:t>
            </w:r>
          </w:p>
        </w:tc>
        <w:tc>
          <w:tcPr>
            <w:tcW w:w="977" w:type="dxa"/>
          </w:tcPr>
          <w:p w14:paraId="5B60F698">
            <w:pPr>
              <w:pStyle w:val="4"/>
              <w:jc w:val="center"/>
            </w:pPr>
            <w:r>
              <w:t>数量</w:t>
            </w:r>
          </w:p>
        </w:tc>
        <w:tc>
          <w:tcPr>
            <w:tcW w:w="1173" w:type="dxa"/>
          </w:tcPr>
          <w:p w14:paraId="29E1E86E">
            <w:pPr>
              <w:pStyle w:val="4"/>
              <w:jc w:val="center"/>
            </w:pPr>
            <w:r>
              <w:t>单价</w:t>
            </w:r>
          </w:p>
        </w:tc>
        <w:tc>
          <w:tcPr>
            <w:tcW w:w="1173" w:type="dxa"/>
          </w:tcPr>
          <w:p w14:paraId="75AA5705">
            <w:pPr>
              <w:pStyle w:val="4"/>
              <w:jc w:val="center"/>
            </w:pPr>
            <w:r>
              <w:t>最高限价</w:t>
            </w:r>
          </w:p>
        </w:tc>
        <w:tc>
          <w:tcPr>
            <w:tcW w:w="977" w:type="dxa"/>
          </w:tcPr>
          <w:p w14:paraId="7801D5F6">
            <w:pPr>
              <w:pStyle w:val="4"/>
              <w:jc w:val="center"/>
            </w:pPr>
            <w:r>
              <w:t>价款形式</w:t>
            </w:r>
          </w:p>
        </w:tc>
        <w:tc>
          <w:tcPr>
            <w:tcW w:w="1661" w:type="dxa"/>
          </w:tcPr>
          <w:p w14:paraId="68F3FF07">
            <w:pPr>
              <w:pStyle w:val="4"/>
              <w:jc w:val="center"/>
            </w:pPr>
            <w:r>
              <w:t>报价说明</w:t>
            </w:r>
          </w:p>
        </w:tc>
      </w:tr>
      <w:tr w14:paraId="51076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6E73E81">
            <w:pPr>
              <w:pStyle w:val="4"/>
              <w:jc w:val="left"/>
            </w:pPr>
            <w:r>
              <w:t>1</w:t>
            </w:r>
          </w:p>
        </w:tc>
        <w:tc>
          <w:tcPr>
            <w:tcW w:w="1466" w:type="dxa"/>
          </w:tcPr>
          <w:p w14:paraId="4ECF2BC3">
            <w:pPr>
              <w:pStyle w:val="4"/>
              <w:jc w:val="left"/>
            </w:pPr>
            <w:r>
              <w:t>锦江区祝国寺片区红火蚁监测根除</w:t>
            </w:r>
          </w:p>
        </w:tc>
        <w:tc>
          <w:tcPr>
            <w:tcW w:w="977" w:type="dxa"/>
          </w:tcPr>
          <w:p w14:paraId="4BED62FE">
            <w:pPr>
              <w:pStyle w:val="4"/>
              <w:jc w:val="right"/>
            </w:pPr>
            <w:r>
              <w:t>1.00（项）</w:t>
            </w:r>
          </w:p>
        </w:tc>
        <w:tc>
          <w:tcPr>
            <w:tcW w:w="1173" w:type="dxa"/>
          </w:tcPr>
          <w:p w14:paraId="626F64BB">
            <w:pPr>
              <w:pStyle w:val="4"/>
              <w:jc w:val="right"/>
            </w:pPr>
            <w:r>
              <w:t>584,900（元）</w:t>
            </w:r>
          </w:p>
        </w:tc>
        <w:tc>
          <w:tcPr>
            <w:tcW w:w="1173" w:type="dxa"/>
          </w:tcPr>
          <w:p w14:paraId="16493010">
            <w:pPr>
              <w:pStyle w:val="4"/>
              <w:jc w:val="right"/>
            </w:pPr>
            <w:r>
              <w:t>584,900.00</w:t>
            </w:r>
          </w:p>
        </w:tc>
        <w:tc>
          <w:tcPr>
            <w:tcW w:w="977" w:type="dxa"/>
          </w:tcPr>
          <w:p w14:paraId="3FD0571B">
            <w:pPr>
              <w:pStyle w:val="4"/>
              <w:jc w:val="left"/>
            </w:pPr>
            <w:r>
              <w:t>总价</w:t>
            </w:r>
          </w:p>
        </w:tc>
        <w:tc>
          <w:tcPr>
            <w:tcW w:w="1661" w:type="dxa"/>
          </w:tcPr>
          <w:p w14:paraId="2DF6A827">
            <w:pPr>
              <w:pStyle w:val="4"/>
              <w:jc w:val="left"/>
            </w:pPr>
            <w:r>
              <w:t>无</w:t>
            </w:r>
          </w:p>
        </w:tc>
      </w:tr>
    </w:tbl>
    <w:p w14:paraId="46E43067">
      <w:pPr>
        <w:pStyle w:val="4"/>
        <w:ind w:firstLine="480"/>
        <w:jc w:val="left"/>
      </w:pPr>
      <w:r>
        <w:t>★注：本采购包涉及采购货物的，供应商响应产品应当明确品牌和规格型号并指向唯一产品，不能指向唯一产品的，应通过报价表唯一产品说明栏补充说明。</w:t>
      </w:r>
    </w:p>
    <w:p w14:paraId="046A8D4B">
      <w:pPr>
        <w:pStyle w:val="4"/>
        <w:jc w:val="left"/>
        <w:outlineLvl w:val="3"/>
      </w:pPr>
      <w:r>
        <w:rPr>
          <w:b/>
          <w:sz w:val="24"/>
        </w:rPr>
        <w:t>本项目涉及核心产品：</w:t>
      </w:r>
    </w:p>
    <w:p w14:paraId="18DE672E">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F156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45E26A">
            <w:pPr>
              <w:pStyle w:val="4"/>
              <w:jc w:val="center"/>
            </w:pPr>
            <w:r>
              <w:t>序号</w:t>
            </w:r>
          </w:p>
        </w:tc>
        <w:tc>
          <w:tcPr>
            <w:tcW w:w="2492" w:type="dxa"/>
          </w:tcPr>
          <w:p w14:paraId="4A53E68E">
            <w:pPr>
              <w:pStyle w:val="4"/>
              <w:jc w:val="center"/>
            </w:pPr>
            <w:r>
              <w:t>采购品目名称</w:t>
            </w:r>
          </w:p>
        </w:tc>
        <w:tc>
          <w:tcPr>
            <w:tcW w:w="2492" w:type="dxa"/>
          </w:tcPr>
          <w:p w14:paraId="0B2CAA6D">
            <w:pPr>
              <w:pStyle w:val="4"/>
              <w:jc w:val="center"/>
            </w:pPr>
            <w:r>
              <w:t>标的名称</w:t>
            </w:r>
          </w:p>
        </w:tc>
        <w:tc>
          <w:tcPr>
            <w:tcW w:w="2492" w:type="dxa"/>
          </w:tcPr>
          <w:p w14:paraId="6B920F15">
            <w:pPr>
              <w:pStyle w:val="4"/>
              <w:jc w:val="center"/>
            </w:pPr>
            <w:r>
              <w:t>产品名称</w:t>
            </w:r>
          </w:p>
        </w:tc>
      </w:tr>
      <w:tr w14:paraId="00ADE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068183C">
            <w:pPr>
              <w:pStyle w:val="4"/>
              <w:jc w:val="center"/>
            </w:pPr>
            <w:r>
              <w:t>不涉及</w:t>
            </w:r>
          </w:p>
        </w:tc>
      </w:tr>
    </w:tbl>
    <w:p w14:paraId="26E14FF1">
      <w:pPr>
        <w:pStyle w:val="4"/>
        <w:ind w:firstLine="480"/>
        <w:jc w:val="left"/>
      </w:pPr>
      <w:r>
        <w:t>注：涉及核心产品的，具体评审规定见第五章。</w:t>
      </w:r>
    </w:p>
    <w:p w14:paraId="3F911616">
      <w:pPr>
        <w:pStyle w:val="4"/>
        <w:jc w:val="left"/>
        <w:outlineLvl w:val="3"/>
      </w:pPr>
      <w:r>
        <w:rPr>
          <w:b/>
          <w:sz w:val="24"/>
        </w:rPr>
        <w:t>本项目涉及采购进口产品：</w:t>
      </w:r>
    </w:p>
    <w:p w14:paraId="20820E35">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183C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33DD0D">
            <w:pPr>
              <w:pStyle w:val="4"/>
              <w:jc w:val="center"/>
            </w:pPr>
            <w:r>
              <w:t>序号</w:t>
            </w:r>
          </w:p>
        </w:tc>
        <w:tc>
          <w:tcPr>
            <w:tcW w:w="2492" w:type="dxa"/>
          </w:tcPr>
          <w:p w14:paraId="42F9B614">
            <w:pPr>
              <w:pStyle w:val="4"/>
              <w:jc w:val="center"/>
            </w:pPr>
            <w:r>
              <w:t>采购品目名称</w:t>
            </w:r>
          </w:p>
        </w:tc>
        <w:tc>
          <w:tcPr>
            <w:tcW w:w="2492" w:type="dxa"/>
          </w:tcPr>
          <w:p w14:paraId="63B16240">
            <w:pPr>
              <w:pStyle w:val="4"/>
              <w:jc w:val="center"/>
            </w:pPr>
            <w:r>
              <w:t>标的名称</w:t>
            </w:r>
          </w:p>
        </w:tc>
        <w:tc>
          <w:tcPr>
            <w:tcW w:w="2492" w:type="dxa"/>
          </w:tcPr>
          <w:p w14:paraId="42F7FFF5">
            <w:pPr>
              <w:pStyle w:val="4"/>
              <w:jc w:val="center"/>
            </w:pPr>
            <w:r>
              <w:t>产品名称</w:t>
            </w:r>
          </w:p>
        </w:tc>
      </w:tr>
      <w:tr w14:paraId="52641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42E5A94">
            <w:pPr>
              <w:pStyle w:val="4"/>
              <w:jc w:val="center"/>
            </w:pPr>
            <w:r>
              <w:t>不涉及</w:t>
            </w:r>
          </w:p>
        </w:tc>
      </w:tr>
    </w:tbl>
    <w:p w14:paraId="30DF9AC3">
      <w:pPr>
        <w:pStyle w:val="4"/>
        <w:ind w:firstLine="480"/>
        <w:jc w:val="left"/>
      </w:pPr>
      <w:r>
        <w:t>★注：不涉及采购进口产品时，供应商不得提供进口产品进行响应；涉及采购进口产品时，如国产产品满足采购需求，也可提供国产产品进行响应。</w:t>
      </w:r>
    </w:p>
    <w:p w14:paraId="3DB017E4">
      <w:pPr>
        <w:pStyle w:val="4"/>
        <w:jc w:val="left"/>
        <w:outlineLvl w:val="3"/>
      </w:pPr>
      <w:r>
        <w:rPr>
          <w:b/>
          <w:sz w:val="24"/>
        </w:rPr>
        <w:t>本项目涉及强制采购节能产品：</w:t>
      </w:r>
    </w:p>
    <w:p w14:paraId="2F6AB09A">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6B0A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8F2217">
            <w:pPr>
              <w:pStyle w:val="4"/>
              <w:jc w:val="center"/>
            </w:pPr>
            <w:r>
              <w:t>序号</w:t>
            </w:r>
          </w:p>
        </w:tc>
        <w:tc>
          <w:tcPr>
            <w:tcW w:w="2492" w:type="dxa"/>
          </w:tcPr>
          <w:p w14:paraId="5C42815A">
            <w:pPr>
              <w:pStyle w:val="4"/>
              <w:jc w:val="center"/>
            </w:pPr>
            <w:r>
              <w:t>采购品目名称</w:t>
            </w:r>
          </w:p>
        </w:tc>
        <w:tc>
          <w:tcPr>
            <w:tcW w:w="2492" w:type="dxa"/>
          </w:tcPr>
          <w:p w14:paraId="515CBD1A">
            <w:pPr>
              <w:pStyle w:val="4"/>
              <w:jc w:val="center"/>
            </w:pPr>
            <w:r>
              <w:t>标的名称</w:t>
            </w:r>
          </w:p>
        </w:tc>
        <w:tc>
          <w:tcPr>
            <w:tcW w:w="2492" w:type="dxa"/>
          </w:tcPr>
          <w:p w14:paraId="20C93EA4">
            <w:pPr>
              <w:pStyle w:val="4"/>
              <w:jc w:val="center"/>
            </w:pPr>
            <w:r>
              <w:t>产品名称</w:t>
            </w:r>
          </w:p>
        </w:tc>
      </w:tr>
      <w:tr w14:paraId="63265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02722BB">
            <w:pPr>
              <w:pStyle w:val="4"/>
              <w:jc w:val="center"/>
            </w:pPr>
            <w:r>
              <w:t>不涉及</w:t>
            </w:r>
          </w:p>
        </w:tc>
      </w:tr>
    </w:tbl>
    <w:p w14:paraId="3FC08B9E">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5BAA176D">
      <w:pPr>
        <w:pStyle w:val="4"/>
        <w:jc w:val="left"/>
      </w:pPr>
      <w:r>
        <w:rPr>
          <w:b/>
        </w:rPr>
        <w:t>本项目涉及优先采购节能产品：</w:t>
      </w:r>
    </w:p>
    <w:p w14:paraId="3DCC1BF7">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C4B7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C8FFB6">
            <w:pPr>
              <w:pStyle w:val="4"/>
              <w:jc w:val="center"/>
            </w:pPr>
            <w:r>
              <w:t>序号</w:t>
            </w:r>
          </w:p>
        </w:tc>
        <w:tc>
          <w:tcPr>
            <w:tcW w:w="2492" w:type="dxa"/>
          </w:tcPr>
          <w:p w14:paraId="1A735425">
            <w:pPr>
              <w:pStyle w:val="4"/>
              <w:jc w:val="center"/>
            </w:pPr>
            <w:r>
              <w:t>采购品目名称</w:t>
            </w:r>
          </w:p>
        </w:tc>
        <w:tc>
          <w:tcPr>
            <w:tcW w:w="2492" w:type="dxa"/>
          </w:tcPr>
          <w:p w14:paraId="307FFD8D">
            <w:pPr>
              <w:pStyle w:val="4"/>
              <w:jc w:val="center"/>
            </w:pPr>
            <w:r>
              <w:t>标的名称</w:t>
            </w:r>
          </w:p>
        </w:tc>
        <w:tc>
          <w:tcPr>
            <w:tcW w:w="2492" w:type="dxa"/>
          </w:tcPr>
          <w:p w14:paraId="5AAD65DC">
            <w:pPr>
              <w:pStyle w:val="4"/>
              <w:jc w:val="center"/>
            </w:pPr>
            <w:r>
              <w:t>产品名称</w:t>
            </w:r>
          </w:p>
        </w:tc>
      </w:tr>
      <w:tr w14:paraId="50855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462A329">
            <w:pPr>
              <w:pStyle w:val="4"/>
              <w:jc w:val="center"/>
            </w:pPr>
            <w:r>
              <w:t>不涉及</w:t>
            </w:r>
          </w:p>
        </w:tc>
      </w:tr>
    </w:tbl>
    <w:p w14:paraId="4B52090F">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4A29747A">
      <w:pPr>
        <w:pStyle w:val="4"/>
        <w:jc w:val="left"/>
        <w:outlineLvl w:val="3"/>
      </w:pPr>
      <w:r>
        <w:rPr>
          <w:b/>
          <w:sz w:val="24"/>
        </w:rPr>
        <w:t>本项目涉及优先采购环境标志产品：</w:t>
      </w:r>
    </w:p>
    <w:p w14:paraId="52D4EEB6">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C3C2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B6219C">
            <w:pPr>
              <w:pStyle w:val="4"/>
              <w:jc w:val="center"/>
            </w:pPr>
            <w:r>
              <w:t>序号</w:t>
            </w:r>
          </w:p>
        </w:tc>
        <w:tc>
          <w:tcPr>
            <w:tcW w:w="2492" w:type="dxa"/>
          </w:tcPr>
          <w:p w14:paraId="397E23DA">
            <w:pPr>
              <w:pStyle w:val="4"/>
              <w:jc w:val="center"/>
            </w:pPr>
            <w:r>
              <w:t>采购品目名称</w:t>
            </w:r>
          </w:p>
        </w:tc>
        <w:tc>
          <w:tcPr>
            <w:tcW w:w="2492" w:type="dxa"/>
          </w:tcPr>
          <w:p w14:paraId="183DC885">
            <w:pPr>
              <w:pStyle w:val="4"/>
              <w:jc w:val="center"/>
            </w:pPr>
            <w:r>
              <w:t>标的名称</w:t>
            </w:r>
          </w:p>
        </w:tc>
        <w:tc>
          <w:tcPr>
            <w:tcW w:w="2492" w:type="dxa"/>
          </w:tcPr>
          <w:p w14:paraId="2A4AE825">
            <w:pPr>
              <w:pStyle w:val="4"/>
              <w:jc w:val="center"/>
            </w:pPr>
            <w:r>
              <w:t>产品名称</w:t>
            </w:r>
          </w:p>
        </w:tc>
      </w:tr>
      <w:tr w14:paraId="1BA9D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8ECBDBA">
            <w:pPr>
              <w:pStyle w:val="4"/>
              <w:jc w:val="center"/>
            </w:pPr>
            <w:r>
              <w:t>不涉及</w:t>
            </w:r>
          </w:p>
        </w:tc>
      </w:tr>
    </w:tbl>
    <w:p w14:paraId="6F9D29BB">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4A901746">
      <w:pPr>
        <w:pStyle w:val="4"/>
        <w:jc w:val="left"/>
        <w:outlineLvl w:val="2"/>
      </w:pPr>
      <w:r>
        <w:rPr>
          <w:b/>
          <w:sz w:val="28"/>
        </w:rPr>
        <w:t>3.2.技术要求</w:t>
      </w:r>
    </w:p>
    <w:p w14:paraId="59A9E4CD">
      <w:pPr>
        <w:pStyle w:val="4"/>
        <w:jc w:val="left"/>
      </w:pPr>
      <w:r>
        <w:t>采购包1：</w:t>
      </w:r>
    </w:p>
    <w:p w14:paraId="4AACF2AE">
      <w:pPr>
        <w:pStyle w:val="4"/>
        <w:jc w:val="left"/>
      </w:pPr>
      <w:r>
        <w:t>标的名称：锦江区祝国寺片区红火蚁监测根除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C18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A1CDA5">
            <w:pPr>
              <w:pStyle w:val="4"/>
              <w:jc w:val="center"/>
            </w:pPr>
            <w:r>
              <w:t>序号</w:t>
            </w:r>
          </w:p>
        </w:tc>
        <w:tc>
          <w:tcPr>
            <w:tcW w:w="581" w:type="dxa"/>
          </w:tcPr>
          <w:p w14:paraId="6BEB21FB">
            <w:pPr>
              <w:pStyle w:val="4"/>
              <w:jc w:val="center"/>
            </w:pPr>
            <w:r>
              <w:t>符号标识</w:t>
            </w:r>
          </w:p>
        </w:tc>
        <w:tc>
          <w:tcPr>
            <w:tcW w:w="1495" w:type="dxa"/>
          </w:tcPr>
          <w:p w14:paraId="566E0C5D">
            <w:pPr>
              <w:pStyle w:val="4"/>
              <w:jc w:val="center"/>
            </w:pPr>
            <w:r>
              <w:t>技术要求名称</w:t>
            </w:r>
          </w:p>
        </w:tc>
        <w:tc>
          <w:tcPr>
            <w:tcW w:w="5814" w:type="dxa"/>
          </w:tcPr>
          <w:p w14:paraId="035C7F8A">
            <w:pPr>
              <w:pStyle w:val="4"/>
              <w:jc w:val="center"/>
            </w:pPr>
            <w:r>
              <w:t>技术参数与性能指标</w:t>
            </w:r>
          </w:p>
        </w:tc>
      </w:tr>
      <w:tr w14:paraId="79A1F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EB3FF4">
            <w:pPr>
              <w:pStyle w:val="4"/>
              <w:jc w:val="center"/>
            </w:pPr>
            <w:r>
              <w:t>1</w:t>
            </w:r>
          </w:p>
        </w:tc>
        <w:tc>
          <w:tcPr>
            <w:tcW w:w="581" w:type="dxa"/>
          </w:tcPr>
          <w:p w14:paraId="675758F8">
            <w:pPr>
              <w:pStyle w:val="4"/>
              <w:jc w:val="center"/>
            </w:pPr>
            <w:r>
              <w:t>★</w:t>
            </w:r>
          </w:p>
        </w:tc>
        <w:tc>
          <w:tcPr>
            <w:tcW w:w="1495" w:type="dxa"/>
          </w:tcPr>
          <w:p w14:paraId="0AE0A338">
            <w:pPr>
              <w:pStyle w:val="4"/>
              <w:jc w:val="left"/>
            </w:pPr>
            <w:r>
              <w:t>根除范围</w:t>
            </w:r>
          </w:p>
        </w:tc>
        <w:tc>
          <w:tcPr>
            <w:tcW w:w="5814" w:type="dxa"/>
          </w:tcPr>
          <w:p w14:paraId="7DFBC812">
            <w:pPr>
              <w:pStyle w:val="4"/>
              <w:jc w:val="both"/>
            </w:pPr>
            <w:r>
              <w:rPr>
                <w:rFonts w:ascii="宋体" w:hAnsi="宋体" w:eastAsia="宋体" w:cs="宋体"/>
                <w:sz w:val="21"/>
              </w:rPr>
              <w:t>在锦江区祝国寺片区（北至锦江大道北侧、南至泰祥路-锦江区界，东至国维街、西至国华街区域）防控总面积为4453.38亩，其中红火蚁发生面积796亩，疫情潜在发生区3657.38亩。</w:t>
            </w:r>
          </w:p>
        </w:tc>
      </w:tr>
      <w:tr w14:paraId="3C0F4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33D4EA">
            <w:pPr>
              <w:pStyle w:val="4"/>
              <w:jc w:val="center"/>
            </w:pPr>
            <w:r>
              <w:t>2</w:t>
            </w:r>
          </w:p>
        </w:tc>
        <w:tc>
          <w:tcPr>
            <w:tcW w:w="581" w:type="dxa"/>
          </w:tcPr>
          <w:p w14:paraId="7A715B18">
            <w:pPr>
              <w:pStyle w:val="4"/>
              <w:jc w:val="center"/>
            </w:pPr>
            <w:r>
              <w:t>★</w:t>
            </w:r>
          </w:p>
        </w:tc>
        <w:tc>
          <w:tcPr>
            <w:tcW w:w="1495" w:type="dxa"/>
          </w:tcPr>
          <w:p w14:paraId="14BB20B1">
            <w:pPr>
              <w:pStyle w:val="4"/>
              <w:jc w:val="left"/>
            </w:pPr>
            <w:r>
              <w:t>根除目标</w:t>
            </w:r>
          </w:p>
        </w:tc>
        <w:tc>
          <w:tcPr>
            <w:tcW w:w="5814" w:type="dxa"/>
          </w:tcPr>
          <w:p w14:paraId="293B4F25">
            <w:pPr>
              <w:pStyle w:val="4"/>
              <w:jc w:val="both"/>
            </w:pPr>
            <w:r>
              <w:rPr>
                <w:rFonts w:ascii="宋体" w:hAnsi="宋体" w:eastAsia="宋体" w:cs="宋体"/>
                <w:sz w:val="21"/>
              </w:rPr>
              <w:t>在锦江区祝国寺片区（北至锦江大道北侧、南至泰祥路</w:t>
            </w:r>
            <w:r>
              <w:rPr>
                <w:rFonts w:ascii="times new roman, times, serif" w:hAnsi="times new roman, times, serif" w:eastAsia="times new roman, times, serif" w:cs="times new roman, times, serif"/>
                <w:sz w:val="21"/>
              </w:rPr>
              <w:t>-</w:t>
            </w:r>
            <w:r>
              <w:rPr>
                <w:rFonts w:ascii="宋体" w:hAnsi="宋体" w:eastAsia="宋体" w:cs="宋体"/>
                <w:sz w:val="21"/>
              </w:rPr>
              <w:t>锦江区界，东至国维街、西至国华街区域）实施红火蚁专业化监测根除作业，根除红火蚁发生面积</w:t>
            </w:r>
            <w:r>
              <w:rPr>
                <w:rFonts w:ascii="times new roman, times, serif" w:hAnsi="times new roman, times, serif" w:eastAsia="times new roman, times, serif" w:cs="times new roman, times, serif"/>
                <w:sz w:val="21"/>
              </w:rPr>
              <w:t>796</w:t>
            </w:r>
            <w:r>
              <w:rPr>
                <w:rFonts w:ascii="宋体" w:hAnsi="宋体" w:eastAsia="宋体" w:cs="宋体"/>
                <w:sz w:val="21"/>
              </w:rPr>
              <w:t>亩，疫情潜在发生区约</w:t>
            </w:r>
            <w:r>
              <w:rPr>
                <w:rFonts w:ascii="times new roman, times, serif" w:hAnsi="times new roman, times, serif" w:eastAsia="times new roman, times, serif" w:cs="times new roman, times, serif"/>
                <w:sz w:val="21"/>
              </w:rPr>
              <w:t>3657.38</w:t>
            </w:r>
            <w:r>
              <w:rPr>
                <w:rFonts w:ascii="宋体" w:hAnsi="宋体" w:eastAsia="宋体" w:cs="宋体"/>
                <w:sz w:val="21"/>
              </w:rPr>
              <w:t>亩，防控总面积为</w:t>
            </w:r>
            <w:r>
              <w:rPr>
                <w:rFonts w:ascii="times new roman, times, serif" w:hAnsi="times new roman, times, serif" w:eastAsia="times new roman, times, serif" w:cs="times new roman, times, serif"/>
                <w:sz w:val="21"/>
              </w:rPr>
              <w:t>4453.38</w:t>
            </w:r>
            <w:r>
              <w:rPr>
                <w:rFonts w:ascii="宋体" w:hAnsi="宋体" w:eastAsia="宋体" w:cs="宋体"/>
                <w:sz w:val="21"/>
              </w:rPr>
              <w:t>亩。同时开展红火蚁监测知识宣传和技术指导服务，提高锦江区红火蚁综合防控技术水平和能力，有效遏制红火蚁疫情扩散蔓延，保障农林业生产安全和农民身体健康。</w:t>
            </w:r>
          </w:p>
        </w:tc>
      </w:tr>
    </w:tbl>
    <w:p w14:paraId="44188E0F">
      <w:pPr>
        <w:pStyle w:val="4"/>
        <w:jc w:val="left"/>
        <w:outlineLvl w:val="2"/>
      </w:pPr>
      <w:r>
        <w:rPr>
          <w:b/>
          <w:sz w:val="28"/>
        </w:rPr>
        <w:t>3.3.服务要求</w:t>
      </w:r>
    </w:p>
    <w:p w14:paraId="26876132">
      <w:pPr>
        <w:pStyle w:val="4"/>
        <w:jc w:val="left"/>
        <w:outlineLvl w:val="3"/>
      </w:pPr>
      <w:r>
        <w:rPr>
          <w:b/>
          <w:sz w:val="24"/>
        </w:rPr>
        <w:t>3.3.1服务内容要求</w:t>
      </w:r>
    </w:p>
    <w:p w14:paraId="7BEF1932">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5E1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A3D07C">
            <w:pPr>
              <w:pStyle w:val="4"/>
              <w:jc w:val="center"/>
            </w:pPr>
            <w:r>
              <w:t xml:space="preserve"> 序号</w:t>
            </w:r>
          </w:p>
        </w:tc>
        <w:tc>
          <w:tcPr>
            <w:tcW w:w="581" w:type="dxa"/>
          </w:tcPr>
          <w:p w14:paraId="3902E782">
            <w:pPr>
              <w:pStyle w:val="4"/>
              <w:jc w:val="center"/>
            </w:pPr>
            <w:r>
              <w:t xml:space="preserve"> 符号标识</w:t>
            </w:r>
          </w:p>
        </w:tc>
        <w:tc>
          <w:tcPr>
            <w:tcW w:w="1495" w:type="dxa"/>
          </w:tcPr>
          <w:p w14:paraId="0E433D51">
            <w:pPr>
              <w:pStyle w:val="4"/>
              <w:jc w:val="center"/>
            </w:pPr>
            <w:r>
              <w:t xml:space="preserve"> 服务要求名称</w:t>
            </w:r>
          </w:p>
        </w:tc>
        <w:tc>
          <w:tcPr>
            <w:tcW w:w="5814" w:type="dxa"/>
          </w:tcPr>
          <w:p w14:paraId="0FCA7A7F">
            <w:pPr>
              <w:pStyle w:val="4"/>
              <w:jc w:val="center"/>
            </w:pPr>
            <w:r>
              <w:t xml:space="preserve"> 服务要求内容</w:t>
            </w:r>
          </w:p>
        </w:tc>
      </w:tr>
      <w:tr w14:paraId="2BEE9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9A3DC8">
            <w:pPr>
              <w:pStyle w:val="4"/>
              <w:jc w:val="center"/>
            </w:pPr>
            <w:r>
              <w:t>1</w:t>
            </w:r>
          </w:p>
        </w:tc>
        <w:tc>
          <w:tcPr>
            <w:tcW w:w="581" w:type="dxa"/>
          </w:tcPr>
          <w:p w14:paraId="4DC66230">
            <w:pPr>
              <w:pStyle w:val="4"/>
              <w:jc w:val="center"/>
            </w:pPr>
            <w:r>
              <w:t>★</w:t>
            </w:r>
          </w:p>
        </w:tc>
        <w:tc>
          <w:tcPr>
            <w:tcW w:w="1495" w:type="dxa"/>
          </w:tcPr>
          <w:p w14:paraId="57CAC6A9">
            <w:pPr>
              <w:pStyle w:val="4"/>
              <w:jc w:val="left"/>
            </w:pPr>
            <w:r>
              <w:t>服务内容</w:t>
            </w:r>
          </w:p>
        </w:tc>
        <w:tc>
          <w:tcPr>
            <w:tcW w:w="5814" w:type="dxa"/>
          </w:tcPr>
          <w:p w14:paraId="0455C831">
            <w:pPr>
              <w:pStyle w:val="4"/>
              <w:ind w:firstLine="560"/>
              <w:jc w:val="left"/>
            </w:pPr>
            <w:r>
              <w:rPr>
                <w:rFonts w:ascii="宋体" w:hAnsi="宋体" w:eastAsia="宋体" w:cs="宋体"/>
                <w:sz w:val="21"/>
              </w:rPr>
              <w:t>1、在红火蚁活动旺盛期和施药防控前后进行实地监测调查。在疫情发生区及预防扩散潜在发生区内实地进行全面系统监测普查，监测红火蚁活动扩散及取食性。实施分区管理，根据祝国寺片区各街道办事处管辖的行政区域划分，持续实施监测调查。监测普查具体技术方法依据国家标准《红火蚁疫情监测规程》（GB/T 23626-2009）、《红火蚁检疫鉴定方法》（GB/T 20477-2006）、《红火蚁专业化防控实施规程》（NY/T 3541-2020）执行，应用专业定位软件确定调查区域位置及调查范围，使用专业软件勾画出红火蚁发生分布图。监测时详细记录、汇总调查监测结果，确定红火蚁发生程度（采集记录各个样点类型、面积、红火蚁活蚁巢数量、分布地点），将调查内容填入相应调查表中，《红火蚁诱集监测记录表》、《红火蚁蚁巢调查记录表》、《红火蚁防控施药记录表》、《红火蚁专业化防控验收表》，监测时间为红火蚁发生期。</w:t>
            </w:r>
          </w:p>
          <w:p w14:paraId="0B06C14F">
            <w:pPr>
              <w:pStyle w:val="4"/>
              <w:ind w:firstLine="560"/>
              <w:jc w:val="left"/>
            </w:pPr>
            <w:r>
              <w:rPr>
                <w:rFonts w:ascii="宋体" w:hAnsi="宋体" w:eastAsia="宋体" w:cs="宋体"/>
                <w:sz w:val="21"/>
              </w:rPr>
              <w:t>2、进行化学防治。采用专业化统防统治策略，应用调查的结果开展一系列科学合理的监测、防治技术等措施，开展对锦江区祝国寺片区（北至锦江大道北侧、南至泰祥路-锦江区界，东至国维街、西至国华街区域）实施全面防控、扑杀、处置等疫情根除服务工作，避免出现危及人身安全、公共安全、生态环境安全等事件发生。通过有效防控，确保发生区域内疫情得到根除。通过调查结果，记录实施防治过程所使用的化学药剂的种类、施用剂量、施用时间、防治效果、天气/环境条件、扑杀场景图片、面积、蚁巢数和补药等情况等。在调查明确红火蚁发生分布和危害程度的基础上，确定实施防治的具体范围，采用饵剂和粉剂相结合的方法，对独立蚁巢先用粉剂触杀，然后对整个区域撒播饵剂进行地毯式防控。</w:t>
            </w:r>
          </w:p>
          <w:p w14:paraId="4861AE4C">
            <w:pPr>
              <w:pStyle w:val="4"/>
              <w:ind w:firstLine="560"/>
              <w:jc w:val="left"/>
            </w:pPr>
            <w:r>
              <w:rPr>
                <w:rFonts w:ascii="宋体" w:hAnsi="宋体" w:eastAsia="宋体" w:cs="宋体"/>
                <w:sz w:val="21"/>
              </w:rPr>
              <w:t>3、根除药剂选择</w:t>
            </w:r>
          </w:p>
          <w:p w14:paraId="1A31D7FD">
            <w:pPr>
              <w:pStyle w:val="4"/>
              <w:ind w:firstLine="560"/>
              <w:jc w:val="left"/>
            </w:pPr>
            <w:r>
              <w:rPr>
                <w:rFonts w:ascii="宋体" w:hAnsi="宋体" w:eastAsia="宋体" w:cs="宋体"/>
                <w:sz w:val="21"/>
              </w:rPr>
              <w:t>选择我省推荐使用的《农药登记证》的卫生用农药产品，禁止使用剧毒、高毒、高残留农药和致畸、致癌、致突变农药，推荐使用低毒、生物源农药，为提高防效选择诱饵和粉剂。饵剂采用茚虫威杀蚁饵剂；粉剂采用高效氯氰菊酯杀虫粉剂，红火蚁专用药剂，环境毒性低，对人畜和环境安全。药剂按照说明书的使用方法和用量使用。</w:t>
            </w:r>
          </w:p>
          <w:p w14:paraId="74818B1F">
            <w:pPr>
              <w:pStyle w:val="4"/>
              <w:ind w:firstLine="560"/>
              <w:jc w:val="left"/>
            </w:pPr>
            <w:r>
              <w:rPr>
                <w:rFonts w:ascii="宋体" w:hAnsi="宋体" w:eastAsia="宋体" w:cs="宋体"/>
                <w:sz w:val="21"/>
              </w:rPr>
              <w:t>杀蚁饵剂</w:t>
            </w:r>
          </w:p>
          <w:p w14:paraId="761DCED6">
            <w:pPr>
              <w:pStyle w:val="4"/>
              <w:ind w:firstLine="560"/>
              <w:jc w:val="left"/>
            </w:pPr>
            <w:r>
              <w:rPr>
                <w:rFonts w:ascii="宋体" w:hAnsi="宋体" w:eastAsia="宋体" w:cs="宋体"/>
                <w:sz w:val="21"/>
              </w:rPr>
              <w:t>红火蚁饵剂总体要求：要求引诱力强、用药量小、杀灭彻底、安全环保、低毒高效、适口性佳、 环保高效、无残留、对人畜安全，易于储存。药剂为颗粒状；</w:t>
            </w:r>
          </w:p>
          <w:p w14:paraId="409CB2B8">
            <w:pPr>
              <w:pStyle w:val="4"/>
              <w:ind w:firstLine="560"/>
              <w:jc w:val="left"/>
            </w:pPr>
            <w:r>
              <w:rPr>
                <w:rFonts w:ascii="宋体" w:hAnsi="宋体" w:eastAsia="宋体" w:cs="宋体"/>
                <w:sz w:val="21"/>
              </w:rPr>
              <w:t>（1）剂型：饵剂；</w:t>
            </w:r>
          </w:p>
          <w:p w14:paraId="1A8B0F9E">
            <w:pPr>
              <w:pStyle w:val="4"/>
              <w:ind w:firstLine="560"/>
              <w:jc w:val="left"/>
            </w:pPr>
            <w:r>
              <w:rPr>
                <w:rFonts w:ascii="宋体" w:hAnsi="宋体" w:eastAsia="宋体" w:cs="宋体"/>
                <w:sz w:val="21"/>
              </w:rPr>
              <w:t>（2）毒性：微毒；</w:t>
            </w:r>
          </w:p>
          <w:p w14:paraId="5F854D77">
            <w:pPr>
              <w:pStyle w:val="4"/>
              <w:ind w:firstLine="560"/>
              <w:jc w:val="left"/>
            </w:pPr>
            <w:r>
              <w:rPr>
                <w:rFonts w:ascii="宋体" w:hAnsi="宋体" w:eastAsia="宋体" w:cs="宋体"/>
                <w:sz w:val="21"/>
              </w:rPr>
              <w:t>（3）有效成分：茚虫威；</w:t>
            </w:r>
          </w:p>
          <w:p w14:paraId="678CBD3F">
            <w:pPr>
              <w:pStyle w:val="4"/>
              <w:ind w:firstLine="560"/>
              <w:jc w:val="left"/>
            </w:pPr>
            <w:r>
              <w:rPr>
                <w:rFonts w:ascii="宋体" w:hAnsi="宋体" w:eastAsia="宋体" w:cs="宋体"/>
                <w:sz w:val="21"/>
              </w:rPr>
              <w:t>（4）登记的防治对象：红火蚁。</w:t>
            </w:r>
          </w:p>
          <w:p w14:paraId="0BF51A39">
            <w:pPr>
              <w:pStyle w:val="4"/>
              <w:ind w:firstLine="560"/>
              <w:jc w:val="left"/>
            </w:pPr>
            <w:r>
              <w:rPr>
                <w:rFonts w:ascii="宋体" w:hAnsi="宋体" w:eastAsia="宋体" w:cs="宋体"/>
                <w:sz w:val="21"/>
              </w:rPr>
              <w:t>杀虫粉剂</w:t>
            </w:r>
          </w:p>
          <w:p w14:paraId="65A2D595">
            <w:pPr>
              <w:pStyle w:val="4"/>
              <w:ind w:firstLine="560"/>
              <w:jc w:val="left"/>
            </w:pPr>
            <w:r>
              <w:rPr>
                <w:rFonts w:ascii="宋体" w:hAnsi="宋体" w:eastAsia="宋体" w:cs="宋体"/>
                <w:sz w:val="21"/>
              </w:rPr>
              <w:t>红火蚁粉剂总体要求：要求高粘附性、用药量小、杀灭彻底、安全环保、低毒高效、防水性能、环保高效、无残留、对人畜安全，易于储存。药剂为粉状。</w:t>
            </w:r>
          </w:p>
          <w:p w14:paraId="23BF2987">
            <w:pPr>
              <w:pStyle w:val="4"/>
              <w:ind w:firstLine="560"/>
              <w:jc w:val="left"/>
            </w:pPr>
            <w:r>
              <w:rPr>
                <w:rFonts w:ascii="宋体" w:hAnsi="宋体" w:eastAsia="宋体" w:cs="宋体"/>
                <w:sz w:val="21"/>
              </w:rPr>
              <w:t>（1）剂型：粉剂；</w:t>
            </w:r>
          </w:p>
          <w:p w14:paraId="104880C2">
            <w:pPr>
              <w:pStyle w:val="4"/>
              <w:ind w:firstLine="560"/>
              <w:jc w:val="left"/>
            </w:pPr>
            <w:r>
              <w:rPr>
                <w:rFonts w:ascii="宋体" w:hAnsi="宋体" w:eastAsia="宋体" w:cs="宋体"/>
                <w:sz w:val="21"/>
              </w:rPr>
              <w:t>（2）有效成分：高效氯氰菊酯；</w:t>
            </w:r>
          </w:p>
          <w:p w14:paraId="4E49A4B3">
            <w:pPr>
              <w:pStyle w:val="4"/>
              <w:jc w:val="both"/>
            </w:pPr>
            <w:r>
              <w:rPr>
                <w:rFonts w:ascii="宋体" w:hAnsi="宋体" w:eastAsia="宋体" w:cs="宋体"/>
                <w:sz w:val="21"/>
              </w:rPr>
              <w:t xml:space="preserve">   （3）登记的防治对象：红火蚁。</w:t>
            </w:r>
          </w:p>
        </w:tc>
      </w:tr>
      <w:tr w14:paraId="1BE82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1350D9">
            <w:pPr>
              <w:pStyle w:val="4"/>
              <w:jc w:val="center"/>
            </w:pPr>
            <w:r>
              <w:t>2</w:t>
            </w:r>
          </w:p>
        </w:tc>
        <w:tc>
          <w:tcPr>
            <w:tcW w:w="581" w:type="dxa"/>
          </w:tcPr>
          <w:p w14:paraId="7F7EB4D9">
            <w:pPr>
              <w:pStyle w:val="4"/>
              <w:jc w:val="center"/>
            </w:pPr>
            <w:r>
              <w:t>★</w:t>
            </w:r>
          </w:p>
        </w:tc>
        <w:tc>
          <w:tcPr>
            <w:tcW w:w="1495" w:type="dxa"/>
          </w:tcPr>
          <w:p w14:paraId="689CEB87">
            <w:pPr>
              <w:pStyle w:val="4"/>
              <w:jc w:val="left"/>
            </w:pPr>
            <w:r>
              <w:t>开展红火蚁监测知识宣传和技术指导服务</w:t>
            </w:r>
          </w:p>
        </w:tc>
        <w:tc>
          <w:tcPr>
            <w:tcW w:w="5814" w:type="dxa"/>
          </w:tcPr>
          <w:p w14:paraId="015EF0D4">
            <w:pPr>
              <w:pStyle w:val="4"/>
              <w:jc w:val="left"/>
            </w:pPr>
            <w:r>
              <w:rPr>
                <w:rFonts w:ascii="宋体" w:hAnsi="宋体" w:eastAsia="宋体" w:cs="宋体"/>
                <w:sz w:val="21"/>
              </w:rPr>
              <w:t>以课堂讲授和现场讲解等形式，组织采购人相关人员、辖区内各街道办人员、绿化养护人员、物业人员等相关人员，开展红火蚁监测知识宣传和技术指导服务，培训场次不低于 1 次，制作印发红火蚁相关知识技术资料（红火蚁宣传单、宣传手册、宣传幻灯片等），让项目所在地人员了解和学习红火蚁认识及防控知识。</w:t>
            </w:r>
          </w:p>
        </w:tc>
      </w:tr>
      <w:tr w14:paraId="03A9F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99319B">
            <w:pPr>
              <w:pStyle w:val="4"/>
              <w:jc w:val="center"/>
            </w:pPr>
            <w:r>
              <w:t>3</w:t>
            </w:r>
          </w:p>
        </w:tc>
        <w:tc>
          <w:tcPr>
            <w:tcW w:w="581" w:type="dxa"/>
          </w:tcPr>
          <w:p w14:paraId="63A558A1">
            <w:pPr>
              <w:pStyle w:val="4"/>
              <w:jc w:val="center"/>
            </w:pPr>
            <w:r>
              <w:t>★</w:t>
            </w:r>
          </w:p>
        </w:tc>
        <w:tc>
          <w:tcPr>
            <w:tcW w:w="1495" w:type="dxa"/>
          </w:tcPr>
          <w:p w14:paraId="46245CEE">
            <w:pPr>
              <w:pStyle w:val="4"/>
              <w:jc w:val="left"/>
            </w:pPr>
            <w:r>
              <w:t>检查考核</w:t>
            </w:r>
          </w:p>
        </w:tc>
        <w:tc>
          <w:tcPr>
            <w:tcW w:w="5814" w:type="dxa"/>
          </w:tcPr>
          <w:p w14:paraId="60629DFA">
            <w:pPr>
              <w:pStyle w:val="4"/>
              <w:ind w:firstLine="560"/>
              <w:jc w:val="left"/>
            </w:pPr>
            <w:r>
              <w:rPr>
                <w:rFonts w:ascii="宋体" w:hAnsi="宋体" w:eastAsia="宋体" w:cs="宋体"/>
                <w:sz w:val="21"/>
              </w:rPr>
              <w:t>1.采购人负责检查项目实施工作的规范性、合理性，重点检查项目实施中所制订的实施方案、采取的技术措施等科学性、合理性、先进性，是否合法合规；巡查、防治、应急处理等各项工作实施力度、进度是否符合该合同和实施方案要求；检查该项目各类相关文件档案、数据、资料等是否完整、齐备。</w:t>
            </w:r>
          </w:p>
          <w:p w14:paraId="53DBDB93">
            <w:pPr>
              <w:pStyle w:val="4"/>
              <w:ind w:firstLine="600"/>
              <w:jc w:val="left"/>
            </w:pPr>
            <w:r>
              <w:rPr>
                <w:rFonts w:ascii="宋体" w:hAnsi="宋体" w:eastAsia="宋体" w:cs="宋体"/>
                <w:sz w:val="21"/>
              </w:rPr>
              <w:t>2.验收指标</w:t>
            </w:r>
          </w:p>
          <w:p w14:paraId="17B157DA">
            <w:pPr>
              <w:pStyle w:val="4"/>
              <w:ind w:firstLine="600"/>
              <w:jc w:val="left"/>
            </w:pPr>
            <w:r>
              <w:rPr>
                <w:rFonts w:ascii="宋体" w:hAnsi="宋体" w:eastAsia="宋体" w:cs="宋体"/>
                <w:sz w:val="21"/>
              </w:rPr>
              <w:t>根除标准：依托《红火蚁专业化防控实施规程》，按照《四川省红火蚁检测防控技术方案》（川植应指办[2023]10号）要求，根除区域连续9个月跟踪监测和评估根除效果，保障根除效果持续保持100%。</w:t>
            </w:r>
          </w:p>
          <w:p w14:paraId="5DBA0926">
            <w:pPr>
              <w:pStyle w:val="4"/>
              <w:ind w:firstLine="600"/>
              <w:jc w:val="left"/>
            </w:pPr>
            <w:r>
              <w:rPr>
                <w:rFonts w:ascii="宋体" w:hAnsi="宋体" w:eastAsia="宋体" w:cs="宋体"/>
                <w:sz w:val="21"/>
              </w:rPr>
              <w:t>3.防治效果评估</w:t>
            </w:r>
          </w:p>
          <w:p w14:paraId="248D7D0A">
            <w:pPr>
              <w:pStyle w:val="4"/>
              <w:jc w:val="both"/>
            </w:pPr>
            <w:r>
              <w:rPr>
                <w:rFonts w:ascii="宋体" w:hAnsi="宋体" w:eastAsia="宋体" w:cs="宋体"/>
                <w:sz w:val="21"/>
              </w:rPr>
              <w:t xml:space="preserve">   防治结束后，发生点位和重点监测区经连续 9个月9次以上多点监测，未发现红火蚁活体的，达到根除效果。</w:t>
            </w:r>
          </w:p>
        </w:tc>
      </w:tr>
      <w:tr w14:paraId="755A6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76FB3E">
            <w:pPr>
              <w:pStyle w:val="4"/>
              <w:jc w:val="center"/>
            </w:pPr>
            <w:r>
              <w:t>4</w:t>
            </w:r>
          </w:p>
        </w:tc>
        <w:tc>
          <w:tcPr>
            <w:tcW w:w="581" w:type="dxa"/>
          </w:tcPr>
          <w:p w14:paraId="155727AF">
            <w:pPr>
              <w:pStyle w:val="4"/>
              <w:jc w:val="center"/>
            </w:pPr>
            <w:r>
              <w:t>★</w:t>
            </w:r>
          </w:p>
        </w:tc>
        <w:tc>
          <w:tcPr>
            <w:tcW w:w="1495" w:type="dxa"/>
          </w:tcPr>
          <w:p w14:paraId="11715E99">
            <w:pPr>
              <w:pStyle w:val="4"/>
              <w:jc w:val="left"/>
            </w:pPr>
            <w:r>
              <w:t>其他要求</w:t>
            </w:r>
          </w:p>
        </w:tc>
        <w:tc>
          <w:tcPr>
            <w:tcW w:w="5814" w:type="dxa"/>
          </w:tcPr>
          <w:p w14:paraId="5E448F1B">
            <w:pPr>
              <w:pStyle w:val="4"/>
              <w:jc w:val="both"/>
            </w:pPr>
            <w:r>
              <w:rPr>
                <w:rFonts w:ascii="宋体" w:hAnsi="宋体" w:eastAsia="宋体" w:cs="宋体"/>
                <w:sz w:val="21"/>
              </w:rPr>
              <w:t>1.根除区域设立警示标志，以防其他人员进入。</w:t>
            </w:r>
          </w:p>
          <w:p w14:paraId="0C4E52D3">
            <w:pPr>
              <w:pStyle w:val="4"/>
              <w:jc w:val="both"/>
            </w:pPr>
            <w:r>
              <w:rPr>
                <w:rFonts w:ascii="宋体" w:hAnsi="宋体" w:eastAsia="宋体" w:cs="宋体"/>
                <w:sz w:val="21"/>
              </w:rPr>
              <w:t>2.要求由专业防控队伍对红火蚁根除区进行根除防治。防治队伍人员必须接受安全技术教育培训，熟知和遵守本工种的各项安全技术操作规程，合格者方准上岗操作。</w:t>
            </w:r>
          </w:p>
          <w:p w14:paraId="42BDE0C4">
            <w:pPr>
              <w:pStyle w:val="4"/>
              <w:jc w:val="both"/>
            </w:pPr>
            <w:r>
              <w:rPr>
                <w:rFonts w:ascii="宋体" w:hAnsi="宋体" w:eastAsia="宋体" w:cs="宋体"/>
                <w:sz w:val="21"/>
              </w:rPr>
              <w:t>3.投药时避免接触到居民游客，农田避免接触到家禽牲畜。</w:t>
            </w:r>
          </w:p>
          <w:p w14:paraId="1B0E19A0">
            <w:pPr>
              <w:pStyle w:val="4"/>
              <w:jc w:val="both"/>
            </w:pPr>
            <w:r>
              <w:rPr>
                <w:rFonts w:ascii="宋体" w:hAnsi="宋体" w:eastAsia="宋体" w:cs="宋体"/>
                <w:sz w:val="21"/>
              </w:rPr>
              <w:t>4.根除防治人员须严格按照要求、相关规范的规定进行工作，实施方须对其防治人员的工作负责。</w:t>
            </w:r>
          </w:p>
          <w:p w14:paraId="462C8634">
            <w:pPr>
              <w:pStyle w:val="4"/>
              <w:jc w:val="both"/>
            </w:pPr>
            <w:r>
              <w:rPr>
                <w:rFonts w:ascii="宋体" w:hAnsi="宋体" w:eastAsia="宋体" w:cs="宋体"/>
                <w:sz w:val="21"/>
              </w:rPr>
              <w:t>5.根除防治人员须严格遵守相关的法律法规，服从管理，接受监督，要注意作业安全，防止发生火灾和人身意外事故；在防控期内不发生违法犯罪行为的。</w:t>
            </w:r>
          </w:p>
          <w:p w14:paraId="4E3531FA">
            <w:pPr>
              <w:pStyle w:val="4"/>
              <w:jc w:val="both"/>
            </w:pPr>
            <w:r>
              <w:rPr>
                <w:rFonts w:ascii="宋体" w:hAnsi="宋体" w:eastAsia="宋体" w:cs="宋体"/>
                <w:sz w:val="21"/>
              </w:rPr>
              <w:t>6.根除防治人员在防治过程中注意自身及周边安全，负责防治过程中所有事故的处理。</w:t>
            </w:r>
          </w:p>
        </w:tc>
      </w:tr>
    </w:tbl>
    <w:p w14:paraId="32B34F80">
      <w:pPr>
        <w:pStyle w:val="4"/>
        <w:jc w:val="left"/>
        <w:outlineLvl w:val="3"/>
      </w:pPr>
      <w:r>
        <w:rPr>
          <w:b/>
          <w:sz w:val="24"/>
        </w:rPr>
        <w:t>3.3.2.商务要求</w:t>
      </w:r>
    </w:p>
    <w:p w14:paraId="1B49A83C">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BC01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A28A06">
            <w:pPr>
              <w:pStyle w:val="4"/>
              <w:jc w:val="center"/>
            </w:pPr>
            <w:r>
              <w:t>序号</w:t>
            </w:r>
          </w:p>
        </w:tc>
        <w:tc>
          <w:tcPr>
            <w:tcW w:w="581" w:type="dxa"/>
          </w:tcPr>
          <w:p w14:paraId="6836F77C">
            <w:pPr>
              <w:pStyle w:val="4"/>
              <w:jc w:val="center"/>
            </w:pPr>
            <w:r>
              <w:t>符号标识</w:t>
            </w:r>
          </w:p>
        </w:tc>
        <w:tc>
          <w:tcPr>
            <w:tcW w:w="1495" w:type="dxa"/>
          </w:tcPr>
          <w:p w14:paraId="629EE282">
            <w:pPr>
              <w:pStyle w:val="4"/>
              <w:jc w:val="center"/>
            </w:pPr>
            <w:r>
              <w:t>商务要求名称</w:t>
            </w:r>
          </w:p>
        </w:tc>
        <w:tc>
          <w:tcPr>
            <w:tcW w:w="5814" w:type="dxa"/>
          </w:tcPr>
          <w:p w14:paraId="005DFAFA">
            <w:pPr>
              <w:pStyle w:val="4"/>
              <w:jc w:val="center"/>
            </w:pPr>
            <w:r>
              <w:t>商务要求内容</w:t>
            </w:r>
          </w:p>
        </w:tc>
      </w:tr>
      <w:tr w14:paraId="1D30F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A37BAC">
            <w:pPr>
              <w:pStyle w:val="4"/>
              <w:jc w:val="center"/>
            </w:pPr>
            <w:r>
              <w:t>1</w:t>
            </w:r>
          </w:p>
        </w:tc>
        <w:tc>
          <w:tcPr>
            <w:tcW w:w="581" w:type="dxa"/>
          </w:tcPr>
          <w:p w14:paraId="5FCF7432">
            <w:pPr>
              <w:pStyle w:val="4"/>
              <w:jc w:val="center"/>
            </w:pPr>
            <w:r>
              <w:t>★</w:t>
            </w:r>
          </w:p>
        </w:tc>
        <w:tc>
          <w:tcPr>
            <w:tcW w:w="1495" w:type="dxa"/>
          </w:tcPr>
          <w:p w14:paraId="406153BF">
            <w:pPr>
              <w:pStyle w:val="4"/>
              <w:jc w:val="left"/>
            </w:pPr>
            <w:r>
              <w:t>服务期限</w:t>
            </w:r>
          </w:p>
        </w:tc>
        <w:tc>
          <w:tcPr>
            <w:tcW w:w="5814" w:type="dxa"/>
          </w:tcPr>
          <w:p w14:paraId="5F81AA1F">
            <w:pPr>
              <w:pStyle w:val="4"/>
              <w:jc w:val="left"/>
            </w:pPr>
            <w:r>
              <w:t>第一阶段：自合同签订之日起1年内，对红火蚁疫情发生点位开展不少于5次根除扑杀工作，对红火蚁疫情重点监测区开展不少于5次监测工作。根除效果达到100%。 第二阶段：第一阶段防控工作完成后，发生点位和重点监测区连续9个月跟踪监测和评估根除效果，保障根除效果持续保持100%。以书面形式提交工作完成报告，进行根除验收。质保期：根除验收合格后，质保期12个月。</w:t>
            </w:r>
          </w:p>
        </w:tc>
      </w:tr>
      <w:tr w14:paraId="7520C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95FF9F">
            <w:pPr>
              <w:pStyle w:val="4"/>
              <w:jc w:val="center"/>
            </w:pPr>
            <w:r>
              <w:t>2</w:t>
            </w:r>
          </w:p>
        </w:tc>
        <w:tc>
          <w:tcPr>
            <w:tcW w:w="581" w:type="dxa"/>
          </w:tcPr>
          <w:p w14:paraId="1F18F8EB">
            <w:pPr>
              <w:pStyle w:val="4"/>
              <w:jc w:val="center"/>
            </w:pPr>
            <w:r>
              <w:t>★</w:t>
            </w:r>
          </w:p>
        </w:tc>
        <w:tc>
          <w:tcPr>
            <w:tcW w:w="1495" w:type="dxa"/>
          </w:tcPr>
          <w:p w14:paraId="2D10E2A3">
            <w:pPr>
              <w:pStyle w:val="4"/>
              <w:jc w:val="left"/>
            </w:pPr>
            <w:r>
              <w:t>服务地点</w:t>
            </w:r>
          </w:p>
        </w:tc>
        <w:tc>
          <w:tcPr>
            <w:tcW w:w="5814" w:type="dxa"/>
          </w:tcPr>
          <w:p w14:paraId="2A355B21">
            <w:pPr>
              <w:pStyle w:val="4"/>
              <w:jc w:val="left"/>
            </w:pPr>
            <w:r>
              <w:t>成都市锦江区祝国寺片区</w:t>
            </w:r>
          </w:p>
        </w:tc>
      </w:tr>
      <w:tr w14:paraId="56DB0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23BE8F">
            <w:pPr>
              <w:pStyle w:val="4"/>
              <w:jc w:val="center"/>
            </w:pPr>
            <w:r>
              <w:t>3</w:t>
            </w:r>
          </w:p>
        </w:tc>
        <w:tc>
          <w:tcPr>
            <w:tcW w:w="581" w:type="dxa"/>
          </w:tcPr>
          <w:p w14:paraId="7D25F634">
            <w:pPr>
              <w:pStyle w:val="4"/>
              <w:jc w:val="center"/>
            </w:pPr>
            <w:r>
              <w:t>★</w:t>
            </w:r>
          </w:p>
        </w:tc>
        <w:tc>
          <w:tcPr>
            <w:tcW w:w="1495" w:type="dxa"/>
          </w:tcPr>
          <w:p w14:paraId="44B0141E">
            <w:pPr>
              <w:pStyle w:val="4"/>
              <w:jc w:val="left"/>
            </w:pPr>
            <w:r>
              <w:t>验收、交付标准和方法</w:t>
            </w:r>
          </w:p>
        </w:tc>
        <w:tc>
          <w:tcPr>
            <w:tcW w:w="5814" w:type="dxa"/>
          </w:tcPr>
          <w:p w14:paraId="1794A80C">
            <w:pPr>
              <w:pStyle w:val="4"/>
              <w:jc w:val="left"/>
            </w:pPr>
            <w:r>
              <w:t>1.在成交供应商通知采购人履约完毕后30日内进行验收；依托NY/T 3541-2020《红火蚁专业化防控实施规程》的防控验收方法，按照《四川省红火蚁检测防控技术方案》（川植应指办[2023]10号）要求进行验收。根除区域连续9个月跟踪监测和评估根除效果，保障根除效果持续保持100%。验收专家组成员原则上由农业农村及林业和草原行政主管部门、植物检疫机构工作人员、各级红火蚁专家组成员等组成，专家组一般 5~7 人。根据《红火蚁防控效果评价》（DB44/T1323-2014）进行验收，并提供监测报告、根除报告、现场监测根除图片。 2.其他未尽事宜应按照《关于印发四川省红火蚁根除行动方案的通知》（川农发〔2023〕9号）、参照《财政部关于进一步加强政府采购需求和履约验收管理的指导意见》（财库〔2016〕205号）的要求进行。</w:t>
            </w:r>
          </w:p>
        </w:tc>
      </w:tr>
      <w:tr w14:paraId="7A18D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57C7CE">
            <w:pPr>
              <w:pStyle w:val="4"/>
              <w:jc w:val="center"/>
            </w:pPr>
            <w:r>
              <w:t>4</w:t>
            </w:r>
          </w:p>
        </w:tc>
        <w:tc>
          <w:tcPr>
            <w:tcW w:w="581" w:type="dxa"/>
          </w:tcPr>
          <w:p w14:paraId="703B51EE">
            <w:pPr>
              <w:pStyle w:val="4"/>
              <w:jc w:val="center"/>
            </w:pPr>
            <w:r>
              <w:t>★</w:t>
            </w:r>
          </w:p>
        </w:tc>
        <w:tc>
          <w:tcPr>
            <w:tcW w:w="1495" w:type="dxa"/>
          </w:tcPr>
          <w:p w14:paraId="04C3B03E">
            <w:pPr>
              <w:pStyle w:val="4"/>
              <w:jc w:val="left"/>
            </w:pPr>
            <w:r>
              <w:t>支付方式</w:t>
            </w:r>
          </w:p>
        </w:tc>
        <w:tc>
          <w:tcPr>
            <w:tcW w:w="5814" w:type="dxa"/>
          </w:tcPr>
          <w:p w14:paraId="2585D7CB">
            <w:pPr>
              <w:pStyle w:val="4"/>
              <w:jc w:val="left"/>
            </w:pPr>
            <w:r>
              <w:t>分期付款</w:t>
            </w:r>
          </w:p>
        </w:tc>
      </w:tr>
      <w:tr w14:paraId="7DCF9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89C158">
            <w:pPr>
              <w:pStyle w:val="4"/>
              <w:jc w:val="center"/>
            </w:pPr>
            <w:r>
              <w:t>5</w:t>
            </w:r>
          </w:p>
        </w:tc>
        <w:tc>
          <w:tcPr>
            <w:tcW w:w="581" w:type="dxa"/>
          </w:tcPr>
          <w:p w14:paraId="09414C4D">
            <w:pPr>
              <w:pStyle w:val="4"/>
              <w:jc w:val="center"/>
            </w:pPr>
            <w:r>
              <w:t>★</w:t>
            </w:r>
          </w:p>
        </w:tc>
        <w:tc>
          <w:tcPr>
            <w:tcW w:w="1495" w:type="dxa"/>
          </w:tcPr>
          <w:p w14:paraId="09E71CC5">
            <w:pPr>
              <w:pStyle w:val="4"/>
              <w:jc w:val="left"/>
            </w:pPr>
            <w:r>
              <w:t>付款进度安排</w:t>
            </w:r>
          </w:p>
        </w:tc>
        <w:tc>
          <w:tcPr>
            <w:tcW w:w="5814" w:type="dxa"/>
          </w:tcPr>
          <w:p w14:paraId="2FB7AF77">
            <w:pPr>
              <w:pStyle w:val="4"/>
              <w:jc w:val="left"/>
            </w:pPr>
            <w:r>
              <w:t>1、采购合同签订后，达到付款条件起5日内，支付合同总金额的40.00%</w:t>
            </w:r>
          </w:p>
          <w:p w14:paraId="5080A730">
            <w:pPr>
              <w:pStyle w:val="4"/>
              <w:jc w:val="left"/>
            </w:pPr>
            <w:r>
              <w:t>2、完成第一阶段防控工作,乙方以书面形式提交成果报告并经甲方确认，达到付款条件起5日内，支付合同总金额的50.00%</w:t>
            </w:r>
          </w:p>
          <w:p w14:paraId="7C8D5E4E">
            <w:pPr>
              <w:pStyle w:val="4"/>
              <w:jc w:val="left"/>
            </w:pPr>
            <w:r>
              <w:t>3、完成全部监测及根除工作并经专家验收合格后，达到付款条件起5日内，支付合同总金额的10.00%</w:t>
            </w:r>
          </w:p>
        </w:tc>
      </w:tr>
      <w:tr w14:paraId="3B495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3F6E3B">
            <w:pPr>
              <w:pStyle w:val="4"/>
              <w:jc w:val="center"/>
            </w:pPr>
            <w:r>
              <w:t>6</w:t>
            </w:r>
          </w:p>
        </w:tc>
        <w:tc>
          <w:tcPr>
            <w:tcW w:w="581" w:type="dxa"/>
          </w:tcPr>
          <w:p w14:paraId="55B38E81">
            <w:pPr>
              <w:pStyle w:val="4"/>
              <w:jc w:val="center"/>
            </w:pPr>
            <w:r>
              <w:t>★</w:t>
            </w:r>
          </w:p>
        </w:tc>
        <w:tc>
          <w:tcPr>
            <w:tcW w:w="1495" w:type="dxa"/>
          </w:tcPr>
          <w:p w14:paraId="5CB751A4">
            <w:pPr>
              <w:pStyle w:val="4"/>
              <w:jc w:val="left"/>
            </w:pPr>
            <w:r>
              <w:t>违约责任与解决争议的方法</w:t>
            </w:r>
          </w:p>
        </w:tc>
        <w:tc>
          <w:tcPr>
            <w:tcW w:w="5814" w:type="dxa"/>
          </w:tcPr>
          <w:p w14:paraId="1343849C">
            <w:pPr>
              <w:pStyle w:val="4"/>
              <w:jc w:val="left"/>
            </w:pPr>
            <w:r>
              <w:t>1.若甲方未按照合同约定逾期向乙方支付费用，每逾期一天，按应支付金额的1‰作为违约金支付给乙方，直至实际支付之日 2.因甲方原因导致变更、中止或者终止政府采购合同的，应对乙方受到的损失予以赔偿或者补偿。 3.若因乙方原因在合同规定期限内无法提供服务，甲方有权终止合同，由乙方向甲方支付 10%的违约金；或经采购双方协商同意继续履行合同，甲方视情况在延迟服务期内每天按合同总额 3‰的标准收取违约金。因不可抗拒力所导致的交货及付款延迟等按照《中华人民共和国民法典》有关条文处理。 4.乙方提供的服务质量不符合合同规定的，乙方应向甲方支付合同总价的5%的违约金并限期 10 日内整改，否则，视作乙方无法提供合格的服务违约。 5.乙方应严格遵守服务承诺，如有违约，将赔偿因服务违约给甲方造成的经济损失。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6.甲方由于不可抗力的原因不能履行合同时，应及时向乙方、项目同级财政部门通报不能履行或不能完全履行的理由；乙方由于不可抗力的原因不能履行合同时，应在交货时间到期以前及时向甲方、项目同级财政部门通报不能履行或不能完全履行的理由；在取得有关主管机关证明以后，可以签订延期履行、部分履行补充合同或者不履行合同，并根据情况可部分或全部免予承担违约责任。 7.合同履行期间,若双方发生争议，双方本着友好合作的态度，对合同履行过程中发生的违约行为进行及时的协商解决或由有关部门调解解决，如不能协商解决可向项目所在地法院通过法律诉讼解决。 注：具体的违约责任以合同条款为准。</w:t>
            </w:r>
          </w:p>
        </w:tc>
      </w:tr>
    </w:tbl>
    <w:p w14:paraId="66774986">
      <w:pPr>
        <w:pStyle w:val="4"/>
        <w:jc w:val="left"/>
        <w:outlineLvl w:val="2"/>
      </w:pPr>
      <w:r>
        <w:rPr>
          <w:b/>
          <w:sz w:val="28"/>
        </w:rPr>
        <w:t>3.4.其他要求</w:t>
      </w:r>
    </w:p>
    <w:p w14:paraId="119FC406">
      <w:pPr>
        <w:pStyle w:val="4"/>
        <w:ind w:firstLine="480"/>
        <w:jc w:val="left"/>
      </w:pPr>
      <w:r>
        <w:t>采购包1：</w:t>
      </w:r>
    </w:p>
    <w:p w14:paraId="29BA8A1F">
      <w:pPr>
        <w:pStyle w:val="4"/>
        <w:jc w:val="left"/>
      </w:pPr>
      <w:r>
        <w:t>1.为确保工作顺利完成，供应商应针对本项目提供服务方案。在采购需求的基础上，根据供应商自身对项目的理解提供项目背景和需求分析，提供机构完善的组织机构和人员配备，针对本项目服务内容提供切实可行的监测方案及防控根除方案，提供机构完善的服务进度计划及保障措施。 2.针对后续服务，供应商应制定完善的后续服务方案，解决采购人后续可能存在的问题。根据采购需求内容可能涉及的后续服务，提供完善的后续服务机制和后续服务保障措施（不限于技术保障、人员保障等）。供应商针对本项目做出后续服务承诺，如响应时间等。配备专门的后续服务人员，如遇特殊突发情况，要有切实可行的其他的响应方式。 3.供应商应具备类似项目履约能力，同时针对本项目服务内容配备技术服务人员，重点配备与采购需求相关的园林或林业或农业类专业技术职称的服务人员。 4.为提高工作效率，供应商应针对本项目配备电动机械作业，如电动播撒机</w:t>
      </w:r>
    </w:p>
    <w:p w14:paraId="333687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times, 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C564F"/>
    <w:rsid w:val="0E8C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2024-12-03T04:23:00Z</dcterms:created>
  <dc:creator>Administrator</dc:creator>
  <cp:lastModifiedBy>Administrator</cp:lastModifiedBy>
  <dcterms:modified xsi:type="dcterms:W3CDTF">2024-12-03T04:24:50Z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3A92C0030121451392D5E03A1BE3FC69_11</vt:lpwstr>
  </property>
</Properties>
</file>