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病媒生物监测及防制服务考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</w:t>
      </w:r>
    </w:p>
    <w:p w14:paraId="4C74E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一、目的</w:t>
      </w:r>
    </w:p>
    <w:p w14:paraId="7713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对病媒生物监测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及防制外包服务计划管理，加强过程控制</w:t>
      </w:r>
      <w:r>
        <w:rPr>
          <w:rFonts w:hint="eastAsia" w:ascii="仿宋_GB2312" w:hAnsi="仿宋_GB2312" w:eastAsia="仿宋_GB2312" w:cs="仿宋_GB2312"/>
          <w:sz w:val="30"/>
          <w:szCs w:val="30"/>
        </w:rPr>
        <w:t>，确保外包服务质量符合招标文件要求、达到中标人承诺，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督促外包单位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切实履行合同中的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0"/>
          <w:szCs w:val="30"/>
        </w:rPr>
        <w:t>约定，结合南通机场运行实际，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0"/>
          <w:szCs w:val="30"/>
        </w:rPr>
        <w:t>制定本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考核实施</w:t>
      </w:r>
      <w:r>
        <w:rPr>
          <w:rFonts w:hint="eastAsia" w:ascii="仿宋_GB2312" w:hAnsi="仿宋_GB2312" w:eastAsia="仿宋_GB2312" w:cs="仿宋_GB2312"/>
          <w:sz w:val="30"/>
          <w:szCs w:val="30"/>
        </w:rPr>
        <w:t>方案。</w:t>
      </w:r>
    </w:p>
    <w:p w14:paraId="2A8B0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二、适用范围</w:t>
      </w:r>
    </w:p>
    <w:p w14:paraId="588AD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适用于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航站区管理部</w:t>
      </w:r>
      <w:r>
        <w:rPr>
          <w:rFonts w:hint="eastAsia" w:ascii="仿宋_GB2312" w:hAnsi="仿宋_GB2312" w:eastAsia="仿宋_GB2312" w:cs="仿宋_GB2312"/>
          <w:sz w:val="28"/>
          <w:szCs w:val="28"/>
        </w:rPr>
        <w:t>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管辖范围内的病媒生物监测及防制外包服务。</w:t>
      </w:r>
    </w:p>
    <w:p w14:paraId="188D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三、职责</w:t>
      </w:r>
    </w:p>
    <w:p w14:paraId="13939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航站区管理部为所管辖范围内的病媒生物监测及防制扎口管理部门，负有以下职责：</w:t>
      </w:r>
    </w:p>
    <w:p w14:paraId="5185B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负责组织外包服务单位有计划开展病媒生物监测及防制工作，有效防止病媒生物及其传播的虫媒传染病经国境口岸传入传出，科学预警虫媒传染病的发生、发展和流行，维护国门生物安全。</w:t>
      </w:r>
    </w:p>
    <w:p w14:paraId="31474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负责审核外包单位制定的服务计划及实施方案，根据实际运行情况进行调整、优化、补充。</w:t>
      </w:r>
    </w:p>
    <w:p w14:paraId="4104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3、负责对外包单位施工人员进行进场教育培训及考核。</w:t>
      </w:r>
    </w:p>
    <w:p w14:paraId="2C4F7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4、负责对外包单位工作执行情况进行监督、检查，对违反管理规定的行为进行考核。</w:t>
      </w:r>
    </w:p>
    <w:p w14:paraId="6BC63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5、负责对外包单位进行安全方面的监督、检查，负责对违反安全管理规定的行为进行考核。</w:t>
      </w:r>
    </w:p>
    <w:p w14:paraId="3F6AE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黑体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考评种类及结果运用</w:t>
      </w:r>
    </w:p>
    <w:p w14:paraId="70111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依据考核细则，航站区管理部安排专人采用现场检查、影像资料回看、台账检查、问卷调研、外部反馈等相结合的形式对外包服务质量进行日常监督、检查，记录问题并交办。对于事实清楚的情况，将依据本方案对相关单位实施考核扣罚，在付款时扣减相应服务费用。</w:t>
      </w:r>
    </w:p>
    <w:p w14:paraId="40DF8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日常考评：考核采用月度百分制，在监督、检查过程中发现的问题，根据相关条款进行扣分，服务方需在规定时限内完成整改。季度付款时对上季度考核扣分情况进行汇总，季度服务费结算时每扣1分扣减服务费100元。月度考核在80分（不含80）以下的为当月考核不合格，将根据合同约定扣除相应违约金。</w:t>
      </w:r>
    </w:p>
    <w:p w14:paraId="1397B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同时满足以下条款为阶段服务期内（12个月为一个阶段）考核合格，可继续履行合同，否则按照合同约定条款，机场可无责解除合同：1、每阶段服务期内（12个月）月考核得分在80分以下的次数累计未超过3次；2、每阶段服务期（12个月）月度考评得分的平均值高于80分（含）；3、未发生其他解除合同情况。</w:t>
      </w:r>
    </w:p>
    <w:p w14:paraId="3ED49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F7DE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五、考核细则</w:t>
      </w:r>
    </w:p>
    <w:tbl>
      <w:tblPr>
        <w:tblStyle w:val="4"/>
        <w:tblW w:w="13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615"/>
        <w:gridCol w:w="2224"/>
        <w:gridCol w:w="7780"/>
        <w:gridCol w:w="772"/>
      </w:tblGrid>
      <w:tr w14:paraId="1F1B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6DA9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15" w:type="dxa"/>
            <w:vAlign w:val="center"/>
          </w:tcPr>
          <w:p w14:paraId="0D339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2224" w:type="dxa"/>
            <w:vAlign w:val="center"/>
          </w:tcPr>
          <w:p w14:paraId="6C05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考核要求</w:t>
            </w:r>
          </w:p>
        </w:tc>
        <w:tc>
          <w:tcPr>
            <w:tcW w:w="7780" w:type="dxa"/>
            <w:vAlign w:val="center"/>
          </w:tcPr>
          <w:p w14:paraId="78FF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772" w:type="dxa"/>
            <w:vAlign w:val="center"/>
          </w:tcPr>
          <w:p w14:paraId="1750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C9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3F9A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5" w:type="dxa"/>
            <w:vAlign w:val="center"/>
          </w:tcPr>
          <w:p w14:paraId="2292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方案调整</w:t>
            </w:r>
          </w:p>
        </w:tc>
        <w:tc>
          <w:tcPr>
            <w:tcW w:w="2224" w:type="dxa"/>
            <w:vAlign w:val="center"/>
          </w:tcPr>
          <w:p w14:paraId="37562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能够根据政策变化、监测评估情况动态调整。</w:t>
            </w:r>
          </w:p>
        </w:tc>
        <w:tc>
          <w:tcPr>
            <w:tcW w:w="7780" w:type="dxa"/>
            <w:vAlign w:val="center"/>
          </w:tcPr>
          <w:p w14:paraId="2BBE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因发生政策变化、监测密度超标等情况，未能及时有效调整方案的每次扣1-5分。</w:t>
            </w:r>
          </w:p>
        </w:tc>
        <w:tc>
          <w:tcPr>
            <w:tcW w:w="772" w:type="dxa"/>
            <w:vAlign w:val="center"/>
          </w:tcPr>
          <w:p w14:paraId="44E6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F4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0076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5" w:type="dxa"/>
            <w:vMerge w:val="restart"/>
            <w:vAlign w:val="center"/>
          </w:tcPr>
          <w:p w14:paraId="3CA69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计划制定与执行</w:t>
            </w:r>
          </w:p>
        </w:tc>
        <w:tc>
          <w:tcPr>
            <w:tcW w:w="2224" w:type="dxa"/>
            <w:vMerge w:val="restart"/>
            <w:vAlign w:val="center"/>
          </w:tcPr>
          <w:p w14:paraId="13983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按照约定服务要求制定月度工作计划并严格执行</w:t>
            </w:r>
          </w:p>
        </w:tc>
        <w:tc>
          <w:tcPr>
            <w:tcW w:w="7780" w:type="dxa"/>
            <w:vAlign w:val="center"/>
          </w:tcPr>
          <w:p w14:paraId="1E019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每月5号前未制定服务工作计划提交甲方审核确认的，每次扣1分。</w:t>
            </w:r>
          </w:p>
        </w:tc>
        <w:tc>
          <w:tcPr>
            <w:tcW w:w="772" w:type="dxa"/>
            <w:vAlign w:val="center"/>
          </w:tcPr>
          <w:p w14:paraId="41F8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9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59CB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5" w:type="dxa"/>
            <w:vMerge w:val="continue"/>
            <w:vAlign w:val="center"/>
          </w:tcPr>
          <w:p w14:paraId="1283F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6C99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36D2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每月计划兑现率（执行件数/计划件数），[95%-100%）的扣2分，[90%-95%）扣3分，[85%-90%）的扣4分，[80%-85%）的扣5分，低于80%的扣6分。</w:t>
            </w:r>
          </w:p>
        </w:tc>
        <w:tc>
          <w:tcPr>
            <w:tcW w:w="772" w:type="dxa"/>
            <w:vAlign w:val="center"/>
          </w:tcPr>
          <w:p w14:paraId="24B63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18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2B49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5" w:type="dxa"/>
            <w:vMerge w:val="continue"/>
            <w:vAlign w:val="center"/>
          </w:tcPr>
          <w:p w14:paraId="7B4F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516B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4707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服务过程中弄虚作假的，每发现一次扣5-10分。</w:t>
            </w:r>
          </w:p>
        </w:tc>
        <w:tc>
          <w:tcPr>
            <w:tcW w:w="772" w:type="dxa"/>
            <w:vAlign w:val="center"/>
          </w:tcPr>
          <w:p w14:paraId="6578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06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4E5D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5" w:type="dxa"/>
            <w:vMerge w:val="restart"/>
            <w:vAlign w:val="center"/>
          </w:tcPr>
          <w:p w14:paraId="6CA19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服务质量</w:t>
            </w:r>
          </w:p>
        </w:tc>
        <w:tc>
          <w:tcPr>
            <w:tcW w:w="2224" w:type="dxa"/>
            <w:vMerge w:val="restart"/>
            <w:vAlign w:val="center"/>
          </w:tcPr>
          <w:p w14:paraId="3201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作业频次、生物种类、区域范围、作业方法符合要求；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人员作业规范；密度控制符合要求。</w:t>
            </w:r>
          </w:p>
        </w:tc>
        <w:tc>
          <w:tcPr>
            <w:tcW w:w="7780" w:type="dxa"/>
            <w:vAlign w:val="center"/>
          </w:tcPr>
          <w:p w14:paraId="1B10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作业频次、生物种类、区域范围、作业方法等不符合要求的，每次扣1-5分。</w:t>
            </w:r>
          </w:p>
        </w:tc>
        <w:tc>
          <w:tcPr>
            <w:tcW w:w="772" w:type="dxa"/>
            <w:vAlign w:val="center"/>
          </w:tcPr>
          <w:p w14:paraId="64518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49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05962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15" w:type="dxa"/>
            <w:vMerge w:val="continue"/>
            <w:vAlign w:val="center"/>
          </w:tcPr>
          <w:p w14:paraId="0489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49398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515DB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人员未能按照规定操作流程作业的，每次扣1-3分。</w:t>
            </w:r>
          </w:p>
        </w:tc>
        <w:tc>
          <w:tcPr>
            <w:tcW w:w="772" w:type="dxa"/>
            <w:vAlign w:val="center"/>
          </w:tcPr>
          <w:p w14:paraId="4565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7F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12" w:type="dxa"/>
            <w:vAlign w:val="center"/>
          </w:tcPr>
          <w:p w14:paraId="2972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15" w:type="dxa"/>
            <w:vMerge w:val="continue"/>
            <w:vAlign w:val="center"/>
          </w:tcPr>
          <w:p w14:paraId="0C9B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5F413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0323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病媒生物密度控制超标的，视超标严重程度扣1-10分。</w:t>
            </w:r>
          </w:p>
        </w:tc>
        <w:tc>
          <w:tcPr>
            <w:tcW w:w="772" w:type="dxa"/>
            <w:vAlign w:val="center"/>
          </w:tcPr>
          <w:p w14:paraId="76B3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2B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4A15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15" w:type="dxa"/>
            <w:vAlign w:val="center"/>
          </w:tcPr>
          <w:p w14:paraId="25AB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服务响应</w:t>
            </w:r>
          </w:p>
        </w:tc>
        <w:tc>
          <w:tcPr>
            <w:tcW w:w="2224" w:type="dxa"/>
            <w:vAlign w:val="center"/>
          </w:tcPr>
          <w:p w14:paraId="13CBD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按照合同约定要求及时响应并有效处置</w:t>
            </w:r>
          </w:p>
        </w:tc>
        <w:tc>
          <w:tcPr>
            <w:tcW w:w="7780" w:type="dxa"/>
            <w:vAlign w:val="center"/>
          </w:tcPr>
          <w:p w14:paraId="761F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未在规定时间内实质性响应甲方要求的，每次扣1-5分。影响甲方正常运行保障的，每次扣5-10分。因乙方未实质性响应，甲方委托第三方的，由乙方承担全部合理费用。</w:t>
            </w:r>
          </w:p>
        </w:tc>
        <w:tc>
          <w:tcPr>
            <w:tcW w:w="772" w:type="dxa"/>
            <w:vAlign w:val="center"/>
          </w:tcPr>
          <w:p w14:paraId="28AC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AF3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7D53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15" w:type="dxa"/>
            <w:vMerge w:val="restart"/>
            <w:vAlign w:val="center"/>
          </w:tcPr>
          <w:p w14:paraId="3A52D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安全文明</w:t>
            </w:r>
          </w:p>
        </w:tc>
        <w:tc>
          <w:tcPr>
            <w:tcW w:w="2224" w:type="dxa"/>
            <w:vMerge w:val="restart"/>
            <w:vAlign w:val="center"/>
          </w:tcPr>
          <w:p w14:paraId="136F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作业过程中应严格遵守各项安全文明规章制度及操作规程；符合文明施工要求。</w:t>
            </w:r>
          </w:p>
        </w:tc>
        <w:tc>
          <w:tcPr>
            <w:tcW w:w="7780" w:type="dxa"/>
            <w:vAlign w:val="center"/>
          </w:tcPr>
          <w:p w14:paraId="21234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作业过程中，应使用合格的以及与作业安全防护要求相适应的安全防护用品，并正确穿戴，每发现一次违规情况扣2分。</w:t>
            </w:r>
          </w:p>
        </w:tc>
        <w:tc>
          <w:tcPr>
            <w:tcW w:w="772" w:type="dxa"/>
            <w:vAlign w:val="center"/>
          </w:tcPr>
          <w:p w14:paraId="2085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C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6B14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15" w:type="dxa"/>
            <w:vMerge w:val="continue"/>
            <w:vAlign w:val="center"/>
          </w:tcPr>
          <w:p w14:paraId="6FC4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5B1B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5885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使用不符合要求的机具、器材、化学药品的，每发现一次扣2分。</w:t>
            </w:r>
          </w:p>
        </w:tc>
        <w:tc>
          <w:tcPr>
            <w:tcW w:w="772" w:type="dxa"/>
            <w:vAlign w:val="center"/>
          </w:tcPr>
          <w:p w14:paraId="5A79C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B2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425B0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15" w:type="dxa"/>
            <w:vMerge w:val="continue"/>
            <w:vAlign w:val="center"/>
          </w:tcPr>
          <w:p w14:paraId="5952D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600C8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5D62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作业过程中违反安全规章制度、安全操作规程的，违章作业的，每发现一次扣2-5分。</w:t>
            </w:r>
          </w:p>
        </w:tc>
        <w:tc>
          <w:tcPr>
            <w:tcW w:w="772" w:type="dxa"/>
            <w:vAlign w:val="center"/>
          </w:tcPr>
          <w:p w14:paraId="77DA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4F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5E2F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15" w:type="dxa"/>
            <w:vMerge w:val="continue"/>
            <w:vAlign w:val="center"/>
          </w:tcPr>
          <w:p w14:paraId="4E06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787B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770F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作业过程中因作业原因出现安全隐患，扣1-10；出现风险不服从甲方人员管理的，每次扣2-5分；产生后果，影响正常运行保障的，扣5-10分。</w:t>
            </w:r>
          </w:p>
        </w:tc>
        <w:tc>
          <w:tcPr>
            <w:tcW w:w="772" w:type="dxa"/>
            <w:vAlign w:val="center"/>
          </w:tcPr>
          <w:p w14:paraId="32861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2C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0038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15" w:type="dxa"/>
            <w:vMerge w:val="continue"/>
            <w:vAlign w:val="center"/>
          </w:tcPr>
          <w:p w14:paraId="6459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3D06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2372D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未履行或未全面履行安全生产协议相关条款的，根据严重程度，扣1-20分。</w:t>
            </w:r>
          </w:p>
        </w:tc>
        <w:tc>
          <w:tcPr>
            <w:tcW w:w="772" w:type="dxa"/>
            <w:vAlign w:val="center"/>
          </w:tcPr>
          <w:p w14:paraId="2C66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AAC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2090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15" w:type="dxa"/>
            <w:vMerge w:val="continue"/>
            <w:vAlign w:val="center"/>
          </w:tcPr>
          <w:p w14:paraId="4014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6864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780" w:type="dxa"/>
            <w:vAlign w:val="center"/>
          </w:tcPr>
          <w:p w14:paraId="25C6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工作人员未穿工作服、反光服的每次扣1分。</w:t>
            </w:r>
          </w:p>
        </w:tc>
        <w:tc>
          <w:tcPr>
            <w:tcW w:w="772" w:type="dxa"/>
            <w:vAlign w:val="center"/>
          </w:tcPr>
          <w:p w14:paraId="58BF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2C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3C13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615" w:type="dxa"/>
            <w:vMerge w:val="continue"/>
            <w:vAlign w:val="center"/>
          </w:tcPr>
          <w:p w14:paraId="03C9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040B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7E18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作业结束后，未做到“人走、料净、场地清”的，每次扣1分。</w:t>
            </w:r>
          </w:p>
        </w:tc>
        <w:tc>
          <w:tcPr>
            <w:tcW w:w="772" w:type="dxa"/>
            <w:vAlign w:val="center"/>
          </w:tcPr>
          <w:p w14:paraId="0C41F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DE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23AF0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615" w:type="dxa"/>
            <w:vMerge w:val="continue"/>
            <w:vAlign w:val="center"/>
          </w:tcPr>
          <w:p w14:paraId="3D30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421E1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47EB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因作业方原因造成作业现场设施设备损坏的，每发现一次扣3分，所造成的损失全部由乙方承担。</w:t>
            </w:r>
          </w:p>
        </w:tc>
        <w:tc>
          <w:tcPr>
            <w:tcW w:w="772" w:type="dxa"/>
            <w:vAlign w:val="center"/>
          </w:tcPr>
          <w:p w14:paraId="6167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59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1B05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615" w:type="dxa"/>
            <w:vMerge w:val="continue"/>
            <w:vAlign w:val="center"/>
          </w:tcPr>
          <w:p w14:paraId="2EEE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Merge w:val="continue"/>
            <w:vAlign w:val="center"/>
          </w:tcPr>
          <w:p w14:paraId="4529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0" w:type="dxa"/>
            <w:vAlign w:val="center"/>
          </w:tcPr>
          <w:p w14:paraId="24B0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在机场区域违规存放易燃、易爆、有毒等违禁品的，每发现一次扣3分。</w:t>
            </w:r>
          </w:p>
        </w:tc>
        <w:tc>
          <w:tcPr>
            <w:tcW w:w="772" w:type="dxa"/>
            <w:vAlign w:val="center"/>
          </w:tcPr>
          <w:p w14:paraId="1BE2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08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6E930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615" w:type="dxa"/>
            <w:vMerge w:val="restart"/>
            <w:vAlign w:val="center"/>
          </w:tcPr>
          <w:p w14:paraId="07F82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2224" w:type="dxa"/>
            <w:vAlign w:val="center"/>
          </w:tcPr>
          <w:p w14:paraId="45B7B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应急管理</w:t>
            </w:r>
          </w:p>
        </w:tc>
        <w:tc>
          <w:tcPr>
            <w:tcW w:w="7780" w:type="dxa"/>
            <w:vAlign w:val="center"/>
          </w:tcPr>
          <w:p w14:paraId="22B2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接到甲方应急响应通知，响应不及时、或预案执行不到位的，每次扣2-5分。</w:t>
            </w:r>
          </w:p>
        </w:tc>
        <w:tc>
          <w:tcPr>
            <w:tcW w:w="772" w:type="dxa"/>
            <w:vAlign w:val="center"/>
          </w:tcPr>
          <w:p w14:paraId="0B8F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DF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1535C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15" w:type="dxa"/>
            <w:vMerge w:val="continue"/>
            <w:vAlign w:val="center"/>
          </w:tcPr>
          <w:p w14:paraId="206B0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Align w:val="center"/>
          </w:tcPr>
          <w:p w14:paraId="40D6C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制度执行</w:t>
            </w:r>
          </w:p>
        </w:tc>
        <w:tc>
          <w:tcPr>
            <w:tcW w:w="7780" w:type="dxa"/>
            <w:vAlign w:val="center"/>
          </w:tcPr>
          <w:p w14:paraId="6ACE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违反机场各项管理规定的，视情况严重程度每次扣1-20分。</w:t>
            </w:r>
          </w:p>
        </w:tc>
        <w:tc>
          <w:tcPr>
            <w:tcW w:w="772" w:type="dxa"/>
            <w:vAlign w:val="center"/>
          </w:tcPr>
          <w:p w14:paraId="27038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34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31A4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15" w:type="dxa"/>
            <w:vMerge w:val="continue"/>
            <w:vAlign w:val="center"/>
          </w:tcPr>
          <w:p w14:paraId="1C52E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Align w:val="center"/>
          </w:tcPr>
          <w:p w14:paraId="3366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消防安全</w:t>
            </w:r>
          </w:p>
        </w:tc>
        <w:tc>
          <w:tcPr>
            <w:tcW w:w="7780" w:type="dxa"/>
            <w:vAlign w:val="center"/>
          </w:tcPr>
          <w:p w14:paraId="777B9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在禁烟场所违规吸烟，每发现一次扣2分。</w:t>
            </w:r>
          </w:p>
        </w:tc>
        <w:tc>
          <w:tcPr>
            <w:tcW w:w="772" w:type="dxa"/>
            <w:vAlign w:val="center"/>
          </w:tcPr>
          <w:p w14:paraId="34DC2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3F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417DF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615" w:type="dxa"/>
            <w:vMerge w:val="continue"/>
            <w:vAlign w:val="center"/>
          </w:tcPr>
          <w:p w14:paraId="77DC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Align w:val="center"/>
          </w:tcPr>
          <w:p w14:paraId="0572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信息安全</w:t>
            </w:r>
          </w:p>
        </w:tc>
        <w:tc>
          <w:tcPr>
            <w:tcW w:w="7780" w:type="dxa"/>
            <w:vAlign w:val="center"/>
          </w:tcPr>
          <w:p w14:paraId="0251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违反保密规定，私自拍摄、传播机场涉密信息的，每次扣5-10分；在网络上发表关于机场方面不当言论的，甲方有权直接解除合同，同时造成不良影响的，需承担相应法律责任。</w:t>
            </w:r>
          </w:p>
        </w:tc>
        <w:tc>
          <w:tcPr>
            <w:tcW w:w="772" w:type="dxa"/>
            <w:vAlign w:val="center"/>
          </w:tcPr>
          <w:p w14:paraId="2B1C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BC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7523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615" w:type="dxa"/>
            <w:vMerge w:val="continue"/>
            <w:vAlign w:val="center"/>
          </w:tcPr>
          <w:p w14:paraId="48400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Align w:val="center"/>
          </w:tcPr>
          <w:p w14:paraId="3071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整改落实</w:t>
            </w:r>
          </w:p>
        </w:tc>
        <w:tc>
          <w:tcPr>
            <w:tcW w:w="7780" w:type="dxa"/>
            <w:vAlign w:val="center"/>
          </w:tcPr>
          <w:p w14:paraId="3BD70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对于检查中发现的整改事项，维保方应及时落实整改闭环，不落实、慢落实、伪落实的，每发现一次扣2分，二次催告仍未落实的，将采取约谈项目负责人，并扣10分。</w:t>
            </w:r>
          </w:p>
        </w:tc>
        <w:tc>
          <w:tcPr>
            <w:tcW w:w="772" w:type="dxa"/>
            <w:vAlign w:val="center"/>
          </w:tcPr>
          <w:p w14:paraId="6ED5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76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363B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15" w:type="dxa"/>
            <w:vMerge w:val="continue"/>
            <w:vAlign w:val="center"/>
          </w:tcPr>
          <w:p w14:paraId="4B45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Align w:val="center"/>
          </w:tcPr>
          <w:p w14:paraId="25F8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团队稳定</w:t>
            </w:r>
          </w:p>
        </w:tc>
        <w:tc>
          <w:tcPr>
            <w:tcW w:w="7780" w:type="dxa"/>
            <w:vAlign w:val="center"/>
          </w:tcPr>
          <w:p w14:paraId="1898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为保证项目服务质量，乙方应保证派驻南通机场项目团队的稳定性，未经甲方同意不得擅自更换项目团队人员：</w:t>
            </w:r>
          </w:p>
          <w:p w14:paraId="48A38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未经甲方同意擅自更换项目负责人的，每次扣20分，更换其他项目人员的，每次扣10分，同时需根据合同违约条款承担相关违约责任。</w:t>
            </w:r>
          </w:p>
        </w:tc>
        <w:tc>
          <w:tcPr>
            <w:tcW w:w="772" w:type="dxa"/>
            <w:vAlign w:val="center"/>
          </w:tcPr>
          <w:p w14:paraId="1FCD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8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 w14:paraId="57054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615" w:type="dxa"/>
            <w:vMerge w:val="continue"/>
            <w:vAlign w:val="center"/>
          </w:tcPr>
          <w:p w14:paraId="6B43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vAlign w:val="center"/>
          </w:tcPr>
          <w:p w14:paraId="7D6A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台账管理</w:t>
            </w:r>
          </w:p>
        </w:tc>
        <w:tc>
          <w:tcPr>
            <w:tcW w:w="7780" w:type="dxa"/>
            <w:vAlign w:val="center"/>
          </w:tcPr>
          <w:p w14:paraId="2339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未按照规定做好台账记录、提交相关分析总结报告的，每次扣1-3分。</w:t>
            </w:r>
          </w:p>
        </w:tc>
        <w:tc>
          <w:tcPr>
            <w:tcW w:w="772" w:type="dxa"/>
            <w:vAlign w:val="center"/>
          </w:tcPr>
          <w:p w14:paraId="2ADB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58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103" w:type="dxa"/>
            <w:gridSpan w:val="5"/>
            <w:vAlign w:val="center"/>
          </w:tcPr>
          <w:p w14:paraId="3A43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在考核细则中未列举的，由航站区管理部会同相关单位（部门）组成考核小组，根据事件严重程度落实相应考核扣罚。</w:t>
            </w:r>
          </w:p>
        </w:tc>
      </w:tr>
    </w:tbl>
    <w:p w14:paraId="22442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562E93F">
      <w:pPr>
        <w:spacing w:line="590" w:lineRule="exact"/>
        <w:ind w:firstLine="0"/>
        <w:jc w:val="center"/>
        <w:rPr>
          <w:rFonts w:hint="eastAsia" w:ascii="方正小标宋_GBK" w:hAnsi="方正小标宋_GBK" w:eastAsia="方正小标宋_GBK" w:cs="方正小标宋_GBK"/>
          <w:color w:val="000000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病媒生物监测及防制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服务质量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月度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考评日志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048"/>
        <w:gridCol w:w="6048"/>
        <w:gridCol w:w="1723"/>
        <w:gridCol w:w="1981"/>
        <w:gridCol w:w="1379"/>
      </w:tblGrid>
      <w:tr w14:paraId="6B5DC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03668">
            <w:pPr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考评单位：航站区管理部                                                     日期：    年  月</w:t>
            </w:r>
          </w:p>
        </w:tc>
      </w:tr>
      <w:tr w14:paraId="6B902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C277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F18E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1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FC62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问题描述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DA3A2"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扣分/加分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F547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整改情况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2485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F388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8673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AAC70">
            <w:pPr>
              <w:ind w:firstLine="1120" w:firstLineChars="40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C2BA5">
            <w:pPr>
              <w:ind w:firstLine="1120" w:firstLineChars="40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FD63E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8589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886B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73AD1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9867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2CE49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55A80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E224F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37EA4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F32FC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0A1C7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B989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1DB04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031E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09EAE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90E55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7B710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13FCF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A9DA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9D4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9949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E14E0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9B67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D485F">
            <w:pPr>
              <w:ind w:firstLine="1120" w:firstLineChars="40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 w14:paraId="73DF0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1AD35">
            <w:pPr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当月考核得分：                                                           考核人签字：</w:t>
            </w:r>
          </w:p>
        </w:tc>
      </w:tr>
    </w:tbl>
    <w:p w14:paraId="287164B1">
      <w:pPr>
        <w:ind w:firstLine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</w:p>
    <w:p w14:paraId="2F276ACB">
      <w:pPr>
        <w:ind w:firstLine="0"/>
        <w:jc w:val="both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AFF20C3">
      <w:pPr>
        <w:ind w:firstLine="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病媒生物监测及防制服务质量考评季度汇总表</w:t>
      </w:r>
    </w:p>
    <w:p w14:paraId="16AF840A">
      <w:pPr>
        <w:ind w:firstLine="1120" w:firstLineChars="4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考评部门：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航站区管理部                                考核周期：    年  月-    年  月</w:t>
      </w:r>
    </w:p>
    <w:tbl>
      <w:tblPr>
        <w:tblStyle w:val="3"/>
        <w:tblpPr w:leftFromText="180" w:rightFromText="180" w:vertAnchor="text" w:tblpXSpec="center" w:tblpY="1"/>
        <w:tblOverlap w:val="never"/>
        <w:tblW w:w="44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913"/>
        <w:gridCol w:w="4437"/>
      </w:tblGrid>
      <w:tr w14:paraId="5280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pct"/>
            <w:shd w:val="clear" w:color="auto" w:fill="auto"/>
            <w:noWrap w:val="0"/>
            <w:vAlign w:val="center"/>
          </w:tcPr>
          <w:p w14:paraId="33D45D4F"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考评月份</w:t>
            </w:r>
          </w:p>
        </w:tc>
        <w:tc>
          <w:tcPr>
            <w:tcW w:w="1561" w:type="pct"/>
            <w:shd w:val="clear" w:color="auto" w:fill="auto"/>
            <w:noWrap w:val="0"/>
            <w:vAlign w:val="center"/>
          </w:tcPr>
          <w:p w14:paraId="031F30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扣减</w:t>
            </w:r>
          </w:p>
        </w:tc>
        <w:tc>
          <w:tcPr>
            <w:tcW w:w="1768" w:type="pct"/>
            <w:shd w:val="clear" w:color="auto" w:fill="auto"/>
            <w:noWrap w:val="0"/>
            <w:vAlign w:val="center"/>
          </w:tcPr>
          <w:p w14:paraId="63E91FD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当月得分</w:t>
            </w:r>
          </w:p>
        </w:tc>
      </w:tr>
      <w:tr w14:paraId="0CDA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pct"/>
            <w:shd w:val="clear" w:color="auto" w:fill="auto"/>
            <w:noWrap w:val="0"/>
            <w:vAlign w:val="top"/>
          </w:tcPr>
          <w:p w14:paraId="722250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pct"/>
            <w:shd w:val="clear" w:color="auto" w:fill="auto"/>
            <w:noWrap w:val="0"/>
            <w:vAlign w:val="center"/>
          </w:tcPr>
          <w:p w14:paraId="1A9E5B8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68" w:type="pct"/>
            <w:shd w:val="clear" w:color="auto" w:fill="auto"/>
            <w:noWrap w:val="0"/>
            <w:vAlign w:val="center"/>
          </w:tcPr>
          <w:p w14:paraId="2201EF8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6BA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pct"/>
            <w:shd w:val="clear" w:color="auto" w:fill="auto"/>
            <w:noWrap w:val="0"/>
            <w:vAlign w:val="top"/>
          </w:tcPr>
          <w:p w14:paraId="1D4552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pct"/>
            <w:shd w:val="clear" w:color="auto" w:fill="auto"/>
            <w:noWrap w:val="0"/>
            <w:vAlign w:val="center"/>
          </w:tcPr>
          <w:p w14:paraId="431C4F5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68" w:type="pct"/>
            <w:shd w:val="clear" w:color="auto" w:fill="auto"/>
            <w:noWrap w:val="0"/>
            <w:vAlign w:val="center"/>
          </w:tcPr>
          <w:p w14:paraId="1C64928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454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pct"/>
            <w:shd w:val="clear" w:color="auto" w:fill="auto"/>
            <w:noWrap w:val="0"/>
            <w:vAlign w:val="top"/>
          </w:tcPr>
          <w:p w14:paraId="49707F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pct"/>
            <w:shd w:val="clear" w:color="auto" w:fill="auto"/>
            <w:noWrap w:val="0"/>
            <w:vAlign w:val="center"/>
          </w:tcPr>
          <w:p w14:paraId="17562A4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68" w:type="pct"/>
            <w:shd w:val="clear" w:color="auto" w:fill="auto"/>
            <w:noWrap w:val="0"/>
            <w:vAlign w:val="center"/>
          </w:tcPr>
          <w:p w14:paraId="30D15FA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C99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69" w:type="pct"/>
            <w:shd w:val="clear" w:color="auto" w:fill="auto"/>
            <w:noWrap w:val="0"/>
            <w:vAlign w:val="top"/>
          </w:tcPr>
          <w:p w14:paraId="156AB96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当季考核扣款</w:t>
            </w:r>
          </w:p>
        </w:tc>
        <w:tc>
          <w:tcPr>
            <w:tcW w:w="3330" w:type="pct"/>
            <w:gridSpan w:val="2"/>
            <w:shd w:val="clear" w:color="auto" w:fill="auto"/>
            <w:noWrap w:val="0"/>
            <w:vAlign w:val="center"/>
          </w:tcPr>
          <w:p w14:paraId="3BFC67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AA4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pct"/>
            <w:shd w:val="clear" w:color="auto" w:fill="auto"/>
            <w:noWrap w:val="0"/>
            <w:vAlign w:val="center"/>
          </w:tcPr>
          <w:p w14:paraId="26134055"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当季服务费</w:t>
            </w:r>
          </w:p>
        </w:tc>
        <w:tc>
          <w:tcPr>
            <w:tcW w:w="3330" w:type="pct"/>
            <w:gridSpan w:val="2"/>
            <w:shd w:val="clear" w:color="auto" w:fill="auto"/>
            <w:noWrap w:val="0"/>
            <w:vAlign w:val="center"/>
          </w:tcPr>
          <w:p w14:paraId="4770BC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600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pct"/>
            <w:shd w:val="clear" w:color="auto" w:fill="auto"/>
            <w:noWrap w:val="0"/>
            <w:vAlign w:val="center"/>
          </w:tcPr>
          <w:p w14:paraId="3254B99A">
            <w:pPr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应付合计</w:t>
            </w:r>
          </w:p>
        </w:tc>
        <w:tc>
          <w:tcPr>
            <w:tcW w:w="3330" w:type="pct"/>
            <w:gridSpan w:val="2"/>
            <w:shd w:val="clear" w:color="auto" w:fill="auto"/>
            <w:noWrap w:val="0"/>
            <w:vAlign w:val="center"/>
          </w:tcPr>
          <w:p w14:paraId="1C7CD2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CB0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 w14:paraId="5A6A09F7">
            <w:pPr>
              <w:ind w:firstLine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考核人签字：</w:t>
            </w:r>
          </w:p>
        </w:tc>
      </w:tr>
    </w:tbl>
    <w:p w14:paraId="6B700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TY4NDkxMGJkZmVhMTZhODM4ZWFjZTRjOTZiN2MifQ=="/>
    <w:docVar w:name="KSO_WPS_MARK_KEY" w:val="f65353a8-0ebe-4724-ada1-ff553f55998f"/>
  </w:docVars>
  <w:rsids>
    <w:rsidRoot w:val="00000000"/>
    <w:rsid w:val="004C26AA"/>
    <w:rsid w:val="024C2B81"/>
    <w:rsid w:val="0270686F"/>
    <w:rsid w:val="06BC2051"/>
    <w:rsid w:val="0A083831"/>
    <w:rsid w:val="0BC71F3A"/>
    <w:rsid w:val="0E053C31"/>
    <w:rsid w:val="0EB62DCE"/>
    <w:rsid w:val="0ECF491D"/>
    <w:rsid w:val="11761C2B"/>
    <w:rsid w:val="13AC16D1"/>
    <w:rsid w:val="16270928"/>
    <w:rsid w:val="16C637AA"/>
    <w:rsid w:val="17070FB0"/>
    <w:rsid w:val="174922CD"/>
    <w:rsid w:val="179D4DD9"/>
    <w:rsid w:val="17E86A50"/>
    <w:rsid w:val="18FC4307"/>
    <w:rsid w:val="19E83D70"/>
    <w:rsid w:val="1F92431D"/>
    <w:rsid w:val="20661056"/>
    <w:rsid w:val="21262AC3"/>
    <w:rsid w:val="23455D6C"/>
    <w:rsid w:val="25706D0C"/>
    <w:rsid w:val="258E17A6"/>
    <w:rsid w:val="29037B8D"/>
    <w:rsid w:val="290E1F2D"/>
    <w:rsid w:val="2B7E4C2D"/>
    <w:rsid w:val="2E905A1F"/>
    <w:rsid w:val="2EF2002C"/>
    <w:rsid w:val="2F634EE2"/>
    <w:rsid w:val="310426F5"/>
    <w:rsid w:val="320166CE"/>
    <w:rsid w:val="335F1E64"/>
    <w:rsid w:val="33B77435"/>
    <w:rsid w:val="348C4EDB"/>
    <w:rsid w:val="34FD05EC"/>
    <w:rsid w:val="355569F3"/>
    <w:rsid w:val="35FD5766"/>
    <w:rsid w:val="36077638"/>
    <w:rsid w:val="38D51D53"/>
    <w:rsid w:val="39BB513C"/>
    <w:rsid w:val="3B486E2C"/>
    <w:rsid w:val="3D162906"/>
    <w:rsid w:val="3D2B5C54"/>
    <w:rsid w:val="3EAF4ABF"/>
    <w:rsid w:val="3F7C1235"/>
    <w:rsid w:val="41143F06"/>
    <w:rsid w:val="42D261AF"/>
    <w:rsid w:val="43D63A7D"/>
    <w:rsid w:val="445F6141"/>
    <w:rsid w:val="459B01DE"/>
    <w:rsid w:val="45A71B75"/>
    <w:rsid w:val="4A0C39A3"/>
    <w:rsid w:val="4A897A9B"/>
    <w:rsid w:val="4D150E31"/>
    <w:rsid w:val="4D6D5452"/>
    <w:rsid w:val="4F1F39A8"/>
    <w:rsid w:val="504D5601"/>
    <w:rsid w:val="52D34B8A"/>
    <w:rsid w:val="54942FDF"/>
    <w:rsid w:val="55B813D4"/>
    <w:rsid w:val="58B7284D"/>
    <w:rsid w:val="5A51700F"/>
    <w:rsid w:val="5BD54554"/>
    <w:rsid w:val="5F0B4E95"/>
    <w:rsid w:val="60616842"/>
    <w:rsid w:val="62300194"/>
    <w:rsid w:val="62FA36FD"/>
    <w:rsid w:val="666123B8"/>
    <w:rsid w:val="67D02713"/>
    <w:rsid w:val="682D5BE7"/>
    <w:rsid w:val="683A60A0"/>
    <w:rsid w:val="6A4F3522"/>
    <w:rsid w:val="6AE44358"/>
    <w:rsid w:val="6C49387A"/>
    <w:rsid w:val="6EAB1CD8"/>
    <w:rsid w:val="704679F6"/>
    <w:rsid w:val="71A65D09"/>
    <w:rsid w:val="71CC4694"/>
    <w:rsid w:val="71FC02A3"/>
    <w:rsid w:val="720845C5"/>
    <w:rsid w:val="73025D8D"/>
    <w:rsid w:val="732E0930"/>
    <w:rsid w:val="74AA5C00"/>
    <w:rsid w:val="783645CA"/>
    <w:rsid w:val="78BC5D4C"/>
    <w:rsid w:val="78BD2E0F"/>
    <w:rsid w:val="7AFD6581"/>
    <w:rsid w:val="7ECF7C11"/>
    <w:rsid w:val="7F77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2252</Words>
  <Characters>2350</Characters>
  <Lines>0</Lines>
  <Paragraphs>0</Paragraphs>
  <TotalTime>0</TotalTime>
  <ScaleCrop>false</ScaleCrop>
  <LinksUpToDate>false</LinksUpToDate>
  <CharactersWithSpaces>2512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2024-03-28T01:27:00Z</dcterms:created>
  <dc:creator>jzzhf</dc:creator>
  <cp:lastModifiedBy>张海烽</cp:lastModifiedBy>
  <dcterms:modified xsi:type="dcterms:W3CDTF">2024-09-26T01:23:29Z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4B8DCEBB167B4255B1FA81C1BEC63E51_12</vt:lpwstr>
  </property>
</Properties>
</file>