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440103-2024-06003</w:t>
      </w:r>
    </w:p>
    <w:p>
      <w:pPr>
        <w:pStyle w:val="null3"/>
        <w:jc w:val="center"/>
        <w:outlineLvl w:val="3"/>
      </w:pPr>
      <w:r>
        <w:rPr>
          <w:sz w:val="24"/>
          <w:b/>
        </w:rPr>
        <w:t>采购项目编号：</w:t>
      </w:r>
      <w:r>
        <w:rPr>
          <w:sz w:val="24"/>
          <w:b/>
        </w:rPr>
        <w:t>ZB-15-04F-2024-D-E23663</w:t>
      </w:r>
    </w:p>
    <w:p>
      <w:pPr>
        <w:pStyle w:val="null3"/>
        <w:jc w:val="center"/>
        <w:outlineLvl w:val="3"/>
      </w:pPr>
      <w:r>
        <w:rPr>
          <w:sz w:val="24"/>
          <w:b/>
        </w:rPr>
        <w:t>项目名称：</w:t>
      </w:r>
      <w:r>
        <w:rPr>
          <w:sz w:val="24"/>
          <w:b/>
        </w:rPr>
        <w:t>荔湾区病媒生物防制社会化服务项目</w:t>
      </w:r>
    </w:p>
    <w:p>
      <w:pPr>
        <w:pStyle w:val="null3"/>
        <w:jc w:val="center"/>
        <w:outlineLvl w:val="3"/>
      </w:pPr>
      <w:r>
        <w:rPr>
          <w:sz w:val="24"/>
          <w:b/>
        </w:rPr>
        <w:t>采购人：</w:t>
      </w:r>
      <w:r>
        <w:rPr>
          <w:sz w:val="24"/>
          <w:b/>
        </w:rPr>
        <w:t>广州市荔湾区卫生健康局</w:t>
      </w:r>
    </w:p>
    <w:p>
      <w:pPr>
        <w:pStyle w:val="null3"/>
        <w:jc w:val="center"/>
        <w:outlineLvl w:val="3"/>
      </w:pPr>
      <w:r>
        <w:rPr>
          <w:sz w:val="24"/>
          <w:b/>
        </w:rPr>
        <w:t>采购代理机构：</w:t>
      </w:r>
      <w:r>
        <w:rPr>
          <w:sz w:val="24"/>
          <w:b/>
        </w:rPr>
        <w:t>公诚管理咨询有限公司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公诚管理咨询有限公司</w:t>
      </w:r>
      <w:r>
        <w:rPr/>
        <w:t>受</w:t>
      </w:r>
      <w:r>
        <w:rPr/>
        <w:t>广州市荔湾区卫生健康局</w:t>
      </w:r>
      <w:r>
        <w:rPr/>
        <w:t>的委托，采用</w:t>
      </w:r>
      <w:r>
        <w:rPr/>
        <w:t>竞争性磋商</w:t>
      </w:r>
      <w:r>
        <w:rPr/>
        <w:t>方式组织采购</w:t>
      </w:r>
      <w:r>
        <w:rPr/>
        <w:t>荔湾区病媒生物防制社会化服务项目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荔湾区病媒生物防制社会化服务项目</w:t>
      </w:r>
    </w:p>
    <w:p>
      <w:pPr>
        <w:pStyle w:val="null3"/>
        <w:ind w:firstLine="480"/>
      </w:pPr>
      <w:r>
        <w:rPr/>
        <w:t>采购计划编号：</w:t>
      </w:r>
      <w:r>
        <w:rPr/>
        <w:t>440103-2024-06003</w:t>
      </w:r>
    </w:p>
    <w:p>
      <w:pPr>
        <w:pStyle w:val="null3"/>
        <w:ind w:firstLine="480"/>
      </w:pPr>
      <w:r>
        <w:rPr/>
        <w:t>采购项目编号：</w:t>
      </w:r>
      <w:r>
        <w:rPr/>
        <w:t>ZB-15-04F-2024-D-E23663</w:t>
      </w:r>
    </w:p>
    <w:p>
      <w:pPr>
        <w:pStyle w:val="null3"/>
        <w:ind w:firstLine="480"/>
      </w:pPr>
      <w:r>
        <w:rPr/>
        <w:t>采购方式：</w:t>
      </w:r>
      <w:r>
        <w:rPr/>
        <w:t>竞争性磋商</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采购包1(荔湾区病媒生物防制社会化服务项目):</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荔湾区病媒生物防制社会化服务项目</w:t>
            </w:r>
          </w:p>
        </w:tc>
        <w:tc>
          <w:tcPr>
            <w:tcW w:type="dxa" w:w="977"/>
          </w:tcPr>
          <w:p>
            <w:pPr>
              <w:pStyle w:val="null3"/>
            </w:pPr>
            <w:r>
              <w:rPr/>
              <w:t>64(次)</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合同履行期限：详见磋商文件第二章“标的提供的时间”。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2）有依法缴纳税收和社会保障资金的良好记录：（提供《供应商资格声明函》）</w:t>
      </w:r>
    </w:p>
    <w:p>
      <w:pPr>
        <w:pStyle w:val="null3"/>
      </w:pPr>
      <w:r>
        <w:rPr/>
        <w:t>3）具有良好的商业信誉和健全的财务会计制度：（提供《供应商资格声明函》）</w:t>
      </w:r>
    </w:p>
    <w:p>
      <w:pPr>
        <w:pStyle w:val="null3"/>
      </w:pPr>
      <w:r>
        <w:rPr/>
        <w:t>4）履行合同所必需的设备和专业技术能力：（提供《供应商资格声明函》）</w:t>
      </w:r>
    </w:p>
    <w:p>
      <w:pPr>
        <w:pStyle w:val="null3"/>
      </w:pPr>
      <w:r>
        <w:rPr/>
        <w:t>5）参加采购活动前3年内，在经营活动中没有重大违法记录：须提供《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采购包1（荔湾区病媒生物防制社会化服务项目）：</w:t>
      </w:r>
      <w:r>
        <w:rPr/>
        <w:t>采购包整体专门面向中小企业，中小企业划分标准所属行业为：其他未列明行业。本项目属于专门面向中小企业采购的项目，供应商应为中小微企业、监狱企业、残疾人福利性单位。提供符合要求的《中小企业声明函（服务）》或《残疾人福利性单位声明函》或《监狱企业的证明文件》。</w:t>
      </w:r>
    </w:p>
    <w:p>
      <w:pPr>
        <w:pStyle w:val="null3"/>
        <w:outlineLvl w:val="3"/>
      </w:pPr>
      <w:r>
        <w:rPr>
          <w:sz w:val="24"/>
          <w:b/>
        </w:rPr>
        <w:t>3.本项目特定的资格要求：</w:t>
      </w:r>
    </w:p>
    <w:p>
      <w:pPr>
        <w:pStyle w:val="null3"/>
      </w:pPr>
      <w:r>
        <w:rPr/>
        <w:t>采购包1（荔湾区病媒生物防制社会化服务项目）：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同一合同项下的其他采购活动。（提供《供应商资格声明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诚E招电子采购交易平台（https://www.chengezhao.com）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广州市荔湾区卫生健康局</w:t>
      </w:r>
    </w:p>
    <w:p>
      <w:pPr>
        <w:pStyle w:val="null3"/>
        <w:ind w:firstLine="480"/>
      </w:pPr>
      <w:r>
        <w:rPr/>
        <w:t>地址：</w:t>
      </w:r>
      <w:r>
        <w:rPr/>
        <w:t>广州市荔湾区芳村大道塞坝路3号侧座</w:t>
      </w:r>
    </w:p>
    <w:p>
      <w:pPr>
        <w:pStyle w:val="null3"/>
        <w:ind w:firstLine="480"/>
      </w:pPr>
      <w:r>
        <w:rPr/>
        <w:t>联系方式：</w:t>
      </w:r>
      <w:r>
        <w:rPr/>
        <w:t>020-81894445</w:t>
      </w:r>
    </w:p>
    <w:p>
      <w:pPr>
        <w:pStyle w:val="null3"/>
        <w:outlineLvl w:val="3"/>
      </w:pPr>
      <w:r>
        <w:rPr>
          <w:sz w:val="24"/>
          <w:b/>
        </w:rPr>
        <w:t>2.采购代理机构信息</w:t>
      </w:r>
    </w:p>
    <w:p>
      <w:pPr>
        <w:pStyle w:val="null3"/>
        <w:ind w:firstLine="480"/>
      </w:pPr>
      <w:r>
        <w:rPr/>
        <w:t>名称：</w:t>
      </w:r>
      <w:r>
        <w:rPr/>
        <w:t>公诚管理咨询有限公司</w:t>
      </w:r>
    </w:p>
    <w:p>
      <w:pPr>
        <w:pStyle w:val="null3"/>
        <w:ind w:firstLine="480"/>
      </w:pPr>
      <w:r>
        <w:rPr/>
        <w:t xml:space="preserve"> 地址：</w:t>
      </w:r>
      <w:r>
        <w:rPr/>
        <w:t>广州市天河区天河北路423号远晖商厦8楼820室</w:t>
      </w:r>
    </w:p>
    <w:p>
      <w:pPr>
        <w:pStyle w:val="null3"/>
        <w:ind w:firstLine="480"/>
      </w:pPr>
      <w:r>
        <w:rPr/>
        <w:t xml:space="preserve"> 联系方式：</w:t>
      </w:r>
      <w:r>
        <w:rPr/>
        <w:t>刘宏慧13929586770、吴松浩16620576633</w:t>
      </w:r>
    </w:p>
    <w:p>
      <w:pPr>
        <w:pStyle w:val="null3"/>
        <w:outlineLvl w:val="3"/>
      </w:pPr>
      <w:r>
        <w:rPr>
          <w:sz w:val="24"/>
          <w:b/>
        </w:rPr>
        <w:t xml:space="preserve"> 3.项目联系方式</w:t>
      </w:r>
    </w:p>
    <w:p>
      <w:pPr>
        <w:pStyle w:val="null3"/>
        <w:ind w:firstLine="480"/>
      </w:pPr>
      <w:r>
        <w:rPr/>
        <w:t xml:space="preserve"> 项目联系人：</w:t>
      </w:r>
      <w:r>
        <w:rPr/>
        <w:t>宋晋刚、池锦俊、巫克纯、吴松浩、刘宏慧</w:t>
      </w:r>
    </w:p>
    <w:p>
      <w:pPr>
        <w:pStyle w:val="null3"/>
        <w:ind w:firstLine="480"/>
      </w:pPr>
      <w:r>
        <w:rPr/>
        <w:t xml:space="preserve"> 电话：</w:t>
      </w:r>
      <w:r>
        <w:rPr/>
        <w:t>刘宏慧13929586770、吴松浩16620576633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根据《广州市登革热防控工作方案》（穗府办函[2015]42号）和《广州市政府常务会议》（穗府14届161次[2015]14号）“建立一支灭蚊应急控制专业队伍，配齐设施设备，作为指导和参与以灭蚊为重点的爱国卫生运动主要力量”指示精神。</w:t>
      </w:r>
    </w:p>
    <w:p>
      <w:pPr>
        <w:pStyle w:val="null3"/>
        <w:ind w:firstLine="480"/>
      </w:pPr>
      <w:r>
        <w:rPr>
          <w:sz w:val="24"/>
        </w:rPr>
        <w:t>为进一步加强登革热疫情防控工作，遏制登革热疫情，保障人民群众身体健康，现需紧急采购一家具备资质、软硬件实力较强的单位作为荔湾区登革热应急消杀储备队伍，负责荔湾区登革热疫点消杀及孳生地清理。</w:t>
      </w:r>
    </w:p>
    <w:p>
      <w:pPr>
        <w:pStyle w:val="null3"/>
        <w:ind w:firstLine="480"/>
      </w:pPr>
      <w:r>
        <w:rPr>
          <w:sz w:val="24"/>
        </w:rPr>
        <w:t>2.</w:t>
      </w:r>
      <w:r>
        <w:rPr>
          <w:sz w:val="24"/>
        </w:rPr>
        <w:t>项目名称：荔湾区病媒生物防制社会化服务项目</w:t>
      </w:r>
    </w:p>
    <w:p>
      <w:pPr>
        <w:pStyle w:val="null3"/>
        <w:ind w:firstLine="480"/>
      </w:pPr>
      <w:r>
        <w:rPr>
          <w:sz w:val="24"/>
        </w:rPr>
        <w:t>3.</w:t>
      </w:r>
      <w:r>
        <w:rPr>
          <w:sz w:val="24"/>
        </w:rPr>
        <w:t>采购预算：人民币1,200,000.00元</w:t>
      </w:r>
    </w:p>
    <w:p>
      <w:pPr>
        <w:pStyle w:val="null3"/>
        <w:ind w:firstLine="480"/>
      </w:pPr>
      <w:r>
        <w:rPr>
          <w:sz w:val="24"/>
        </w:rPr>
        <w:t>4.</w:t>
      </w:r>
      <w:r>
        <w:rPr>
          <w:sz w:val="24"/>
        </w:rPr>
        <w:t>采购项目类别：服务类</w:t>
      </w:r>
    </w:p>
    <w:p>
      <w:pPr>
        <w:pStyle w:val="null3"/>
        <w:ind w:firstLine="480"/>
        <w:jc w:val="both"/>
      </w:pPr>
      <w:r>
        <w:rPr>
          <w:sz w:val="22"/>
        </w:rPr>
        <w:t>二、</w:t>
      </w:r>
      <w:r>
        <w:rPr>
          <w:sz w:val="24"/>
        </w:rPr>
        <w:t>总体要求</w:t>
      </w:r>
    </w:p>
    <w:p>
      <w:pPr>
        <w:pStyle w:val="null3"/>
        <w:ind w:firstLine="480"/>
        <w:jc w:val="both"/>
      </w:pPr>
      <w:r>
        <w:rPr>
          <w:sz w:val="24"/>
        </w:rPr>
        <w:t>1.</w:t>
      </w:r>
      <w:r>
        <w:rPr>
          <w:sz w:val="24"/>
        </w:rPr>
        <w:t>响应供应商必须对所有采购内容或服务进行整体响应，任何只对部分内容进行响应都被视为无效投标。</w:t>
      </w:r>
    </w:p>
    <w:p>
      <w:pPr>
        <w:pStyle w:val="null3"/>
        <w:ind w:firstLine="480"/>
        <w:jc w:val="both"/>
      </w:pPr>
      <w:r>
        <w:rPr>
          <w:sz w:val="24"/>
        </w:rPr>
        <w:t>2.</w:t>
      </w:r>
      <w:r>
        <w:rPr>
          <w:sz w:val="24"/>
        </w:rPr>
        <w:t>用户需求书中加注“★”的条款均被视为不可偏离条款，响应供应商要特别加以注意，必须对此响应并完全满足或优于这些条款，否则若有一项加注“★”的条款未响应或不满足，投标将被否决。</w:t>
      </w:r>
    </w:p>
    <w:p>
      <w:pPr>
        <w:pStyle w:val="null3"/>
        <w:ind w:firstLine="480"/>
        <w:jc w:val="both"/>
      </w:pPr>
      <w:r>
        <w:rPr>
          <w:sz w:val="24"/>
        </w:rPr>
        <w:t>3.</w:t>
      </w:r>
      <w:r>
        <w:rPr>
          <w:sz w:val="24"/>
        </w:rPr>
        <w:t>用户需求书中加注“▲”的条款为重要条款，如不满足将会导致评审时严重扣分。</w:t>
      </w:r>
    </w:p>
    <w:p>
      <w:pPr>
        <w:pStyle w:val="null3"/>
      </w:pPr>
      <w:r>
        <w:rPr/>
        <w:t>采购包1（荔湾区病媒生物防制社会化服务项目）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服务期限为自合同签订生效日起一年。若服务金额达到预算金额合同自动终止。</w:t>
            </w:r>
          </w:p>
        </w:tc>
      </w:tr>
      <w:tr>
        <w:tc>
          <w:tcPr>
            <w:tcW w:type="dxa" w:w="4153"/>
          </w:tcPr>
          <w:p>
            <w:pPr>
              <w:pStyle w:val="null3"/>
            </w:pPr>
            <w:r>
              <w:rPr/>
              <w:t>标的提供的地点</w:t>
            </w:r>
          </w:p>
        </w:tc>
        <w:tc>
          <w:tcPr>
            <w:tcW w:type="dxa" w:w="4153"/>
          </w:tcPr>
          <w:p>
            <w:pPr>
              <w:pStyle w:val="null3"/>
            </w:pPr>
            <w:r>
              <w:rPr/>
              <w:t>采购人指定地点（广州市荔湾区辖区内）</w:t>
            </w:r>
          </w:p>
        </w:tc>
      </w:tr>
      <w:tr>
        <w:tc>
          <w:tcPr>
            <w:tcW w:type="dxa" w:w="4153"/>
          </w:tcPr>
          <w:p>
            <w:pPr>
              <w:pStyle w:val="null3"/>
            </w:pPr>
            <w:r>
              <w:rPr/>
              <w:t>付款方式</w:t>
            </w:r>
          </w:p>
        </w:tc>
        <w:tc>
          <w:tcPr>
            <w:tcW w:type="dxa" w:w="4153"/>
          </w:tcPr>
          <w:p>
            <w:pPr>
              <w:pStyle w:val="null3"/>
            </w:pPr>
            <w:r>
              <w:rPr/>
              <w:t>1期：支付比例100%,服务费一般每季度结算一次，亦可根据采购人要求每月结算一次。成交人在每个季度首月的15号前向采购人提交上一季度《蚊媒控制工作量记录表》和有效发票申请结算，经采购人确认后，在次月5号结付上一季度的服务费（具体到账时间以财政拨付时间为准）。如每月结算一次，每个月的15号前向采购人提交上一月《蚊媒控制工作量记录表》和有效发票申请结算，经采购人确认后，5个工作日内结付上一月的服务费（具体到账时间以财政拨付时间为准）。 备注【以上涉及支付的期限，因采购人使用的是财政资金，采购人在以上约定的付款时间为向政府采购支付部门提出办理财政支付申请手续的时间（不含政府财政支付部门审核的时间），在规定时间内提出支付申请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1期：成交人工作完成后，由所属街道填写《蚊媒控制工作量记录表》、《蚊媒控制工作评价表》确认工作效果。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 ，1、供应商对本项目需有清晰理解与分析。在项目背景方面，应充分考虑当前项目实施的重要意义。对于项目服务内容，要精准剖析存在的主要问题，如过往出现的服务质量不稳定（包括成果差异、响应迟缓等）、资源调配不合理（资源短缺或闲置）以及沟通协调不畅（信息传递问题）等情况，并结合以往经验给出切实可行、操作性强的应对措施，以保障项目顺利推进并达成预期效果。 2、供应商提供完善的项目服务方案，其中应包括针对项目服务内容的科学工作方法；清晰合理的技术路线，能够有效针对服务区内疫情相关蚊媒生物特性开展工作；规范的服务流程，确保各个环节紧密衔接、高效运行；详细的项目进度计划，以保障服务按时有序推进。同时，供应商需根据服务区中疫情相关蚊媒生物种类的生物学特征进行现场控制，例如充分考虑其繁殖周期、栖息环境等因素，运用专业知识和技术手段，制定切实可行的现场控制措施，有效降低蚊媒生物传播风险，保障服务区的公共卫生安全。 3、供应商提供详细的技术方案，需包含对服务区内各种类型环境，如老城区的 [如建筑老旧、人口密集、基础设施相对薄弱等方面]、城中村的 [如房屋布局杂乱、卫生条件参差不齐等]、城乡结合部的 [如流动人口多、管理难度大、环境复杂多样等] 等外环境特征进行全面深入分析。并基于此分析，提出针对本项目的系统控制方法，该方法应具有针对性、科学性和可操作性，能够切实有效地应对不同环境下的各类问题，实现对服务区的全面、精准、高效管控，以提升整体服务质量和效果。 4、供应商提供完备的应急管理方案，该方案应涵盖人力与物力的处置能力方面，具体明确在面对各类紧急情况时可调配的专业人员数量、资质及专业技能情况，以及相应的物资储备种类、数量和调配效率等。同时需包含详细的疫情应急处置预案，预案要针对疫情不同发展阶段和可能出现的场景制定全面、细致且具有可操作性的应对策略，包括但不限于疫情监测、防控措施实施、人员隔离安排等内容。此外，还应具备高效的疫情应急响应机制，明确从疫情信息接收到启动应急处置的时间节点、各环节的响应流程以及相关责任人的职责，确保在疫情发生时能够迅速、有效地做出反应，最大程度降低疫情对项目实施和服务区域的影响，保障公共卫生安全和项目的顺利运行。 5、供应商详细阐述药物供应使用情况及安全保证措施。具体包括明确可靠的药物供应渠道，需说明供应商的资质、合作稳定性以及药物来源的可靠性；规范的药物使用及保管规范，涵盖药物的正确使用方法、剂量控制、使用人员培训要求以及安全妥善的保管条件、存储设施和管理制度等；准确说明配备的药物情况，如药物种类、功效、适用范围、针对的病媒生物类型等；同时提供全面的安全保证措施，包括药物对人体健康和环境的风险评估及应对策略、质量监控机制、安全防护设备的配备等，以确保药物的有效供应、合理使用和安全性，保障病媒生物控制应急消杀服务的顺利开展及服务区域的公共卫生安全。 6、供应商针对服务区域提供全面且深入的其他建议。需对服务区域内的人流量（如高峰低谷时段分布、流动规律等）、居民生活习惯（如日常作息、垃圾处理方式、户外活动偏好等）、建筑物（如建筑类型、布局、老旧程度等）、植被（如种类、分布、养护情况等）、公共设施（如种类、数量、位置及使用频率等）等特征进行详细分析。在此基础上，结合专业知识和以往经验，提出有利于控制本区域疫情的建议方案。该方案应涵盖防控措施的优化、资源的合理配置、居民宣传教育的有效方式等方面，以切实提升区域疫情防控的科学性、针对性和有效性，保障服务区域内居民的健康和安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荔湾区病媒生物防制社会化服务项目</w:t>
            </w:r>
          </w:p>
        </w:tc>
        <w:tc>
          <w:tcPr>
            <w:tcW w:type="dxa" w:w="933"/>
          </w:tcPr>
          <w:p>
            <w:pPr>
              <w:pStyle w:val="null3"/>
              <w:jc w:val="left"/>
            </w:pPr>
            <w:r>
              <w:rPr/>
              <w:t>次</w:t>
            </w:r>
          </w:p>
        </w:tc>
        <w:tc>
          <w:tcPr>
            <w:tcW w:type="dxa" w:w="933"/>
          </w:tcPr>
          <w:p>
            <w:pPr>
              <w:pStyle w:val="null3"/>
              <w:jc w:val="right"/>
            </w:pPr>
            <w:r>
              <w:rPr/>
              <w:t>64.00</w:t>
            </w:r>
          </w:p>
        </w:tc>
        <w:tc>
          <w:tcPr>
            <w:tcW w:type="dxa" w:w="933"/>
          </w:tcPr>
          <w:p>
            <w:pPr>
              <w:pStyle w:val="null3"/>
              <w:jc w:val="right"/>
            </w:pPr>
            <w:r>
              <w:rPr/>
              <w:t>18,750.00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荔湾区病媒生物防制社会化服务项目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一、项目内容及要求</w:t>
            </w:r>
          </w:p>
          <w:p>
            <w:pPr>
              <w:pStyle w:val="null3"/>
              <w:jc w:val="both"/>
            </w:pPr>
            <w:r>
              <w:rPr>
                <w:sz w:val="24"/>
                <w:b/>
              </w:rPr>
              <w:t>（一）工作职责</w:t>
            </w:r>
          </w:p>
          <w:p>
            <w:pPr>
              <w:pStyle w:val="null3"/>
              <w:ind w:firstLine="480"/>
            </w:pPr>
            <w:r>
              <w:rPr>
                <w:sz w:val="24"/>
              </w:rPr>
              <w:t>1</w:t>
            </w:r>
            <w:r>
              <w:rPr>
                <w:sz w:val="24"/>
              </w:rPr>
              <w:t>、按广州市荔湾区登革热疫情处置方案要求，迅速开展灭蚊作业，以求迅速将蚊媒密度控制在安全范围内（按《广州有害生物防制服务行业管理办法》的有关要求，确保在承包期内将服务区域的蚊媒密度控制在安全范围内）。</w:t>
            </w:r>
          </w:p>
          <w:p>
            <w:pPr>
              <w:pStyle w:val="null3"/>
              <w:ind w:firstLine="480"/>
            </w:pPr>
            <w:r>
              <w:rPr>
                <w:sz w:val="24"/>
              </w:rPr>
              <w:t>2</w:t>
            </w:r>
            <w:r>
              <w:rPr>
                <w:sz w:val="24"/>
              </w:rPr>
              <w:t>、负责荔湾区辖区范围内登革热疫点核心区的蚊媒应急处置，按采购人要求对街道蚊媒密度监测指数高和重点难点区域组织支援队伍开展清理孳生地和消杀工作。</w:t>
            </w:r>
          </w:p>
          <w:p>
            <w:pPr>
              <w:pStyle w:val="null3"/>
              <w:ind w:firstLine="480"/>
            </w:pPr>
            <w:r>
              <w:rPr>
                <w:sz w:val="24"/>
              </w:rPr>
              <w:t>3</w:t>
            </w:r>
            <w:r>
              <w:rPr>
                <w:sz w:val="24"/>
              </w:rPr>
              <w:t>、负责疫点周边公共外环境病媒生物孳生地的调查与清理、处置前的现场勘察，无法处理的作登记并及时向采购人书面报告。</w:t>
            </w:r>
          </w:p>
          <w:p>
            <w:pPr>
              <w:pStyle w:val="null3"/>
              <w:ind w:firstLine="480"/>
            </w:pPr>
            <w:r>
              <w:rPr>
                <w:sz w:val="24"/>
              </w:rPr>
              <w:t>4</w:t>
            </w:r>
            <w:r>
              <w:rPr>
                <w:sz w:val="24"/>
              </w:rPr>
              <w:t>、上岗服务人员要严格遵守灭蚊消杀技术操作规程，文明作业，并填写服务记录卡作为当次服务的依据。</w:t>
            </w:r>
          </w:p>
          <w:p>
            <w:pPr>
              <w:pStyle w:val="null3"/>
              <w:ind w:firstLine="480"/>
            </w:pPr>
            <w:r>
              <w:rPr>
                <w:sz w:val="24"/>
              </w:rPr>
              <w:t>5</w:t>
            </w:r>
            <w:r>
              <w:rPr>
                <w:sz w:val="24"/>
              </w:rPr>
              <w:t>、有责任建议和指导采购人进行防蚊清积水和做好日常蚊虫防制的巩固工作。</w:t>
            </w:r>
          </w:p>
          <w:p>
            <w:pPr>
              <w:pStyle w:val="null3"/>
              <w:ind w:firstLine="480"/>
            </w:pPr>
            <w:r>
              <w:rPr>
                <w:sz w:val="24"/>
              </w:rPr>
              <w:t>6</w:t>
            </w:r>
            <w:r>
              <w:rPr>
                <w:sz w:val="24"/>
              </w:rPr>
              <w:t>、注意药物的使用安全，投（施）药时需防护的部分，应向采购人提出，并采取有效的防护措施。</w:t>
            </w:r>
          </w:p>
          <w:p>
            <w:pPr>
              <w:pStyle w:val="null3"/>
              <w:ind w:firstLine="420"/>
              <w:jc w:val="both"/>
            </w:pPr>
            <w:r>
              <w:rPr>
                <w:sz w:val="24"/>
              </w:rPr>
              <w:t>7</w:t>
            </w:r>
            <w:r>
              <w:rPr>
                <w:sz w:val="24"/>
              </w:rPr>
              <w:t>、结合当前防控登革热的形势制定出如下消杀使用的药物（见下表），严禁使用明文禁用药物。使用的药物表（此表仅为参考药物，在本项目服务期内，消杀使用的药物按采购人意见为准）。</w:t>
            </w:r>
          </w:p>
          <w:tbl>
            <w:tblPr>
              <w:tblBorders>
                <w:top w:val="none" w:color="000000" w:sz="4"/>
                <w:left w:val="none" w:color="000000" w:sz="4"/>
                <w:bottom w:val="none" w:color="000000" w:sz="4"/>
                <w:right w:val="none" w:color="000000" w:sz="4"/>
                <w:insideH w:val="none"/>
                <w:insideV w:val="none"/>
              </w:tblBorders>
            </w:tblPr>
            <w:tblGrid>
              <w:gridCol w:w="981"/>
              <w:gridCol w:w="1367"/>
              <w:gridCol w:w="783"/>
              <w:gridCol w:w="783"/>
              <w:gridCol w:w="806"/>
              <w:gridCol w:w="876"/>
            </w:tblGrid>
            <w:tr>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药物品名</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有效成份</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剂型</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防治对象</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使用区域</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使用方法</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烯丙•氯菊</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氯菊酯与烯丙菊酯混配，总含量≥</w:t>
                  </w:r>
                  <w:r>
                    <w:rPr>
                      <w:sz w:val="24"/>
                    </w:rPr>
                    <w:t>10%</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乳油剂</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室内、室外</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空间超低喷洒</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苯氰</w:t>
                  </w:r>
                  <w:r>
                    <w:rPr>
                      <w:sz w:val="24"/>
                    </w:rPr>
                    <w:t>.</w:t>
                  </w:r>
                  <w:r>
                    <w:rPr>
                      <w:sz w:val="24"/>
                    </w:rPr>
                    <w:t>残杀威</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右旋苯醚氰菊酯与残杀威混配，总含量≥</w:t>
                  </w:r>
                  <w:r>
                    <w:rPr>
                      <w:sz w:val="24"/>
                    </w:rPr>
                    <w:t>10%</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乳油剂</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室内、室外</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空间超低喷洒</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残杀威</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残杀威含量≥</w:t>
                  </w:r>
                  <w:r>
                    <w:rPr>
                      <w:sz w:val="24"/>
                    </w:rPr>
                    <w:t>10%</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乳油或微乳剂</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室内、室外</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滞留喷洒</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高效氯氰菊酯</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高效氯氰菊酯≥</w:t>
                  </w:r>
                  <w:r>
                    <w:rPr>
                      <w:sz w:val="24"/>
                    </w:rPr>
                    <w:t>5%</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悬浮剂</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室内、室外</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滞留喷洒</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杀虫热雾剂</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氯氰菊酯与残杀威混配，总含量≥</w:t>
                  </w:r>
                  <w:r>
                    <w:rPr>
                      <w:sz w:val="24"/>
                    </w:rPr>
                    <w:t>2.5%</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热雾剂</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密闭空间和下水道</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直接使用</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杀虫热雾剂</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胺</w:t>
                  </w:r>
                  <w:r>
                    <w:rPr>
                      <w:sz w:val="24"/>
                    </w:rPr>
                    <w:t>菊酯与</w:t>
                  </w:r>
                  <w:r>
                    <w:rPr>
                      <w:sz w:val="24"/>
                    </w:rPr>
                    <w:t>氯氰菊酯</w:t>
                  </w:r>
                  <w:r>
                    <w:rPr>
                      <w:sz w:val="24"/>
                    </w:rPr>
                    <w:t>混配，总含量≥</w:t>
                  </w:r>
                  <w:r>
                    <w:rPr>
                      <w:sz w:val="24"/>
                    </w:rPr>
                    <w:t>2.</w:t>
                  </w:r>
                  <w:r>
                    <w:rPr>
                      <w:sz w:val="24"/>
                    </w:rPr>
                    <w:t>0</w:t>
                  </w:r>
                  <w:r>
                    <w:rPr>
                      <w:sz w:val="24"/>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热雾剂</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密闭空间和下水道</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直接使用</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w:t>
                  </w:r>
                  <w:r>
                    <w:rPr>
                      <w:sz w:val="24"/>
                    </w:rPr>
                    <w:t>颗粒剂</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r>
                    <w:rPr>
                      <w:sz w:val="24"/>
                    </w:rPr>
                    <w:t>倍硫磷颗粒剂</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粉剂</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幼虫</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孳生地处理</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投放</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杀虫粉剂</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吡虫啉含量≥</w:t>
                  </w:r>
                  <w:r>
                    <w:rPr>
                      <w:sz w:val="24"/>
                    </w:rPr>
                    <w:t>2%</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颗粒剂</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幼虫</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孳生地处理</w:t>
                  </w: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投放</w:t>
                  </w:r>
                </w:p>
              </w:tc>
            </w:tr>
          </w:tbl>
          <w:p>
            <w:pPr>
              <w:pStyle w:val="null3"/>
              <w:ind w:firstLine="480"/>
            </w:pPr>
            <w:r>
              <w:rPr>
                <w:sz w:val="24"/>
              </w:rPr>
              <w:t>8</w:t>
            </w:r>
            <w:r>
              <w:rPr>
                <w:sz w:val="24"/>
              </w:rPr>
              <w:t>、供应商须明确药物供应渠道、使用及保管规范、配备的药物的具体情况及相关药物的安全保证措施。</w:t>
            </w:r>
          </w:p>
          <w:p>
            <w:pPr>
              <w:pStyle w:val="null3"/>
              <w:jc w:val="both"/>
            </w:pPr>
            <w:r>
              <w:rPr>
                <w:sz w:val="24"/>
                <w:b/>
              </w:rPr>
              <w:t>（二）工作管理</w:t>
            </w:r>
          </w:p>
          <w:p>
            <w:pPr>
              <w:pStyle w:val="null3"/>
              <w:ind w:firstLine="482"/>
            </w:pPr>
            <w:r>
              <w:rPr>
                <w:sz w:val="24"/>
                <w:b/>
              </w:rPr>
              <w:t>1</w:t>
            </w:r>
            <w:r>
              <w:rPr>
                <w:sz w:val="24"/>
                <w:b/>
              </w:rPr>
              <w:t>、人员管理</w:t>
            </w:r>
          </w:p>
          <w:p>
            <w:pPr>
              <w:pStyle w:val="null3"/>
              <w:ind w:firstLine="420"/>
              <w:jc w:val="both"/>
            </w:pPr>
            <w:r>
              <w:rPr>
                <w:sz w:val="24"/>
              </w:rPr>
              <w:t xml:space="preserve">1.1 </w:t>
            </w:r>
            <w:r>
              <w:rPr>
                <w:sz w:val="24"/>
              </w:rPr>
              <w:t>供应商指定一名工作人员为本项目现场负责人，该负责人须持有有害生物防制员中级或以上证书。现场负责人在行动期间要与采购人协商沟通好工作，合理分配安排队伍人员，未经采购人同意不得离开消杀工作范围。</w:t>
            </w:r>
          </w:p>
          <w:p>
            <w:pPr>
              <w:pStyle w:val="null3"/>
              <w:ind w:firstLine="420"/>
              <w:jc w:val="both"/>
            </w:pPr>
            <w:r>
              <w:rPr>
                <w:sz w:val="24"/>
              </w:rPr>
              <w:t>项目负责人主要职责：</w:t>
            </w:r>
          </w:p>
          <w:p>
            <w:pPr>
              <w:pStyle w:val="null3"/>
              <w:ind w:firstLine="420"/>
              <w:jc w:val="both"/>
            </w:pPr>
            <w:r>
              <w:rPr>
                <w:sz w:val="24"/>
              </w:rPr>
              <w:t>（1）勘察拟处理区域的环境情况（如病家位置、病家环境、病家小区环境、核心区环境等），提前制定符合环境、疫情和采购人要求的处理方案（附带有灭蚊范围和重点的灭蚊重点建议图）并依照执行，做好各环节质量控制工作；</w:t>
            </w:r>
          </w:p>
          <w:p>
            <w:pPr>
              <w:pStyle w:val="null3"/>
              <w:ind w:firstLine="420"/>
              <w:jc w:val="both"/>
            </w:pPr>
            <w:r>
              <w:rPr>
                <w:sz w:val="24"/>
              </w:rPr>
              <w:t>（2）配合采购人安排开展质控考核评估工作；</w:t>
            </w:r>
          </w:p>
          <w:p>
            <w:pPr>
              <w:pStyle w:val="null3"/>
              <w:ind w:firstLine="420"/>
              <w:jc w:val="both"/>
            </w:pPr>
            <w:r>
              <w:rPr>
                <w:sz w:val="24"/>
              </w:rPr>
              <w:t>（3）每次服务后，填写符合要求的消杀记录表，将处置过程中的人员安排、器械用药、处理面积、发现问题和建议等形成书面报告交付给所属街道及采购人督办。</w:t>
            </w:r>
          </w:p>
          <w:p>
            <w:pPr>
              <w:pStyle w:val="null3"/>
              <w:ind w:firstLine="420"/>
              <w:jc w:val="both"/>
            </w:pPr>
            <w:r>
              <w:rPr>
                <w:sz w:val="24"/>
              </w:rPr>
              <w:t>（4）供应商不得随意变更现场负责人，如必须变更，须书面向采购人提出申请，经同意后方可变更，且合同期内只能变更一次（项目负责人怀孕、生病等不可抗力原因除外）。</w:t>
            </w:r>
          </w:p>
          <w:p>
            <w:pPr>
              <w:pStyle w:val="null3"/>
              <w:ind w:firstLine="480"/>
            </w:pPr>
            <w:r>
              <w:rPr>
                <w:sz w:val="24"/>
              </w:rPr>
              <w:t xml:space="preserve">1.2 </w:t>
            </w:r>
            <w:r>
              <w:rPr>
                <w:sz w:val="24"/>
              </w:rPr>
              <w:t>参与本项目常备工作人员每支队伍12人（不含现场负责人），工作过程中要穿着统一工作制服，参与消杀工作人员需持有有害生物防制员证书或经培训合格。</w:t>
            </w:r>
          </w:p>
          <w:p>
            <w:pPr>
              <w:pStyle w:val="null3"/>
              <w:ind w:firstLine="480"/>
            </w:pPr>
            <w:r>
              <w:rPr>
                <w:sz w:val="24"/>
              </w:rPr>
              <w:t xml:space="preserve">1.3 </w:t>
            </w:r>
            <w:r>
              <w:rPr>
                <w:sz w:val="24"/>
              </w:rPr>
              <w:t>供应商</w:t>
            </w:r>
            <w:r>
              <w:rPr>
                <w:sz w:val="24"/>
              </w:rPr>
              <w:t>应按照《中华人民共和国劳动法》的相关规定发放工资，应按照《中华人民共和国社会保险法》和《住房公积金管理条例》的相关规定，支付国家规定必须购买的社会保险费用和缴存住房公积金。</w:t>
            </w:r>
          </w:p>
          <w:p>
            <w:pPr>
              <w:pStyle w:val="null3"/>
              <w:ind w:firstLine="480"/>
            </w:pPr>
            <w:r>
              <w:rPr>
                <w:sz w:val="24"/>
              </w:rPr>
              <w:t xml:space="preserve">1.4 </w:t>
            </w:r>
            <w:r>
              <w:rPr>
                <w:sz w:val="24"/>
              </w:rPr>
              <w:t>供应商</w:t>
            </w:r>
            <w:r>
              <w:rPr>
                <w:sz w:val="24"/>
              </w:rPr>
              <w:t>必须确保工作人员的工作规范，如工作过程中出现职业伤害、工伤、经济赔偿、民事纠纷、刑事责任等，由供应商全部负责。</w:t>
            </w:r>
          </w:p>
          <w:p>
            <w:pPr>
              <w:pStyle w:val="null3"/>
              <w:ind w:firstLine="480"/>
            </w:pPr>
            <w:r>
              <w:rPr>
                <w:sz w:val="24"/>
              </w:rPr>
              <w:t xml:space="preserve">1.5 </w:t>
            </w:r>
            <w:r>
              <w:rPr>
                <w:sz w:val="24"/>
              </w:rPr>
              <w:t>供应商</w:t>
            </w:r>
            <w:r>
              <w:rPr>
                <w:sz w:val="24"/>
              </w:rPr>
              <w:t>须配备相应的项目服务组织架构和完善的管理制度。</w:t>
            </w:r>
          </w:p>
          <w:p>
            <w:pPr>
              <w:pStyle w:val="null3"/>
              <w:ind w:firstLine="482"/>
            </w:pPr>
            <w:r>
              <w:rPr>
                <w:sz w:val="24"/>
                <w:b/>
              </w:rPr>
              <w:t>2</w:t>
            </w:r>
            <w:r>
              <w:rPr>
                <w:sz w:val="24"/>
                <w:b/>
              </w:rPr>
              <w:t>、业务管理</w:t>
            </w:r>
          </w:p>
          <w:p>
            <w:pPr>
              <w:pStyle w:val="null3"/>
              <w:ind w:firstLine="480"/>
            </w:pPr>
            <w:r>
              <w:rPr>
                <w:sz w:val="24"/>
              </w:rPr>
              <w:t xml:space="preserve">2.1 </w:t>
            </w:r>
            <w:r>
              <w:rPr>
                <w:sz w:val="24"/>
              </w:rPr>
              <w:t>供应商</w:t>
            </w:r>
            <w:r>
              <w:rPr>
                <w:sz w:val="24"/>
              </w:rPr>
              <w:t>自行负责消杀队伍的办公场所和员工培训，并应保证各项业务工作顺利实施。</w:t>
            </w:r>
          </w:p>
          <w:p>
            <w:pPr>
              <w:pStyle w:val="null3"/>
              <w:ind w:firstLine="480"/>
            </w:pPr>
            <w:r>
              <w:rPr>
                <w:sz w:val="24"/>
              </w:rPr>
              <w:t xml:space="preserve">2.2 </w:t>
            </w:r>
            <w:r>
              <w:rPr>
                <w:sz w:val="24"/>
              </w:rPr>
              <w:t>采购人安排专人指导消杀队伍，合理安排工作，每次消杀要记录消杀队伍的人员情况和药械的使用情况，并组织安排质控考核评估工作。</w:t>
            </w:r>
          </w:p>
          <w:p>
            <w:pPr>
              <w:pStyle w:val="null3"/>
              <w:ind w:firstLine="480"/>
            </w:pPr>
            <w:r>
              <w:rPr>
                <w:sz w:val="24"/>
              </w:rPr>
              <w:t xml:space="preserve">2.3 </w:t>
            </w:r>
            <w:r>
              <w:rPr>
                <w:sz w:val="24"/>
              </w:rPr>
              <w:t>由采购人组织安排供应商在疫点核心区内进行应急消杀（以实际工作量为准），每次行动根据采购人实际情况安排，每支队伍需标准配置12名消杀人员，6台专业超低容量喷雾机（含药物），工作时间为每天7小时。采购人可要求供应商同时派出最多2支消杀队伍。</w:t>
            </w:r>
          </w:p>
          <w:p>
            <w:pPr>
              <w:pStyle w:val="null3"/>
              <w:ind w:firstLine="482"/>
            </w:pPr>
            <w:r>
              <w:rPr>
                <w:sz w:val="24"/>
                <w:b/>
              </w:rPr>
              <w:t>3</w:t>
            </w:r>
            <w:r>
              <w:rPr>
                <w:sz w:val="24"/>
                <w:b/>
              </w:rPr>
              <w:t>、药械管理</w:t>
            </w:r>
          </w:p>
          <w:p>
            <w:pPr>
              <w:pStyle w:val="null3"/>
              <w:ind w:firstLine="480"/>
            </w:pPr>
            <w:r>
              <w:rPr>
                <w:sz w:val="24"/>
              </w:rPr>
              <w:t xml:space="preserve">3.1 </w:t>
            </w:r>
            <w:r>
              <w:rPr>
                <w:sz w:val="24"/>
              </w:rPr>
              <w:t>消杀器械装备</w:t>
            </w:r>
          </w:p>
          <w:p>
            <w:pPr>
              <w:pStyle w:val="null3"/>
              <w:ind w:firstLine="480"/>
            </w:pPr>
            <w:r>
              <w:rPr>
                <w:sz w:val="24"/>
              </w:rPr>
              <w:t>供应商须为本项目配备工作器械，包括12台背负式超低容量喷雾机、6台常量喷雾机、2台热（冷）烟雾机，其他器械根据实际情况配备。</w:t>
            </w:r>
          </w:p>
          <w:p>
            <w:pPr>
              <w:pStyle w:val="null3"/>
              <w:ind w:firstLine="480"/>
            </w:pPr>
            <w:r>
              <w:rPr>
                <w:sz w:val="24"/>
              </w:rPr>
              <w:t xml:space="preserve">3.2 </w:t>
            </w:r>
            <w:r>
              <w:rPr>
                <w:sz w:val="24"/>
              </w:rPr>
              <w:t>消杀药物管理</w:t>
            </w:r>
          </w:p>
          <w:p>
            <w:pPr>
              <w:pStyle w:val="null3"/>
              <w:ind w:firstLine="480"/>
            </w:pPr>
            <w:r>
              <w:rPr>
                <w:sz w:val="24"/>
              </w:rPr>
              <w:t>（1）供应商按采购人的要求负责现场蚊媒应急消杀所需药物，灭蚊药物种类根据采购人推荐情况自行采购，供应商每个疫点投入药物的品牌和数量须得到采购人认可。每次消杀作业后，供应商都要按照采购人要求做好详细施工记录（包括处置面积、药物种类和数量、出动人员和人数等），并在完成消杀作业后1天内向采购人提交施工记录、工作图片等资料。</w:t>
            </w:r>
          </w:p>
          <w:p>
            <w:pPr>
              <w:pStyle w:val="null3"/>
              <w:ind w:firstLine="480"/>
            </w:pPr>
            <w:r>
              <w:rPr>
                <w:sz w:val="24"/>
              </w:rPr>
              <w:t>（2）供应商采购的每种药物必须有真实有效的卫生类农药登记证（备案在有效期内）、农药生产许可证书（备案在有效期内）和企业标准。</w:t>
            </w:r>
          </w:p>
          <w:p>
            <w:pPr>
              <w:pStyle w:val="null3"/>
              <w:ind w:firstLine="480"/>
            </w:pPr>
            <w:r>
              <w:rPr>
                <w:sz w:val="24"/>
              </w:rPr>
              <w:t>（3）供应商必须注重科学合理用药，不能使用假药、过期药、国家禁用的药物。使用的药物和器械必须符合《病媒生物控制药物器械安全使用准则》，达到“环保、低毒、高效、安全”的要求。</w:t>
            </w:r>
          </w:p>
          <w:p>
            <w:pPr>
              <w:pStyle w:val="null3"/>
              <w:jc w:val="both"/>
            </w:pPr>
            <w:r>
              <w:rPr>
                <w:sz w:val="24"/>
                <w:b/>
              </w:rPr>
              <w:t>（三）项目服务原则和要求</w:t>
            </w:r>
          </w:p>
          <w:p>
            <w:pPr>
              <w:pStyle w:val="null3"/>
              <w:ind w:firstLine="480"/>
            </w:pPr>
            <w:r>
              <w:rPr>
                <w:sz w:val="24"/>
              </w:rPr>
              <w:t>1</w:t>
            </w:r>
            <w:r>
              <w:rPr>
                <w:sz w:val="24"/>
              </w:rPr>
              <w:t>、疫情应急响应：采购人提前半天通知的前提下，供应人需按照要求及时响应。</w:t>
            </w:r>
          </w:p>
          <w:p>
            <w:pPr>
              <w:pStyle w:val="null3"/>
              <w:ind w:firstLine="480"/>
            </w:pPr>
            <w:r>
              <w:rPr>
                <w:sz w:val="24"/>
              </w:rPr>
              <w:t>2</w:t>
            </w:r>
            <w:r>
              <w:rPr>
                <w:sz w:val="24"/>
              </w:rPr>
              <w:t>、供应商必须配备相应的项目服务组织架构和完善的管理措施。</w:t>
            </w:r>
          </w:p>
          <w:p>
            <w:pPr>
              <w:pStyle w:val="null3"/>
              <w:ind w:firstLine="480"/>
            </w:pPr>
            <w:r>
              <w:rPr>
                <w:sz w:val="24"/>
              </w:rPr>
              <w:t>3</w:t>
            </w:r>
            <w:r>
              <w:rPr>
                <w:sz w:val="24"/>
              </w:rPr>
              <w:t>、供应商的服务方案计划应切实可行。</w:t>
            </w:r>
          </w:p>
          <w:p>
            <w:pPr>
              <w:pStyle w:val="null3"/>
              <w:jc w:val="both"/>
            </w:pPr>
            <w:r>
              <w:rPr>
                <w:sz w:val="24"/>
                <w:b/>
              </w:rPr>
              <w:t>（四）服务质量考核及处罚</w:t>
            </w:r>
          </w:p>
          <w:p>
            <w:pPr>
              <w:pStyle w:val="null3"/>
              <w:ind w:firstLine="480"/>
            </w:pPr>
            <w:r>
              <w:rPr>
                <w:sz w:val="24"/>
              </w:rPr>
              <w:t>1</w:t>
            </w:r>
            <w:r>
              <w:rPr>
                <w:sz w:val="24"/>
              </w:rPr>
              <w:t>、供应商每次消杀要记录消杀队伍的人员情况和药械的使用情况。相关街道工作人员将对供应商每次行动中到场时间、到场人数、药械品类和数量、工作情况等项目进行扣分评价，总分100分，扣完为止，评分作为分派任务及服务费结算的参考依据。</w:t>
            </w:r>
          </w:p>
          <w:p>
            <w:pPr>
              <w:pStyle w:val="null3"/>
              <w:ind w:firstLine="480"/>
            </w:pPr>
            <w:r>
              <w:rPr>
                <w:sz w:val="24"/>
              </w:rPr>
              <w:t>2</w:t>
            </w:r>
            <w:r>
              <w:rPr>
                <w:sz w:val="24"/>
              </w:rPr>
              <w:t>、如供应商累计两次无法达到采购人提供病媒生物防制的服务要求或累计两次参加病媒生物防制的服务评分都＜60分，采购人有权终止合同。</w:t>
            </w:r>
          </w:p>
          <w:p>
            <w:pPr>
              <w:pStyle w:val="null3"/>
              <w:ind w:firstLine="480"/>
            </w:pPr>
            <w:r>
              <w:rPr>
                <w:sz w:val="24"/>
              </w:rPr>
              <w:t>3</w:t>
            </w:r>
            <w:r>
              <w:rPr>
                <w:sz w:val="24"/>
              </w:rPr>
              <w:t>、供应商在病媒生物防制工作任务的限期和区域内，因供应商原因导致病媒生物密度未降至低风险及以下水平，供应商须在收到采购人通知后3日内按要求免费重新开展病媒生物防制工作直至病媒生物密度降至低风险及以下水平，否则只支付该次消杀费用的50%；供应商在病媒生物防制工作任务的限期和区域内，累计达三次因供应商原因导致病媒生物密度未降至低风险及以下水平，采购人有权终止合同。</w:t>
            </w:r>
          </w:p>
          <w:p>
            <w:pPr>
              <w:pStyle w:val="null3"/>
            </w:pPr>
            <w:r>
              <w:rPr>
                <w:sz w:val="24"/>
                <w:b/>
              </w:rPr>
              <w:t>二、报价要求</w:t>
            </w:r>
          </w:p>
          <w:p>
            <w:pPr>
              <w:pStyle w:val="null3"/>
            </w:pPr>
            <w:r>
              <w:rPr>
                <w:sz w:val="24"/>
              </w:rPr>
              <w:t xml:space="preserve">   1</w:t>
            </w:r>
            <w:r>
              <w:rPr>
                <w:sz w:val="24"/>
              </w:rPr>
              <w:t>、每支队伍单天消杀最高限价：</w:t>
            </w:r>
            <w:r>
              <w:rPr>
                <w:sz w:val="24"/>
                <w:u w:val="single"/>
              </w:rPr>
              <w:t>18750.00</w:t>
            </w:r>
            <w:r>
              <w:rPr>
                <w:sz w:val="24"/>
              </w:rPr>
              <w:t>元/天，凡超过最高限价的投标报价，视为无效投标。</w:t>
            </w:r>
          </w:p>
          <w:p>
            <w:pPr>
              <w:pStyle w:val="null3"/>
            </w:pPr>
            <w:r>
              <w:rPr>
                <w:sz w:val="24"/>
              </w:rPr>
              <w:t xml:space="preserve">   2</w:t>
            </w:r>
            <w:r>
              <w:rPr>
                <w:sz w:val="24"/>
              </w:rPr>
              <w:t>、供应商报价必须包括项目人员费用、机具折旧、防控用药、运输、保险、房租、物耗、管理费用、各项税费及合同实施过程中不可预见费用等。</w:t>
            </w:r>
          </w:p>
          <w:p>
            <w:pPr>
              <w:pStyle w:val="null3"/>
            </w:pPr>
            <w:r>
              <w:rPr>
                <w:sz w:val="24"/>
                <w:b/>
              </w:rPr>
              <w:t xml:space="preserve">   3</w:t>
            </w:r>
            <w:r>
              <w:rPr>
                <w:sz w:val="24"/>
                <w:b/>
              </w:rPr>
              <w:t>、消杀业务量根据荔湾区疫情变化而变化，消杀次数可能发生改变的，采购人不承担未能达到采购文件中预计的消杀次数而给供应商带来的任何损失，供应商在报价时应充分考虑到由此带来的各项风险并无条件承诺自行承担此风险。</w:t>
            </w:r>
          </w:p>
          <w:p>
            <w:pPr>
              <w:pStyle w:val="null3"/>
            </w:pPr>
            <w:r>
              <w:rPr>
                <w:sz w:val="24"/>
                <w:b/>
              </w:rPr>
              <w:t>三、其他</w:t>
            </w:r>
          </w:p>
          <w:p>
            <w:pPr>
              <w:pStyle w:val="null3"/>
            </w:pPr>
            <w:r>
              <w:rPr>
                <w:sz w:val="24"/>
                <w:b/>
              </w:rPr>
              <w:t xml:space="preserve">  ★1、承担荔湾区病媒生物监测任务的供应商不得参与本项目。（提供承诺函，格式自拟）</w:t>
            </w:r>
          </w:p>
          <w:p>
            <w:pPr>
              <w:pStyle w:val="null3"/>
            </w:pPr>
            <w:r>
              <w:rPr>
                <w:sz w:val="24"/>
                <w:b/>
              </w:rPr>
              <w:t xml:space="preserve">  ★2、与其他疫情有关的应急消杀，采购人根据实际工作需要，安排成交供应商参与消杀的，成交供应商不得拒绝。（提供承诺函，格式自拟）</w:t>
            </w:r>
          </w:p>
          <w:p>
            <w:pPr>
              <w:pStyle w:val="null3"/>
            </w:pPr>
            <w:r>
              <w:rPr>
                <w:sz w:val="24"/>
                <w:b/>
              </w:rPr>
              <w:t>四、附件</w:t>
            </w:r>
          </w:p>
          <w:p>
            <w:pPr>
              <w:pStyle w:val="null3"/>
            </w:pPr>
            <w:r>
              <w:rPr>
                <w:sz w:val="24"/>
                <w:b/>
              </w:rPr>
              <w:t>附件</w:t>
            </w:r>
            <w:r>
              <w:rPr>
                <w:sz w:val="24"/>
                <w:b/>
              </w:rPr>
              <w:t xml:space="preserve">1 </w:t>
            </w:r>
            <w:r>
              <w:rPr>
                <w:sz w:val="24"/>
                <w:b/>
              </w:rPr>
              <w:t>蚊媒控制工作量记录表</w:t>
            </w:r>
          </w:p>
          <w:tbl>
            <w:tblPr>
              <w:tblBorders>
                <w:top w:val="none" w:color="000000" w:sz="4"/>
                <w:left w:val="none" w:color="000000" w:sz="4"/>
                <w:bottom w:val="none" w:color="000000" w:sz="4"/>
                <w:right w:val="none" w:color="000000" w:sz="4"/>
                <w:insideH w:val="none"/>
                <w:insideV w:val="none"/>
              </w:tblBorders>
            </w:tblPr>
            <w:tblGrid>
              <w:gridCol w:w="1599"/>
              <w:gridCol w:w="3998"/>
            </w:tblGrid>
            <w:tr>
              <w:tc>
                <w:tcPr>
                  <w:tcW w:type="dxa" w:w="15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受委托单位</w:t>
                  </w:r>
                </w:p>
              </w:tc>
              <w:tc>
                <w:tcPr>
                  <w:tcW w:type="dxa" w:w="39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消杀时间</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u w:val="single"/>
                    </w:rPr>
                    <w:t xml:space="preserve">   </w:t>
                  </w:r>
                  <w:r>
                    <w:rPr>
                      <w:sz w:val="24"/>
                      <w:u w:val="single"/>
                    </w:rPr>
                    <w:t>年</w:t>
                  </w:r>
                  <w:r>
                    <w:rPr>
                      <w:sz w:val="22"/>
                      <w:u w:val="single"/>
                    </w:rPr>
                    <w:t xml:space="preserve">   </w:t>
                  </w:r>
                  <w:r>
                    <w:rPr>
                      <w:sz w:val="24"/>
                      <w:u w:val="single"/>
                    </w:rPr>
                    <w:t>月</w:t>
                  </w:r>
                  <w:r>
                    <w:rPr>
                      <w:sz w:val="22"/>
                      <w:u w:val="single"/>
                    </w:rPr>
                    <w:t xml:space="preserve">   </w:t>
                  </w:r>
                  <w:r>
                    <w:rPr>
                      <w:sz w:val="24"/>
                      <w:u w:val="single"/>
                    </w:rPr>
                    <w:t>日</w:t>
                  </w:r>
                  <w:r>
                    <w:rPr>
                      <w:sz w:val="22"/>
                      <w:u w:val="single"/>
                    </w:rPr>
                    <w:t xml:space="preserve">   </w:t>
                  </w:r>
                  <w:r>
                    <w:rPr>
                      <w:sz w:val="24"/>
                      <w:u w:val="single"/>
                    </w:rPr>
                    <w:t>时至</w:t>
                  </w:r>
                  <w:r>
                    <w:rPr>
                      <w:sz w:val="22"/>
                      <w:u w:val="single"/>
                    </w:rPr>
                    <w:t xml:space="preserve">    </w:t>
                  </w:r>
                  <w:r>
                    <w:rPr>
                      <w:sz w:val="24"/>
                      <w:u w:val="single"/>
                    </w:rPr>
                    <w:t>年</w:t>
                  </w:r>
                  <w:r>
                    <w:rPr>
                      <w:sz w:val="22"/>
                      <w:u w:val="single"/>
                    </w:rPr>
                    <w:t xml:space="preserve">   </w:t>
                  </w:r>
                  <w:r>
                    <w:rPr>
                      <w:sz w:val="24"/>
                      <w:u w:val="single"/>
                    </w:rPr>
                    <w:t>月</w:t>
                  </w:r>
                  <w:r>
                    <w:rPr>
                      <w:sz w:val="22"/>
                      <w:u w:val="single"/>
                    </w:rPr>
                    <w:t xml:space="preserve">   </w:t>
                  </w:r>
                  <w:r>
                    <w:rPr>
                      <w:sz w:val="24"/>
                      <w:u w:val="single"/>
                    </w:rPr>
                    <w:t>日</w:t>
                  </w:r>
                  <w:r>
                    <w:rPr>
                      <w:sz w:val="22"/>
                      <w:u w:val="single"/>
                    </w:rPr>
                    <w:t xml:space="preserve">   </w:t>
                  </w:r>
                  <w:r>
                    <w:rPr>
                      <w:sz w:val="24"/>
                      <w:u w:val="single"/>
                    </w:rPr>
                    <w:t>时</w:t>
                  </w:r>
                  <w:r>
                    <w:rPr>
                      <w:sz w:val="24"/>
                    </w:rPr>
                    <w:t>，</w:t>
                  </w:r>
                </w:p>
                <w:p>
                  <w:pPr>
                    <w:pStyle w:val="null3"/>
                    <w:ind w:firstLine="3360"/>
                  </w:pPr>
                  <w:r>
                    <w:rPr>
                      <w:sz w:val="24"/>
                    </w:rPr>
                    <w:t>合计：小时。</w:t>
                  </w:r>
                </w:p>
              </w:tc>
            </w:tr>
            <w:tr>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服务地点</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街道：居委：地点：</w:t>
                  </w:r>
                </w:p>
              </w:tc>
            </w:tr>
            <w:tr>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处理范围</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工作人员数</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使用车辆及器械数</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作业用车辆，超低容量喷雾器台，</w:t>
                  </w:r>
                </w:p>
                <w:p>
                  <w:pPr>
                    <w:pStyle w:val="null3"/>
                  </w:pPr>
                  <w:r>
                    <w:rPr>
                      <w:sz w:val="24"/>
                    </w:rPr>
                    <w:t>常量喷雾器台，其它。</w:t>
                  </w:r>
                </w:p>
              </w:tc>
            </w:tr>
            <w:tr>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使用药物及数量</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药物</w:t>
                  </w:r>
                  <w:r>
                    <w:rPr>
                      <w:sz w:val="22"/>
                    </w:rPr>
                    <w:t xml:space="preserve">              </w:t>
                  </w:r>
                  <w:r>
                    <w:rPr>
                      <w:sz w:val="24"/>
                    </w:rPr>
                    <w:t>数量</w:t>
                  </w:r>
                  <w:r>
                    <w:rPr>
                      <w:sz w:val="24"/>
                    </w:rPr>
                    <w:t xml:space="preserve">             </w:t>
                  </w:r>
                </w:p>
                <w:p>
                  <w:pPr>
                    <w:pStyle w:val="null3"/>
                  </w:pPr>
                  <w:r>
                    <w:rPr>
                      <w:sz w:val="24"/>
                    </w:rPr>
                    <w:t>药物</w:t>
                  </w:r>
                  <w:r>
                    <w:rPr>
                      <w:sz w:val="22"/>
                    </w:rPr>
                    <w:t xml:space="preserve">              </w:t>
                  </w:r>
                  <w:r>
                    <w:rPr>
                      <w:sz w:val="24"/>
                    </w:rPr>
                    <w:t>数量</w:t>
                  </w:r>
                  <w:r>
                    <w:rPr>
                      <w:sz w:val="24"/>
                    </w:rPr>
                    <w:t xml:space="preserve">             </w:t>
                  </w:r>
                </w:p>
                <w:p>
                  <w:pPr>
                    <w:pStyle w:val="null3"/>
                  </w:pPr>
                  <w:r>
                    <w:rPr>
                      <w:sz w:val="24"/>
                    </w:rPr>
                    <w:t>药物</w:t>
                  </w:r>
                  <w:r>
                    <w:rPr>
                      <w:sz w:val="22"/>
                    </w:rPr>
                    <w:t xml:space="preserve">              </w:t>
                  </w:r>
                  <w:r>
                    <w:rPr>
                      <w:sz w:val="24"/>
                    </w:rPr>
                    <w:t>数量</w:t>
                  </w:r>
                  <w:r>
                    <w:rPr>
                      <w:sz w:val="24"/>
                    </w:rPr>
                    <w:t xml:space="preserve">             </w:t>
                  </w:r>
                </w:p>
                <w:p>
                  <w:pPr>
                    <w:pStyle w:val="null3"/>
                  </w:pPr>
                  <w:r>
                    <w:rPr>
                      <w:sz w:val="24"/>
                    </w:rPr>
                    <w:t>药物</w:t>
                  </w:r>
                  <w:r>
                    <w:rPr>
                      <w:sz w:val="22"/>
                    </w:rPr>
                    <w:t xml:space="preserve">              </w:t>
                  </w:r>
                  <w:r>
                    <w:rPr>
                      <w:sz w:val="24"/>
                    </w:rPr>
                    <w:t>数量</w:t>
                  </w:r>
                  <w:r>
                    <w:rPr>
                      <w:sz w:val="24"/>
                    </w:rPr>
                    <w:t xml:space="preserve">             </w:t>
                  </w:r>
                </w:p>
              </w:tc>
            </w:tr>
            <w:tr>
              <w:tc>
                <w:tcPr>
                  <w:tcW w:type="dxa" w:w="1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c>
                <w:tcPr>
                  <w:tcW w:type="dxa" w:w="3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4"/>
                <w:b/>
              </w:rPr>
              <w:t>附件2  蚊媒控制工作评价表</w:t>
            </w:r>
          </w:p>
          <w:p>
            <w:pPr>
              <w:pStyle w:val="null3"/>
            </w:pPr>
            <w:r>
              <w:rPr>
                <w:sz w:val="24"/>
              </w:rPr>
              <w:t xml:space="preserve"> PCO</w:t>
            </w:r>
            <w:r>
              <w:rPr>
                <w:sz w:val="24"/>
              </w:rPr>
              <w:t>公司名称：             疫点位置：        服务日期：</w:t>
            </w:r>
          </w:p>
          <w:tbl>
            <w:tblPr>
              <w:tblBorders>
                <w:top w:val="none" w:color="000000" w:sz="4"/>
                <w:left w:val="none" w:color="000000" w:sz="4"/>
                <w:bottom w:val="none" w:color="000000" w:sz="4"/>
                <w:right w:val="none" w:color="000000" w:sz="4"/>
                <w:insideH w:val="none"/>
                <w:insideV w:val="none"/>
              </w:tblBorders>
            </w:tblPr>
            <w:tblGrid>
              <w:gridCol w:w="2512"/>
              <w:gridCol w:w="2512"/>
              <w:gridCol w:w="571"/>
            </w:tblGrid>
            <w:tr>
              <w:tc>
                <w:tcPr>
                  <w:tcW w:type="dxa" w:w="2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扣分标准</w:t>
                  </w:r>
                </w:p>
              </w:tc>
              <w:tc>
                <w:tcPr>
                  <w:tcW w:type="dxa" w:w="2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扣分内容</w:t>
                  </w:r>
                </w:p>
              </w:tc>
              <w:tc>
                <w:tcPr>
                  <w:tcW w:type="dxa" w:w="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w:t>
                  </w:r>
                </w:p>
              </w:tc>
            </w:tr>
            <w:tr>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一、迟到或早退每人每半小时</w:t>
                  </w:r>
                  <w:r>
                    <w:rPr>
                      <w:sz w:val="24"/>
                      <w:u w:val="single"/>
                    </w:rPr>
                    <w:t>扣10分</w:t>
                  </w:r>
                </w:p>
              </w:tc>
              <w:tc>
                <w:tcPr>
                  <w:tcW w:type="dxa" w:w="2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采购人通知到达时间：</w:t>
                  </w:r>
                </w:p>
                <w:p>
                  <w:pPr>
                    <w:pStyle w:val="null3"/>
                  </w:pPr>
                  <w:r>
                    <w:rPr>
                      <w:sz w:val="24"/>
                    </w:rPr>
                    <w:t>供应商到达时间：</w:t>
                  </w:r>
                </w:p>
                <w:p>
                  <w:pPr>
                    <w:pStyle w:val="null3"/>
                  </w:pPr>
                  <w:r>
                    <w:rPr>
                      <w:sz w:val="24"/>
                    </w:rPr>
                    <w:t xml:space="preserve">服务结束时间：  </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二、参与服务工作人员人数与采购人要求不符的，</w:t>
                  </w:r>
                  <w:r>
                    <w:rPr>
                      <w:sz w:val="24"/>
                      <w:u w:val="single"/>
                    </w:rPr>
                    <w:t>每少一人扣20分</w:t>
                  </w:r>
                </w:p>
              </w:tc>
              <w:tc>
                <w:tcPr>
                  <w:tcW w:type="dxa" w:w="2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消杀人数：</w:t>
                  </w:r>
                  <w:r>
                    <w:rPr>
                      <w:sz w:val="22"/>
                    </w:rPr>
                    <w:t xml:space="preserve">     </w:t>
                  </w:r>
                  <w:r>
                    <w:rPr>
                      <w:sz w:val="24"/>
                    </w:rPr>
                    <w:t>人</w:t>
                  </w:r>
                </w:p>
                <w:p>
                  <w:pPr>
                    <w:pStyle w:val="null3"/>
                  </w:p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三、工作人员未穿着统一工作制服、工作过程中未佩戴口罩等防护用具的，出现上述情况</w:t>
                  </w:r>
                  <w:r>
                    <w:rPr>
                      <w:sz w:val="24"/>
                      <w:u w:val="single"/>
                    </w:rPr>
                    <w:t>每一人每项扣10分</w:t>
                  </w:r>
                </w:p>
              </w:tc>
              <w:tc>
                <w:tcPr>
                  <w:tcW w:type="dxa" w:w="2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未穿着制服：     人</w:t>
                  </w:r>
                </w:p>
                <w:p>
                  <w:pPr>
                    <w:pStyle w:val="null3"/>
                  </w:pPr>
                  <w:r>
                    <w:rPr>
                      <w:sz w:val="24"/>
                    </w:rPr>
                    <w:t>未佩戴防护用具：     人</w:t>
                  </w:r>
                </w:p>
                <w:p>
                  <w:pPr>
                    <w:pStyle w:val="null3"/>
                  </w:p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四、不按照施（投）药技术规范使用药物、不根据甲方指导意见使用药物，</w:t>
                  </w:r>
                  <w:r>
                    <w:rPr>
                      <w:sz w:val="24"/>
                      <w:u w:val="single"/>
                    </w:rPr>
                    <w:t>每项扣50分</w:t>
                  </w:r>
                </w:p>
              </w:tc>
              <w:tc>
                <w:tcPr>
                  <w:tcW w:type="dxa" w:w="2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是/否不按照施（投）药技术规范使用药物或不根据甲方指导意见使用药物</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五、未经采购人允许变更现场负责人，扣50分</w:t>
                  </w:r>
                </w:p>
              </w:tc>
              <w:tc>
                <w:tcPr>
                  <w:tcW w:type="dxa" w:w="2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是/否未经允许变更现场负责人</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六、未按时按要求制定处理方案，未按确定的处理方案内容开展工作，</w:t>
                  </w:r>
                  <w:r>
                    <w:rPr>
                      <w:sz w:val="24"/>
                      <w:u w:val="single"/>
                    </w:rPr>
                    <w:t>每项扣25分</w:t>
                  </w:r>
                </w:p>
              </w:tc>
              <w:tc>
                <w:tcPr>
                  <w:tcW w:type="dxa" w:w="2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七、供应商处理方案不根据实际情况制定、使用违禁药物以及其它弄虚作假等情况，</w:t>
                  </w:r>
                  <w:r>
                    <w:rPr>
                      <w:sz w:val="24"/>
                      <w:u w:val="single"/>
                    </w:rPr>
                    <w:t>每项扣50分</w:t>
                  </w:r>
                </w:p>
              </w:tc>
              <w:tc>
                <w:tcPr>
                  <w:tcW w:type="dxa" w:w="2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八、检查发现未处理、未登记的积水或孳生地，</w:t>
                  </w:r>
                  <w:r>
                    <w:rPr>
                      <w:sz w:val="24"/>
                      <w:u w:val="single"/>
                    </w:rPr>
                    <w:t>每一处扣5分</w:t>
                  </w:r>
                </w:p>
              </w:tc>
              <w:tc>
                <w:tcPr>
                  <w:tcW w:type="dxa" w:w="2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未登记的积水或孳生地：  处</w:t>
                  </w:r>
                </w:p>
                <w:p>
                  <w:pPr>
                    <w:pStyle w:val="null3"/>
                  </w:pPr>
                  <w:r>
                    <w:rPr>
                      <w:sz w:val="24"/>
                    </w:rPr>
                    <w:t>未处理的积水或孳生地：  处</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九、工作人员消极怠工，不服从工作安排，存在不良工作态度，</w:t>
                  </w:r>
                  <w:r>
                    <w:rPr>
                      <w:sz w:val="24"/>
                      <w:u w:val="single"/>
                    </w:rPr>
                    <w:t>扣30分</w:t>
                  </w:r>
                </w:p>
              </w:tc>
              <w:tc>
                <w:tcPr>
                  <w:tcW w:type="dxa" w:w="2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十、未按要求完成服务任务，</w:t>
                  </w:r>
                  <w:r>
                    <w:rPr>
                      <w:sz w:val="24"/>
                      <w:u w:val="single"/>
                    </w:rPr>
                    <w:t>扣50分</w:t>
                  </w:r>
                </w:p>
              </w:tc>
              <w:tc>
                <w:tcPr>
                  <w:tcW w:type="dxa" w:w="2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是/否按要求完成服务任务</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p>
              </w:tc>
              <w:tc>
                <w:tcPr>
                  <w:tcW w:type="dxa" w:w="308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4"/>
              </w:rPr>
              <w:t>注：</w:t>
            </w:r>
          </w:p>
          <w:p>
            <w:pPr>
              <w:pStyle w:val="null3"/>
              <w:ind w:firstLine="527"/>
            </w:pPr>
            <w:r>
              <w:rPr>
                <w:sz w:val="24"/>
              </w:rPr>
              <w:t>1</w:t>
            </w:r>
            <w:r>
              <w:rPr>
                <w:sz w:val="24"/>
              </w:rPr>
              <w:t>、需采购人或其指定机构、所属消杀街道、供应商三方签名确认。</w:t>
            </w:r>
          </w:p>
          <w:p>
            <w:pPr>
              <w:pStyle w:val="null3"/>
              <w:ind w:firstLine="527"/>
            </w:pPr>
            <w:r>
              <w:rPr>
                <w:sz w:val="24"/>
              </w:rPr>
              <w:t>2</w:t>
            </w:r>
            <w:r>
              <w:rPr>
                <w:sz w:val="24"/>
              </w:rPr>
              <w:t>、此表满分100，评分=100-扣分总数，评分作为支付服务费用的依据。</w:t>
            </w:r>
          </w:p>
          <w:p>
            <w:pPr>
              <w:pStyle w:val="null3"/>
              <w:ind w:firstLine="527"/>
            </w:pPr>
            <w:r>
              <w:rPr>
                <w:sz w:val="24"/>
              </w:rPr>
              <w:t>3</w:t>
            </w:r>
            <w:r>
              <w:rPr>
                <w:sz w:val="24"/>
              </w:rPr>
              <w:t>、80分作为合格分，未达到合格分的，每扣10分，则扣除当次服务费的10%。（若当次得分70分，则服务费扣除当次的10%，若当次得分为60分，则扣除当次服务费20%，以此类推）。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广州市荔湾区卫生健康局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2家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参照相关法律法规标准以成交金额（项目预算金额）为基数，向中标供应商收取采购代理服务费。采购代理服务收费采用差额定率累进计费方式，按照服务类计算，费率标准如下：100万元以下，1.5%*80%；100-500万元，0.8%*80%。</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具体通知内容可查阅https://gdgpo.czt.gd.gov.cn/freecms/site/guangdong/tz/info/2024/ 12230815.html）未能在网站查询到供应商信用评价分的，以信用评价基准分（93.4分)计算〕。</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诚E招电子采购交易平台（https://www.chengezhao.com）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诚E招电子采购交易平台（https://www.chengezhao.com）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w:t>
      </w:r>
    </w:p>
    <w:p>
      <w:pPr>
        <w:pStyle w:val="null3"/>
        <w:ind w:firstLine="480"/>
      </w:pPr>
      <w:r>
        <w:rPr/>
        <w:t>电话：</w:t>
      </w:r>
      <w:r>
        <w:rPr/>
        <w:t>16620576633</w:t>
      </w:r>
    </w:p>
    <w:p>
      <w:pPr>
        <w:pStyle w:val="null3"/>
        <w:ind w:firstLine="480"/>
      </w:pPr>
      <w:r>
        <w:rPr/>
        <w:t>传真：</w:t>
      </w:r>
      <w:r>
        <w:rPr/>
        <w:t>/</w:t>
      </w:r>
    </w:p>
    <w:p>
      <w:pPr>
        <w:pStyle w:val="null3"/>
        <w:ind w:firstLine="480"/>
      </w:pPr>
      <w:r>
        <w:rPr/>
        <w:t>邮箱：</w:t>
      </w:r>
      <w:r>
        <w:rPr/>
        <w:t>wush@gcbidding.com</w:t>
      </w:r>
    </w:p>
    <w:p>
      <w:pPr>
        <w:pStyle w:val="null3"/>
        <w:ind w:firstLine="480"/>
      </w:pPr>
      <w:r>
        <w:rPr/>
        <w:t>地址：</w:t>
      </w:r>
      <w:r>
        <w:rPr/>
        <w:t>广州市天河北路423号远晖商厦8楼820室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荔湾区病媒生物防制社会化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公诚管理咨询有限公司</w:t>
      </w:r>
      <w:r>
        <w:rPr/>
        <w:t>统一对外发布。</w:t>
      </w:r>
    </w:p>
    <w:p>
      <w:pPr>
        <w:pStyle w:val="null3"/>
        <w:ind w:firstLine="480"/>
      </w:pPr>
      <w:r>
        <w:rPr/>
        <w:t>（2）对</w:t>
      </w:r>
      <w:r>
        <w:rPr/>
        <w:t>公诚管理咨询有限公司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采购包1（荔湾区病媒生物防制社会化服务项目）：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采购包1（荔湾区病媒生物防制社会化服务项目）：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供应商资格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同一合同项下的其他采购活动。（提供《供应商资格声明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中小企业划分标准所属行业为：其他未列明行业。本项目属于专门面向中小企业采购的项目，供应商应为中小微企业、监狱企业、残疾人福利性单位。提供符合要求的《中小企业声明函（服务）》或《残疾人福利性单位声明函》或《监狱企业的证明文件》。</w:t>
            </w:r>
          </w:p>
        </w:tc>
      </w:tr>
    </w:tbl>
    <w:p>
      <w:pPr>
        <w:pStyle w:val="null3"/>
        <w:ind w:firstLine="480"/>
      </w:pPr>
      <w:r>
        <w:rPr/>
        <w:t>表二符合性审查表：</w:t>
      </w:r>
    </w:p>
    <w:p>
      <w:pPr>
        <w:pStyle w:val="null3"/>
      </w:pPr>
      <w:r>
        <w:rPr/>
        <w:t>采购包1（荔湾区病媒生物防制社会化服务项目）：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投标（响应）文件的完整性</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响应承诺函已提交并符合磋商文件要求的，且投标（响应）有效期不少于磋商文件中载明的投标（响应）有效期；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1、投标（响应）报价未超过对应包组最高单价限价的； 2、若评审委员会认为供应商的报价明显低于其他通过符合性审查供应商的报价，评审委员会应当要求该供应商在要求的时间内做出书面说明并提供相关证明材料。供应商能在评审委员会要求的时间内合理说明理由或者能提供相关证明材料的，评审委员会认定该供应商非恶意以低于成本报价竞标的。 3、未出现选择性报价或有附加条件报价的情形； 4、采购文件不接受提交备用方案。</w:t>
            </w:r>
          </w:p>
        </w:tc>
      </w:tr>
      <w:tr>
        <w:tc>
          <w:tcPr>
            <w:tcW w:type="dxa" w:w="890"/>
          </w:tcPr>
          <w:p>
            <w:pPr>
              <w:pStyle w:val="null3"/>
            </w:pPr>
            <w:r>
              <w:rPr/>
              <w:t>4</w:t>
            </w:r>
          </w:p>
        </w:tc>
        <w:tc>
          <w:tcPr>
            <w:tcW w:type="dxa" w:w="3178"/>
          </w:tcPr>
          <w:p>
            <w:pPr>
              <w:pStyle w:val="null3"/>
            </w:pPr>
            <w:r>
              <w:rPr/>
              <w:t>投标（响应）保证金（如需）</w:t>
            </w:r>
          </w:p>
        </w:tc>
        <w:tc>
          <w:tcPr>
            <w:tcW w:type="dxa" w:w="4238"/>
          </w:tcPr>
          <w:p>
            <w:pPr>
              <w:pStyle w:val="null3"/>
            </w:pPr>
            <w:r>
              <w:rPr/>
              <w:t>已按照响应文件的规定提交投标（响应）保证金。</w:t>
            </w:r>
          </w:p>
        </w:tc>
      </w:tr>
      <w:tr>
        <w:tc>
          <w:tcPr>
            <w:tcW w:type="dxa" w:w="890"/>
          </w:tcPr>
          <w:p>
            <w:pPr>
              <w:pStyle w:val="null3"/>
            </w:pPr>
            <w:r>
              <w:rPr/>
              <w:t>5</w:t>
            </w:r>
          </w:p>
        </w:tc>
        <w:tc>
          <w:tcPr>
            <w:tcW w:type="dxa" w:w="3178"/>
          </w:tcPr>
          <w:p>
            <w:pPr>
              <w:pStyle w:val="null3"/>
            </w:pPr>
            <w:r>
              <w:rPr/>
              <w:t>实质性条款响应</w:t>
            </w:r>
          </w:p>
        </w:tc>
        <w:tc>
          <w:tcPr>
            <w:tcW w:type="dxa" w:w="4238"/>
          </w:tcPr>
          <w:p>
            <w:pPr>
              <w:pStyle w:val="null3"/>
            </w:pPr>
            <w:r>
              <w:rPr/>
              <w:t>未出现其它实质性条款响应负偏离的情况。</w:t>
            </w:r>
          </w:p>
        </w:tc>
      </w:tr>
      <w:tr>
        <w:tc>
          <w:tcPr>
            <w:tcW w:type="dxa" w:w="890"/>
          </w:tcPr>
          <w:p>
            <w:pPr>
              <w:pStyle w:val="null3"/>
            </w:pPr>
            <w:r>
              <w:rPr/>
              <w:t>6</w:t>
            </w:r>
          </w:p>
        </w:tc>
        <w:tc>
          <w:tcPr>
            <w:tcW w:type="dxa" w:w="3178"/>
          </w:tcPr>
          <w:p>
            <w:pPr>
              <w:pStyle w:val="null3"/>
            </w:pPr>
            <w:r>
              <w:rPr/>
              <w:t>其它情形</w:t>
            </w:r>
          </w:p>
        </w:tc>
        <w:tc>
          <w:tcPr>
            <w:tcW w:type="dxa" w:w="4238"/>
          </w:tcPr>
          <w:p>
            <w:pPr>
              <w:pStyle w:val="null3"/>
            </w:pPr>
            <w:r>
              <w:rPr/>
              <w:t>按有关法律、法规、规章不属于投标无效的，且未出现采购文件规定的其它无效情形。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采购包1(荔湾区病媒生物防制社会化服务项目):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(10.0分)</w:t>
            </w:r>
          </w:p>
        </w:tc>
        <w:tc>
          <w:tcPr>
            <w:tcW w:type="dxa" w:w="5076"/>
          </w:tcPr>
          <w:p>
            <w:pPr>
              <w:pStyle w:val="null3"/>
              <w:jc w:val="left"/>
            </w:pPr>
            <w:r>
              <w:rPr/>
              <w:t>1.根据供应商提供的项目的理解、重点难点分析进行评审，能提供项目的理解、重点难点分析的，得2分，不提供不得分；如未能提供项目的理解、重点难点分析的，以下评分项均不得分； 2.项目的理解、重点难点分析包含①本项目背景、②对本项目服务内容存在的主要问题分析，并结合以往经验提出操作性强的应对措施的，得3分；如提供的项目的理解、重点难点分析未包含①本项目背景、②对本项目服务内容存在的主要问题分析，并结合以往经验提出操作性强的应对措施的，以下评分项均不得分。 3.项目的理解、重点难点分析能完全满足且优于采购需求的，得5分；能完全满足采购需求的，得3分，能部分满足采购需求的，得1分；不能满足采购需求的，不得分。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1.根据供应商提供的项目服务方案进行评审，能提供服务方案的，得2分，不提供不得分；如未能提供服务方案的，以下评分项均不得分； 2.服务方案包含①对项目服务内容开展的工作方法、②技术路线、③服务流程、④项目进度计划，并根据服务区中疫情相关蚊媒生物种类的生物学特征进行现场控制的，得3分；如提供的服务方案未包含①对项目服务内容开展的工作方法、②技术路线、③服务流程、④项目进度计划，并根据服务区中疫情相关蚊媒生物种类的生物学特征进行现场控制的，以下评分项均不得分。 3.项目服务方案能完全满足且优于采购需求的，得5分；能完全满足采购需求的，得3分，能部分满足采购需求的，得1分；不能满足采购需求的，不得分。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技术方案 (10.0分)</w:t>
            </w:r>
          </w:p>
        </w:tc>
        <w:tc>
          <w:tcPr>
            <w:tcW w:type="dxa" w:w="5076"/>
          </w:tcPr>
          <w:p>
            <w:pPr>
              <w:pStyle w:val="null3"/>
              <w:jc w:val="left"/>
            </w:pPr>
            <w:r>
              <w:rPr/>
              <w:t>1.根据供应商提供的技术方案进行评审，能提供技术方案的，得2分，不提供不得分；如未能提供技术方案的，以下评分项均不得分； 2.技术方案包括①对服务区内各种类型环境如老城区、城中村、城乡结合部等外环境特征进行分析；②提出本项目的系统控制方法的，得3分；如提供的技术方案未包含①对服务区内各种类型环境如老城区、城中村、城乡结合部等外环境特征进行分析、②提出本项目的系统控制方法的，以下评分项均不得分。 3.技术方案能完全满足且优于采购需求的，得5分；能完全满足采购需求的，得3分，能部分满足采购需求的，得1分；不能满足采购需求的，不得分。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突发事件应急措施 (10.0分)</w:t>
            </w:r>
          </w:p>
        </w:tc>
        <w:tc>
          <w:tcPr>
            <w:tcW w:type="dxa" w:w="5076"/>
          </w:tcPr>
          <w:p>
            <w:pPr>
              <w:pStyle w:val="null3"/>
              <w:jc w:val="left"/>
            </w:pPr>
            <w:r>
              <w:rPr/>
              <w:t>1.根据供应商提供的应急管理方案进行评审，能提供应急管理方案的，得2分，不提供不得分；如未能提供应急管理方案的，以下评分项均不得分； 2.应急管理方案包括①人力、物力处置能力、②疫情应急处置预案、③疫情应急响应的，得3分；如提供的应急管理方案未包含①人力、物力处置能力、②疫情应急处置预案、③疫情应急响应的，以下评分项均不得分。 3.应急管理方案能完全满足且优于采购需求的，得5分；能完全满足采购需求的，得3分，能部分满足采购需求的，得1分；不能满足采购需求的，不得分。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1.根据供应商提供的药物供应使用情况及安全保证措施进行评审，能提供药物供应使用情况及安全保证措施的，得2分，不提供不得分；如未能提供药物供应使用情况及安全保证措施的，以下评分项均不得分； 2.药物供应使用情况及安全保证措施包括药物供应渠道、使用及保管规范、配备的药物情况及安全保证措施的，得3分；如提供的药物供应使用情况及安全保证措施未能体现药物供应渠道、使用及保管规范、配备的药物情况及安全保证措施的，以下评分项均不得分。 3.药物供应使用情况及安全保证措施能完全满足且优于采购需求的，得5分；能完全满足采购需求的，得3分，能部分满足采购需求的，得1分；不能满足采购需求的，不得分。</w:t>
            </w:r>
          </w:p>
        </w:tc>
      </w:tr>
      <w:tr>
        <w:tc>
          <w:tcPr>
            <w:tcW w:type="dxa" w:w="922"/>
            <w:gridSpan w:val="2"/>
            <w:vMerge/>
          </w:tcPr>
          <w:p/>
        </w:tc>
        <w:tc>
          <w:tcPr>
            <w:tcW w:type="dxa" w:w="2307"/>
          </w:tcPr>
          <w:p>
            <w:pPr>
              <w:pStyle w:val="null3"/>
              <w:jc w:val="left"/>
            </w:pPr>
            <w:r>
              <w:rPr/>
              <w:t>针对服务区域的可行性建议 (5.0分)</w:t>
            </w:r>
          </w:p>
        </w:tc>
        <w:tc>
          <w:tcPr>
            <w:tcW w:type="dxa" w:w="5076"/>
          </w:tcPr>
          <w:p>
            <w:pPr>
              <w:pStyle w:val="null3"/>
              <w:jc w:val="left"/>
            </w:pPr>
            <w:r>
              <w:rPr/>
              <w:t>1.根据供应商提供的针对服务区域的其他建议进行评审，能提供针对服务区域的其他建议的，得1分；如未能提供针对服务区域的其他建议的，以下评分项均不得分； 2.针对服务区域的其他建议包含①人流量、居民生活习惯、建筑物、植被、公共设施等特征进行详细分析、②提出有利于控制本区域疫情的建议方案的，得1分；如提供的针对服务区域的其他建议未包含①人流量、居民生活习惯、建筑物、植被、公共设施等特征进行详细分析、②提出有利于控制本区域疫情的建议方案的，以下评分项均不得分。 3.针对服务区域的可行性建议完全满足且优于采购需求的，得3分；能完全满足采购需求的，得2分，能部分满足采购需求的，得1分；不能满足采购需求的，不得分。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供应商获得在有效期内的质量管理体系认证证书、环境管理体系认证证书、职业健康管理体系认证证书，每提供一个得2分，最高6分。 注：须提供证书扫描件，无提供不得分。此项评分如因供应商成立时间不足3个月，导致未能取得相关认证且提供书面说明的，对应证书可得分。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拟投入本项目的现场负责人 (2.0分)</w:t>
            </w:r>
          </w:p>
        </w:tc>
        <w:tc>
          <w:tcPr>
            <w:tcW w:type="dxa" w:w="5076"/>
          </w:tcPr>
          <w:p>
            <w:pPr>
              <w:pStyle w:val="null3"/>
              <w:jc w:val="left"/>
            </w:pPr>
            <w:r>
              <w:rPr/>
              <w:t>为了满足项目实际需要，拟投入本项目的现场负责人要求如下： 供应商为本项目配备现场负责人需具备有害生物防制中级或以上资格证书得2分。 注：上述人员需同时提供有害生物防制员资格证书、人员身份证扫描件、磋商截止日前6个月内任意1个月的本单位社保缴纳证明。缺少一项不得分，不提供不得分。</w:t>
            </w:r>
          </w:p>
        </w:tc>
      </w:tr>
      <w:tr>
        <w:tc>
          <w:tcPr>
            <w:tcW w:type="dxa" w:w="922"/>
            <w:gridSpan w:val="2"/>
            <w:vMerge/>
          </w:tcPr>
          <w:p/>
        </w:tc>
        <w:tc>
          <w:tcPr>
            <w:tcW w:type="dxa" w:w="2307"/>
          </w:tcPr>
          <w:p>
            <w:pPr>
              <w:pStyle w:val="null3"/>
              <w:jc w:val="left"/>
            </w:pPr>
            <w:r>
              <w:rPr/>
              <w:t>拟投入本项目的服务团队 (10.0分)</w:t>
            </w:r>
          </w:p>
        </w:tc>
        <w:tc>
          <w:tcPr>
            <w:tcW w:type="dxa" w:w="5076"/>
          </w:tcPr>
          <w:p>
            <w:pPr>
              <w:pStyle w:val="null3"/>
              <w:jc w:val="left"/>
            </w:pPr>
            <w:r>
              <w:rPr/>
              <w:t>为了满足项目实际需要，拟投入本项目的人员要求如下： 供应商为本项目每配备1个服务人员得0.4分，最高得10分。 注：上述人员数量需同时提供有害生物防制初级或以上资格证或卫生有害生物防制协会颁发的合格培训证书、人员身份证扫描件。缺少一项不得分，不提供不得分。</w:t>
            </w:r>
          </w:p>
        </w:tc>
      </w:tr>
      <w:tr>
        <w:tc>
          <w:tcPr>
            <w:tcW w:type="dxa" w:w="922"/>
            <w:gridSpan w:val="2"/>
            <w:vMerge/>
          </w:tcPr>
          <w:p/>
        </w:tc>
        <w:tc>
          <w:tcPr>
            <w:tcW w:type="dxa" w:w="2307"/>
          </w:tcPr>
          <w:p>
            <w:pPr>
              <w:pStyle w:val="null3"/>
              <w:jc w:val="left"/>
            </w:pPr>
            <w:r>
              <w:rPr/>
              <w:t>业绩情况 (6.0分)</w:t>
            </w:r>
          </w:p>
        </w:tc>
        <w:tc>
          <w:tcPr>
            <w:tcW w:type="dxa" w:w="5076"/>
          </w:tcPr>
          <w:p>
            <w:pPr>
              <w:pStyle w:val="null3"/>
              <w:jc w:val="left"/>
            </w:pPr>
            <w:r>
              <w:rPr/>
              <w:t>根据投标人在2021年1月1日至响应截止之日前（以合同签订时间为准）完成或正承接中的同类型消杀项目业绩，每提供1份得1分。本项最高得6分。 注：须提供合同关键页（含签订合同双方的单位名称、合同项目名称、签订合同双方的落款盖章、签订日期的关键页），未按要求提供不得分；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在上述同类项目业绩中，供应商在本项目提供的业绩项目中有获得合同的甲方单位对其服务质量评价，且评价内容须包括满意或优等类似的正面满意度评价内容材料，需盖有合同的甲方单位公章（可以为单位公章或业务管理部门章等内设置机构章），每提供一份得1分，最高得6分。 注：1、提供证明材料复印件，加盖供应商公章； 2、提供多个评价材料均为同一甲方单位的，只计算为一个评价； 3、如非经认定为有效项目业绩，则对应项目评价材料不得分。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评审得分相同的，由采购人或者采购人委托谈判小组采取随机抽取方式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（本合同仅为合同的参考文本，合同签订双方根据项目的具体要求进行修订。）</w:t>
      </w:r>
    </w:p>
    <w:p>
      <w:pPr>
        <w:pStyle w:val="null3"/>
        <w:jc w:val="center"/>
      </w:pPr>
      <w:r>
        <w:rPr>
          <w:sz w:val="22"/>
          <w:b/>
        </w:rPr>
        <w:t xml:space="preserve"> </w:t>
      </w:r>
      <w:r>
        <w:rPr>
          <w:sz w:val="52"/>
          <w:b/>
        </w:rPr>
        <w:t>合　同　书</w:t>
      </w:r>
    </w:p>
    <w:tbl>
      <w:tblPr>
        <w:tblW w:w="0" w:type="auto"/>
        <w:tblBorders>
          <w:top w:val="single"/>
          <w:left w:val="single"/>
          <w:bottom w:val="single"/>
          <w:right w:val="single"/>
          <w:insideH w:val="single"/>
          <w:insideV w:val="single"/>
        </w:tblBorders>
      </w:tblPr>
      <w:tblGrid>
        <w:gridCol w:w="5400"/>
      </w:tblGrid>
      <w:tr>
        <w:tc>
          <w:tcPr>
            <w:tcW w:type="dxa" w:w="5400"/>
            <w:tcMar>
              <w:top w:type="dxa" w:w="0"/>
              <w:left w:type="dxa" w:w="105"/>
              <w:bottom w:type="dxa" w:w="0"/>
              <w:right w:type="dxa" w:w="105"/>
            </w:tcMar>
            <w:vAlign w:val="top"/>
          </w:tcPr>
          <w:p>
            <w:pPr>
              <w:pStyle w:val="null3"/>
            </w:pPr>
            <w:r>
              <w:rPr>
                <w:sz w:val="24"/>
                <w:b/>
              </w:rPr>
              <w:t>采购编号：</w:t>
            </w:r>
          </w:p>
        </w:tc>
      </w:tr>
      <w:tr>
        <w:tc>
          <w:tcPr>
            <w:tcW w:type="dxa" w:w="5400"/>
            <w:tcMar>
              <w:top w:type="dxa" w:w="0"/>
              <w:left w:type="dxa" w:w="105"/>
              <w:bottom w:type="dxa" w:w="0"/>
              <w:right w:type="dxa" w:w="105"/>
            </w:tcMar>
            <w:vAlign w:val="top"/>
          </w:tcPr>
          <w:p>
            <w:pPr>
              <w:pStyle w:val="null3"/>
            </w:pPr>
          </w:p>
        </w:tc>
      </w:tr>
      <w:tr>
        <w:tc>
          <w:tcPr>
            <w:tcW w:type="dxa" w:w="5400"/>
            <w:tcMar>
              <w:top w:type="dxa" w:w="0"/>
              <w:left w:type="dxa" w:w="105"/>
              <w:bottom w:type="dxa" w:w="0"/>
              <w:right w:type="dxa" w:w="105"/>
            </w:tcMar>
            <w:vAlign w:val="top"/>
          </w:tcPr>
          <w:p>
            <w:pPr>
              <w:pStyle w:val="null3"/>
            </w:pPr>
            <w:r>
              <w:rPr>
                <w:sz w:val="24"/>
                <w:b/>
              </w:rPr>
              <w:t>项目名称：</w:t>
            </w:r>
          </w:p>
        </w:tc>
      </w:tr>
      <w:tr>
        <w:tc>
          <w:tcPr>
            <w:tcW w:type="dxa" w:w="5400"/>
            <w:tcMar>
              <w:top w:type="dxa" w:w="0"/>
              <w:left w:type="dxa" w:w="105"/>
              <w:bottom w:type="dxa" w:w="0"/>
              <w:right w:type="dxa" w:w="105"/>
            </w:tcMar>
            <w:vAlign w:val="top"/>
          </w:tcPr>
          <w:p>
            <w:pPr>
              <w:pStyle w:val="null3"/>
            </w:pPr>
          </w:p>
        </w:tc>
      </w:tr>
    </w:tbl>
    <w:p>
      <w:pPr>
        <w:pStyle w:val="null3"/>
      </w:pPr>
      <w:r>
        <w:rPr>
          <w:sz w:val="24"/>
        </w:rPr>
        <w:t xml:space="preserve">甲 方： </w:t>
      </w:r>
    </w:p>
    <w:p>
      <w:pPr>
        <w:pStyle w:val="null3"/>
        <w:ind w:left="420"/>
      </w:pPr>
      <w:r>
        <w:rPr>
          <w:sz w:val="24"/>
        </w:rPr>
        <w:t>电 话 ：</w:t>
      </w:r>
    </w:p>
    <w:p>
      <w:pPr>
        <w:pStyle w:val="null3"/>
        <w:ind w:left="420"/>
      </w:pPr>
      <w:r>
        <w:rPr>
          <w:sz w:val="24"/>
        </w:rPr>
        <w:t>传 真 ：</w:t>
      </w:r>
    </w:p>
    <w:p>
      <w:pPr>
        <w:pStyle w:val="null3"/>
        <w:ind w:left="420"/>
      </w:pPr>
      <w:r>
        <w:rPr>
          <w:sz w:val="24"/>
        </w:rPr>
        <w:t xml:space="preserve">地 址 ：                   </w:t>
      </w:r>
    </w:p>
    <w:p>
      <w:pPr>
        <w:pStyle w:val="null3"/>
        <w:ind w:left="420"/>
      </w:pPr>
      <w:r>
        <w:rPr>
          <w:sz w:val="24"/>
        </w:rPr>
        <w:t xml:space="preserve">乙 方 ：                  </w:t>
      </w:r>
    </w:p>
    <w:p>
      <w:pPr>
        <w:pStyle w:val="null3"/>
        <w:ind w:left="420"/>
      </w:pPr>
      <w:r>
        <w:rPr>
          <w:sz w:val="24"/>
        </w:rPr>
        <w:t>电 话 ：</w:t>
      </w:r>
    </w:p>
    <w:p>
      <w:pPr>
        <w:pStyle w:val="null3"/>
        <w:ind w:left="420"/>
      </w:pPr>
      <w:r>
        <w:rPr>
          <w:sz w:val="24"/>
        </w:rPr>
        <w:t>传 真 ：</w:t>
      </w:r>
    </w:p>
    <w:p>
      <w:pPr>
        <w:pStyle w:val="null3"/>
        <w:ind w:left="420"/>
      </w:pPr>
      <w:r>
        <w:rPr>
          <w:sz w:val="24"/>
        </w:rPr>
        <w:t xml:space="preserve">地 址 ：                   </w:t>
      </w:r>
    </w:p>
    <w:p>
      <w:pPr>
        <w:pStyle w:val="null3"/>
      </w:pPr>
      <w:r>
        <w:rPr>
          <w:sz w:val="24"/>
        </w:rPr>
        <w:t>根据</w:t>
      </w:r>
      <w:r>
        <w:rPr>
          <w:sz w:val="24"/>
          <w:u w:val="single"/>
        </w:rPr>
        <w:t xml:space="preserve">                    </w:t>
      </w:r>
      <w:r>
        <w:rPr>
          <w:sz w:val="24"/>
        </w:rPr>
        <w:t>的采购结果，按照《中华人民共和国政府采购法》、《中华人民共和国政府采购法实施条例》、《中华人民共和国民法典》的相关规定，经双方协商，本着平等互利和诚实信用的原则，一致同意签订本合同如下。</w:t>
      </w:r>
    </w:p>
    <w:p>
      <w:pPr>
        <w:pStyle w:val="null3"/>
        <w:ind w:firstLine="480"/>
      </w:pPr>
      <w:r>
        <w:rPr>
          <w:sz w:val="24"/>
        </w:rPr>
        <w:t>一、每支队伍费用：</w:t>
      </w:r>
      <w:r>
        <w:rPr>
          <w:sz w:val="24"/>
          <w:u w:val="single"/>
        </w:rPr>
        <w:t xml:space="preserve">            </w:t>
      </w:r>
      <w:r>
        <w:rPr>
          <w:sz w:val="24"/>
        </w:rPr>
        <w:t xml:space="preserve"> 元/天</w:t>
      </w:r>
    </w:p>
    <w:p>
      <w:pPr>
        <w:pStyle w:val="null3"/>
        <w:ind w:firstLine="480"/>
      </w:pPr>
      <w:r>
        <w:rPr>
          <w:sz w:val="24"/>
        </w:rPr>
        <w:t>二、服务期：自合同签订生效日起一年。若服务金额达到预算金额合同自动终止。。</w:t>
      </w:r>
    </w:p>
    <w:p>
      <w:pPr>
        <w:pStyle w:val="null3"/>
        <w:ind w:firstLine="480"/>
      </w:pPr>
      <w:r>
        <w:rPr>
          <w:sz w:val="24"/>
        </w:rPr>
        <w:t>三、服务地点：甲方指定地点（广州市荔湾区辖区内）。</w:t>
      </w:r>
    </w:p>
    <w:p>
      <w:pPr>
        <w:pStyle w:val="null3"/>
        <w:ind w:firstLine="480"/>
      </w:pPr>
      <w:r>
        <w:rPr>
          <w:sz w:val="24"/>
        </w:rPr>
        <w:t>四、工作职责</w:t>
      </w:r>
    </w:p>
    <w:p>
      <w:pPr>
        <w:pStyle w:val="null3"/>
        <w:ind w:firstLine="480"/>
      </w:pPr>
      <w:r>
        <w:rPr>
          <w:sz w:val="24"/>
        </w:rPr>
        <w:t>1</w:t>
      </w:r>
      <w:r>
        <w:rPr>
          <w:sz w:val="24"/>
        </w:rPr>
        <w:t>、甲方职责：</w:t>
      </w:r>
    </w:p>
    <w:p>
      <w:pPr>
        <w:pStyle w:val="null3"/>
        <w:ind w:firstLine="480"/>
        <w:jc w:val="both"/>
      </w:pPr>
      <w:r>
        <w:rPr>
          <w:sz w:val="24"/>
          <w:color w:val="000000"/>
          <w:shd w:fill="FFFFFF" w:val="clear"/>
        </w:rPr>
        <w:t>在合同执行期间应配合乙方的工作，每次行动前应派人与乙方做好前期协调工作，并在服务记录卡签名验收。</w:t>
      </w:r>
    </w:p>
    <w:p>
      <w:pPr>
        <w:pStyle w:val="null3"/>
        <w:ind w:firstLine="480"/>
      </w:pPr>
      <w:r>
        <w:rPr>
          <w:sz w:val="24"/>
        </w:rPr>
        <w:t>2</w:t>
      </w:r>
      <w:r>
        <w:rPr>
          <w:sz w:val="24"/>
        </w:rPr>
        <w:t>、乙方职责：</w:t>
      </w:r>
    </w:p>
    <w:p>
      <w:pPr>
        <w:pStyle w:val="null3"/>
        <w:ind w:firstLine="480"/>
        <w:jc w:val="both"/>
      </w:pPr>
      <w:r>
        <w:rPr>
          <w:sz w:val="24"/>
          <w:color w:val="000000"/>
          <w:shd w:fill="FFFFFF" w:val="clear"/>
        </w:rPr>
        <w:t>（1）按广州市荔湾区登革热疫情处置方案要求，迅速开展灭蚊作业，以求迅速将蚊媒密度控制在安全范围内（按《广州有害生物防制服务行业管理办法》的有关要求，确保在承包期内将服务区域的蚊媒密度控制在安全范围内）。</w:t>
      </w:r>
    </w:p>
    <w:p>
      <w:pPr>
        <w:pStyle w:val="null3"/>
        <w:ind w:firstLine="480"/>
        <w:jc w:val="both"/>
      </w:pPr>
      <w:r>
        <w:rPr>
          <w:sz w:val="24"/>
          <w:color w:val="000000"/>
          <w:shd w:fill="FFFFFF" w:val="clear"/>
        </w:rPr>
        <w:t>（2）负责荔湾区辖区范围内登革热疫点核心区的蚊媒应急处置，按甲方要求对街道蚊媒密度监测指数高和重点难点区域组织支援队伍开展清理孳生地和消杀工作。</w:t>
      </w:r>
    </w:p>
    <w:p>
      <w:pPr>
        <w:pStyle w:val="null3"/>
        <w:ind w:firstLine="480"/>
        <w:jc w:val="both"/>
      </w:pPr>
      <w:r>
        <w:rPr>
          <w:sz w:val="24"/>
          <w:color w:val="000000"/>
          <w:shd w:fill="FFFFFF" w:val="clear"/>
        </w:rPr>
        <w:t>（3）负责疫点周边公共外环境病媒生物孳生地的调查与清理、处置前的现场勘察，无法处理的作登记并及时向甲方书面报告。</w:t>
      </w:r>
    </w:p>
    <w:p>
      <w:pPr>
        <w:pStyle w:val="null3"/>
        <w:ind w:firstLine="480"/>
        <w:jc w:val="both"/>
      </w:pPr>
      <w:r>
        <w:rPr>
          <w:sz w:val="24"/>
          <w:color w:val="000000"/>
          <w:shd w:fill="FFFFFF" w:val="clear"/>
        </w:rPr>
        <w:t>（4）上岗服务人员要严格遵守灭蚊消杀技术操作规程，文明作业，并填写服务记录卡作为当次服务的依据。</w:t>
      </w:r>
    </w:p>
    <w:p>
      <w:pPr>
        <w:pStyle w:val="null3"/>
        <w:ind w:firstLine="480"/>
        <w:jc w:val="both"/>
      </w:pPr>
      <w:r>
        <w:rPr>
          <w:sz w:val="24"/>
          <w:color w:val="000000"/>
          <w:shd w:fill="FFFFFF" w:val="clear"/>
        </w:rPr>
        <w:t>（5）有责任建议和指导甲方进行防蚊清积水和做好日常蚊虫防制的巩固工作。</w:t>
      </w:r>
    </w:p>
    <w:p>
      <w:pPr>
        <w:pStyle w:val="null3"/>
        <w:ind w:firstLine="480"/>
        <w:jc w:val="both"/>
      </w:pPr>
      <w:r>
        <w:rPr>
          <w:sz w:val="24"/>
          <w:color w:val="000000"/>
          <w:shd w:fill="FFFFFF" w:val="clear"/>
        </w:rPr>
        <w:t>（6）注意药物的使用安全，投（施）药时需防护的部分，应向甲方提出，并采取有效的防护措施。</w:t>
      </w:r>
    </w:p>
    <w:p>
      <w:pPr>
        <w:pStyle w:val="null3"/>
        <w:ind w:firstLine="480"/>
        <w:jc w:val="both"/>
      </w:pPr>
      <w:r>
        <w:rPr>
          <w:sz w:val="24"/>
          <w:color w:val="000000"/>
          <w:shd w:fill="FFFFFF" w:val="clear"/>
        </w:rPr>
        <w:t>（7）结合当前防控登革热的形势制定出如下消杀使用的药物（见下表），严禁使用明文禁用药物。使用的药物表（此表仅为参考药物，在本项目服务期内，消杀使用的药物按甲方意见为准）。</w:t>
      </w:r>
    </w:p>
    <w:tbl>
      <w:tblPr>
        <w:tblW w:w="0" w:type="auto"/>
        <w:tblBorders>
          <w:top w:val="none" w:color="000000" w:sz="4"/>
          <w:left w:val="none" w:color="000000" w:sz="4"/>
          <w:bottom w:val="none" w:color="000000" w:sz="4"/>
          <w:right w:val="none" w:color="000000" w:sz="4"/>
          <w:insideH w:val="none"/>
          <w:insideV w:val="none"/>
        </w:tblBorders>
      </w:tblPr>
      <w:tblGrid>
        <w:gridCol w:w="1465"/>
        <w:gridCol w:w="2036"/>
        <w:gridCol w:w="1157"/>
        <w:gridCol w:w="1157"/>
        <w:gridCol w:w="1187"/>
        <w:gridCol w:w="1304"/>
      </w:tblGrid>
      <w:tr>
        <w:tc>
          <w:tcPr>
            <w:tcW w:type="dxa" w:w="14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药物品名</w:t>
            </w:r>
          </w:p>
        </w:tc>
        <w:tc>
          <w:tcPr>
            <w:tcW w:type="dxa" w:w="20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有效成份</w:t>
            </w:r>
          </w:p>
        </w:tc>
        <w:tc>
          <w:tcPr>
            <w:tcW w:type="dxa" w:w="11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剂型</w:t>
            </w:r>
          </w:p>
        </w:tc>
        <w:tc>
          <w:tcPr>
            <w:tcW w:type="dxa" w:w="11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防治对象</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使用区域</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使用方法</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烯丙•氯菊</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氯菊酯与烯丙菊酯混配，总含量≥</w:t>
            </w:r>
            <w:r>
              <w:rPr>
                <w:sz w:val="24"/>
              </w:rPr>
              <w:t>10%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乳油剂</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室内、室外</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空间超低喷洒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苯氰</w:t>
            </w:r>
            <w:r>
              <w:rPr>
                <w:sz w:val="24"/>
              </w:rPr>
              <w:t>.</w:t>
            </w:r>
            <w:r>
              <w:rPr>
                <w:sz w:val="24"/>
              </w:rPr>
              <w:t>残杀威</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右旋苯醚氰菊酯与残杀威混配，总含量≥</w:t>
            </w:r>
            <w:r>
              <w:rPr>
                <w:sz w:val="24"/>
              </w:rPr>
              <w:t>10%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乳油剂</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室内、室外</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空间超低喷洒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残杀威</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残杀威含量≥</w:t>
            </w:r>
            <w:r>
              <w:rPr>
                <w:sz w:val="24"/>
              </w:rPr>
              <w:t>10%</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乳油或微乳剂</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室内、室外</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滞留喷洒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高效氯氰菊酯</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高效氯氰菊酯≥</w:t>
            </w:r>
            <w:r>
              <w:rPr>
                <w:sz w:val="24"/>
              </w:rPr>
              <w:t>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悬浮剂</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室内、室外</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滞留喷洒</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杀虫热雾剂</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氯氰菊酯与残杀威混配，总含量≥</w:t>
            </w:r>
            <w:r>
              <w:rPr>
                <w:sz w:val="24"/>
              </w:rPr>
              <w:t>2.5%</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热雾剂</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密闭空间和下水道</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直接使用</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杀虫热雾剂</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胺</w:t>
            </w:r>
            <w:r>
              <w:rPr>
                <w:sz w:val="24"/>
              </w:rPr>
              <w:t>菊酯与</w:t>
            </w:r>
            <w:r>
              <w:rPr>
                <w:sz w:val="24"/>
              </w:rPr>
              <w:t>氯氰菊酯</w:t>
            </w:r>
            <w:r>
              <w:rPr>
                <w:sz w:val="24"/>
              </w:rPr>
              <w:t>混配，总含量≥</w:t>
            </w:r>
            <w:r>
              <w:rPr>
                <w:sz w:val="24"/>
              </w:rPr>
              <w:t>2.</w:t>
            </w:r>
            <w:r>
              <w:rPr>
                <w:sz w:val="24"/>
              </w:rPr>
              <w:t>0</w:t>
            </w:r>
            <w:r>
              <w:rPr>
                <w:sz w:val="24"/>
              </w:rPr>
              <w:t>%</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热雾剂</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成虫</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密闭空间和下水道</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直接使用</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w:t>
            </w:r>
            <w:r>
              <w:rPr>
                <w:sz w:val="24"/>
              </w:rPr>
              <w:t>颗粒剂</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r>
              <w:rPr>
                <w:sz w:val="24"/>
              </w:rPr>
              <w:t>倍硫磷颗粒剂</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粉剂</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幼虫</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孳生地处理</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投放</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杀虫粉剂</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吡虫啉含量≥</w:t>
            </w:r>
            <w:r>
              <w:rPr>
                <w:sz w:val="24"/>
              </w:rPr>
              <w:t>2%</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颗粒剂</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幼虫</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孳生地处理</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投放</w:t>
            </w:r>
          </w:p>
        </w:tc>
      </w:tr>
    </w:tbl>
    <w:p>
      <w:pPr>
        <w:pStyle w:val="null3"/>
        <w:ind w:firstLine="480"/>
        <w:jc w:val="both"/>
      </w:pPr>
      <w:r>
        <w:rPr>
          <w:sz w:val="24"/>
          <w:color w:val="000000"/>
          <w:shd w:fill="FFFFFF" w:val="clear"/>
        </w:rPr>
        <w:t>（8）乙方须明确药物供应渠道、使用及保管规范、配备的药物的具体情况及相关药物的安全保证措施。</w:t>
      </w:r>
    </w:p>
    <w:p>
      <w:pPr>
        <w:pStyle w:val="null3"/>
        <w:ind w:left="420"/>
      </w:pPr>
      <w:r>
        <w:rPr>
          <w:sz w:val="24"/>
          <w:b/>
          <w:color w:val="000000"/>
          <w:shd w:fill="FFFFFF" w:val="clear"/>
        </w:rPr>
        <w:t>五、工作管理</w:t>
      </w:r>
    </w:p>
    <w:p>
      <w:pPr>
        <w:pStyle w:val="null3"/>
        <w:ind w:firstLine="480"/>
        <w:jc w:val="both"/>
      </w:pPr>
      <w:r>
        <w:rPr>
          <w:sz w:val="24"/>
          <w:color w:val="000000"/>
          <w:shd w:fill="FFFFFF" w:val="clear"/>
        </w:rPr>
        <w:t>1</w:t>
      </w:r>
      <w:r>
        <w:rPr>
          <w:sz w:val="24"/>
          <w:color w:val="000000"/>
          <w:shd w:fill="FFFFFF" w:val="clear"/>
        </w:rPr>
        <w:t>、人员管理</w:t>
      </w:r>
    </w:p>
    <w:p>
      <w:pPr>
        <w:pStyle w:val="null3"/>
        <w:ind w:firstLine="480"/>
        <w:jc w:val="both"/>
      </w:pPr>
      <w:r>
        <w:rPr>
          <w:sz w:val="24"/>
          <w:color w:val="000000"/>
          <w:shd w:fill="FFFFFF" w:val="clear"/>
        </w:rPr>
        <w:t>（1）乙方指定一名工作人员为本项目现场负责人，该负责人须持有有害生物防制员中级或以上证书。现场负责人在行动期间要与甲方协商沟通好工作，合理分配安排队伍人员，未经甲方同意不得离开消杀工作范围。</w:t>
      </w:r>
    </w:p>
    <w:p>
      <w:pPr>
        <w:pStyle w:val="null3"/>
        <w:ind w:left="510"/>
        <w:jc w:val="both"/>
      </w:pPr>
      <w:r>
        <w:rPr>
          <w:sz w:val="24"/>
          <w:color w:val="000000"/>
          <w:shd w:fill="FFFFFF" w:val="clear"/>
        </w:rPr>
        <w:t>项目负责人主要职责：</w:t>
      </w:r>
    </w:p>
    <w:p>
      <w:pPr>
        <w:pStyle w:val="null3"/>
        <w:ind w:left="510"/>
        <w:jc w:val="both"/>
      </w:pPr>
      <w:r>
        <w:rPr>
          <w:sz w:val="24"/>
          <w:color w:val="000000"/>
          <w:shd w:fill="FFFFFF" w:val="clear"/>
        </w:rPr>
        <w:t>1</w:t>
      </w:r>
      <w:r>
        <w:rPr>
          <w:sz w:val="24"/>
          <w:color w:val="000000"/>
          <w:shd w:fill="FFFFFF" w:val="clear"/>
        </w:rPr>
        <w:t>）勘察拟处理区域的环境情况（如病家位置、病家环境、病家小区环境、核心区环境等），提前制定符合环境、疫情和甲方要求的处理方案（附带有灭蚊范围和重点的灭蚊重点建议图）并依照执行，做好各环节质量控制工作；</w:t>
      </w:r>
    </w:p>
    <w:p>
      <w:pPr>
        <w:pStyle w:val="null3"/>
        <w:ind w:left="510"/>
        <w:jc w:val="both"/>
      </w:pPr>
      <w:r>
        <w:rPr>
          <w:sz w:val="24"/>
          <w:color w:val="000000"/>
          <w:shd w:fill="FFFFFF" w:val="clear"/>
        </w:rPr>
        <w:t>2</w:t>
      </w:r>
      <w:r>
        <w:rPr>
          <w:sz w:val="24"/>
          <w:color w:val="000000"/>
          <w:shd w:fill="FFFFFF" w:val="clear"/>
        </w:rPr>
        <w:t>）配合甲方安排开展质控考核评估工作；</w:t>
      </w:r>
    </w:p>
    <w:p>
      <w:pPr>
        <w:pStyle w:val="null3"/>
        <w:ind w:left="510"/>
        <w:jc w:val="both"/>
      </w:pPr>
      <w:r>
        <w:rPr>
          <w:sz w:val="24"/>
          <w:color w:val="000000"/>
          <w:shd w:fill="FFFFFF" w:val="clear"/>
        </w:rPr>
        <w:t>3</w:t>
      </w:r>
      <w:r>
        <w:rPr>
          <w:sz w:val="24"/>
          <w:color w:val="000000"/>
          <w:shd w:fill="FFFFFF" w:val="clear"/>
        </w:rPr>
        <w:t>）每次服务后，填写符合要求的消杀记录表，将处置过程中的人员安排、器械用药、处理面积、发现问题和建议等形成书面报告交付给所属街道及甲方督办。</w:t>
      </w:r>
    </w:p>
    <w:p>
      <w:pPr>
        <w:pStyle w:val="null3"/>
        <w:ind w:left="510"/>
        <w:jc w:val="both"/>
      </w:pPr>
      <w:r>
        <w:rPr>
          <w:sz w:val="24"/>
          <w:color w:val="000000"/>
          <w:shd w:fill="FFFFFF" w:val="clear"/>
        </w:rPr>
        <w:t>4</w:t>
      </w:r>
      <w:r>
        <w:rPr>
          <w:sz w:val="24"/>
          <w:color w:val="000000"/>
          <w:shd w:fill="FFFFFF" w:val="clear"/>
        </w:rPr>
        <w:t>）乙方不得随意变更现场负责人，如必须变更，须书面向甲方提出申请，经同意后方可变更，且合同期内只能变更一次（项目负责人怀孕、生病等不可抗力原因除外）。</w:t>
      </w:r>
    </w:p>
    <w:p>
      <w:pPr>
        <w:pStyle w:val="null3"/>
        <w:ind w:firstLine="480"/>
        <w:jc w:val="both"/>
      </w:pPr>
      <w:r>
        <w:rPr>
          <w:sz w:val="24"/>
          <w:color w:val="000000"/>
          <w:shd w:fill="FFFFFF" w:val="clear"/>
        </w:rPr>
        <w:t>（2）参与本项目常备工作人员每支队伍12人（不含现场负责人），工作过程中要穿着统一工作制服，参与消杀工作人员需持有有害生物防制员证书或经培训合格。</w:t>
      </w:r>
    </w:p>
    <w:p>
      <w:pPr>
        <w:pStyle w:val="null3"/>
        <w:ind w:firstLine="480"/>
        <w:jc w:val="both"/>
      </w:pPr>
      <w:r>
        <w:rPr>
          <w:sz w:val="24"/>
          <w:color w:val="000000"/>
          <w:shd w:fill="FFFFFF" w:val="clear"/>
        </w:rPr>
        <w:t>（3）乙方应按照《中华人民共和国劳动法》的相关规定发放工资，应按照《中华人民共和国社会保险法》和《住房公积金管理条例》的相关规定，支付国家规定必须购买的社会保险费用和缴存住房公积金。</w:t>
      </w:r>
    </w:p>
    <w:p>
      <w:pPr>
        <w:pStyle w:val="null3"/>
        <w:ind w:firstLine="480"/>
        <w:jc w:val="both"/>
      </w:pPr>
      <w:r>
        <w:rPr>
          <w:sz w:val="24"/>
          <w:color w:val="000000"/>
          <w:shd w:fill="FFFFFF" w:val="clear"/>
        </w:rPr>
        <w:t>（4）乙方必须确保工作人员的工作规范，如工作过程中出现职业伤害、工伤、经济赔偿、民事纠纷、刑事责任等，由乙方全部负责。</w:t>
      </w:r>
    </w:p>
    <w:p>
      <w:pPr>
        <w:pStyle w:val="null3"/>
        <w:ind w:firstLine="480"/>
        <w:jc w:val="both"/>
      </w:pPr>
      <w:r>
        <w:rPr>
          <w:sz w:val="24"/>
          <w:color w:val="000000"/>
          <w:shd w:fill="FFFFFF" w:val="clear"/>
        </w:rPr>
        <w:t>（5）乙方须配备相应的项目服务组织架构和完善的管理制度。</w:t>
      </w:r>
    </w:p>
    <w:p>
      <w:pPr>
        <w:pStyle w:val="null3"/>
        <w:ind w:firstLine="480"/>
        <w:jc w:val="both"/>
      </w:pPr>
      <w:r>
        <w:rPr>
          <w:sz w:val="24"/>
          <w:color w:val="000000"/>
          <w:shd w:fill="FFFFFF" w:val="clear"/>
        </w:rPr>
        <w:t>2</w:t>
      </w:r>
      <w:r>
        <w:rPr>
          <w:sz w:val="24"/>
          <w:color w:val="000000"/>
          <w:shd w:fill="FFFFFF" w:val="clear"/>
        </w:rPr>
        <w:t>、业务管理</w:t>
      </w:r>
    </w:p>
    <w:p>
      <w:pPr>
        <w:pStyle w:val="null3"/>
        <w:ind w:firstLine="480"/>
        <w:jc w:val="both"/>
      </w:pPr>
      <w:r>
        <w:rPr>
          <w:sz w:val="24"/>
          <w:color w:val="000000"/>
          <w:shd w:fill="FFFFFF" w:val="clear"/>
        </w:rPr>
        <w:t>（1）乙方自行负责消杀队伍的办公场所和员工培训，并应保证各项业务工作顺利实施。</w:t>
      </w:r>
    </w:p>
    <w:p>
      <w:pPr>
        <w:pStyle w:val="null3"/>
        <w:ind w:firstLine="480"/>
        <w:jc w:val="both"/>
      </w:pPr>
      <w:r>
        <w:rPr>
          <w:sz w:val="24"/>
          <w:color w:val="000000"/>
          <w:shd w:fill="FFFFFF" w:val="clear"/>
        </w:rPr>
        <w:t>（2）甲方安排专人指导消杀队伍，合理安排工作，每次消杀要记录消杀队伍的人员情况和药械的使用情况，并组织安排质控考核评估工作。</w:t>
      </w:r>
    </w:p>
    <w:p>
      <w:pPr>
        <w:pStyle w:val="null3"/>
        <w:ind w:firstLine="480"/>
        <w:jc w:val="both"/>
      </w:pPr>
      <w:r>
        <w:rPr>
          <w:sz w:val="24"/>
          <w:color w:val="000000"/>
          <w:shd w:fill="FFFFFF" w:val="clear"/>
        </w:rPr>
        <w:t>（3）由甲方组织安排乙方在疫点核心区内进行应急消杀（以实际工作量为准），每次行动根据甲方实际情况安排，每支队伍需标准配置12名消杀人员，6台专业超低容量喷雾机（含药物），工作时间为每天7小时。甲方可要求乙方同时派出最多2支消杀队伍。</w:t>
      </w:r>
    </w:p>
    <w:p>
      <w:pPr>
        <w:pStyle w:val="null3"/>
        <w:ind w:left="510"/>
        <w:jc w:val="both"/>
      </w:pPr>
      <w:r>
        <w:rPr>
          <w:sz w:val="24"/>
          <w:color w:val="000000"/>
          <w:shd w:fill="FFFFFF" w:val="clear"/>
        </w:rPr>
        <w:t>3</w:t>
      </w:r>
      <w:r>
        <w:rPr>
          <w:sz w:val="24"/>
          <w:color w:val="000000"/>
          <w:shd w:fill="FFFFFF" w:val="clear"/>
        </w:rPr>
        <w:t>、药械管理</w:t>
      </w:r>
    </w:p>
    <w:p>
      <w:pPr>
        <w:pStyle w:val="null3"/>
        <w:ind w:left="510"/>
        <w:jc w:val="both"/>
      </w:pPr>
      <w:r>
        <w:rPr>
          <w:sz w:val="24"/>
          <w:color w:val="000000"/>
          <w:shd w:fill="FFFFFF" w:val="clear"/>
        </w:rPr>
        <w:t>（1）消杀器械装备</w:t>
      </w:r>
    </w:p>
    <w:p>
      <w:pPr>
        <w:pStyle w:val="null3"/>
        <w:ind w:left="510"/>
        <w:jc w:val="both"/>
      </w:pPr>
      <w:r>
        <w:rPr>
          <w:sz w:val="24"/>
          <w:color w:val="000000"/>
          <w:shd w:fill="FFFFFF" w:val="clear"/>
        </w:rPr>
        <w:t>乙方须为本项目配备工作器械，包括12台背负式超低容量喷雾机、6台常量喷雾机、2台热（冷）烟雾机，其他器械根据实际情况配备。</w:t>
      </w:r>
    </w:p>
    <w:p>
      <w:pPr>
        <w:pStyle w:val="null3"/>
        <w:ind w:left="510"/>
        <w:jc w:val="both"/>
      </w:pPr>
      <w:r>
        <w:rPr>
          <w:sz w:val="24"/>
          <w:color w:val="000000"/>
          <w:shd w:fill="FFFFFF" w:val="clear"/>
        </w:rPr>
        <w:t>（2）消杀药物管理</w:t>
      </w:r>
    </w:p>
    <w:p>
      <w:pPr>
        <w:pStyle w:val="null3"/>
        <w:ind w:left="510"/>
        <w:jc w:val="both"/>
      </w:pPr>
      <w:r>
        <w:rPr>
          <w:sz w:val="24"/>
          <w:color w:val="000000"/>
          <w:shd w:fill="FFFFFF" w:val="clear"/>
        </w:rPr>
        <w:t>1</w:t>
      </w:r>
      <w:r>
        <w:rPr>
          <w:sz w:val="24"/>
          <w:color w:val="000000"/>
          <w:shd w:fill="FFFFFF" w:val="clear"/>
        </w:rPr>
        <w:t>）乙方按甲方的要求负责现场蚊媒应急消杀所需药物，灭蚊药物种类根据甲方推荐情况自行采购，乙方每个疫点投入药物的品牌和数量须得到甲方认可。每次消杀作业后，乙方都要按照甲方要求做好详细施工记录（包括处置面积、药物种类和数量、出动人员和人数等），并在完成消杀作业后1天内向甲方提交施工记录、工作图片等资料。</w:t>
      </w:r>
    </w:p>
    <w:p>
      <w:pPr>
        <w:pStyle w:val="null3"/>
        <w:ind w:left="510"/>
        <w:jc w:val="both"/>
      </w:pPr>
      <w:r>
        <w:rPr>
          <w:sz w:val="24"/>
          <w:color w:val="000000"/>
          <w:shd w:fill="FFFFFF" w:val="clear"/>
        </w:rPr>
        <w:t>2</w:t>
      </w:r>
      <w:r>
        <w:rPr>
          <w:sz w:val="24"/>
          <w:color w:val="000000"/>
          <w:shd w:fill="FFFFFF" w:val="clear"/>
        </w:rPr>
        <w:t>）乙方采购的每种药物必须有真实有效的卫生类农药登记证（备案在有效期内）、农药生产许可证书（备案在有效期内）和企业标准。</w:t>
      </w:r>
    </w:p>
    <w:p>
      <w:pPr>
        <w:pStyle w:val="null3"/>
        <w:ind w:left="510"/>
        <w:jc w:val="both"/>
      </w:pPr>
      <w:r>
        <w:rPr>
          <w:sz w:val="24"/>
          <w:color w:val="000000"/>
          <w:shd w:fill="FFFFFF" w:val="clear"/>
        </w:rPr>
        <w:t>3</w:t>
      </w:r>
      <w:r>
        <w:rPr>
          <w:sz w:val="24"/>
          <w:color w:val="000000"/>
          <w:shd w:fill="FFFFFF" w:val="clear"/>
        </w:rPr>
        <w:t>）乙方必须注重科学合理用药，不能使用假药、过期药、国家禁用的药物。使用的药物和器械必须符合《病媒生物控制药物器械安全使用准则》，达到“环保、低毒、高效、安全”的要求。</w:t>
      </w:r>
    </w:p>
    <w:p>
      <w:pPr>
        <w:pStyle w:val="null3"/>
        <w:ind w:left="510"/>
        <w:jc w:val="both"/>
      </w:pPr>
      <w:r>
        <w:rPr>
          <w:sz w:val="24"/>
          <w:b/>
          <w:color w:val="000000"/>
          <w:shd w:fill="FFFFFF" w:val="clear"/>
        </w:rPr>
        <w:t>六、项目服务要求</w:t>
      </w:r>
    </w:p>
    <w:p>
      <w:pPr>
        <w:pStyle w:val="null3"/>
        <w:ind w:left="510"/>
        <w:jc w:val="both"/>
      </w:pPr>
      <w:r>
        <w:rPr>
          <w:sz w:val="24"/>
          <w:color w:val="000000"/>
          <w:shd w:fill="FFFFFF" w:val="clear"/>
        </w:rPr>
        <w:t>1</w:t>
      </w:r>
      <w:r>
        <w:rPr>
          <w:sz w:val="24"/>
          <w:color w:val="000000"/>
          <w:shd w:fill="FFFFFF" w:val="clear"/>
        </w:rPr>
        <w:t>、疫情应急响应：甲方提前半天通知的前提下，供应人需按照要求及时响应。</w:t>
      </w:r>
    </w:p>
    <w:p>
      <w:pPr>
        <w:pStyle w:val="null3"/>
        <w:ind w:left="510"/>
        <w:jc w:val="both"/>
      </w:pPr>
      <w:r>
        <w:rPr>
          <w:sz w:val="24"/>
          <w:color w:val="000000"/>
          <w:shd w:fill="FFFFFF" w:val="clear"/>
        </w:rPr>
        <w:t>2</w:t>
      </w:r>
      <w:r>
        <w:rPr>
          <w:sz w:val="24"/>
          <w:color w:val="000000"/>
          <w:shd w:fill="FFFFFF" w:val="clear"/>
        </w:rPr>
        <w:t>、乙方必须配备相应的项目服务组织架构和完善的管理措施。</w:t>
      </w:r>
    </w:p>
    <w:p>
      <w:pPr>
        <w:pStyle w:val="null3"/>
        <w:ind w:left="510"/>
        <w:jc w:val="both"/>
      </w:pPr>
      <w:r>
        <w:rPr>
          <w:sz w:val="24"/>
          <w:color w:val="000000"/>
          <w:shd w:fill="FFFFFF" w:val="clear"/>
        </w:rPr>
        <w:t>3</w:t>
      </w:r>
      <w:r>
        <w:rPr>
          <w:sz w:val="24"/>
          <w:color w:val="000000"/>
          <w:shd w:fill="FFFFFF" w:val="clear"/>
        </w:rPr>
        <w:t>、乙方的服务方案计划应切实可行。</w:t>
      </w:r>
    </w:p>
    <w:p>
      <w:pPr>
        <w:pStyle w:val="null3"/>
        <w:ind w:left="510"/>
        <w:jc w:val="both"/>
      </w:pPr>
      <w:r>
        <w:rPr>
          <w:sz w:val="24"/>
          <w:b/>
          <w:color w:val="000000"/>
          <w:shd w:fill="FFFFFF" w:val="clear"/>
        </w:rPr>
        <w:t>七、服务质量考评和处罚</w:t>
      </w:r>
    </w:p>
    <w:p>
      <w:pPr>
        <w:pStyle w:val="null3"/>
      </w:pPr>
      <w:r>
        <w:rPr>
          <w:sz w:val="24"/>
          <w:color w:val="000000"/>
          <w:shd w:fill="FFFFFF" w:val="clear"/>
        </w:rPr>
        <w:t xml:space="preserve">        1、乙方每次消杀要记录消杀队伍的人员情况和药械的使用情况。相关街道工作人员将对乙方每次行动中到场时间、到场人数、药械品类和数量、工作情况等项目进行扣分评价，总分100分，扣完为止，评分作为分派任务及服务费结算的参考依据</w:t>
      </w:r>
      <w:r>
        <w:rPr>
          <w:sz w:val="24"/>
          <w:color w:val="000000"/>
          <w:shd w:fill="FFFFFF" w:val="clear"/>
        </w:rPr>
        <w:t>。评分细则详见《</w:t>
      </w:r>
      <w:r>
        <w:rPr>
          <w:sz w:val="24"/>
        </w:rPr>
        <w:t>蚊媒控制工作评价表</w:t>
      </w:r>
      <w:r>
        <w:rPr>
          <w:sz w:val="24"/>
          <w:color w:val="000000"/>
          <w:shd w:fill="FFFFFF" w:val="clear"/>
        </w:rPr>
        <w:t>》</w:t>
      </w:r>
    </w:p>
    <w:p>
      <w:pPr>
        <w:pStyle w:val="null3"/>
      </w:pPr>
      <w:r>
        <w:rPr>
          <w:sz w:val="24"/>
          <w:color w:val="000000"/>
          <w:shd w:fill="FFFFFF" w:val="clear"/>
        </w:rPr>
        <w:t xml:space="preserve">       2、如乙方累计两次无法达到甲方提供病媒生物防制的服务要求或累计两次参加病媒生物防制的服务评分都＜60分，甲方有权终止合同。</w:t>
      </w:r>
    </w:p>
    <w:p>
      <w:pPr>
        <w:pStyle w:val="null3"/>
      </w:pPr>
      <w:r>
        <w:rPr>
          <w:sz w:val="24"/>
          <w:color w:val="000000"/>
          <w:shd w:fill="FFFFFF" w:val="clear"/>
        </w:rPr>
        <w:t xml:space="preserve">       3、乙方在病媒生物防制工作任务的限期和区域内，因乙方原因导致病媒生物密度未降至低风险及以下水平，乙方须在收到甲方通知后3日内按要求免费重新开展病媒生物防制工作直至病媒生物密度降至低风险及以下水平，否则只支付该次消杀费用的50%；乙方在病媒生物防制工作任务的限期和区域内，累计达三次因乙方原因导致病媒生物密度未降至低风险及以下水平，甲方有权终止合同。</w:t>
      </w:r>
    </w:p>
    <w:p>
      <w:pPr>
        <w:pStyle w:val="null3"/>
      </w:pPr>
      <w:r>
        <w:rPr>
          <w:sz w:val="24"/>
          <w:color w:val="000000"/>
          <w:shd w:fill="FFFFFF" w:val="clear"/>
        </w:rPr>
        <w:t xml:space="preserve">        4、如因乙方或乙方聘请的员工泄露疫情或相关工作信息，造成社会不良后果，一经查实，甲方有权追究相应法律责任并有权终止合同。</w:t>
      </w:r>
    </w:p>
    <w:p>
      <w:pPr>
        <w:pStyle w:val="null3"/>
      </w:pPr>
      <w:r>
        <w:rPr>
          <w:sz w:val="24"/>
          <w:color w:val="000000"/>
          <w:shd w:fill="FFFFFF" w:val="clear"/>
        </w:rPr>
        <w:t xml:space="preserve">        5、在合同期内，发生综合治理、安全生产事故给甲方造成重大负面影响的，甲方有权终止合同。</w:t>
      </w:r>
    </w:p>
    <w:p>
      <w:pPr>
        <w:pStyle w:val="null3"/>
      </w:pPr>
      <w:r>
        <w:rPr>
          <w:sz w:val="24"/>
          <w:color w:val="000000"/>
          <w:shd w:fill="FFFFFF" w:val="clear"/>
        </w:rPr>
        <w:t xml:space="preserve">        6、在合同期内，如出现乙方使用不符合规定的药物或不当投（施）药造成不良后果，甲方有权追究相应法律责任并有权终止合同，乙方承担由此产生的风险并赔偿由此导致的损失。本项目预算使用完毕或服务期满，本项目合同结束，乙方必须无条件配合结束本项目。</w:t>
      </w:r>
    </w:p>
    <w:p>
      <w:pPr>
        <w:pStyle w:val="null3"/>
        <w:ind w:left="510"/>
        <w:jc w:val="both"/>
      </w:pPr>
      <w:r>
        <w:rPr>
          <w:sz w:val="24"/>
          <w:b/>
          <w:color w:val="000000"/>
          <w:shd w:fill="FFFFFF" w:val="clear"/>
        </w:rPr>
        <w:t>八、验收要求</w:t>
      </w:r>
    </w:p>
    <w:p>
      <w:pPr>
        <w:pStyle w:val="null3"/>
        <w:ind w:firstLine="480"/>
      </w:pPr>
      <w:r>
        <w:rPr>
          <w:sz w:val="24"/>
          <w:color w:val="000000"/>
          <w:shd w:fill="FFFFFF" w:val="clear"/>
        </w:rPr>
        <w:t>乙方工作完成后，由所属街道填写《蚊媒控制工作量记录表》、《蚊媒控制工作评价表》确认工作效果。</w:t>
      </w:r>
    </w:p>
    <w:p>
      <w:pPr>
        <w:pStyle w:val="null3"/>
        <w:ind w:left="510"/>
        <w:jc w:val="both"/>
      </w:pPr>
      <w:r>
        <w:rPr>
          <w:sz w:val="24"/>
          <w:b/>
          <w:color w:val="000000"/>
          <w:shd w:fill="FFFFFF" w:val="clear"/>
        </w:rPr>
        <w:t>九、付款方式</w:t>
      </w:r>
    </w:p>
    <w:p>
      <w:pPr>
        <w:pStyle w:val="null3"/>
        <w:ind w:firstLine="480"/>
      </w:pPr>
      <w:r>
        <w:rPr>
          <w:sz w:val="24"/>
          <w:color w:val="000000"/>
          <w:shd w:fill="FFFFFF" w:val="clear"/>
        </w:rPr>
        <w:t>1</w:t>
      </w:r>
      <w:r>
        <w:rPr>
          <w:sz w:val="24"/>
          <w:color w:val="000000"/>
          <w:shd w:fill="FFFFFF" w:val="clear"/>
        </w:rPr>
        <w:t>、服务费一般每季度结算一次，亦可根据甲方要求每月结算一次。乙方在每个季度首月的15号前向甲方提交上一季度《蚊媒控制工作量记录表》和有效发票申请结算，经甲方确认后，在次月5号结付上一季度的服务费（具体到账时间以财政拨付时间为准）。如每月结算一次，每个月的15号前向甲方提交上一月《蚊媒控制工作量记录表》和有效发票申请结算，经甲方确认后，5个工作日内结付上一月的服务费（具体到账时间以财政拨付时间为准）。</w:t>
      </w:r>
    </w:p>
    <w:p>
      <w:pPr>
        <w:pStyle w:val="null3"/>
        <w:ind w:left="510"/>
        <w:jc w:val="both"/>
      </w:pPr>
      <w:r>
        <w:rPr>
          <w:sz w:val="24"/>
          <w:b/>
          <w:color w:val="000000"/>
          <w:shd w:fill="FFFFFF" w:val="clear"/>
        </w:rPr>
        <w:t>十、违约责任与赔偿损失</w:t>
      </w:r>
    </w:p>
    <w:p>
      <w:pPr>
        <w:pStyle w:val="null3"/>
        <w:ind w:firstLine="480"/>
      </w:pPr>
      <w:r>
        <w:rPr>
          <w:sz w:val="24"/>
          <w:color w:val="000000"/>
          <w:shd w:fill="FFFFFF" w:val="clear"/>
        </w:rPr>
        <w:t>1</w:t>
      </w:r>
      <w:r>
        <w:rPr>
          <w:sz w:val="24"/>
          <w:color w:val="000000"/>
          <w:shd w:fill="FFFFFF" w:val="clear"/>
        </w:rPr>
        <w:t>、乙方提供的服务不符合采购文件、投标文件或本合同规定的，甲方有权拒收，并且乙方须向甲方支付本合同总价5%的违约金。</w:t>
      </w:r>
    </w:p>
    <w:p>
      <w:pPr>
        <w:pStyle w:val="null3"/>
        <w:ind w:firstLine="480"/>
      </w:pPr>
      <w:r>
        <w:rPr>
          <w:sz w:val="24"/>
          <w:color w:val="000000"/>
          <w:shd w:fill="FFFFFF" w:val="clear"/>
        </w:rPr>
        <w:t>2</w:t>
      </w:r>
      <w:r>
        <w:rPr>
          <w:sz w:val="24"/>
          <w:color w:val="000000"/>
          <w:shd w:fill="FFFFFF" w:val="clear"/>
        </w:rPr>
        <w:t>、乙方未能按本合同规定的交货时间提供服务，从逾期之日起每日按本合同总价 3‰的数额向甲方支付违约金；逾期半个月以上的，甲方有权终止合同，由此造成的甲方经济损失由乙方承担。</w:t>
      </w:r>
    </w:p>
    <w:p>
      <w:pPr>
        <w:pStyle w:val="null3"/>
        <w:ind w:firstLine="480"/>
      </w:pPr>
      <w:r>
        <w:rPr>
          <w:sz w:val="24"/>
          <w:color w:val="000000"/>
          <w:shd w:fill="FFFFFF" w:val="clear"/>
        </w:rPr>
        <w:t>3</w:t>
      </w:r>
      <w:r>
        <w:rPr>
          <w:sz w:val="24"/>
          <w:color w:val="000000"/>
          <w:shd w:fill="FFFFFF" w:val="clear"/>
        </w:rPr>
        <w:t>、甲方无正当理由拒绝接受服务，到期拒付服务款项的，甲方向乙方偿付本合同总价的 5%的违约金。甲方逾期付款，则每日按本合同总价的 3‰向乙方偿付违约金。</w:t>
      </w:r>
    </w:p>
    <w:p>
      <w:pPr>
        <w:pStyle w:val="null3"/>
        <w:ind w:firstLine="480"/>
      </w:pPr>
      <w:r>
        <w:rPr>
          <w:sz w:val="24"/>
          <w:color w:val="000000"/>
          <w:shd w:fill="FFFFFF" w:val="clear"/>
        </w:rPr>
        <w:t>4</w:t>
      </w:r>
      <w:r>
        <w:rPr>
          <w:sz w:val="24"/>
          <w:color w:val="000000"/>
          <w:shd w:fill="FFFFFF" w:val="clear"/>
        </w:rPr>
        <w:t>、其它违约责任按《中华人民共和国民法典》处理。</w:t>
      </w:r>
    </w:p>
    <w:p>
      <w:pPr>
        <w:pStyle w:val="null3"/>
        <w:ind w:left="510"/>
        <w:jc w:val="both"/>
      </w:pPr>
      <w:r>
        <w:rPr>
          <w:sz w:val="24"/>
          <w:b/>
          <w:color w:val="000000"/>
          <w:shd w:fill="FFFFFF" w:val="clear"/>
        </w:rPr>
        <w:t>十一、争端的解决</w:t>
      </w:r>
    </w:p>
    <w:p>
      <w:pPr>
        <w:pStyle w:val="null3"/>
        <w:ind w:firstLine="480"/>
      </w:pPr>
      <w:r>
        <w:rPr>
          <w:sz w:val="24"/>
          <w:color w:val="000000"/>
          <w:shd w:fill="FFFFFF" w:val="clear"/>
        </w:rPr>
        <w:t>合同执行过程中发生的任何争议，如双方不能通过友好协商解决，按相关法律法规处理。</w:t>
      </w:r>
    </w:p>
    <w:p>
      <w:pPr>
        <w:pStyle w:val="null3"/>
        <w:ind w:left="510"/>
        <w:jc w:val="both"/>
      </w:pPr>
      <w:r>
        <w:rPr>
          <w:sz w:val="24"/>
          <w:b/>
          <w:color w:val="000000"/>
          <w:shd w:fill="FFFFFF" w:val="clear"/>
        </w:rPr>
        <w:t>十二、不可抗力</w:t>
      </w:r>
    </w:p>
    <w:p>
      <w:pPr>
        <w:pStyle w:val="null3"/>
        <w:ind w:firstLine="480"/>
      </w:pPr>
      <w:r>
        <w:rPr>
          <w:sz w:val="24"/>
          <w:color w:val="000000"/>
          <w:shd w:fill="FFFFFF" w:val="clear"/>
        </w:rPr>
        <w:t>任何一方由于不可抗力原因不能履行合同时，应在不可抗力事件结束后 1 日内向对方通报，以减轻可能给对方造成的损失，在取得有关机构的不可抗力证明或双方谅解确认后，允许延期履行或修订合同，并根据情况可部分或全部免于承担违约责任。</w:t>
      </w:r>
    </w:p>
    <w:p>
      <w:pPr>
        <w:pStyle w:val="null3"/>
        <w:ind w:left="510"/>
        <w:jc w:val="both"/>
      </w:pPr>
      <w:r>
        <w:rPr>
          <w:sz w:val="24"/>
          <w:b/>
          <w:color w:val="000000"/>
          <w:shd w:fill="FFFFFF" w:val="clear"/>
        </w:rPr>
        <w:t>十三、税费</w:t>
      </w:r>
    </w:p>
    <w:p>
      <w:pPr>
        <w:pStyle w:val="null3"/>
        <w:ind w:left="420"/>
      </w:pPr>
      <w:r>
        <w:rPr>
          <w:sz w:val="24"/>
        </w:rPr>
        <w:t>在中国境内、外发生的与本合同执行有关的一切税费均由乙方负担。</w:t>
      </w:r>
    </w:p>
    <w:p>
      <w:pPr>
        <w:pStyle w:val="null3"/>
        <w:ind w:left="510"/>
        <w:jc w:val="both"/>
      </w:pPr>
      <w:r>
        <w:rPr>
          <w:sz w:val="24"/>
          <w:b/>
          <w:color w:val="000000"/>
          <w:shd w:fill="FFFFFF" w:val="clear"/>
        </w:rPr>
        <w:t>十四、其它</w:t>
      </w:r>
    </w:p>
    <w:p>
      <w:pPr>
        <w:pStyle w:val="null3"/>
        <w:ind w:firstLine="480"/>
      </w:pPr>
      <w:r>
        <w:rPr>
          <w:sz w:val="24"/>
          <w:color w:val="000000"/>
          <w:shd w:fill="FFFFFF" w:val="clear"/>
        </w:rPr>
        <w:t>1</w:t>
      </w:r>
      <w:r>
        <w:rPr>
          <w:sz w:val="24"/>
          <w:color w:val="000000"/>
          <w:shd w:fill="FFFFFF" w:val="clear"/>
        </w:rPr>
        <w:t>、本合同所有附件、采购文件、投标文件、中标通知书均为合同的有效组成部分，与本合同具有同等法律效力。</w:t>
      </w:r>
    </w:p>
    <w:p>
      <w:pPr>
        <w:pStyle w:val="null3"/>
        <w:ind w:firstLine="480"/>
      </w:pPr>
      <w:r>
        <w:rPr>
          <w:sz w:val="24"/>
          <w:color w:val="000000"/>
          <w:shd w:fill="FFFFFF" w:val="clear"/>
        </w:rPr>
        <w:t>2</w:t>
      </w:r>
      <w:r>
        <w:rPr>
          <w:sz w:val="24"/>
          <w:color w:val="000000"/>
          <w:shd w:fill="FFFFFF" w:val="clear"/>
        </w:rPr>
        <w:t>、在执行本合同的过程中，所有经双方签署确认的文件（包括会议纪要、补充协议、往来信函）即成为本合同的有效组成部分。</w:t>
      </w:r>
    </w:p>
    <w:p>
      <w:pPr>
        <w:pStyle w:val="null3"/>
        <w:ind w:firstLine="480"/>
      </w:pPr>
      <w:r>
        <w:rPr>
          <w:sz w:val="24"/>
          <w:color w:val="000000"/>
          <w:shd w:fill="FFFFFF" w:val="clear"/>
        </w:rPr>
        <w:t>3</w:t>
      </w:r>
      <w:r>
        <w:rPr>
          <w:sz w:val="24"/>
          <w:color w:val="000000"/>
          <w:shd w:fill="FFFFFF" w:val="clear"/>
        </w:rPr>
        <w:t xml:space="preserve">、如一方地址、电话、传真号码有变更，应在变更当日内书面通知对方，否则，应承担相应责任。 </w:t>
      </w:r>
    </w:p>
    <w:p>
      <w:pPr>
        <w:pStyle w:val="null3"/>
        <w:ind w:firstLine="480"/>
      </w:pPr>
      <w:r>
        <w:rPr>
          <w:sz w:val="24"/>
          <w:color w:val="000000"/>
          <w:shd w:fill="FFFFFF" w:val="clear"/>
        </w:rPr>
        <w:t>4</w:t>
      </w:r>
      <w:r>
        <w:rPr>
          <w:sz w:val="24"/>
          <w:color w:val="000000"/>
          <w:shd w:fill="FFFFFF" w:val="clear"/>
        </w:rPr>
        <w:t>、除甲方事先书面同意外，乙方不得部分或全部转让其应履行的合同项下的义务。</w:t>
      </w:r>
    </w:p>
    <w:p>
      <w:pPr>
        <w:pStyle w:val="null3"/>
        <w:ind w:left="510"/>
        <w:jc w:val="both"/>
      </w:pPr>
      <w:r>
        <w:rPr>
          <w:sz w:val="24"/>
          <w:b/>
          <w:color w:val="000000"/>
          <w:shd w:fill="FFFFFF" w:val="clear"/>
        </w:rPr>
        <w:t>十五、合同生效</w:t>
      </w:r>
    </w:p>
    <w:p>
      <w:pPr>
        <w:pStyle w:val="null3"/>
        <w:ind w:firstLine="480"/>
      </w:pPr>
      <w:r>
        <w:rPr>
          <w:sz w:val="24"/>
          <w:color w:val="000000"/>
          <w:shd w:fill="FFFFFF" w:val="clear"/>
        </w:rPr>
        <w:t>1</w:t>
      </w:r>
      <w:r>
        <w:rPr>
          <w:sz w:val="24"/>
          <w:color w:val="000000"/>
          <w:shd w:fill="FFFFFF" w:val="clear"/>
        </w:rPr>
        <w:t>、本合同在甲乙双方法定代表人或其授权代表签字和单位盖章后生效。</w:t>
      </w:r>
    </w:p>
    <w:p>
      <w:pPr>
        <w:pStyle w:val="null3"/>
        <w:ind w:firstLine="480"/>
      </w:pPr>
      <w:r>
        <w:rPr>
          <w:sz w:val="24"/>
          <w:color w:val="000000"/>
          <w:shd w:fill="FFFFFF" w:val="clear"/>
        </w:rPr>
        <w:t>2</w:t>
      </w:r>
      <w:r>
        <w:rPr>
          <w:sz w:val="24"/>
          <w:color w:val="000000"/>
          <w:shd w:fill="FFFFFF" w:val="clear"/>
        </w:rPr>
        <w:t>、合同一式 份，其中甲方 份，乙方 份，采购代理机构壹份，均具有同等法律效力。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Mar>
              <w:top w:type="dxa" w:w="0"/>
              <w:left w:type="dxa" w:w="105"/>
              <w:bottom w:type="dxa" w:w="0"/>
              <w:right w:type="dxa" w:w="105"/>
            </w:tcMar>
            <w:vAlign w:val="top"/>
          </w:tcPr>
          <w:p>
            <w:pPr>
              <w:pStyle w:val="null3"/>
            </w:pPr>
            <w:r>
              <w:rPr>
                <w:sz w:val="24"/>
              </w:rPr>
              <w:t>甲方（盖章）：</w:t>
            </w:r>
          </w:p>
        </w:tc>
        <w:tc>
          <w:tcPr>
            <w:tcW w:type="dxa" w:w="4153"/>
            <w:tcMar>
              <w:top w:type="dxa" w:w="0"/>
              <w:left w:type="dxa" w:w="105"/>
              <w:bottom w:type="dxa" w:w="0"/>
              <w:right w:type="dxa" w:w="105"/>
            </w:tcMar>
            <w:vAlign w:val="top"/>
          </w:tcPr>
          <w:p>
            <w:pPr>
              <w:pStyle w:val="null3"/>
            </w:pPr>
            <w:r>
              <w:rPr>
                <w:sz w:val="24"/>
              </w:rPr>
              <w:t>乙方（盖章）：</w:t>
            </w:r>
          </w:p>
        </w:tc>
      </w:tr>
      <w:tr>
        <w:tc>
          <w:tcPr>
            <w:tcW w:type="dxa" w:w="4153"/>
            <w:tcMar>
              <w:top w:type="dxa" w:w="0"/>
              <w:left w:type="dxa" w:w="105"/>
              <w:bottom w:type="dxa" w:w="0"/>
              <w:right w:type="dxa" w:w="105"/>
            </w:tcMar>
            <w:vAlign w:val="top"/>
          </w:tcPr>
          <w:p>
            <w:pPr>
              <w:pStyle w:val="null3"/>
            </w:pPr>
            <w:r>
              <w:rPr>
                <w:sz w:val="24"/>
              </w:rPr>
              <w:t>代表：</w:t>
            </w:r>
          </w:p>
        </w:tc>
        <w:tc>
          <w:tcPr>
            <w:tcW w:type="dxa" w:w="4153"/>
            <w:tcMar>
              <w:top w:type="dxa" w:w="0"/>
              <w:left w:type="dxa" w:w="105"/>
              <w:bottom w:type="dxa" w:w="0"/>
              <w:right w:type="dxa" w:w="105"/>
            </w:tcMar>
            <w:vAlign w:val="top"/>
          </w:tcPr>
          <w:p>
            <w:pPr>
              <w:pStyle w:val="null3"/>
            </w:pPr>
            <w:r>
              <w:rPr>
                <w:sz w:val="24"/>
              </w:rPr>
              <w:t>代表：</w:t>
            </w:r>
          </w:p>
        </w:tc>
      </w:tr>
      <w:tr>
        <w:tc>
          <w:tcPr>
            <w:tcW w:type="dxa" w:w="4153"/>
            <w:tcMar>
              <w:top w:type="dxa" w:w="0"/>
              <w:left w:type="dxa" w:w="105"/>
              <w:bottom w:type="dxa" w:w="0"/>
              <w:right w:type="dxa" w:w="105"/>
            </w:tcMar>
            <w:vAlign w:val="top"/>
          </w:tcPr>
          <w:p>
            <w:pPr>
              <w:pStyle w:val="null3"/>
            </w:pPr>
            <w:r>
              <w:rPr>
                <w:sz w:val="24"/>
              </w:rPr>
              <w:t>签定地点：</w:t>
            </w:r>
          </w:p>
        </w:tc>
        <w:tc>
          <w:tcPr>
            <w:tcW w:type="dxa" w:w="4153"/>
            <w:tcMar>
              <w:top w:type="dxa" w:w="0"/>
              <w:left w:type="dxa" w:w="105"/>
              <w:bottom w:type="dxa" w:w="0"/>
              <w:right w:type="dxa" w:w="105"/>
            </w:tcMar>
            <w:vAlign w:val="top"/>
          </w:tcPr>
          <w:p>
            <w:pPr>
              <w:pStyle w:val="null3"/>
            </w:pPr>
          </w:p>
        </w:tc>
      </w:tr>
      <w:tr>
        <w:tc>
          <w:tcPr>
            <w:tcW w:type="dxa" w:w="4153"/>
            <w:tcMar>
              <w:top w:type="dxa" w:w="0"/>
              <w:left w:type="dxa" w:w="105"/>
              <w:bottom w:type="dxa" w:w="0"/>
              <w:right w:type="dxa" w:w="105"/>
            </w:tcMar>
            <w:vAlign w:val="top"/>
          </w:tcPr>
          <w:p>
            <w:pPr>
              <w:pStyle w:val="null3"/>
            </w:pPr>
            <w:r>
              <w:rPr>
                <w:sz w:val="24"/>
              </w:rPr>
              <w:t>签定日期：</w:t>
            </w:r>
            <w:r>
              <w:rPr>
                <w:sz w:val="22"/>
              </w:rPr>
              <w:t xml:space="preserve">    </w:t>
            </w:r>
            <w:r>
              <w:rPr>
                <w:sz w:val="24"/>
              </w:rPr>
              <w:t>年</w:t>
            </w:r>
            <w:r>
              <w:rPr>
                <w:sz w:val="22"/>
              </w:rPr>
              <w:t xml:space="preserve">    </w:t>
            </w:r>
            <w:r>
              <w:rPr>
                <w:sz w:val="24"/>
              </w:rPr>
              <w:t>月</w:t>
            </w:r>
            <w:r>
              <w:rPr>
                <w:sz w:val="22"/>
              </w:rPr>
              <w:t xml:space="preserve">   </w:t>
            </w:r>
            <w:r>
              <w:rPr>
                <w:sz w:val="24"/>
              </w:rPr>
              <w:t>日</w:t>
            </w:r>
          </w:p>
        </w:tc>
        <w:tc>
          <w:tcPr>
            <w:tcW w:type="dxa" w:w="4153"/>
            <w:tcMar>
              <w:top w:type="dxa" w:w="0"/>
              <w:left w:type="dxa" w:w="105"/>
              <w:bottom w:type="dxa" w:w="0"/>
              <w:right w:type="dxa" w:w="105"/>
            </w:tcMar>
            <w:vAlign w:val="top"/>
          </w:tcPr>
          <w:p>
            <w:pPr>
              <w:pStyle w:val="null3"/>
            </w:pPr>
            <w:r>
              <w:rPr>
                <w:sz w:val="24"/>
              </w:rPr>
              <w:t>签定日期：</w:t>
            </w:r>
            <w:r>
              <w:rPr>
                <w:sz w:val="22"/>
              </w:rPr>
              <w:t xml:space="preserve">  </w:t>
            </w:r>
            <w:r>
              <w:rPr>
                <w:sz w:val="24"/>
              </w:rPr>
              <w:t>年</w:t>
            </w:r>
            <w:r>
              <w:rPr>
                <w:sz w:val="22"/>
              </w:rPr>
              <w:t xml:space="preserve">     </w:t>
            </w:r>
            <w:r>
              <w:rPr>
                <w:sz w:val="24"/>
              </w:rPr>
              <w:t>月</w:t>
            </w:r>
            <w:r>
              <w:rPr>
                <w:sz w:val="22"/>
              </w:rPr>
              <w:t xml:space="preserve">     </w:t>
            </w:r>
            <w:r>
              <w:rPr>
                <w:sz w:val="24"/>
              </w:rPr>
              <w:t>日</w:t>
            </w:r>
          </w:p>
        </w:tc>
      </w:tr>
      <w:tr>
        <w:tc>
          <w:tcPr>
            <w:tcW w:type="dxa" w:w="4153"/>
            <w:tcMar>
              <w:top w:type="dxa" w:w="0"/>
              <w:left w:type="dxa" w:w="105"/>
              <w:bottom w:type="dxa" w:w="0"/>
              <w:right w:type="dxa" w:w="105"/>
            </w:tcMar>
            <w:vAlign w:val="top"/>
          </w:tcPr>
          <w:p>
            <w:pPr>
              <w:pStyle w:val="null3"/>
            </w:pPr>
          </w:p>
        </w:tc>
        <w:tc>
          <w:tcPr>
            <w:tcW w:type="dxa" w:w="4153"/>
            <w:tcMar>
              <w:top w:type="dxa" w:w="0"/>
              <w:left w:type="dxa" w:w="105"/>
              <w:bottom w:type="dxa" w:w="0"/>
              <w:right w:type="dxa" w:w="105"/>
            </w:tcMar>
            <w:vAlign w:val="top"/>
          </w:tcPr>
          <w:p>
            <w:pPr>
              <w:pStyle w:val="null3"/>
            </w:pPr>
            <w:r>
              <w:rPr>
                <w:sz w:val="24"/>
              </w:rPr>
              <w:t>开户名称：</w:t>
            </w:r>
          </w:p>
        </w:tc>
      </w:tr>
      <w:tr>
        <w:tc>
          <w:tcPr>
            <w:tcW w:type="dxa" w:w="4153"/>
            <w:tcMar>
              <w:top w:type="dxa" w:w="0"/>
              <w:left w:type="dxa" w:w="105"/>
              <w:bottom w:type="dxa" w:w="0"/>
              <w:right w:type="dxa" w:w="105"/>
            </w:tcMar>
            <w:vAlign w:val="top"/>
          </w:tcPr>
          <w:p>
            <w:pPr>
              <w:pStyle w:val="null3"/>
            </w:pPr>
          </w:p>
        </w:tc>
        <w:tc>
          <w:tcPr>
            <w:tcW w:type="dxa" w:w="4153"/>
            <w:tcMar>
              <w:top w:type="dxa" w:w="0"/>
              <w:left w:type="dxa" w:w="105"/>
              <w:bottom w:type="dxa" w:w="0"/>
              <w:right w:type="dxa" w:w="105"/>
            </w:tcMar>
            <w:vAlign w:val="top"/>
          </w:tcPr>
          <w:p>
            <w:pPr>
              <w:pStyle w:val="null3"/>
            </w:pPr>
            <w:r>
              <w:rPr>
                <w:sz w:val="24"/>
              </w:rPr>
              <w:t>银行帐号：</w:t>
            </w:r>
          </w:p>
        </w:tc>
      </w:tr>
      <w:tr>
        <w:tc>
          <w:tcPr>
            <w:tcW w:type="dxa" w:w="4153"/>
            <w:tcMar>
              <w:top w:type="dxa" w:w="0"/>
              <w:left w:type="dxa" w:w="105"/>
              <w:bottom w:type="dxa" w:w="0"/>
              <w:right w:type="dxa" w:w="105"/>
            </w:tcMar>
            <w:vAlign w:val="top"/>
          </w:tcPr>
          <w:p>
            <w:pPr>
              <w:pStyle w:val="null3"/>
            </w:pPr>
          </w:p>
        </w:tc>
        <w:tc>
          <w:tcPr>
            <w:tcW w:type="dxa" w:w="4153"/>
            <w:tcMar>
              <w:top w:type="dxa" w:w="0"/>
              <w:left w:type="dxa" w:w="105"/>
              <w:bottom w:type="dxa" w:w="0"/>
              <w:right w:type="dxa" w:w="105"/>
            </w:tcMar>
            <w:vAlign w:val="top"/>
          </w:tcPr>
          <w:p>
            <w:pPr>
              <w:pStyle w:val="null3"/>
            </w:pPr>
            <w:r>
              <w:rPr>
                <w:sz w:val="24"/>
              </w:rPr>
              <w:t>开</w:t>
            </w:r>
            <w:r>
              <w:rPr>
                <w:sz w:val="24"/>
              </w:rPr>
              <w:t>户</w:t>
            </w:r>
            <w:r>
              <w:rPr>
                <w:sz w:val="24"/>
              </w:rPr>
              <w:t>行：</w:t>
            </w:r>
          </w:p>
        </w:tc>
      </w:tr>
    </w:tbl>
    <w:p>
      <w:pPr>
        <w:pStyle w:val="null3"/>
        <w:ind w:left="6375"/>
      </w:pPr>
      <w:r>
        <w:rPr>
          <w:sz w:val="24"/>
          <w:b/>
        </w:rPr>
        <w:t>附件1 蚊媒控制工作量记录表</w:t>
      </w:r>
    </w:p>
    <w:tbl>
      <w:tblPr>
        <w:tblW w:w="0" w:type="auto"/>
        <w:tblBorders>
          <w:top w:val="none" w:color="000000" w:sz="4"/>
          <w:left w:val="none" w:color="000000" w:sz="4"/>
          <w:bottom w:val="none" w:color="000000" w:sz="4"/>
          <w:right w:val="none" w:color="000000" w:sz="4"/>
          <w:insideH w:val="none"/>
          <w:insideV w:val="none"/>
        </w:tblBorders>
      </w:tblPr>
      <w:tblGrid>
        <w:gridCol w:w="2373"/>
        <w:gridCol w:w="5932"/>
      </w:tblGrid>
      <w:tr>
        <w:tc>
          <w:tcPr>
            <w:tcW w:type="dxa" w:w="237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受委托单位</w:t>
            </w:r>
          </w:p>
        </w:tc>
        <w:tc>
          <w:tcPr>
            <w:tcW w:type="dxa" w:w="5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消杀时间</w:t>
            </w:r>
          </w:p>
        </w:tc>
        <w:tc>
          <w:tcPr>
            <w:tcW w:type="dxa" w:w="5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u w:val="single"/>
              </w:rPr>
              <w:t xml:space="preserve">   </w:t>
            </w:r>
            <w:r>
              <w:rPr>
                <w:sz w:val="24"/>
                <w:u w:val="single"/>
              </w:rPr>
              <w:t>年   月   日   时至    年   月   日   时</w:t>
            </w:r>
            <w:r>
              <w:rPr>
                <w:sz w:val="24"/>
              </w:rPr>
              <w:t>，</w:t>
            </w:r>
          </w:p>
          <w:p>
            <w:pPr>
              <w:pStyle w:val="null3"/>
              <w:ind w:firstLine="3360"/>
            </w:pPr>
            <w:r>
              <w:rPr>
                <w:sz w:val="24"/>
              </w:rPr>
              <w:t>合计：小时。</w:t>
            </w:r>
          </w:p>
        </w:tc>
      </w:tr>
      <w:tr>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服务地点</w:t>
            </w:r>
          </w:p>
        </w:tc>
        <w:tc>
          <w:tcPr>
            <w:tcW w:type="dxa" w:w="5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街道：居委：地点：</w:t>
            </w:r>
          </w:p>
        </w:tc>
      </w:tr>
      <w:tr>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处理范围</w:t>
            </w:r>
          </w:p>
        </w:tc>
        <w:tc>
          <w:tcPr>
            <w:tcW w:type="dxa" w:w="5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工作人员数</w:t>
            </w:r>
          </w:p>
        </w:tc>
        <w:tc>
          <w:tcPr>
            <w:tcW w:type="dxa" w:w="5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使用车辆及器械数</w:t>
            </w:r>
          </w:p>
        </w:tc>
        <w:tc>
          <w:tcPr>
            <w:tcW w:type="dxa" w:w="5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作业用车辆，超低容量喷雾器台，</w:t>
            </w:r>
          </w:p>
          <w:p>
            <w:pPr>
              <w:pStyle w:val="null3"/>
            </w:pPr>
            <w:r>
              <w:rPr>
                <w:sz w:val="24"/>
              </w:rPr>
              <w:t>常量喷雾器台，其它。</w:t>
            </w:r>
          </w:p>
        </w:tc>
      </w:tr>
      <w:tr>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使用药物及数量</w:t>
            </w:r>
          </w:p>
        </w:tc>
        <w:tc>
          <w:tcPr>
            <w:tcW w:type="dxa" w:w="5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 xml:space="preserve">药物              数量             </w:t>
            </w:r>
          </w:p>
          <w:p>
            <w:pPr>
              <w:pStyle w:val="null3"/>
            </w:pPr>
            <w:r>
              <w:rPr>
                <w:sz w:val="24"/>
              </w:rPr>
              <w:t xml:space="preserve">药物              数量             </w:t>
            </w:r>
          </w:p>
          <w:p>
            <w:pPr>
              <w:pStyle w:val="null3"/>
            </w:pPr>
            <w:r>
              <w:rPr>
                <w:sz w:val="24"/>
              </w:rPr>
              <w:t xml:space="preserve">药物              数量             </w:t>
            </w:r>
          </w:p>
          <w:p>
            <w:pPr>
              <w:pStyle w:val="null3"/>
            </w:pPr>
            <w:r>
              <w:rPr>
                <w:sz w:val="24"/>
              </w:rPr>
              <w:t xml:space="preserve">药物              数量             </w:t>
            </w:r>
          </w:p>
        </w:tc>
      </w:tr>
      <w:tr>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c>
          <w:tcPr>
            <w:tcW w:type="dxa" w:w="5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1"/>
          <w:b/>
        </w:rPr>
        <w:t>注：此表格一式两份，双方各一份。</w:t>
      </w:r>
    </w:p>
    <w:p>
      <w:pPr>
        <w:pStyle w:val="null3"/>
      </w:pPr>
      <w:r>
        <w:rPr>
          <w:sz w:val="24"/>
          <w:b/>
        </w:rPr>
        <w:t>附件2  蚊媒控制工作评价表</w:t>
      </w:r>
    </w:p>
    <w:p>
      <w:pPr>
        <w:pStyle w:val="null3"/>
      </w:pPr>
      <w:r>
        <w:rPr>
          <w:sz w:val="24"/>
        </w:rPr>
        <w:t>PCO</w:t>
      </w:r>
      <w:r>
        <w:rPr>
          <w:sz w:val="24"/>
        </w:rPr>
        <w:t>公司名称：             疫点位置：        服务日期：</w:t>
      </w:r>
    </w:p>
    <w:tbl>
      <w:tblPr>
        <w:tblW w:w="0" w:type="auto"/>
        <w:tblBorders>
          <w:top w:val="none" w:color="000000" w:sz="4"/>
          <w:left w:val="none" w:color="000000" w:sz="4"/>
          <w:bottom w:val="none" w:color="000000" w:sz="4"/>
          <w:right w:val="none" w:color="000000" w:sz="4"/>
          <w:insideH w:val="none"/>
          <w:insideV w:val="none"/>
        </w:tblBorders>
      </w:tblPr>
      <w:tblGrid>
        <w:gridCol w:w="3728"/>
        <w:gridCol w:w="3728"/>
        <w:gridCol w:w="847"/>
      </w:tblGrid>
      <w:tr>
        <w:tc>
          <w:tcPr>
            <w:tcW w:type="dxa" w:w="3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扣分标准</w:t>
            </w:r>
          </w:p>
        </w:tc>
        <w:tc>
          <w:tcPr>
            <w:tcW w:type="dxa" w:w="3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扣分内容</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w:t>
            </w:r>
          </w:p>
        </w:tc>
      </w:tr>
      <w:tr>
        <w:tc>
          <w:tcPr>
            <w:tcW w:type="dxa" w:w="3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一、迟到或早退每人每半小时</w:t>
            </w:r>
            <w:r>
              <w:rPr>
                <w:sz w:val="24"/>
                <w:u w:val="single"/>
              </w:rPr>
              <w:t>扣10分</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甲方通知到达时间：</w:t>
            </w:r>
          </w:p>
          <w:p>
            <w:pPr>
              <w:pStyle w:val="null3"/>
            </w:pPr>
            <w:r>
              <w:rPr>
                <w:sz w:val="24"/>
              </w:rPr>
              <w:t>乙方到达时间：</w:t>
            </w:r>
          </w:p>
          <w:p>
            <w:pPr>
              <w:pStyle w:val="null3"/>
            </w:pPr>
            <w:r>
              <w:rPr>
                <w:sz w:val="24"/>
              </w:rPr>
              <w:t xml:space="preserve">服务结束时间：  </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二、参与服务工作人员人数与甲方要求不符的，</w:t>
            </w:r>
            <w:r>
              <w:rPr>
                <w:sz w:val="24"/>
                <w:u w:val="single"/>
              </w:rPr>
              <w:t>每少一人扣20分</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消杀人数：</w:t>
            </w:r>
            <w:r>
              <w:rPr>
                <w:sz w:val="22"/>
              </w:rPr>
              <w:t xml:space="preserve">     </w:t>
            </w:r>
            <w:r>
              <w:rPr>
                <w:sz w:val="24"/>
              </w:rPr>
              <w:t>人</w:t>
            </w:r>
          </w:p>
          <w:p>
            <w:pPr>
              <w:pStyle w:val="null3"/>
            </w:pP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三、工作人员未穿着统一工作制服、工作过程中未佩戴口罩等防护用具的，出现上述情况</w:t>
            </w:r>
            <w:r>
              <w:rPr>
                <w:sz w:val="24"/>
                <w:u w:val="single"/>
              </w:rPr>
              <w:t>每一人每项扣10分</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未穿着制服：     人</w:t>
            </w:r>
          </w:p>
          <w:p>
            <w:pPr>
              <w:pStyle w:val="null3"/>
            </w:pPr>
            <w:r>
              <w:rPr>
                <w:sz w:val="24"/>
              </w:rPr>
              <w:t>未佩戴防护用具：     人</w:t>
            </w:r>
          </w:p>
          <w:p>
            <w:pPr>
              <w:pStyle w:val="null3"/>
            </w:pP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四、不按照施（投）药技术规范使用药物、不根据甲方指导意见使用药物，</w:t>
            </w:r>
            <w:r>
              <w:rPr>
                <w:sz w:val="24"/>
                <w:u w:val="single"/>
              </w:rPr>
              <w:t>每项扣50分</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是/否不按照施（投）药技术规范使用药物或不根据甲方指导意见使用药物</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五、未经甲方允许变更现场负责人，扣50分</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是/否未经允许变更现场负责人</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六、未按时按要求制定处理方案，未按确定的处理方案内容开展工作，</w:t>
            </w:r>
            <w:r>
              <w:rPr>
                <w:sz w:val="24"/>
                <w:u w:val="single"/>
              </w:rPr>
              <w:t>每项扣25分</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七、乙方处理方案不根据实际情况制定、使用违禁药物以及其它弄虚作假等情况，</w:t>
            </w:r>
            <w:r>
              <w:rPr>
                <w:sz w:val="24"/>
                <w:u w:val="single"/>
              </w:rPr>
              <w:t>每项扣50分</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八、检查发现未处理、未登记的积水或孳生地，</w:t>
            </w:r>
            <w:r>
              <w:rPr>
                <w:sz w:val="24"/>
                <w:u w:val="single"/>
              </w:rPr>
              <w:t>每一处扣5分</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未登记的积水或孳生地：  处</w:t>
            </w:r>
          </w:p>
          <w:p>
            <w:pPr>
              <w:pStyle w:val="null3"/>
            </w:pPr>
            <w:r>
              <w:rPr>
                <w:sz w:val="24"/>
              </w:rPr>
              <w:t>未处理的积水或孳生地：  处</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九、工作人员消极怠工，不服从工作安排，存在不良工作态度，</w:t>
            </w:r>
            <w:r>
              <w:rPr>
                <w:sz w:val="24"/>
                <w:u w:val="single"/>
              </w:rPr>
              <w:t>扣30分</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十、未按要求完成服务任务，</w:t>
            </w:r>
            <w:r>
              <w:rPr>
                <w:sz w:val="24"/>
                <w:u w:val="single"/>
              </w:rPr>
              <w:t>扣50分</w:t>
            </w:r>
          </w:p>
        </w:tc>
        <w:tc>
          <w:tcPr>
            <w:tcW w:type="dxa" w:w="3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是/否按要求完成服务任务</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p>
        </w:tc>
        <w:tc>
          <w:tcPr>
            <w:tcW w:type="dxa" w:w="45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4"/>
        </w:rPr>
        <w:t>注：</w:t>
      </w:r>
    </w:p>
    <w:p>
      <w:pPr>
        <w:pStyle w:val="null3"/>
        <w:ind w:firstLine="527"/>
      </w:pPr>
      <w:r>
        <w:rPr>
          <w:sz w:val="24"/>
        </w:rPr>
        <w:t>1</w:t>
      </w:r>
      <w:r>
        <w:rPr>
          <w:sz w:val="24"/>
        </w:rPr>
        <w:t>、需甲方或其指定机构、所属消杀街道、乙方三方签名确认。</w:t>
      </w:r>
    </w:p>
    <w:p>
      <w:pPr>
        <w:pStyle w:val="null3"/>
        <w:ind w:firstLine="527"/>
      </w:pPr>
      <w:r>
        <w:rPr>
          <w:sz w:val="24"/>
        </w:rPr>
        <w:t>2</w:t>
      </w:r>
      <w:r>
        <w:rPr>
          <w:sz w:val="24"/>
        </w:rPr>
        <w:t>、此表满分100，评分=100-扣分总数，评分作为支付服务费用的依据。</w:t>
      </w:r>
    </w:p>
    <w:p>
      <w:pPr>
        <w:pStyle w:val="null3"/>
        <w:ind w:firstLine="527"/>
      </w:pPr>
      <w:r>
        <w:rPr>
          <w:sz w:val="24"/>
        </w:rPr>
        <w:t>3</w:t>
      </w:r>
      <w:r>
        <w:rPr>
          <w:sz w:val="24"/>
        </w:rPr>
        <w:t>、80分作为合格分，未达到合格分的，每扣10分，则扣除当次服务费的10%。（若当次得分70分，则服务费扣除当次的10%，若当次得分为60分，则扣除当次服务费20%，以此类推）。</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440103-2024-06003</w:t>
      </w:r>
    </w:p>
    <w:p>
      <w:pPr>
        <w:pStyle w:val="null3"/>
        <w:jc w:val="center"/>
        <w:outlineLvl w:val="3"/>
      </w:pPr>
      <w:r>
        <w:rPr>
          <w:sz w:val="24"/>
          <w:b/>
        </w:rPr>
        <w:t>采购项目编号：</w:t>
      </w:r>
      <w:r>
        <w:rPr>
          <w:sz w:val="24"/>
          <w:b/>
        </w:rPr>
        <w:t>ZB-15-04F-2024-D-E23663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公诚管理咨询有限公司</w:t>
      </w:r>
    </w:p>
    <w:p>
      <w:pPr>
        <w:pStyle w:val="null3"/>
        <w:ind w:firstLine="480"/>
      </w:pPr>
      <w:r>
        <w:rPr/>
        <w:t xml:space="preserve"> 你方组织的</w:t>
      </w:r>
      <w:r>
        <w:rPr>
          <w:u w:val="single"/>
        </w:rPr>
        <w:t>“</w:t>
      </w:r>
      <w:r>
        <w:rPr>
          <w:u w:val="single"/>
        </w:rPr>
        <w:t>荔湾区病媒生物防制社会化服务项目</w:t>
      </w:r>
      <w:r>
        <w:rPr>
          <w:u w:val="single"/>
        </w:rPr>
        <w:t>”</w:t>
      </w:r>
      <w:r>
        <w:rPr/>
        <w:t>项目的竞争性磋商[采购项目编号为：</w:t>
      </w:r>
      <w:r>
        <w:rPr>
          <w:u w:val="single"/>
        </w:rPr>
        <w:t>ZB-15-04F-2024-D-E23663</w:t>
      </w:r>
      <w:r>
        <w:rPr/>
        <w:t>]，我方愿参与响应。</w:t>
      </w:r>
    </w:p>
    <w:p>
      <w:pPr>
        <w:pStyle w:val="null3"/>
        <w:ind w:firstLine="480"/>
      </w:pPr>
      <w:r>
        <w:rPr/>
        <w:t>我方确认收到贵方提供的</w:t>
      </w:r>
      <w:r>
        <w:rPr>
          <w:u w:val="single"/>
        </w:rPr>
        <w:t>“</w:t>
      </w:r>
      <w:r>
        <w:rPr>
          <w:u w:val="single"/>
        </w:rPr>
        <w:t>荔湾区病媒生物防制社会化服务项目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荔湾区病媒生物防制社会化服务项目</w:t>
      </w:r>
      <w:r>
        <w:rPr/>
        <w:t>”项目采购[采购项目编号为</w:t>
      </w:r>
      <w:r>
        <w:rPr/>
        <w:t>ZB-15-04F-2024-D-E23663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广州市荔湾区卫生健康局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公诚管理咨询有限公司</w:t>
      </w:r>
    </w:p>
    <w:p>
      <w:pPr>
        <w:pStyle w:val="null3"/>
        <w:ind w:firstLine="480"/>
      </w:pPr>
      <w:r>
        <w:rPr/>
        <w:t>我单位参加贵公司组织的</w:t>
      </w:r>
      <w:r>
        <w:rPr/>
        <w:t>荔湾区病媒生物防制社会化服务项目</w:t>
      </w:r>
      <w:r>
        <w:rPr/>
        <w:t>（采购项目编号：</w:t>
      </w:r>
      <w:r>
        <w:rPr/>
        <w:t>ZB-15-04F-2024-D-E23663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