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C8302">
      <w:pPr>
        <w:widowControl/>
        <w:snapToGrid w:val="0"/>
        <w:spacing w:line="480" w:lineRule="auto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</w:p>
    <w:p w14:paraId="3EE3A5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报价单</w:t>
      </w:r>
    </w:p>
    <w:p w14:paraId="3B05918E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中山市永安中学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</w:p>
    <w:p w14:paraId="2ECA8F9F">
      <w:p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我单位全面了解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</w:rPr>
        <w:t>中山市永安中学2024-2025年有害生物防治服务集中采购项目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的全部内容，我们在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明确的工作范围、标准和报价条件的基础上，根据我单位针对本项目的服务的工作和验收标准，我们自愿承担本项目的报价，报价如下：</w:t>
      </w:r>
    </w:p>
    <w:tbl>
      <w:tblPr>
        <w:tblStyle w:val="4"/>
        <w:tblW w:w="9797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553"/>
        <w:gridCol w:w="1964"/>
        <w:gridCol w:w="1842"/>
        <w:gridCol w:w="2217"/>
      </w:tblGrid>
      <w:tr w14:paraId="3598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21" w:type="dxa"/>
            <w:vAlign w:val="center"/>
          </w:tcPr>
          <w:p w14:paraId="6943E923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553" w:type="dxa"/>
            <w:vAlign w:val="center"/>
          </w:tcPr>
          <w:p w14:paraId="348D9EE1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工作量</w:t>
            </w:r>
          </w:p>
        </w:tc>
        <w:tc>
          <w:tcPr>
            <w:tcW w:w="1964" w:type="dxa"/>
            <w:vAlign w:val="center"/>
          </w:tcPr>
          <w:p w14:paraId="0E3B9C45">
            <w:pPr>
              <w:widowControl w:val="0"/>
              <w:spacing w:line="360" w:lineRule="auto"/>
              <w:jc w:val="center"/>
              <w:rPr>
                <w:rStyle w:val="6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单次费用（元）</w:t>
            </w:r>
          </w:p>
        </w:tc>
        <w:tc>
          <w:tcPr>
            <w:tcW w:w="1842" w:type="dxa"/>
            <w:vAlign w:val="center"/>
          </w:tcPr>
          <w:p w14:paraId="1C84C923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每月费用（元）</w:t>
            </w:r>
          </w:p>
        </w:tc>
        <w:tc>
          <w:tcPr>
            <w:tcW w:w="2217" w:type="dxa"/>
            <w:vAlign w:val="center"/>
          </w:tcPr>
          <w:p w14:paraId="469E5996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"/>
              </w:rPr>
              <w:t>2024年10月1日-2025年12月31日共计15个月总费用（元）</w:t>
            </w:r>
          </w:p>
        </w:tc>
      </w:tr>
      <w:tr w14:paraId="101B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21" w:type="dxa"/>
            <w:vAlign w:val="center"/>
          </w:tcPr>
          <w:p w14:paraId="6D4CFDF5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四害消杀</w:t>
            </w:r>
          </w:p>
        </w:tc>
        <w:tc>
          <w:tcPr>
            <w:tcW w:w="1553" w:type="dxa"/>
            <w:vMerge w:val="restart"/>
            <w:vAlign w:val="center"/>
          </w:tcPr>
          <w:p w14:paraId="55926553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每月施工两次，巡查四次</w:t>
            </w:r>
          </w:p>
        </w:tc>
        <w:tc>
          <w:tcPr>
            <w:tcW w:w="1964" w:type="dxa"/>
            <w:vAlign w:val="center"/>
          </w:tcPr>
          <w:p w14:paraId="7E34416D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73808E0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17" w:type="dxa"/>
            <w:vMerge w:val="restart"/>
            <w:vAlign w:val="center"/>
          </w:tcPr>
          <w:p w14:paraId="477E3600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16CD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21" w:type="dxa"/>
            <w:vAlign w:val="center"/>
          </w:tcPr>
          <w:p w14:paraId="706380C3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白蚁消杀</w:t>
            </w:r>
          </w:p>
        </w:tc>
        <w:tc>
          <w:tcPr>
            <w:tcW w:w="1553" w:type="dxa"/>
            <w:vMerge w:val="continue"/>
            <w:vAlign w:val="center"/>
          </w:tcPr>
          <w:p w14:paraId="00AEAD70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64" w:type="dxa"/>
            <w:vAlign w:val="center"/>
          </w:tcPr>
          <w:p w14:paraId="46230B54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5942AA55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17" w:type="dxa"/>
            <w:vMerge w:val="continue"/>
            <w:vAlign w:val="center"/>
          </w:tcPr>
          <w:p w14:paraId="36777F76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A036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21" w:type="dxa"/>
            <w:vAlign w:val="center"/>
          </w:tcPr>
          <w:p w14:paraId="795A3D5F">
            <w:pPr>
              <w:widowControl w:val="0"/>
              <w:spacing w:line="360" w:lineRule="auto"/>
              <w:jc w:val="center"/>
              <w:rPr>
                <w:rStyle w:val="6"/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红火蚁消杀</w:t>
            </w:r>
          </w:p>
        </w:tc>
        <w:tc>
          <w:tcPr>
            <w:tcW w:w="1553" w:type="dxa"/>
            <w:vMerge w:val="continue"/>
            <w:vAlign w:val="center"/>
          </w:tcPr>
          <w:p w14:paraId="2C9BCB37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64" w:type="dxa"/>
            <w:vAlign w:val="center"/>
          </w:tcPr>
          <w:p w14:paraId="21918D99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29CD083D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17" w:type="dxa"/>
            <w:vMerge w:val="continue"/>
            <w:vAlign w:val="center"/>
          </w:tcPr>
          <w:p w14:paraId="7ACF3C8D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69E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221" w:type="dxa"/>
            <w:vAlign w:val="center"/>
          </w:tcPr>
          <w:p w14:paraId="083939BD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  <w:t>蛇类灭治</w:t>
            </w:r>
          </w:p>
        </w:tc>
        <w:tc>
          <w:tcPr>
            <w:tcW w:w="1553" w:type="dxa"/>
            <w:vMerge w:val="continue"/>
            <w:vAlign w:val="center"/>
          </w:tcPr>
          <w:p w14:paraId="6AD536C9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64" w:type="dxa"/>
            <w:vAlign w:val="center"/>
          </w:tcPr>
          <w:p w14:paraId="3300CCDF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536F72E4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17" w:type="dxa"/>
            <w:vMerge w:val="continue"/>
            <w:vAlign w:val="center"/>
          </w:tcPr>
          <w:p w14:paraId="7D6D326C">
            <w:pPr>
              <w:widowControl w:val="0"/>
              <w:spacing w:line="360" w:lineRule="auto"/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16EBDAAF">
      <w:pPr>
        <w:spacing w:line="360" w:lineRule="auto"/>
        <w:ind w:firstLine="720" w:firstLineChars="30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04FEE757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每月费用合计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人民币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</w:rPr>
        <w:t> 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</w:rPr>
        <w:t>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元/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月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，(大写：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</w:rPr>
        <w:t> 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</w:rPr>
        <w:t>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含税价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)/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。</w:t>
      </w:r>
      <w:bookmarkStart w:id="0" w:name="_GoBack"/>
      <w:bookmarkEnd w:id="0"/>
    </w:p>
    <w:p w14:paraId="0A8B4A94">
      <w:pPr>
        <w:spacing w:line="360" w:lineRule="auto"/>
        <w:ind w:firstLine="480" w:firstLineChars="200"/>
        <w:rPr>
          <w:rStyle w:val="6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2024年10月1日-2025年12月31日共计15个月总费用总计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人民币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</w:rPr>
        <w:t> 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</w:rPr>
        <w:t>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元，(大写：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</w:rPr>
        <w:t>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含税价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)。</w:t>
      </w:r>
    </w:p>
    <w:p w14:paraId="3E1367C2">
      <w:p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注：承保期内，除每月2次全项消杀外，乙方在收到甲方提出单项消杀服务时，不论次数、节假日，需在4小时内到达现场处理，且费用都不能超过单次费用报价。</w:t>
      </w:r>
    </w:p>
    <w:p w14:paraId="4382D1D8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我们完全理解，你们不保证报价最低的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参选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，并有权接受任何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询价文件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和拒绝任何或所有的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询价文件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而且无须作任何解释。我们完全同意，自行承担为报价所发生的一切费用。</w:t>
      </w:r>
    </w:p>
    <w:p w14:paraId="1746E2CF">
      <w:pPr>
        <w:widowControl/>
        <w:spacing w:line="480" w:lineRule="auto"/>
        <w:ind w:firstLine="3600" w:firstLineChars="15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单位名称（并加盖公章）：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</w:p>
    <w:p w14:paraId="086999BC">
      <w:pPr>
        <w:widowControl/>
        <w:spacing w:line="480" w:lineRule="auto"/>
        <w:ind w:firstLine="3600" w:firstLineChars="15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法定代表人或其委托人签字： </w:t>
      </w:r>
    </w:p>
    <w:p w14:paraId="337C3991">
      <w:pPr>
        <w:widowControl/>
        <w:spacing w:line="48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年     月     日</w:t>
      </w:r>
    </w:p>
    <w:sectPr>
      <w:pgSz w:w="11906" w:h="16839"/>
      <w:pgMar w:top="283" w:right="176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ZWIyZjM1OTA3Y2UxMzExY2Y1YzA0MjQwNjg4OTMifQ=="/>
  </w:docVars>
  <w:rsids>
    <w:rsidRoot w:val="00000000"/>
    <w:rsid w:val="0F760C25"/>
    <w:rsid w:val="1D944D0C"/>
    <w:rsid w:val="382E026C"/>
    <w:rsid w:val="558D2429"/>
    <w:rsid w:val="66540498"/>
    <w:rsid w:val="694E0B90"/>
    <w:rsid w:val="6B8E4AB9"/>
    <w:rsid w:val="76562678"/>
    <w:rsid w:val="78EE2CD3"/>
    <w:rsid w:val="7C817D22"/>
    <w:rsid w:val="7E2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  <w:lang w:val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395</Characters>
  <Lines>0</Lines>
  <Paragraphs>0</Paragraphs>
  <TotalTime>4</TotalTime>
  <ScaleCrop>false</ScaleCrop>
  <LinksUpToDate>false</LinksUpToDate>
  <CharactersWithSpaces>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2023-09-25T12:52:00Z</dcterms:created>
  <dc:creator>Administrator</dc:creator>
  <cp:lastModifiedBy>阿杰</cp:lastModifiedBy>
  <dcterms:modified xsi:type="dcterms:W3CDTF">2024-09-24T08:48:11Z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D0C2E07C7A04480FAEDACD7D8E7ED27A_12</vt:lpwstr>
  </property>
</Properties>
</file>