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410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一、项目概况</w:t>
      </w:r>
    </w:p>
    <w:p w14:paraId="05AD05A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按照《关于印发2024年西安市病媒生物防制工作方案的通知》及国家卫生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城市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相关要求，为有效降低辖区重点场所鼠、蚊、蝇、蟑螂等病媒生物密度，将病媒生物危害和媒介生物性传染病发生的危险性降至最低，本次采购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为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园区重点场所病媒生物消杀防制服务。</w:t>
      </w:r>
    </w:p>
    <w:p w14:paraId="66C3953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二、服务内容</w:t>
      </w:r>
    </w:p>
    <w:p w14:paraId="566C654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2024年园区重点场所病媒生物消杀防制服务（包含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垃圾中转站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、中小餐饮、宾馆饭店、商场超市及农贸市场等40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处重点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场所，其中大型场所消杀点位不少于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10处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。</w:t>
      </w:r>
    </w:p>
    <w:p w14:paraId="145AF5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三、技术要求</w:t>
      </w:r>
      <w:bookmarkStart w:id="0" w:name="_GoBack"/>
      <w:bookmarkEnd w:id="0"/>
    </w:p>
    <w:p w14:paraId="24D5794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（一）园区重点场所病媒生物消杀防制服务；</w:t>
      </w:r>
    </w:p>
    <w:p w14:paraId="213F8D3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（二）协助甲方开展病媒生物防制工作专业指导、培训；</w:t>
      </w:r>
    </w:p>
    <w:p w14:paraId="162E832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（三）服务期限内完成不少于3次的集中消杀服务，病媒生物控制水平达到国家卫生县城标准(C级以上)，满足《国家卫生县城》《国家卫生镇》（2021版）标准要求。</w:t>
      </w:r>
    </w:p>
    <w:p w14:paraId="20933D4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四、服务要求</w:t>
      </w:r>
    </w:p>
    <w:p w14:paraId="307CB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1、乙方建立不少于6人的24小时病媒生物应急消杀队伍，随时对突发病媒生物事件的处置；</w:t>
      </w:r>
    </w:p>
    <w:p w14:paraId="6A7B1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2、病媒生物消杀所需的交通、病媒生物防制设备、药品、器械、人员防护设备、人员现场保险等由乙方负责；</w:t>
      </w:r>
    </w:p>
    <w:p w14:paraId="681D9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4"/>
          <w:highlight w:val="none"/>
          <w:lang w:val="en-US" w:eastAsia="zh-CN" w:bidi="ar-SA"/>
        </w:rPr>
        <w:t>3、建立完整的病媒生物消杀计划、方案及总结，每月报送工作记录。</w:t>
      </w:r>
    </w:p>
    <w:p w14:paraId="5A785D0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五、商务要求</w:t>
      </w:r>
    </w:p>
    <w:p w14:paraId="024D90B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1"/>
          <w:highlight w:val="none"/>
        </w:rPr>
        <w:t>（一）服务期限</w:t>
      </w:r>
    </w:p>
    <w:p w14:paraId="67941C7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1"/>
          <w:highlight w:val="none"/>
        </w:rPr>
        <w:t>自合同签订之日起</w:t>
      </w:r>
      <w:r>
        <w:rPr>
          <w:rFonts w:hint="eastAsia" w:ascii="仿宋" w:hAnsi="仿宋" w:eastAsia="仿宋" w:cs="仿宋"/>
          <w:sz w:val="21"/>
          <w:highlight w:val="none"/>
          <w:lang w:val="en-US" w:eastAsia="zh-CN"/>
        </w:rPr>
        <w:t>七个月</w:t>
      </w:r>
      <w:r>
        <w:rPr>
          <w:rFonts w:hint="eastAsia" w:ascii="仿宋" w:hAnsi="仿宋" w:eastAsia="仿宋" w:cs="仿宋"/>
          <w:sz w:val="21"/>
          <w:highlight w:val="none"/>
        </w:rPr>
        <w:t>。</w:t>
      </w:r>
    </w:p>
    <w:p w14:paraId="5B240C5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1"/>
          <w:highlight w:val="none"/>
        </w:rPr>
        <w:t>（二）款项结算</w:t>
      </w:r>
    </w:p>
    <w:p w14:paraId="2E7B127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highlight w:val="none"/>
          <w:lang w:val="en-US" w:eastAsia="zh-CN"/>
        </w:rPr>
        <w:t>1、 付款条件说明： 本项目设定预付款；合同签订后1个月内 ，达到付款条件起 30 日内，支付合同总金额的 40.00%。</w:t>
      </w:r>
    </w:p>
    <w:p w14:paraId="4BDAAC86">
      <w:pPr>
        <w:ind w:firstLine="420" w:firstLineChars="200"/>
      </w:pPr>
      <w:r>
        <w:rPr>
          <w:rFonts w:hint="default" w:ascii="仿宋" w:hAnsi="仿宋" w:eastAsia="仿宋" w:cs="仿宋"/>
          <w:highlight w:val="none"/>
          <w:lang w:val="en-US" w:eastAsia="zh-CN"/>
        </w:rPr>
        <w:t>2、 付款条件说明： 服务期结束后 ，达到付款条件起 30 日内，支付合同总金额的 60.00%。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60C47244"/>
    <w:rsid w:val="41D75125"/>
    <w:rsid w:val="60C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993300"/>
      <w:sz w:val="24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950</Words>
  <Characters>1096</Characters>
  <Lines>0</Lines>
  <Paragraphs>0</Paragraphs>
  <TotalTime>0</TotalTime>
  <ScaleCrop>false</ScaleCrop>
  <LinksUpToDate>false</LinksUpToDate>
  <CharactersWithSpaces>1102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2024-06-19T03:35:00Z</dcterms:created>
  <dc:creator>Dreamer</dc:creator>
  <cp:lastModifiedBy>WPS_1555920886</cp:lastModifiedBy>
  <dcterms:modified xsi:type="dcterms:W3CDTF">2024-09-24T01:46:22Z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FBBE657CF74043C0AFD528E5F4C498A8_11</vt:lpwstr>
  </property>
</Properties>
</file>