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2024年龙海区红火蚁疫情专业化防控服务</w:t>
      </w:r>
    </w:p>
    <w:p>
      <w:pPr>
        <w:pStyle w:val="null3"/>
        <w:jc w:val="center"/>
        <w:outlineLvl w:val="2"/>
      </w:pPr>
      <w:r>
        <w:rPr>
          <w:sz w:val="28"/>
          <w:b/>
        </w:rPr>
        <w:t>备案编号：</w:t>
      </w:r>
      <w:r>
        <w:rPr>
          <w:sz w:val="28"/>
          <w:b/>
        </w:rPr>
        <w:t>CGXM-2024-350681-00556[2024]00391</w:t>
      </w:r>
    </w:p>
    <w:p>
      <w:pPr>
        <w:pStyle w:val="null3"/>
        <w:jc w:val="center"/>
        <w:outlineLvl w:val="2"/>
      </w:pPr>
      <w:r>
        <w:rPr>
          <w:sz w:val="28"/>
          <w:b/>
        </w:rPr>
        <w:t>项目编号：</w:t>
      </w:r>
      <w:r>
        <w:rPr>
          <w:sz w:val="28"/>
          <w:b/>
        </w:rPr>
        <w:t>[350681]FJTH[CS]2024001</w:t>
      </w:r>
    </w:p>
    <w:p>
      <w:pPr>
        <w:pStyle w:val="null3"/>
        <w:jc w:val="center"/>
        <w:outlineLvl w:val="2"/>
      </w:pPr>
      <w:r>
        <w:rPr>
          <w:sz w:val="28"/>
          <w:b/>
        </w:rPr>
        <w:t>采购人：</w:t>
      </w:r>
      <w:r>
        <w:rPr>
          <w:sz w:val="28"/>
          <w:b/>
        </w:rPr>
        <w:t>漳州市龙海区农业农村局</w:t>
      </w:r>
    </w:p>
    <w:p>
      <w:pPr>
        <w:pStyle w:val="null3"/>
        <w:jc w:val="center"/>
        <w:outlineLvl w:val="2"/>
      </w:pPr>
      <w:r>
        <w:rPr>
          <w:sz w:val="28"/>
          <w:b/>
        </w:rPr>
        <w:t>代理机构：</w:t>
      </w:r>
      <w:r>
        <w:rPr>
          <w:sz w:val="28"/>
          <w:b/>
        </w:rPr>
        <w:t>福建省天海招标有限公司</w:t>
      </w:r>
    </w:p>
    <w:p>
      <w:pPr>
        <w:pStyle w:val="null3"/>
        <w:jc w:val="center"/>
        <w:outlineLvl w:val="2"/>
      </w:pPr>
      <w:r>
        <w:rPr>
          <w:sz w:val="28"/>
          <w:b/>
        </w:rPr>
        <w:t>编制时间</w:t>
      </w:r>
      <w:r>
        <w:rPr>
          <w:sz w:val="28"/>
          <w:b/>
        </w:rPr>
        <w:t>：</w:t>
      </w:r>
      <w:r>
        <w:rPr>
          <w:sz w:val="28"/>
          <w:b/>
        </w:rPr>
        <w:t>2024年09月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漳州市龙海区农业农村局</w:t>
      </w:r>
      <w:r>
        <w:rPr/>
        <w:t xml:space="preserve"> 已根据政府采购相关法律法规，经相应程序确定采用 竞争性磋商 方式组织 </w:t>
      </w:r>
      <w:r>
        <w:rPr/>
        <w:t>2024年龙海区红火蚁疫情专业化防控服务</w:t>
      </w:r>
      <w:r>
        <w:rPr/>
        <w:t xml:space="preserve"> 项目（以下简称：“本项目”）的政府采购活动， </w:t>
      </w:r>
      <w:r>
        <w:rPr/>
        <w:t>现欢迎国内合格的供应商前来参加。</w:t>
      </w:r>
      <w:r>
        <w:rPr/>
        <w:t xml:space="preserve"> 本项目由采购人委托 </w:t>
      </w:r>
      <w:r>
        <w:rPr/>
        <w:t>福建省天海招标有限公司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2024年龙海区红火蚁疫情专业化防控服务</w:t>
      </w:r>
    </w:p>
    <w:p>
      <w:pPr>
        <w:pStyle w:val="null3"/>
        <w:ind w:firstLine="480"/>
        <w:jc w:val="left"/>
        <w:outlineLvl w:val="2"/>
      </w:pPr>
      <w:r>
        <w:rPr>
          <w:sz w:val="28"/>
          <w:b/>
        </w:rPr>
        <w:t>2.备案编号</w:t>
      </w:r>
      <w:r>
        <w:rPr>
          <w:sz w:val="28"/>
          <w:b/>
        </w:rPr>
        <w:t xml:space="preserve">： </w:t>
      </w:r>
      <w:r>
        <w:rPr>
          <w:sz w:val="28"/>
          <w:b/>
        </w:rPr>
        <w:t>CGXM-2024-350681-00556[2024]00391</w:t>
      </w:r>
    </w:p>
    <w:p>
      <w:pPr>
        <w:pStyle w:val="null3"/>
        <w:ind w:firstLine="480"/>
        <w:jc w:val="left"/>
        <w:outlineLvl w:val="2"/>
      </w:pPr>
      <w:r>
        <w:rPr>
          <w:sz w:val="28"/>
          <w:b/>
        </w:rPr>
        <w:t>3.项目编号</w:t>
      </w:r>
      <w:r>
        <w:rPr>
          <w:sz w:val="28"/>
          <w:b/>
        </w:rPr>
        <w:t xml:space="preserve">： </w:t>
      </w:r>
      <w:r>
        <w:rPr>
          <w:sz w:val="28"/>
          <w:b/>
        </w:rPr>
        <w:t>[350681]FJTH[CS]2024001</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940,000.00</w:t>
      </w:r>
    </w:p>
    <w:p>
      <w:pPr>
        <w:pStyle w:val="null3"/>
        <w:jc w:val="left"/>
      </w:pPr>
      <w:r>
        <w:rPr/>
        <w:t>采购包最高限价（元）: 940,000.00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红火蚁防控</w:t>
            </w:r>
          </w:p>
        </w:tc>
        <w:tc>
          <w:tcPr>
            <w:tcW w:type="dxa" w:w="1187"/>
          </w:tcPr>
          <w:p>
            <w:pPr>
              <w:pStyle w:val="null3"/>
              <w:jc w:val="right"/>
            </w:pPr>
            <w:r>
              <w:rPr/>
              <w:t>1.00</w:t>
            </w:r>
          </w:p>
        </w:tc>
        <w:tc>
          <w:tcPr>
            <w:tcW w:type="dxa" w:w="1187"/>
          </w:tcPr>
          <w:p>
            <w:pPr>
              <w:pStyle w:val="null3"/>
              <w:jc w:val="right"/>
            </w:pPr>
            <w:r>
              <w:rPr/>
              <w:t>940,000.00</w:t>
            </w:r>
          </w:p>
        </w:tc>
        <w:tc>
          <w:tcPr>
            <w:tcW w:type="dxa" w:w="1187"/>
          </w:tcPr>
          <w:p>
            <w:pPr>
              <w:pStyle w:val="null3"/>
              <w:jc w:val="left"/>
            </w:pPr>
            <w:r>
              <w:rPr/>
              <w:t>项</w:t>
            </w:r>
          </w:p>
        </w:tc>
        <w:tc>
          <w:tcPr>
            <w:tcW w:type="dxa" w:w="1187"/>
          </w:tcPr>
          <w:p>
            <w:pPr>
              <w:pStyle w:val="null3"/>
              <w:jc w:val="left"/>
            </w:pPr>
            <w:r>
              <w:rPr/>
              <w:t>农、林、牧、渔业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红火蚁防控</w:t>
            </w:r>
          </w:p>
        </w:tc>
        <w:tc>
          <w:tcPr>
            <w:tcW w:type="dxa" w:w="554"/>
          </w:tcPr>
          <w:p>
            <w:pPr>
              <w:pStyle w:val="null3"/>
              <w:jc w:val="left"/>
            </w:pPr>
            <w:r>
              <w:rPr/>
              <w:t>项</w:t>
            </w:r>
          </w:p>
        </w:tc>
        <w:tc>
          <w:tcPr>
            <w:tcW w:type="dxa" w:w="554"/>
          </w:tcPr>
          <w:p>
            <w:pPr>
              <w:pStyle w:val="null3"/>
              <w:jc w:val="left"/>
            </w:pPr>
            <w:r>
              <w:rPr/>
              <w:t>元</w:t>
            </w:r>
          </w:p>
        </w:tc>
        <w:tc>
          <w:tcPr>
            <w:tcW w:type="dxa" w:w="1384"/>
          </w:tcPr>
          <w:p>
            <w:pPr>
              <w:pStyle w:val="null3"/>
              <w:jc w:val="right"/>
            </w:pPr>
            <w:r>
              <w:rPr/>
              <w:t>940,000.00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红火蚁防控</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红火蚁防控</w:t>
            </w:r>
          </w:p>
        </w:tc>
        <w:tc>
          <w:tcPr>
            <w:tcW w:type="dxa" w:w="2076"/>
          </w:tcPr>
          <w:p>
            <w:pPr>
              <w:pStyle w:val="null3"/>
              <w:jc w:val="left"/>
            </w:pPr>
            <w:r>
              <w:rPr/>
              <w:t>红火蚁防控</w:t>
            </w:r>
          </w:p>
        </w:tc>
        <w:tc>
          <w:tcPr>
            <w:tcW w:type="dxa" w:w="415"/>
          </w:tcPr>
          <w:p>
            <w:pPr>
              <w:pStyle w:val="null3"/>
              <w:jc w:val="left"/>
            </w:pPr>
            <w:r>
              <w:rPr/>
              <w:t>项</w:t>
            </w:r>
          </w:p>
        </w:tc>
        <w:tc>
          <w:tcPr>
            <w:tcW w:type="dxa" w:w="415"/>
          </w:tcPr>
          <w:p>
            <w:pPr>
              <w:pStyle w:val="null3"/>
              <w:jc w:val="left"/>
            </w:pPr>
            <w:r>
              <w:rPr/>
              <w:t>元</w:t>
            </w:r>
          </w:p>
        </w:tc>
        <w:tc>
          <w:tcPr>
            <w:tcW w:type="dxa" w:w="831"/>
          </w:tcPr>
          <w:p>
            <w:pPr>
              <w:pStyle w:val="null3"/>
              <w:jc w:val="right"/>
            </w:pPr>
            <w:r>
              <w:rPr/>
              <w:t>940,000.00</w:t>
            </w:r>
          </w:p>
        </w:tc>
        <w:tc>
          <w:tcPr>
            <w:tcW w:type="dxa" w:w="831"/>
          </w:tcPr>
          <w:p>
            <w:pPr>
              <w:pStyle w:val="null3"/>
              <w:jc w:val="left"/>
            </w:pPr>
            <w:r>
              <w:rPr/>
              <w:t>总价</w:t>
            </w:r>
          </w:p>
        </w:tc>
        <w:tc>
          <w:tcPr>
            <w:tcW w:type="dxa" w:w="1246"/>
          </w:tcPr>
          <w:p>
            <w:pPr>
              <w:pStyle w:val="null3"/>
              <w:jc w:val="left"/>
            </w:pPr>
            <w:r>
              <w:rPr/>
              <w:t>无</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不适用于本项目。</w:t>
      </w:r>
    </w:p>
    <w:p>
      <w:pPr>
        <w:pStyle w:val="null3"/>
        <w:ind w:firstLine="960"/>
        <w:jc w:val="left"/>
      </w:pPr>
      <w:r>
        <w:rPr/>
        <w:t>节能产品：</w:t>
      </w:r>
      <w:r>
        <w:rPr/>
        <w:t>不适用于本项目。</w:t>
      </w:r>
    </w:p>
    <w:p>
      <w:pPr>
        <w:pStyle w:val="null3"/>
        <w:ind w:firstLine="960"/>
        <w:jc w:val="left"/>
      </w:pPr>
      <w:r>
        <w:rPr/>
        <w:t>环境标志产品：</w:t>
      </w:r>
      <w:r>
        <w:rPr/>
        <w:t>不适用于本项目。</w:t>
      </w:r>
    </w:p>
    <w:p>
      <w:pPr>
        <w:pStyle w:val="null3"/>
        <w:ind w:firstLine="960"/>
        <w:jc w:val="left"/>
      </w:pPr>
      <w:r>
        <w:rPr/>
        <w:t>促进中小企业发展的相关政策：</w:t>
      </w:r>
    </w:p>
    <w:p>
      <w:pPr>
        <w:pStyle w:val="null3"/>
        <w:ind w:firstLine="960"/>
        <w:jc w:val="left"/>
      </w:pPr>
      <w:r>
        <w:rPr/>
        <w:t>采购包1：专门采购包预留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本采购包为专门面向中小企业采购，供应商须提供中小企业声明函。监狱企业、残疾人福利性单位视同小型、微型企业。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漳州市龙海区农业农村局</w:t>
      </w:r>
    </w:p>
    <w:p>
      <w:pPr>
        <w:pStyle w:val="null3"/>
        <w:ind w:firstLine="960"/>
        <w:jc w:val="left"/>
      </w:pPr>
      <w:r>
        <w:rPr/>
        <w:t xml:space="preserve"> 地址： </w:t>
      </w:r>
      <w:r>
        <w:rPr/>
        <w:t>龙海区石码街道工农路90号</w:t>
      </w:r>
    </w:p>
    <w:p>
      <w:pPr>
        <w:pStyle w:val="null3"/>
        <w:jc w:val="left"/>
      </w:pPr>
      <w:r>
        <w:rPr/>
        <w:t xml:space="preserve"> 邮编： </w:t>
      </w:r>
      <w:r>
        <w:rPr/>
        <w:t>363100</w:t>
      </w:r>
    </w:p>
    <w:p>
      <w:pPr>
        <w:pStyle w:val="null3"/>
        <w:jc w:val="left"/>
      </w:pPr>
      <w:r>
        <w:rPr/>
        <w:t xml:space="preserve"> 联系人： </w:t>
      </w:r>
      <w:r>
        <w:rPr/>
        <w:t>曾亚成</w:t>
      </w:r>
    </w:p>
    <w:p>
      <w:pPr>
        <w:pStyle w:val="null3"/>
        <w:jc w:val="left"/>
      </w:pPr>
      <w:r>
        <w:rPr/>
        <w:t xml:space="preserve"> 联系电话： </w:t>
      </w:r>
      <w:r>
        <w:rPr/>
        <w:t>13515955699</w:t>
      </w:r>
    </w:p>
    <w:p>
      <w:pPr>
        <w:pStyle w:val="null3"/>
        <w:ind w:firstLine="480"/>
        <w:jc w:val="left"/>
        <w:outlineLvl w:val="2"/>
      </w:pPr>
      <w:r>
        <w:rPr>
          <w:sz w:val="28"/>
          <w:b/>
        </w:rPr>
        <w:t>14、代理机构</w:t>
      </w:r>
      <w:r>
        <w:rPr>
          <w:sz w:val="28"/>
          <w:b/>
        </w:rPr>
        <w:t>：</w:t>
      </w:r>
      <w:r>
        <w:rPr>
          <w:sz w:val="28"/>
          <w:b/>
        </w:rPr>
        <w:t>福建省天海招标有限公司</w:t>
      </w:r>
    </w:p>
    <w:p>
      <w:pPr>
        <w:pStyle w:val="null3"/>
        <w:ind w:firstLine="960"/>
        <w:jc w:val="left"/>
      </w:pPr>
      <w:r>
        <w:rPr/>
        <w:t xml:space="preserve"> 地址： </w:t>
      </w:r>
      <w:r>
        <w:rPr/>
        <w:t>福建省漳州市芗城区南昌中路31号丽园广场1幢1906室</w:t>
      </w:r>
    </w:p>
    <w:p>
      <w:pPr>
        <w:pStyle w:val="null3"/>
        <w:jc w:val="left"/>
      </w:pPr>
      <w:r>
        <w:rPr/>
        <w:t xml:space="preserve"> 邮编： </w:t>
      </w:r>
      <w:r>
        <w:rPr/>
        <w:t>363000</w:t>
      </w:r>
    </w:p>
    <w:p>
      <w:pPr>
        <w:pStyle w:val="null3"/>
        <w:jc w:val="left"/>
      </w:pPr>
      <w:r>
        <w:rPr/>
        <w:t xml:space="preserve"> 联系人： </w:t>
      </w:r>
      <w:r>
        <w:rPr/>
        <w:t>童木香、杨钰津、蒋梅珍</w:t>
      </w:r>
    </w:p>
    <w:p>
      <w:pPr>
        <w:pStyle w:val="null3"/>
        <w:jc w:val="left"/>
      </w:pPr>
      <w:r>
        <w:rPr/>
        <w:t xml:space="preserve"> 联系电话： </w:t>
      </w:r>
      <w:r>
        <w:rPr/>
        <w:t>17305968169、15980631928</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福建省天海招标有限公司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 xml:space="preserve"> （1）资格证明文件资料要求：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本采购包属于专门面向中小企业采购。</w:t>
                  </w:r>
                </w:p>
              </w:tc>
              <w:tc>
                <w:tcPr>
                  <w:tcW w:type="dxa" w:w="1418"/>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 xml:space="preserve"> （3）磋商保证金</w:t>
            </w:r>
          </w:p>
          <w:p>
            <w:pPr>
              <w:pStyle w:val="null3"/>
              <w:jc w:val="left"/>
            </w:pPr>
            <w:r>
              <w:rPr/>
              <w:t xml:space="preserve"> ※备注说明</w:t>
            </w:r>
          </w:p>
          <w:p>
            <w:pPr>
              <w:pStyle w:val="null3"/>
              <w:jc w:val="left"/>
            </w:pPr>
            <w:r>
              <w:rPr/>
              <w:t xml:space="preserve"> ①供应商应根据自身实际情况提供上述资格要求的证明材料，格式可参考磋商文件第五章提供。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无</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漳州市龙海区政府采购办公室</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代理服务费收费标准：（1）本项目招标代理服务费按差额定率累进法计算的标准计取（成交金额100万元以下人民币的，以成交金额的1.5%为基数），不足3000元按3000计取。 （2）户名：福建省天海招标有限公司漳州分公司，开户行：中国建设银行股份有限公司漳州市分行，账号：35050166243300001006 (领取通知书：1、携带委托书，2、联系财务）。</w:t>
            </w:r>
          </w:p>
          <w:p>
            <w:pPr>
              <w:pStyle w:val="null3"/>
              <w:jc w:val="left"/>
            </w:pPr>
            <w:r>
              <w:rPr/>
              <w:t xml:space="preserve"> (2)其他：</w:t>
            </w:r>
          </w:p>
          <w:p>
            <w:pPr>
              <w:pStyle w:val="null3"/>
              <w:jc w:val="left"/>
            </w:pPr>
            <w:r>
              <w:rPr/>
              <w:t>2.1质疑受理的其它要求： a、供应商递交质疑函时还应出具供应商已在福建省政府采购网上公开信息系统上已对本项目进行报名的证明文件（体现报名时间），否则将不被认定为潜在供应商。【竞争性磋商文件首次下载之日为供应商在福建省政府采购网上公开信息系统成功报名之日。】b、供应商为法人或其他组织的，质疑函需逐页加盖供应商单位公章；若本项目接受自然人参加且质疑人 为自然人的，质疑函需质疑人本人逐页签名。供应商对本项目采购文件有任何疑议，需在法定时间内按规定向采购代理机构以现场方式提出质疑，否则视为供应商接受采购文件的规定。 2.2根据《中华人民共和国社会保险法》规定，职工应当参加基本养老保险、基本医疗保险、工伤保险、失业保险、生育保险，由用人单位单独或用人单位和员工共同按照国家规定予以缴纳。供应商提供的依法缴纳社会保险的凭证须包含缴纳基本养老保险、失业保险、工伤保险、基本医疗保险和生育保险的凭证。按照《国务院办公厅关于全面推进生育保险和职工基本医疗保险合并实施的意见》（国办发〔2019〕10号）文件精神，职工基本医疗保险和生育保险已合并实施的，至少须包含养老保险、失业保险、工伤保险、基本医疗保险。 2.3落实政府采购政策的证明材料（专门面向中小企业采购）：1、供应商应认真对照《工业和信息化部、国家统计局、国家发展和改革委员会、财政部关于印发中小企业划型标准规定的通知》（工信部联企业[2011]300号）规定的划分标准，并按照《国家统计局关于印发统计上大中小微型企业划分办法的通知》（国统字[2011]75号）规定准确划分企业类型。2、供应商为监狱企业的，可不填写本声明函，根据其提供的由省级以上监狱管理局、戒毒管理局（含新疆生产建设兵团）出具的属于监狱企业的证明文件进行认定，监狱企业视同小型、微型企业。3、供应商为残疾人福利性单位的，可不填写本声明函，根据其提供的《残疾人福利性单位声明函》进行认定，残疾人福利性单位视同小型、微型企业。4、※供应商应按照采购文件第五章“首次响应文件格式”附件7-1-1 中小企业声明函规定提供。本项目采购标的中的各采购包标的名称按照文件要求填写，所属行业为农、林、牧、渔业。</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⑾关于首次响应文件递交截止时间过后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(12)其他：</w:t>
            </w:r>
          </w:p>
          <w:p>
            <w:pPr>
              <w:pStyle w:val="null3"/>
              <w:jc w:val="left"/>
            </w:pPr>
            <w:r>
              <w:rPr/>
              <w:t>本项目采取远程开标形式（即不见面开标），供应商无需到现场。响应截止时间，供应商自行登录采购系统（登录后点击“开标大厅”，选择本项目，点击“开标”） ，线上参与开标流程，并按规定在相应时间段内对响应文件进行远程解密、远程签章。因供应商自身原因造成无法正常观看开标流程、远程解密或签章的，后果由供应商自行承担。根据网上开标室解密时间提示，在解密时间明确下达之后30分钟内进行解密，否则视为撤销其响应文件。开标结束后，供应商应当对开标结果进行签章，并在远程签章开放后15分钟内完成，逾期未签章的视为认同开标结果。远程解密及远程签章的开放起始时间均在开标过程中临时开启，请供应商务必密切关注实时开标流程，并根据流程在系统内按时操作，否则产生的后果由投 标人自行承担。若供应商现场参加开标会，则供应商代表必须自行携带电脑及供应商CA到达开标现场解密、报价。</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满分为10.0000分</w:t>
      </w:r>
    </w:p>
    <w:p>
      <w:pPr>
        <w:pStyle w:val="null3"/>
        <w:jc w:val="left"/>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技术部分评分PT 满分为69.0000分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1、技术响应情况</w:t>
            </w:r>
          </w:p>
        </w:tc>
        <w:tc>
          <w:tcPr>
            <w:tcW w:type="dxa" w:w="831"/>
          </w:tcPr>
          <w:p>
            <w:pPr>
              <w:pStyle w:val="null3"/>
              <w:jc w:val="right"/>
            </w:pPr>
            <w:r>
              <w:rPr/>
              <w:t>36.0000</w:t>
            </w:r>
          </w:p>
        </w:tc>
        <w:tc>
          <w:tcPr>
            <w:tcW w:type="dxa" w:w="4153"/>
          </w:tcPr>
          <w:p>
            <w:pPr>
              <w:pStyle w:val="null3"/>
              <w:jc w:val="left"/>
            </w:pPr>
            <w:r>
              <w:rPr/>
              <w:t>供应商对照“第三章采购内容及要求”“二、技术要求”逐项响应承诺进行打分：完全满足采购文件技术参数要求的得36分，标注“★”号的为实质性要求（共8项），有负偏离的按无效标处理；其他未标注“★”号的一般技术参数合计18项，每负偏离一项扣2分，正偏离不加分,扣完为止，满分36分。</w:t>
            </w:r>
          </w:p>
        </w:tc>
      </w:tr>
      <w:tr>
        <w:tc>
          <w:tcPr>
            <w:tcW w:type="dxa" w:w="3322"/>
          </w:tcPr>
          <w:p>
            <w:pPr>
              <w:pStyle w:val="null3"/>
              <w:jc w:val="left"/>
            </w:pPr>
            <w:r>
              <w:rPr/>
              <w:t>2、组织实施作业方案</w:t>
            </w:r>
          </w:p>
        </w:tc>
        <w:tc>
          <w:tcPr>
            <w:tcW w:type="dxa" w:w="831"/>
          </w:tcPr>
          <w:p>
            <w:pPr>
              <w:pStyle w:val="null3"/>
              <w:jc w:val="right"/>
            </w:pPr>
            <w:r>
              <w:rPr/>
              <w:t>3.0000</w:t>
            </w:r>
          </w:p>
        </w:tc>
        <w:tc>
          <w:tcPr>
            <w:tcW w:type="dxa" w:w="4153"/>
          </w:tcPr>
          <w:p>
            <w:pPr>
              <w:pStyle w:val="null3"/>
              <w:jc w:val="left"/>
            </w:pPr>
            <w:r>
              <w:rPr/>
              <w:t>根据供应商结合本项目的实际情况制定的组织实施作业方案（包括但不限于①红火蚁疫情发生情况分析②防控技术③防控监测④防效自检等）由评委进行评分：方案内容完全响应基本要求且符合项目实际操作的得3分；方案内容只是响应基本要求的得2.77分；有提供方案，但阐述内容未完整响应基本要求或方案阐述简短的2.67分；未提供的不得分。</w:t>
            </w:r>
          </w:p>
        </w:tc>
      </w:tr>
      <w:tr>
        <w:tc>
          <w:tcPr>
            <w:tcW w:type="dxa" w:w="3322"/>
          </w:tcPr>
          <w:p>
            <w:pPr>
              <w:pStyle w:val="null3"/>
              <w:jc w:val="left"/>
            </w:pPr>
            <w:r>
              <w:rPr/>
              <w:t>3、针对性的防治措施</w:t>
            </w:r>
          </w:p>
        </w:tc>
        <w:tc>
          <w:tcPr>
            <w:tcW w:type="dxa" w:w="831"/>
          </w:tcPr>
          <w:p>
            <w:pPr>
              <w:pStyle w:val="null3"/>
              <w:jc w:val="right"/>
            </w:pPr>
            <w:r>
              <w:rPr/>
              <w:t>3.0000</w:t>
            </w:r>
          </w:p>
        </w:tc>
        <w:tc>
          <w:tcPr>
            <w:tcW w:type="dxa" w:w="4153"/>
          </w:tcPr>
          <w:p>
            <w:pPr>
              <w:pStyle w:val="null3"/>
              <w:jc w:val="left"/>
            </w:pPr>
            <w:r>
              <w:rPr/>
              <w:t>根据供应商通过自行对本项目划定防治区域的实地考察，根据项目地的生境情况，防控区域内农田和其他生境的不同防治要求，制定详细的针对性防治措施及现场踏查（包括但不限于①至少3种不同生境踏查图片及描述②踏查监测③踏查生境图片的针对性防治措施等）由评委进行评分：方案内容完全响应基本要求且符合项目实际操作的得3分；方案内容只是响应基本要求的得2.77分；有提供方案，但阐述内容未完整响应基本要求或方案阐述简短的得2.67分；未提供的不得分，踏查图片弄虚作假的不得分。</w:t>
            </w:r>
          </w:p>
        </w:tc>
      </w:tr>
      <w:tr>
        <w:tc>
          <w:tcPr>
            <w:tcW w:type="dxa" w:w="3322"/>
          </w:tcPr>
          <w:p>
            <w:pPr>
              <w:pStyle w:val="null3"/>
              <w:jc w:val="left"/>
            </w:pPr>
            <w:r>
              <w:rPr/>
              <w:t>4、培训及宣传方案</w:t>
            </w:r>
          </w:p>
        </w:tc>
        <w:tc>
          <w:tcPr>
            <w:tcW w:type="dxa" w:w="831"/>
          </w:tcPr>
          <w:p>
            <w:pPr>
              <w:pStyle w:val="null3"/>
              <w:jc w:val="right"/>
            </w:pPr>
            <w:r>
              <w:rPr/>
              <w:t>3.0000</w:t>
            </w:r>
          </w:p>
        </w:tc>
        <w:tc>
          <w:tcPr>
            <w:tcW w:type="dxa" w:w="4153"/>
          </w:tcPr>
          <w:p>
            <w:pPr>
              <w:pStyle w:val="null3"/>
              <w:jc w:val="left"/>
            </w:pPr>
            <w:r>
              <w:rPr/>
              <w:t>根据供应商结合本项目的实际情况制定的培训及宣传方案（包括但不限于①培训方案②宣传方案③防控现场宣传等）由评委进行评分：方案内容完全响应基本要求且符合项目实际操作的得3分；方案内容只是响应基本要求的得2.77分；有提供方案，但阐述内容未完整响应基本要求或方案阐述简短的得2.67分；未提供的不得分。</w:t>
            </w:r>
          </w:p>
        </w:tc>
      </w:tr>
      <w:tr>
        <w:tc>
          <w:tcPr>
            <w:tcW w:type="dxa" w:w="3322"/>
          </w:tcPr>
          <w:p>
            <w:pPr>
              <w:pStyle w:val="null3"/>
              <w:jc w:val="left"/>
            </w:pPr>
            <w:r>
              <w:rPr/>
              <w:t>5、药物使用管理方案</w:t>
            </w:r>
          </w:p>
        </w:tc>
        <w:tc>
          <w:tcPr>
            <w:tcW w:type="dxa" w:w="831"/>
          </w:tcPr>
          <w:p>
            <w:pPr>
              <w:pStyle w:val="null3"/>
              <w:jc w:val="right"/>
            </w:pPr>
            <w:r>
              <w:rPr/>
              <w:t>3.0000</w:t>
            </w:r>
          </w:p>
        </w:tc>
        <w:tc>
          <w:tcPr>
            <w:tcW w:type="dxa" w:w="4153"/>
          </w:tcPr>
          <w:p>
            <w:pPr>
              <w:pStyle w:val="null3"/>
              <w:jc w:val="left"/>
            </w:pPr>
            <w:r>
              <w:rPr/>
              <w:t>根据供应商结合本项目的实际情况制定的药物使用管理方案（包括但不限于①药物使用培训②药物管理制度③药物包装废弃物回收等）由评委进行评分：方案内容完全响应基本要求且符合项目实际操作的得3分；方案内容只是响应基本要求的得2.77分；有提供方案，但阐述内容未完整响应基本要求或方案阐述简短的得2.67分；未提供的不得分。</w:t>
            </w:r>
          </w:p>
        </w:tc>
      </w:tr>
      <w:tr>
        <w:tc>
          <w:tcPr>
            <w:tcW w:type="dxa" w:w="3322"/>
          </w:tcPr>
          <w:p>
            <w:pPr>
              <w:pStyle w:val="null3"/>
              <w:jc w:val="left"/>
            </w:pPr>
            <w:r>
              <w:rPr/>
              <w:t>6、疫情监测方案</w:t>
            </w:r>
          </w:p>
        </w:tc>
        <w:tc>
          <w:tcPr>
            <w:tcW w:type="dxa" w:w="831"/>
          </w:tcPr>
          <w:p>
            <w:pPr>
              <w:pStyle w:val="null3"/>
              <w:jc w:val="right"/>
            </w:pPr>
            <w:r>
              <w:rPr/>
              <w:t>3.0000</w:t>
            </w:r>
          </w:p>
        </w:tc>
        <w:tc>
          <w:tcPr>
            <w:tcW w:type="dxa" w:w="4153"/>
          </w:tcPr>
          <w:p>
            <w:pPr>
              <w:pStyle w:val="null3"/>
              <w:jc w:val="left"/>
            </w:pPr>
            <w:r>
              <w:rPr/>
              <w:t>根据供应商结合本项目的实际情况制定的疫情监测方案（包括但不限于①监测目的②监测区域③监测方法等）由评委进行评分：方案内容完全响应基本要求且符合项目实际操作的得3分；方案内容只是响应基本要求的得2.77分；有提供方案，但阐述内容未完整响应基本要求或方案阐述简短的得2.67分；未提供的不得分。</w:t>
            </w:r>
          </w:p>
        </w:tc>
      </w:tr>
      <w:tr>
        <w:tc>
          <w:tcPr>
            <w:tcW w:type="dxa" w:w="3322"/>
          </w:tcPr>
          <w:p>
            <w:pPr>
              <w:pStyle w:val="null3"/>
              <w:jc w:val="left"/>
            </w:pPr>
            <w:r>
              <w:rPr/>
              <w:t>7、突发事件处置方案</w:t>
            </w:r>
          </w:p>
        </w:tc>
        <w:tc>
          <w:tcPr>
            <w:tcW w:type="dxa" w:w="831"/>
          </w:tcPr>
          <w:p>
            <w:pPr>
              <w:pStyle w:val="null3"/>
              <w:jc w:val="right"/>
            </w:pPr>
            <w:r>
              <w:rPr/>
              <w:t>3.0000</w:t>
            </w:r>
          </w:p>
        </w:tc>
        <w:tc>
          <w:tcPr>
            <w:tcW w:type="dxa" w:w="4153"/>
          </w:tcPr>
          <w:p>
            <w:pPr>
              <w:pStyle w:val="null3"/>
              <w:jc w:val="left"/>
            </w:pPr>
            <w:r>
              <w:rPr/>
              <w:t>根据供应商结合本项目的实际情况制定的突发事件处置方案（包括但不限于①群众安全②防控人员安全③突发事件应急保障等）由评委进行评分：方案内容完全响应基本要求且符合项目实际操作的得3分；方案内容只是响应基本要求的得2.77分；有提供方案，但阐述内容未完整响应基本要求或方案阐述简短的得2.67分；未提供的不得分。</w:t>
            </w:r>
          </w:p>
        </w:tc>
      </w:tr>
      <w:tr>
        <w:tc>
          <w:tcPr>
            <w:tcW w:type="dxa" w:w="3322"/>
          </w:tcPr>
          <w:p>
            <w:pPr>
              <w:pStyle w:val="null3"/>
              <w:jc w:val="left"/>
            </w:pPr>
            <w:r>
              <w:rPr/>
              <w:t>8、季节或天气异常等特殊情况的应对方案</w:t>
            </w:r>
          </w:p>
        </w:tc>
        <w:tc>
          <w:tcPr>
            <w:tcW w:type="dxa" w:w="831"/>
          </w:tcPr>
          <w:p>
            <w:pPr>
              <w:pStyle w:val="null3"/>
              <w:jc w:val="right"/>
            </w:pPr>
            <w:r>
              <w:rPr/>
              <w:t>3.0000</w:t>
            </w:r>
          </w:p>
        </w:tc>
        <w:tc>
          <w:tcPr>
            <w:tcW w:type="dxa" w:w="4153"/>
          </w:tcPr>
          <w:p>
            <w:pPr>
              <w:pStyle w:val="null3"/>
              <w:jc w:val="left"/>
            </w:pPr>
            <w:r>
              <w:rPr/>
              <w:t>根据供应商结合本项目的实际情况制定的季节或天气异常等特殊情况的应对方案（包括但不限于①季节防治②适宜温度③天气异常等）由评委进行评分：方案内容完全响应基本要求且符合项目实际操作的得3分；方案内容只是响应基本要求的得2.77分；有提供方案，但阐述内容未完整响应基本要求或方案阐述简短的得2.67分；未提供的不得分。</w:t>
            </w:r>
          </w:p>
        </w:tc>
      </w:tr>
      <w:tr>
        <w:tc>
          <w:tcPr>
            <w:tcW w:type="dxa" w:w="3322"/>
          </w:tcPr>
          <w:p>
            <w:pPr>
              <w:pStyle w:val="null3"/>
              <w:jc w:val="left"/>
            </w:pPr>
            <w:r>
              <w:rPr/>
              <w:t>9、入侵风险调查</w:t>
            </w:r>
          </w:p>
        </w:tc>
        <w:tc>
          <w:tcPr>
            <w:tcW w:type="dxa" w:w="831"/>
          </w:tcPr>
          <w:p>
            <w:pPr>
              <w:pStyle w:val="null3"/>
              <w:jc w:val="right"/>
            </w:pPr>
            <w:r>
              <w:rPr/>
              <w:t>3.0000</w:t>
            </w:r>
          </w:p>
        </w:tc>
        <w:tc>
          <w:tcPr>
            <w:tcW w:type="dxa" w:w="4153"/>
          </w:tcPr>
          <w:p>
            <w:pPr>
              <w:pStyle w:val="null3"/>
              <w:jc w:val="left"/>
            </w:pPr>
            <w:r>
              <w:rPr/>
              <w:t>根据供应商结合本项目的实际情况入侵风险调查（包括但不限于①包含入侵风险调查②发生范围调查③防治前调查、防治后调查等）由评委进行评分：方案内容完全响应基本要求且符合项目实际操作的得3分；方案内容只是响应基本要求的得2.77分；有提供方案，但阐述内容未完整响应基本要求或方案阐述简短的得2.67分；未提供的不得分。</w:t>
            </w:r>
          </w:p>
        </w:tc>
      </w:tr>
      <w:tr>
        <w:tc>
          <w:tcPr>
            <w:tcW w:type="dxa" w:w="3322"/>
          </w:tcPr>
          <w:p>
            <w:pPr>
              <w:pStyle w:val="null3"/>
              <w:jc w:val="left"/>
            </w:pPr>
            <w:r>
              <w:rPr/>
              <w:t>10、防治重点与难点分析</w:t>
            </w:r>
          </w:p>
        </w:tc>
        <w:tc>
          <w:tcPr>
            <w:tcW w:type="dxa" w:w="831"/>
          </w:tcPr>
          <w:p>
            <w:pPr>
              <w:pStyle w:val="null3"/>
              <w:jc w:val="right"/>
            </w:pPr>
            <w:r>
              <w:rPr/>
              <w:t>3.0000</w:t>
            </w:r>
          </w:p>
        </w:tc>
        <w:tc>
          <w:tcPr>
            <w:tcW w:type="dxa" w:w="4153"/>
          </w:tcPr>
          <w:p>
            <w:pPr>
              <w:pStyle w:val="null3"/>
              <w:jc w:val="left"/>
            </w:pPr>
            <w:r>
              <w:rPr/>
              <w:t>根据供应商结合本项目的实际情况分析防治的重点与难点（包括但不限于①防治重点②防治难点等）由评委进行评分：方案内容完全响应基本要求且符合项目实际操作的得3分；方案内容只是响应基本要求的得2.77分；有提供方案，但阐述内容未完整响应基本要求或方案阐述简短的得2.67分；未提供的不得分。</w:t>
            </w:r>
          </w:p>
        </w:tc>
      </w:tr>
      <w:tr>
        <w:tc>
          <w:tcPr>
            <w:tcW w:type="dxa" w:w="3322"/>
          </w:tcPr>
          <w:p>
            <w:pPr>
              <w:pStyle w:val="null3"/>
              <w:jc w:val="left"/>
            </w:pPr>
            <w:r>
              <w:rPr/>
              <w:t>11、团队人员</w:t>
            </w:r>
          </w:p>
        </w:tc>
        <w:tc>
          <w:tcPr>
            <w:tcW w:type="dxa" w:w="831"/>
          </w:tcPr>
          <w:p>
            <w:pPr>
              <w:pStyle w:val="null3"/>
              <w:jc w:val="right"/>
            </w:pPr>
            <w:r>
              <w:rPr/>
              <w:t>3.0000</w:t>
            </w:r>
          </w:p>
        </w:tc>
        <w:tc>
          <w:tcPr>
            <w:tcW w:type="dxa" w:w="4153"/>
          </w:tcPr>
          <w:p>
            <w:pPr>
              <w:pStyle w:val="null3"/>
              <w:jc w:val="left"/>
            </w:pPr>
            <w:r>
              <w:rPr/>
              <w:t>根据供应商拟派本项目的服务团队中具备有害生物防制员职业资格证书情况进行评分：每提供1个高级（三级）资格证书人员的得1分，满分3分。 备注：提供上述人员相关证书复印件及响应文件截止时间前（不含响应文件截止时间的当月）近六个月内任意一个月在供应商单位缴纳的社保证明复印件。</w:t>
            </w:r>
          </w:p>
        </w:tc>
      </w:tr>
      <w:tr>
        <w:tc>
          <w:tcPr>
            <w:tcW w:type="dxa" w:w="3322"/>
          </w:tcPr>
          <w:p>
            <w:pPr>
              <w:pStyle w:val="null3"/>
              <w:jc w:val="left"/>
            </w:pPr>
            <w:r>
              <w:rPr/>
              <w:t>12、防治药剂</w:t>
            </w:r>
          </w:p>
        </w:tc>
        <w:tc>
          <w:tcPr>
            <w:tcW w:type="dxa" w:w="831"/>
          </w:tcPr>
          <w:p>
            <w:pPr>
              <w:pStyle w:val="null3"/>
              <w:jc w:val="right"/>
            </w:pPr>
            <w:r>
              <w:rPr/>
              <w:t>3.0000</w:t>
            </w:r>
          </w:p>
        </w:tc>
        <w:tc>
          <w:tcPr>
            <w:tcW w:type="dxa" w:w="4153"/>
          </w:tcPr>
          <w:p>
            <w:pPr>
              <w:pStyle w:val="null3"/>
              <w:jc w:val="left"/>
            </w:pPr>
            <w:r>
              <w:rPr/>
              <w:t>根据供应商投入的防治药剂情况进行评分，供应商的防治药剂具备：①农药登记证、②生产许可证或生产批准证书、③产品企业标准，每种药剂完整提供以上三项药剂证书的得1分，本项满分3分。须提供每种药剂在中国农药信息网进行有效查询截图及相关证书证明材料扫描件（或复印件）并加盖供应商公章，未提供或材料不全的不得分。</w:t>
            </w:r>
          </w:p>
        </w:tc>
      </w:tr>
    </w:tbl>
    <w:p>
      <w:pPr>
        <w:pStyle w:val="null3"/>
        <w:jc w:val="left"/>
      </w:pPr>
      <w:r>
        <w:rPr/>
        <w:t>商务部分评分PB 满分为21.0000分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1.资质证书</w:t>
            </w:r>
          </w:p>
        </w:tc>
        <w:tc>
          <w:tcPr>
            <w:tcW w:type="dxa" w:w="831"/>
          </w:tcPr>
          <w:p>
            <w:pPr>
              <w:pStyle w:val="null3"/>
              <w:jc w:val="right"/>
            </w:pPr>
            <w:r>
              <w:rPr/>
              <w:t>3.0000</w:t>
            </w:r>
          </w:p>
        </w:tc>
        <w:tc>
          <w:tcPr>
            <w:tcW w:type="dxa" w:w="4153"/>
          </w:tcPr>
          <w:p>
            <w:pPr>
              <w:pStyle w:val="null3"/>
              <w:jc w:val="left"/>
            </w:pPr>
            <w:r>
              <w:rPr/>
              <w:t>根据供应商获得有害生物防治服务企业资质证书和农药经营许可证，每提供一项得1.5分，满分3分，须提供证明材料复印件并加盖公章，不提供不得分。</w:t>
            </w:r>
          </w:p>
        </w:tc>
      </w:tr>
      <w:tr>
        <w:tc>
          <w:tcPr>
            <w:tcW w:type="dxa" w:w="3322"/>
          </w:tcPr>
          <w:p>
            <w:pPr>
              <w:pStyle w:val="null3"/>
              <w:jc w:val="left"/>
            </w:pPr>
            <w:r>
              <w:rPr/>
              <w:t>2、业绩证明</w:t>
            </w:r>
          </w:p>
        </w:tc>
        <w:tc>
          <w:tcPr>
            <w:tcW w:type="dxa" w:w="831"/>
          </w:tcPr>
          <w:p>
            <w:pPr>
              <w:pStyle w:val="null3"/>
              <w:jc w:val="right"/>
            </w:pPr>
            <w:r>
              <w:rPr/>
              <w:t>3.0000</w:t>
            </w:r>
          </w:p>
        </w:tc>
        <w:tc>
          <w:tcPr>
            <w:tcW w:type="dxa" w:w="4153"/>
          </w:tcPr>
          <w:p>
            <w:pPr>
              <w:pStyle w:val="null3"/>
              <w:jc w:val="left"/>
            </w:pPr>
            <w:r>
              <w:rPr/>
              <w:t>根据供应商2021年1月1日以来（根据合同签订时间计算）至今完成的红火蚁防控相关业绩进行评审，每提供一个业绩得1分，满分3分。供应商须提供以下相关证明材料：① 中标公告（提供相关网站中标公告的下载网页并注明网址）②中标（成交）通知书复印件；③合同文本复印件；④证明项目已通过验收合格的相关证明材料。未提供或不满足本项要求的不得分。本项与“服务评价”项不重复得分。</w:t>
            </w:r>
          </w:p>
        </w:tc>
      </w:tr>
      <w:tr>
        <w:tc>
          <w:tcPr>
            <w:tcW w:type="dxa" w:w="3322"/>
          </w:tcPr>
          <w:p>
            <w:pPr>
              <w:pStyle w:val="null3"/>
              <w:jc w:val="left"/>
            </w:pPr>
            <w:r>
              <w:rPr/>
              <w:t>3、服务评价</w:t>
            </w:r>
          </w:p>
        </w:tc>
        <w:tc>
          <w:tcPr>
            <w:tcW w:type="dxa" w:w="831"/>
          </w:tcPr>
          <w:p>
            <w:pPr>
              <w:pStyle w:val="null3"/>
              <w:jc w:val="right"/>
            </w:pPr>
            <w:r>
              <w:rPr/>
              <w:t>3.0000</w:t>
            </w:r>
          </w:p>
        </w:tc>
        <w:tc>
          <w:tcPr>
            <w:tcW w:type="dxa" w:w="4153"/>
          </w:tcPr>
          <w:p>
            <w:pPr>
              <w:pStyle w:val="null3"/>
              <w:jc w:val="left"/>
            </w:pPr>
            <w:r>
              <w:rPr/>
              <w:t>根据供应商2023年1月1日以来所提供的红火蚁防控服务满意度评价进行评审，每提供1份满意度证明材料的得1.5分，满分3分。供应商须提供以下相关证明材料：① 中标（成交）通知书复印件②采购合同文本复印件③证明项目已通过验收合格的相关证明材料④相关评价证明文件（评价为“满意”或者“优秀”或者同类意思表述的均可）未提供或不满足本项要求的不得分。本项与“业绩证明”项不重复得分。</w:t>
            </w:r>
          </w:p>
        </w:tc>
      </w:tr>
      <w:tr>
        <w:tc>
          <w:tcPr>
            <w:tcW w:type="dxa" w:w="3322"/>
          </w:tcPr>
          <w:p>
            <w:pPr>
              <w:pStyle w:val="null3"/>
              <w:jc w:val="left"/>
            </w:pPr>
            <w:r>
              <w:rPr/>
              <w:t>4、系统运用情况</w:t>
            </w:r>
          </w:p>
        </w:tc>
        <w:tc>
          <w:tcPr>
            <w:tcW w:type="dxa" w:w="831"/>
          </w:tcPr>
          <w:p>
            <w:pPr>
              <w:pStyle w:val="null3"/>
              <w:jc w:val="right"/>
            </w:pPr>
            <w:r>
              <w:rPr/>
              <w:t>3.0000</w:t>
            </w:r>
          </w:p>
        </w:tc>
        <w:tc>
          <w:tcPr>
            <w:tcW w:type="dxa" w:w="4153"/>
          </w:tcPr>
          <w:p>
            <w:pPr>
              <w:pStyle w:val="null3"/>
              <w:jc w:val="left"/>
            </w:pPr>
            <w:r>
              <w:rPr/>
              <w:t>根据供应商对红火蚁数据采集系统“云采集”的应用程度进行评价：供应商有应用“云采集”系统开展过红火蚁防控服务类项目或普查项目（合同中要体现应用“云采集”相关表述，且项目已通过验收。合同中未体现“云采集”相关表述的，应提供该项目采购文件中相关条款进行补充说明），每提供一份业绩得0.6分（满分3分）。供应商须提供以下相关证明材料：①采购合同文本复印件（合同未体现“云采集”相关描述的，应提供该项目采购文件中相关条款进行补充证明）②专家验收表（或业主开具的验收合格证明）复印件。未提供或不满足本项要求的不得分。</w:t>
            </w:r>
          </w:p>
        </w:tc>
      </w:tr>
      <w:tr>
        <w:tc>
          <w:tcPr>
            <w:tcW w:type="dxa" w:w="3322"/>
          </w:tcPr>
          <w:p>
            <w:pPr>
              <w:pStyle w:val="null3"/>
              <w:jc w:val="left"/>
            </w:pPr>
            <w:r>
              <w:rPr/>
              <w:t>5、保险保障</w:t>
            </w:r>
          </w:p>
        </w:tc>
        <w:tc>
          <w:tcPr>
            <w:tcW w:type="dxa" w:w="831"/>
          </w:tcPr>
          <w:p>
            <w:pPr>
              <w:pStyle w:val="null3"/>
              <w:jc w:val="right"/>
            </w:pPr>
            <w:r>
              <w:rPr/>
              <w:t>3.0000</w:t>
            </w:r>
          </w:p>
        </w:tc>
        <w:tc>
          <w:tcPr>
            <w:tcW w:type="dxa" w:w="4153"/>
          </w:tcPr>
          <w:p>
            <w:pPr>
              <w:pStyle w:val="null3"/>
              <w:jc w:val="left"/>
            </w:pPr>
            <w:r>
              <w:rPr/>
              <w:t>根据供应商为本项目人员投保团体意外伤害保险进行评分，满分3分。供应商须提供以下相关证明材料：①保险保单②发票。未提供或不满足本项要求的不得分。</w:t>
            </w:r>
          </w:p>
        </w:tc>
      </w:tr>
      <w:tr>
        <w:tc>
          <w:tcPr>
            <w:tcW w:type="dxa" w:w="3322"/>
          </w:tcPr>
          <w:p>
            <w:pPr>
              <w:pStyle w:val="null3"/>
              <w:jc w:val="left"/>
            </w:pPr>
            <w:r>
              <w:rPr/>
              <w:t>6、承诺书</w:t>
            </w:r>
          </w:p>
        </w:tc>
        <w:tc>
          <w:tcPr>
            <w:tcW w:type="dxa" w:w="831"/>
          </w:tcPr>
          <w:p>
            <w:pPr>
              <w:pStyle w:val="null3"/>
              <w:jc w:val="right"/>
            </w:pPr>
            <w:r>
              <w:rPr/>
              <w:t>3.0000</w:t>
            </w:r>
          </w:p>
        </w:tc>
        <w:tc>
          <w:tcPr>
            <w:tcW w:type="dxa" w:w="4153"/>
          </w:tcPr>
          <w:p>
            <w:pPr>
              <w:pStyle w:val="null3"/>
              <w:jc w:val="left"/>
            </w:pPr>
            <w:r>
              <w:rPr/>
              <w:t>供应商承诺所报价格能根据业主和监测技术服务单位要求保质保量完成13000亩以上的红火蚁发生面积，不得恶意压低价格导致后续无法开展工作，成交后在合同期间不得将合同转包 、分包给其他企业，否则采购人有权终止合同，采购人有权要求成交供应商赔偿因此所造成的经济损失，提供承诺书得 3 分，不提供不得分。</w:t>
            </w:r>
          </w:p>
        </w:tc>
      </w:tr>
      <w:tr>
        <w:tc>
          <w:tcPr>
            <w:tcW w:type="dxa" w:w="3322"/>
          </w:tcPr>
          <w:p>
            <w:pPr>
              <w:pStyle w:val="null3"/>
              <w:jc w:val="left"/>
            </w:pPr>
            <w:r>
              <w:rPr/>
              <w:t>7、应急服务响应</w:t>
            </w:r>
          </w:p>
        </w:tc>
        <w:tc>
          <w:tcPr>
            <w:tcW w:type="dxa" w:w="831"/>
          </w:tcPr>
          <w:p>
            <w:pPr>
              <w:pStyle w:val="null3"/>
              <w:jc w:val="right"/>
            </w:pPr>
            <w:r>
              <w:rPr/>
              <w:t>3.0000</w:t>
            </w:r>
          </w:p>
        </w:tc>
        <w:tc>
          <w:tcPr>
            <w:tcW w:type="dxa" w:w="4153"/>
          </w:tcPr>
          <w:p>
            <w:pPr>
              <w:pStyle w:val="null3"/>
              <w:jc w:val="left"/>
            </w:pPr>
            <w:r>
              <w:rPr/>
              <w:t>为了能够对采购人的服务进行及时响应、考虑到本项目要求服务响应时间短，应急处理能力强，及时对突发事件进行应急处理，根据应急服务响应时间，评标委员会结合供应商提供的承诺书进行综合评分，应急响应时间在1小时（含）以内的得3分，应急响应时间在1小时以上90分钟以内（含）得2分，应急响应时间在90分钟以上2小时内（含）的得1分，其他情形的不得分。注:须提供承诺函，未提供的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不满足磋商文件第三章《采购内容及要求》中带★号条款的。</w:t>
            </w:r>
          </w:p>
        </w:tc>
      </w:tr>
      <w:tr>
        <w:tc>
          <w:tcPr>
            <w:tcW w:type="dxa" w:w="4153"/>
          </w:tcPr>
          <w:p>
            <w:pPr>
              <w:pStyle w:val="null3"/>
              <w:jc w:val="left"/>
            </w:pPr>
            <w:r>
              <w:rPr/>
              <w:t>其他情形</w:t>
            </w:r>
          </w:p>
        </w:tc>
        <w:tc>
          <w:tcPr>
            <w:tcW w:type="dxa" w:w="4153"/>
          </w:tcPr>
          <w:p>
            <w:pPr>
              <w:pStyle w:val="null3"/>
              <w:jc w:val="left"/>
            </w:pPr>
            <w:r>
              <w:rPr/>
              <w:t>响应文件中提供虚假或失实资料的。</w:t>
            </w:r>
          </w:p>
        </w:tc>
      </w:tr>
      <w:tr>
        <w:tc>
          <w:tcPr>
            <w:tcW w:type="dxa" w:w="4153"/>
          </w:tcPr>
          <w:p>
            <w:pPr>
              <w:pStyle w:val="null3"/>
              <w:jc w:val="left"/>
            </w:pPr>
            <w:r>
              <w:rPr/>
              <w:t>其他情形</w:t>
            </w:r>
          </w:p>
        </w:tc>
        <w:tc>
          <w:tcPr>
            <w:tcW w:type="dxa" w:w="4153"/>
          </w:tcPr>
          <w:p>
            <w:pPr>
              <w:pStyle w:val="null3"/>
              <w:jc w:val="left"/>
            </w:pPr>
            <w:r>
              <w:rPr/>
              <w:t>磋商文件规定的其它响应文件将被否决的情形。</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不满足磋商文件第三章《采购内容及要求》中带★号条款的。</w:t>
            </w:r>
          </w:p>
        </w:tc>
      </w:tr>
      <w:tr>
        <w:tc>
          <w:tcPr>
            <w:tcW w:type="dxa" w:w="4153"/>
          </w:tcPr>
          <w:p>
            <w:pPr>
              <w:pStyle w:val="null3"/>
              <w:jc w:val="left"/>
            </w:pPr>
            <w:r>
              <w:rPr/>
              <w:t>其他情形</w:t>
            </w:r>
          </w:p>
        </w:tc>
        <w:tc>
          <w:tcPr>
            <w:tcW w:type="dxa" w:w="4153"/>
          </w:tcPr>
          <w:p>
            <w:pPr>
              <w:pStyle w:val="null3"/>
              <w:jc w:val="left"/>
            </w:pPr>
            <w:r>
              <w:rPr/>
              <w:t>磋商文件规定的其它响应文件将被否决的情形。</w:t>
            </w:r>
          </w:p>
        </w:tc>
      </w:tr>
    </w:tbl>
    <w:p>
      <w:pPr>
        <w:pStyle w:val="null3"/>
        <w:jc w:val="left"/>
      </w:pPr>
      <w:r>
        <w:rPr/>
        <w:t>附加符合性：无</w:t>
      </w:r>
    </w:p>
    <w:p>
      <w:pPr>
        <w:pStyle w:val="null3"/>
        <w:jc w:val="left"/>
      </w:pPr>
      <w:r>
        <w:rPr/>
        <w:t>价格符合性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供应商的响应文件中的投标报价高于最高限价情形的，按无效投标处理。</w:t>
            </w:r>
          </w:p>
        </w:tc>
      </w:tr>
    </w:tbl>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calibri" w:hAnsi="calibri" w:cs="calibri" w:eastAsia="calibri"/>
          <w:sz w:val="24"/>
          <w:color w:val="000000"/>
        </w:rPr>
        <w:t>1</w:t>
      </w:r>
      <w:r>
        <w:rPr>
          <w:rFonts w:ascii="宋体" w:hAnsi="宋体" w:cs="宋体" w:eastAsia="宋体"/>
          <w:sz w:val="24"/>
          <w:color w:val="000000"/>
        </w:rPr>
        <w:t>、</w:t>
      </w:r>
      <w:r>
        <w:rPr>
          <w:rFonts w:ascii="calibri" w:hAnsi="calibri" w:cs="calibri" w:eastAsia="calibri"/>
          <w:sz w:val="24"/>
          <w:color w:val="000000"/>
        </w:rPr>
        <w:t>2024</w:t>
      </w:r>
      <w:r>
        <w:rPr>
          <w:rFonts w:ascii="宋体" w:hAnsi="宋体" w:cs="宋体" w:eastAsia="宋体"/>
          <w:sz w:val="24"/>
          <w:color w:val="000000"/>
        </w:rPr>
        <w:t>年龙海区红火蚁疫情专业化防控服务项目资金</w:t>
      </w:r>
      <w:r>
        <w:rPr>
          <w:rFonts w:ascii="calibri" w:hAnsi="calibri" w:cs="calibri" w:eastAsia="calibri"/>
          <w:sz w:val="24"/>
          <w:color w:val="000000"/>
        </w:rPr>
        <w:t>94</w:t>
      </w:r>
      <w:r>
        <w:rPr>
          <w:rFonts w:ascii="宋体" w:hAnsi="宋体" w:cs="宋体" w:eastAsia="宋体"/>
          <w:sz w:val="24"/>
          <w:color w:val="000000"/>
        </w:rPr>
        <w:t>万元，防治发生面积</w:t>
      </w:r>
      <w:r>
        <w:rPr>
          <w:rFonts w:ascii="calibri" w:hAnsi="calibri" w:cs="calibri" w:eastAsia="calibri"/>
          <w:sz w:val="24"/>
          <w:color w:val="000000"/>
        </w:rPr>
        <w:t>1.3</w:t>
      </w:r>
      <w:r>
        <w:rPr>
          <w:rFonts w:ascii="宋体" w:hAnsi="宋体" w:cs="宋体" w:eastAsia="宋体"/>
          <w:sz w:val="24"/>
          <w:color w:val="000000"/>
        </w:rPr>
        <w:t>万亩以上</w:t>
      </w:r>
      <w:r>
        <w:rPr>
          <w:rFonts w:ascii="calibri" w:hAnsi="calibri" w:cs="calibri" w:eastAsia="calibri"/>
          <w:sz w:val="24"/>
          <w:color w:val="000000"/>
        </w:rPr>
        <w:t>(</w:t>
      </w:r>
      <w:r>
        <w:rPr>
          <w:rFonts w:ascii="宋体" w:hAnsi="宋体" w:cs="宋体" w:eastAsia="宋体"/>
          <w:sz w:val="24"/>
          <w:color w:val="000000"/>
        </w:rPr>
        <w:t>单位发生面积：指红火蚁发生范围，以活动蚁巢或诱集发生的监测点为中心，半径</w:t>
      </w:r>
      <w:r>
        <w:rPr>
          <w:rFonts w:ascii="calibri" w:hAnsi="calibri" w:cs="calibri" w:eastAsia="calibri"/>
          <w:sz w:val="24"/>
          <w:color w:val="000000"/>
        </w:rPr>
        <w:t>30</w:t>
      </w:r>
      <w:r>
        <w:rPr>
          <w:rFonts w:ascii="宋体" w:hAnsi="宋体" w:cs="宋体" w:eastAsia="宋体"/>
          <w:sz w:val="24"/>
          <w:color w:val="000000"/>
        </w:rPr>
        <w:t>米范围内的区域为单位面积</w:t>
      </w:r>
      <w:r>
        <w:rPr>
          <w:rFonts w:ascii="calibri" w:hAnsi="calibri" w:cs="calibri" w:eastAsia="calibri"/>
          <w:sz w:val="24"/>
          <w:color w:val="000000"/>
        </w:rPr>
        <w:t>)</w:t>
      </w:r>
      <w:r>
        <w:rPr>
          <w:rFonts w:ascii="宋体" w:hAnsi="宋体" w:cs="宋体" w:eastAsia="宋体"/>
          <w:sz w:val="24"/>
          <w:color w:val="000000"/>
        </w:rPr>
        <w:t>，防控生境类型为农田（包括水产养殖池）和农村（包括乡村公园、绿地、道路等），成交专业化防治企业在项目招标指定防控范围内，可采取边踏查边防治或先踏查后防治的方式，使红火蚁为害得到有效控制，要求踏查覆盖率不得低于</w:t>
      </w:r>
      <w:r>
        <w:rPr>
          <w:rFonts w:ascii="calibri" w:hAnsi="calibri" w:cs="calibri" w:eastAsia="calibri"/>
          <w:sz w:val="24"/>
          <w:color w:val="000000"/>
        </w:rPr>
        <w:t>95%</w:t>
      </w:r>
      <w:r>
        <w:rPr>
          <w:rFonts w:ascii="宋体" w:hAnsi="宋体" w:cs="宋体" w:eastAsia="宋体"/>
          <w:sz w:val="24"/>
          <w:color w:val="000000"/>
        </w:rPr>
        <w:t>，踏查准确率不得低于</w:t>
      </w:r>
      <w:r>
        <w:rPr>
          <w:rFonts w:ascii="calibri" w:hAnsi="calibri" w:cs="calibri" w:eastAsia="calibri"/>
          <w:sz w:val="24"/>
          <w:color w:val="000000"/>
        </w:rPr>
        <w:t>90%</w:t>
      </w:r>
      <w:r>
        <w:rPr>
          <w:rFonts w:ascii="宋体" w:hAnsi="宋体" w:cs="宋体" w:eastAsia="宋体"/>
          <w:sz w:val="24"/>
          <w:color w:val="000000"/>
        </w:rPr>
        <w:t>，防治效果率要达</w:t>
      </w:r>
      <w:r>
        <w:rPr>
          <w:rFonts w:ascii="calibri" w:hAnsi="calibri" w:cs="calibri" w:eastAsia="calibri"/>
          <w:sz w:val="24"/>
          <w:color w:val="000000"/>
        </w:rPr>
        <w:t>90%</w:t>
      </w:r>
      <w:r>
        <w:rPr>
          <w:rFonts w:ascii="宋体" w:hAnsi="宋体" w:cs="宋体" w:eastAsia="宋体"/>
          <w:sz w:val="24"/>
          <w:color w:val="000000"/>
        </w:rPr>
        <w:t>以上。</w:t>
      </w:r>
    </w:p>
    <w:p>
      <w:pPr>
        <w:pStyle w:val="null3"/>
        <w:ind w:firstLine="480"/>
      </w:pPr>
      <w:r>
        <w:rPr>
          <w:rFonts w:ascii="calibri" w:hAnsi="calibri" w:cs="calibri" w:eastAsia="calibri"/>
          <w:sz w:val="24"/>
          <w:color w:val="000000"/>
        </w:rPr>
        <w:t>2</w:t>
      </w:r>
      <w:r>
        <w:rPr>
          <w:rFonts w:ascii="宋体" w:hAnsi="宋体" w:cs="宋体" w:eastAsia="宋体"/>
          <w:sz w:val="24"/>
          <w:color w:val="000000"/>
        </w:rPr>
        <w:t>、服务期限：</w:t>
      </w:r>
      <w:r>
        <w:rPr>
          <w:rFonts w:ascii="宋体" w:hAnsi="宋体" w:cs="宋体" w:eastAsia="宋体"/>
          <w:sz w:val="24"/>
          <w:color w:val="000000"/>
        </w:rPr>
        <w:t>本项目服务期限自合同签订生效之日起</w:t>
      </w:r>
      <w:r>
        <w:rPr>
          <w:rFonts w:ascii="宋体" w:hAnsi="宋体" w:cs="宋体" w:eastAsia="宋体"/>
          <w:sz w:val="24"/>
          <w:color w:val="000000"/>
        </w:rPr>
        <w:t>180天内完成</w:t>
      </w:r>
      <w:r>
        <w:rPr>
          <w:rFonts w:ascii="宋体" w:hAnsi="宋体" w:cs="宋体" w:eastAsia="宋体"/>
          <w:sz w:val="24"/>
          <w:color w:val="000000"/>
        </w:rPr>
        <w:t>。如遇特殊原因，根据实际情况，双方协商通过，项目可暂缓或服务期限延长。</w:t>
      </w:r>
    </w:p>
    <w:p>
      <w:pPr>
        <w:pStyle w:val="null3"/>
        <w:ind w:firstLine="480"/>
      </w:pPr>
      <w:r>
        <w:rPr>
          <w:rFonts w:ascii="calibri" w:hAnsi="calibri" w:cs="calibri" w:eastAsia="calibri"/>
          <w:sz w:val="24"/>
          <w:color w:val="000000"/>
        </w:rPr>
        <w:t>3</w:t>
      </w:r>
      <w:r>
        <w:rPr>
          <w:rFonts w:ascii="宋体" w:hAnsi="宋体" w:cs="宋体" w:eastAsia="宋体"/>
          <w:sz w:val="24"/>
          <w:color w:val="000000"/>
        </w:rPr>
        <w:t>、本项目预算价为人民币</w:t>
      </w:r>
      <w:r>
        <w:rPr>
          <w:rFonts w:ascii="calibri" w:hAnsi="calibri" w:cs="calibri" w:eastAsia="calibri"/>
          <w:sz w:val="24"/>
          <w:color w:val="000000"/>
        </w:rPr>
        <w:t>940000</w:t>
      </w:r>
      <w:r>
        <w:rPr>
          <w:rFonts w:ascii="宋体" w:hAnsi="宋体" w:cs="宋体" w:eastAsia="宋体"/>
          <w:sz w:val="24"/>
          <w:color w:val="000000"/>
        </w:rPr>
        <w:t>元整，防控预算最高控制单价为</w:t>
      </w:r>
      <w:r>
        <w:rPr>
          <w:rFonts w:ascii="calibri" w:hAnsi="calibri" w:cs="calibri" w:eastAsia="calibri"/>
          <w:sz w:val="24"/>
          <w:color w:val="000000"/>
        </w:rPr>
        <w:t>72.3</w:t>
      </w:r>
      <w:r>
        <w:rPr>
          <w:rFonts w:ascii="宋体" w:hAnsi="宋体" w:cs="宋体" w:eastAsia="宋体"/>
          <w:sz w:val="24"/>
          <w:color w:val="000000"/>
        </w:rPr>
        <w:t>元／亩，报价超过预算价及最高控制单价的为无效报价。本项目在招标时防控面积暂按</w:t>
      </w:r>
      <w:r>
        <w:rPr>
          <w:rFonts w:ascii="calibri" w:hAnsi="calibri" w:cs="calibri" w:eastAsia="calibri"/>
          <w:sz w:val="24"/>
          <w:color w:val="000000"/>
        </w:rPr>
        <w:t>1.3</w:t>
      </w:r>
      <w:r>
        <w:rPr>
          <w:rFonts w:ascii="宋体" w:hAnsi="宋体" w:cs="宋体" w:eastAsia="宋体"/>
          <w:sz w:val="24"/>
          <w:color w:val="000000"/>
        </w:rPr>
        <w:t>万亩计算，鉴于系统固化，各供应商上传系统报价</w:t>
      </w:r>
      <w:r>
        <w:rPr>
          <w:rFonts w:ascii="calibri" w:hAnsi="calibri" w:cs="calibri" w:eastAsia="calibri"/>
          <w:sz w:val="24"/>
          <w:color w:val="000000"/>
        </w:rPr>
        <w:t>=1.3</w:t>
      </w:r>
      <w:r>
        <w:rPr>
          <w:rFonts w:ascii="宋体" w:hAnsi="宋体" w:cs="宋体" w:eastAsia="宋体"/>
          <w:sz w:val="24"/>
          <w:color w:val="000000"/>
        </w:rPr>
        <w:t>万亩</w:t>
      </w:r>
      <w:r>
        <w:rPr>
          <w:rFonts w:ascii="calibri" w:hAnsi="calibri" w:cs="calibri" w:eastAsia="calibri"/>
          <w:sz w:val="24"/>
          <w:color w:val="000000"/>
        </w:rPr>
        <w:t>*</w:t>
      </w:r>
      <w:r>
        <w:rPr>
          <w:rFonts w:ascii="宋体" w:hAnsi="宋体" w:cs="宋体" w:eastAsia="宋体"/>
          <w:sz w:val="24"/>
          <w:color w:val="000000"/>
        </w:rPr>
        <w:t>所报单价</w:t>
      </w:r>
      <w:r>
        <w:rPr>
          <w:rFonts w:ascii="宋体" w:hAnsi="宋体" w:cs="宋体" w:eastAsia="宋体"/>
          <w:sz w:val="24"/>
          <w:color w:val="000000"/>
        </w:rPr>
        <w:t>，</w:t>
      </w:r>
      <w:r>
        <w:rPr>
          <w:rFonts w:ascii="宋体" w:hAnsi="宋体" w:cs="宋体" w:eastAsia="宋体"/>
          <w:sz w:val="24"/>
          <w:color w:val="000000"/>
        </w:rPr>
        <w:t>各供应商上传系统报价</w:t>
      </w:r>
      <w:r>
        <w:rPr>
          <w:rFonts w:ascii="宋体" w:hAnsi="宋体" w:cs="宋体" w:eastAsia="宋体"/>
          <w:sz w:val="24"/>
          <w:color w:val="000000"/>
        </w:rPr>
        <w:t>÷所报单价</w:t>
      </w:r>
      <w:r>
        <w:rPr>
          <w:rFonts w:ascii="宋体" w:hAnsi="宋体" w:cs="宋体" w:eastAsia="宋体"/>
          <w:sz w:val="24"/>
          <w:color w:val="000000"/>
        </w:rPr>
        <w:t>，</w:t>
      </w:r>
      <w:r>
        <w:rPr>
          <w:rFonts w:ascii="宋体" w:hAnsi="宋体" w:cs="宋体" w:eastAsia="宋体"/>
          <w:sz w:val="24"/>
          <w:color w:val="000000"/>
        </w:rPr>
        <w:t>得出的面积不是最终面积，最终实际防控面积为：</w:t>
      </w:r>
      <w:r>
        <w:rPr>
          <w:rFonts w:ascii="calibri" w:hAnsi="calibri" w:cs="calibri" w:eastAsia="calibri"/>
          <w:sz w:val="24"/>
          <w:color w:val="000000"/>
        </w:rPr>
        <w:t>940000</w:t>
      </w:r>
      <w:r>
        <w:rPr>
          <w:rFonts w:ascii="宋体" w:hAnsi="宋体" w:cs="宋体" w:eastAsia="宋体"/>
          <w:sz w:val="24"/>
          <w:color w:val="000000"/>
        </w:rPr>
        <w:t>÷中标单价，最终合同结算价为</w:t>
      </w:r>
      <w:r>
        <w:rPr>
          <w:rFonts w:ascii="calibri" w:hAnsi="calibri" w:cs="calibri" w:eastAsia="calibri"/>
          <w:sz w:val="24"/>
          <w:color w:val="000000"/>
        </w:rPr>
        <w:t>940000</w:t>
      </w:r>
      <w:r>
        <w:rPr>
          <w:rFonts w:ascii="宋体" w:hAnsi="宋体" w:cs="宋体" w:eastAsia="宋体"/>
          <w:sz w:val="24"/>
          <w:color w:val="000000"/>
        </w:rPr>
        <w:t>元整。（报价为完成本项目涉及的所有工作可能发生的费用，包含人工费、药品、辅助材料费、宣传培训费、机械、技术服务、检验检测、劳保、税金、验收专家费、相关伴随服务合同期间所可能发生的一切费用，项目实施过程中，采购人无须再支付任何其他费用）</w:t>
      </w:r>
      <w:r>
        <w:rPr>
          <w:rFonts w:ascii="宋体" w:hAnsi="宋体" w:cs="宋体" w:eastAsia="宋体"/>
          <w:sz w:val="24"/>
          <w:color w:val="000000"/>
        </w:rPr>
        <w:t>。</w:t>
      </w:r>
    </w:p>
    <w:p>
      <w:pPr>
        <w:pStyle w:val="null3"/>
        <w:ind w:firstLine="480"/>
      </w:pPr>
      <w:r>
        <w:rPr>
          <w:rFonts w:ascii="calibri" w:hAnsi="calibri" w:cs="calibri" w:eastAsia="calibri"/>
          <w:sz w:val="24"/>
          <w:color w:val="000000"/>
        </w:rPr>
        <w:t>4</w:t>
      </w:r>
      <w:r>
        <w:rPr>
          <w:rFonts w:ascii="宋体" w:hAnsi="宋体" w:cs="宋体" w:eastAsia="宋体"/>
          <w:sz w:val="24"/>
          <w:color w:val="000000"/>
        </w:rPr>
        <w:t>、项目招标防控范围</w:t>
      </w:r>
    </w:p>
    <w:p>
      <w:pPr>
        <w:pStyle w:val="null3"/>
        <w:ind w:firstLine="480"/>
      </w:pPr>
      <w:r>
        <w:rPr>
          <w:rFonts w:ascii="宋体" w:hAnsi="宋体" w:cs="宋体" w:eastAsia="宋体"/>
          <w:sz w:val="24"/>
          <w:color w:val="000000"/>
        </w:rPr>
        <w:t>本项目招标服务涉及范围优先顺序为紫泥镇仁和村和巽玉村（</w:t>
      </w:r>
      <w:r>
        <w:rPr>
          <w:rFonts w:ascii="宋体" w:hAnsi="宋体" w:cs="宋体" w:eastAsia="宋体"/>
          <w:sz w:val="24"/>
          <w:color w:val="000000"/>
        </w:rPr>
        <w:t>2023</w:t>
      </w:r>
      <w:r>
        <w:rPr>
          <w:rFonts w:ascii="宋体" w:hAnsi="宋体" w:cs="宋体" w:eastAsia="宋体"/>
          <w:sz w:val="24"/>
          <w:color w:val="000000"/>
        </w:rPr>
        <w:t>年度未防治到的区域），金定村、甘文农场，榜山镇洋西村、北溪头村、雩林村等直到标的面积做完为止，防治面积以普查图片上传</w:t>
      </w:r>
      <w:r>
        <w:rPr>
          <w:rFonts w:ascii="宋体" w:hAnsi="宋体" w:cs="宋体" w:eastAsia="宋体"/>
          <w:sz w:val="24"/>
          <w:color w:val="000000"/>
        </w:rPr>
        <w:t>“云采集”软件自动测算面积为准。中标防治企业在签订合同前根据业主单位划定具体的防治区域，形成防控范围地图。</w:t>
      </w:r>
    </w:p>
    <w:p>
      <w:pPr>
        <w:pStyle w:val="null3"/>
        <w:jc w:val="left"/>
        <w:outlineLvl w:val="2"/>
      </w:pPr>
      <w:r>
        <w:rPr>
          <w:sz w:val="28"/>
          <w:b/>
        </w:rPr>
        <w:t>二、技术要求</w:t>
      </w:r>
    </w:p>
    <w:p>
      <w:pPr>
        <w:pStyle w:val="null3"/>
        <w:jc w:val="left"/>
      </w:pPr>
      <w:r>
        <w:rPr>
          <w:rFonts w:ascii="宋体" w:hAnsi="宋体" w:cs="宋体" w:eastAsia="宋体"/>
          <w:sz w:val="24"/>
          <w:color w:val="000000"/>
        </w:rPr>
        <w:t>（一）防控技术要求</w:t>
      </w:r>
    </w:p>
    <w:p>
      <w:pPr>
        <w:pStyle w:val="null3"/>
        <w:ind w:firstLine="480"/>
      </w:pPr>
      <w:r>
        <w:rPr>
          <w:rFonts w:ascii="宋体" w:hAnsi="宋体" w:cs="宋体" w:eastAsia="宋体"/>
          <w:sz w:val="24"/>
          <w:color w:val="000000"/>
        </w:rPr>
        <w:t>★1、防治企业应在</w:t>
      </w:r>
      <w:r>
        <w:rPr>
          <w:rFonts w:ascii="宋体" w:hAnsi="宋体" w:cs="宋体" w:eastAsia="宋体"/>
          <w:sz w:val="24"/>
          <w:color w:val="000000"/>
        </w:rPr>
        <w:t>防治点</w:t>
      </w:r>
      <w:r>
        <w:rPr>
          <w:rFonts w:ascii="宋体" w:hAnsi="宋体" w:cs="宋体" w:eastAsia="宋体"/>
          <w:sz w:val="24"/>
          <w:color w:val="000000"/>
        </w:rPr>
        <w:t>设立固定办公点与储药仓库，投入足够人力，抓住秋季红火蚁防控的关键季节开展集中防控。</w:t>
      </w:r>
    </w:p>
    <w:p>
      <w:pPr>
        <w:pStyle w:val="null3"/>
        <w:ind w:firstLine="480"/>
      </w:pPr>
      <w:r>
        <w:rPr>
          <w:rFonts w:ascii="宋体" w:hAnsi="宋体" w:cs="宋体" w:eastAsia="宋体"/>
          <w:sz w:val="24"/>
          <w:color w:val="000000"/>
        </w:rPr>
        <w:t>★2、防治企业应根据实际情况合理安排防控时间，应抓住10月-11月红火蚁防控的最佳时期组织开展普查防控工作。普查工作要求：通过“云采集”手机软件上传的照片上要求能看到红火蚁。方法采取类似小竹杆的东西朝蚁巢插3-4个孔，但不要破坏蚁巢，等红火蚁出来时插上标签（统一用红色小彩旗），然后拍照，照片上要求能看到红火蚁，特别是标签上的红火蚁；散蚁要用猪肉火腿肠进行诱集拍照，照片上要求火腿肠上要能看到红火蚁。防治工作要求：上传照片后可继续进行普查或者马上就地进行投药防治，要根据蚁量进行量化投药，对于蚁巢密度较大，蚁巢较容易踏查的地方，可采用广泛施撒饵剂，达到快速压制红火蚁发生程度的目标。当防控区域红火蚁蚁巢数量降低且较为隐蔽，难以踏查搜寻时，应采用诱集的方式先明确防控区域内的红火蚁发生情况，根据诱集结果采用针对性的精准施药。防控期间防治企业在防控区域内实施的防控施工（投药+监测）原则</w:t>
      </w:r>
      <w:r>
        <w:rPr>
          <w:rFonts w:ascii="宋体" w:hAnsi="宋体" w:cs="宋体" w:eastAsia="宋体"/>
          <w:sz w:val="24"/>
          <w:color w:val="000000"/>
        </w:rPr>
        <w:t>上要</w:t>
      </w:r>
      <w:r>
        <w:rPr>
          <w:rFonts w:ascii="宋体" w:hAnsi="宋体" w:cs="宋体" w:eastAsia="宋体"/>
          <w:sz w:val="24"/>
          <w:color w:val="000000"/>
        </w:rPr>
        <w:t>2遍</w:t>
      </w:r>
      <w:r>
        <w:rPr>
          <w:rFonts w:ascii="宋体" w:hAnsi="宋体" w:cs="宋体" w:eastAsia="宋体"/>
          <w:sz w:val="24"/>
          <w:color w:val="000000"/>
        </w:rPr>
        <w:t>以上（含</w:t>
      </w:r>
      <w:r>
        <w:rPr>
          <w:rFonts w:ascii="宋体" w:hAnsi="宋体" w:cs="宋体" w:eastAsia="宋体"/>
          <w:sz w:val="24"/>
          <w:color w:val="000000"/>
        </w:rPr>
        <w:t>2遍）</w:t>
      </w:r>
      <w:r>
        <w:rPr>
          <w:rFonts w:ascii="宋体" w:hAnsi="宋体" w:cs="宋体" w:eastAsia="宋体"/>
          <w:sz w:val="24"/>
          <w:color w:val="000000"/>
        </w:rPr>
        <w:t>，普查中发现的高等级为害区域防控施工不少于</w:t>
      </w:r>
      <w:r>
        <w:rPr>
          <w:rFonts w:ascii="宋体" w:hAnsi="宋体" w:cs="宋体" w:eastAsia="宋体"/>
          <w:sz w:val="24"/>
          <w:color w:val="000000"/>
        </w:rPr>
        <w:t>3遍</w:t>
      </w:r>
      <w:r>
        <w:rPr>
          <w:rFonts w:ascii="宋体" w:hAnsi="宋体" w:cs="宋体" w:eastAsia="宋体"/>
          <w:sz w:val="24"/>
          <w:color w:val="000000"/>
        </w:rPr>
        <w:t>，</w:t>
      </w:r>
      <w:r>
        <w:rPr>
          <w:rFonts w:ascii="宋体" w:hAnsi="宋体" w:cs="宋体" w:eastAsia="宋体"/>
          <w:sz w:val="24"/>
          <w:color w:val="000000"/>
        </w:rPr>
        <w:t>每遍防控范围应做到全覆盖。监理单位将根据普查发生范围和防治企业上传的防控数据评估防控工作量是否达标。</w:t>
      </w:r>
    </w:p>
    <w:p>
      <w:pPr>
        <w:pStyle w:val="null3"/>
        <w:ind w:firstLine="480"/>
      </w:pPr>
      <w:r>
        <w:rPr>
          <w:rFonts w:ascii="宋体" w:hAnsi="宋体" w:cs="宋体" w:eastAsia="宋体"/>
          <w:sz w:val="24"/>
          <w:color w:val="000000"/>
        </w:rPr>
        <w:t>（评审指标</w:t>
      </w:r>
      <w:r>
        <w:rPr>
          <w:rFonts w:ascii="宋体" w:hAnsi="宋体" w:cs="宋体" w:eastAsia="宋体"/>
          <w:sz w:val="24"/>
          <w:color w:val="000000"/>
        </w:rPr>
        <w:t>1）3、防治企业应根据防治区域的天气、环境、农业耕作等情况，选备2种以上成分，2家厂商以上的防治饵剂以便更换，防治药剂以≥0.1%茚虫威杀蚁饵剂为主，在许可的情况下可使用粉剂进行应急消杀。所有使用药剂都必须在中国农药信息网能够查询到登记信息且防治对象为红火蚁。</w:t>
      </w:r>
    </w:p>
    <w:p>
      <w:pPr>
        <w:pStyle w:val="null3"/>
        <w:ind w:firstLine="480"/>
      </w:pPr>
      <w:r>
        <w:rPr>
          <w:rFonts w:ascii="宋体" w:hAnsi="宋体" w:cs="宋体" w:eastAsia="宋体"/>
          <w:sz w:val="24"/>
          <w:color w:val="000000"/>
        </w:rPr>
        <w:t>（评审指标</w:t>
      </w:r>
      <w:r>
        <w:rPr>
          <w:rFonts w:ascii="宋体" w:hAnsi="宋体" w:cs="宋体" w:eastAsia="宋体"/>
          <w:sz w:val="24"/>
          <w:color w:val="000000"/>
        </w:rPr>
        <w:t>2）4、建立药效检查机制，药剂防治7-10天后采用挖巢或火腿肠诱集的方式检测药效，如果发现未达到防控要求应及时补施药。</w:t>
      </w:r>
    </w:p>
    <w:p>
      <w:pPr>
        <w:pStyle w:val="null3"/>
        <w:ind w:firstLine="480"/>
      </w:pPr>
      <w:r>
        <w:rPr>
          <w:rFonts w:ascii="宋体" w:hAnsi="宋体" w:cs="宋体" w:eastAsia="宋体"/>
          <w:sz w:val="24"/>
          <w:color w:val="000000"/>
        </w:rPr>
        <w:t>★5、防治企业必须积极配合监理单位要求的技术手段，认真做好防控信息的采集工作，通过“云采集”手机软件准确记录每个施药点的时间、位置、蚁巢大小、扑杀场景图片等数据并及时上传。这些数据将做为药品投入、防治面积测算、防控成效评估与考核的重要依据。由于信息采集不完整或未及时上传数据造成评估不准确，责任由防治企业承担。</w:t>
      </w:r>
    </w:p>
    <w:p>
      <w:pPr>
        <w:pStyle w:val="null3"/>
        <w:ind w:firstLine="480"/>
      </w:pPr>
      <w:r>
        <w:rPr>
          <w:rFonts w:ascii="宋体" w:hAnsi="宋体" w:cs="宋体" w:eastAsia="宋体"/>
          <w:sz w:val="24"/>
          <w:color w:val="000000"/>
        </w:rPr>
        <w:t>（评审指标</w:t>
      </w:r>
      <w:r>
        <w:rPr>
          <w:rFonts w:ascii="宋体" w:hAnsi="宋体" w:cs="宋体" w:eastAsia="宋体"/>
          <w:sz w:val="24"/>
          <w:color w:val="000000"/>
        </w:rPr>
        <w:t>3）6、在防控区域内不但要接受当地工作人员和农民的监督，还要公布防治企业24小时应急电话，确保在接到红火蚁疫情应急处理通知后，保证24小时内派员到现场进行处理，超过一天后才到达的，按每超一天扣罚300元进行累加扣罚。供应商应购置一定数量防治被红火蚁叮咬的药剂，用于现场应急处理。</w:t>
      </w:r>
    </w:p>
    <w:p>
      <w:pPr>
        <w:pStyle w:val="null3"/>
        <w:ind w:firstLine="480"/>
      </w:pPr>
      <w:r>
        <w:rPr>
          <w:rFonts w:ascii="宋体" w:hAnsi="宋体" w:cs="宋体" w:eastAsia="宋体"/>
          <w:sz w:val="24"/>
          <w:color w:val="000000"/>
        </w:rPr>
        <w:t>（二）防控宣传技术培训要求</w:t>
      </w:r>
    </w:p>
    <w:p>
      <w:pPr>
        <w:pStyle w:val="null3"/>
        <w:ind w:firstLine="480"/>
      </w:pPr>
      <w:r>
        <w:rPr>
          <w:rFonts w:ascii="宋体" w:hAnsi="宋体" w:cs="宋体" w:eastAsia="宋体"/>
          <w:sz w:val="24"/>
          <w:color w:val="000000"/>
        </w:rPr>
        <w:t>（评审指标</w:t>
      </w:r>
      <w:r>
        <w:rPr>
          <w:rFonts w:ascii="宋体" w:hAnsi="宋体" w:cs="宋体" w:eastAsia="宋体"/>
          <w:sz w:val="24"/>
          <w:color w:val="000000"/>
        </w:rPr>
        <w:t>4）1、鉴于采购社会化服务开展红火蚁防控属于政府公益性事业，为保证防控区域内民众能够切实得到良好的服务，体现防控的成效，防治企业应做好防控宣传与技术指导。</w:t>
      </w:r>
    </w:p>
    <w:p>
      <w:pPr>
        <w:pStyle w:val="null3"/>
        <w:ind w:firstLine="480"/>
      </w:pPr>
      <w:r>
        <w:rPr>
          <w:rFonts w:ascii="宋体" w:hAnsi="宋体" w:cs="宋体" w:eastAsia="宋体"/>
          <w:sz w:val="24"/>
          <w:color w:val="000000"/>
        </w:rPr>
        <w:t>（评审指标</w:t>
      </w:r>
      <w:r>
        <w:rPr>
          <w:rFonts w:ascii="宋体" w:hAnsi="宋体" w:cs="宋体" w:eastAsia="宋体"/>
          <w:sz w:val="24"/>
          <w:color w:val="000000"/>
        </w:rPr>
        <w:t>5）2、防治企业应与防控区域内的镇街、村农技干部建立有效的信息沟通机制，及时反馈防控进展，了解防控区域民众对防控服务的要求。</w:t>
      </w:r>
    </w:p>
    <w:p>
      <w:pPr>
        <w:pStyle w:val="null3"/>
        <w:ind w:firstLine="480"/>
      </w:pPr>
      <w:r>
        <w:rPr>
          <w:rFonts w:ascii="宋体" w:hAnsi="宋体" w:cs="宋体" w:eastAsia="宋体"/>
          <w:sz w:val="24"/>
          <w:color w:val="000000"/>
        </w:rPr>
        <w:t>（评审指标</w:t>
      </w:r>
      <w:r>
        <w:rPr>
          <w:rFonts w:ascii="宋体" w:hAnsi="宋体" w:cs="宋体" w:eastAsia="宋体"/>
          <w:sz w:val="24"/>
          <w:color w:val="000000"/>
        </w:rPr>
        <w:t>6）3、防治企业负责防控区域内红火蚁疫情应急处理和技术指导。</w:t>
      </w:r>
    </w:p>
    <w:p>
      <w:pPr>
        <w:pStyle w:val="null3"/>
        <w:ind w:firstLine="480"/>
      </w:pPr>
      <w:r>
        <w:rPr>
          <w:rFonts w:ascii="宋体" w:hAnsi="宋体" w:cs="宋体" w:eastAsia="宋体"/>
          <w:sz w:val="24"/>
          <w:color w:val="000000"/>
        </w:rPr>
        <w:t>（三）防治企业人员配备要求</w:t>
      </w:r>
    </w:p>
    <w:p>
      <w:pPr>
        <w:pStyle w:val="null3"/>
        <w:ind w:firstLine="480"/>
      </w:pPr>
      <w:r>
        <w:rPr>
          <w:rFonts w:ascii="宋体" w:hAnsi="宋体" w:cs="宋体" w:eastAsia="宋体"/>
          <w:sz w:val="24"/>
          <w:color w:val="000000"/>
        </w:rPr>
        <w:t>（评审指标</w:t>
      </w:r>
      <w:r>
        <w:rPr>
          <w:rFonts w:ascii="宋体" w:hAnsi="宋体" w:cs="宋体" w:eastAsia="宋体"/>
          <w:sz w:val="24"/>
          <w:color w:val="000000"/>
        </w:rPr>
        <w:t>7）1、为保证防控质量，防治企业需针对本项目成立项目组，并配备项目负责人1名及不少于2名（含2人）的技术负责人（须提供人员名单、身份证复印件及响应文件截止前在供应商单位近六个月（不含响应截止时间的当月)任意一个月的社保缴纳证明）。所有防治人员应确认到位，项目负责人在承包期间原则上不得更换。若因特殊原因（主要为采购人要求更换该项目负责人或该项目负责人发生重大疾病、伤亡或其它不可抗力因素）在承包期间本项目负责人需更换，必须报经采购人同意，才予更换。</w:t>
      </w:r>
    </w:p>
    <w:p>
      <w:pPr>
        <w:pStyle w:val="null3"/>
        <w:ind w:firstLine="480"/>
      </w:pPr>
      <w:r>
        <w:rPr>
          <w:rFonts w:ascii="宋体" w:hAnsi="宋体" w:cs="宋体" w:eastAsia="宋体"/>
          <w:sz w:val="24"/>
          <w:color w:val="000000"/>
        </w:rPr>
        <w:t>（评审指标</w:t>
      </w:r>
      <w:r>
        <w:rPr>
          <w:rFonts w:ascii="宋体" w:hAnsi="宋体" w:cs="宋体" w:eastAsia="宋体"/>
          <w:sz w:val="24"/>
          <w:color w:val="000000"/>
        </w:rPr>
        <w:t>8）2、服务期间若采购人根据项目需要召开会议，项目负责人必须准时参加。</w:t>
      </w:r>
    </w:p>
    <w:p>
      <w:pPr>
        <w:pStyle w:val="null3"/>
        <w:ind w:firstLine="480"/>
      </w:pPr>
      <w:r>
        <w:rPr>
          <w:rFonts w:ascii="宋体" w:hAnsi="宋体" w:cs="宋体" w:eastAsia="宋体"/>
          <w:sz w:val="24"/>
          <w:color w:val="000000"/>
        </w:rPr>
        <w:t>（评审指标</w:t>
      </w:r>
      <w:r>
        <w:rPr>
          <w:rFonts w:ascii="宋体" w:hAnsi="宋体" w:cs="宋体" w:eastAsia="宋体"/>
          <w:sz w:val="24"/>
          <w:color w:val="000000"/>
        </w:rPr>
        <w:t>9）3、防治企业安排的每位员工每周的工作时长、员工薪酬待遇等须符合劳动法等法律法规规定。若防治企业与其雇员产生劳动纠纷或其他不符合劳动法等法律法规规定的，一切责任由防治企业自行承担，造成采购人负面影响的，采购人有权解除合同并追究防治企业的违约责任。防治企业须提供每周的人员工作安排计划表。</w:t>
      </w:r>
    </w:p>
    <w:p>
      <w:pPr>
        <w:pStyle w:val="null3"/>
        <w:ind w:firstLine="480"/>
      </w:pPr>
      <w:r>
        <w:rPr>
          <w:rFonts w:ascii="宋体" w:hAnsi="宋体" w:cs="宋体" w:eastAsia="宋体"/>
          <w:sz w:val="24"/>
          <w:color w:val="000000"/>
        </w:rPr>
        <w:t>★（四）过程监理与防效自检</w:t>
      </w:r>
    </w:p>
    <w:p>
      <w:pPr>
        <w:pStyle w:val="null3"/>
        <w:ind w:firstLine="480"/>
      </w:pPr>
      <w:r>
        <w:rPr>
          <w:rFonts w:ascii="宋体" w:hAnsi="宋体" w:cs="宋体" w:eastAsia="宋体"/>
          <w:sz w:val="24"/>
          <w:color w:val="000000"/>
        </w:rPr>
        <w:t>1、由采购人聘请监理单位对施工单位进行全程数字化监督，防治企业需接受监理单位的监督。监理单位负责跟踪检查项目组织管理制度落实情况、项目人员到位情况，以及巡查、监测、防治、应急处理等各项工作实施力度、进度是否符合该合同和实施方案要求；检查该项目各类相关文件档案、数据、资料等是否完整、齐备。</w:t>
      </w:r>
    </w:p>
    <w:p>
      <w:pPr>
        <w:pStyle w:val="null3"/>
        <w:ind w:firstLine="480"/>
      </w:pPr>
      <w:r>
        <w:rPr>
          <w:rFonts w:ascii="宋体" w:hAnsi="宋体" w:cs="宋体" w:eastAsia="宋体"/>
          <w:sz w:val="24"/>
          <w:color w:val="000000"/>
        </w:rPr>
        <w:t>2、防控开始前，防治企业需向业主单位、监理单位提供人员配备、防治药品储备、办公地点设置、防控计划等情况的自查报告。</w:t>
      </w:r>
    </w:p>
    <w:p>
      <w:pPr>
        <w:pStyle w:val="null3"/>
        <w:ind w:firstLine="480"/>
      </w:pPr>
      <w:r>
        <w:rPr>
          <w:rFonts w:ascii="宋体" w:hAnsi="宋体" w:cs="宋体" w:eastAsia="宋体"/>
          <w:sz w:val="24"/>
          <w:color w:val="000000"/>
        </w:rPr>
        <w:t>3、集中防控结束后，监理单位将指导防治企业进行防效自检。防治企业需根据监理单位规划的监测点位置，定点定位做好防效自检工作。防效自检采用诱集监测法，</w:t>
      </w:r>
      <w:r>
        <w:rPr>
          <w:rFonts w:ascii="宋体" w:hAnsi="宋体" w:cs="宋体" w:eastAsia="宋体"/>
          <w:sz w:val="24"/>
          <w:color w:val="000000"/>
        </w:rPr>
        <w:t>自检监测点数量不少于</w:t>
      </w:r>
      <w:r>
        <w:rPr>
          <w:rFonts w:ascii="宋体" w:hAnsi="宋体" w:cs="宋体" w:eastAsia="宋体"/>
          <w:sz w:val="24"/>
          <w:color w:val="000000"/>
        </w:rPr>
        <w:t>15个，每个监测点放置不少于20个猪肉火腿肠诱饵</w:t>
      </w:r>
      <w:r>
        <w:rPr>
          <w:rFonts w:ascii="宋体" w:hAnsi="宋体" w:cs="宋体" w:eastAsia="宋体"/>
          <w:sz w:val="24"/>
          <w:color w:val="000000"/>
        </w:rPr>
        <w:t>，每个诱饵之间距离</w:t>
      </w:r>
      <w:r>
        <w:rPr>
          <w:rFonts w:ascii="宋体" w:hAnsi="宋体" w:cs="宋体" w:eastAsia="宋体"/>
          <w:sz w:val="24"/>
          <w:color w:val="000000"/>
        </w:rPr>
        <w:t>10米以上，监测时间不少于30分钟，防治企业需用“云采集”软件详细记录防效自检监测数据。监理单位根据防治企业上传的监测数据测算企业自检防治率。企业自检的防治率须达到90%以上，防治企业才能提请验收申请。如发现防治企业在防效自检中弄虚作假，不按监测规程进行操作，一经核实，业主单位有权让防治企业重新进行防效自检，因此造成的项目延期及其他不良后果由防治企业承担。</w:t>
      </w:r>
    </w:p>
    <w:p>
      <w:pPr>
        <w:pStyle w:val="null3"/>
        <w:ind w:firstLine="480"/>
      </w:pPr>
      <w:r>
        <w:rPr>
          <w:rFonts w:ascii="宋体" w:hAnsi="宋体" w:cs="宋体" w:eastAsia="宋体"/>
          <w:sz w:val="24"/>
          <w:color w:val="000000"/>
        </w:rPr>
        <w:t>4、项目实施期间，监理单位将阶段性向采购人汇报防控进展情况。一经发现防治企业所采取的防控措施或防控进度不符合采购文件做出的承诺或不能满足项目实施要求，采购人或监理单位将向防治企业发出整改通知书，并责令限期整改。限期仍未整改到位的，采购人有权书面约谈防治企业负责人。</w:t>
      </w:r>
    </w:p>
    <w:p>
      <w:pPr>
        <w:pStyle w:val="null3"/>
        <w:ind w:firstLine="480"/>
      </w:pPr>
      <w:r>
        <w:rPr>
          <w:rFonts w:ascii="宋体" w:hAnsi="宋体" w:cs="宋体" w:eastAsia="宋体"/>
          <w:sz w:val="24"/>
          <w:color w:val="000000"/>
        </w:rPr>
        <w:t>（五）药剂选用要求</w:t>
      </w:r>
    </w:p>
    <w:p>
      <w:pPr>
        <w:pStyle w:val="null3"/>
        <w:ind w:firstLine="480"/>
      </w:pPr>
      <w:r>
        <w:rPr>
          <w:rFonts w:ascii="宋体" w:hAnsi="宋体" w:cs="宋体" w:eastAsia="宋体"/>
          <w:sz w:val="24"/>
          <w:color w:val="000000"/>
        </w:rPr>
        <w:t>★1、防治企业使用的防治药剂剂型为饵剂，药剂必须是高效低毒，对人畜、水体、土壤及周边环境无害，符合环境要求，且有效成份不含氟虫腈，大田限用和禁用药物除外（部分区域施药可参照卫生害虫防治方法），防治对象为红火蚁</w:t>
      </w:r>
      <w:r>
        <w:rPr>
          <w:rFonts w:ascii="宋体" w:hAnsi="宋体" w:cs="宋体" w:eastAsia="宋体"/>
          <w:sz w:val="24"/>
          <w:color w:val="000000"/>
        </w:rPr>
        <w:t>。</w:t>
      </w:r>
      <w:r>
        <w:rPr>
          <w:rFonts w:ascii="宋体" w:hAnsi="宋体" w:cs="宋体" w:eastAsia="宋体"/>
          <w:sz w:val="24"/>
          <w:color w:val="000000"/>
        </w:rPr>
        <w:t>（评审指标</w:t>
      </w:r>
      <w:r>
        <w:rPr>
          <w:rFonts w:ascii="宋体" w:hAnsi="宋体" w:cs="宋体" w:eastAsia="宋体"/>
          <w:sz w:val="24"/>
          <w:color w:val="000000"/>
        </w:rPr>
        <w:t>10）2、防治企业须提供红火蚁防控专用药剂至指定地点，作为防控用药及储备药，进场储备总量不得少于每轮防控用药总量的60%（含）。</w:t>
      </w:r>
    </w:p>
    <w:p>
      <w:pPr>
        <w:pStyle w:val="null3"/>
        <w:ind w:firstLine="480"/>
      </w:pPr>
      <w:r>
        <w:rPr>
          <w:rFonts w:ascii="宋体" w:hAnsi="宋体" w:cs="宋体" w:eastAsia="宋体"/>
          <w:sz w:val="24"/>
          <w:color w:val="000000"/>
        </w:rPr>
        <w:t>（评审指标</w:t>
      </w:r>
      <w:r>
        <w:rPr>
          <w:rFonts w:ascii="宋体" w:hAnsi="宋体" w:cs="宋体" w:eastAsia="宋体"/>
          <w:sz w:val="24"/>
          <w:color w:val="000000"/>
        </w:rPr>
        <w:t>11）3、防治企业应根据药品使用说明书要求，结合防控区域农业生产周期、疫情发生情况、气候条件、环境等因素，合理安排施药间隔期、科学施药，保证防控效果。防治企业应做到精准施药，注意控制药剂的用量，不可盲目的投放药剂造成防控区域的二次污染。如发现违规用药或造成重大安全事故，责任由中标单位承担，采购人有权终止合同。</w:t>
      </w:r>
    </w:p>
    <w:p>
      <w:pPr>
        <w:pStyle w:val="null3"/>
        <w:ind w:firstLine="480"/>
      </w:pPr>
      <w:r>
        <w:rPr>
          <w:rFonts w:ascii="宋体" w:hAnsi="宋体" w:cs="宋体" w:eastAsia="宋体"/>
          <w:sz w:val="24"/>
          <w:color w:val="000000"/>
        </w:rPr>
        <w:t>★4、防治企业可根据防控情况添加药品种类，添加的药品必须满足项目招标要求。防治企业经监理单位同意后向采购人提出申请，由采购人审批后方可使用。</w:t>
      </w:r>
    </w:p>
    <w:p>
      <w:pPr>
        <w:pStyle w:val="null3"/>
        <w:ind w:firstLine="480"/>
      </w:pPr>
      <w:r>
        <w:rPr>
          <w:rFonts w:ascii="宋体" w:hAnsi="宋体" w:cs="宋体" w:eastAsia="宋体"/>
          <w:sz w:val="24"/>
          <w:color w:val="000000"/>
        </w:rPr>
        <w:t>★5、如遇特殊情况或重大疫情，需要辅助使用粉剂的，防治企业经监理单位同意后向采购人提出申请，由采购人审批后方可使用。粉剂药剂必须是高效低毒，对人畜、水体、土壤及周边环境无害，符合环境要求，且有效成份不含氟虫腈，大田限用和禁用药物除外（部分区域施药可参照卫生害虫防治方法），防治对象为红火蚁，药剂必须取得农药登记证、生产许可证或生产批准证书、农药企业标准，能在中国农药信息网进行有效查询。未经批准违规使用粉剂，发生事故责任由中标单位承担，采购人有权终止合同。</w:t>
      </w:r>
    </w:p>
    <w:p>
      <w:pPr>
        <w:pStyle w:val="null3"/>
        <w:ind w:firstLine="480"/>
      </w:pPr>
      <w:r>
        <w:rPr>
          <w:rFonts w:ascii="宋体" w:hAnsi="宋体" w:cs="宋体" w:eastAsia="宋体"/>
          <w:sz w:val="24"/>
          <w:color w:val="000000"/>
        </w:rPr>
        <w:t>（</w:t>
      </w:r>
      <w:r>
        <w:rPr>
          <w:rFonts w:ascii="宋体" w:hAnsi="宋体" w:cs="宋体" w:eastAsia="宋体"/>
          <w:sz w:val="24"/>
          <w:color w:val="000000"/>
        </w:rPr>
        <w:t>六</w:t>
      </w:r>
      <w:r>
        <w:rPr>
          <w:rFonts w:ascii="宋体" w:hAnsi="宋体" w:cs="宋体" w:eastAsia="宋体"/>
          <w:sz w:val="24"/>
          <w:color w:val="000000"/>
        </w:rPr>
        <w:t>）防治企业组织管理要求</w:t>
      </w:r>
    </w:p>
    <w:p>
      <w:pPr>
        <w:pStyle w:val="null3"/>
        <w:ind w:firstLine="480"/>
      </w:pPr>
      <w:r>
        <w:rPr>
          <w:rFonts w:ascii="宋体" w:hAnsi="宋体" w:cs="宋体" w:eastAsia="宋体"/>
          <w:sz w:val="24"/>
          <w:color w:val="000000"/>
        </w:rPr>
        <w:t>★1、鉴于红火蚁在福建省范围内属于非主动公开的疫情，为严防红火蚁的发生、分布等相关资料泄漏，防治企业须签订保密责任书。</w:t>
      </w:r>
    </w:p>
    <w:p>
      <w:pPr>
        <w:pStyle w:val="null3"/>
        <w:ind w:firstLine="480"/>
      </w:pPr>
      <w:r>
        <w:rPr>
          <w:rFonts w:ascii="宋体" w:hAnsi="宋体" w:cs="宋体" w:eastAsia="宋体"/>
          <w:sz w:val="24"/>
          <w:color w:val="000000"/>
        </w:rPr>
        <w:t>（评审指标</w:t>
      </w:r>
      <w:r>
        <w:rPr>
          <w:rFonts w:ascii="宋体" w:hAnsi="宋体" w:cs="宋体" w:eastAsia="宋体"/>
          <w:sz w:val="24"/>
          <w:color w:val="000000"/>
        </w:rPr>
        <w:t>12）2、防治企业应提供本项目的防控组织实施方案，包括技术方案说明、组织实施、工作计划安排方案及进度计划，并对本方案中有不完善的地方进行补充和完善，保证防控工作的有序性与科学性。</w:t>
      </w:r>
    </w:p>
    <w:p>
      <w:pPr>
        <w:pStyle w:val="null3"/>
        <w:ind w:firstLine="480"/>
      </w:pPr>
      <w:r>
        <w:rPr>
          <w:rFonts w:ascii="宋体" w:hAnsi="宋体" w:cs="宋体" w:eastAsia="宋体"/>
          <w:sz w:val="24"/>
          <w:color w:val="000000"/>
        </w:rPr>
        <w:t>（评审指标</w:t>
      </w:r>
      <w:r>
        <w:rPr>
          <w:rFonts w:ascii="宋体" w:hAnsi="宋体" w:cs="宋体" w:eastAsia="宋体"/>
          <w:sz w:val="24"/>
          <w:color w:val="000000"/>
        </w:rPr>
        <w:t>13）3、防治企业提供的防控工艺、标准及技术规范等必须符合国家和行业规定标准、规范要求，技术指标要求不得低于项目提供的服务内容要求。</w:t>
      </w:r>
    </w:p>
    <w:p>
      <w:pPr>
        <w:pStyle w:val="null3"/>
        <w:ind w:firstLine="480"/>
      </w:pPr>
      <w:r>
        <w:rPr>
          <w:rFonts w:ascii="宋体" w:hAnsi="宋体" w:cs="宋体" w:eastAsia="宋体"/>
          <w:sz w:val="24"/>
          <w:color w:val="000000"/>
        </w:rPr>
        <w:t>（评审指标</w:t>
      </w:r>
      <w:r>
        <w:rPr>
          <w:rFonts w:ascii="宋体" w:hAnsi="宋体" w:cs="宋体" w:eastAsia="宋体"/>
          <w:sz w:val="24"/>
          <w:color w:val="000000"/>
        </w:rPr>
        <w:t>14）4、防治企业应提供内部管理制度情况和安全保障措施。</w:t>
      </w:r>
    </w:p>
    <w:p>
      <w:pPr>
        <w:pStyle w:val="null3"/>
        <w:ind w:firstLine="480"/>
      </w:pPr>
      <w:r>
        <w:rPr>
          <w:rFonts w:ascii="宋体" w:hAnsi="宋体" w:cs="宋体" w:eastAsia="宋体"/>
          <w:sz w:val="24"/>
          <w:color w:val="000000"/>
        </w:rPr>
        <w:t>（评审指标</w:t>
      </w:r>
      <w:r>
        <w:rPr>
          <w:rFonts w:ascii="宋体" w:hAnsi="宋体" w:cs="宋体" w:eastAsia="宋体"/>
          <w:sz w:val="24"/>
          <w:color w:val="000000"/>
        </w:rPr>
        <w:t>15）5、防治企业应提供拟投入的药物情况，药物使用说明。</w:t>
      </w:r>
    </w:p>
    <w:p>
      <w:pPr>
        <w:pStyle w:val="null3"/>
        <w:ind w:firstLine="480"/>
      </w:pPr>
      <w:r>
        <w:rPr>
          <w:rFonts w:ascii="宋体" w:hAnsi="宋体" w:cs="宋体" w:eastAsia="宋体"/>
          <w:sz w:val="24"/>
          <w:color w:val="000000"/>
        </w:rPr>
        <w:t>（评审指标</w:t>
      </w:r>
      <w:r>
        <w:rPr>
          <w:rFonts w:ascii="宋体" w:hAnsi="宋体" w:cs="宋体" w:eastAsia="宋体"/>
          <w:sz w:val="24"/>
          <w:color w:val="000000"/>
        </w:rPr>
        <w:t>16）6、防治企业须</w:t>
      </w:r>
      <w:r>
        <w:rPr>
          <w:rFonts w:ascii="宋体" w:hAnsi="宋体" w:cs="宋体" w:eastAsia="宋体"/>
          <w:sz w:val="24"/>
          <w:color w:val="000000"/>
        </w:rPr>
        <w:t>在成交后两周内</w:t>
      </w:r>
      <w:r>
        <w:rPr>
          <w:rFonts w:ascii="宋体" w:hAnsi="宋体" w:cs="宋体" w:eastAsia="宋体"/>
          <w:sz w:val="24"/>
          <w:color w:val="000000"/>
        </w:rPr>
        <w:t>提供拟投入的项目管理班子、相关专业人员名单以及人员排班计划，并附人员的从业经历、职称证书、资质证书等相关证明的有效复印件。</w:t>
      </w:r>
    </w:p>
    <w:p>
      <w:pPr>
        <w:pStyle w:val="null3"/>
        <w:ind w:firstLine="480"/>
      </w:pPr>
      <w:r>
        <w:rPr>
          <w:rFonts w:ascii="宋体" w:hAnsi="宋体" w:cs="宋体" w:eastAsia="宋体"/>
          <w:sz w:val="24"/>
          <w:color w:val="000000"/>
        </w:rPr>
        <w:t>（评审指标</w:t>
      </w:r>
      <w:r>
        <w:rPr>
          <w:rFonts w:ascii="宋体" w:hAnsi="宋体" w:cs="宋体" w:eastAsia="宋体"/>
          <w:sz w:val="24"/>
          <w:color w:val="000000"/>
        </w:rPr>
        <w:t>1</w:t>
      </w:r>
      <w:r>
        <w:rPr>
          <w:rFonts w:ascii="宋体" w:hAnsi="宋体" w:cs="宋体" w:eastAsia="宋体"/>
          <w:sz w:val="24"/>
          <w:color w:val="000000"/>
        </w:rPr>
        <w:t>7</w:t>
      </w:r>
      <w:r>
        <w:rPr>
          <w:rFonts w:ascii="宋体" w:hAnsi="宋体" w:cs="宋体" w:eastAsia="宋体"/>
          <w:sz w:val="24"/>
          <w:color w:val="000000"/>
        </w:rPr>
        <w:t>）</w:t>
      </w:r>
      <w:r>
        <w:rPr>
          <w:rFonts w:ascii="宋体" w:hAnsi="宋体" w:cs="宋体" w:eastAsia="宋体"/>
          <w:sz w:val="24"/>
          <w:color w:val="000000"/>
        </w:rPr>
        <w:t>7、</w:t>
      </w:r>
      <w:r>
        <w:rPr>
          <w:rFonts w:ascii="宋体" w:hAnsi="宋体" w:cs="宋体" w:eastAsia="宋体"/>
          <w:sz w:val="24"/>
          <w:color w:val="000000"/>
        </w:rPr>
        <w:t>防治企业</w:t>
      </w:r>
      <w:r>
        <w:rPr>
          <w:rFonts w:ascii="宋体" w:hAnsi="宋体" w:cs="宋体" w:eastAsia="宋体"/>
          <w:sz w:val="24"/>
          <w:color w:val="000000"/>
        </w:rPr>
        <w:t>须确保</w:t>
      </w:r>
      <w:r>
        <w:rPr>
          <w:rFonts w:ascii="宋体" w:hAnsi="宋体" w:cs="宋体" w:eastAsia="宋体"/>
          <w:sz w:val="24"/>
          <w:color w:val="000000"/>
        </w:rPr>
        <w:t>服务期间发生的一切安全责任事故及造成第三者伤害责任的，均由防治企业承担相应的责任。提醒防治人员在施工过程中注意自身及周边安全，负责施工过程中所有事故的处理和费用。</w:t>
      </w:r>
    </w:p>
    <w:p>
      <w:pPr>
        <w:pStyle w:val="null3"/>
        <w:ind w:firstLine="480"/>
      </w:pPr>
      <w:r>
        <w:rPr>
          <w:rFonts w:ascii="宋体" w:hAnsi="宋体" w:cs="宋体" w:eastAsia="宋体"/>
          <w:sz w:val="24"/>
          <w:color w:val="000000"/>
        </w:rPr>
        <w:t>（评审指标</w:t>
      </w:r>
      <w:r>
        <w:rPr>
          <w:rFonts w:ascii="宋体" w:hAnsi="宋体" w:cs="宋体" w:eastAsia="宋体"/>
          <w:sz w:val="24"/>
          <w:color w:val="000000"/>
        </w:rPr>
        <w:t>1</w:t>
      </w:r>
      <w:r>
        <w:rPr>
          <w:rFonts w:ascii="宋体" w:hAnsi="宋体" w:cs="宋体" w:eastAsia="宋体"/>
          <w:sz w:val="24"/>
          <w:color w:val="000000"/>
        </w:rPr>
        <w:t>8</w:t>
      </w:r>
      <w:r>
        <w:rPr>
          <w:rFonts w:ascii="宋体" w:hAnsi="宋体" w:cs="宋体" w:eastAsia="宋体"/>
          <w:sz w:val="24"/>
          <w:color w:val="000000"/>
        </w:rPr>
        <w:t>）</w:t>
      </w:r>
      <w:r>
        <w:rPr>
          <w:rFonts w:ascii="宋体" w:hAnsi="宋体" w:cs="宋体" w:eastAsia="宋体"/>
          <w:sz w:val="24"/>
          <w:color w:val="000000"/>
        </w:rPr>
        <w:t>8</w:t>
      </w:r>
      <w:r>
        <w:rPr>
          <w:rFonts w:ascii="宋体" w:hAnsi="宋体" w:cs="宋体" w:eastAsia="宋体"/>
          <w:sz w:val="24"/>
          <w:color w:val="000000"/>
        </w:rPr>
        <w:t>、供应商可视自身能力，在响应文件中提供更优、更合理的售后服务承诺。</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本项目服务期限自合同签订生效之日起180天内完成。如遇特殊原因，根据实际情况，双方协商通过，项目可暂缓或服务期限延长。</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采购人指定地点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项目完成并经采购人验收合格。</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1、期次1，说明：按照竞争性磋商文件及合同进行验收。</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1、第一期于项目监理单位确定防控面积，施工企业完成第一遍投药防效自检结果出来后一周内付款30%，达到付款条件起30日内，支付合同总金额的30.00%</w:t>
            </w:r>
          </w:p>
          <w:p>
            <w:pPr>
              <w:pStyle w:val="null3"/>
            </w:pPr>
            <w:r>
              <w:rPr/>
              <w:t>2、第二期于项目验收通过后一个月内付款70%，达到付款条件起30日内，支付合同总金额的70.00%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缴纳</w:t>
            </w:r>
            <w:r>
              <w:rPr/>
              <w:t>, 本采购包履约保证金为合同金额的5.0%</w:t>
            </w:r>
          </w:p>
          <w:p>
            <w:pPr>
              <w:pStyle w:val="null3"/>
            </w:pPr>
            <w:r>
              <w:rPr/>
              <w:t>说明：成交供应商签订合同前应向采购方支付成交金额的5%作为履约保证金（以支票、汇票、本票或者金融机构、担保机构出具的保函等非现金形式提交），履约保证金在验收合格后之后，成交供应商未出现违约情形，由成交供应商提出书面申请，采购人无息退还成交供应商。</w:t>
            </w:r>
          </w:p>
        </w:tc>
      </w:tr>
    </w:tbl>
    <w:p>
      <w:pPr>
        <w:pStyle w:val="null3"/>
        <w:jc w:val="left"/>
      </w:pPr>
      <w:r>
        <w:rPr/>
        <w:t>其他商务要求：</w:t>
      </w:r>
    </w:p>
    <w:p>
      <w:pPr>
        <w:pStyle w:val="null3"/>
        <w:jc w:val="left"/>
      </w:pPr>
      <w:r>
        <w:rPr>
          <w:rFonts w:ascii="宋体" w:hAnsi="宋体" w:cs="宋体" w:eastAsia="宋体"/>
          <w:sz w:val="24"/>
        </w:rPr>
        <w:t>8、</w:t>
      </w:r>
      <w:r>
        <w:rPr>
          <w:rFonts w:ascii="宋体" w:hAnsi="宋体" w:cs="宋体" w:eastAsia="宋体"/>
          <w:sz w:val="24"/>
          <w:color w:val="000000"/>
        </w:rPr>
        <w:t>验收</w:t>
      </w:r>
    </w:p>
    <w:p>
      <w:pPr>
        <w:pStyle w:val="null3"/>
        <w:ind w:firstLine="480"/>
      </w:pPr>
      <w:r>
        <w:rPr>
          <w:rFonts w:ascii="宋体" w:hAnsi="宋体" w:cs="宋体" w:eastAsia="宋体"/>
          <w:sz w:val="24"/>
          <w:color w:val="000000"/>
        </w:rPr>
        <w:t>8.</w:t>
      </w:r>
      <w:r>
        <w:rPr>
          <w:rFonts w:ascii="宋体" w:hAnsi="宋体" w:cs="宋体" w:eastAsia="宋体"/>
          <w:sz w:val="24"/>
          <w:color w:val="000000"/>
        </w:rPr>
        <w:t>1、防治企业完成项目防控工作后，业主单位将组织验收专家组进行防效考核。考核形式包括书面资料审查和实地防效考核。书面资料包括：防控总结、调查监测数据汇总、宣传资料汇总等。</w:t>
      </w:r>
    </w:p>
    <w:p>
      <w:pPr>
        <w:pStyle w:val="null3"/>
        <w:ind w:firstLine="480"/>
      </w:pPr>
      <w:r>
        <w:rPr>
          <w:rFonts w:ascii="宋体" w:hAnsi="宋体" w:cs="宋体" w:eastAsia="宋体"/>
          <w:sz w:val="24"/>
          <w:color w:val="000000"/>
        </w:rPr>
        <w:t>8.</w:t>
      </w:r>
      <w:r>
        <w:rPr>
          <w:rFonts w:ascii="宋体" w:hAnsi="宋体" w:cs="宋体" w:eastAsia="宋体"/>
          <w:sz w:val="24"/>
          <w:color w:val="000000"/>
        </w:rPr>
        <w:t>2、防效评价方法</w:t>
      </w:r>
    </w:p>
    <w:p>
      <w:pPr>
        <w:pStyle w:val="null3"/>
        <w:ind w:firstLine="480"/>
        <w:jc w:val="both"/>
      </w:pPr>
      <w:r>
        <w:rPr>
          <w:rFonts w:ascii="宋体" w:hAnsi="宋体" w:cs="宋体" w:eastAsia="宋体"/>
          <w:sz w:val="24"/>
          <w:color w:val="000000"/>
        </w:rPr>
        <w:t>通过综合防治率评价专业化防控项目的防效，计算公式如下：</w:t>
      </w:r>
    </w:p>
    <w:p>
      <w:pPr>
        <w:pStyle w:val="null3"/>
        <w:ind w:firstLine="480"/>
        <w:jc w:val="both"/>
      </w:pPr>
      <w:r>
        <w:drawing>
          <wp:inline distT="0" distR="0" distB="0" distL="0">
            <wp:extent cx="3905250" cy="94297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905250" cy="942975"/>
                    </a:xfrm>
                    <a:prstGeom prst="rect">
                      <a:avLst/>
                    </a:prstGeom>
                  </pic:spPr>
                </pic:pic>
              </a:graphicData>
            </a:graphic>
          </wp:inline>
        </w:drawing>
      </w:r>
    </w:p>
    <w:p>
      <w:pPr>
        <w:pStyle w:val="null3"/>
        <w:ind w:firstLine="480"/>
        <w:jc w:val="both"/>
      </w:pPr>
      <w:r>
        <w:br/>
      </w:r>
    </w:p>
    <w:p>
      <w:pPr>
        <w:pStyle w:val="null3"/>
        <w:ind w:firstLine="480"/>
      </w:pPr>
      <w:r>
        <w:rPr>
          <w:rFonts w:ascii="宋体" w:hAnsi="宋体" w:cs="宋体" w:eastAsia="宋体"/>
          <w:sz w:val="24"/>
          <w:color w:val="000000"/>
        </w:rPr>
        <w:t>式（</w:t>
      </w:r>
      <w:r>
        <w:rPr>
          <w:rFonts w:ascii="宋体" w:hAnsi="宋体" w:cs="宋体" w:eastAsia="宋体"/>
          <w:sz w:val="24"/>
          <w:color w:val="000000"/>
        </w:rPr>
        <w:t>1）计算每个验收点的防治率，其中：表示验收点防治率，表示诱集发生样本数，表示验收点诱集样本总数。</w:t>
      </w:r>
    </w:p>
    <w:p>
      <w:pPr>
        <w:pStyle w:val="null3"/>
        <w:ind w:firstLine="480"/>
      </w:pPr>
      <w:r>
        <w:rPr>
          <w:rFonts w:ascii="宋体" w:hAnsi="宋体" w:cs="宋体" w:eastAsia="宋体"/>
          <w:sz w:val="24"/>
          <w:color w:val="000000"/>
        </w:rPr>
        <w:t>式（</w:t>
      </w:r>
      <w:r>
        <w:rPr>
          <w:rFonts w:ascii="宋体" w:hAnsi="宋体" w:cs="宋体" w:eastAsia="宋体"/>
          <w:sz w:val="24"/>
          <w:color w:val="000000"/>
        </w:rPr>
        <w:t>2）计算综合防治率，其中：表示综合防治率，∑表示验收点调查面积总和，表示验收点调查面积，K表示验收点数量，表示验收点防治率。</w:t>
      </w:r>
    </w:p>
    <w:p>
      <w:pPr>
        <w:pStyle w:val="null3"/>
        <w:ind w:firstLine="480"/>
      </w:pPr>
      <w:r>
        <w:rPr>
          <w:rFonts w:ascii="宋体" w:hAnsi="宋体" w:cs="宋体" w:eastAsia="宋体"/>
          <w:sz w:val="24"/>
          <w:color w:val="000000"/>
        </w:rPr>
        <w:t>8.</w:t>
      </w:r>
      <w:r>
        <w:rPr>
          <w:rFonts w:ascii="宋体" w:hAnsi="宋体" w:cs="宋体" w:eastAsia="宋体"/>
          <w:sz w:val="24"/>
          <w:color w:val="000000"/>
        </w:rPr>
        <w:t>3、</w:t>
      </w:r>
      <w:r>
        <w:rPr>
          <w:rFonts w:ascii="宋体" w:hAnsi="宋体" w:cs="宋体" w:eastAsia="宋体"/>
          <w:sz w:val="24"/>
          <w:color w:val="000000"/>
        </w:rPr>
        <w:t>验收点布设综合考虑乡镇生境类型，原始红火蚁发生、施药次数、防效评估等因素，随机抽取不少于分层抽样法，验收方法按照福建省植保植检总站印发的《关于印发</w:t>
      </w:r>
      <w:r>
        <w:rPr>
          <w:rFonts w:ascii="宋体" w:hAnsi="宋体" w:cs="宋体" w:eastAsia="宋体"/>
          <w:sz w:val="24"/>
          <w:color w:val="000000"/>
        </w:rPr>
        <w:t>&lt;福建省红火蚁防控社会化服务效果评价规范（试行）&gt;》（闽植保函[2021]12号）规定执行。不少于2000亩一点，在每个验收点放置不少于60个猪肉火腿肠诱饵进行诱集，每个诱饵之间距离10米以上，若发现蚁巢直接将诱饵放置于蚁巢上，监测时间30分钟以上回收，记录诱集情况进行统计分析</w:t>
      </w:r>
      <w:r>
        <w:rPr>
          <w:rFonts w:ascii="宋体" w:hAnsi="宋体" w:cs="宋体" w:eastAsia="宋体"/>
          <w:sz w:val="24"/>
          <w:color w:val="000000"/>
        </w:rPr>
        <w:t>。</w:t>
      </w:r>
    </w:p>
    <w:p>
      <w:pPr>
        <w:pStyle w:val="null3"/>
        <w:ind w:firstLine="480"/>
      </w:pPr>
      <w:r>
        <w:rPr>
          <w:rFonts w:ascii="宋体" w:hAnsi="宋体" w:cs="宋体" w:eastAsia="宋体"/>
          <w:sz w:val="24"/>
          <w:color w:val="000000"/>
        </w:rPr>
        <w:t>8.</w:t>
      </w:r>
      <w:r>
        <w:rPr>
          <w:rFonts w:ascii="宋体" w:hAnsi="宋体" w:cs="宋体" w:eastAsia="宋体"/>
          <w:sz w:val="24"/>
          <w:color w:val="000000"/>
        </w:rPr>
        <w:t>4、项目采用项目次总验收的方式。即：集中防控结束，验收前必须防效自检达标后，防治企业才能向采购人提出验收申请。采购人组织3-5名专家进行材料和现场验收。项目执行期间，验收所需一切费用由防治企业承担。</w:t>
      </w:r>
    </w:p>
    <w:p>
      <w:pPr>
        <w:pStyle w:val="null3"/>
        <w:ind w:firstLine="480"/>
      </w:pPr>
      <w:r>
        <w:rPr>
          <w:rFonts w:ascii="宋体" w:hAnsi="宋体" w:cs="宋体" w:eastAsia="宋体"/>
          <w:sz w:val="24"/>
          <w:color w:val="000000"/>
        </w:rPr>
        <w:t>8.</w:t>
      </w:r>
      <w:r>
        <w:rPr>
          <w:rFonts w:ascii="宋体" w:hAnsi="宋体" w:cs="宋体" w:eastAsia="宋体"/>
          <w:sz w:val="24"/>
          <w:color w:val="000000"/>
        </w:rPr>
        <w:t>5、项目总体验收不合格，采购人有权责令防治企业进行整改和补充防治，并根据补防情况再行组织验收。如果在规定的防控期限内未能再次组织验收或补防仍未能达到验收要求，则判定不合格，采购人有权扣除相应的防控经费。如连续2次验收不合格，采购人有权发放终止本项目施工通知，终止中标单位合同，并向防治企业追讨相应损失。</w:t>
      </w:r>
    </w:p>
    <w:p>
      <w:pPr>
        <w:pStyle w:val="null3"/>
        <w:ind w:firstLine="480"/>
        <w:jc w:val="left"/>
      </w:pPr>
      <w:r>
        <w:rPr>
          <w:rFonts w:ascii="宋体" w:hAnsi="宋体" w:cs="宋体" w:eastAsia="宋体"/>
          <w:sz w:val="24"/>
          <w:color w:val="000000"/>
        </w:rPr>
        <w:t>9</w:t>
      </w:r>
      <w:r>
        <w:rPr>
          <w:rFonts w:ascii="宋体" w:hAnsi="宋体" w:cs="宋体" w:eastAsia="宋体"/>
          <w:sz w:val="24"/>
          <w:color w:val="000000"/>
        </w:rPr>
        <w:t>、防治人员须严格按照本磋商文件要求、相关规范的规定进行工作，防治企业须对其防治人员的工作负责。由于未遵守本磋商文件规定，不服从采购人管理造成项目延误或责任事故，违反相关法律法规及国家规则制度的，所产生的一切法律责任和经济损失均由防治企业承担，造成采购人负面影响的，采购人有权解除合同并追究防治企业的违约责任。</w:t>
      </w:r>
    </w:p>
    <w:p>
      <w:pPr>
        <w:pStyle w:val="null3"/>
        <w:ind w:firstLine="480"/>
      </w:pPr>
      <w:r>
        <w:rPr>
          <w:rFonts w:ascii="宋体" w:hAnsi="宋体" w:cs="宋体" w:eastAsia="宋体"/>
          <w:sz w:val="24"/>
          <w:color w:val="000000"/>
        </w:rPr>
        <w:t>10</w:t>
      </w:r>
      <w:r>
        <w:rPr>
          <w:rFonts w:ascii="宋体" w:hAnsi="宋体" w:cs="宋体" w:eastAsia="宋体"/>
          <w:sz w:val="24"/>
          <w:color w:val="000000"/>
        </w:rPr>
        <w:t>、防治人员须严格遵守相关的法律法规，若在防控期内发生违法犯罪行为的，或因防治人员的行为给采购人造成负面影响，一切后果均由防治企业承担，采购人均有权解除合同并追究防治企业的违约责任。</w:t>
      </w:r>
    </w:p>
    <w:p>
      <w:pPr>
        <w:pStyle w:val="null3"/>
        <w:ind w:firstLine="480"/>
      </w:pPr>
      <w:r>
        <w:rPr>
          <w:rFonts w:ascii="宋体" w:hAnsi="宋体" w:cs="宋体" w:eastAsia="宋体"/>
          <w:sz w:val="24"/>
          <w:color w:val="000000"/>
        </w:rPr>
        <w:t>11</w:t>
      </w:r>
      <w:r>
        <w:rPr>
          <w:rFonts w:ascii="宋体" w:hAnsi="宋体" w:cs="宋体" w:eastAsia="宋体"/>
          <w:sz w:val="24"/>
          <w:color w:val="000000"/>
        </w:rPr>
        <w:t>、防治人员在防治过程中要服从采购人的管理，接受采购人的监督。注意施工安全，防止发生火灾和人身意外事故。同时不得对水源保护区造成污染，遵守有关安全保护规程，如有违反规定发生安全事故由防治企业负全责。</w:t>
      </w:r>
    </w:p>
    <w:p>
      <w:pPr>
        <w:pStyle w:val="null3"/>
        <w:ind w:firstLine="480"/>
      </w:pPr>
      <w:r>
        <w:rPr>
          <w:rFonts w:ascii="宋体" w:hAnsi="宋体" w:cs="宋体" w:eastAsia="宋体"/>
          <w:sz w:val="24"/>
          <w:color w:val="000000"/>
        </w:rPr>
        <w:t>12</w:t>
      </w:r>
      <w:r>
        <w:rPr>
          <w:rFonts w:ascii="宋体" w:hAnsi="宋体" w:cs="宋体" w:eastAsia="宋体"/>
          <w:sz w:val="24"/>
          <w:color w:val="000000"/>
        </w:rPr>
        <w:t>、防治企业的服务费包含人工费、药品、辅助材料费、机械、技术服务、检验检测、劳保、税金、验收费用、验收专家费、相关伴随服务合同期间所可能发生的一切费用。</w:t>
      </w:r>
    </w:p>
    <w:p>
      <w:pPr>
        <w:pStyle w:val="null3"/>
        <w:outlineLvl w:val="2"/>
      </w:pPr>
      <w:r>
        <w:rPr>
          <w:sz w:val="28"/>
          <w:b/>
        </w:rPr>
        <w:t>四、其他事项</w:t>
      </w:r>
    </w:p>
    <w:p>
      <w:pPr>
        <w:pStyle w:val="null3"/>
        <w:jc w:val="left"/>
      </w:pPr>
      <w:r>
        <w:rPr/>
        <w:t>无</w:t>
      </w:r>
    </w:p>
    <w:p>
      <w:pPr>
        <w:pStyle w:val="null3"/>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附件2：开标（报价）一览表（含投标（响应）报价明细表）</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[350681]FJTH[CS]2024001</w:t>
      </w:r>
    </w:p>
    <w:p>
      <w:pPr>
        <w:pStyle w:val="null3"/>
        <w:jc w:val="left"/>
      </w:pPr>
      <w:r>
        <w:rPr/>
        <w:t>项目名称：</w:t>
      </w:r>
      <w:r>
        <w:rPr/>
        <w:t>2024年龙海区红火蚁疫情专业化防控服务</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2024年龙海区红火蚁疫情专业化防控服务</w:t>
            </w:r>
          </w:p>
        </w:tc>
        <w:tc>
          <w:tcPr>
            <w:tcW w:type="dxa" w:w="1661"/>
          </w:tcPr>
          <w:p>
            <w:pPr>
              <w:pStyle w:val="null3"/>
              <w:jc w:val="left"/>
            </w:pPr>
            <w:r>
              <w:rPr/>
              <w:t xml:space="preserve"> 940000.00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[350681]FJTH[CS]2024001</w:t>
      </w:r>
    </w:p>
    <w:p>
      <w:pPr>
        <w:pStyle w:val="null3"/>
        <w:jc w:val="left"/>
      </w:pPr>
      <w:r>
        <w:rPr/>
        <w:t>项目名称：</w:t>
      </w:r>
      <w:r>
        <w:rPr/>
        <w:t>2024年龙海区红火蚁疫情专业化防控服务</w:t>
      </w:r>
    </w:p>
    <w:p>
      <w:pPr>
        <w:pStyle w:val="null3"/>
        <w:jc w:val="left"/>
      </w:pPr>
      <w:r>
        <w:rPr/>
        <w:t xml:space="preserve"> 红火蚁防控</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红火蚁防控</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940000.00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w:t>
            </w:r>
          </w:p>
        </w:tc>
        <w:tc>
          <w:tcPr>
            <w:tcW w:type="dxa" w:w="755"/>
          </w:tcPr>
          <w:p>
            <w:pPr>
              <w:pStyle w:val="null3"/>
              <w:jc w:val="left"/>
            </w:pPr>
            <w:r>
              <w:rPr/>
              <w:t xml:space="preserve"> 项</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3"/>
      </w:pPr>
      <w:r>
        <w:rPr>
          <w:sz w:val="24"/>
          <w:b/>
        </w:rPr>
        <w:t>附件3-4 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附件3-5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附件3-8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附件3-9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附件3-10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附件3-11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附件3-13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