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440114-2024-05033</w:t>
      </w:r>
    </w:p>
    <w:p>
      <w:pPr>
        <w:pStyle w:val="null3"/>
        <w:jc w:val="center"/>
        <w:outlineLvl w:val="3"/>
      </w:pPr>
      <w:r>
        <w:rPr>
          <w:sz w:val="24"/>
          <w:b/>
        </w:rPr>
        <w:t>采购项目编号：</w:t>
      </w:r>
      <w:r>
        <w:rPr>
          <w:sz w:val="24"/>
          <w:b/>
        </w:rPr>
        <w:t>ZX05140124MZCZ</w:t>
      </w:r>
    </w:p>
    <w:p>
      <w:pPr>
        <w:pStyle w:val="null3"/>
        <w:jc w:val="center"/>
        <w:outlineLvl w:val="3"/>
      </w:pPr>
      <w:r>
        <w:rPr>
          <w:sz w:val="24"/>
          <w:b/>
        </w:rPr>
        <w:t>项目名称：</w:t>
      </w:r>
      <w:r>
        <w:rPr>
          <w:sz w:val="24"/>
          <w:b/>
        </w:rPr>
        <w:t>广州市花都区人民政府新华街道办事处登革热应急灭蚊消杀服务项目</w:t>
      </w:r>
    </w:p>
    <w:p>
      <w:pPr>
        <w:pStyle w:val="null3"/>
        <w:jc w:val="center"/>
        <w:outlineLvl w:val="3"/>
      </w:pPr>
      <w:r>
        <w:rPr>
          <w:sz w:val="24"/>
          <w:b/>
        </w:rPr>
        <w:t>采购人：</w:t>
      </w:r>
      <w:r>
        <w:rPr>
          <w:sz w:val="24"/>
          <w:b/>
        </w:rPr>
        <w:t>广州市花都区人民政府新华街道办事处</w:t>
      </w:r>
    </w:p>
    <w:p>
      <w:pPr>
        <w:pStyle w:val="null3"/>
        <w:jc w:val="center"/>
        <w:outlineLvl w:val="3"/>
      </w:pPr>
      <w:r>
        <w:rPr>
          <w:sz w:val="24"/>
          <w:b/>
        </w:rPr>
        <w:t>采购代理机构：</w:t>
      </w:r>
      <w:r>
        <w:rPr>
          <w:sz w:val="24"/>
          <w:b/>
        </w:rPr>
        <w:t>广州众信招标采购有限公司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广州众信招标采购有限公司</w:t>
      </w:r>
      <w:r>
        <w:rPr/>
        <w:t>受</w:t>
      </w:r>
      <w:r>
        <w:rPr/>
        <w:t>广州市花都区人民政府新华街道办事处</w:t>
      </w:r>
      <w:r>
        <w:rPr/>
        <w:t>的委托，采用</w:t>
      </w:r>
      <w:r>
        <w:rPr/>
        <w:t>竞争性磋商</w:t>
      </w:r>
      <w:r>
        <w:rPr/>
        <w:t>方式组织采购</w:t>
      </w:r>
      <w:r>
        <w:rPr/>
        <w:t>广州市花都区人民政府新华街道办事处登革热应急灭蚊消杀服务项目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广州市花都区人民政府新华街道办事处登革热应急灭蚊消杀服务项目</w:t>
      </w:r>
    </w:p>
    <w:p>
      <w:pPr>
        <w:pStyle w:val="null3"/>
        <w:ind w:firstLine="480"/>
      </w:pPr>
      <w:r>
        <w:rPr/>
        <w:t>采购计划编号：</w:t>
      </w:r>
      <w:r>
        <w:rPr/>
        <w:t>440114-2024-05033</w:t>
      </w:r>
    </w:p>
    <w:p>
      <w:pPr>
        <w:pStyle w:val="null3"/>
        <w:ind w:firstLine="480"/>
      </w:pPr>
      <w:r>
        <w:rPr/>
        <w:t>采购项目编号：</w:t>
      </w:r>
      <w:r>
        <w:rPr/>
        <w:t>ZX05140124MZCZ</w:t>
      </w:r>
    </w:p>
    <w:p>
      <w:pPr>
        <w:pStyle w:val="null3"/>
        <w:ind w:firstLine="480"/>
      </w:pPr>
      <w:r>
        <w:rPr/>
        <w:t>采购方式：</w:t>
      </w:r>
      <w:r>
        <w:rPr/>
        <w:t>竞争性磋商</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采购包1(广州市花都区人民政府新华街道办事处登革热应急灭蚊消杀服务项目):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广州市花都区人民政府新华街道办事处登革热应急灭蚊消杀服务项目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合同履行期限：自合同签订生效之日起至2024年12月31日止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2）有依法缴纳税收和社会保障资金的良好记录：有依法缴纳税收和社会保障资金的良好记录，提供书面声明，复印件加盖公章。</w:t>
      </w:r>
    </w:p>
    <w:p>
      <w:pPr>
        <w:pStyle w:val="null3"/>
      </w:pPr>
      <w:r>
        <w:rPr/>
        <w:t>3）具有良好的商业信誉和健全的财务会计制度：具有良好的商业信誉和健全的财务会计制度，提供书面声明，复印件加盖公章。</w:t>
      </w:r>
    </w:p>
    <w:p>
      <w:pPr>
        <w:pStyle w:val="null3"/>
      </w:pPr>
      <w:r>
        <w:rPr/>
        <w:t>4）履行合同所必需的设备和专业技术能力：具有履行合同所必需的设备和专业技术能力，提供书面声明，复印件加盖公章。</w:t>
      </w:r>
    </w:p>
    <w:p>
      <w:pPr>
        <w:pStyle w:val="null3"/>
      </w:pPr>
      <w:r>
        <w:rPr/>
        <w:t>5）参加采购活动前3年内，在经营活动中没有重大违法记录：参加政府采购活动前三年内，在经营活动中没有重大违法记录的书面声明，复印件加盖公章。</w:t>
      </w:r>
    </w:p>
    <w:p>
      <w:pPr>
        <w:pStyle w:val="null3"/>
        <w:outlineLvl w:val="3"/>
      </w:pPr>
      <w:r>
        <w:rPr>
          <w:sz w:val="24"/>
          <w:b/>
        </w:rPr>
        <w:t>2.落实政府采购政策需满足的资格要求：</w:t>
      </w:r>
    </w:p>
    <w:p>
      <w:pPr>
        <w:pStyle w:val="null3"/>
        <w:jc w:val="left"/>
      </w:pPr>
      <w:r>
        <w:rPr/>
        <w:t>采购包1（广州市花都区人民政府新华街道办事处登革热应急灭蚊消杀服务项目）：</w:t>
      </w:r>
      <w:r>
        <w:rPr/>
        <w:t>采购包整体专门面向中小企业。承接服务的供应商应为中小微企业、监狱企业、残疾人福利性单位。（提供《中小企业声明函》或属于监狱企业的证明材料或《残疾人福利性单位声明函》）</w:t>
      </w:r>
    </w:p>
    <w:p>
      <w:pPr>
        <w:pStyle w:val="null3"/>
        <w:outlineLvl w:val="3"/>
      </w:pPr>
      <w:r>
        <w:rPr>
          <w:sz w:val="24"/>
          <w:b/>
        </w:rPr>
        <w:t>3.本项目特定的资格要求：</w:t>
      </w:r>
    </w:p>
    <w:p>
      <w:pPr>
        <w:pStyle w:val="null3"/>
      </w:pPr>
      <w:r>
        <w:rPr/>
        <w:t>采购包1（广州市花都区人民政府新华街道办事处登革热应急灭蚊消杀服务项目）：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广州市花都区人民政府新华街道办事处</w:t>
      </w:r>
    </w:p>
    <w:p>
      <w:pPr>
        <w:pStyle w:val="null3"/>
        <w:ind w:firstLine="480"/>
      </w:pPr>
      <w:r>
        <w:rPr/>
        <w:t>地址：</w:t>
      </w:r>
      <w:r>
        <w:rPr/>
        <w:t>广州市花都区新华街建设路1号</w:t>
      </w:r>
    </w:p>
    <w:p>
      <w:pPr>
        <w:pStyle w:val="null3"/>
        <w:ind w:firstLine="480"/>
      </w:pPr>
      <w:r>
        <w:rPr/>
        <w:t>联系方式：</w:t>
      </w:r>
      <w:r>
        <w:rPr/>
        <w:t>020-86817571</w:t>
      </w:r>
    </w:p>
    <w:p>
      <w:pPr>
        <w:pStyle w:val="null3"/>
        <w:outlineLvl w:val="3"/>
      </w:pPr>
      <w:r>
        <w:rPr>
          <w:sz w:val="24"/>
          <w:b/>
        </w:rPr>
        <w:t>2.采购代理机构信息</w:t>
      </w:r>
    </w:p>
    <w:p>
      <w:pPr>
        <w:pStyle w:val="null3"/>
        <w:ind w:firstLine="480"/>
      </w:pPr>
      <w:r>
        <w:rPr/>
        <w:t>名称：</w:t>
      </w:r>
      <w:r>
        <w:rPr/>
        <w:t>广州众信招标采购有限公司</w:t>
      </w:r>
    </w:p>
    <w:p>
      <w:pPr>
        <w:pStyle w:val="null3"/>
        <w:ind w:firstLine="480"/>
      </w:pPr>
      <w:r>
        <w:rPr/>
        <w:t xml:space="preserve"> 地址：</w:t>
      </w:r>
      <w:r>
        <w:rPr/>
        <w:t>广州市花都区曙光路27号盛美大厦3楼305室</w:t>
      </w:r>
    </w:p>
    <w:p>
      <w:pPr>
        <w:pStyle w:val="null3"/>
        <w:ind w:firstLine="480"/>
      </w:pPr>
      <w:r>
        <w:rPr/>
        <w:t xml:space="preserve"> 联系方式：</w:t>
      </w:r>
      <w:r>
        <w:rPr/>
        <w:t>020-66355055</w:t>
      </w:r>
    </w:p>
    <w:p>
      <w:pPr>
        <w:pStyle w:val="null3"/>
        <w:outlineLvl w:val="3"/>
      </w:pPr>
      <w:r>
        <w:rPr>
          <w:sz w:val="24"/>
          <w:b/>
        </w:rPr>
        <w:t xml:space="preserve"> 3.项目联系方式</w:t>
      </w:r>
    </w:p>
    <w:p>
      <w:pPr>
        <w:pStyle w:val="null3"/>
        <w:ind w:firstLine="480"/>
      </w:pPr>
      <w:r>
        <w:rPr/>
        <w:t xml:space="preserve"> 项目联系人：</w:t>
      </w:r>
      <w:r>
        <w:rPr/>
        <w:t>林先生</w:t>
      </w:r>
    </w:p>
    <w:p>
      <w:pPr>
        <w:pStyle w:val="null3"/>
        <w:ind w:firstLine="480"/>
      </w:pPr>
      <w:r>
        <w:rPr/>
        <w:t xml:space="preserve"> 电话：</w:t>
      </w:r>
      <w:r>
        <w:rPr/>
        <w:t>020-66355055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广州众信招标采购有限公司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按照花都区登革热疫情处置的工作要求，现开展精准的疫点（含副疫点）、病例停留点的蚊媒消杀工作以及登革热疫情应急监测、登革热防控蚊媒常规监测、政府指令性监测、蚊媒抗药性监测工作。现面向社会采用竞争性磋商的采购方式进行采购，选定供应商完成该项工作。</w:t>
      </w:r>
    </w:p>
    <w:p>
      <w:pPr>
        <w:pStyle w:val="null3"/>
      </w:pPr>
      <w:r>
        <w:rPr/>
        <w:t>采购包1（广州市花都区人民政府新华街道办事处登革热应急灭蚊消杀服务项目）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自合同签订生效之日起至2024年12月31日止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1期：支付比例100%,1、本项目服务款项按月结算，每月结算上月费用。 2、由采购人按照项目实施的实际情况、考核评估情况及本合同相关要求核定月度实际服务费；费用确定后，供应商向采购人提供等额增值税普通发票及采购人要求的相关资料，采购人于收到供应商提供的发票及相关资料并核准无误后5个工作日内向政府采购支付部门提出办理财政支付申请手续（不含政府财政支付部门审核的时间），即视为采购人已经按期支付。如供应商迟延开具发票及迟延提供上述相关资料的，采购人付款日顺延。 3、因采购人使用的是财政资金，采购人的付款时间以财政拨付时间为准，采购人在前款规定的付款时间为向支付部门提出办理财政支付申请手续的时间（不含支付部门审核的时间），在规定时间内提出支付申请手续后即视为采购人已经按期支付，采购人不因此承担逾期付款的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1期：（一）验收时间：本合同截止之日，由采购人对供应商本年度工作开展情况进行验收。 （二）验收内容：本项目全部服务内容。验收材料应包括：项目工作报告等完成服务内容的有关证明材料。 （三）验收标准按招标文件和合同规定的要求和有关的规定、规范进行，未有规定或者规定不明确的，双方另行协商一致解决。</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广州市花都区人民政府新华街道办事处登革热应急灭蚊消杀服务项目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广州市花都区人民政府新华街道办事处登革热应急灭蚊消杀服务项目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right="45"/>
              <w:jc w:val="both"/>
            </w:pPr>
            <w:r>
              <w:rPr>
                <w:sz w:val="21"/>
                <w:b/>
              </w:rPr>
              <w:t>一、服务内容</w:t>
            </w:r>
          </w:p>
          <w:p>
            <w:pPr>
              <w:pStyle w:val="null3"/>
              <w:jc w:val="both"/>
            </w:pPr>
            <w:r>
              <w:rPr>
                <w:sz w:val="21"/>
              </w:rPr>
              <w:t>1</w:t>
            </w:r>
            <w:r>
              <w:rPr>
                <w:sz w:val="21"/>
              </w:rPr>
              <w:t>、按照花都区登革热疫情处置的工作要求，开展精准的疫点（含副疫点）、病例停留点的蚊媒消杀工作；开展区内蚊媒高风险区域或政府指令性蚊媒消杀工作。应急消杀队伍应配备24名工作人员、1台车载超低容量喷雾机、12台背负式超低容量喷雾机、6台常量喷雾机、6台热（冷）烟雾机、蚊幼虫和成蚊防制药物。按照本项目包干服务内容的要求，开展成蚊防制和外环境孳生地清理工作。</w:t>
            </w:r>
          </w:p>
          <w:p>
            <w:pPr>
              <w:pStyle w:val="null3"/>
            </w:pPr>
            <w:r>
              <w:rPr>
                <w:sz w:val="21"/>
              </w:rPr>
              <w:t>2</w:t>
            </w:r>
            <w:r>
              <w:rPr>
                <w:sz w:val="21"/>
              </w:rPr>
              <w:t>、包组预算总额包括供应商人员工资福利包干费用、公司运行费用、车辆使用维护费用、消杀器械购置和维护费用、孳生地清理和成蚊灭杀药物费用、疫情处置期间和政府指令性夜间消杀工作人员食宿费用、突发/应急服务费、各项税费及合同实施过程中不可预见费用等。</w:t>
            </w:r>
          </w:p>
        </w:tc>
      </w:tr>
      <w:tr>
        <w:tc>
          <w:tcPr>
            <w:tcW w:type="dxa" w:w="2076"/>
          </w:tcPr>
          <w:p/>
        </w:tc>
        <w:tc>
          <w:tcPr>
            <w:tcW w:type="dxa" w:w="415"/>
          </w:tcPr>
          <w:p>
            <w:pPr>
              <w:pStyle w:val="null3"/>
            </w:pPr>
            <w:r>
              <w:rPr/>
              <w:t>2</w:t>
            </w:r>
          </w:p>
        </w:tc>
        <w:tc>
          <w:tcPr>
            <w:tcW w:type="dxa" w:w="5814"/>
          </w:tcPr>
          <w:p>
            <w:pPr>
              <w:pStyle w:val="null3"/>
              <w:ind w:right="45"/>
              <w:jc w:val="both"/>
            </w:pPr>
            <w:r>
              <w:rPr>
                <w:sz w:val="21"/>
                <w:b/>
              </w:rPr>
              <w:t>二、服务费用</w:t>
            </w:r>
          </w:p>
          <w:p>
            <w:pPr>
              <w:pStyle w:val="null3"/>
              <w:jc w:val="both"/>
            </w:pPr>
            <w:r>
              <w:rPr>
                <w:sz w:val="21"/>
                <w:b/>
              </w:rPr>
              <w:t>（一）包组预算金额。包组预算</w:t>
            </w:r>
            <w:r>
              <w:rPr>
                <w:sz w:val="21"/>
              </w:rPr>
              <w:t>金额为人民币：</w:t>
            </w:r>
            <w:r>
              <w:rPr>
                <w:sz w:val="21"/>
              </w:rPr>
              <w:t>2000000</w:t>
            </w:r>
            <w:r>
              <w:rPr>
                <w:sz w:val="21"/>
              </w:rPr>
              <w:t>元（大写贰佰万元整）。服务期限为自合同签订生效之日起至</w:t>
            </w:r>
            <w:r>
              <w:rPr>
                <w:sz w:val="21"/>
              </w:rPr>
              <w:t>2024</w:t>
            </w:r>
            <w:r>
              <w:rPr>
                <w:sz w:val="21"/>
              </w:rPr>
              <w:t>年</w:t>
            </w:r>
            <w:r>
              <w:rPr>
                <w:sz w:val="21"/>
              </w:rPr>
              <w:t>12</w:t>
            </w:r>
            <w:r>
              <w:rPr>
                <w:sz w:val="21"/>
              </w:rPr>
              <w:t>月</w:t>
            </w:r>
            <w:r>
              <w:rPr>
                <w:sz w:val="21"/>
              </w:rPr>
              <w:t>31</w:t>
            </w:r>
            <w:r>
              <w:rPr>
                <w:sz w:val="21"/>
              </w:rPr>
              <w:t>日止。但若乙方未能按合同规定履行合同项目内容任务或服务后在规定时限内蚊媒密度评估未达标，甲方有权扣减结算费用直至终止合同。</w:t>
            </w:r>
          </w:p>
          <w:p>
            <w:pPr>
              <w:pStyle w:val="null3"/>
            </w:pPr>
            <w:r>
              <w:rPr>
                <w:sz w:val="21"/>
                <w:b/>
              </w:rPr>
              <w:t>（二）投标报价要求：</w:t>
            </w:r>
          </w:p>
          <w:p>
            <w:pPr>
              <w:pStyle w:val="null3"/>
            </w:pPr>
            <w:r>
              <w:rPr>
                <w:sz w:val="21"/>
              </w:rPr>
              <w:t>1</w:t>
            </w:r>
            <w:r>
              <w:rPr>
                <w:sz w:val="21"/>
              </w:rPr>
              <w:t>、</w:t>
            </w:r>
            <w:r>
              <w:rPr>
                <w:sz w:val="21"/>
              </w:rPr>
              <w:t>本项目按出勤队伍工作次数每月结算</w:t>
            </w:r>
            <w:r>
              <w:rPr>
                <w:sz w:val="21"/>
              </w:rPr>
              <w:t>1</w:t>
            </w:r>
            <w:r>
              <w:rPr>
                <w:sz w:val="21"/>
              </w:rPr>
              <w:t>次，每队</w:t>
            </w:r>
            <w:r>
              <w:rPr>
                <w:sz w:val="21"/>
              </w:rPr>
              <w:t>工作人数和器械不得低于登革热应急消杀服务要求，最高限价费用为人民币</w:t>
            </w:r>
            <w:r>
              <w:rPr>
                <w:sz w:val="21"/>
                <w:u w:val="single"/>
              </w:rPr>
              <w:t>18000.00</w:t>
            </w:r>
            <w:r>
              <w:rPr>
                <w:sz w:val="21"/>
              </w:rPr>
              <w:t>元/队；</w:t>
            </w:r>
          </w:p>
          <w:p>
            <w:pPr>
              <w:pStyle w:val="null3"/>
            </w:pPr>
            <w:r>
              <w:rPr>
                <w:sz w:val="21"/>
              </w:rPr>
              <w:t>2</w:t>
            </w:r>
            <w:r>
              <w:rPr>
                <w:sz w:val="21"/>
              </w:rPr>
              <w:t>、每月的结算公式为：出勤队伍次数×投标报价；</w:t>
            </w:r>
          </w:p>
          <w:p>
            <w:pPr>
              <w:pStyle w:val="null3"/>
            </w:pPr>
            <w:r>
              <w:rPr>
                <w:sz w:val="21"/>
              </w:rPr>
              <w:t>3</w:t>
            </w:r>
            <w:r>
              <w:rPr>
                <w:sz w:val="21"/>
              </w:rPr>
              <w:t>、采购预算使用完毕或服务期限到期，本项目合同终止；</w:t>
            </w:r>
          </w:p>
          <w:p>
            <w:pPr>
              <w:pStyle w:val="null3"/>
            </w:pPr>
            <w:r>
              <w:rPr>
                <w:sz w:val="21"/>
              </w:rPr>
              <w:t>4</w:t>
            </w:r>
            <w:r>
              <w:rPr>
                <w:sz w:val="21"/>
              </w:rPr>
              <w:t>、</w:t>
            </w:r>
            <w:r>
              <w:rPr>
                <w:sz w:val="21"/>
              </w:rPr>
              <w:t>登革热应急灭蚊消杀服务每次消杀要求：</w:t>
            </w:r>
          </w:p>
          <w:tbl>
            <w:tblPr>
              <w:tblBorders>
                <w:top w:val="none" w:color="000000" w:sz="4"/>
                <w:left w:val="none" w:color="000000" w:sz="4"/>
                <w:bottom w:val="none" w:color="000000" w:sz="4"/>
                <w:right w:val="none" w:color="000000" w:sz="4"/>
                <w:insideH w:val="none"/>
                <w:insideV w:val="none"/>
              </w:tblBorders>
            </w:tblPr>
            <w:tblGrid>
              <w:gridCol w:w="964"/>
              <w:gridCol w:w="1166"/>
              <w:gridCol w:w="1267"/>
              <w:gridCol w:w="2198"/>
            </w:tblGrid>
            <w:tr>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服务内容</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项目名称</w:t>
                  </w:r>
                </w:p>
              </w:tc>
              <w:tc>
                <w:tcPr>
                  <w:tcW w:type="dxa" w:w="12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21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备注</w:t>
                  </w:r>
                </w:p>
              </w:tc>
            </w:tr>
            <w:tr>
              <w:tc>
                <w:tcPr>
                  <w:tcW w:type="dxa" w:w="9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新华街登革热应急消杀服务</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投入人员</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不少于10人</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工作周期为1天，每次安排不少于10名专业防制人员，包含工资、社保费、福利费、加班费、劳保用品费等所有费用</w:t>
                  </w:r>
                </w:p>
              </w:tc>
            </w:tr>
            <w:tr>
              <w:tc>
                <w:tcPr>
                  <w:tcW w:type="dxa" w:w="964"/>
                  <w:vMerge/>
                  <w:tcBorders>
                    <w:top w:val="none" w:color="000000" w:sz="4"/>
                    <w:left w:val="singl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药品费</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批</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、残杀威4.4%、右旋反式氯丙快菊酯 0.6%：</w:t>
                  </w:r>
                </w:p>
                <w:p>
                  <w:pPr>
                    <w:pStyle w:val="null3"/>
                    <w:jc w:val="both"/>
                  </w:pPr>
                  <w:r>
                    <w:rPr>
                      <w:sz w:val="21"/>
                    </w:rPr>
                    <w:t>2</w:t>
                  </w:r>
                  <w:r>
                    <w:rPr>
                      <w:sz w:val="21"/>
                    </w:rPr>
                    <w:t>、吡丙醚 0.5%：</w:t>
                  </w:r>
                </w:p>
              </w:tc>
            </w:tr>
            <w:tr>
              <w:tc>
                <w:tcPr>
                  <w:tcW w:type="dxa" w:w="964"/>
                  <w:vMerge/>
                  <w:tcBorders>
                    <w:top w:val="none" w:color="000000" w:sz="4"/>
                    <w:left w:val="singl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器械材料费</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不少于8台</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机动超低容量喷雾机不少于8台（含折旧，燃油、维修、耗材等费用）</w:t>
                  </w:r>
                </w:p>
              </w:tc>
            </w:tr>
            <w:tr>
              <w:tc>
                <w:tcPr>
                  <w:tcW w:type="dxa" w:w="964"/>
                  <w:vMerge/>
                  <w:tcBorders>
                    <w:top w:val="none" w:color="000000" w:sz="4"/>
                    <w:left w:val="singl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登革热工作台账登记</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不少于2项</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964"/>
                  <w:vMerge/>
                  <w:tcBorders>
                    <w:top w:val="none" w:color="000000" w:sz="4"/>
                    <w:left w:val="singl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工作时长</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不少于8小时</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具体时间以采购人安排为准</w:t>
                  </w:r>
                </w:p>
              </w:tc>
            </w:tr>
            <w:tr>
              <w:tc>
                <w:tcPr>
                  <w:tcW w:type="dxa" w:w="964"/>
                  <w:vMerge/>
                  <w:tcBorders>
                    <w:top w:val="none" w:color="000000" w:sz="4"/>
                    <w:left w:val="single" w:color="000000" w:sz="4"/>
                    <w:bottom w:val="single" w:color="000000" w:sz="4"/>
                    <w:right w:val="single" w:color="000000" w:sz="4"/>
                  </w:tcBorders>
                </w:tc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工作地点</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采购人指定地点</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bl>
          <w:p/>
        </w:tc>
      </w:tr>
      <w:tr>
        <w:tc>
          <w:tcPr>
            <w:tcW w:type="dxa" w:w="2076"/>
          </w:tcPr>
          <w:p/>
        </w:tc>
        <w:tc>
          <w:tcPr>
            <w:tcW w:type="dxa" w:w="415"/>
          </w:tcPr>
          <w:p>
            <w:pPr>
              <w:pStyle w:val="null3"/>
            </w:pPr>
            <w:r>
              <w:rPr/>
              <w:t>3</w:t>
            </w:r>
          </w:p>
        </w:tc>
        <w:tc>
          <w:tcPr>
            <w:tcW w:type="dxa" w:w="5814"/>
          </w:tcPr>
          <w:p>
            <w:pPr>
              <w:pStyle w:val="null3"/>
              <w:ind w:right="45"/>
              <w:jc w:val="both"/>
            </w:pPr>
            <w:r>
              <w:rPr>
                <w:sz w:val="21"/>
                <w:b/>
              </w:rPr>
              <w:t>三、项目服务范围、内容及要求</w:t>
            </w:r>
          </w:p>
          <w:p>
            <w:pPr>
              <w:pStyle w:val="null3"/>
              <w:ind w:right="45"/>
              <w:jc w:val="both"/>
            </w:pPr>
            <w:r>
              <w:rPr>
                <w:sz w:val="21"/>
              </w:rPr>
              <w:t>（一）服务范围：广州市花都区区域。</w:t>
            </w:r>
          </w:p>
          <w:p>
            <w:pPr>
              <w:pStyle w:val="null3"/>
              <w:ind w:right="45"/>
              <w:jc w:val="both"/>
            </w:pPr>
            <w:r>
              <w:rPr>
                <w:sz w:val="21"/>
              </w:rPr>
              <w:t>（二）项目包干服务内容：</w:t>
            </w:r>
          </w:p>
          <w:p>
            <w:pPr>
              <w:pStyle w:val="null3"/>
              <w:ind w:right="45"/>
              <w:jc w:val="both"/>
            </w:pPr>
            <w:r>
              <w:rPr>
                <w:sz w:val="21"/>
              </w:rPr>
              <w:t>2.1</w:t>
            </w:r>
            <w:r>
              <w:rPr>
                <w:sz w:val="21"/>
              </w:rPr>
              <w:t>承担登革热疫点蚊媒消杀工作</w:t>
            </w:r>
          </w:p>
          <w:p>
            <w:pPr>
              <w:pStyle w:val="null3"/>
              <w:ind w:right="45"/>
              <w:jc w:val="both"/>
            </w:pPr>
            <w:r>
              <w:rPr>
                <w:sz w:val="21"/>
              </w:rPr>
              <w:t>1.</w:t>
            </w:r>
            <w:r>
              <w:rPr>
                <w:sz w:val="21"/>
              </w:rPr>
              <w:t>当出现散发或局部暴发疫情时，供应商组建的蚊媒应急控制专业队伍协同各镇（街）消杀队伍开展对疫点（含副疫点）应急灭杀成蚊作业，重点灭杀成蚊区域为病例所在楼栋及其公共区域、左右前后相关楼栋和区域（疫点或副疫点半径约</w:t>
            </w:r>
            <w:r>
              <w:rPr>
                <w:sz w:val="21"/>
              </w:rPr>
              <w:t>100</w:t>
            </w:r>
            <w:r>
              <w:rPr>
                <w:sz w:val="21"/>
              </w:rPr>
              <w:t>至</w:t>
            </w:r>
            <w:r>
              <w:rPr>
                <w:sz w:val="21"/>
              </w:rPr>
              <w:t>200</w:t>
            </w:r>
            <w:r>
              <w:rPr>
                <w:sz w:val="21"/>
              </w:rPr>
              <w:t>米范围内），重点对天台、楼道、地下停车场、小区绿化带、村居卫生死角等区域开展专业化蚊媒防制作业，迅速将消杀区域蚊媒密度控制在安全范围内，降低传播扩散风险。每次疫情处置区域由采购人指派。</w:t>
            </w:r>
          </w:p>
          <w:p>
            <w:pPr>
              <w:pStyle w:val="null3"/>
              <w:ind w:right="45"/>
              <w:jc w:val="both"/>
            </w:pPr>
            <w:r>
              <w:rPr>
                <w:sz w:val="21"/>
              </w:rPr>
              <w:t>2.</w:t>
            </w:r>
            <w:r>
              <w:rPr>
                <w:sz w:val="21"/>
              </w:rPr>
              <w:t>供应商在进行成蚊消杀工作时同步开展外环境蚊媒孳生环境巡查及清理或投药工作，切实做到标本兼治。</w:t>
            </w:r>
          </w:p>
          <w:p>
            <w:pPr>
              <w:pStyle w:val="null3"/>
              <w:ind w:right="45"/>
              <w:jc w:val="both"/>
            </w:pPr>
            <w:r>
              <w:rPr>
                <w:sz w:val="21"/>
              </w:rPr>
              <w:t>3.</w:t>
            </w:r>
            <w:r>
              <w:rPr>
                <w:sz w:val="21"/>
              </w:rPr>
              <w:t>供应商组建的蚊媒消杀队伍主要作为协助镇街在登革热疫情发生时的应急消杀，主要针对疫情发生后前</w:t>
            </w:r>
            <w:r>
              <w:rPr>
                <w:sz w:val="21"/>
              </w:rPr>
              <w:t>3</w:t>
            </w:r>
            <w:r>
              <w:rPr>
                <w:sz w:val="21"/>
              </w:rPr>
              <w:t>天疫点（含副疫点）半径约</w:t>
            </w:r>
            <w:r>
              <w:rPr>
                <w:sz w:val="21"/>
              </w:rPr>
              <w:t>100</w:t>
            </w:r>
            <w:r>
              <w:rPr>
                <w:sz w:val="21"/>
              </w:rPr>
              <w:t>至</w:t>
            </w:r>
            <w:r>
              <w:rPr>
                <w:sz w:val="21"/>
              </w:rPr>
              <w:t>200</w:t>
            </w:r>
            <w:r>
              <w:rPr>
                <w:sz w:val="21"/>
              </w:rPr>
              <w:t>米区域内的消杀工作，每天消杀时长不少于</w:t>
            </w:r>
            <w:r>
              <w:rPr>
                <w:sz w:val="21"/>
              </w:rPr>
              <w:t>8</w:t>
            </w:r>
            <w:r>
              <w:rPr>
                <w:sz w:val="21"/>
              </w:rPr>
              <w:t>小时，灭蚊作业必须做到区域全覆盖，确保</w:t>
            </w:r>
          </w:p>
          <w:p>
            <w:pPr>
              <w:pStyle w:val="null3"/>
              <w:ind w:right="45"/>
              <w:jc w:val="both"/>
            </w:pPr>
            <w:r>
              <w:rPr>
                <w:sz w:val="21"/>
              </w:rPr>
              <w:t>灭蚊效果，视蚊媒评估监测结果后续移交给镇街消杀力量。</w:t>
            </w:r>
          </w:p>
          <w:p>
            <w:pPr>
              <w:pStyle w:val="null3"/>
              <w:ind w:right="45"/>
              <w:jc w:val="both"/>
            </w:pPr>
            <w:r>
              <w:rPr>
                <w:sz w:val="21"/>
              </w:rPr>
              <w:t>2.2</w:t>
            </w:r>
            <w:r>
              <w:rPr>
                <w:sz w:val="21"/>
              </w:rPr>
              <w:t>登革热病例停留处蚊媒消杀工作</w:t>
            </w:r>
          </w:p>
          <w:p>
            <w:pPr>
              <w:pStyle w:val="null3"/>
              <w:ind w:right="45"/>
              <w:jc w:val="both"/>
            </w:pPr>
            <w:r>
              <w:rPr>
                <w:sz w:val="21"/>
              </w:rPr>
              <w:t>供应商按照采购人对登革热病例流行病学调查的结果，根据采购人的指派，对病例在病家以外的停留点半径</w:t>
            </w:r>
            <w:r>
              <w:rPr>
                <w:sz w:val="21"/>
              </w:rPr>
              <w:t>50</w:t>
            </w:r>
            <w:r>
              <w:rPr>
                <w:sz w:val="21"/>
              </w:rPr>
              <w:t>米范围内在规定时间内完成一次全覆盖应急消杀，且必须保证灭蚊效果，后续消杀任务移交给病例停留处所属镇街。</w:t>
            </w:r>
          </w:p>
          <w:p>
            <w:pPr>
              <w:pStyle w:val="null3"/>
              <w:ind w:right="45"/>
              <w:jc w:val="both"/>
            </w:pPr>
            <w:r>
              <w:rPr>
                <w:sz w:val="21"/>
              </w:rPr>
              <w:t>2.3</w:t>
            </w:r>
            <w:r>
              <w:rPr>
                <w:sz w:val="21"/>
              </w:rPr>
              <w:t>区内蚊媒高风险区域或政府指令性蚊媒消杀</w:t>
            </w:r>
          </w:p>
          <w:p>
            <w:pPr>
              <w:pStyle w:val="null3"/>
              <w:ind w:right="45"/>
              <w:jc w:val="both"/>
            </w:pPr>
            <w:r>
              <w:rPr>
                <w:sz w:val="21"/>
              </w:rPr>
              <w:t>1.</w:t>
            </w:r>
            <w:r>
              <w:rPr>
                <w:sz w:val="21"/>
              </w:rPr>
              <w:t>供应商按照采购人的指令，协助镇街对区内无物业小区、蚊媒密度评估为高风险的公共区域开展登革热蚊媒防制消杀，高风险的公共区域每月要做到全覆盖消杀，无物业小区的消杀工作根据采购人的工作计划开展。</w:t>
            </w:r>
          </w:p>
          <w:p>
            <w:pPr>
              <w:pStyle w:val="null3"/>
              <w:ind w:right="45"/>
              <w:jc w:val="both"/>
            </w:pPr>
            <w:r>
              <w:rPr>
                <w:sz w:val="21"/>
              </w:rPr>
              <w:t>2.</w:t>
            </w:r>
            <w:r>
              <w:rPr>
                <w:sz w:val="21"/>
              </w:rPr>
              <w:t>供应商按照采购人的指令，完成区政府指令性蚊媒防制消杀工作，如中高考考场蚊媒防制消杀、重大活动蚊媒防制消杀等。</w:t>
            </w:r>
          </w:p>
          <w:p>
            <w:pPr>
              <w:pStyle w:val="null3"/>
              <w:ind w:right="45"/>
              <w:jc w:val="both"/>
            </w:pPr>
            <w:r>
              <w:rPr>
                <w:sz w:val="21"/>
              </w:rPr>
              <w:t>（三）项目服务要求：</w:t>
            </w:r>
          </w:p>
          <w:p>
            <w:pPr>
              <w:pStyle w:val="null3"/>
              <w:ind w:right="45"/>
              <w:jc w:val="both"/>
            </w:pPr>
            <w:r>
              <w:rPr>
                <w:sz w:val="21"/>
              </w:rPr>
              <w:t>3.1</w:t>
            </w:r>
            <w:r>
              <w:rPr>
                <w:sz w:val="21"/>
              </w:rPr>
              <w:t>业务管理</w:t>
            </w:r>
          </w:p>
          <w:p>
            <w:pPr>
              <w:pStyle w:val="null3"/>
              <w:ind w:right="45"/>
              <w:jc w:val="both"/>
            </w:pPr>
            <w:r>
              <w:rPr>
                <w:sz w:val="21"/>
              </w:rPr>
              <w:t>1.</w:t>
            </w:r>
            <w:r>
              <w:rPr>
                <w:sz w:val="21"/>
              </w:rPr>
              <w:t>供应商组建的蚊媒消杀专业队伍由采购人进行统一业务管理，工作计划、日常工作安排均由采购人具体负责，并由采购人负责质量考核、绩效考核、项目验收。</w:t>
            </w:r>
          </w:p>
          <w:p>
            <w:pPr>
              <w:pStyle w:val="null3"/>
              <w:ind w:right="45"/>
              <w:jc w:val="both"/>
            </w:pPr>
            <w:r>
              <w:rPr>
                <w:sz w:val="21"/>
              </w:rPr>
              <w:t>2.</w:t>
            </w:r>
            <w:r>
              <w:rPr>
                <w:sz w:val="21"/>
              </w:rPr>
              <w:t>蚊媒消杀专业队伍所需的食宿、消杀药物、消杀器械、人员福利待遇、车辆等应符合国家法律法规要求，相关费用均由供应商承担，因消杀过程不当造成的赔偿费用均由供应商负责。</w:t>
            </w:r>
          </w:p>
          <w:p>
            <w:pPr>
              <w:pStyle w:val="null3"/>
              <w:ind w:right="45"/>
              <w:jc w:val="both"/>
            </w:pPr>
            <w:r>
              <w:rPr>
                <w:sz w:val="21"/>
              </w:rPr>
              <w:t>3.</w:t>
            </w:r>
            <w:r>
              <w:rPr>
                <w:sz w:val="21"/>
              </w:rPr>
              <w:t>蚊媒消杀专业队伍因工作任务特殊性，经常可能在正常的上班时间之外或节假日需要加班，供应商应保证应急队人员按时保质保量完成工作任务，同时供应商要保障应急队人员因应急任务而加班的福利待遇。</w:t>
            </w:r>
          </w:p>
          <w:p>
            <w:pPr>
              <w:pStyle w:val="null3"/>
              <w:ind w:right="45"/>
              <w:jc w:val="both"/>
            </w:pPr>
            <w:r>
              <w:rPr>
                <w:sz w:val="21"/>
              </w:rPr>
              <w:t>4.</w:t>
            </w:r>
            <w:r>
              <w:rPr>
                <w:sz w:val="21"/>
              </w:rPr>
              <w:t>供应商负责现场消杀工作的消杀施工记录表、消杀评估表等资料的撰写和相关资料的归档备案。</w:t>
            </w:r>
          </w:p>
          <w:p>
            <w:pPr>
              <w:pStyle w:val="null3"/>
              <w:ind w:right="45"/>
              <w:jc w:val="both"/>
            </w:pPr>
            <w:r>
              <w:rPr>
                <w:sz w:val="21"/>
              </w:rPr>
              <w:t>5.</w:t>
            </w:r>
            <w:r>
              <w:rPr>
                <w:sz w:val="21"/>
              </w:rPr>
              <w:t>本项目严禁分包和转包，如有违反，采购人有权追究供应商相应法律责任，并要求供应商按照合同总金额的</w:t>
            </w:r>
            <w:r>
              <w:rPr>
                <w:sz w:val="21"/>
              </w:rPr>
              <w:t>20%</w:t>
            </w:r>
            <w:r>
              <w:rPr>
                <w:sz w:val="21"/>
              </w:rPr>
              <w:t>支付采购人违约金，同时采购人有权单方终止合同。</w:t>
            </w:r>
          </w:p>
          <w:p>
            <w:pPr>
              <w:pStyle w:val="null3"/>
              <w:ind w:right="45"/>
              <w:jc w:val="both"/>
            </w:pPr>
            <w:r>
              <w:rPr>
                <w:sz w:val="21"/>
              </w:rPr>
              <w:t>3.2</w:t>
            </w:r>
            <w:r>
              <w:rPr>
                <w:sz w:val="21"/>
              </w:rPr>
              <w:t>人员配置与管理要求</w:t>
            </w:r>
          </w:p>
          <w:p>
            <w:pPr>
              <w:pStyle w:val="null3"/>
              <w:ind w:right="45"/>
              <w:jc w:val="both"/>
            </w:pPr>
            <w:r>
              <w:rPr>
                <w:sz w:val="21"/>
              </w:rPr>
              <w:t>1.</w:t>
            </w:r>
            <w:r>
              <w:rPr>
                <w:sz w:val="21"/>
              </w:rPr>
              <w:t>为保障工作任务按时开展及应急任务响应速度，同时考虑到消杀工作和设备存储具有特殊要求，要求供应商组建的蚊媒应急消杀专业队伍需在项目所在地广州市花都区内有驻点办公场所、消杀工具仓库、机械设备停放场所等，以充分保障各项业务工作的顺利开展与实施。</w:t>
            </w:r>
          </w:p>
          <w:p>
            <w:pPr>
              <w:pStyle w:val="null3"/>
              <w:ind w:right="45"/>
              <w:jc w:val="both"/>
            </w:pPr>
            <w:r>
              <w:rPr>
                <w:sz w:val="21"/>
              </w:rPr>
              <w:t>2.</w:t>
            </w:r>
            <w:r>
              <w:rPr>
                <w:sz w:val="21"/>
              </w:rPr>
              <w:t>供应商须为本项目组建蚊媒应急消杀专业队伍，团队人员不少于</w:t>
            </w:r>
            <w:r>
              <w:rPr>
                <w:sz w:val="21"/>
              </w:rPr>
              <w:t>24</w:t>
            </w:r>
            <w:r>
              <w:rPr>
                <w:sz w:val="21"/>
              </w:rPr>
              <w:t>人（其中</w:t>
            </w:r>
            <w:r>
              <w:rPr>
                <w:sz w:val="21"/>
              </w:rPr>
              <w:t>1</w:t>
            </w:r>
            <w:r>
              <w:rPr>
                <w:sz w:val="21"/>
              </w:rPr>
              <w:t>人为本项目负责人、</w:t>
            </w:r>
            <w:r>
              <w:rPr>
                <w:sz w:val="21"/>
              </w:rPr>
              <w:t>2</w:t>
            </w:r>
            <w:r>
              <w:rPr>
                <w:sz w:val="21"/>
              </w:rPr>
              <w:t>人为本项目资料和信息收集上报人员、蚊媒消杀专业技术人员</w:t>
            </w:r>
            <w:r>
              <w:rPr>
                <w:sz w:val="21"/>
              </w:rPr>
              <w:t>21</w:t>
            </w:r>
            <w:r>
              <w:rPr>
                <w:sz w:val="21"/>
              </w:rPr>
              <w:t>人），供应商负责招聘和日常管理，以上成员要求专一化服务于本项目，不得参与其他项目工作。</w:t>
            </w:r>
          </w:p>
          <w:p>
            <w:pPr>
              <w:pStyle w:val="null3"/>
              <w:ind w:right="45"/>
              <w:jc w:val="both"/>
            </w:pPr>
            <w:r>
              <w:rPr>
                <w:sz w:val="21"/>
              </w:rPr>
              <w:t>3.</w:t>
            </w:r>
            <w:r>
              <w:rPr>
                <w:sz w:val="21"/>
              </w:rPr>
              <w:t>为提高蚊媒消杀队伍的专业素质，蚊媒消杀专业队伍人员须符合以下要求：本项目所有人员均需获得国家、省市有害生物防制证书或相应资质；项目负责人具有预防医学、公共卫生、病媒生物防制、生物技术、环境科学、生物工程等相关专业本科（或以上）学历并具有有害生物防制员初级职业以上资格证书，年龄介于</w:t>
            </w:r>
            <w:r>
              <w:rPr>
                <w:sz w:val="21"/>
              </w:rPr>
              <w:t>20</w:t>
            </w:r>
            <w:r>
              <w:rPr>
                <w:sz w:val="21"/>
              </w:rPr>
              <w:t>至</w:t>
            </w:r>
            <w:r>
              <w:rPr>
                <w:sz w:val="21"/>
              </w:rPr>
              <w:t>45</w:t>
            </w:r>
            <w:r>
              <w:rPr>
                <w:sz w:val="21"/>
              </w:rPr>
              <w:t>岁（相关证明提交采购人存档），其中蚊媒消杀作业信息收集和上报人员必须熟悉掌握各种蚊媒上报系统的操作使用、熟练掌握常用电脑软件</w:t>
            </w:r>
            <w:r>
              <w:rPr>
                <w:sz w:val="21"/>
              </w:rPr>
              <w:t>WORD/EXCEL</w:t>
            </w:r>
            <w:r>
              <w:rPr>
                <w:sz w:val="21"/>
              </w:rPr>
              <w:t>等软件的操作使用，男女性均可。</w:t>
            </w:r>
          </w:p>
          <w:p>
            <w:pPr>
              <w:pStyle w:val="null3"/>
              <w:ind w:right="45"/>
              <w:jc w:val="both"/>
            </w:pPr>
            <w:r>
              <w:rPr>
                <w:sz w:val="21"/>
              </w:rPr>
              <w:t>4.</w:t>
            </w:r>
            <w:r>
              <w:rPr>
                <w:sz w:val="21"/>
              </w:rPr>
              <w:t>供应商必须按照我国《劳动合同法》等有关规定与蚊媒消杀专业队伍人员签订劳动合同，供应商负责管理队伍人员所有的人事（包括劳动合同签订、终止或解除、调动、调配等）、社会保险、公积金、劳保用品</w:t>
            </w:r>
            <w:r>
              <w:rPr>
                <w:sz w:val="21"/>
              </w:rPr>
              <w:t>/</w:t>
            </w:r>
            <w:r>
              <w:rPr>
                <w:sz w:val="21"/>
              </w:rPr>
              <w:t>防护用品费、体检、工伤</w:t>
            </w:r>
            <w:r>
              <w:rPr>
                <w:sz w:val="21"/>
              </w:rPr>
              <w:t>/</w:t>
            </w:r>
            <w:r>
              <w:rPr>
                <w:sz w:val="21"/>
              </w:rPr>
              <w:t>疾病</w:t>
            </w:r>
            <w:r>
              <w:rPr>
                <w:sz w:val="21"/>
              </w:rPr>
              <w:t>/</w:t>
            </w:r>
            <w:r>
              <w:rPr>
                <w:sz w:val="21"/>
              </w:rPr>
              <w:t>意外事故、经济补偿金</w:t>
            </w:r>
            <w:r>
              <w:rPr>
                <w:sz w:val="21"/>
              </w:rPr>
              <w:t>/</w:t>
            </w:r>
            <w:r>
              <w:rPr>
                <w:sz w:val="21"/>
              </w:rPr>
              <w:t>赔偿金等事宜；且人员工资福利应符合国家劳动法相关规定，供应商应确保队伍人员的职业防护和工作安全，队伍人员入职时需进行职业健康体检，如出现职业伤害、工伤、经济赔偿、民事纠纷、刑事责任等情况由供应商负责处理和承担相关责任。</w:t>
            </w:r>
          </w:p>
          <w:p>
            <w:pPr>
              <w:pStyle w:val="null3"/>
              <w:ind w:right="45"/>
              <w:jc w:val="both"/>
            </w:pPr>
            <w:r>
              <w:rPr>
                <w:sz w:val="21"/>
              </w:rPr>
              <w:t>5.</w:t>
            </w:r>
            <w:r>
              <w:rPr>
                <w:sz w:val="21"/>
              </w:rPr>
              <w:t>供应商应严格保障蚊媒消杀队伍人员的稳定性，实行名单化管理。签署合同</w:t>
            </w:r>
          </w:p>
          <w:p>
            <w:pPr>
              <w:pStyle w:val="null3"/>
              <w:ind w:right="45"/>
              <w:jc w:val="both"/>
            </w:pPr>
            <w:r>
              <w:rPr>
                <w:sz w:val="21"/>
              </w:rPr>
              <w:t>前，供应商需将投入本项目的</w:t>
            </w:r>
            <w:r>
              <w:rPr>
                <w:sz w:val="21"/>
              </w:rPr>
              <w:t>24</w:t>
            </w:r>
            <w:r>
              <w:rPr>
                <w:sz w:val="21"/>
              </w:rPr>
              <w:t>名人员身份证、上岗证、教育背景证明或专业职称证等信息供采购人审核、备案，核准后的人员即组成本项目专业队伍。自签订合同之日起，未经采购人同意，供应商不得擅自更换队伍人员。采购人提供相关能力提升培训，一旦出现登革热疫情，名单内人员不能同时参与非本项目的其他工作。如有请假或其他原因，供应商需立即调配其他相当资历人员进行补充，保证工作要求人员数量。人员请假超过</w:t>
            </w:r>
            <w:r>
              <w:rPr>
                <w:sz w:val="21"/>
              </w:rPr>
              <w:t>1</w:t>
            </w:r>
            <w:r>
              <w:rPr>
                <w:sz w:val="21"/>
              </w:rPr>
              <w:t>个月，视为人员变更。</w:t>
            </w:r>
          </w:p>
          <w:p>
            <w:pPr>
              <w:pStyle w:val="null3"/>
              <w:ind w:right="45"/>
              <w:jc w:val="both"/>
            </w:pPr>
            <w:r>
              <w:rPr>
                <w:sz w:val="21"/>
              </w:rPr>
              <w:t>6.</w:t>
            </w:r>
            <w:r>
              <w:rPr>
                <w:sz w:val="21"/>
              </w:rPr>
              <w:t>供应商如需要更换队伍人员，应至少提前</w:t>
            </w:r>
            <w:r>
              <w:rPr>
                <w:sz w:val="21"/>
              </w:rPr>
              <w:t>7</w:t>
            </w:r>
            <w:r>
              <w:rPr>
                <w:sz w:val="21"/>
              </w:rPr>
              <w:t>天以书面形式通知采购人和项目管理单位，并征得其同意后方可更换，更换后人员须继续行使合同文件约定的前任人员的职权，履行前任人员的义务。</w:t>
            </w:r>
          </w:p>
          <w:p>
            <w:pPr>
              <w:pStyle w:val="null3"/>
              <w:ind w:right="45"/>
              <w:jc w:val="both"/>
            </w:pPr>
            <w:r>
              <w:rPr>
                <w:sz w:val="21"/>
              </w:rPr>
              <w:t>7.</w:t>
            </w:r>
            <w:r>
              <w:rPr>
                <w:sz w:val="21"/>
              </w:rPr>
              <w:t>采购人有权对供应商组建的队伍人员进行考核筛选并要求供应商更换不符合采购人需求的工作人员，供应商应在</w:t>
            </w:r>
            <w:r>
              <w:rPr>
                <w:sz w:val="21"/>
              </w:rPr>
              <w:t>7</w:t>
            </w:r>
            <w:r>
              <w:rPr>
                <w:sz w:val="21"/>
              </w:rPr>
              <w:t>个工作日内调配或更换人员；在服务有效期内，供应商工作人员因考核筛选不合格等致采购人向供应商提出更换要求，供应商决定与该工作人员解除劳动关系的，因此产生的经济补偿金或赔偿金等各项补偿或赔偿费用等均由供应商承担。</w:t>
            </w:r>
          </w:p>
          <w:p>
            <w:pPr>
              <w:pStyle w:val="null3"/>
              <w:ind w:right="45"/>
              <w:jc w:val="both"/>
            </w:pPr>
            <w:r>
              <w:rPr>
                <w:sz w:val="21"/>
              </w:rPr>
              <w:t>8.</w:t>
            </w:r>
            <w:r>
              <w:rPr>
                <w:sz w:val="21"/>
              </w:rPr>
              <w:t>由于该项目可能涉及疫情信息、个人信息等，供应商须与项目全体员工签署保密协议，对一切工作信息、疫情信息、个人信息及相关未公开信息资料进行保密，防止前述相关信息的外泄。</w:t>
            </w:r>
          </w:p>
          <w:p>
            <w:pPr>
              <w:pStyle w:val="null3"/>
              <w:ind w:right="45"/>
              <w:jc w:val="both"/>
            </w:pPr>
            <w:r>
              <w:rPr>
                <w:sz w:val="21"/>
              </w:rPr>
              <w:t>3.3</w:t>
            </w:r>
            <w:r>
              <w:rPr>
                <w:sz w:val="21"/>
              </w:rPr>
              <w:t>药械管理</w:t>
            </w:r>
          </w:p>
          <w:p>
            <w:pPr>
              <w:pStyle w:val="null3"/>
              <w:ind w:right="45"/>
              <w:jc w:val="both"/>
            </w:pPr>
            <w:r>
              <w:rPr>
                <w:sz w:val="21"/>
              </w:rPr>
              <w:t>1.</w:t>
            </w:r>
            <w:r>
              <w:rPr>
                <w:sz w:val="21"/>
              </w:rPr>
              <w:t>消杀器械装备</w:t>
            </w:r>
          </w:p>
          <w:p>
            <w:pPr>
              <w:pStyle w:val="null3"/>
              <w:ind w:right="45"/>
              <w:jc w:val="both"/>
            </w:pPr>
            <w:r>
              <w:rPr>
                <w:sz w:val="21"/>
              </w:rPr>
              <w:t>供应商须为本项目配备工作器械，包括</w:t>
            </w:r>
            <w:r>
              <w:rPr>
                <w:sz w:val="21"/>
              </w:rPr>
              <w:t>1</w:t>
            </w:r>
            <w:r>
              <w:rPr>
                <w:sz w:val="21"/>
              </w:rPr>
              <w:t>台车载超低容量喷雾机、</w:t>
            </w:r>
            <w:r>
              <w:rPr>
                <w:sz w:val="21"/>
              </w:rPr>
              <w:t>12</w:t>
            </w:r>
            <w:r>
              <w:rPr>
                <w:sz w:val="21"/>
              </w:rPr>
              <w:t>台背负式超低容量喷雾机、</w:t>
            </w:r>
            <w:r>
              <w:rPr>
                <w:sz w:val="21"/>
              </w:rPr>
              <w:t>6</w:t>
            </w:r>
            <w:r>
              <w:rPr>
                <w:sz w:val="21"/>
              </w:rPr>
              <w:t>台常量喷雾机、</w:t>
            </w:r>
            <w:r>
              <w:rPr>
                <w:sz w:val="21"/>
              </w:rPr>
              <w:t>6</w:t>
            </w:r>
            <w:r>
              <w:rPr>
                <w:sz w:val="21"/>
              </w:rPr>
              <w:t>台热（冷）烟雾机，其他器械根据实际情况配备。</w:t>
            </w:r>
          </w:p>
          <w:p>
            <w:pPr>
              <w:pStyle w:val="null3"/>
              <w:ind w:right="45"/>
              <w:jc w:val="both"/>
            </w:pPr>
            <w:r>
              <w:rPr>
                <w:sz w:val="21"/>
              </w:rPr>
              <w:t>2.</w:t>
            </w:r>
            <w:r>
              <w:rPr>
                <w:sz w:val="21"/>
              </w:rPr>
              <w:t>药械管理制度</w:t>
            </w:r>
          </w:p>
          <w:p>
            <w:pPr>
              <w:pStyle w:val="null3"/>
              <w:ind w:right="45"/>
              <w:jc w:val="both"/>
            </w:pPr>
            <w:r>
              <w:rPr>
                <w:sz w:val="21"/>
              </w:rPr>
              <w:t>（</w:t>
            </w:r>
            <w:r>
              <w:rPr>
                <w:sz w:val="21"/>
              </w:rPr>
              <w:t>1</w:t>
            </w:r>
            <w:r>
              <w:rPr>
                <w:sz w:val="21"/>
              </w:rPr>
              <w:t>）供应商按采购人的要求负责现场蚊媒应急消杀所需器械或物资的准备和采购，包括蚊媒应急处置所需的大型器械（车载机、背负式超低容量喷雾机等），灭蚊药物种类可由供应商根据采购人辖区药品抗药性情况自行采购，供应商每个疫点投入药物和器械的品牌和数量须得到采购人认可。为保证应急处置和消杀工作的顺利进行，采购人可对项目经费采购的器械、药物进行调配和处置。每次消杀作业后，供应商都要按照采购人要求做好详细施工记录（包括处置面积、药物种类和数量、出动人员和人数等），并在完成消杀作业后</w:t>
            </w:r>
            <w:r>
              <w:rPr>
                <w:sz w:val="21"/>
              </w:rPr>
              <w:t>1</w:t>
            </w:r>
            <w:r>
              <w:rPr>
                <w:sz w:val="21"/>
              </w:rPr>
              <w:t>天内向采购人提交施工记录表、工作图片等资料。</w:t>
            </w:r>
          </w:p>
          <w:p>
            <w:pPr>
              <w:pStyle w:val="null3"/>
              <w:ind w:right="45"/>
              <w:jc w:val="both"/>
            </w:pPr>
            <w:r>
              <w:rPr>
                <w:sz w:val="21"/>
              </w:rPr>
              <w:t>（</w:t>
            </w:r>
            <w:r>
              <w:rPr>
                <w:sz w:val="21"/>
              </w:rPr>
              <w:t>2</w:t>
            </w:r>
            <w:r>
              <w:rPr>
                <w:sz w:val="21"/>
              </w:rPr>
              <w:t>）供应商采购的每种药物必须有真实有效的卫生类农药登记证（备案在有效期内）、农药生产批准证书（备案在有效期内）、农药生产许可证书（备案在有效期内）；采购的每种药物必须有真实有效的地级市以上技术监督部门备案或在中国国家标准化管理委员会的企业标准信息公共服务平台备案的企业标准；采购的每种药物符合“有效成分”“包装规格”“指标要求”等“产品及技术参数”</w:t>
            </w:r>
          </w:p>
          <w:p>
            <w:pPr>
              <w:pStyle w:val="null3"/>
              <w:ind w:right="45"/>
              <w:jc w:val="both"/>
            </w:pPr>
            <w:r>
              <w:rPr>
                <w:sz w:val="21"/>
              </w:rPr>
              <w:t>（</w:t>
            </w:r>
            <w:r>
              <w:rPr>
                <w:sz w:val="21"/>
              </w:rPr>
              <w:t>3</w:t>
            </w:r>
            <w:r>
              <w:rPr>
                <w:sz w:val="21"/>
              </w:rPr>
              <w:t>）供应商所采购的所有药物需整理成清单（包括药物名称、药物主要成分、生产厂家、药物“三证”、厂家送货单、入库单、有效期、数量和总费用相关资料等）报送采购人审核。</w:t>
            </w:r>
          </w:p>
          <w:p>
            <w:pPr>
              <w:pStyle w:val="null3"/>
              <w:ind w:right="45"/>
              <w:jc w:val="both"/>
            </w:pPr>
            <w:r>
              <w:rPr>
                <w:sz w:val="21"/>
              </w:rPr>
              <w:t>（</w:t>
            </w:r>
            <w:r>
              <w:rPr>
                <w:sz w:val="21"/>
              </w:rPr>
              <w:t>4</w:t>
            </w:r>
            <w:r>
              <w:rPr>
                <w:sz w:val="21"/>
              </w:rPr>
              <w:t>）供应商必须注重科学合理用药，不能使用假药、过期药、国家禁用的药物。使用的药物和器械必须符合《病媒生物控制药物器械安全使用准则》，达到“环保、低毒、高效、安全”的要求。</w:t>
            </w:r>
          </w:p>
          <w:p>
            <w:pPr>
              <w:pStyle w:val="null3"/>
              <w:ind w:right="45"/>
              <w:jc w:val="both"/>
            </w:pPr>
            <w:r>
              <w:rPr>
                <w:sz w:val="21"/>
              </w:rPr>
              <w:t>3.4</w:t>
            </w:r>
            <w:r>
              <w:rPr>
                <w:sz w:val="21"/>
              </w:rPr>
              <w:t>质量及应急响应要求</w:t>
            </w:r>
          </w:p>
          <w:p>
            <w:pPr>
              <w:pStyle w:val="null3"/>
              <w:ind w:right="45"/>
              <w:jc w:val="both"/>
            </w:pPr>
            <w:r>
              <w:rPr>
                <w:sz w:val="21"/>
              </w:rPr>
              <w:t>1.</w:t>
            </w:r>
            <w:r>
              <w:rPr>
                <w:sz w:val="21"/>
              </w:rPr>
              <w:t>供应商须在规定的时间内完成日常工作。</w:t>
            </w:r>
          </w:p>
          <w:p>
            <w:pPr>
              <w:pStyle w:val="null3"/>
              <w:ind w:right="45"/>
              <w:jc w:val="both"/>
            </w:pPr>
            <w:r>
              <w:rPr>
                <w:sz w:val="21"/>
              </w:rPr>
              <w:t>2.</w:t>
            </w:r>
            <w:r>
              <w:rPr>
                <w:sz w:val="21"/>
              </w:rPr>
              <w:t>出现散发或局部暴发疫情时，供应商组建的蚊媒消杀专业队伍的疫情应急管理将严格按照采购人的应急行动管理要求，自接到采购人电话通知之时算起，在</w:t>
            </w:r>
            <w:r>
              <w:rPr>
                <w:sz w:val="21"/>
              </w:rPr>
              <w:t>1</w:t>
            </w:r>
            <w:r>
              <w:rPr>
                <w:sz w:val="21"/>
              </w:rPr>
              <w:t>小时内到达涉疫现场。</w:t>
            </w:r>
          </w:p>
          <w:p>
            <w:pPr>
              <w:pStyle w:val="null3"/>
              <w:ind w:right="45"/>
              <w:jc w:val="both"/>
            </w:pPr>
            <w:r>
              <w:rPr>
                <w:sz w:val="21"/>
              </w:rPr>
              <w:t>3.</w:t>
            </w:r>
            <w:r>
              <w:rPr>
                <w:sz w:val="21"/>
              </w:rPr>
              <w:t>供应商在规定的时间内完成应急消杀工作，并按照采购人要求的格式、内容认真仔细填写表格及时上报。供应商每次完成消杀作业后次日</w:t>
            </w:r>
            <w:r>
              <w:rPr>
                <w:sz w:val="21"/>
              </w:rPr>
              <w:t>10</w:t>
            </w:r>
            <w:r>
              <w:rPr>
                <w:sz w:val="21"/>
              </w:rPr>
              <w:t>时前应向采购人提供当次蚊媒消杀工作记录，每月</w:t>
            </w:r>
            <w:r>
              <w:rPr>
                <w:sz w:val="21"/>
              </w:rPr>
              <w:t>5</w:t>
            </w:r>
            <w:r>
              <w:rPr>
                <w:sz w:val="21"/>
              </w:rPr>
              <w:t>日前报送上月消杀费用报账所需资料。</w:t>
            </w:r>
          </w:p>
          <w:p>
            <w:pPr>
              <w:pStyle w:val="null3"/>
              <w:ind w:right="45"/>
              <w:jc w:val="both"/>
            </w:pPr>
            <w:r>
              <w:rPr>
                <w:sz w:val="21"/>
              </w:rPr>
              <w:t>3.5</w:t>
            </w:r>
            <w:r>
              <w:rPr>
                <w:sz w:val="21"/>
              </w:rPr>
              <w:t>绩效考核和评估</w:t>
            </w:r>
          </w:p>
          <w:p>
            <w:pPr>
              <w:pStyle w:val="null3"/>
              <w:ind w:right="45"/>
              <w:jc w:val="both"/>
            </w:pPr>
            <w:r>
              <w:rPr>
                <w:sz w:val="21"/>
              </w:rPr>
              <w:t>1.</w:t>
            </w:r>
            <w:r>
              <w:rPr>
                <w:sz w:val="21"/>
              </w:rPr>
              <w:t>为保障项目服务质量和整体推进，采购人按照本项目的服务要求和相关规定，对供应商的蚊媒消杀情况进行全过程监督、检查和管理，并根据实际情况对供应商进行考核评估，并以此作为验收结算依据。</w:t>
            </w:r>
          </w:p>
          <w:p>
            <w:pPr>
              <w:pStyle w:val="null3"/>
              <w:ind w:right="45"/>
              <w:jc w:val="both"/>
            </w:pPr>
            <w:r>
              <w:rPr>
                <w:sz w:val="21"/>
              </w:rPr>
              <w:t>2.</w:t>
            </w:r>
            <w:r>
              <w:rPr>
                <w:sz w:val="21"/>
              </w:rPr>
              <w:t>考核和评估方法：</w:t>
            </w:r>
          </w:p>
          <w:p>
            <w:pPr>
              <w:pStyle w:val="null3"/>
              <w:ind w:right="45"/>
              <w:jc w:val="both"/>
            </w:pPr>
            <w:r>
              <w:rPr>
                <w:sz w:val="21"/>
              </w:rPr>
              <w:t>（</w:t>
            </w:r>
            <w:r>
              <w:rPr>
                <w:sz w:val="21"/>
              </w:rPr>
              <w:t>1</w:t>
            </w:r>
            <w:r>
              <w:rPr>
                <w:sz w:val="21"/>
              </w:rPr>
              <w:t>）队伍稳定性：供应商应严格保障蚊媒消杀队伍人员的稳定性，若未经甲方同意，供应商擅自更换队伍人员，每更换一人，按照</w:t>
            </w:r>
            <w:r>
              <w:rPr>
                <w:sz w:val="21"/>
              </w:rPr>
              <w:t>5000</w:t>
            </w:r>
            <w:r>
              <w:rPr>
                <w:sz w:val="21"/>
              </w:rPr>
              <w:t>元</w:t>
            </w:r>
            <w:r>
              <w:rPr>
                <w:sz w:val="21"/>
              </w:rPr>
              <w:t>/</w:t>
            </w:r>
            <w:r>
              <w:rPr>
                <w:sz w:val="21"/>
              </w:rPr>
              <w:t>人</w:t>
            </w:r>
            <w:r>
              <w:rPr>
                <w:sz w:val="21"/>
              </w:rPr>
              <w:t>.</w:t>
            </w:r>
            <w:r>
              <w:rPr>
                <w:sz w:val="21"/>
              </w:rPr>
              <w:t>次的标准在当月服务费用中扣罚。</w:t>
            </w:r>
          </w:p>
          <w:p>
            <w:pPr>
              <w:pStyle w:val="null3"/>
              <w:ind w:right="45"/>
              <w:jc w:val="both"/>
            </w:pPr>
            <w:r>
              <w:rPr>
                <w:sz w:val="21"/>
              </w:rPr>
              <w:t>（</w:t>
            </w:r>
            <w:r>
              <w:rPr>
                <w:sz w:val="21"/>
              </w:rPr>
              <w:t>2</w:t>
            </w:r>
            <w:r>
              <w:rPr>
                <w:sz w:val="21"/>
              </w:rPr>
              <w:t>）队伍出动响应速度：供应商收到采购人通知响应登革热疫情处置时，供应商应在</w:t>
            </w:r>
            <w:r>
              <w:rPr>
                <w:sz w:val="21"/>
              </w:rPr>
              <w:t>1</w:t>
            </w:r>
            <w:r>
              <w:rPr>
                <w:sz w:val="21"/>
              </w:rPr>
              <w:t>小时内迅速统筹人员组织队伍携带器械到达现场，当月如出现应急响应不及时，按照</w:t>
            </w:r>
            <w:r>
              <w:rPr>
                <w:sz w:val="21"/>
              </w:rPr>
              <w:t>5000</w:t>
            </w:r>
            <w:r>
              <w:rPr>
                <w:sz w:val="21"/>
              </w:rPr>
              <w:t>元</w:t>
            </w:r>
            <w:r>
              <w:rPr>
                <w:sz w:val="21"/>
              </w:rPr>
              <w:t>/</w:t>
            </w:r>
            <w:r>
              <w:rPr>
                <w:sz w:val="21"/>
              </w:rPr>
              <w:t>次的标准在当月服务费用中扣罚。</w:t>
            </w:r>
          </w:p>
          <w:p>
            <w:pPr>
              <w:pStyle w:val="null3"/>
              <w:ind w:right="45"/>
              <w:jc w:val="both"/>
            </w:pPr>
            <w:r>
              <w:rPr>
                <w:sz w:val="21"/>
              </w:rPr>
              <w:t>（</w:t>
            </w:r>
            <w:r>
              <w:rPr>
                <w:sz w:val="21"/>
              </w:rPr>
              <w:t>3</w:t>
            </w:r>
            <w:r>
              <w:rPr>
                <w:sz w:val="21"/>
              </w:rPr>
              <w:t>）消杀作业记录及时性：供应商每天施工消杀作业记录应在次日</w:t>
            </w:r>
            <w:r>
              <w:rPr>
                <w:sz w:val="21"/>
              </w:rPr>
              <w:t>10</w:t>
            </w:r>
            <w:r>
              <w:rPr>
                <w:sz w:val="21"/>
              </w:rPr>
              <w:t>时前交付给采购人人员，采购人核查施工记录的真实性、规范性、是否存在缺漏项，综合评价施工记录填写质量，如存在施工记录造假行为，按照</w:t>
            </w:r>
            <w:r>
              <w:rPr>
                <w:sz w:val="21"/>
              </w:rPr>
              <w:t>5000</w:t>
            </w:r>
            <w:r>
              <w:rPr>
                <w:sz w:val="21"/>
              </w:rPr>
              <w:t>元</w:t>
            </w:r>
            <w:r>
              <w:rPr>
                <w:sz w:val="21"/>
              </w:rPr>
              <w:t>/</w:t>
            </w:r>
            <w:r>
              <w:rPr>
                <w:sz w:val="21"/>
              </w:rPr>
              <w:t>次的标准在当月服务费用中扣罚；如存在施工记录造假行为两次及以上，采购人有权终止服务合同。</w:t>
            </w:r>
          </w:p>
          <w:p>
            <w:pPr>
              <w:pStyle w:val="null3"/>
              <w:ind w:right="45"/>
              <w:jc w:val="both"/>
            </w:pPr>
            <w:r>
              <w:rPr>
                <w:sz w:val="21"/>
              </w:rPr>
              <w:t>（4）施工现场成蚊密度评估：一是登革热病例疫点消杀效果的评估，按照疫情介入处置消杀前后的蚊媒密度（指标准间指数和成蚊密度指数）进行评估，蚊媒密度标准间指数和成蚊密度指数风险等级均有下降两级或处于零风险为评估达标，供应商蚊媒消杀效果评估如未达标，需供应商另增派非本项目人员对该区域重复消杀至达标为止，如每月消杀后蚊媒密度评估不达标（3天内）疫点超过3个，第4个开始按照10000元/次的标准在当月服务费用中扣罚。二是协助街镇或政府指令性蚊媒消杀效果评估，以消杀前后蚊媒密度（指标准间指数和成蚊密度指数）两指标风险等级是否下降两级为评估依据，如每月不能按时达标点位数超过3个，第4个点位开始按照10000元/点的标准在当月服务费用中扣罚。</w:t>
            </w:r>
          </w:p>
        </w:tc>
      </w:tr>
      <w:tr>
        <w:tc>
          <w:tcPr>
            <w:tcW w:type="dxa" w:w="2076"/>
          </w:tcPr>
          <w:p/>
        </w:tc>
        <w:tc>
          <w:tcPr>
            <w:tcW w:type="dxa" w:w="415"/>
          </w:tcPr>
          <w:p>
            <w:pPr>
              <w:pStyle w:val="null3"/>
            </w:pPr>
            <w:r>
              <w:rPr/>
              <w:t>4</w:t>
            </w:r>
          </w:p>
        </w:tc>
        <w:tc>
          <w:tcPr>
            <w:tcW w:type="dxa" w:w="5814"/>
          </w:tcPr>
          <w:p>
            <w:pPr>
              <w:pStyle w:val="null3"/>
              <w:ind w:right="45"/>
              <w:jc w:val="both"/>
            </w:pPr>
            <w:r>
              <w:rPr>
                <w:sz w:val="21"/>
                <w:b/>
              </w:rPr>
              <w:t>四、知识产权归属</w:t>
            </w:r>
          </w:p>
          <w:p>
            <w:pPr>
              <w:pStyle w:val="null3"/>
            </w:pPr>
            <w:r>
              <w:rPr>
                <w:sz w:val="21"/>
              </w:rPr>
              <w:t>供应商应保证本项目的投标技术、服务或其任何一部分不会产生因第三方提出侵犯其专利权、商标权或其他知识产权而引起的法律和经济纠纷；如因第三方提出其专利权、商标权或其他知识产权的侵权之诉，则一切法律责任由供应商承担。</w:t>
            </w:r>
          </w:p>
        </w:tc>
      </w:tr>
      <w:tr>
        <w:tc>
          <w:tcPr>
            <w:tcW w:type="dxa" w:w="2076"/>
          </w:tcPr>
          <w:p/>
        </w:tc>
        <w:tc>
          <w:tcPr>
            <w:tcW w:type="dxa" w:w="415"/>
          </w:tcPr>
          <w:p>
            <w:pPr>
              <w:pStyle w:val="null3"/>
            </w:pPr>
            <w:r>
              <w:rPr/>
              <w:t>5</w:t>
            </w:r>
          </w:p>
        </w:tc>
        <w:tc>
          <w:tcPr>
            <w:tcW w:type="dxa" w:w="5814"/>
          </w:tcPr>
          <w:p>
            <w:pPr>
              <w:pStyle w:val="null3"/>
              <w:ind w:right="45"/>
              <w:jc w:val="both"/>
            </w:pPr>
            <w:r>
              <w:rPr>
                <w:sz w:val="21"/>
                <w:b/>
              </w:rPr>
              <w:t>五、保密</w:t>
            </w:r>
          </w:p>
          <w:p>
            <w:pPr>
              <w:pStyle w:val="null3"/>
            </w:pPr>
            <w:r>
              <w:rPr>
                <w:sz w:val="21"/>
              </w:rPr>
              <w:t>项目实施过程中至供应商正式向采购人交付项目资料时止，供应商必须采取措施对本项目实施过程中的数据、文档等资料保密，否则，由于供应商过错导致的上述资料泄密的，供应商必须承担一切责任。项目完成后，甲、乙双方均有责任继续对本项目信息资料承担保密责任。</w:t>
            </w:r>
          </w:p>
        </w:tc>
      </w:tr>
      <w:tr>
        <w:tc>
          <w:tcPr>
            <w:tcW w:type="dxa" w:w="2076"/>
          </w:tcPr>
          <w:p/>
        </w:tc>
        <w:tc>
          <w:tcPr>
            <w:tcW w:type="dxa" w:w="415"/>
          </w:tcPr>
          <w:p>
            <w:pPr>
              <w:pStyle w:val="null3"/>
            </w:pPr>
            <w:r>
              <w:rPr/>
              <w:t>6</w:t>
            </w:r>
          </w:p>
        </w:tc>
        <w:tc>
          <w:tcPr>
            <w:tcW w:type="dxa" w:w="5814"/>
          </w:tcPr>
          <w:p>
            <w:pPr>
              <w:pStyle w:val="null3"/>
              <w:ind w:right="45"/>
              <w:jc w:val="both"/>
            </w:pPr>
            <w:r>
              <w:rPr>
                <w:sz w:val="21"/>
                <w:b/>
              </w:rPr>
              <w:t>六、其他</w:t>
            </w:r>
          </w:p>
          <w:p>
            <w:pPr>
              <w:pStyle w:val="null3"/>
              <w:ind w:right="45"/>
              <w:jc w:val="both"/>
            </w:pPr>
            <w:r>
              <w:rPr>
                <w:sz w:val="21"/>
              </w:rPr>
              <w:t>（一）采购人的权利和义务</w:t>
            </w:r>
          </w:p>
          <w:p>
            <w:pPr>
              <w:pStyle w:val="null3"/>
              <w:ind w:right="45"/>
              <w:jc w:val="both"/>
            </w:pPr>
            <w:r>
              <w:rPr>
                <w:sz w:val="21"/>
              </w:rPr>
              <w:t>1.</w:t>
            </w:r>
            <w:r>
              <w:rPr>
                <w:sz w:val="21"/>
              </w:rPr>
              <w:t>采购人在项目开展过程中应配合、支持供应商工作。</w:t>
            </w:r>
          </w:p>
          <w:p>
            <w:pPr>
              <w:pStyle w:val="null3"/>
              <w:ind w:right="45"/>
              <w:jc w:val="both"/>
            </w:pPr>
            <w:r>
              <w:rPr>
                <w:sz w:val="21"/>
              </w:rPr>
              <w:t>2.</w:t>
            </w:r>
            <w:r>
              <w:rPr>
                <w:sz w:val="21"/>
              </w:rPr>
              <w:t>采购人对本服务项目如有修改意见，应提前</w:t>
            </w:r>
            <w:r>
              <w:rPr>
                <w:sz w:val="21"/>
              </w:rPr>
              <w:t>5</w:t>
            </w:r>
            <w:r>
              <w:rPr>
                <w:sz w:val="21"/>
              </w:rPr>
              <w:t>个工作日书面通知供应商。</w:t>
            </w:r>
          </w:p>
          <w:p>
            <w:pPr>
              <w:pStyle w:val="null3"/>
              <w:ind w:right="45"/>
              <w:jc w:val="both"/>
            </w:pPr>
            <w:r>
              <w:rPr>
                <w:sz w:val="21"/>
              </w:rPr>
              <w:t>3.</w:t>
            </w:r>
            <w:r>
              <w:rPr>
                <w:sz w:val="21"/>
              </w:rPr>
              <w:t>采购人可在本服务项目确认前，增、减、修改、完善供应商的服务项目内容的需求。经双方协商通过后，供应商必须承诺及时提供相关的服务与支持。当本项目内容发生较大变动时，以甲乙双方商议的最终结果为准。</w:t>
            </w:r>
          </w:p>
          <w:p>
            <w:pPr>
              <w:pStyle w:val="null3"/>
              <w:ind w:right="45"/>
              <w:jc w:val="both"/>
            </w:pPr>
            <w:r>
              <w:rPr>
                <w:sz w:val="21"/>
              </w:rPr>
              <w:t>4.</w:t>
            </w:r>
            <w:r>
              <w:rPr>
                <w:sz w:val="21"/>
              </w:rPr>
              <w:t>采购人拥有本项目全部服务过程和结果（原始资料、文字分析报告、录音、照片等）的所有权及知识产权。</w:t>
            </w:r>
          </w:p>
          <w:p>
            <w:pPr>
              <w:pStyle w:val="null3"/>
              <w:ind w:right="45"/>
              <w:jc w:val="both"/>
            </w:pPr>
            <w:r>
              <w:rPr>
                <w:sz w:val="21"/>
              </w:rPr>
              <w:t>5.</w:t>
            </w:r>
            <w:r>
              <w:rPr>
                <w:sz w:val="21"/>
              </w:rPr>
              <w:t>采购人有权了解及抽查供应商执行情况，包括但不限于供应商每期的检查人员、执行进度、数据处理细节及过程等。</w:t>
            </w:r>
          </w:p>
          <w:p>
            <w:pPr>
              <w:pStyle w:val="null3"/>
              <w:ind w:right="45"/>
              <w:jc w:val="both"/>
            </w:pPr>
            <w:r>
              <w:rPr>
                <w:sz w:val="21"/>
              </w:rPr>
              <w:t>（二）供应商的权利和义务</w:t>
            </w:r>
          </w:p>
          <w:p>
            <w:pPr>
              <w:pStyle w:val="null3"/>
              <w:ind w:right="45"/>
              <w:jc w:val="both"/>
            </w:pPr>
            <w:r>
              <w:rPr>
                <w:sz w:val="21"/>
              </w:rPr>
              <w:t>1.</w:t>
            </w:r>
            <w:r>
              <w:rPr>
                <w:sz w:val="21"/>
              </w:rPr>
              <w:t>供应商应严格依据采购人要求进行项目服务工作，出具服务报告。</w:t>
            </w:r>
          </w:p>
          <w:p>
            <w:pPr>
              <w:pStyle w:val="null3"/>
              <w:ind w:right="45"/>
              <w:jc w:val="both"/>
            </w:pPr>
            <w:r>
              <w:rPr>
                <w:sz w:val="21"/>
              </w:rPr>
              <w:t>2.</w:t>
            </w:r>
            <w:r>
              <w:rPr>
                <w:sz w:val="21"/>
              </w:rPr>
              <w:t>若采购人对服务项目有修改意见，供应商应按采购人修改意见开展服务工作，并不另行收取费用。</w:t>
            </w:r>
          </w:p>
          <w:p>
            <w:pPr>
              <w:pStyle w:val="null3"/>
              <w:ind w:right="45"/>
              <w:jc w:val="both"/>
            </w:pPr>
            <w:r>
              <w:rPr>
                <w:sz w:val="21"/>
              </w:rPr>
              <w:t>3.</w:t>
            </w:r>
            <w:r>
              <w:rPr>
                <w:sz w:val="21"/>
              </w:rPr>
              <w:t>供应商保证已经完全理解采购人关于本项目服务的具体要求，并有能力依据采购人的要求完成本项目服务工作。</w:t>
            </w:r>
          </w:p>
          <w:p>
            <w:pPr>
              <w:pStyle w:val="null3"/>
              <w:ind w:right="45"/>
              <w:jc w:val="both"/>
            </w:pPr>
            <w:r>
              <w:rPr>
                <w:sz w:val="21"/>
              </w:rPr>
              <w:t>4.</w:t>
            </w:r>
            <w:r>
              <w:rPr>
                <w:sz w:val="21"/>
              </w:rPr>
              <w:t>供应商应保证其具有承接服务合同的法定资质，因供应商缺乏相应资质而给采购人造成损失，供应商应承担相关责任，赔偿采购人损失并按合同总额的</w:t>
            </w:r>
            <w:r>
              <w:rPr>
                <w:sz w:val="21"/>
              </w:rPr>
              <w:t>20%</w:t>
            </w:r>
            <w:r>
              <w:rPr>
                <w:sz w:val="21"/>
              </w:rPr>
              <w:t>向采购人支付违约金，同时采购人有权单方解除合同。</w:t>
            </w:r>
          </w:p>
          <w:p>
            <w:pPr>
              <w:pStyle w:val="null3"/>
              <w:ind w:right="45"/>
              <w:jc w:val="both"/>
            </w:pPr>
            <w:r>
              <w:rPr>
                <w:sz w:val="21"/>
              </w:rPr>
              <w:t>5.</w:t>
            </w:r>
            <w:r>
              <w:rPr>
                <w:sz w:val="21"/>
              </w:rPr>
              <w:t>供应商在服务过程中，应遵守国家法律法规及地方性法规的有关规定，应遵守本项目所在地的相关法律法规的规定，并承担因违反上述规定而产生的法律责任。</w:t>
            </w:r>
          </w:p>
          <w:p>
            <w:pPr>
              <w:pStyle w:val="null3"/>
              <w:ind w:right="45"/>
              <w:jc w:val="both"/>
            </w:pPr>
            <w:r>
              <w:rPr>
                <w:sz w:val="21"/>
              </w:rPr>
              <w:t>6.</w:t>
            </w:r>
            <w:r>
              <w:rPr>
                <w:sz w:val="21"/>
              </w:rPr>
              <w:t>供应商应保证本项目服务科学、客观、真实、有效，并不得侵犯任何第三方的合法权益。若在履行服务合同过程中，供应商给第三方人身或财产造成损害的，由供应商承担全部赔偿责任。</w:t>
            </w:r>
          </w:p>
          <w:p>
            <w:pPr>
              <w:pStyle w:val="null3"/>
              <w:ind w:right="45"/>
              <w:jc w:val="both"/>
            </w:pPr>
            <w:r>
              <w:rPr>
                <w:sz w:val="21"/>
              </w:rPr>
              <w:t>7.</w:t>
            </w:r>
            <w:r>
              <w:rPr>
                <w:sz w:val="21"/>
              </w:rPr>
              <w:t>供应商自行承担因服务合同项下服务项目产生的一切税费。</w:t>
            </w:r>
          </w:p>
          <w:p>
            <w:pPr>
              <w:pStyle w:val="null3"/>
              <w:ind w:right="45"/>
              <w:jc w:val="both"/>
            </w:pPr>
            <w:r>
              <w:rPr>
                <w:sz w:val="21"/>
              </w:rPr>
              <w:t>8.</w:t>
            </w:r>
            <w:r>
              <w:rPr>
                <w:sz w:val="21"/>
              </w:rPr>
              <w:t>本项目所涉电子文件（包括数据、录音、照片证据、数据报告、分析报告），</w:t>
            </w:r>
          </w:p>
          <w:p>
            <w:pPr>
              <w:pStyle w:val="null3"/>
              <w:ind w:right="45"/>
              <w:jc w:val="both"/>
            </w:pPr>
            <w:r>
              <w:rPr>
                <w:sz w:val="21"/>
              </w:rPr>
              <w:t>供应商需保留一年；问卷保留一年。</w:t>
            </w:r>
          </w:p>
          <w:p>
            <w:pPr>
              <w:pStyle w:val="null3"/>
              <w:ind w:right="45"/>
              <w:jc w:val="both"/>
            </w:pPr>
            <w:r>
              <w:rPr>
                <w:sz w:val="21"/>
              </w:rPr>
              <w:t>9.</w:t>
            </w:r>
            <w:r>
              <w:rPr>
                <w:sz w:val="21"/>
              </w:rPr>
              <w:t>供应商应自行开展服务合同项目服务工作，不得将服务合同项目服务工作委托给第三方实施。</w:t>
            </w:r>
          </w:p>
          <w:p>
            <w:pPr>
              <w:pStyle w:val="null3"/>
            </w:pPr>
            <w:r>
              <w:rPr>
                <w:sz w:val="21"/>
              </w:rPr>
              <w:t>10.</w:t>
            </w:r>
            <w:r>
              <w:rPr>
                <w:sz w:val="21"/>
              </w:rPr>
              <w:t>供应商应当做好安全保障义务，因履行本合同而发生的人身、财产损害，由供应商负责处理及承担赔偿责任。</w:t>
            </w:r>
          </w:p>
        </w:tc>
      </w:tr>
      <w:tr>
        <w:tc>
          <w:tcPr>
            <w:tcW w:type="dxa" w:w="2076"/>
          </w:tcPr>
          <w:p/>
        </w:tc>
        <w:tc>
          <w:tcPr>
            <w:tcW w:type="dxa" w:w="415"/>
          </w:tcPr>
          <w:p>
            <w:pPr>
              <w:pStyle w:val="null3"/>
            </w:pPr>
            <w:r>
              <w:rPr/>
              <w:t>7</w:t>
            </w:r>
          </w:p>
        </w:tc>
        <w:tc>
          <w:tcPr>
            <w:tcW w:type="dxa" w:w="5814"/>
          </w:tcPr>
          <w:p>
            <w:pPr>
              <w:pStyle w:val="null3"/>
              <w:ind w:right="45"/>
              <w:jc w:val="both"/>
            </w:pPr>
            <w:r>
              <w:rPr>
                <w:sz w:val="21"/>
                <w:b/>
              </w:rPr>
              <w:t>七、违约责任与赔偿损失</w:t>
            </w:r>
          </w:p>
          <w:p>
            <w:pPr>
              <w:pStyle w:val="null3"/>
              <w:ind w:right="45"/>
              <w:jc w:val="both"/>
            </w:pPr>
            <w:r>
              <w:rPr>
                <w:sz w:val="21"/>
              </w:rPr>
              <w:t>（一）供应商未亲自履行任何一项服务内容，采购人有权解除服务合同，且有权拒绝支付当期及之后的服务费用；供应商履行不符合合同要求的，除本合同另有约定外，供应商应向采购人支付相当于合同金额</w:t>
            </w:r>
            <w:r>
              <w:rPr>
                <w:sz w:val="21"/>
              </w:rPr>
              <w:t>5%</w:t>
            </w:r>
            <w:r>
              <w:rPr>
                <w:sz w:val="21"/>
              </w:rPr>
              <w:t>的违约金，如果违约金不足以弥补给采购人造成损失的，还应赔偿采购人的损失，连续</w:t>
            </w:r>
            <w:r>
              <w:rPr>
                <w:sz w:val="21"/>
              </w:rPr>
              <w:t>2</w:t>
            </w:r>
            <w:r>
              <w:rPr>
                <w:sz w:val="21"/>
              </w:rPr>
              <w:t>次或累计</w:t>
            </w:r>
            <w:r>
              <w:rPr>
                <w:sz w:val="21"/>
              </w:rPr>
              <w:t>3</w:t>
            </w:r>
            <w:r>
              <w:rPr>
                <w:sz w:val="21"/>
              </w:rPr>
              <w:t>次履行不符合合同要求的，采购人有权解除服务合同，并有权拒绝支付当期及之后的服务费用。</w:t>
            </w:r>
          </w:p>
          <w:p>
            <w:pPr>
              <w:pStyle w:val="null3"/>
              <w:ind w:right="45"/>
              <w:jc w:val="both"/>
            </w:pPr>
            <w:r>
              <w:rPr>
                <w:sz w:val="21"/>
              </w:rPr>
              <w:t>（二）因供应商违约导致采购人解除合同的，供应商除应退还采购人已支付的费用，还应按照服务合同总金额的</w:t>
            </w:r>
            <w:r>
              <w:rPr>
                <w:sz w:val="21"/>
              </w:rPr>
              <w:t>10%</w:t>
            </w:r>
            <w:r>
              <w:rPr>
                <w:sz w:val="21"/>
              </w:rPr>
              <w:t>向采购人支付违约金，违约金不足以弥补采购人损失的，供应商应赔偿采购人未能弥补的损失。如本条约定与其他约定不一致的，则按最有利于采购人的标准执行。</w:t>
            </w:r>
          </w:p>
          <w:p>
            <w:pPr>
              <w:pStyle w:val="null3"/>
              <w:ind w:right="45"/>
              <w:jc w:val="both"/>
            </w:pPr>
            <w:r>
              <w:rPr>
                <w:sz w:val="21"/>
              </w:rPr>
              <w:t>（三）任何签约方违反本合同约定的，违约方应向守约方承担一切的经济损失并承担相应的赔偿责任，该损失包括但不限于涉诉产生律师费、诉讼费或仲裁费、公证费、保全费、鉴定费等。</w:t>
            </w:r>
          </w:p>
          <w:p>
            <w:pPr>
              <w:pStyle w:val="null3"/>
            </w:pPr>
            <w:r>
              <w:rPr>
                <w:sz w:val="21"/>
              </w:rPr>
              <w:t>（四）其它违约责任按《中华人民共和国民法典（合同编）》处理。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1.采购代理机构：本项目是指广州众信招标采购有限公司，负责整个采购活动的组织，依法负责编制和发布磋商文件，对磋商文件拥有最终的解释权，不以任何身份出任磋商小组成员。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广州市花都区人民政府新华街道办事处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采购机构代理服务收费标准：参照发改价格【2015】299号文进行收取，不足6000元的按6000元收取。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林先生</w:t>
      </w:r>
    </w:p>
    <w:p>
      <w:pPr>
        <w:pStyle w:val="null3"/>
        <w:ind w:firstLine="480"/>
      </w:pPr>
      <w:r>
        <w:rPr/>
        <w:t>电话：</w:t>
      </w:r>
      <w:r>
        <w:rPr/>
        <w:t>020-66355055</w:t>
      </w:r>
    </w:p>
    <w:p>
      <w:pPr>
        <w:pStyle w:val="null3"/>
        <w:ind w:firstLine="480"/>
      </w:pPr>
      <w:r>
        <w:rPr/>
        <w:t>传真：</w:t>
      </w:r>
      <w:r>
        <w:rPr/>
        <w:t>/</w:t>
      </w:r>
    </w:p>
    <w:p>
      <w:pPr>
        <w:pStyle w:val="null3"/>
        <w:ind w:firstLine="480"/>
      </w:pPr>
      <w:r>
        <w:rPr/>
        <w:t>邮箱：</w:t>
      </w:r>
      <w:r>
        <w:rPr/>
        <w:t>zxzbcg8888@163.com</w:t>
      </w:r>
    </w:p>
    <w:p>
      <w:pPr>
        <w:pStyle w:val="null3"/>
        <w:ind w:firstLine="480"/>
      </w:pPr>
      <w:r>
        <w:rPr/>
        <w:t>地址：</w:t>
      </w:r>
      <w:r>
        <w:rPr/>
        <w:t>广州市花都区曙光路27号盛美大厦3楼305室</w:t>
      </w:r>
    </w:p>
    <w:p>
      <w:pPr>
        <w:pStyle w:val="null3"/>
        <w:ind w:firstLine="480"/>
      </w:pPr>
      <w:r>
        <w:rPr/>
        <w:t>邮编：</w:t>
      </w:r>
      <w:r>
        <w:rPr/>
        <w:t>510800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花都区人民政府新华街道办事处登革热应急灭蚊消杀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广州众信招标采购有限公司</w:t>
      </w:r>
      <w:r>
        <w:rPr/>
        <w:t>统一对外发布。</w:t>
      </w:r>
    </w:p>
    <w:p>
      <w:pPr>
        <w:pStyle w:val="null3"/>
        <w:ind w:firstLine="480"/>
      </w:pPr>
      <w:r>
        <w:rPr/>
        <w:t>（2）对</w:t>
      </w:r>
      <w:r>
        <w:rPr/>
        <w:t>广州众信招标采购有限公司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采购包1（广州市花都区人民政府新华街道办事处登革热应急灭蚊消杀服务项目）：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采购包1（广州市花都区人民政府新华街道办事处登革热应急灭蚊消杀服务项目）：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有依法缴纳税收和社会保障资金的良好记录，提供书面声明，复印件加盖公章。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具有良好的商业信誉和健全的财务会计制度，提供书面声明，复印件加盖公章。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具有履行合同所必需的设备和专业技术能力，提供书面声明，复印件加盖公章。</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参加政府采购活动前三年内，在经营活动中没有重大违法记录的书面声明，复印件加盖公章。</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采购包整体专门面向中小企业。承接服务的供应商应为中小微企业、监狱企业、残疾人福利性单位。（提供《中小企业声明函》或属于监狱企业的证明材料或《残疾人福利性单位声明函》）</w:t>
            </w:r>
          </w:p>
        </w:tc>
      </w:tr>
    </w:tbl>
    <w:p>
      <w:pPr>
        <w:pStyle w:val="null3"/>
        <w:ind w:firstLine="480"/>
      </w:pPr>
      <w:r>
        <w:rPr/>
        <w:t>表二符合性审查表：</w:t>
      </w:r>
    </w:p>
    <w:p>
      <w:pPr>
        <w:pStyle w:val="null3"/>
      </w:pPr>
      <w:r>
        <w:rPr/>
        <w:t>采购包1（广州市花都区人民政府新华街道办事处登革热应急灭蚊消杀服务项目）：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为投标截止之日起90日内有效</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按第六章“投标文件格式与要求”中各类文件格式要求编制、签署、盖章</w:t>
            </w:r>
          </w:p>
        </w:tc>
      </w:tr>
      <w:tr>
        <w:tc>
          <w:tcPr>
            <w:tcW w:type="dxa" w:w="890"/>
          </w:tcPr>
          <w:p>
            <w:pPr>
              <w:pStyle w:val="null3"/>
            </w:pPr>
            <w:r>
              <w:rPr/>
              <w:t>3</w:t>
            </w:r>
          </w:p>
        </w:tc>
        <w:tc>
          <w:tcPr>
            <w:tcW w:type="dxa" w:w="3178"/>
          </w:tcPr>
          <w:p>
            <w:pPr>
              <w:pStyle w:val="null3"/>
            </w:pPr>
            <w:r>
              <w:rPr/>
              <w:t>投标单价报价</w:t>
            </w:r>
          </w:p>
        </w:tc>
        <w:tc>
          <w:tcPr>
            <w:tcW w:type="dxa" w:w="4238"/>
          </w:tcPr>
          <w:p>
            <w:pPr>
              <w:pStyle w:val="null3"/>
            </w:pPr>
            <w:r>
              <w:rPr/>
              <w:t>是固定唯一的非负数，未超出招标文件中规定的采购预算金额或最高限价</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满足招标文件中的★条款</w:t>
            </w:r>
          </w:p>
        </w:tc>
      </w:tr>
      <w:tr>
        <w:tc>
          <w:tcPr>
            <w:tcW w:type="dxa" w:w="890"/>
          </w:tcPr>
          <w:p>
            <w:pPr>
              <w:pStyle w:val="null3"/>
            </w:pPr>
            <w:r>
              <w:rPr/>
              <w:t>5</w:t>
            </w:r>
          </w:p>
        </w:tc>
        <w:tc>
          <w:tcPr>
            <w:tcW w:type="dxa" w:w="3178"/>
          </w:tcPr>
          <w:p>
            <w:pPr>
              <w:pStyle w:val="null3"/>
            </w:pPr>
            <w:r>
              <w:rPr/>
              <w:t>投标文件的完整性</w:t>
            </w:r>
          </w:p>
        </w:tc>
        <w:tc>
          <w:tcPr>
            <w:tcW w:type="dxa" w:w="4238"/>
          </w:tcPr>
          <w:p>
            <w:pPr>
              <w:pStyle w:val="null3"/>
            </w:pPr>
            <w:r>
              <w:rPr/>
              <w:t>根据招标文件规定，评委认定为完整的</w:t>
            </w:r>
          </w:p>
        </w:tc>
      </w:tr>
      <w:tr>
        <w:tc>
          <w:tcPr>
            <w:tcW w:type="dxa" w:w="890"/>
          </w:tcPr>
          <w:p>
            <w:pPr>
              <w:pStyle w:val="null3"/>
            </w:pPr>
            <w:r>
              <w:rPr/>
              <w:t>6</w:t>
            </w:r>
          </w:p>
        </w:tc>
        <w:tc>
          <w:tcPr>
            <w:tcW w:type="dxa" w:w="3178"/>
          </w:tcPr>
          <w:p>
            <w:pPr>
              <w:pStyle w:val="null3"/>
            </w:pPr>
            <w:r>
              <w:rPr/>
              <w:t>投标文件的有效性</w:t>
            </w:r>
          </w:p>
        </w:tc>
        <w:tc>
          <w:tcPr>
            <w:tcW w:type="dxa" w:w="4238"/>
          </w:tcPr>
          <w:p>
            <w:pPr>
              <w:pStyle w:val="null3"/>
            </w:pPr>
            <w:r>
              <w:rPr/>
              <w:t>根据招标文件规定，评委认定为有效的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采购包1(广州市花都区人民政府新华街道办事处登革热应急灭蚊消杀服务项目):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 (10.0分)</w:t>
            </w:r>
            <w:r>
              <w:rPr/>
              <w:t>，（等次分值选择：</w:t>
            </w:r>
            <w:r>
              <w:rPr/>
              <w:t>0.0;</w:t>
            </w:r>
            <w:r>
              <w:rPr/>
              <w:t>3.0;</w:t>
            </w:r>
            <w:r>
              <w:rPr/>
              <w:t>5.0;</w:t>
            </w:r>
            <w:r>
              <w:rPr/>
              <w:t>7.0;</w:t>
            </w:r>
            <w:r>
              <w:rPr/>
              <w:t>10.0;</w:t>
            </w:r>
            <w:r>
              <w:rPr/>
              <w:t>）</w:t>
            </w:r>
          </w:p>
        </w:tc>
        <w:tc>
          <w:tcPr>
            <w:tcW w:type="dxa" w:w="5076"/>
          </w:tcPr>
          <w:p>
            <w:pPr>
              <w:pStyle w:val="null3"/>
              <w:jc w:val="left"/>
            </w:pPr>
            <w:r>
              <w:rPr/>
              <w:t>1.投标人对本次采购项目实施区域环境现状熟悉了解，对本项目服务内容熟悉，非常了解本项目服务重点，能详细说明辖区内的工作难点、重点，得10分； 2.投标人对本次采购项目实施区域环境现状较熟悉了解，对本项目服务内容较熟悉，较了解本项目服务重点，能概述辖区内的工作难点、重点，得7分； 3.投标人对本次采购项目实施区域环境现状熟悉程度一般，对本项目服务内容熟悉程度一般，基本了解本项目服务重点，得5分； 4.投标人对本次采购项目实施区域环境现状了解欠缺，对本项目服务内容不够熟悉，对本项目服务重点不够了解，得3分； 5.无或其它不得分。</w:t>
            </w:r>
          </w:p>
        </w:tc>
      </w:tr>
      <w:tr>
        <w:tc>
          <w:tcPr>
            <w:tcW w:type="dxa" w:w="922"/>
            <w:gridSpan w:val="2"/>
            <w:vMerge/>
          </w:tcPr>
          <w:p/>
        </w:tc>
        <w:tc>
          <w:tcPr>
            <w:tcW w:type="dxa" w:w="2307"/>
          </w:tcPr>
          <w:p>
            <w:pPr>
              <w:pStyle w:val="null3"/>
              <w:jc w:val="left"/>
            </w:pPr>
            <w:r>
              <w:rPr/>
              <w:t>服务方案 (15.0分)</w:t>
            </w:r>
            <w:r>
              <w:rPr/>
              <w:t>，（等次分值选择：</w:t>
            </w:r>
            <w:r>
              <w:rPr/>
              <w:t>0.0;</w:t>
            </w:r>
            <w:r>
              <w:rPr/>
              <w:t>2.0;</w:t>
            </w:r>
            <w:r>
              <w:rPr/>
              <w:t>4.0;</w:t>
            </w:r>
            <w:r>
              <w:rPr/>
              <w:t>7.0;</w:t>
            </w:r>
            <w:r>
              <w:rPr/>
              <w:t>15.0;</w:t>
            </w:r>
            <w:r>
              <w:rPr/>
              <w:t>）</w:t>
            </w:r>
          </w:p>
        </w:tc>
        <w:tc>
          <w:tcPr>
            <w:tcW w:type="dxa" w:w="5076"/>
          </w:tcPr>
          <w:p>
            <w:pPr>
              <w:pStyle w:val="null3"/>
              <w:jc w:val="left"/>
            </w:pPr>
            <w:r>
              <w:rPr/>
              <w:t>对投标人提供的服务方案进行评审，内容包括但不限于：①服务内容；②服务流程。涵盖上述所有内容且对上述各项内容描述全面、详细，可行性高，得15分；涵盖上述所有内容且对上述各项内容描述较全面、较详细，可行性较高，得7分；涵盖上述所有内容且对上述各项内容描述基本全面、基本具体，可行性一般，得4分；涵盖上述所有内容但对上述各项内容描述不够全面、不够具体，可行性低，得2分；不提供得0分。</w:t>
            </w:r>
          </w:p>
        </w:tc>
      </w:tr>
      <w:tr>
        <w:tc>
          <w:tcPr>
            <w:tcW w:type="dxa" w:w="922"/>
            <w:gridSpan w:val="2"/>
            <w:vMerge/>
          </w:tcPr>
          <w:p/>
        </w:tc>
        <w:tc>
          <w:tcPr>
            <w:tcW w:type="dxa" w:w="2307"/>
          </w:tcPr>
          <w:p>
            <w:pPr>
              <w:pStyle w:val="null3"/>
              <w:jc w:val="left"/>
            </w:pPr>
            <w:r>
              <w:rPr/>
              <w:t>药物供应使用情况及安全保证措施 (10.0分)</w:t>
            </w:r>
            <w:r>
              <w:rPr/>
              <w:t>，（等次分值选择：</w:t>
            </w:r>
            <w:r>
              <w:rPr/>
              <w:t>0.0;</w:t>
            </w:r>
            <w:r>
              <w:rPr/>
              <w:t>1.0;</w:t>
            </w:r>
            <w:r>
              <w:rPr/>
              <w:t>4.0;</w:t>
            </w:r>
            <w:r>
              <w:rPr/>
              <w:t>7.0;</w:t>
            </w:r>
            <w:r>
              <w:rPr/>
              <w:t>10.0;</w:t>
            </w:r>
            <w:r>
              <w:rPr/>
              <w:t>）</w:t>
            </w:r>
          </w:p>
        </w:tc>
        <w:tc>
          <w:tcPr>
            <w:tcW w:type="dxa" w:w="5076"/>
          </w:tcPr>
          <w:p>
            <w:pPr>
              <w:pStyle w:val="null3"/>
              <w:jc w:val="left"/>
            </w:pPr>
            <w:r>
              <w:rPr/>
              <w:t>1.根据投标人提供的药物供应使用情况及安全保证措施进行评审，内容包括但不限于：①药物供应情况②药物安全保证措施③保管规范、配备的药物情况的，得10分，不提供不得分；如未能提供药物供应情况及安全保证措施的，以下评分项均不得分；.药物供应情况及安全保证措施能完全满足且优于采购需求的得7分；能完全满足采购需求的，得4分；能部分满足采购需求的，得1分；不能满足采购需求的，不得分。</w:t>
            </w:r>
          </w:p>
        </w:tc>
      </w:tr>
      <w:tr>
        <w:tc>
          <w:tcPr>
            <w:tcW w:type="dxa" w:w="922"/>
            <w:gridSpan w:val="2"/>
            <w:vMerge/>
          </w:tcPr>
          <w:p/>
        </w:tc>
        <w:tc>
          <w:tcPr>
            <w:tcW w:type="dxa" w:w="2307"/>
          </w:tcPr>
          <w:p>
            <w:pPr>
              <w:pStyle w:val="null3"/>
              <w:jc w:val="left"/>
            </w:pPr>
            <w:r>
              <w:rPr/>
              <w:t>应急管理方案 (15.0分)</w:t>
            </w:r>
            <w:r>
              <w:rPr/>
              <w:t>，（等次分值选择：</w:t>
            </w:r>
            <w:r>
              <w:rPr/>
              <w:t>0.0;</w:t>
            </w:r>
            <w:r>
              <w:rPr/>
              <w:t>1.0;</w:t>
            </w:r>
            <w:r>
              <w:rPr/>
              <w:t>3.0;</w:t>
            </w:r>
            <w:r>
              <w:rPr/>
              <w:t>5.0;</w:t>
            </w:r>
            <w:r>
              <w:rPr/>
              <w:t>15.0;</w:t>
            </w:r>
            <w:r>
              <w:rPr/>
              <w:t>）</w:t>
            </w:r>
          </w:p>
        </w:tc>
        <w:tc>
          <w:tcPr>
            <w:tcW w:type="dxa" w:w="5076"/>
          </w:tcPr>
          <w:p>
            <w:pPr>
              <w:pStyle w:val="null3"/>
              <w:jc w:val="left"/>
            </w:pPr>
            <w:r>
              <w:rPr/>
              <w:t>对供应商提供的应急处理方案进行评审，内容包括但不限于：①传达机制；②人员和设备调配；③责任分工。涵盖上述所有内容且对上述各项内容描述全面，详细合理，可行性高，得15分；涵盖上述所有内容且对上述各项内容描述较全面，较详细、合理，可行性较高，得5分；涵盖上述所有内容且对上述各项内容描述基本全面、基本具体、合理，可行性一般，得3分；涵盖上述所有内容但对上述各项内容描述不够全面、不够具体、合理，可行性低，得1分；不提供得0分。</w:t>
            </w:r>
          </w:p>
        </w:tc>
      </w:tr>
      <w:tr>
        <w:tc>
          <w:tcPr>
            <w:tcW w:type="dxa" w:w="922"/>
            <w:gridSpan w:val="2"/>
            <w:vMerge/>
          </w:tcPr>
          <w:p/>
        </w:tc>
        <w:tc>
          <w:tcPr>
            <w:tcW w:type="dxa" w:w="2307"/>
          </w:tcPr>
          <w:p>
            <w:pPr>
              <w:pStyle w:val="null3"/>
              <w:jc w:val="left"/>
            </w:pPr>
            <w:r>
              <w:rPr/>
              <w:t>针对服务区域的其他建议 (5.0分)</w:t>
            </w:r>
            <w:r>
              <w:rPr/>
              <w:t>，（等次分值选择：</w:t>
            </w:r>
            <w:r>
              <w:rPr/>
              <w:t>0.0;</w:t>
            </w:r>
            <w:r>
              <w:rPr/>
              <w:t>1.0;</w:t>
            </w:r>
            <w:r>
              <w:rPr/>
              <w:t>3.0;</w:t>
            </w:r>
            <w:r>
              <w:rPr/>
              <w:t>5.0;</w:t>
            </w:r>
            <w:r>
              <w:rPr/>
              <w:t>）</w:t>
            </w:r>
          </w:p>
        </w:tc>
        <w:tc>
          <w:tcPr>
            <w:tcW w:type="dxa" w:w="5076"/>
          </w:tcPr>
          <w:p>
            <w:pPr>
              <w:pStyle w:val="null3"/>
              <w:jc w:val="left"/>
            </w:pPr>
            <w:r>
              <w:rPr/>
              <w:t>针对服务区域的其他建议包括人流量、居民生活习惯、建筑物、植被、公共设施特征进行详细分析，提出有利于控制本区域疫情的建议方案的，得5分；对服务区的特点分析较合理，有较详细的可行性分析和具体的实施细则，能够对实施效果进行预判，方案可行性较高且具有一定的资源利用效率，基本满足采购需求，得3分；对服务区的特点分析基本合理，有可行性分析和实施细则，基本能够对实施效果进行预判，方案具有一定的可行性，资源利用效率低，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(6.0分)</w:t>
            </w:r>
          </w:p>
        </w:tc>
        <w:tc>
          <w:tcPr>
            <w:tcW w:type="dxa" w:w="5076"/>
          </w:tcPr>
          <w:p>
            <w:pPr>
              <w:pStyle w:val="null3"/>
              <w:jc w:val="left"/>
            </w:pPr>
            <w:r>
              <w:rPr/>
              <w:t>投标人自2022年1月至今（以合同签订日期为准）曾完成或正在承接同类业绩的：每一份同类业绩得3分，最高得6分。 注：需要提供合同（或协议）的关键页（含签订合同（或协议）双方的单位名称、合同（或协议）项目名称、签订合同（或协议）双方的落款盖章、签订日期）复印件，合同关键页内容须完整清晰，不清晰或未按要求提供不得分。</w:t>
            </w:r>
          </w:p>
        </w:tc>
      </w:tr>
      <w:tr>
        <w:tc>
          <w:tcPr>
            <w:tcW w:type="dxa" w:w="922"/>
            <w:gridSpan w:val="2"/>
            <w:vMerge/>
          </w:tcPr>
          <w:p/>
        </w:tc>
        <w:tc>
          <w:tcPr>
            <w:tcW w:type="dxa" w:w="2307"/>
          </w:tcPr>
          <w:p>
            <w:pPr>
              <w:pStyle w:val="null3"/>
              <w:jc w:val="left"/>
            </w:pPr>
            <w:r>
              <w:rPr/>
              <w:t>用户满意度评价 (7.0分)</w:t>
            </w:r>
          </w:p>
        </w:tc>
        <w:tc>
          <w:tcPr>
            <w:tcW w:type="dxa" w:w="5076"/>
          </w:tcPr>
          <w:p>
            <w:pPr>
              <w:pStyle w:val="null3"/>
              <w:jc w:val="left"/>
            </w:pPr>
            <w:r>
              <w:rPr/>
              <w:t>供应商提供符合上述要求的同类项目业绩的用户单位出具的满意度评价，评价情况至少为“满意或优秀或90分以上等类似好评的”方可计分，每提供一项得3.5分，最高7分。 注：评价证明材料须与供应商上述提供的2022年1月1日至今的同类项目业绩的用户单位一致，用户满意度评价须经用户单位盖章。</w:t>
            </w:r>
          </w:p>
        </w:tc>
      </w:tr>
      <w:tr>
        <w:tc>
          <w:tcPr>
            <w:tcW w:type="dxa" w:w="922"/>
            <w:gridSpan w:val="2"/>
            <w:vMerge/>
          </w:tcPr>
          <w:p/>
        </w:tc>
        <w:tc>
          <w:tcPr>
            <w:tcW w:type="dxa" w:w="2307"/>
          </w:tcPr>
          <w:p>
            <w:pPr>
              <w:pStyle w:val="null3"/>
              <w:jc w:val="left"/>
            </w:pPr>
            <w:r>
              <w:rPr/>
              <w:t>拟投入本项目团队人员 (10.0分)</w:t>
            </w:r>
          </w:p>
        </w:tc>
        <w:tc>
          <w:tcPr>
            <w:tcW w:type="dxa" w:w="5076"/>
          </w:tcPr>
          <w:p>
            <w:pPr>
              <w:pStyle w:val="null3"/>
              <w:jc w:val="left"/>
            </w:pPr>
            <w:r>
              <w:rPr/>
              <w:t>拟投入本项目团队人员中具备有害生物防制员初级（五级）职业资格证书（技能等级证书）每个得0.5分,； 具备有害生物防制员中级（四级）职业资格证书（技能等级证书）每个得1分； 具备有害生物防制员高级（三级）（或以上）职业资格证书（技能等级证书）的，每个得2分。 可累计得分，本项最高得10分。 注：提供人员身份证及有害生物防制员相关证书， 提供响应文件截止日之前三个月任意一个月的《投保单》或《社会保险参保人员证明》（须加盖政府有关部门印章）或单位代缴个人所得税税单。同一个人具有多个证书，不重复计分，以证书级别最高的计分。</w:t>
            </w:r>
          </w:p>
        </w:tc>
      </w:tr>
      <w:tr>
        <w:tc>
          <w:tcPr>
            <w:tcW w:type="dxa" w:w="922"/>
            <w:gridSpan w:val="2"/>
            <w:vMerge/>
          </w:tcPr>
          <w:p/>
        </w:tc>
        <w:tc>
          <w:tcPr>
            <w:tcW w:type="dxa" w:w="2307"/>
          </w:tcPr>
          <w:p>
            <w:pPr>
              <w:pStyle w:val="null3"/>
              <w:jc w:val="left"/>
            </w:pPr>
            <w:r>
              <w:rPr/>
              <w:t>对非重大违法违规记录的扣分 (7.0分)</w:t>
            </w:r>
          </w:p>
        </w:tc>
        <w:tc>
          <w:tcPr>
            <w:tcW w:type="dxa" w:w="5076"/>
          </w:tcPr>
          <w:p>
            <w:pPr>
              <w:pStyle w:val="null3"/>
              <w:jc w:val="left"/>
            </w:pPr>
            <w:r>
              <w:rPr/>
              <w:t>以“信用中国”（www.creditchina.gov.cn）网站为查询渠道： 对列入行政处罚或失信惩戒的投标人每一条记录扣1分。以上合计最高扣7分。如查询结果显示没有相关记录，视为没有上述非重大违法违规记录，则不扣分。以评标委员会于评审时在上述网站查询结果为准，评标委员会应将上述记录查询情况截图存档。</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0"/>
          <w:b/>
        </w:rPr>
        <w:t>甲    方：</w:t>
      </w:r>
      <w:r>
        <w:rPr>
          <w:sz w:val="20"/>
          <w:b/>
          <w:u w:val="single"/>
        </w:rPr>
        <w:t xml:space="preserve">                     </w:t>
      </w:r>
    </w:p>
    <w:p>
      <w:pPr>
        <w:pStyle w:val="null3"/>
        <w:jc w:val="both"/>
      </w:pPr>
      <w:r>
        <w:rPr>
          <w:sz w:val="20"/>
          <w:b/>
        </w:rPr>
        <w:t>乙    方：</w:t>
      </w:r>
      <w:r>
        <w:rPr>
          <w:sz w:val="20"/>
          <w:b/>
          <w:u w:val="single"/>
        </w:rPr>
        <w:t xml:space="preserve">                     </w:t>
      </w:r>
    </w:p>
    <w:p>
      <w:pPr>
        <w:pStyle w:val="null3"/>
        <w:jc w:val="both"/>
      </w:pPr>
      <w:r>
        <w:rPr>
          <w:sz w:val="20"/>
        </w:rPr>
        <w:t>根据《中华人民共和国民法典》等法律法规的规定，甲乙双方按照</w:t>
      </w:r>
      <w:r>
        <w:rPr>
          <w:sz w:val="20"/>
          <w:u w:val="single"/>
        </w:rPr>
        <w:t>广州市花都区人民政府新华街道办事处登革热应急灭蚊消杀服务项目（【项目编号：ZX05140124MZCZ】）</w:t>
      </w:r>
      <w:r>
        <w:rPr>
          <w:sz w:val="20"/>
        </w:rPr>
        <w:t>采购结果签订本合同。</w:t>
      </w:r>
    </w:p>
    <w:p>
      <w:pPr>
        <w:pStyle w:val="null3"/>
        <w:jc w:val="both"/>
      </w:pPr>
      <w:r>
        <w:rPr>
          <w:sz w:val="20"/>
          <w:b/>
        </w:rPr>
        <w:t>一、合同金额</w:t>
      </w:r>
    </w:p>
    <w:p>
      <w:pPr>
        <w:pStyle w:val="null3"/>
        <w:ind w:firstLine="400"/>
        <w:jc w:val="both"/>
      </w:pPr>
      <w:r>
        <w:rPr>
          <w:sz w:val="20"/>
        </w:rPr>
        <w:t>合同金额为（大写）：_____________元（￥_________元）人民币。</w:t>
      </w:r>
    </w:p>
    <w:p>
      <w:pPr>
        <w:pStyle w:val="null3"/>
        <w:jc w:val="both"/>
      </w:pPr>
      <w:r>
        <w:rPr>
          <w:sz w:val="20"/>
          <w:b/>
        </w:rPr>
        <w:t>二、服务范围</w:t>
      </w:r>
    </w:p>
    <w:p>
      <w:pPr>
        <w:pStyle w:val="null3"/>
        <w:ind w:firstLine="400"/>
        <w:jc w:val="both"/>
      </w:pPr>
      <w:r>
        <w:rPr>
          <w:sz w:val="20"/>
        </w:rPr>
        <w:t>甲方聘请乙方提供以下服务：</w:t>
      </w:r>
    </w:p>
    <w:p>
      <w:pPr>
        <w:pStyle w:val="null3"/>
        <w:ind w:firstLine="400"/>
        <w:jc w:val="both"/>
      </w:pPr>
      <w:r>
        <w:rPr>
          <w:sz w:val="20"/>
        </w:rPr>
        <w:t>1</w:t>
      </w:r>
      <w:r>
        <w:rPr>
          <w:sz w:val="20"/>
        </w:rPr>
        <w:t>．</w:t>
      </w:r>
      <w:r>
        <w:rPr>
          <w:sz w:val="20"/>
          <w:u w:val="single"/>
        </w:rPr>
        <w:t xml:space="preserve">                    </w:t>
      </w:r>
      <w:r>
        <w:rPr>
          <w:sz w:val="20"/>
        </w:rPr>
        <w:t>。</w:t>
      </w:r>
    </w:p>
    <w:p>
      <w:pPr>
        <w:pStyle w:val="null3"/>
        <w:ind w:firstLine="400"/>
        <w:jc w:val="both"/>
      </w:pPr>
      <w:r>
        <w:rPr>
          <w:sz w:val="20"/>
        </w:rPr>
        <w:t>2</w:t>
      </w:r>
      <w:r>
        <w:rPr>
          <w:sz w:val="20"/>
        </w:rPr>
        <w:t>．</w:t>
      </w:r>
      <w:r>
        <w:rPr>
          <w:sz w:val="20"/>
          <w:u w:val="single"/>
        </w:rPr>
        <w:t xml:space="preserve">                    </w:t>
      </w:r>
      <w:r>
        <w:rPr>
          <w:sz w:val="20"/>
        </w:rPr>
        <w:t>。</w:t>
      </w:r>
    </w:p>
    <w:p>
      <w:pPr>
        <w:pStyle w:val="null3"/>
        <w:ind w:firstLine="400"/>
        <w:jc w:val="both"/>
      </w:pPr>
      <w:r>
        <w:rPr>
          <w:sz w:val="20"/>
        </w:rPr>
        <w:t>……</w:t>
      </w:r>
    </w:p>
    <w:p>
      <w:pPr>
        <w:pStyle w:val="null3"/>
        <w:jc w:val="both"/>
      </w:pPr>
      <w:r>
        <w:rPr>
          <w:sz w:val="20"/>
          <w:b/>
        </w:rPr>
        <w:t>三、甲方乙方的权利和义务</w:t>
      </w:r>
    </w:p>
    <w:p>
      <w:pPr>
        <w:pStyle w:val="null3"/>
        <w:ind w:firstLine="400"/>
        <w:jc w:val="both"/>
      </w:pPr>
      <w:r>
        <w:rPr>
          <w:sz w:val="20"/>
        </w:rPr>
        <w:t>1.</w:t>
      </w:r>
      <w:r>
        <w:rPr>
          <w:sz w:val="20"/>
        </w:rPr>
        <w:t>甲方的权利和义务</w:t>
      </w:r>
    </w:p>
    <w:p>
      <w:pPr>
        <w:pStyle w:val="null3"/>
        <w:ind w:firstLine="400"/>
        <w:jc w:val="both"/>
      </w:pPr>
      <w:r>
        <w:rPr>
          <w:sz w:val="20"/>
        </w:rPr>
        <w:t>……</w:t>
      </w:r>
    </w:p>
    <w:p>
      <w:pPr>
        <w:pStyle w:val="null3"/>
        <w:ind w:firstLine="400"/>
        <w:jc w:val="both"/>
      </w:pPr>
      <w:r>
        <w:rPr>
          <w:sz w:val="20"/>
        </w:rPr>
        <w:t>2.</w:t>
      </w:r>
      <w:r>
        <w:rPr>
          <w:sz w:val="20"/>
        </w:rPr>
        <w:t>乙方的权利和义务</w:t>
      </w:r>
    </w:p>
    <w:p>
      <w:pPr>
        <w:pStyle w:val="null3"/>
        <w:ind w:firstLine="400"/>
        <w:jc w:val="both"/>
      </w:pPr>
      <w:r>
        <w:rPr>
          <w:sz w:val="20"/>
        </w:rPr>
        <w:t>……</w:t>
      </w:r>
    </w:p>
    <w:p>
      <w:pPr>
        <w:pStyle w:val="null3"/>
        <w:jc w:val="both"/>
      </w:pPr>
      <w:r>
        <w:rPr>
          <w:sz w:val="20"/>
          <w:b/>
        </w:rPr>
        <w:t>四、服务期限及服务地点</w:t>
      </w:r>
    </w:p>
    <w:p>
      <w:pPr>
        <w:pStyle w:val="null3"/>
        <w:ind w:firstLine="400"/>
        <w:jc w:val="both"/>
      </w:pPr>
      <w:r>
        <w:rPr>
          <w:sz w:val="20"/>
        </w:rPr>
        <w:t>详见《采购需求》</w:t>
      </w:r>
    </w:p>
    <w:p>
      <w:pPr>
        <w:pStyle w:val="null3"/>
        <w:jc w:val="both"/>
      </w:pPr>
      <w:r>
        <w:rPr>
          <w:sz w:val="20"/>
          <w:b/>
        </w:rPr>
        <w:t>五、付款方式</w:t>
      </w:r>
    </w:p>
    <w:p>
      <w:pPr>
        <w:pStyle w:val="null3"/>
        <w:ind w:firstLine="400"/>
        <w:jc w:val="both"/>
      </w:pPr>
      <w:r>
        <w:rPr>
          <w:sz w:val="20"/>
        </w:rPr>
        <w:t>详见《采购需求》</w:t>
      </w:r>
    </w:p>
    <w:p>
      <w:pPr>
        <w:pStyle w:val="null3"/>
        <w:jc w:val="both"/>
      </w:pPr>
      <w:r>
        <w:rPr>
          <w:sz w:val="20"/>
          <w:b/>
        </w:rPr>
        <w:t>六、验收要求</w:t>
      </w:r>
    </w:p>
    <w:p>
      <w:pPr>
        <w:pStyle w:val="null3"/>
        <w:ind w:firstLine="400"/>
        <w:jc w:val="both"/>
      </w:pPr>
      <w:r>
        <w:rPr>
          <w:sz w:val="20"/>
        </w:rPr>
        <w:t>详见《采购需求》</w:t>
      </w:r>
    </w:p>
    <w:p>
      <w:pPr>
        <w:pStyle w:val="null3"/>
        <w:jc w:val="both"/>
      </w:pPr>
      <w:r>
        <w:rPr>
          <w:sz w:val="20"/>
          <w:b/>
        </w:rPr>
        <w:t>七、履约保证金</w:t>
      </w:r>
    </w:p>
    <w:p>
      <w:pPr>
        <w:pStyle w:val="null3"/>
        <w:ind w:firstLine="400"/>
        <w:jc w:val="both"/>
      </w:pPr>
      <w:r>
        <w:rPr>
          <w:sz w:val="20"/>
        </w:rPr>
        <w:t>详见《采购需求》</w:t>
      </w:r>
    </w:p>
    <w:p>
      <w:pPr>
        <w:pStyle w:val="null3"/>
        <w:jc w:val="both"/>
      </w:pPr>
      <w:r>
        <w:rPr>
          <w:sz w:val="20"/>
          <w:b/>
        </w:rPr>
        <w:t>八、保密</w:t>
      </w:r>
    </w:p>
    <w:p>
      <w:pPr>
        <w:pStyle w:val="null3"/>
        <w:ind w:firstLine="400"/>
        <w:jc w:val="both"/>
      </w:pPr>
      <w:r>
        <w:rPr>
          <w:sz w:val="20"/>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00"/>
        <w:jc w:val="both"/>
      </w:pPr>
      <w:r>
        <w:rPr>
          <w:sz w:val="20"/>
        </w:rPr>
        <w:t>1</w:t>
      </w:r>
      <w:r>
        <w:rPr>
          <w:sz w:val="20"/>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00"/>
        <w:jc w:val="both"/>
      </w:pPr>
      <w:r>
        <w:rPr>
          <w:sz w:val="20"/>
        </w:rPr>
        <w:t>2</w:t>
      </w:r>
      <w:r>
        <w:rPr>
          <w:sz w:val="20"/>
        </w:rPr>
        <w:t>）除了合同本身之外，上款所列举的任何物件均是乙方的财产。如果乙方有要求，甲方在完成合同后应将这些物件及全部复制件还给乙方。</w:t>
      </w:r>
    </w:p>
    <w:p>
      <w:pPr>
        <w:pStyle w:val="null3"/>
        <w:jc w:val="both"/>
      </w:pPr>
      <w:r>
        <w:rPr>
          <w:sz w:val="20"/>
          <w:b/>
        </w:rPr>
        <w:t>九、违约责任与赔偿损失</w:t>
      </w:r>
    </w:p>
    <w:p>
      <w:pPr>
        <w:pStyle w:val="null3"/>
        <w:ind w:firstLine="400"/>
        <w:jc w:val="both"/>
      </w:pPr>
      <w:r>
        <w:rPr>
          <w:sz w:val="20"/>
        </w:rPr>
        <w:t xml:space="preserve">1. </w:t>
      </w:r>
      <w:r>
        <w:rPr>
          <w:sz w:val="20"/>
        </w:rPr>
        <w:t>详见《采购需求》</w:t>
      </w:r>
    </w:p>
    <w:p>
      <w:pPr>
        <w:pStyle w:val="null3"/>
        <w:ind w:firstLine="400"/>
        <w:jc w:val="both"/>
      </w:pPr>
      <w:r>
        <w:rPr>
          <w:sz w:val="20"/>
        </w:rPr>
        <w:t>2.</w:t>
      </w:r>
      <w:r>
        <w:rPr>
          <w:sz w:val="20"/>
        </w:rPr>
        <w:t>其它违约责任按《中华人民共和国民法典(合同编)》处理。</w:t>
      </w:r>
    </w:p>
    <w:p>
      <w:pPr>
        <w:pStyle w:val="null3"/>
        <w:jc w:val="both"/>
      </w:pPr>
      <w:r>
        <w:rPr>
          <w:sz w:val="20"/>
          <w:b/>
        </w:rPr>
        <w:t>十、争议的解决</w:t>
      </w:r>
    </w:p>
    <w:p>
      <w:pPr>
        <w:pStyle w:val="null3"/>
        <w:ind w:firstLine="400"/>
        <w:jc w:val="both"/>
      </w:pPr>
      <w:r>
        <w:rPr>
          <w:sz w:val="20"/>
        </w:rPr>
        <w:t xml:space="preserve">合同执行过程中发生的任何争议，如双方不能通过友好协商解决，按相关法律法规处理。     </w:t>
      </w:r>
    </w:p>
    <w:p>
      <w:pPr>
        <w:pStyle w:val="null3"/>
        <w:jc w:val="both"/>
      </w:pPr>
      <w:r>
        <w:rPr>
          <w:sz w:val="20"/>
          <w:b/>
        </w:rPr>
        <w:t>十一、不可抗力</w:t>
      </w:r>
    </w:p>
    <w:p>
      <w:pPr>
        <w:pStyle w:val="null3"/>
        <w:ind w:firstLine="400"/>
        <w:jc w:val="both"/>
      </w:pPr>
      <w:r>
        <w:rPr>
          <w:sz w:val="20"/>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十二、税费</w:t>
      </w:r>
    </w:p>
    <w:p>
      <w:pPr>
        <w:pStyle w:val="null3"/>
        <w:ind w:firstLine="400"/>
        <w:jc w:val="both"/>
      </w:pPr>
      <w:r>
        <w:rPr>
          <w:sz w:val="20"/>
        </w:rPr>
        <w:t>在中国境内、外发生的与本合同执行有关的一切税费均由乙方负担。</w:t>
      </w:r>
    </w:p>
    <w:p>
      <w:pPr>
        <w:pStyle w:val="null3"/>
        <w:jc w:val="both"/>
      </w:pPr>
      <w:r>
        <w:rPr>
          <w:sz w:val="20"/>
          <w:b/>
        </w:rPr>
        <w:t>十三、其它</w:t>
      </w:r>
    </w:p>
    <w:p>
      <w:pPr>
        <w:pStyle w:val="null3"/>
        <w:ind w:firstLine="400"/>
        <w:jc w:val="both"/>
      </w:pPr>
      <w:r>
        <w:rPr>
          <w:sz w:val="20"/>
        </w:rPr>
        <w:t>1.</w:t>
      </w:r>
      <w:r>
        <w:rPr>
          <w:sz w:val="20"/>
        </w:rPr>
        <w:t>本合同所有附件、招标（磋商）文件、投标（响应）文件、中标（成交）通知书均为合同的有效组成部分，与本合同具有同等法律效力。</w:t>
      </w:r>
    </w:p>
    <w:p>
      <w:pPr>
        <w:pStyle w:val="null3"/>
        <w:ind w:firstLine="400"/>
        <w:jc w:val="both"/>
      </w:pPr>
      <w:r>
        <w:rPr>
          <w:sz w:val="20"/>
        </w:rPr>
        <w:t>2.</w:t>
      </w:r>
      <w:r>
        <w:rPr>
          <w:sz w:val="20"/>
        </w:rPr>
        <w:t>在执行本合同的过程中，所有经双方签署确认的文件（包括会议纪要、补充协议、往来信函）即成为本合同的有效组成部分。</w:t>
      </w:r>
    </w:p>
    <w:p>
      <w:pPr>
        <w:pStyle w:val="null3"/>
        <w:ind w:firstLine="400"/>
        <w:jc w:val="both"/>
      </w:pPr>
      <w:r>
        <w:rPr>
          <w:sz w:val="20"/>
        </w:rPr>
        <w:t>3.</w:t>
      </w:r>
      <w:r>
        <w:rPr>
          <w:sz w:val="20"/>
        </w:rPr>
        <w:t>如一方地址、电话、传真号码有变更，应在变更当日内书面通知对方，否则，应承担相应责任。</w:t>
      </w:r>
    </w:p>
    <w:p>
      <w:pPr>
        <w:pStyle w:val="null3"/>
        <w:ind w:firstLine="400"/>
        <w:jc w:val="both"/>
      </w:pPr>
      <w:r>
        <w:rPr>
          <w:sz w:val="20"/>
        </w:rPr>
        <w:t>4.</w:t>
      </w:r>
      <w:r>
        <w:rPr>
          <w:sz w:val="20"/>
        </w:rPr>
        <w:t>除甲方事先书面同意外，乙方不得部分或全部转让其应履行的合同项下的义务。</w:t>
      </w:r>
    </w:p>
    <w:p>
      <w:pPr>
        <w:pStyle w:val="null3"/>
        <w:ind w:firstLine="400"/>
        <w:jc w:val="both"/>
      </w:pPr>
      <w:r>
        <w:rPr>
          <w:sz w:val="20"/>
        </w:rPr>
        <w:t>5.</w:t>
      </w:r>
      <w:r>
        <w:rPr>
          <w:sz w:val="20"/>
        </w:rPr>
        <w:t>本合同依据中华人民共和国现行法律、法规和规章进行解释。</w:t>
      </w:r>
    </w:p>
    <w:p>
      <w:pPr>
        <w:pStyle w:val="null3"/>
        <w:ind w:firstLine="400"/>
        <w:jc w:val="both"/>
      </w:pPr>
      <w:r>
        <w:rPr>
          <w:sz w:val="20"/>
        </w:rPr>
        <w:t>6.</w:t>
      </w:r>
      <w:r>
        <w:rPr>
          <w:sz w:val="20"/>
        </w:rPr>
        <w:t>本合同未尽事宜，经双方协商可以签订补充合同。补充合同享有与本合同同等法律效力。</w:t>
      </w:r>
    </w:p>
    <w:p>
      <w:pPr>
        <w:pStyle w:val="null3"/>
        <w:jc w:val="both"/>
      </w:pPr>
      <w:r>
        <w:rPr>
          <w:sz w:val="20"/>
          <w:b/>
        </w:rPr>
        <w:t>十四、合同生效</w:t>
      </w:r>
    </w:p>
    <w:p>
      <w:pPr>
        <w:pStyle w:val="null3"/>
        <w:ind w:firstLine="400"/>
        <w:jc w:val="both"/>
      </w:pPr>
      <w:r>
        <w:rPr>
          <w:sz w:val="20"/>
        </w:rPr>
        <w:t>1</w:t>
      </w:r>
      <w:r>
        <w:rPr>
          <w:sz w:val="20"/>
        </w:rPr>
        <w:t xml:space="preserve">．本合同自双方签字盖章之日生效。   </w:t>
      </w:r>
    </w:p>
    <w:p>
      <w:pPr>
        <w:pStyle w:val="null3"/>
        <w:ind w:firstLine="400"/>
        <w:jc w:val="both"/>
      </w:pPr>
      <w:r>
        <w:rPr>
          <w:sz w:val="20"/>
        </w:rPr>
        <w:t>2</w:t>
      </w:r>
      <w:r>
        <w:rPr>
          <w:sz w:val="20"/>
        </w:rPr>
        <w:t>．本合同壹式_</w:t>
      </w:r>
      <w:r>
        <w:rPr>
          <w:sz w:val="20"/>
          <w:u w:val="single"/>
        </w:rPr>
        <w:t>伍</w:t>
      </w:r>
      <w:r>
        <w:rPr>
          <w:sz w:val="20"/>
        </w:rPr>
        <w:t>_份，甲乙双方各执_</w:t>
      </w:r>
      <w:r>
        <w:rPr>
          <w:sz w:val="20"/>
          <w:u w:val="single"/>
        </w:rPr>
        <w:t>贰</w:t>
      </w:r>
      <w:r>
        <w:rPr>
          <w:sz w:val="20"/>
        </w:rPr>
        <w:t>_份，采购代理机构_壹_份</w:t>
      </w:r>
    </w:p>
    <w:p>
      <w:pPr>
        <w:pStyle w:val="null3"/>
        <w:ind w:firstLine="400"/>
        <w:jc w:val="both"/>
      </w:pPr>
      <w:r>
        <w:rPr>
          <w:sz w:val="20"/>
        </w:rPr>
        <w:t>3</w:t>
      </w:r>
      <w:r>
        <w:rPr>
          <w:sz w:val="20"/>
        </w:rPr>
        <w:t>．如一方地址、电话、传真号码有变更，应在变更当日内书面通知对方，否则，应承担相应责任。</w:t>
      </w:r>
    </w:p>
    <w:p>
      <w:pPr>
        <w:pStyle w:val="null3"/>
        <w:ind w:firstLine="400"/>
        <w:jc w:val="both"/>
      </w:pPr>
      <w:r>
        <w:rPr>
          <w:sz w:val="20"/>
        </w:rPr>
        <w:t xml:space="preserve">4. </w:t>
      </w:r>
      <w:r>
        <w:rPr>
          <w:sz w:val="20"/>
        </w:rPr>
        <w:t>本合同应按照中华人民共和国的现行法律进行解释。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Mar>
              <w:top w:type="dxa" w:w="0"/>
              <w:left w:type="dxa" w:w="105"/>
              <w:bottom w:type="dxa" w:w="0"/>
              <w:right w:type="dxa" w:w="105"/>
            </w:tcMar>
          </w:tcPr>
          <w:p>
            <w:pPr>
              <w:pStyle w:val="null3"/>
              <w:jc w:val="both"/>
            </w:pPr>
            <w:r>
              <w:rPr>
                <w:sz w:val="20"/>
                <w:color w:val="000000"/>
                <w:shd w:fill="FFFFFF" w:val="clear"/>
              </w:rPr>
              <w:t>甲方（盖章）：______________</w:t>
            </w:r>
          </w:p>
        </w:tc>
        <w:tc>
          <w:tcPr>
            <w:tcW w:type="dxa" w:w="4153"/>
            <w:tcMar>
              <w:top w:type="dxa" w:w="0"/>
              <w:left w:type="dxa" w:w="105"/>
              <w:bottom w:type="dxa" w:w="0"/>
              <w:right w:type="dxa" w:w="105"/>
            </w:tcMar>
          </w:tcPr>
          <w:p>
            <w:pPr>
              <w:pStyle w:val="null3"/>
              <w:jc w:val="both"/>
            </w:pPr>
            <w:r>
              <w:rPr>
                <w:sz w:val="20"/>
                <w:color w:val="000000"/>
                <w:shd w:fill="FFFFFF" w:val="clear"/>
              </w:rPr>
              <w:t>乙方（盖章）：______________</w:t>
            </w:r>
          </w:p>
        </w:tc>
      </w:tr>
      <w:tr>
        <w:tc>
          <w:tcPr>
            <w:tcW w:type="dxa" w:w="4153"/>
            <w:tcMar>
              <w:top w:type="dxa" w:w="0"/>
              <w:left w:type="dxa" w:w="105"/>
              <w:bottom w:type="dxa" w:w="0"/>
              <w:right w:type="dxa" w:w="105"/>
            </w:tcMar>
          </w:tcPr>
          <w:p>
            <w:pPr>
              <w:pStyle w:val="null3"/>
              <w:jc w:val="both"/>
            </w:pPr>
            <w:r>
              <w:rPr>
                <w:sz w:val="20"/>
                <w:color w:val="000000"/>
                <w:shd w:fill="FFFFFF" w:val="clear"/>
              </w:rPr>
              <w:t>法定代表人：__________________________</w:t>
            </w:r>
          </w:p>
        </w:tc>
        <w:tc>
          <w:tcPr>
            <w:tcW w:type="dxa" w:w="4153"/>
            <w:tcMar>
              <w:top w:type="dxa" w:w="0"/>
              <w:left w:type="dxa" w:w="105"/>
              <w:bottom w:type="dxa" w:w="0"/>
              <w:right w:type="dxa" w:w="105"/>
            </w:tcMar>
          </w:tcPr>
          <w:p>
            <w:pPr>
              <w:pStyle w:val="null3"/>
              <w:jc w:val="both"/>
            </w:pPr>
            <w:r>
              <w:rPr>
                <w:sz w:val="20"/>
                <w:color w:val="000000"/>
                <w:shd w:fill="FFFFFF" w:val="clear"/>
              </w:rPr>
              <w:t>法定代表人：__________________________</w:t>
            </w:r>
          </w:p>
        </w:tc>
      </w:tr>
      <w:tr>
        <w:tc>
          <w:tcPr>
            <w:tcW w:type="dxa" w:w="4153"/>
            <w:tcMar>
              <w:top w:type="dxa" w:w="0"/>
              <w:left w:type="dxa" w:w="105"/>
              <w:bottom w:type="dxa" w:w="0"/>
              <w:right w:type="dxa" w:w="105"/>
            </w:tcMar>
          </w:tcPr>
          <w:p>
            <w:pPr>
              <w:pStyle w:val="null3"/>
              <w:jc w:val="both"/>
            </w:pPr>
            <w:r>
              <w:rPr>
                <w:sz w:val="20"/>
                <w:color w:val="000000"/>
                <w:shd w:fill="FFFFFF" w:val="clear"/>
              </w:rPr>
              <w:t>委托代理人：__________________________</w:t>
            </w:r>
          </w:p>
        </w:tc>
        <w:tc>
          <w:tcPr>
            <w:tcW w:type="dxa" w:w="4153"/>
            <w:tcMar>
              <w:top w:type="dxa" w:w="0"/>
              <w:left w:type="dxa" w:w="105"/>
              <w:bottom w:type="dxa" w:w="0"/>
              <w:right w:type="dxa" w:w="105"/>
            </w:tcMar>
          </w:tcPr>
          <w:p>
            <w:pPr>
              <w:pStyle w:val="null3"/>
              <w:jc w:val="both"/>
            </w:pPr>
            <w:r>
              <w:rPr>
                <w:sz w:val="20"/>
                <w:color w:val="000000"/>
                <w:shd w:fill="FFFFFF" w:val="clear"/>
              </w:rPr>
              <w:t>委托代理人：__________________________</w:t>
            </w:r>
          </w:p>
        </w:tc>
      </w:tr>
      <w:tr>
        <w:tc>
          <w:tcPr>
            <w:tcW w:type="dxa" w:w="4153"/>
            <w:tcMar>
              <w:top w:type="dxa" w:w="0"/>
              <w:left w:type="dxa" w:w="105"/>
              <w:bottom w:type="dxa" w:w="0"/>
              <w:right w:type="dxa" w:w="105"/>
            </w:tcMar>
          </w:tcPr>
          <w:p>
            <w:pPr>
              <w:pStyle w:val="null3"/>
              <w:jc w:val="both"/>
            </w:pPr>
            <w:r>
              <w:rPr>
                <w:sz w:val="20"/>
                <w:color w:val="000000"/>
                <w:shd w:fill="FFFFFF" w:val="clear"/>
              </w:rPr>
              <w:t>电话：________________________________</w:t>
            </w:r>
          </w:p>
        </w:tc>
        <w:tc>
          <w:tcPr>
            <w:tcW w:type="dxa" w:w="4153"/>
            <w:tcMar>
              <w:top w:type="dxa" w:w="0"/>
              <w:left w:type="dxa" w:w="105"/>
              <w:bottom w:type="dxa" w:w="0"/>
              <w:right w:type="dxa" w:w="105"/>
            </w:tcMar>
          </w:tcPr>
          <w:p>
            <w:pPr>
              <w:pStyle w:val="null3"/>
              <w:jc w:val="both"/>
            </w:pPr>
            <w:r>
              <w:rPr>
                <w:sz w:val="20"/>
                <w:color w:val="000000"/>
                <w:shd w:fill="FFFFFF" w:val="clear"/>
              </w:rPr>
              <w:t>电话：________________________________</w:t>
            </w:r>
          </w:p>
        </w:tc>
      </w:tr>
      <w:tr>
        <w:tc>
          <w:tcPr>
            <w:tcW w:type="dxa" w:w="4153"/>
            <w:tcMar>
              <w:top w:type="dxa" w:w="0"/>
              <w:left w:type="dxa" w:w="105"/>
              <w:bottom w:type="dxa" w:w="0"/>
              <w:right w:type="dxa" w:w="105"/>
            </w:tcMar>
          </w:tcPr>
          <w:p>
            <w:pPr>
              <w:pStyle w:val="null3"/>
              <w:jc w:val="both"/>
            </w:pPr>
            <w:r>
              <w:rPr>
                <w:sz w:val="20"/>
                <w:color w:val="000000"/>
                <w:shd w:fill="FFFFFF" w:val="clear"/>
              </w:rPr>
              <w:t>开户银行：____________________________</w:t>
            </w:r>
          </w:p>
        </w:tc>
        <w:tc>
          <w:tcPr>
            <w:tcW w:type="dxa" w:w="4153"/>
            <w:tcMar>
              <w:top w:type="dxa" w:w="0"/>
              <w:left w:type="dxa" w:w="105"/>
              <w:bottom w:type="dxa" w:w="0"/>
              <w:right w:type="dxa" w:w="105"/>
            </w:tcMar>
          </w:tcPr>
          <w:p>
            <w:pPr>
              <w:pStyle w:val="null3"/>
              <w:jc w:val="both"/>
            </w:pPr>
            <w:r>
              <w:rPr>
                <w:sz w:val="20"/>
                <w:color w:val="000000"/>
                <w:shd w:fill="FFFFFF" w:val="clear"/>
              </w:rPr>
              <w:t>开户银行：____________________________</w:t>
            </w:r>
          </w:p>
        </w:tc>
      </w:tr>
      <w:tr>
        <w:tc>
          <w:tcPr>
            <w:tcW w:type="dxa" w:w="4153"/>
            <w:tcMar>
              <w:top w:type="dxa" w:w="0"/>
              <w:left w:type="dxa" w:w="105"/>
              <w:bottom w:type="dxa" w:w="0"/>
              <w:right w:type="dxa" w:w="105"/>
            </w:tcMar>
          </w:tcPr>
          <w:p>
            <w:pPr>
              <w:pStyle w:val="null3"/>
              <w:jc w:val="both"/>
            </w:pPr>
            <w:r>
              <w:rPr>
                <w:sz w:val="20"/>
                <w:color w:val="000000"/>
                <w:shd w:fill="FFFFFF" w:val="clear"/>
              </w:rPr>
              <w:t>帐号：________________________________</w:t>
            </w:r>
          </w:p>
        </w:tc>
        <w:tc>
          <w:tcPr>
            <w:tcW w:type="dxa" w:w="4153"/>
            <w:tcMar>
              <w:top w:type="dxa" w:w="0"/>
              <w:left w:type="dxa" w:w="105"/>
              <w:bottom w:type="dxa" w:w="0"/>
              <w:right w:type="dxa" w:w="105"/>
            </w:tcMar>
          </w:tcPr>
          <w:p>
            <w:pPr>
              <w:pStyle w:val="null3"/>
              <w:jc w:val="both"/>
            </w:pPr>
            <w:r>
              <w:rPr>
                <w:sz w:val="20"/>
                <w:color w:val="000000"/>
                <w:shd w:fill="FFFFFF" w:val="clear"/>
              </w:rPr>
              <w:t>帐号：________________________________</w:t>
            </w:r>
          </w:p>
        </w:tc>
      </w:tr>
      <w:tr>
        <w:tc>
          <w:tcPr>
            <w:tcW w:type="dxa" w:w="4153"/>
            <w:tcMar>
              <w:top w:type="dxa" w:w="0"/>
              <w:left w:type="dxa" w:w="105"/>
              <w:bottom w:type="dxa" w:w="0"/>
              <w:right w:type="dxa" w:w="105"/>
            </w:tcMar>
          </w:tcPr>
          <w:p>
            <w:pPr>
              <w:pStyle w:val="null3"/>
              <w:jc w:val="both"/>
            </w:pPr>
            <w:r>
              <w:rPr>
                <w:sz w:val="20"/>
                <w:color w:val="000000"/>
                <w:shd w:fill="FFFFFF" w:val="clear"/>
              </w:rPr>
              <w:t>单位地址：____________________________</w:t>
            </w:r>
          </w:p>
        </w:tc>
        <w:tc>
          <w:tcPr>
            <w:tcW w:type="dxa" w:w="4153"/>
            <w:tcMar>
              <w:top w:type="dxa" w:w="0"/>
              <w:left w:type="dxa" w:w="105"/>
              <w:bottom w:type="dxa" w:w="0"/>
              <w:right w:type="dxa" w:w="105"/>
            </w:tcMar>
          </w:tcPr>
          <w:p>
            <w:pPr>
              <w:pStyle w:val="null3"/>
              <w:jc w:val="both"/>
            </w:pPr>
            <w:r>
              <w:rPr>
                <w:sz w:val="20"/>
                <w:color w:val="000000"/>
                <w:shd w:fill="FFFFFF" w:val="clear"/>
              </w:rPr>
              <w:t>单位地址：____________________________</w:t>
            </w:r>
          </w:p>
        </w:tc>
      </w:tr>
      <w:tr>
        <w:tc>
          <w:tcPr>
            <w:tcW w:type="dxa" w:w="4153"/>
            <w:tcMar>
              <w:top w:type="dxa" w:w="0"/>
              <w:left w:type="dxa" w:w="105"/>
              <w:bottom w:type="dxa" w:w="0"/>
              <w:right w:type="dxa" w:w="105"/>
            </w:tcMar>
          </w:tcPr>
          <w:p>
            <w:pPr>
              <w:pStyle w:val="null3"/>
              <w:jc w:val="both"/>
            </w:pPr>
            <w:r>
              <w:rPr>
                <w:sz w:val="20"/>
                <w:color w:val="000000"/>
                <w:shd w:fill="FFFFFF" w:val="clear"/>
              </w:rPr>
              <w:t>日期：_________年_________月________日</w:t>
            </w:r>
          </w:p>
        </w:tc>
        <w:tc>
          <w:tcPr>
            <w:tcW w:type="dxa" w:w="4153"/>
            <w:tcMar>
              <w:top w:type="dxa" w:w="0"/>
              <w:left w:type="dxa" w:w="105"/>
              <w:bottom w:type="dxa" w:w="0"/>
              <w:right w:type="dxa" w:w="105"/>
            </w:tcMar>
          </w:tcPr>
          <w:p>
            <w:pPr>
              <w:pStyle w:val="null3"/>
              <w:jc w:val="both"/>
            </w:pPr>
            <w:r>
              <w:rPr>
                <w:sz w:val="20"/>
                <w:color w:val="000000"/>
                <w:shd w:fill="FFFFFF" w:val="clear"/>
              </w:rPr>
              <w:t>日期：_________年_________月________日</w:t>
            </w:r>
          </w:p>
        </w:tc>
      </w:tr>
    </w:tbl>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440114-2024-05033</w:t>
      </w:r>
    </w:p>
    <w:p>
      <w:pPr>
        <w:pStyle w:val="null3"/>
        <w:jc w:val="center"/>
        <w:outlineLvl w:val="3"/>
      </w:pPr>
      <w:r>
        <w:rPr>
          <w:sz w:val="24"/>
          <w:b/>
        </w:rPr>
        <w:t>采购项目编号：</w:t>
      </w:r>
      <w:r>
        <w:rPr>
          <w:sz w:val="24"/>
          <w:b/>
        </w:rPr>
        <w:t>ZX05140124MZCZ</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广州众信招标采购有限公司</w:t>
      </w:r>
    </w:p>
    <w:p>
      <w:pPr>
        <w:pStyle w:val="null3"/>
        <w:ind w:firstLine="480"/>
      </w:pPr>
      <w:r>
        <w:rPr/>
        <w:t xml:space="preserve"> 你方组织的</w:t>
      </w:r>
      <w:r>
        <w:rPr>
          <w:u w:val="single"/>
        </w:rPr>
        <w:t>“</w:t>
      </w:r>
      <w:r>
        <w:rPr>
          <w:u w:val="single"/>
        </w:rPr>
        <w:t>广州市花都区人民政府新华街道办事处登革热应急灭蚊消杀服务项目</w:t>
      </w:r>
      <w:r>
        <w:rPr>
          <w:u w:val="single"/>
        </w:rPr>
        <w:t>”</w:t>
      </w:r>
      <w:r>
        <w:rPr/>
        <w:t>项目的竞争性磋商[采购项目编号为：</w:t>
      </w:r>
      <w:r>
        <w:rPr>
          <w:u w:val="single"/>
        </w:rPr>
        <w:t>ZX05140124MZCZ</w:t>
      </w:r>
      <w:r>
        <w:rPr/>
        <w:t>]，我方愿参与响应。</w:t>
      </w:r>
    </w:p>
    <w:p>
      <w:pPr>
        <w:pStyle w:val="null3"/>
        <w:ind w:firstLine="480"/>
      </w:pPr>
      <w:r>
        <w:rPr/>
        <w:t>我方确认收到贵方提供的</w:t>
      </w:r>
      <w:r>
        <w:rPr>
          <w:u w:val="single"/>
        </w:rPr>
        <w:t>“</w:t>
      </w:r>
      <w:r>
        <w:rPr>
          <w:u w:val="single"/>
        </w:rPr>
        <w:t>广州市花都区人民政府新华街道办事处登革热应急灭蚊消杀服务项目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广州众信招标采购有限公司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广州市花都区人民政府新华街道办事处登革热应急灭蚊消杀服务项目</w:t>
      </w:r>
      <w:r>
        <w:rPr/>
        <w:t>”项目采购[采购项目编号为</w:t>
      </w:r>
      <w:r>
        <w:rPr/>
        <w:t>ZX05140124MZCZ</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广州市花都区人民政府新华街道办事处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广州众信招标采购有限公司</w:t>
      </w:r>
    </w:p>
    <w:p>
      <w:pPr>
        <w:pStyle w:val="null3"/>
        <w:ind w:firstLine="480"/>
      </w:pPr>
      <w:r>
        <w:rPr/>
        <w:t>我单位参加贵公司组织的</w:t>
      </w:r>
      <w:r>
        <w:rPr/>
        <w:t>广州市花都区人民政府新华街道办事处登革热应急灭蚊消杀服务项目</w:t>
      </w:r>
      <w:r>
        <w:rPr/>
        <w:t>（采购项目编号：</w:t>
      </w:r>
      <w:r>
        <w:rPr/>
        <w:t>ZX05140124MZCZ</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