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D9644">
      <w:pPr>
        <w:pStyle w:val="4"/>
        <w:jc w:val="center"/>
        <w:outlineLvl w:val="1"/>
      </w:pPr>
      <w:r>
        <w:rPr>
          <w:b/>
          <w:sz w:val="36"/>
        </w:rPr>
        <w:t>第三章 技术、服务及其他要求</w:t>
      </w:r>
    </w:p>
    <w:p w14:paraId="2A8E5DD8">
      <w:pPr>
        <w:pStyle w:val="4"/>
        <w:ind w:firstLine="480"/>
        <w:jc w:val="left"/>
      </w:pPr>
      <w:r>
        <w:t>（注：本章的技术、服务及其他要求中，带“★”的要求为实质性要求。采购人、代理机构应当根据项目实际要求合理设定，并在第五章符合性审查中明确响应要求。）</w:t>
      </w:r>
    </w:p>
    <w:p w14:paraId="4B1684FC">
      <w:pPr>
        <w:pStyle w:val="4"/>
        <w:jc w:val="left"/>
        <w:outlineLvl w:val="2"/>
      </w:pPr>
      <w:r>
        <w:rPr>
          <w:b/>
          <w:sz w:val="28"/>
        </w:rPr>
        <w:t>3.1.采购内容</w:t>
      </w:r>
    </w:p>
    <w:p w14:paraId="2CE23642">
      <w:pPr>
        <w:pStyle w:val="4"/>
        <w:jc w:val="left"/>
      </w:pPr>
      <w:r>
        <w:t>采购包1：</w:t>
      </w:r>
    </w:p>
    <w:p w14:paraId="45E020F1">
      <w:pPr>
        <w:pStyle w:val="4"/>
        <w:jc w:val="left"/>
      </w:pPr>
      <w:r>
        <w:t>采购包预算金额（元）: 3,115,000.00</w:t>
      </w:r>
    </w:p>
    <w:p w14:paraId="1E39BFE5">
      <w:pPr>
        <w:pStyle w:val="4"/>
        <w:jc w:val="left"/>
      </w:pPr>
      <w:r>
        <w:t>采购包最高限价（元）: 3,115,000.00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1"/>
        <w:gridCol w:w="782"/>
        <w:gridCol w:w="802"/>
        <w:gridCol w:w="821"/>
        <w:gridCol w:w="1279"/>
        <w:gridCol w:w="802"/>
        <w:gridCol w:w="783"/>
        <w:gridCol w:w="783"/>
        <w:gridCol w:w="783"/>
        <w:gridCol w:w="618"/>
        <w:gridCol w:w="618"/>
      </w:tblGrid>
      <w:tr w14:paraId="1F5A3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194DA79">
            <w:pPr>
              <w:pStyle w:val="4"/>
              <w:jc w:val="center"/>
            </w:pPr>
            <w:r>
              <w:t>序号</w:t>
            </w:r>
          </w:p>
        </w:tc>
        <w:tc>
          <w:tcPr>
            <w:tcW w:w="821" w:type="dxa"/>
          </w:tcPr>
          <w:p w14:paraId="54D802BB">
            <w:pPr>
              <w:pStyle w:val="4"/>
              <w:jc w:val="center"/>
            </w:pPr>
            <w:r>
              <w:t>采购品目名称</w:t>
            </w:r>
          </w:p>
        </w:tc>
        <w:tc>
          <w:tcPr>
            <w:tcW w:w="821" w:type="dxa"/>
          </w:tcPr>
          <w:p w14:paraId="77C42728">
            <w:pPr>
              <w:pStyle w:val="4"/>
              <w:jc w:val="center"/>
            </w:pPr>
            <w:r>
              <w:t>标的名称</w:t>
            </w:r>
          </w:p>
        </w:tc>
        <w:tc>
          <w:tcPr>
            <w:tcW w:w="821" w:type="dxa"/>
          </w:tcPr>
          <w:p w14:paraId="36D87499">
            <w:pPr>
              <w:pStyle w:val="4"/>
              <w:jc w:val="center"/>
            </w:pPr>
            <w:r>
              <w:t>数量</w:t>
            </w:r>
            <w:r>
              <w:br w:type="textWrapping"/>
            </w:r>
            <w:r>
              <w:t>(计量单位)</w:t>
            </w:r>
          </w:p>
        </w:tc>
        <w:tc>
          <w:tcPr>
            <w:tcW w:w="821" w:type="dxa"/>
          </w:tcPr>
          <w:p w14:paraId="3185E24B">
            <w:pPr>
              <w:pStyle w:val="4"/>
              <w:jc w:val="center"/>
            </w:pPr>
            <w:r>
              <w:t>标的金额 （元）</w:t>
            </w:r>
          </w:p>
        </w:tc>
        <w:tc>
          <w:tcPr>
            <w:tcW w:w="821" w:type="dxa"/>
          </w:tcPr>
          <w:p w14:paraId="0D26FB0E">
            <w:pPr>
              <w:pStyle w:val="4"/>
              <w:jc w:val="center"/>
            </w:pPr>
            <w:r>
              <w:t>所属行业</w:t>
            </w:r>
          </w:p>
        </w:tc>
        <w:tc>
          <w:tcPr>
            <w:tcW w:w="821" w:type="dxa"/>
          </w:tcPr>
          <w:p w14:paraId="4B4F8554">
            <w:pPr>
              <w:pStyle w:val="4"/>
              <w:jc w:val="center"/>
            </w:pPr>
            <w:r>
              <w:t>是否涉及核心产品</w:t>
            </w:r>
          </w:p>
        </w:tc>
        <w:tc>
          <w:tcPr>
            <w:tcW w:w="821" w:type="dxa"/>
          </w:tcPr>
          <w:p w14:paraId="1ECF6A23">
            <w:pPr>
              <w:pStyle w:val="4"/>
              <w:jc w:val="center"/>
            </w:pPr>
            <w:r>
              <w:t>是否涉及采购进口产品</w:t>
            </w:r>
          </w:p>
        </w:tc>
        <w:tc>
          <w:tcPr>
            <w:tcW w:w="821" w:type="dxa"/>
          </w:tcPr>
          <w:p w14:paraId="52A18973">
            <w:pPr>
              <w:pStyle w:val="4"/>
              <w:jc w:val="center"/>
            </w:pPr>
            <w:r>
              <w:t>是否涉及强制采购节能产品</w:t>
            </w:r>
          </w:p>
        </w:tc>
        <w:tc>
          <w:tcPr>
            <w:tcW w:w="639" w:type="dxa"/>
          </w:tcPr>
          <w:p w14:paraId="2A5A12D0">
            <w:pPr>
              <w:pStyle w:val="4"/>
              <w:jc w:val="center"/>
            </w:pPr>
            <w:r>
              <w:t>是否涉及优先采购节能产品</w:t>
            </w:r>
          </w:p>
        </w:tc>
        <w:tc>
          <w:tcPr>
            <w:tcW w:w="639" w:type="dxa"/>
          </w:tcPr>
          <w:p w14:paraId="519EC6C8">
            <w:pPr>
              <w:pStyle w:val="4"/>
              <w:jc w:val="center"/>
            </w:pPr>
            <w:r>
              <w:t>是否涉及优先采购环境标志产品</w:t>
            </w:r>
          </w:p>
        </w:tc>
      </w:tr>
      <w:tr w14:paraId="2D467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54E1819">
            <w:pPr>
              <w:pStyle w:val="4"/>
              <w:jc w:val="left"/>
            </w:pPr>
            <w:r>
              <w:t>1</w:t>
            </w:r>
          </w:p>
        </w:tc>
        <w:tc>
          <w:tcPr>
            <w:tcW w:w="821" w:type="dxa"/>
          </w:tcPr>
          <w:p w14:paraId="05CFA6CD">
            <w:pPr>
              <w:pStyle w:val="4"/>
              <w:jc w:val="left"/>
            </w:pPr>
            <w:r>
              <w:t>其他生态环境治理服务</w:t>
            </w:r>
          </w:p>
        </w:tc>
        <w:tc>
          <w:tcPr>
            <w:tcW w:w="821" w:type="dxa"/>
          </w:tcPr>
          <w:p w14:paraId="11EC55F5">
            <w:pPr>
              <w:pStyle w:val="4"/>
              <w:jc w:val="left"/>
            </w:pPr>
            <w:r>
              <w:t>石渠县2024年中央财政林业草原专项资金（第一批）草原有害生物防治项目</w:t>
            </w:r>
          </w:p>
        </w:tc>
        <w:tc>
          <w:tcPr>
            <w:tcW w:w="821" w:type="dxa"/>
          </w:tcPr>
          <w:p w14:paraId="1886C463">
            <w:pPr>
              <w:pStyle w:val="4"/>
              <w:jc w:val="right"/>
            </w:pPr>
            <w:r>
              <w:t>1.00（项）</w:t>
            </w:r>
          </w:p>
        </w:tc>
        <w:tc>
          <w:tcPr>
            <w:tcW w:w="821" w:type="dxa"/>
          </w:tcPr>
          <w:p w14:paraId="604FBFFB">
            <w:pPr>
              <w:pStyle w:val="4"/>
              <w:jc w:val="right"/>
            </w:pPr>
            <w:r>
              <w:t>3,115,000.00</w:t>
            </w:r>
          </w:p>
        </w:tc>
        <w:tc>
          <w:tcPr>
            <w:tcW w:w="821" w:type="dxa"/>
          </w:tcPr>
          <w:p w14:paraId="713C75CE">
            <w:pPr>
              <w:pStyle w:val="4"/>
              <w:jc w:val="left"/>
            </w:pPr>
            <w:r>
              <w:t>农、林、牧、渔业</w:t>
            </w:r>
          </w:p>
        </w:tc>
        <w:tc>
          <w:tcPr>
            <w:tcW w:w="821" w:type="dxa"/>
          </w:tcPr>
          <w:p w14:paraId="02FCC2ED">
            <w:pPr>
              <w:pStyle w:val="4"/>
              <w:jc w:val="left"/>
            </w:pPr>
            <w:r>
              <w:t>否</w:t>
            </w:r>
          </w:p>
        </w:tc>
        <w:tc>
          <w:tcPr>
            <w:tcW w:w="821" w:type="dxa"/>
          </w:tcPr>
          <w:p w14:paraId="19F965B3">
            <w:pPr>
              <w:pStyle w:val="4"/>
              <w:jc w:val="left"/>
            </w:pPr>
            <w:r>
              <w:t>否</w:t>
            </w:r>
          </w:p>
        </w:tc>
        <w:tc>
          <w:tcPr>
            <w:tcW w:w="821" w:type="dxa"/>
          </w:tcPr>
          <w:p w14:paraId="14572D12">
            <w:pPr>
              <w:pStyle w:val="4"/>
              <w:jc w:val="left"/>
            </w:pPr>
            <w:r>
              <w:t>否</w:t>
            </w:r>
          </w:p>
        </w:tc>
        <w:tc>
          <w:tcPr>
            <w:tcW w:w="639" w:type="dxa"/>
          </w:tcPr>
          <w:p w14:paraId="34BF7AF6">
            <w:pPr>
              <w:pStyle w:val="4"/>
              <w:jc w:val="left"/>
            </w:pPr>
            <w:r>
              <w:t>否</w:t>
            </w:r>
          </w:p>
        </w:tc>
        <w:tc>
          <w:tcPr>
            <w:tcW w:w="639" w:type="dxa"/>
          </w:tcPr>
          <w:p w14:paraId="2DD4FD5A">
            <w:pPr>
              <w:pStyle w:val="4"/>
              <w:jc w:val="left"/>
            </w:pPr>
            <w:r>
              <w:t>否</w:t>
            </w:r>
          </w:p>
        </w:tc>
      </w:tr>
    </w:tbl>
    <w:p w14:paraId="7728E4A0">
      <w:pPr>
        <w:pStyle w:val="4"/>
        <w:jc w:val="left"/>
        <w:outlineLvl w:val="3"/>
      </w:pPr>
      <w:r>
        <w:rPr>
          <w:b/>
          <w:sz w:val="24"/>
        </w:rPr>
        <w:t>报价要求</w:t>
      </w:r>
    </w:p>
    <w:p w14:paraId="5421B780">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1466"/>
        <w:gridCol w:w="977"/>
        <w:gridCol w:w="1173"/>
        <w:gridCol w:w="1279"/>
        <w:gridCol w:w="977"/>
        <w:gridCol w:w="1661"/>
      </w:tblGrid>
      <w:tr w14:paraId="77B78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4179362D">
            <w:pPr>
              <w:pStyle w:val="4"/>
              <w:jc w:val="center"/>
            </w:pPr>
            <w:r>
              <w:t>序号</w:t>
            </w:r>
          </w:p>
        </w:tc>
        <w:tc>
          <w:tcPr>
            <w:tcW w:w="1466" w:type="dxa"/>
          </w:tcPr>
          <w:p w14:paraId="50BDB870">
            <w:pPr>
              <w:pStyle w:val="4"/>
              <w:jc w:val="center"/>
            </w:pPr>
            <w:r>
              <w:t>报价内容</w:t>
            </w:r>
          </w:p>
        </w:tc>
        <w:tc>
          <w:tcPr>
            <w:tcW w:w="977" w:type="dxa"/>
          </w:tcPr>
          <w:p w14:paraId="7307C64C">
            <w:pPr>
              <w:pStyle w:val="4"/>
              <w:jc w:val="center"/>
            </w:pPr>
            <w:r>
              <w:t>数量</w:t>
            </w:r>
          </w:p>
        </w:tc>
        <w:tc>
          <w:tcPr>
            <w:tcW w:w="1173" w:type="dxa"/>
          </w:tcPr>
          <w:p w14:paraId="69CC7541">
            <w:pPr>
              <w:pStyle w:val="4"/>
              <w:jc w:val="center"/>
            </w:pPr>
            <w:r>
              <w:t>单价</w:t>
            </w:r>
          </w:p>
        </w:tc>
        <w:tc>
          <w:tcPr>
            <w:tcW w:w="1173" w:type="dxa"/>
          </w:tcPr>
          <w:p w14:paraId="4AD2CDBA">
            <w:pPr>
              <w:pStyle w:val="4"/>
              <w:jc w:val="center"/>
            </w:pPr>
            <w:r>
              <w:t>最高限价</w:t>
            </w:r>
          </w:p>
        </w:tc>
        <w:tc>
          <w:tcPr>
            <w:tcW w:w="977" w:type="dxa"/>
          </w:tcPr>
          <w:p w14:paraId="356730F7">
            <w:pPr>
              <w:pStyle w:val="4"/>
              <w:jc w:val="center"/>
            </w:pPr>
            <w:r>
              <w:t>价款形式</w:t>
            </w:r>
          </w:p>
        </w:tc>
        <w:tc>
          <w:tcPr>
            <w:tcW w:w="1661" w:type="dxa"/>
          </w:tcPr>
          <w:p w14:paraId="465E7303">
            <w:pPr>
              <w:pStyle w:val="4"/>
              <w:jc w:val="center"/>
            </w:pPr>
            <w:r>
              <w:t>报价说明</w:t>
            </w:r>
          </w:p>
        </w:tc>
      </w:tr>
      <w:tr w14:paraId="5C569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14545819">
            <w:pPr>
              <w:pStyle w:val="4"/>
              <w:jc w:val="left"/>
            </w:pPr>
            <w:r>
              <w:t>1</w:t>
            </w:r>
          </w:p>
        </w:tc>
        <w:tc>
          <w:tcPr>
            <w:tcW w:w="1466" w:type="dxa"/>
          </w:tcPr>
          <w:p w14:paraId="64A28D09">
            <w:pPr>
              <w:pStyle w:val="4"/>
              <w:jc w:val="left"/>
            </w:pPr>
            <w:r>
              <w:t>石渠县2024年中央财政林业草原专项资金（第一批）草原有害生物防治项目</w:t>
            </w:r>
          </w:p>
        </w:tc>
        <w:tc>
          <w:tcPr>
            <w:tcW w:w="977" w:type="dxa"/>
          </w:tcPr>
          <w:p w14:paraId="4AFF151F">
            <w:pPr>
              <w:pStyle w:val="4"/>
              <w:jc w:val="right"/>
            </w:pPr>
            <w:r>
              <w:t>1.00（项）</w:t>
            </w:r>
          </w:p>
        </w:tc>
        <w:tc>
          <w:tcPr>
            <w:tcW w:w="1173" w:type="dxa"/>
          </w:tcPr>
          <w:p w14:paraId="1DC8601A">
            <w:pPr>
              <w:pStyle w:val="4"/>
              <w:jc w:val="right"/>
            </w:pPr>
            <w:r>
              <w:t>3,115,000（元）</w:t>
            </w:r>
          </w:p>
        </w:tc>
        <w:tc>
          <w:tcPr>
            <w:tcW w:w="1173" w:type="dxa"/>
          </w:tcPr>
          <w:p w14:paraId="3FB501A9">
            <w:pPr>
              <w:pStyle w:val="4"/>
              <w:jc w:val="right"/>
            </w:pPr>
            <w:r>
              <w:t>3,115,000.00</w:t>
            </w:r>
          </w:p>
        </w:tc>
        <w:tc>
          <w:tcPr>
            <w:tcW w:w="977" w:type="dxa"/>
          </w:tcPr>
          <w:p w14:paraId="61C3B1B5">
            <w:pPr>
              <w:pStyle w:val="4"/>
              <w:jc w:val="left"/>
            </w:pPr>
            <w:r>
              <w:t>总价</w:t>
            </w:r>
          </w:p>
        </w:tc>
        <w:tc>
          <w:tcPr>
            <w:tcW w:w="1661" w:type="dxa"/>
          </w:tcPr>
          <w:p w14:paraId="6DA8C2C6">
            <w:pPr>
              <w:pStyle w:val="4"/>
              <w:jc w:val="left"/>
            </w:pPr>
            <w:r>
              <w:t>无</w:t>
            </w:r>
          </w:p>
        </w:tc>
      </w:tr>
    </w:tbl>
    <w:p w14:paraId="6F8361C4">
      <w:pPr>
        <w:pStyle w:val="4"/>
        <w:ind w:firstLine="480"/>
        <w:jc w:val="left"/>
      </w:pPr>
      <w:r>
        <w:t>★注：本采购包涉及采购货物的，供应商响应产品应当明确品牌和规格型号并指向唯一产品，不能指向唯一产品的，应通过报价表唯一产品说明栏补充说明。</w:t>
      </w:r>
    </w:p>
    <w:p w14:paraId="135FAF13">
      <w:pPr>
        <w:pStyle w:val="4"/>
        <w:jc w:val="left"/>
        <w:outlineLvl w:val="3"/>
      </w:pPr>
      <w:r>
        <w:rPr>
          <w:b/>
          <w:sz w:val="24"/>
        </w:rPr>
        <w:t>本项目涉及核心产品：</w:t>
      </w:r>
    </w:p>
    <w:p w14:paraId="63040FBC">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47C4D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0F91FF2">
            <w:pPr>
              <w:pStyle w:val="4"/>
              <w:jc w:val="center"/>
            </w:pPr>
            <w:r>
              <w:t>序号</w:t>
            </w:r>
          </w:p>
        </w:tc>
        <w:tc>
          <w:tcPr>
            <w:tcW w:w="2492" w:type="dxa"/>
          </w:tcPr>
          <w:p w14:paraId="392386DE">
            <w:pPr>
              <w:pStyle w:val="4"/>
              <w:jc w:val="center"/>
            </w:pPr>
            <w:r>
              <w:t>采购品目名称</w:t>
            </w:r>
          </w:p>
        </w:tc>
        <w:tc>
          <w:tcPr>
            <w:tcW w:w="2492" w:type="dxa"/>
          </w:tcPr>
          <w:p w14:paraId="7AFDD347">
            <w:pPr>
              <w:pStyle w:val="4"/>
              <w:jc w:val="center"/>
            </w:pPr>
            <w:r>
              <w:t>标的名称</w:t>
            </w:r>
          </w:p>
        </w:tc>
        <w:tc>
          <w:tcPr>
            <w:tcW w:w="2492" w:type="dxa"/>
          </w:tcPr>
          <w:p w14:paraId="6D5CA402">
            <w:pPr>
              <w:pStyle w:val="4"/>
              <w:jc w:val="center"/>
            </w:pPr>
            <w:r>
              <w:t>产品名称</w:t>
            </w:r>
          </w:p>
        </w:tc>
      </w:tr>
      <w:tr w14:paraId="03404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2E6A8C9F">
            <w:pPr>
              <w:pStyle w:val="4"/>
              <w:jc w:val="center"/>
            </w:pPr>
            <w:r>
              <w:t>不涉及</w:t>
            </w:r>
          </w:p>
        </w:tc>
      </w:tr>
    </w:tbl>
    <w:p w14:paraId="2958E0BB">
      <w:pPr>
        <w:pStyle w:val="4"/>
        <w:ind w:firstLine="480"/>
        <w:jc w:val="left"/>
      </w:pPr>
      <w:r>
        <w:t>注：涉及核心产品的，具体评审规定见第五章。</w:t>
      </w:r>
    </w:p>
    <w:p w14:paraId="534BE7D3">
      <w:pPr>
        <w:pStyle w:val="4"/>
        <w:jc w:val="left"/>
        <w:outlineLvl w:val="3"/>
      </w:pPr>
      <w:r>
        <w:rPr>
          <w:b/>
          <w:sz w:val="24"/>
        </w:rPr>
        <w:t>本项目涉及采购进口产品：</w:t>
      </w:r>
    </w:p>
    <w:p w14:paraId="4356DC05">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8480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3806B7E">
            <w:pPr>
              <w:pStyle w:val="4"/>
              <w:jc w:val="center"/>
            </w:pPr>
            <w:r>
              <w:t>序号</w:t>
            </w:r>
          </w:p>
        </w:tc>
        <w:tc>
          <w:tcPr>
            <w:tcW w:w="2492" w:type="dxa"/>
          </w:tcPr>
          <w:p w14:paraId="054FA354">
            <w:pPr>
              <w:pStyle w:val="4"/>
              <w:jc w:val="center"/>
            </w:pPr>
            <w:r>
              <w:t>采购品目名称</w:t>
            </w:r>
          </w:p>
        </w:tc>
        <w:tc>
          <w:tcPr>
            <w:tcW w:w="2492" w:type="dxa"/>
          </w:tcPr>
          <w:p w14:paraId="25943AE4">
            <w:pPr>
              <w:pStyle w:val="4"/>
              <w:jc w:val="center"/>
            </w:pPr>
            <w:r>
              <w:t>标的名称</w:t>
            </w:r>
          </w:p>
        </w:tc>
        <w:tc>
          <w:tcPr>
            <w:tcW w:w="2492" w:type="dxa"/>
          </w:tcPr>
          <w:p w14:paraId="7E2804A1">
            <w:pPr>
              <w:pStyle w:val="4"/>
              <w:jc w:val="center"/>
            </w:pPr>
            <w:r>
              <w:t>产品名称</w:t>
            </w:r>
          </w:p>
        </w:tc>
      </w:tr>
      <w:tr w14:paraId="687E3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955EEFF">
            <w:pPr>
              <w:pStyle w:val="4"/>
              <w:jc w:val="center"/>
            </w:pPr>
            <w:r>
              <w:t>不涉及</w:t>
            </w:r>
          </w:p>
        </w:tc>
      </w:tr>
    </w:tbl>
    <w:p w14:paraId="321BF334">
      <w:pPr>
        <w:pStyle w:val="4"/>
        <w:ind w:firstLine="480"/>
        <w:jc w:val="left"/>
      </w:pPr>
      <w:r>
        <w:t>★注：不涉及采购进口产品时，供应商不得提供进口产品进行响应；涉及采购进口产品时，如国产产品满足采购需求，也可提供国产产品进行响应。</w:t>
      </w:r>
    </w:p>
    <w:p w14:paraId="798EEC61">
      <w:pPr>
        <w:pStyle w:val="4"/>
        <w:jc w:val="left"/>
        <w:outlineLvl w:val="3"/>
      </w:pPr>
      <w:r>
        <w:rPr>
          <w:b/>
          <w:sz w:val="24"/>
        </w:rPr>
        <w:t>本项目涉及强制采购节能产品：</w:t>
      </w:r>
    </w:p>
    <w:p w14:paraId="19DE0776">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C1BA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F2BB4FC">
            <w:pPr>
              <w:pStyle w:val="4"/>
              <w:jc w:val="center"/>
            </w:pPr>
            <w:r>
              <w:t>序号</w:t>
            </w:r>
          </w:p>
        </w:tc>
        <w:tc>
          <w:tcPr>
            <w:tcW w:w="2492" w:type="dxa"/>
          </w:tcPr>
          <w:p w14:paraId="0D934C99">
            <w:pPr>
              <w:pStyle w:val="4"/>
              <w:jc w:val="center"/>
            </w:pPr>
            <w:r>
              <w:t>采购品目名称</w:t>
            </w:r>
          </w:p>
        </w:tc>
        <w:tc>
          <w:tcPr>
            <w:tcW w:w="2492" w:type="dxa"/>
          </w:tcPr>
          <w:p w14:paraId="40E50C78">
            <w:pPr>
              <w:pStyle w:val="4"/>
              <w:jc w:val="center"/>
            </w:pPr>
            <w:r>
              <w:t>标的名称</w:t>
            </w:r>
          </w:p>
        </w:tc>
        <w:tc>
          <w:tcPr>
            <w:tcW w:w="2492" w:type="dxa"/>
          </w:tcPr>
          <w:p w14:paraId="032A9F25">
            <w:pPr>
              <w:pStyle w:val="4"/>
              <w:jc w:val="center"/>
            </w:pPr>
            <w:r>
              <w:t>产品名称</w:t>
            </w:r>
          </w:p>
        </w:tc>
      </w:tr>
      <w:tr w14:paraId="7C913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3B47EBAF">
            <w:pPr>
              <w:pStyle w:val="4"/>
              <w:jc w:val="center"/>
            </w:pPr>
            <w:r>
              <w:t>不涉及</w:t>
            </w:r>
          </w:p>
        </w:tc>
      </w:tr>
    </w:tbl>
    <w:p w14:paraId="20F22379">
      <w:pPr>
        <w:pStyle w:val="4"/>
        <w:ind w:firstLine="480"/>
        <w:jc w:val="left"/>
      </w:pPr>
      <w: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188B8354">
      <w:pPr>
        <w:pStyle w:val="4"/>
        <w:jc w:val="left"/>
      </w:pPr>
      <w:r>
        <w:rPr>
          <w:b/>
        </w:rPr>
        <w:t>本项目涉及优先采购节能产品：</w:t>
      </w:r>
    </w:p>
    <w:p w14:paraId="4CFB710C">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C17F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0BA7A0">
            <w:pPr>
              <w:pStyle w:val="4"/>
              <w:jc w:val="center"/>
            </w:pPr>
            <w:r>
              <w:t>序号</w:t>
            </w:r>
          </w:p>
        </w:tc>
        <w:tc>
          <w:tcPr>
            <w:tcW w:w="2492" w:type="dxa"/>
          </w:tcPr>
          <w:p w14:paraId="746FB0BD">
            <w:pPr>
              <w:pStyle w:val="4"/>
              <w:jc w:val="center"/>
            </w:pPr>
            <w:r>
              <w:t>采购品目名称</w:t>
            </w:r>
          </w:p>
        </w:tc>
        <w:tc>
          <w:tcPr>
            <w:tcW w:w="2492" w:type="dxa"/>
          </w:tcPr>
          <w:p w14:paraId="4D993BEA">
            <w:pPr>
              <w:pStyle w:val="4"/>
              <w:jc w:val="center"/>
            </w:pPr>
            <w:r>
              <w:t>标的名称</w:t>
            </w:r>
          </w:p>
        </w:tc>
        <w:tc>
          <w:tcPr>
            <w:tcW w:w="2492" w:type="dxa"/>
          </w:tcPr>
          <w:p w14:paraId="4324C3CE">
            <w:pPr>
              <w:pStyle w:val="4"/>
              <w:jc w:val="center"/>
            </w:pPr>
            <w:r>
              <w:t>产品名称</w:t>
            </w:r>
          </w:p>
        </w:tc>
      </w:tr>
      <w:tr w14:paraId="4C16A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7C97D8C8">
            <w:pPr>
              <w:pStyle w:val="4"/>
              <w:jc w:val="center"/>
            </w:pPr>
            <w:r>
              <w:t>不涉及</w:t>
            </w:r>
          </w:p>
        </w:tc>
      </w:tr>
    </w:tbl>
    <w:p w14:paraId="357E33D4">
      <w:pPr>
        <w:pStyle w:val="4"/>
        <w:ind w:firstLine="480"/>
        <w:jc w:val="left"/>
      </w:pPr>
      <w: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4A6F8C35">
      <w:pPr>
        <w:pStyle w:val="4"/>
        <w:jc w:val="left"/>
        <w:outlineLvl w:val="3"/>
      </w:pPr>
      <w:r>
        <w:rPr>
          <w:b/>
          <w:sz w:val="24"/>
        </w:rPr>
        <w:t>本项目涉及优先采购环境标志产品：</w:t>
      </w:r>
    </w:p>
    <w:p w14:paraId="7A10ECC3">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FC66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85AB64">
            <w:pPr>
              <w:pStyle w:val="4"/>
              <w:jc w:val="center"/>
            </w:pPr>
            <w:r>
              <w:t>序号</w:t>
            </w:r>
          </w:p>
        </w:tc>
        <w:tc>
          <w:tcPr>
            <w:tcW w:w="2492" w:type="dxa"/>
          </w:tcPr>
          <w:p w14:paraId="6D907338">
            <w:pPr>
              <w:pStyle w:val="4"/>
              <w:jc w:val="center"/>
            </w:pPr>
            <w:r>
              <w:t>采购品目名称</w:t>
            </w:r>
          </w:p>
        </w:tc>
        <w:tc>
          <w:tcPr>
            <w:tcW w:w="2492" w:type="dxa"/>
          </w:tcPr>
          <w:p w14:paraId="17BD2B8D">
            <w:pPr>
              <w:pStyle w:val="4"/>
              <w:jc w:val="center"/>
            </w:pPr>
            <w:r>
              <w:t>标的名称</w:t>
            </w:r>
          </w:p>
        </w:tc>
        <w:tc>
          <w:tcPr>
            <w:tcW w:w="2492" w:type="dxa"/>
          </w:tcPr>
          <w:p w14:paraId="2D4E0831">
            <w:pPr>
              <w:pStyle w:val="4"/>
              <w:jc w:val="center"/>
            </w:pPr>
            <w:r>
              <w:t>产品名称</w:t>
            </w:r>
          </w:p>
        </w:tc>
      </w:tr>
      <w:tr w14:paraId="6265D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1BC5F43A">
            <w:pPr>
              <w:pStyle w:val="4"/>
              <w:jc w:val="center"/>
            </w:pPr>
            <w:r>
              <w:t>不涉及</w:t>
            </w:r>
          </w:p>
        </w:tc>
      </w:tr>
    </w:tbl>
    <w:p w14:paraId="70B634EF">
      <w:pPr>
        <w:pStyle w:val="4"/>
        <w:ind w:firstLine="480"/>
        <w:jc w:val="left"/>
      </w:pPr>
      <w: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4E102308">
      <w:pPr>
        <w:pStyle w:val="4"/>
        <w:jc w:val="left"/>
        <w:outlineLvl w:val="2"/>
      </w:pPr>
      <w:r>
        <w:rPr>
          <w:b/>
          <w:sz w:val="28"/>
        </w:rPr>
        <w:t>3.2.技术要求</w:t>
      </w:r>
    </w:p>
    <w:p w14:paraId="5080BAD5">
      <w:pPr>
        <w:pStyle w:val="4"/>
        <w:jc w:val="left"/>
      </w:pPr>
      <w:r>
        <w:t>采购包1：</w:t>
      </w:r>
    </w:p>
    <w:p w14:paraId="1AA88376">
      <w:pPr>
        <w:pStyle w:val="4"/>
        <w:jc w:val="left"/>
      </w:pPr>
      <w:r>
        <w:t>标的名称：石渠县2024年中央财政林业草原专项资金（第一批）草原有害生物防治项目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8"/>
        <w:gridCol w:w="1187"/>
        <w:gridCol w:w="1425"/>
        <w:gridCol w:w="5127"/>
      </w:tblGrid>
      <w:tr w14:paraId="420B0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Pr>
          <w:p w14:paraId="7C787A38">
            <w:pPr>
              <w:pStyle w:val="4"/>
              <w:jc w:val="center"/>
            </w:pPr>
            <w:r>
              <w:t>序号</w:t>
            </w:r>
          </w:p>
        </w:tc>
        <w:tc>
          <w:tcPr>
            <w:tcW w:w="1187" w:type="dxa"/>
          </w:tcPr>
          <w:p w14:paraId="0F405998">
            <w:pPr>
              <w:pStyle w:val="4"/>
              <w:jc w:val="center"/>
            </w:pPr>
            <w:r>
              <w:t>符号标识</w:t>
            </w:r>
          </w:p>
        </w:tc>
        <w:tc>
          <w:tcPr>
            <w:tcW w:w="1425" w:type="dxa"/>
          </w:tcPr>
          <w:p w14:paraId="6F879CA3">
            <w:pPr>
              <w:pStyle w:val="4"/>
              <w:jc w:val="center"/>
            </w:pPr>
            <w:r>
              <w:t>技术要求名称</w:t>
            </w:r>
          </w:p>
        </w:tc>
        <w:tc>
          <w:tcPr>
            <w:tcW w:w="5127" w:type="dxa"/>
          </w:tcPr>
          <w:p w14:paraId="7A2F0437">
            <w:pPr>
              <w:pStyle w:val="4"/>
              <w:jc w:val="center"/>
            </w:pPr>
            <w:r>
              <w:t>技术参数与性能指标</w:t>
            </w:r>
          </w:p>
        </w:tc>
      </w:tr>
      <w:tr w14:paraId="00187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Pr>
          <w:p w14:paraId="1E917E9F">
            <w:pPr>
              <w:pStyle w:val="4"/>
              <w:jc w:val="left"/>
            </w:pPr>
            <w:r>
              <w:t>1</w:t>
            </w:r>
          </w:p>
        </w:tc>
        <w:tc>
          <w:tcPr>
            <w:tcW w:w="1187" w:type="dxa"/>
          </w:tcPr>
          <w:p w14:paraId="64100145">
            <w:pPr>
              <w:pStyle w:val="4"/>
              <w:jc w:val="left"/>
            </w:pPr>
            <w:r>
              <w:t>★</w:t>
            </w:r>
          </w:p>
        </w:tc>
        <w:tc>
          <w:tcPr>
            <w:tcW w:w="1425" w:type="dxa"/>
          </w:tcPr>
          <w:p w14:paraId="7A90A639"/>
        </w:tc>
        <w:tc>
          <w:tcPr>
            <w:tcW w:w="5127" w:type="dxa"/>
          </w:tcPr>
          <w:p w14:paraId="33CAC35E">
            <w:pPr>
              <w:pStyle w:val="4"/>
              <w:jc w:val="both"/>
            </w:pPr>
            <w:r>
              <w:rPr>
                <w:rFonts w:ascii="宋体" w:hAnsi="宋体" w:eastAsia="宋体" w:cs="宋体"/>
                <w:b/>
                <w:sz w:val="24"/>
              </w:rPr>
              <w:t>一、项目执行的相关法律法规、技术标准及规范</w:t>
            </w:r>
          </w:p>
          <w:p w14:paraId="3CF4A466">
            <w:pPr>
              <w:pStyle w:val="4"/>
              <w:jc w:val="left"/>
            </w:pPr>
            <w:r>
              <w:rPr>
                <w:rFonts w:ascii="宋体" w:hAnsi="宋体" w:eastAsia="宋体" w:cs="宋体"/>
                <w:sz w:val="24"/>
              </w:rPr>
              <w:t>1、《中华人民共和国草原法》</w:t>
            </w:r>
          </w:p>
          <w:p w14:paraId="118F6967">
            <w:pPr>
              <w:pStyle w:val="4"/>
              <w:jc w:val="left"/>
            </w:pPr>
            <w:r>
              <w:rPr>
                <w:rFonts w:ascii="宋体" w:hAnsi="宋体" w:eastAsia="宋体" w:cs="宋体"/>
                <w:sz w:val="24"/>
              </w:rPr>
              <w:t>2、《中华人民共和国环境保护法》</w:t>
            </w:r>
          </w:p>
          <w:p w14:paraId="0D5BF1EE">
            <w:pPr>
              <w:pStyle w:val="4"/>
              <w:jc w:val="left"/>
            </w:pPr>
            <w:r>
              <w:rPr>
                <w:rFonts w:ascii="宋体" w:hAnsi="宋体" w:eastAsia="宋体" w:cs="宋体"/>
                <w:sz w:val="24"/>
              </w:rPr>
              <w:t>3、《中华人民共和国固体废物污染环境防治法》</w:t>
            </w:r>
          </w:p>
          <w:p w14:paraId="52201832">
            <w:pPr>
              <w:pStyle w:val="4"/>
              <w:jc w:val="left"/>
            </w:pPr>
            <w:r>
              <w:rPr>
                <w:rFonts w:ascii="宋体" w:hAnsi="宋体" w:eastAsia="宋体" w:cs="宋体"/>
                <w:sz w:val="24"/>
              </w:rPr>
              <w:t>4、《农药管理条例》</w:t>
            </w:r>
          </w:p>
          <w:p w14:paraId="4B8FA6E8">
            <w:pPr>
              <w:pStyle w:val="4"/>
              <w:jc w:val="left"/>
            </w:pPr>
            <w:r>
              <w:rPr>
                <w:rFonts w:ascii="宋体" w:hAnsi="宋体" w:eastAsia="宋体" w:cs="宋体"/>
                <w:sz w:val="24"/>
              </w:rPr>
              <w:t>5、《四川省农药管理条例》</w:t>
            </w:r>
          </w:p>
          <w:p w14:paraId="71D0A175">
            <w:pPr>
              <w:pStyle w:val="4"/>
              <w:jc w:val="left"/>
            </w:pPr>
            <w:r>
              <w:rPr>
                <w:rFonts w:ascii="宋体" w:hAnsi="宋体" w:eastAsia="宋体" w:cs="宋体"/>
                <w:sz w:val="24"/>
              </w:rPr>
              <w:t>6、《农药包装废弃物回收处理管理办法》</w:t>
            </w:r>
          </w:p>
          <w:p w14:paraId="477A3C3A">
            <w:pPr>
              <w:pStyle w:val="4"/>
              <w:jc w:val="left"/>
            </w:pPr>
            <w:r>
              <w:rPr>
                <w:rFonts w:ascii="宋体" w:hAnsi="宋体" w:eastAsia="宋体" w:cs="宋体"/>
                <w:sz w:val="24"/>
              </w:rPr>
              <w:t>7、NY/T1905-2010《草原鼠害安全防治技术规范》</w:t>
            </w:r>
          </w:p>
          <w:p w14:paraId="366240F7">
            <w:pPr>
              <w:pStyle w:val="4"/>
              <w:jc w:val="left"/>
            </w:pPr>
            <w:r>
              <w:rPr>
                <w:rFonts w:ascii="宋体" w:hAnsi="宋体" w:eastAsia="宋体" w:cs="宋体"/>
                <w:sz w:val="24"/>
              </w:rPr>
              <w:t>8、NY/T1240-2021《草原鼠荒地治理技术规范》</w:t>
            </w:r>
          </w:p>
          <w:p w14:paraId="0B26E99C">
            <w:pPr>
              <w:pStyle w:val="4"/>
              <w:jc w:val="left"/>
            </w:pPr>
            <w:r>
              <w:rPr>
                <w:rFonts w:ascii="宋体" w:hAnsi="宋体" w:eastAsia="宋体" w:cs="宋体"/>
                <w:sz w:val="24"/>
              </w:rPr>
              <w:t>9、NY/T2275-2012《草原田鼠防治技术规程》</w:t>
            </w:r>
          </w:p>
          <w:p w14:paraId="708A5768">
            <w:pPr>
              <w:pStyle w:val="4"/>
              <w:jc w:val="left"/>
            </w:pPr>
            <w:r>
              <w:rPr>
                <w:rFonts w:ascii="宋体" w:hAnsi="宋体" w:eastAsia="宋体" w:cs="宋体"/>
                <w:sz w:val="24"/>
              </w:rPr>
              <w:t>10、NY/T1276-2007《农药安全使用规范  总则》</w:t>
            </w:r>
          </w:p>
          <w:p w14:paraId="120735DC">
            <w:pPr>
              <w:pStyle w:val="4"/>
              <w:jc w:val="left"/>
            </w:pPr>
            <w:r>
              <w:rPr>
                <w:rFonts w:ascii="宋体" w:hAnsi="宋体" w:eastAsia="宋体" w:cs="宋体"/>
                <w:sz w:val="24"/>
              </w:rPr>
              <w:t>11、NY/T4183-2022《农药使用人员个体防护指南》</w:t>
            </w:r>
          </w:p>
          <w:p w14:paraId="7A48DDF3">
            <w:pPr>
              <w:pStyle w:val="4"/>
              <w:jc w:val="left"/>
            </w:pPr>
            <w:r>
              <w:rPr>
                <w:rFonts w:ascii="宋体" w:hAnsi="宋体" w:eastAsia="宋体" w:cs="宋体"/>
                <w:sz w:val="24"/>
              </w:rPr>
              <w:t>12、DB63/T 1312-2014《D型肉毒毒素浓饵剂》（参照执行）</w:t>
            </w:r>
          </w:p>
          <w:p w14:paraId="5372AAA5">
            <w:pPr>
              <w:pStyle w:val="4"/>
              <w:jc w:val="left"/>
            </w:pPr>
            <w:r>
              <w:rPr>
                <w:rFonts w:ascii="宋体" w:hAnsi="宋体" w:eastAsia="宋体" w:cs="宋体"/>
                <w:sz w:val="24"/>
              </w:rPr>
              <w:t>13、DB63/T 1313-2014《D型肉毒灭鼠剂（原药）》（参照执行）</w:t>
            </w:r>
          </w:p>
          <w:p w14:paraId="66F29099">
            <w:pPr>
              <w:pStyle w:val="4"/>
              <w:jc w:val="left"/>
            </w:pPr>
            <w:r>
              <w:rPr>
                <w:rFonts w:ascii="宋体" w:hAnsi="宋体" w:eastAsia="宋体" w:cs="宋体"/>
                <w:sz w:val="24"/>
              </w:rPr>
              <w:t>14、DB63/T 1314-2014《D型肉毒灭鼠剂防治高原鼠兔技术规程》（参照执行）</w:t>
            </w:r>
          </w:p>
          <w:p w14:paraId="10B1E89D">
            <w:pPr>
              <w:pStyle w:val="4"/>
              <w:jc w:val="left"/>
            </w:pPr>
            <w:r>
              <w:rPr>
                <w:rFonts w:ascii="宋体" w:hAnsi="宋体" w:eastAsia="宋体" w:cs="宋体"/>
                <w:sz w:val="24"/>
              </w:rPr>
              <w:t>15、DB63/T 1315-2014《D型肉毒灭鼠剂防治高原田鼠技术规程》（参照执行）</w:t>
            </w:r>
          </w:p>
          <w:p w14:paraId="6766E1F4">
            <w:pPr>
              <w:pStyle w:val="4"/>
              <w:jc w:val="left"/>
            </w:pPr>
            <w:r>
              <w:rPr>
                <w:rFonts w:ascii="宋体" w:hAnsi="宋体" w:eastAsia="宋体" w:cs="宋体"/>
                <w:sz w:val="24"/>
              </w:rPr>
              <w:t>16、DB63/T 1316-2014《D型肉毒毒素颗粒毒饵》（参照执行）</w:t>
            </w:r>
          </w:p>
          <w:p w14:paraId="14FBF7CA">
            <w:pPr>
              <w:pStyle w:val="4"/>
              <w:jc w:val="both"/>
            </w:pPr>
            <w:r>
              <w:rPr>
                <w:rFonts w:ascii="宋体" w:hAnsi="宋体" w:eastAsia="宋体" w:cs="宋体"/>
                <w:b/>
                <w:sz w:val="24"/>
              </w:rPr>
              <w:t>二、服务内容及要求</w:t>
            </w:r>
          </w:p>
          <w:p w14:paraId="02F646BA">
            <w:pPr>
              <w:pStyle w:val="4"/>
              <w:jc w:val="both"/>
            </w:pPr>
            <w:r>
              <w:rPr>
                <w:rFonts w:ascii="宋体" w:hAnsi="宋体" w:eastAsia="宋体" w:cs="宋体"/>
                <w:b/>
                <w:sz w:val="24"/>
              </w:rPr>
              <w:t>1、防治时间及技术路线</w:t>
            </w:r>
          </w:p>
          <w:p w14:paraId="48DBFAA2">
            <w:pPr>
              <w:pStyle w:val="4"/>
              <w:ind w:firstLine="480"/>
              <w:jc w:val="both"/>
            </w:pPr>
            <w:r>
              <w:rPr>
                <w:rFonts w:ascii="宋体" w:hAnsi="宋体" w:eastAsia="宋体" w:cs="宋体"/>
                <w:sz w:val="24"/>
              </w:rPr>
              <w:t>根据有害生物的生物学特性、活动范围及石渠县的气候条件等，药物防治时间为冬春季节。因这一时期植物全部枯死，根茎性植物的根芽还未萌发，随着气温的下降、土层冻结，食物减少，鼠类觅食困难，这时投放人工毒饵，害鼠容易贪食而中毒死亡。另外，在气温5℃以下牧草枯黄时的冬春季节使用效果最佳，5℃以上会降低毒力影响灭效。根据鼠害防治效果，结合项目建设进度安排，本项目防治时间分别安排在春季进行，即：2025年2-3月进行。主要采用的药剂为“D型肉毒梭菌毒素”。D型肉毒梭菌会产生的一种神经毒素，经口摄入后肠道吸收进入害鼠机体，到达神经末梢—肌肉接头处，抑制神经传导物质乙酰胆碱的释放，从而引起肌肉麻痹、瘫痪、呼吸困难，最终导致死亡。其中：D型肉毒梭菌毒素水剂+饵料（小麦）：防治面积90万亩，涉及小班33个，以人工形式进行防治。雷公藤甲素植物源灭鼠剂：防治面积10万亩，涉及小班3个，以人工形式进行防治。</w:t>
            </w:r>
          </w:p>
          <w:p w14:paraId="2A5BDB64">
            <w:pPr>
              <w:pStyle w:val="4"/>
              <w:jc w:val="both"/>
            </w:pPr>
            <w:r>
              <w:rPr>
                <w:rFonts w:ascii="宋体" w:hAnsi="宋体" w:eastAsia="宋体" w:cs="宋体"/>
                <w:b/>
                <w:sz w:val="24"/>
              </w:rPr>
              <w:t>2、药物用量</w:t>
            </w:r>
          </w:p>
          <w:p w14:paraId="74C5A7E3">
            <w:pPr>
              <w:pStyle w:val="4"/>
              <w:ind w:firstLine="480"/>
              <w:jc w:val="both"/>
            </w:pPr>
            <w:r>
              <w:rPr>
                <w:rFonts w:ascii="宋体" w:hAnsi="宋体" w:eastAsia="宋体" w:cs="宋体"/>
                <w:sz w:val="24"/>
              </w:rPr>
              <w:t>D型肉毒梭菌毒素水剂防治区：D型肉毒梭菌毒素水剂规格为1000万毒价/毫升，用量为0.20ml/亩，小麦拌药饵料0.1kg/亩，则90万亩鼠害地防治共需D型肉毒梭菌毒素水剂180000ml，饵料90000kg。雷公藤甲素植物源灭鼠剂防治区：雷公藤甲素规格为0.25毫克/千克，用量为100g/亩，防治面积共计10万亩，需雷公藤甲素10000kg。</w:t>
            </w:r>
          </w:p>
          <w:p w14:paraId="5ADAB449">
            <w:pPr>
              <w:pStyle w:val="4"/>
              <w:jc w:val="both"/>
            </w:pPr>
            <w:r>
              <w:rPr>
                <w:rFonts w:ascii="宋体" w:hAnsi="宋体" w:eastAsia="宋体" w:cs="宋体"/>
                <w:b/>
                <w:sz w:val="24"/>
              </w:rPr>
              <w:t>3、药物储藏运输</w:t>
            </w:r>
          </w:p>
          <w:p w14:paraId="00C65F7E">
            <w:pPr>
              <w:pStyle w:val="4"/>
              <w:ind w:firstLine="480"/>
              <w:jc w:val="both"/>
            </w:pPr>
            <w:r>
              <w:rPr>
                <w:rFonts w:ascii="宋体" w:hAnsi="宋体" w:eastAsia="宋体" w:cs="宋体"/>
                <w:sz w:val="24"/>
              </w:rPr>
              <w:t>贮存要求：D型肉毒梭菌毒素水剂应放置于阴冷避光的地方，用专用冰箱或冷藏箱保存，与食品、饮用水及水源隔离。雷公藤甲素应贮存在室内通风干燥处，避免潮湿环境。贮存期限：D型肉毒梭菌毒素水剂在2°C-8°C保质期为1年，在15°C保质期为6个月，在25°C保质期为4个月。雷公藤甲素应在常温下保存，保质期一般为2年。运输要求：D型肉毒梭菌毒素水剂与毒饵的运输执行GB12475-2006《农药贮运、销售和使用的防毒规程》的规定。不应在公共交通工具上携带未经包装的零散药剂及其毒饵，运输时要轻装、轻放，防止破损，避免高温和日晒。雷公藤甲素运输时注意不要受潮和雨淋。置于儿童接触不到的地方并加锁。不能与食品、种子、饮料、粮食、饲料等物品混合运输。</w:t>
            </w:r>
          </w:p>
          <w:p w14:paraId="67B7EB24">
            <w:pPr>
              <w:pStyle w:val="4"/>
              <w:jc w:val="both"/>
            </w:pPr>
            <w:r>
              <w:rPr>
                <w:rFonts w:ascii="宋体" w:hAnsi="宋体" w:eastAsia="宋体" w:cs="宋体"/>
                <w:b/>
                <w:sz w:val="24"/>
              </w:rPr>
              <w:t>4、具体防治方案</w:t>
            </w:r>
          </w:p>
          <w:p w14:paraId="577B0F85">
            <w:pPr>
              <w:pStyle w:val="4"/>
              <w:jc w:val="both"/>
            </w:pPr>
            <w:r>
              <w:rPr>
                <w:rFonts w:ascii="宋体" w:hAnsi="宋体" w:eastAsia="宋体" w:cs="宋体"/>
                <w:sz w:val="24"/>
              </w:rPr>
              <w:t>①鼠害防治人员：聘请专业鼠害防治队伍进行防治工作。</w:t>
            </w:r>
          </w:p>
          <w:p w14:paraId="2437B29B">
            <w:pPr>
              <w:pStyle w:val="4"/>
              <w:jc w:val="both"/>
            </w:pPr>
            <w:r>
              <w:rPr>
                <w:rFonts w:ascii="宋体" w:hAnsi="宋体" w:eastAsia="宋体" w:cs="宋体"/>
                <w:sz w:val="24"/>
              </w:rPr>
              <w:t>②毒饵配制：D型肉毒梭菌毒素水剂按药物：水：饵料=2：100：1000的比例进行配药，采用手动喷雾器来回喷雾，充分搅拌饵料至均匀，使每粒毒饵上都沾上毒素。用塑料布盖闷，放置12h后即可使用。雷公藤甲素为已配置好的商品，可直接投放。</w:t>
            </w:r>
          </w:p>
          <w:p w14:paraId="5431AE2E">
            <w:pPr>
              <w:pStyle w:val="4"/>
              <w:jc w:val="both"/>
            </w:pPr>
            <w:r>
              <w:rPr>
                <w:rFonts w:ascii="宋体" w:hAnsi="宋体" w:eastAsia="宋体" w:cs="宋体"/>
                <w:sz w:val="24"/>
              </w:rPr>
              <w:t>③注意事项：生物毒素不耐热，因此，毒素应保存在0℃以下的冰箱中，冬季不要放置于火炉旁，以免受热使药效损失；毒素由于保存温度低而凝结成冰，在使用时，将毒素瓶放在0℃的水中或用手摇，也可放于河水中，使其慢慢融化，千万不要用温水或加热融解，不然会影响毒力；配制饵料时，必须注意合适水量，以稀释后刚刚拌匀饵料为好，不要太干、太湿。太干时有的饵料上，沾不上毒素；太湿时造成药液流失，影响毒效；配制毒饵不宜用碱性水，水温不应超过10℃；毒饵应在阴凉处配制，必须混合均匀，毒饵存放不得超过两天，否则药效降低，达不到灭鼠要求；毒饵应在专用场地、用专用容器配制，接触毒素的容器及有关工具、空瓶等，应单独存放，不得挪作他用，更不能接触食品、饲料，不可随意丢弃，处理药剂后必须立即清洗手及暴露的皮肤；配制毒饵时应专人负责，严格按规定浓度配制，禁止畜禽和无关人员接触。</w:t>
            </w:r>
          </w:p>
          <w:p w14:paraId="1C48E95F">
            <w:pPr>
              <w:pStyle w:val="4"/>
              <w:jc w:val="both"/>
            </w:pPr>
            <w:r>
              <w:rPr>
                <w:rFonts w:ascii="宋体" w:hAnsi="宋体" w:eastAsia="宋体" w:cs="宋体"/>
                <w:sz w:val="24"/>
              </w:rPr>
              <w:t>④投饵方法：雪后，凡无鼠洞皆被雪封闭，而有鼠洞口则被鼠重新挖开，投饵时，寻找有效鼠洞，毒饵投放于鼠洞口或洞道旁，每个鼠洞周围3-10 cm处投放5-8粒饵料。雷公藤甲素则按照条距10×10 m投放1堆，每堆8-10克，如果15天后仍有害鼠活动，需补充吃完的饵剂，根据鼠密度高低增减投饵量。投药后应设立相应警示标志。</w:t>
            </w:r>
          </w:p>
          <w:p w14:paraId="2CC959CF">
            <w:pPr>
              <w:pStyle w:val="4"/>
              <w:jc w:val="both"/>
            </w:pPr>
            <w:r>
              <w:rPr>
                <w:rFonts w:ascii="宋体" w:hAnsi="宋体" w:eastAsia="宋体" w:cs="宋体"/>
                <w:sz w:val="24"/>
              </w:rPr>
              <w:t>⑤投药安全：投放人员要做好防护安全工作，避免药物中毒事件的发生。项目区草地投放饵料后15天内禁止放牧，施药后应设置警示牌，禁止人员进入施药区域。</w:t>
            </w:r>
          </w:p>
          <w:p w14:paraId="2CDC7145">
            <w:pPr>
              <w:pStyle w:val="4"/>
              <w:jc w:val="both"/>
            </w:pPr>
            <w:r>
              <w:rPr>
                <w:rFonts w:ascii="宋体" w:hAnsi="宋体" w:eastAsia="宋体" w:cs="宋体"/>
                <w:sz w:val="24"/>
              </w:rPr>
              <w:t>⑥鼠尸处理：将死于洞口之外的害鼠集中，及时作深埋处理，埋深不小于1m（防止食肉类动物将其挖出），并撒施石灰消毒，掩埋后进行植被恢复。掩埋地点应远离居民区和水源地。处理鼠尸时应穿戴防护服，避免人体直接接触。</w:t>
            </w:r>
          </w:p>
          <w:p w14:paraId="7F4D7455">
            <w:pPr>
              <w:pStyle w:val="4"/>
              <w:jc w:val="both"/>
            </w:pPr>
            <w:r>
              <w:rPr>
                <w:rFonts w:ascii="宋体" w:hAnsi="宋体" w:eastAsia="宋体" w:cs="宋体"/>
                <w:sz w:val="24"/>
              </w:rPr>
              <w:t>⑦药物残留物处理：灭鼠所用的包装物和容器等废弃物应当根据</w:t>
            </w:r>
            <w:r>
              <w:rPr>
                <w:rFonts w:ascii="仿宋" w:hAnsi="仿宋" w:eastAsia="仿宋" w:cs="仿宋"/>
                <w:sz w:val="24"/>
              </w:rPr>
              <w:t>《中华人民共和国固体废物污染</w:t>
            </w:r>
            <w:r>
              <w:rPr>
                <w:rFonts w:ascii="宋体" w:hAnsi="宋体" w:eastAsia="宋体" w:cs="宋体"/>
                <w:sz w:val="24"/>
              </w:rPr>
              <w:t>环境防治法》《农药管理条例》《农药包装废弃物回收处理管理办法》等法律法规的规定要求，妥善处理，不容随意弃置，应当无偿收回该项目的所有包装废弃物并交由有资质的机构作安全处置。</w:t>
            </w:r>
          </w:p>
          <w:p w14:paraId="3B983DC6">
            <w:pPr>
              <w:pStyle w:val="4"/>
              <w:jc w:val="both"/>
            </w:pPr>
            <w:r>
              <w:rPr>
                <w:rFonts w:ascii="宋体" w:hAnsi="宋体" w:eastAsia="宋体" w:cs="宋体"/>
                <w:b/>
                <w:sz w:val="24"/>
              </w:rPr>
              <w:t>5、安全措施</w:t>
            </w:r>
          </w:p>
          <w:p w14:paraId="33F75508">
            <w:pPr>
              <w:pStyle w:val="4"/>
              <w:jc w:val="both"/>
            </w:pPr>
            <w:r>
              <w:rPr>
                <w:rFonts w:ascii="宋体" w:hAnsi="宋体" w:eastAsia="宋体" w:cs="宋体"/>
                <w:sz w:val="24"/>
              </w:rPr>
              <w:t>①安全宣传：实施投饵防治前应通过公告、电视、广播、网络、会议等形式公告防治实施区域和防治时间以及禁牧期限，由县林草局与项目实施乡镇，项目实施乡镇与所辖村及牧户签订安全责任合同。</w:t>
            </w:r>
          </w:p>
          <w:p w14:paraId="011C9C82">
            <w:pPr>
              <w:pStyle w:val="4"/>
              <w:jc w:val="both"/>
            </w:pPr>
            <w:r>
              <w:rPr>
                <w:rFonts w:ascii="宋体" w:hAnsi="宋体" w:eastAsia="宋体" w:cs="宋体"/>
                <w:sz w:val="24"/>
              </w:rPr>
              <w:t>②安全操作：药饵配制的操作人员应经过岗前培训，操作过程中，操作人员应戴齐手套、口罩等防护用具；药饵配制的场地应远离住房、畜圈、水源，设置明显的危险品或有毒化学品标识，禁止无关人员及禽畜等接近；药饵应添加警戒色；毒饵应有专人照看，尽量用完，未投完的毒饵应按规定回收处理；直接接触D型肉毒素或其药饵的设备、工具、仪器、包装物应专用，有明显的“有毒物品”或“危险物品”标志，使用后进行消毒；毒饵应用塑料桶、铁皮桶、竹篮或布袋等盛装，使用投饵匙勺取投放；投饵人员应注意安全防护，带手套、口罩，严禁用手直接接触毒剂和毒饵；投饵结束后立即用肥皂或偏碱性水洗手，清洁暴露皮肤。</w:t>
            </w:r>
          </w:p>
          <w:p w14:paraId="7AEAC420">
            <w:pPr>
              <w:pStyle w:val="4"/>
              <w:jc w:val="both"/>
            </w:pPr>
            <w:r>
              <w:rPr>
                <w:rFonts w:ascii="宋体" w:hAnsi="宋体" w:eastAsia="宋体" w:cs="宋体"/>
                <w:sz w:val="24"/>
              </w:rPr>
              <w:t>③中毒处理：若有人畜中毒必须立即携带药品标签到医院就诊，对症处理。</w:t>
            </w:r>
          </w:p>
          <w:p w14:paraId="0D0F4063">
            <w:pPr>
              <w:pStyle w:val="4"/>
              <w:jc w:val="both"/>
            </w:pPr>
            <w:r>
              <w:rPr>
                <w:rFonts w:ascii="宋体" w:hAnsi="宋体" w:eastAsia="宋体" w:cs="宋体"/>
                <w:sz w:val="24"/>
              </w:rPr>
              <w:t>④禁牧：在投放毒饵区域的路口、牧道处悬挂禁牧标牌，每次投放后公示禁牧15天，确保人畜的安全。</w:t>
            </w:r>
          </w:p>
        </w:tc>
      </w:tr>
    </w:tbl>
    <w:p w14:paraId="504B8948">
      <w:pPr>
        <w:pStyle w:val="4"/>
        <w:jc w:val="left"/>
        <w:outlineLvl w:val="2"/>
      </w:pPr>
      <w:r>
        <w:rPr>
          <w:b/>
          <w:sz w:val="28"/>
        </w:rPr>
        <w:t>3.3.服务要求</w:t>
      </w:r>
    </w:p>
    <w:p w14:paraId="22D933AF">
      <w:pPr>
        <w:pStyle w:val="4"/>
        <w:jc w:val="left"/>
        <w:outlineLvl w:val="3"/>
      </w:pPr>
      <w:r>
        <w:rPr>
          <w:b/>
          <w:sz w:val="24"/>
        </w:rPr>
        <w:t>3.3.1服务内容要求</w:t>
      </w:r>
    </w:p>
    <w:p w14:paraId="5349B5A3">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5"/>
        <w:gridCol w:w="1213"/>
        <w:gridCol w:w="1650"/>
        <w:gridCol w:w="4736"/>
      </w:tblGrid>
      <w:tr w14:paraId="4BF7B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05" w:type="dxa"/>
          </w:tcPr>
          <w:p w14:paraId="647ED97B">
            <w:pPr>
              <w:pStyle w:val="4"/>
              <w:jc w:val="left"/>
            </w:pPr>
            <w:bookmarkStart w:id="0" w:name="_GoBack"/>
            <w:bookmarkEnd w:id="0"/>
            <w:r>
              <w:t>序号</w:t>
            </w:r>
          </w:p>
        </w:tc>
        <w:tc>
          <w:tcPr>
            <w:tcW w:w="1213" w:type="dxa"/>
          </w:tcPr>
          <w:p w14:paraId="05745BB4">
            <w:pPr>
              <w:pStyle w:val="4"/>
              <w:jc w:val="left"/>
            </w:pPr>
            <w:r>
              <w:t xml:space="preserve"> 符号标识</w:t>
            </w:r>
          </w:p>
        </w:tc>
        <w:tc>
          <w:tcPr>
            <w:tcW w:w="1650" w:type="dxa"/>
          </w:tcPr>
          <w:p w14:paraId="653D2DD0">
            <w:pPr>
              <w:pStyle w:val="4"/>
              <w:jc w:val="left"/>
            </w:pPr>
            <w:r>
              <w:t xml:space="preserve"> 服务要求名称</w:t>
            </w:r>
          </w:p>
        </w:tc>
        <w:tc>
          <w:tcPr>
            <w:tcW w:w="4736" w:type="dxa"/>
          </w:tcPr>
          <w:p w14:paraId="1371C0E0">
            <w:pPr>
              <w:pStyle w:val="4"/>
              <w:jc w:val="left"/>
            </w:pPr>
            <w:r>
              <w:t xml:space="preserve"> 服务要求内容</w:t>
            </w:r>
          </w:p>
        </w:tc>
      </w:tr>
      <w:tr w14:paraId="31D2C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14:paraId="39B422B3">
            <w:pPr>
              <w:pStyle w:val="4"/>
              <w:jc w:val="left"/>
            </w:pPr>
            <w:r>
              <w:t>1</w:t>
            </w:r>
          </w:p>
        </w:tc>
        <w:tc>
          <w:tcPr>
            <w:tcW w:w="1213" w:type="dxa"/>
          </w:tcPr>
          <w:p w14:paraId="699F993F">
            <w:pPr>
              <w:pStyle w:val="4"/>
              <w:jc w:val="left"/>
            </w:pPr>
            <w:r>
              <w:t>★</w:t>
            </w:r>
          </w:p>
        </w:tc>
        <w:tc>
          <w:tcPr>
            <w:tcW w:w="1650" w:type="dxa"/>
          </w:tcPr>
          <w:p w14:paraId="48156B11">
            <w:pPr>
              <w:pStyle w:val="4"/>
              <w:jc w:val="left"/>
            </w:pPr>
            <w:r>
              <w:t>售前服务</w:t>
            </w:r>
          </w:p>
        </w:tc>
        <w:tc>
          <w:tcPr>
            <w:tcW w:w="4736" w:type="dxa"/>
          </w:tcPr>
          <w:p w14:paraId="74AAC629">
            <w:pPr>
              <w:pStyle w:val="4"/>
              <w:ind w:firstLine="240"/>
              <w:jc w:val="both"/>
            </w:pPr>
            <w:r>
              <w:rPr>
                <w:rFonts w:ascii="宋体" w:hAnsi="宋体" w:eastAsia="宋体" w:cs="宋体"/>
                <w:sz w:val="24"/>
              </w:rPr>
              <w:t>成交供应商在组织项目实施前必须根据采购人工作需求确定关键工作点，经采购人审核签字确认后，方可实施项目服务。</w:t>
            </w:r>
          </w:p>
        </w:tc>
      </w:tr>
      <w:tr w14:paraId="32C95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14:paraId="641A79AB">
            <w:pPr>
              <w:pStyle w:val="4"/>
              <w:jc w:val="left"/>
            </w:pPr>
            <w:r>
              <w:t>2</w:t>
            </w:r>
          </w:p>
        </w:tc>
        <w:tc>
          <w:tcPr>
            <w:tcW w:w="1213" w:type="dxa"/>
          </w:tcPr>
          <w:p w14:paraId="0D0C0393">
            <w:pPr>
              <w:pStyle w:val="4"/>
              <w:jc w:val="left"/>
            </w:pPr>
            <w:r>
              <w:t>★</w:t>
            </w:r>
          </w:p>
        </w:tc>
        <w:tc>
          <w:tcPr>
            <w:tcW w:w="1650" w:type="dxa"/>
          </w:tcPr>
          <w:p w14:paraId="37913BF7">
            <w:pPr>
              <w:pStyle w:val="4"/>
              <w:jc w:val="left"/>
            </w:pPr>
            <w:r>
              <w:t>售后服务</w:t>
            </w:r>
          </w:p>
        </w:tc>
        <w:tc>
          <w:tcPr>
            <w:tcW w:w="4736" w:type="dxa"/>
          </w:tcPr>
          <w:p w14:paraId="5817833E">
            <w:pPr>
              <w:pStyle w:val="4"/>
              <w:ind w:firstLine="240"/>
              <w:jc w:val="both"/>
            </w:pPr>
            <w:r>
              <w:rPr>
                <w:rFonts w:ascii="宋体" w:hAnsi="宋体" w:eastAsia="宋体" w:cs="宋体"/>
                <w:sz w:val="24"/>
              </w:rPr>
              <w:t>1.成交供应商须于合同签订前将售后服务电话书面告知采购人，并保证24小时畅通且有专人值守，售后服务要求1小时内响应，24小时内到达现场处理。</w:t>
            </w:r>
          </w:p>
          <w:p w14:paraId="33F4F700">
            <w:pPr>
              <w:pStyle w:val="4"/>
              <w:ind w:firstLine="240"/>
              <w:jc w:val="both"/>
            </w:pPr>
            <w:r>
              <w:rPr>
                <w:rFonts w:ascii="宋体" w:hAnsi="宋体" w:eastAsia="宋体" w:cs="宋体"/>
                <w:sz w:val="24"/>
              </w:rPr>
              <w:t>2.成交供应商必须保证所供货物的质量、安全；成交供应商无条件更换运输过程中破损、过期产品，所需费用由成交供应商自行承担。</w:t>
            </w:r>
          </w:p>
          <w:p w14:paraId="2075D3EB">
            <w:pPr>
              <w:pStyle w:val="4"/>
              <w:jc w:val="both"/>
            </w:pPr>
            <w:r>
              <w:rPr>
                <w:rFonts w:ascii="宋体" w:hAnsi="宋体" w:eastAsia="宋体" w:cs="宋体"/>
                <w:sz w:val="24"/>
              </w:rPr>
              <w:t xml:space="preserve"> 3.如项目实施完毕后，交付采购人使用过程中发生因质量问题造成的一切安全事件，由成交供应商承担由此引起的全部法律责任。</w:t>
            </w:r>
          </w:p>
        </w:tc>
      </w:tr>
    </w:tbl>
    <w:p w14:paraId="06924879">
      <w:pPr>
        <w:pStyle w:val="4"/>
        <w:jc w:val="left"/>
        <w:outlineLvl w:val="3"/>
      </w:pPr>
      <w:r>
        <w:rPr>
          <w:b/>
          <w:sz w:val="24"/>
        </w:rPr>
        <w:t>3.3.2.商务要求</w:t>
      </w:r>
    </w:p>
    <w:p w14:paraId="03374BE5">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
        <w:gridCol w:w="1113"/>
        <w:gridCol w:w="1637"/>
        <w:gridCol w:w="4724"/>
      </w:tblGrid>
      <w:tr w14:paraId="732C7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4AA43BC0">
            <w:pPr>
              <w:pStyle w:val="4"/>
              <w:jc w:val="left"/>
            </w:pPr>
            <w:r>
              <w:t>序号</w:t>
            </w:r>
          </w:p>
        </w:tc>
        <w:tc>
          <w:tcPr>
            <w:tcW w:w="1113" w:type="dxa"/>
          </w:tcPr>
          <w:p w14:paraId="5960A49F">
            <w:pPr>
              <w:pStyle w:val="4"/>
              <w:jc w:val="left"/>
            </w:pPr>
            <w:r>
              <w:t>符号标识</w:t>
            </w:r>
          </w:p>
        </w:tc>
        <w:tc>
          <w:tcPr>
            <w:tcW w:w="1637" w:type="dxa"/>
          </w:tcPr>
          <w:p w14:paraId="2E937F09">
            <w:pPr>
              <w:pStyle w:val="4"/>
              <w:jc w:val="left"/>
            </w:pPr>
            <w:r>
              <w:t>商务要求名称</w:t>
            </w:r>
          </w:p>
        </w:tc>
        <w:tc>
          <w:tcPr>
            <w:tcW w:w="4724" w:type="dxa"/>
          </w:tcPr>
          <w:p w14:paraId="4FDE91B0">
            <w:pPr>
              <w:pStyle w:val="4"/>
              <w:jc w:val="left"/>
            </w:pPr>
            <w:r>
              <w:t>商务要求内容</w:t>
            </w:r>
          </w:p>
        </w:tc>
      </w:tr>
      <w:tr w14:paraId="3E7BA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4846AAB4">
            <w:pPr>
              <w:pStyle w:val="4"/>
              <w:jc w:val="left"/>
            </w:pPr>
            <w:r>
              <w:t>1</w:t>
            </w:r>
          </w:p>
        </w:tc>
        <w:tc>
          <w:tcPr>
            <w:tcW w:w="1113" w:type="dxa"/>
          </w:tcPr>
          <w:p w14:paraId="372DDADF">
            <w:pPr>
              <w:pStyle w:val="4"/>
              <w:jc w:val="left"/>
            </w:pPr>
            <w:r>
              <w:t>★</w:t>
            </w:r>
          </w:p>
        </w:tc>
        <w:tc>
          <w:tcPr>
            <w:tcW w:w="1637" w:type="dxa"/>
          </w:tcPr>
          <w:p w14:paraId="49DBAA63">
            <w:pPr>
              <w:pStyle w:val="4"/>
              <w:jc w:val="left"/>
            </w:pPr>
            <w:r>
              <w:t>服务期限</w:t>
            </w:r>
          </w:p>
        </w:tc>
        <w:tc>
          <w:tcPr>
            <w:tcW w:w="4724" w:type="dxa"/>
          </w:tcPr>
          <w:p w14:paraId="1EDE77C6">
            <w:pPr>
              <w:pStyle w:val="4"/>
              <w:jc w:val="left"/>
            </w:pPr>
            <w:r>
              <w:t>自合同签订之日起70日</w:t>
            </w:r>
          </w:p>
        </w:tc>
      </w:tr>
      <w:tr w14:paraId="50649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2E391855">
            <w:pPr>
              <w:pStyle w:val="4"/>
              <w:jc w:val="left"/>
            </w:pPr>
            <w:r>
              <w:t>2</w:t>
            </w:r>
          </w:p>
        </w:tc>
        <w:tc>
          <w:tcPr>
            <w:tcW w:w="1113" w:type="dxa"/>
          </w:tcPr>
          <w:p w14:paraId="45364577">
            <w:pPr>
              <w:pStyle w:val="4"/>
              <w:jc w:val="left"/>
            </w:pPr>
            <w:r>
              <w:t>★</w:t>
            </w:r>
          </w:p>
        </w:tc>
        <w:tc>
          <w:tcPr>
            <w:tcW w:w="1637" w:type="dxa"/>
          </w:tcPr>
          <w:p w14:paraId="47615DAA">
            <w:pPr>
              <w:pStyle w:val="4"/>
              <w:jc w:val="left"/>
            </w:pPr>
            <w:r>
              <w:t>服务地点</w:t>
            </w:r>
          </w:p>
        </w:tc>
        <w:tc>
          <w:tcPr>
            <w:tcW w:w="4724" w:type="dxa"/>
          </w:tcPr>
          <w:p w14:paraId="1D2266C7">
            <w:pPr>
              <w:pStyle w:val="4"/>
              <w:jc w:val="left"/>
            </w:pPr>
            <w:r>
              <w:t>石渠县呷衣乡、长沙贡玛乡、格孟乡、宜牛乡、阿日扎镇、长沙干玛乡、虾扎镇、德荣玛乡和色须镇等乡镇（采购人指定地点）</w:t>
            </w:r>
          </w:p>
        </w:tc>
      </w:tr>
      <w:tr w14:paraId="70235D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163D0246">
            <w:pPr>
              <w:pStyle w:val="4"/>
              <w:jc w:val="left"/>
            </w:pPr>
            <w:r>
              <w:t>3</w:t>
            </w:r>
          </w:p>
        </w:tc>
        <w:tc>
          <w:tcPr>
            <w:tcW w:w="1113" w:type="dxa"/>
          </w:tcPr>
          <w:p w14:paraId="7FF5E420">
            <w:pPr>
              <w:pStyle w:val="4"/>
              <w:jc w:val="left"/>
            </w:pPr>
            <w:r>
              <w:t>★</w:t>
            </w:r>
          </w:p>
        </w:tc>
        <w:tc>
          <w:tcPr>
            <w:tcW w:w="1637" w:type="dxa"/>
          </w:tcPr>
          <w:p w14:paraId="5E1DFCB5">
            <w:pPr>
              <w:pStyle w:val="4"/>
              <w:jc w:val="left"/>
            </w:pPr>
            <w:r>
              <w:t>验收、交付标准和方法</w:t>
            </w:r>
          </w:p>
        </w:tc>
        <w:tc>
          <w:tcPr>
            <w:tcW w:w="4724" w:type="dxa"/>
          </w:tcPr>
          <w:p w14:paraId="753FC211">
            <w:pPr>
              <w:pStyle w:val="4"/>
              <w:jc w:val="left"/>
            </w:pPr>
            <w:r>
              <w:t>项目由采购人组织验收，严格参照《财政部关于进一步加强政府采购需求和履约验收管理的指导意见》（财库〔2016〕205号）的要求、磋商文件规定的要求和响应文件及合同承诺的内容进行验收。</w:t>
            </w:r>
          </w:p>
        </w:tc>
      </w:tr>
      <w:tr w14:paraId="64510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61135CE2">
            <w:pPr>
              <w:pStyle w:val="4"/>
              <w:jc w:val="left"/>
            </w:pPr>
            <w:r>
              <w:t>4</w:t>
            </w:r>
          </w:p>
        </w:tc>
        <w:tc>
          <w:tcPr>
            <w:tcW w:w="1113" w:type="dxa"/>
          </w:tcPr>
          <w:p w14:paraId="3275237C">
            <w:pPr>
              <w:pStyle w:val="4"/>
              <w:jc w:val="left"/>
            </w:pPr>
            <w:r>
              <w:t>★</w:t>
            </w:r>
          </w:p>
        </w:tc>
        <w:tc>
          <w:tcPr>
            <w:tcW w:w="1637" w:type="dxa"/>
          </w:tcPr>
          <w:p w14:paraId="0183C697">
            <w:pPr>
              <w:pStyle w:val="4"/>
              <w:jc w:val="left"/>
            </w:pPr>
            <w:r>
              <w:t>支付方式</w:t>
            </w:r>
          </w:p>
        </w:tc>
        <w:tc>
          <w:tcPr>
            <w:tcW w:w="4724" w:type="dxa"/>
          </w:tcPr>
          <w:p w14:paraId="03BEF107">
            <w:pPr>
              <w:pStyle w:val="4"/>
              <w:jc w:val="left"/>
            </w:pPr>
            <w:r>
              <w:t>分期付款</w:t>
            </w:r>
          </w:p>
        </w:tc>
      </w:tr>
      <w:tr w14:paraId="38CB2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338D0D5C">
            <w:pPr>
              <w:pStyle w:val="4"/>
              <w:jc w:val="left"/>
            </w:pPr>
            <w:r>
              <w:t>5</w:t>
            </w:r>
          </w:p>
        </w:tc>
        <w:tc>
          <w:tcPr>
            <w:tcW w:w="1113" w:type="dxa"/>
          </w:tcPr>
          <w:p w14:paraId="2BC22332">
            <w:pPr>
              <w:pStyle w:val="4"/>
              <w:jc w:val="left"/>
            </w:pPr>
            <w:r>
              <w:t>★</w:t>
            </w:r>
          </w:p>
        </w:tc>
        <w:tc>
          <w:tcPr>
            <w:tcW w:w="1637" w:type="dxa"/>
          </w:tcPr>
          <w:p w14:paraId="3AF6AF02">
            <w:pPr>
              <w:pStyle w:val="4"/>
              <w:jc w:val="left"/>
            </w:pPr>
            <w:r>
              <w:t>付款进度安排</w:t>
            </w:r>
          </w:p>
        </w:tc>
        <w:tc>
          <w:tcPr>
            <w:tcW w:w="4724" w:type="dxa"/>
          </w:tcPr>
          <w:p w14:paraId="7404BBD0">
            <w:pPr>
              <w:pStyle w:val="4"/>
              <w:jc w:val="left"/>
            </w:pPr>
            <w:r>
              <w:t>1、签订合同后供应商进场时，达到付款条件起7日内，支付合同总金额的20.00%</w:t>
            </w:r>
          </w:p>
          <w:p w14:paraId="75EA57FC">
            <w:pPr>
              <w:pStyle w:val="4"/>
              <w:jc w:val="left"/>
            </w:pPr>
            <w:r>
              <w:t>2、待项目完成至50%时，达到付款条件起7日内，支付合同总金额的30.00%</w:t>
            </w:r>
          </w:p>
          <w:p w14:paraId="154413FD">
            <w:pPr>
              <w:pStyle w:val="4"/>
              <w:jc w:val="left"/>
            </w:pPr>
            <w:r>
              <w:t>3、全面验收合格后 ，达到付款条件起7日内，支付合同总金额的30.00%</w:t>
            </w:r>
          </w:p>
          <w:p w14:paraId="18C10D87">
            <w:pPr>
              <w:pStyle w:val="4"/>
              <w:jc w:val="left"/>
            </w:pPr>
            <w:r>
              <w:t>4、审计完成后，达到付款条件起7日内，支付合同总金额的17.00%</w:t>
            </w:r>
          </w:p>
          <w:p w14:paraId="3BBD772E">
            <w:pPr>
              <w:pStyle w:val="4"/>
              <w:jc w:val="left"/>
            </w:pPr>
            <w:r>
              <w:t>5、余下合同总金额的3%为质保金，待管护期满后一次性支付。（具体以签订合同为准），达到付款条件起7日内，支付合同总金额的3.00%</w:t>
            </w:r>
          </w:p>
        </w:tc>
      </w:tr>
      <w:tr w14:paraId="1BAB3B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14:paraId="5A94E943">
            <w:pPr>
              <w:pStyle w:val="4"/>
              <w:jc w:val="left"/>
            </w:pPr>
            <w:r>
              <w:t>6</w:t>
            </w:r>
          </w:p>
        </w:tc>
        <w:tc>
          <w:tcPr>
            <w:tcW w:w="1113" w:type="dxa"/>
          </w:tcPr>
          <w:p w14:paraId="6E976E9D">
            <w:pPr>
              <w:pStyle w:val="4"/>
              <w:jc w:val="left"/>
            </w:pPr>
            <w:r>
              <w:t>★</w:t>
            </w:r>
          </w:p>
        </w:tc>
        <w:tc>
          <w:tcPr>
            <w:tcW w:w="1637" w:type="dxa"/>
          </w:tcPr>
          <w:p w14:paraId="08B0DC65">
            <w:pPr>
              <w:pStyle w:val="4"/>
              <w:jc w:val="left"/>
            </w:pPr>
            <w:r>
              <w:t>违约责任与解决争议的方法</w:t>
            </w:r>
          </w:p>
        </w:tc>
        <w:tc>
          <w:tcPr>
            <w:tcW w:w="4724" w:type="dxa"/>
          </w:tcPr>
          <w:p w14:paraId="1FFF4F5A">
            <w:pPr>
              <w:pStyle w:val="4"/>
              <w:jc w:val="left"/>
            </w:pPr>
            <w:r>
              <w:t>合同履行期间，若双方发生争议，可协商或由有关部门调解解决，协商或调解不成的，由当事人依法向项目所在地有管辖权的人民法院提请诉讼，维护其合法权益。</w:t>
            </w:r>
          </w:p>
        </w:tc>
      </w:tr>
    </w:tbl>
    <w:p w14:paraId="702CDE74">
      <w:pPr>
        <w:pStyle w:val="4"/>
        <w:jc w:val="left"/>
        <w:outlineLvl w:val="2"/>
      </w:pPr>
      <w:r>
        <w:rPr>
          <w:b/>
          <w:sz w:val="28"/>
        </w:rPr>
        <w:t>3.4.其他要求</w:t>
      </w:r>
    </w:p>
    <w:p w14:paraId="05274927">
      <w:pPr>
        <w:pStyle w:val="4"/>
        <w:ind w:firstLine="480"/>
        <w:jc w:val="left"/>
      </w:pPr>
      <w:r>
        <w:t>采购包1：</w:t>
      </w:r>
    </w:p>
    <w:p w14:paraId="5ED3AF5F">
      <w:pPr>
        <w:pStyle w:val="4"/>
        <w:jc w:val="left"/>
      </w:pPr>
      <w:r>
        <w:t>3.4.1本项目投标供应商需根据投标人提供的针对本项目的服务方案包含（一、服务方案与技术措施包括①项目实施背景及重难点分析；②方案进度计划安排科学，满足服务期限要求；③对鼠害防治对象形态特征、危害症状及特点的描述具体全面；④防控策略制定具体、选择防控措施得当有效；⑤本地农村基层工作描述具体全面、施药组织方案具体、项目实施区域设置描述详细；⑥应急措施制定全面完善、科学合理；⑦人员配备及组织安排合理；⑧技术保证措施完善、易于详细评审服务方案实施；⑨针对本项目交通现状科学合理、切实可行地制定组织方案等。二、质量管理体系与措施包括①质量管理体系健全；②措施对实现质量目标有针对性；③质量管理措施完善等。三、安全管理体系与措施包括①安全管理体系健全；②安全教育及培训计划健全；③安全防护符合国家及地方安全管理规定；④安全措施科学完善等。四、环境保护管理体系与措施包括①环境保护管理体系健全；②污染物处理及排放符合国家及地方环境保护标准；③技术及管理措施到位等。五、资源配备计划包括①资源配备计划满足采购人服务进度及服务管理需要；②资源配备计划科学合理等。六、售后服务方案包括①后续服务保障措施和计划；②售后服务 人员及联系电话；③质量保证范围；④售后服务承诺及响应时效；⑤草原鼠害防治宣传；⑥草原鼠害防治培训服务方案等。）3.4.2供应商为本项目提供的所有产品、辅材中属于《国家强制性产品认证目录》范围内产品的，均通过国家强制性产品认证并取得认证证书；凡是涉及产品前置性许可，如3C，入网许可，销售许可等前置性条件的，均符合国家强制性要求，签订合同时交采购人查验。</w:t>
      </w:r>
    </w:p>
    <w:p w14:paraId="064FE0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MDNhOGJlOTA4NTRjODY5NGI5ZWYzNGM5YjVmZWMifQ=="/>
  </w:docVars>
  <w:rsids>
    <w:rsidRoot w:val="00000000"/>
    <w:rsid w:val="79A12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2024-09-06T03:29:27Z</dcterms:created>
  <dc:creator>Administrator</dc:creator>
  <cp:lastModifiedBy>Administrator</cp:lastModifiedBy>
  <dcterms:modified xsi:type="dcterms:W3CDTF">2024-09-06T03:30:17Z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D4FBEEAA9AD44A5991E1BDF84D7BD94C_12</vt:lpwstr>
  </property>
</Properties>
</file>