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440115-2024-03815</w:t>
      </w:r>
    </w:p>
    <w:p>
      <w:pPr>
        <w:pStyle w:val="null3"/>
        <w:jc w:val="center"/>
        <w:outlineLvl w:val="3"/>
      </w:pPr>
      <w:r>
        <w:rPr>
          <w:sz w:val="24"/>
          <w:b/>
        </w:rPr>
        <w:t>采购项目编号：</w:t>
      </w:r>
      <w:r>
        <w:rPr>
          <w:sz w:val="24"/>
          <w:b/>
        </w:rPr>
        <w:t>GDYD240679</w:t>
      </w:r>
    </w:p>
    <w:p>
      <w:pPr>
        <w:pStyle w:val="null3"/>
        <w:jc w:val="center"/>
        <w:outlineLvl w:val="3"/>
      </w:pPr>
      <w:r>
        <w:rPr>
          <w:sz w:val="24"/>
          <w:b/>
        </w:rPr>
        <w:t>项目名称：</w:t>
      </w:r>
      <w:r>
        <w:rPr>
          <w:sz w:val="24"/>
          <w:b/>
        </w:rPr>
        <w:t>2024年南沙区病媒生物防制基础设施提升与完善管理服务项目</w:t>
      </w:r>
    </w:p>
    <w:p>
      <w:pPr>
        <w:pStyle w:val="null3"/>
        <w:jc w:val="center"/>
        <w:outlineLvl w:val="3"/>
      </w:pPr>
      <w:r>
        <w:rPr>
          <w:sz w:val="24"/>
          <w:b/>
        </w:rPr>
        <w:t>采购人：</w:t>
      </w:r>
      <w:r>
        <w:rPr>
          <w:sz w:val="24"/>
          <w:b/>
        </w:rPr>
        <w:t>广州市南沙区卫生健康局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广州市南沙区卫生健康局</w:t>
      </w:r>
      <w:r>
        <w:rPr/>
        <w:t>的委托，采用</w:t>
      </w:r>
      <w:r>
        <w:rPr/>
        <w:t>竞争性磋商</w:t>
      </w:r>
      <w:r>
        <w:rPr/>
        <w:t>方式组织采购</w:t>
      </w:r>
      <w:r>
        <w:rPr/>
        <w:t>2024年南沙区病媒生物防制基础设施提升与完善管理服务项目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2024年南沙区病媒生物防制基础设施提升与完善管理服务项目</w:t>
      </w:r>
    </w:p>
    <w:p>
      <w:pPr>
        <w:pStyle w:val="null3"/>
        <w:ind w:firstLine="480"/>
      </w:pPr>
      <w:r>
        <w:rPr/>
        <w:t>采购计划编号：</w:t>
      </w:r>
      <w:r>
        <w:rPr/>
        <w:t>440115-2024-03815</w:t>
      </w:r>
    </w:p>
    <w:p>
      <w:pPr>
        <w:pStyle w:val="null3"/>
        <w:ind w:firstLine="480"/>
      </w:pPr>
      <w:r>
        <w:rPr/>
        <w:t>采购项目编号：</w:t>
      </w:r>
      <w:r>
        <w:rPr/>
        <w:t>GDYD240679</w:t>
      </w:r>
    </w:p>
    <w:p>
      <w:pPr>
        <w:pStyle w:val="null3"/>
        <w:ind w:firstLine="480"/>
      </w:pPr>
      <w:r>
        <w:rPr/>
        <w:t>采购方式：</w:t>
      </w:r>
      <w:r>
        <w:rPr/>
        <w:t>竞争性磋商</w:t>
      </w:r>
    </w:p>
    <w:p>
      <w:pPr>
        <w:pStyle w:val="null3"/>
        <w:ind w:firstLine="480"/>
      </w:pPr>
      <w:r>
        <w:rPr/>
        <w:t>预算金额：</w:t>
      </w:r>
      <w:r>
        <w:rPr/>
        <w:t>3,117,801.00</w:t>
      </w:r>
      <w:r>
        <w:rPr/>
        <w:t>元</w:t>
      </w:r>
    </w:p>
    <w:p>
      <w:pPr>
        <w:pStyle w:val="null3"/>
        <w:outlineLvl w:val="3"/>
      </w:pPr>
      <w:r>
        <w:rPr>
          <w:sz w:val="24"/>
          <w:b/>
        </w:rPr>
        <w:t>2.项目内容及需求情况（采购项目技术规格、参数及要求）</w:t>
      </w:r>
    </w:p>
    <w:p>
      <w:pPr>
        <w:pStyle w:val="null3"/>
      </w:pPr>
      <w:r>
        <w:rPr/>
        <w:t>采购包1(防蚊类设施提升与完善管理服务):</w:t>
      </w:r>
    </w:p>
    <w:p>
      <w:pPr>
        <w:pStyle w:val="null3"/>
      </w:pPr>
      <w:r>
        <w:rPr/>
        <w:t>采购包预算金额：2,168,820.00元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防蚊类设施提升与完善管理服务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合同履行期限：合同生效后2个月内完成交货、安装及验收。</w:t>
      </w:r>
    </w:p>
    <w:p>
      <w:pPr>
        <w:pStyle w:val="null3"/>
      </w:pPr>
      <w:r>
        <w:rPr/>
        <w:t>采购包2(灭蚊灯设施提升与完善管理服务):</w:t>
      </w:r>
    </w:p>
    <w:p>
      <w:pPr>
        <w:pStyle w:val="null3"/>
      </w:pPr>
      <w:r>
        <w:rPr/>
        <w:t>采购包预算金额：536,400.00元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其他城镇公共卫生服务</w:t>
            </w:r>
          </w:p>
        </w:tc>
        <w:tc>
          <w:tcPr>
            <w:tcW w:type="dxa" w:w="2136"/>
          </w:tcPr>
          <w:p>
            <w:pPr>
              <w:pStyle w:val="null3"/>
            </w:pPr>
            <w:r>
              <w:rPr/>
              <w:t>灭蚊灯设施提升与完善管理服务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合同履行期限：合同生效后2个月内完成交货、安装及验收。</w:t>
      </w:r>
    </w:p>
    <w:p>
      <w:pPr>
        <w:pStyle w:val="null3"/>
      </w:pPr>
      <w:r>
        <w:rPr/>
        <w:t>采购包3(防鼠类设施提升与完善管理服务):</w:t>
      </w:r>
    </w:p>
    <w:p>
      <w:pPr>
        <w:pStyle w:val="null3"/>
      </w:pPr>
      <w:r>
        <w:rPr/>
        <w:t>采购包预算金额：412,581.00元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其他城镇公共卫生服务</w:t>
            </w:r>
          </w:p>
        </w:tc>
        <w:tc>
          <w:tcPr>
            <w:tcW w:type="dxa" w:w="2136"/>
          </w:tcPr>
          <w:p>
            <w:pPr>
              <w:pStyle w:val="null3"/>
            </w:pPr>
            <w:r>
              <w:rPr/>
              <w:t>防鼠类设施提升与完善管理服务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合同履行期限：合同生效后2个月内完成交货、安装及验收。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2）有依法缴纳税收和社会保障资金的良好记录：提供《供应商资格声明函》或承诺书（格式自拟）。</w:t>
      </w:r>
    </w:p>
    <w:p>
      <w:pPr>
        <w:pStyle w:val="null3"/>
      </w:pPr>
      <w:r>
        <w:rPr/>
        <w:t>3）具有良好的商业信誉和健全的财务会计制度：提供《供应商资格声明函》或承诺书（格式自拟）。</w:t>
      </w:r>
    </w:p>
    <w:p>
      <w:pPr>
        <w:pStyle w:val="null3"/>
      </w:pPr>
      <w:r>
        <w:rPr/>
        <w:t>4）履行合同所必需的设备和专业技术能力：提供《供应商资格声明函》或承诺书（格式自拟）。</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采购包1（防蚊类设施提升与完善管理服务）：</w:t>
      </w: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p>
      <w:pPr>
        <w:pStyle w:val="null3"/>
        <w:jc w:val="left"/>
      </w:pPr>
      <w:r>
        <w:rPr/>
        <w:t>采购包2（灭蚊灯设施提升与完善管理服务）：</w:t>
      </w: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p>
      <w:pPr>
        <w:pStyle w:val="null3"/>
        <w:jc w:val="left"/>
      </w:pPr>
      <w:r>
        <w:rPr/>
        <w:t>采购包3（防鼠类设施提升与完善管理服务）：</w:t>
      </w: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p>
      <w:pPr>
        <w:pStyle w:val="null3"/>
        <w:outlineLvl w:val="3"/>
      </w:pPr>
      <w:r>
        <w:rPr>
          <w:sz w:val="24"/>
          <w:b/>
        </w:rPr>
        <w:t>3.本项目特定的资格要求：</w:t>
      </w:r>
    </w:p>
    <w:p>
      <w:pPr>
        <w:pStyle w:val="null3"/>
      </w:pPr>
      <w:r>
        <w:rPr/>
        <w:t>采购包1（防蚊类设施提升与完善管理服务）：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pPr>
      <w:r>
        <w:rPr/>
        <w:t>采购包2（灭蚊灯设施提升与完善管理服务）：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pPr>
      <w:r>
        <w:rPr/>
        <w:t>采购包3（防鼠类设施提升与完善管理服务）：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广东远东招标代理有限公司（www.gdydzb.com）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广州市南沙区卫生健康局</w:t>
      </w:r>
    </w:p>
    <w:p>
      <w:pPr>
        <w:pStyle w:val="null3"/>
        <w:ind w:firstLine="480"/>
      </w:pPr>
      <w:r>
        <w:rPr/>
        <w:t>地址：</w:t>
      </w:r>
      <w:r>
        <w:rPr/>
        <w:t>广州市南沙区环市大道中11号</w:t>
      </w:r>
    </w:p>
    <w:p>
      <w:pPr>
        <w:pStyle w:val="null3"/>
        <w:ind w:firstLine="480"/>
      </w:pPr>
      <w:r>
        <w:rPr/>
        <w:t>联系方式：</w:t>
      </w:r>
      <w:r>
        <w:rPr/>
        <w:t>020-34685414</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广东省广州市越秀区越秀北路222号608-612室</w:t>
      </w:r>
    </w:p>
    <w:p>
      <w:pPr>
        <w:pStyle w:val="null3"/>
        <w:ind w:firstLine="480"/>
      </w:pPr>
      <w:r>
        <w:rPr/>
        <w:t xml:space="preserve"> 联系方式：</w:t>
      </w:r>
      <w:r>
        <w:rPr/>
        <w:t>020-83642820-817</w:t>
      </w:r>
    </w:p>
    <w:p>
      <w:pPr>
        <w:pStyle w:val="null3"/>
        <w:outlineLvl w:val="3"/>
      </w:pPr>
      <w:r>
        <w:rPr>
          <w:sz w:val="24"/>
          <w:b/>
        </w:rPr>
        <w:t xml:space="preserve"> 3.项目联系方式</w:t>
      </w:r>
    </w:p>
    <w:p>
      <w:pPr>
        <w:pStyle w:val="null3"/>
        <w:ind w:firstLine="480"/>
      </w:pPr>
      <w:r>
        <w:rPr/>
        <w:t xml:space="preserve"> 项目联系人：</w:t>
      </w:r>
      <w:r>
        <w:rPr/>
        <w:t>董生</w:t>
      </w:r>
    </w:p>
    <w:p>
      <w:pPr>
        <w:pStyle w:val="null3"/>
        <w:ind w:firstLine="480"/>
      </w:pPr>
      <w:r>
        <w:rPr/>
        <w:t xml:space="preserve"> 电话：</w:t>
      </w:r>
      <w:r>
        <w:rPr/>
        <w:t>020-83642820-817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为进一步做好病媒生物防制工作，降低</w:t>
      </w:r>
      <w:r>
        <w:rPr/>
        <w:t>“</w:t>
      </w:r>
      <w:r>
        <w:rPr/>
        <w:t>四害</w:t>
      </w:r>
      <w:r>
        <w:rPr/>
        <w:t>”</w:t>
      </w:r>
      <w:r>
        <w:rPr/>
        <w:t>密度，切实保障人民群众的身体健康，拟采购一批病媒生物防制基础设施用于加强完善镇街辖区内重点场所及医疗机构病媒生物防制基础设施。</w:t>
      </w:r>
    </w:p>
    <w:p>
      <w:pPr>
        <w:pStyle w:val="null3"/>
      </w:pPr>
      <w:r>
        <w:rPr/>
        <w:t>采购包1（防蚊类设施提升与完善管理服务）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合同生效后2个月内完成提升与完善管理服务所需产品的交货、安装、验收及使用培训，所有产品提供出厂合格证书、出厂检测报告、厂家装箱清单、使用说明、操作手册、随机附件及其他相关资料。</w:t>
            </w:r>
          </w:p>
        </w:tc>
      </w:tr>
      <w:tr>
        <w:tc>
          <w:tcPr>
            <w:tcW w:type="dxa" w:w="4153"/>
          </w:tcPr>
          <w:p>
            <w:pPr>
              <w:pStyle w:val="null3"/>
            </w:pPr>
            <w:r>
              <w:rPr/>
              <w:t>标的提供的地点</w:t>
            </w:r>
          </w:p>
        </w:tc>
        <w:tc>
          <w:tcPr>
            <w:tcW w:type="dxa" w:w="4153"/>
          </w:tcPr>
          <w:p>
            <w:pPr>
              <w:pStyle w:val="null3"/>
            </w:pPr>
            <w:r>
              <w:rPr/>
              <w:t>广州市南沙区行政区范围内采购人指定地点</w:t>
            </w:r>
          </w:p>
        </w:tc>
      </w:tr>
      <w:tr>
        <w:tc>
          <w:tcPr>
            <w:tcW w:type="dxa" w:w="4153"/>
          </w:tcPr>
          <w:p>
            <w:pPr>
              <w:pStyle w:val="null3"/>
            </w:pPr>
            <w:r>
              <w:rPr/>
              <w:t>付款方式</w:t>
            </w:r>
          </w:p>
        </w:tc>
        <w:tc>
          <w:tcPr>
            <w:tcW w:type="dxa" w:w="4153"/>
          </w:tcPr>
          <w:p>
            <w:pPr>
              <w:pStyle w:val="null3"/>
            </w:pPr>
            <w:r>
              <w:rPr/>
              <w:t>1期：支付比例40%,合同生效后30个工作日内，采购人先行支付成交供应商40%的合同款项。</w:t>
            </w:r>
          </w:p>
          <w:p>
            <w:pPr>
              <w:pStyle w:val="null3"/>
            </w:pPr>
            <w:r>
              <w:rPr/>
              <w:t>2期：支付比例40%,成交供应商安装完成50%供货量及安装完成50%防蚊闸时，提供安装供货相关材料（安装数量、地点、图片及其他有关资料）及经采购人（或采购人指定的单位）验收合格后，采购人支付成交供应商40%的合同款项。</w:t>
            </w:r>
          </w:p>
          <w:p>
            <w:pPr>
              <w:pStyle w:val="null3"/>
            </w:pPr>
            <w:r>
              <w:rPr/>
              <w:t>3期：支付比例20%,成交供应商完成交货、安装及采购人（或采购人指定的单位）验收合格后，采购人收齐发票后的30个工作日内支付剩余20%的合同款项。 【合同款支付说明： 1.本项目为包干价，合同实施期间不再调整； 2.具体方式和时间以实际签署相应服务合同约定为准； 3.因采购人使用的是财政资金，在规定的付款时间向政府财政部门提出办理财政支付申请手续的时间（不含政府财政支付部门审核的时间），即视为采购人已经按期支付，政府财政部门审核支付导致实际付款延迟的，采购人不须承担违约责任； 4.成交供应商须向采购人提供完税后的合法发票，才可收取服务费用。成交供应商延迟提供发票的，采购人付款的时间相应顺延。】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1期：（1）提升与完善管理服务验收工作由采购人（或采购人指定单位）和成交供应商共同进行。 （2）由采购人对产品的质量、规格、数量和运行状况及其他进行检验。如发现质量、规格、数量和运行状况等任何一项与招标要求规定不符，采购人有权拒绝验收。 （3）当出现不合格产品时，成交供应商要无条件更换合格产品。除采购人认可，否则不接受任何形式的降格处理。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收取比例：5%,说明：收到成交通知书后7个工作日内，成交供应商向采购人以支票、汇票、本票或者金融机构、担保机构出具的保函等形式提交，履约保证金的金额为成交金额5%。采购人确认成交供应商全部义务履行完毕且无违约责任后30个工作日内无息退回。</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合同生效后2个月内完成提升与完善管理服务所需产品的交货、安装、验收及培训使用，并在合同验收之日起2年服务期间提供免费的包修、包换、包退、包维护保养等相关服务，确保设备在正常使用状态。 2.采购包报价不得高于最高限价。报价应包含材料费、人工费、设备费、运输费、装卸费、现场保管仓储费、安装费、验收费、质保期内维修保养费、管理费、税费及合同实施过程中的不可预见费用等全部费用。 3.供应商应自行核算项目正常、合法运作及使用所必需的费用，费用应在报价中清楚列明，如出现任何遗漏内容需产生额外费用，均由供应商自行承担，采购人将不再另行支付任何费用。</w:t>
            </w:r>
          </w:p>
          <w:p>
            <w:pPr>
              <w:pStyle w:val="null3"/>
            </w:pPr>
            <w:r>
              <w:rPr/>
              <w:t>二、质保要求，1.自采购人和成交供应商在设备或产品安装调试验收后的验收书上签字之日起2年为提升与完善管理服务质量保证期。质量保证期内成交供应商对所供产品实行包修、包换、包退、包管理维护和使用保养，所有质保费用均已包含在总报价中。质保期满后，应提供优先的有偿售后服务及按不高于投标文件中清单所报价格供应原厂零配件、易损件等。 2.非人为因素或不可抗因素影响，产品出现质量问题不能维持验收标准，则通过验收即日起2个月内完成换货，2年内如有质量问题则更换产品，费用由供应商承担。 3.对采购人的服务通知，供应商在接报后2小时内响应，24小时内到达现场，48小时内处理完毕。若在48小时内仍未能有效解决，供应商须提供同等质量标准的产品予采购人临时使用。 4.供应商须设有7×24小时维修服务电话，负责解答用户在产品使用中遇到的问题，及时提出解决问题的建议和方法。 5.供应商应向采购人提供全方位、及时而有效的技术支持和服务。</w:t>
            </w:r>
          </w:p>
          <w:p>
            <w:pPr>
              <w:pStyle w:val="null3"/>
            </w:pPr>
            <w:r>
              <w:rPr/>
              <w:t>三、测量安装调试，1.成交供应商负责病媒生物防制基础设施提升与完善管理服务期间所需产品的上门测量尺寸、包装、运输、安装、调试、维护保养等工作，并承担由此产生的所有费用，成交供应商负责到采购人指定的地点进行测量、安装、调试、维护保养。 2.成交供应商应提交详细安装进度表。 3.成交供应商应设安装负责人，负责安装协调管理工作。 4.病媒生物防制基础设施提升与完善管理服务所需产品的测量、安装、调试等项工作由成交供应商负责，但必须在采购人指定人员的参与下进行。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防蚊类设施提升与完善管理服务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2,168,820.00</w:t>
            </w:r>
          </w:p>
        </w:tc>
        <w:tc>
          <w:tcPr>
            <w:tcW w:type="dxa" w:w="933"/>
          </w:tcPr>
          <w:p>
            <w:pPr>
              <w:pStyle w:val="null3"/>
              <w:jc w:val="right"/>
            </w:pPr>
            <w:r>
              <w:rPr/>
              <w:t>2,168,820.00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防蚊类设施提升与完善管理服务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一、服务要求</w:t>
            </w:r>
          </w:p>
          <w:p>
            <w:pPr>
              <w:pStyle w:val="null3"/>
            </w:pPr>
            <w:r>
              <w:rPr/>
              <w:t>1.</w:t>
            </w:r>
            <w:r>
              <w:rPr/>
              <w:t>供应商</w:t>
            </w:r>
            <w:r>
              <w:rPr/>
              <w:t>按要求向采购人提供提升服务所需的设备（产品）并完成送货、配置安装、使用培训、维护管理、保养保修。</w:t>
            </w:r>
          </w:p>
          <w:p>
            <w:pPr>
              <w:pStyle w:val="null3"/>
            </w:pPr>
            <w:r>
              <w:rPr/>
              <w:t>▲</w:t>
            </w:r>
            <w:r>
              <w:rPr/>
              <w:t>2.</w:t>
            </w:r>
            <w:r>
              <w:rPr/>
              <w:t>供应商</w:t>
            </w:r>
            <w:r>
              <w:rPr/>
              <w:t>所</w:t>
            </w:r>
            <w:r>
              <w:rPr/>
              <w:t>提供</w:t>
            </w:r>
            <w:r>
              <w:rPr/>
              <w:t>的设施配套产品必须是原装、全新的，符合国家以及该产品的出厂标准。</w:t>
            </w:r>
            <w:r>
              <w:rPr/>
              <w:t>提供产品合格证、出厂证、厂家授权书、质量检测报告。</w:t>
            </w:r>
          </w:p>
          <w:p>
            <w:pPr>
              <w:pStyle w:val="null3"/>
            </w:pPr>
            <w:r>
              <w:rPr/>
              <w:t>3.</w:t>
            </w:r>
            <w:r>
              <w:rPr/>
              <w:t>供应商</w:t>
            </w:r>
            <w:r>
              <w:rPr/>
              <w:t>所</w:t>
            </w:r>
            <w:r>
              <w:rPr/>
              <w:t>提供</w:t>
            </w:r>
            <w:r>
              <w:rPr/>
              <w:t>的产品必须使用环保材料并符合国家环保要求及标准。</w:t>
            </w:r>
          </w:p>
          <w:p>
            <w:pPr>
              <w:pStyle w:val="null3"/>
            </w:pPr>
            <w:r>
              <w:rPr/>
              <w:t>▲</w:t>
            </w:r>
            <w:r>
              <w:rPr/>
              <w:t>4.</w:t>
            </w:r>
            <w:r>
              <w:rPr/>
              <w:t>供应商</w:t>
            </w:r>
            <w:r>
              <w:rPr/>
              <w:t>在</w:t>
            </w:r>
            <w:r>
              <w:rPr/>
              <w:t>2</w:t>
            </w:r>
            <w:r>
              <w:rPr/>
              <w:t>年</w:t>
            </w:r>
            <w:r>
              <w:rPr/>
              <w:t>提升与完善管理服务</w:t>
            </w:r>
            <w:r>
              <w:rPr/>
              <w:t>期间提供免费的</w:t>
            </w:r>
            <w:r>
              <w:rPr/>
              <w:t>包修、包换、包退、包运营管理、包维护保养</w:t>
            </w:r>
            <w:r>
              <w:rPr/>
              <w:t>等相关服务，</w:t>
            </w:r>
            <w:r>
              <w:rPr/>
              <w:t>确保设备在正常使用状态</w:t>
            </w:r>
            <w:r>
              <w:rPr/>
              <w:t>。</w:t>
            </w:r>
          </w:p>
          <w:p>
            <w:pPr>
              <w:pStyle w:val="null3"/>
            </w:pPr>
            <w:r>
              <w:rPr/>
              <w:t>二、详细技术（参数）要求</w:t>
            </w:r>
          </w:p>
          <w:p>
            <w:pPr>
              <w:pStyle w:val="null3"/>
            </w:pPr>
            <w:r>
              <w:rPr/>
              <w:t>（一）</w:t>
            </w:r>
            <w:r>
              <w:rPr/>
              <w:t>防蚊闸</w:t>
            </w:r>
            <w:r>
              <w:rPr/>
              <w:t>板</w:t>
            </w:r>
          </w:p>
          <w:p>
            <w:pPr>
              <w:pStyle w:val="null3"/>
            </w:pPr>
            <w:r>
              <w:rPr>
                <w:sz w:val="20"/>
              </w:rPr>
              <w:t>1.</w:t>
            </w:r>
            <w:r>
              <w:rPr>
                <w:sz w:val="20"/>
              </w:rPr>
              <w:t>项目概况</w:t>
            </w:r>
          </w:p>
          <w:p>
            <w:pPr>
              <w:pStyle w:val="null3"/>
            </w:pPr>
            <w:r>
              <w:rPr>
                <w:sz w:val="20"/>
              </w:rPr>
              <w:t>（</w:t>
            </w:r>
            <w:r>
              <w:rPr>
                <w:sz w:val="20"/>
              </w:rPr>
              <w:t>1</w:t>
            </w:r>
            <w:r>
              <w:rPr>
                <w:sz w:val="20"/>
              </w:rPr>
              <w:t>）</w:t>
            </w:r>
            <w:r>
              <w:rPr>
                <w:sz w:val="20"/>
              </w:rPr>
              <w:t>服务范围：</w:t>
            </w:r>
            <w:r>
              <w:rPr>
                <w:sz w:val="20"/>
              </w:rPr>
              <w:t>南沙</w:t>
            </w:r>
            <w:r>
              <w:rPr>
                <w:sz w:val="20"/>
              </w:rPr>
              <w:t>区辖内的公共外环境</w:t>
            </w:r>
            <w:r>
              <w:rPr>
                <w:sz w:val="20"/>
              </w:rPr>
              <w:t>及采购人指定区域</w:t>
            </w:r>
            <w:r>
              <w:rPr>
                <w:sz w:val="20"/>
              </w:rPr>
              <w:t>。公共外环境指除物业小区、机关团体、企事业单位、市场、工地等各类有责任主体单位外的区域，包括城中村、无物业居民区、公共绿地以及责任主体单位周边区域。</w:t>
            </w:r>
            <w:r>
              <w:rPr/>
              <w:t>提升与完善管理服务</w:t>
            </w:r>
            <w:r>
              <w:rPr>
                <w:sz w:val="20"/>
              </w:rPr>
              <w:t>服务期内安装防蚊闸板</w:t>
            </w:r>
            <w:r>
              <w:rPr>
                <w:sz w:val="20"/>
              </w:rPr>
              <w:t>不少于</w:t>
            </w:r>
            <w:r>
              <w:rPr>
                <w:sz w:val="20"/>
              </w:rPr>
              <w:t>27156</w:t>
            </w:r>
            <w:r>
              <w:rPr>
                <w:sz w:val="20"/>
              </w:rPr>
              <w:t>个。</w:t>
            </w:r>
          </w:p>
          <w:p>
            <w:pPr>
              <w:pStyle w:val="null3"/>
            </w:pPr>
            <w:r>
              <w:rPr>
                <w:sz w:val="20"/>
              </w:rPr>
              <w:t>（</w:t>
            </w:r>
            <w:r>
              <w:rPr>
                <w:sz w:val="20"/>
              </w:rPr>
              <w:t>2</w:t>
            </w:r>
            <w:r>
              <w:rPr>
                <w:sz w:val="20"/>
              </w:rPr>
              <w:t>）</w:t>
            </w:r>
            <w:r>
              <w:rPr>
                <w:sz w:val="20"/>
              </w:rPr>
              <w:t>服务内容：完成所有</w:t>
            </w:r>
            <w:r>
              <w:rPr>
                <w:sz w:val="20"/>
              </w:rPr>
              <w:t>辖内</w:t>
            </w:r>
            <w:r>
              <w:rPr>
                <w:sz w:val="20"/>
              </w:rPr>
              <w:t>范围内应装未装和原有破损防蚊闸板的新装或换新，服务期内做好日常维护保持防蚊闸板在正常使用状态</w:t>
            </w:r>
            <w:r>
              <w:rPr>
                <w:sz w:val="20"/>
              </w:rPr>
              <w:t>，</w:t>
            </w:r>
            <w:r>
              <w:rPr>
                <w:sz w:val="20"/>
              </w:rPr>
              <w:t>及时对遗失、损坏的防蚊闸板进行补充，保证防蚊闸的总量。</w:t>
            </w:r>
          </w:p>
          <w:p>
            <w:pPr>
              <w:pStyle w:val="null3"/>
            </w:pPr>
            <w:r>
              <w:rPr/>
              <w:t>2.</w:t>
            </w:r>
            <w:r>
              <w:rPr>
                <w:sz w:val="20"/>
              </w:rPr>
              <w:t>技术参数要求</w:t>
            </w:r>
          </w:p>
          <w:p>
            <w:pPr>
              <w:pStyle w:val="null3"/>
            </w:pPr>
            <w:r>
              <w:rPr/>
              <w:t>（</w:t>
            </w:r>
            <w:r>
              <w:rPr/>
              <w:t>1</w:t>
            </w:r>
            <w:r>
              <w:rPr/>
              <w:t>）</w:t>
            </w:r>
            <w:r>
              <w:rPr/>
              <w:t>所需</w:t>
            </w:r>
            <w:r>
              <w:rPr/>
              <w:t>数量：不少于</w:t>
            </w:r>
            <w:r>
              <w:rPr/>
              <w:t>27156</w:t>
            </w:r>
            <w:r>
              <w:rPr/>
              <w:t>个。</w:t>
            </w:r>
          </w:p>
          <w:p>
            <w:pPr>
              <w:pStyle w:val="null3"/>
            </w:pPr>
            <w:r>
              <w:rPr/>
              <w:t>（</w:t>
            </w:r>
            <w:r>
              <w:rPr/>
              <w:t>2</w:t>
            </w:r>
            <w:r>
              <w:rPr/>
              <w:t>）</w:t>
            </w:r>
            <w:r>
              <w:rPr/>
              <w:t>参考规格：</w:t>
            </w:r>
            <w:r>
              <w:rPr/>
              <w:t>约为</w:t>
            </w:r>
            <w:r>
              <w:rPr/>
              <w:t>400mm</w:t>
            </w:r>
            <w:r>
              <w:rPr/>
              <w:t>×</w:t>
            </w:r>
            <w:r>
              <w:rPr/>
              <w:t>400mm</w:t>
            </w:r>
            <w:r>
              <w:rPr/>
              <w:t>；</w:t>
            </w:r>
            <w:r>
              <w:rPr/>
              <w:t>500mm</w:t>
            </w:r>
            <w:r>
              <w:rPr/>
              <w:t>×</w:t>
            </w:r>
            <w:r>
              <w:rPr/>
              <w:t>300mm</w:t>
            </w:r>
            <w:r>
              <w:rPr/>
              <w:t>；</w:t>
            </w:r>
            <w:r>
              <w:rPr/>
              <w:t>6000mm</w:t>
            </w:r>
            <w:r>
              <w:rPr/>
              <w:t>×</w:t>
            </w:r>
            <w:r>
              <w:rPr/>
              <w:t>400mm</w:t>
            </w:r>
            <w:r>
              <w:rPr/>
              <w:t>；</w:t>
            </w:r>
            <w:r>
              <w:rPr/>
              <w:t>690mm</w:t>
            </w:r>
            <w:r>
              <w:rPr/>
              <w:t>×</w:t>
            </w:r>
            <w:r>
              <w:rPr/>
              <w:t>390mm</w:t>
            </w:r>
            <w:r>
              <w:rPr/>
              <w:t>；</w:t>
            </w:r>
            <w:r>
              <w:rPr/>
              <w:t>750mm</w:t>
            </w:r>
            <w:r>
              <w:rPr/>
              <w:t>×</w:t>
            </w:r>
            <w:r>
              <w:rPr/>
              <w:t>450mm</w:t>
            </w:r>
            <w:r>
              <w:rPr/>
              <w:t>；</w:t>
            </w:r>
            <w:r>
              <w:rPr/>
              <w:t>750mm</w:t>
            </w:r>
            <w:r>
              <w:rPr/>
              <w:t>×</w:t>
            </w:r>
            <w:r>
              <w:rPr/>
              <w:t>300mm</w:t>
            </w:r>
            <w:r>
              <w:rPr/>
              <w:t>等（以实际尺寸为准）。</w:t>
            </w:r>
          </w:p>
          <w:p>
            <w:pPr>
              <w:pStyle w:val="null3"/>
            </w:pPr>
            <w:r>
              <w:rPr/>
              <w:t>（</w:t>
            </w:r>
            <w:r>
              <w:rPr/>
              <w:t>3</w:t>
            </w:r>
            <w:r>
              <w:rPr/>
              <w:t>）材料：玻璃纤维复合材料，厚度不少于</w:t>
            </w:r>
            <w:r>
              <w:rPr/>
              <w:t>2</w:t>
            </w:r>
            <w:r>
              <w:rPr/>
              <w:t>毫米。</w:t>
            </w:r>
          </w:p>
          <w:p>
            <w:pPr>
              <w:pStyle w:val="null3"/>
            </w:pPr>
            <w:r>
              <w:rPr/>
              <w:t>▲</w:t>
            </w:r>
            <w:r>
              <w:rPr/>
              <w:t>（</w:t>
            </w:r>
            <w:r>
              <w:rPr/>
              <w:t>4</w:t>
            </w:r>
            <w:r>
              <w:rPr/>
              <w:t>）工艺要求：外形呈漏斗状。漏斗下水处有一活动挡板，斗体和活动挡板均通过注塑工艺一次成型。</w:t>
            </w:r>
          </w:p>
          <w:p>
            <w:pPr>
              <w:pStyle w:val="null3"/>
            </w:pPr>
            <w:r>
              <w:rPr/>
              <w:t>3.</w:t>
            </w:r>
            <w:r>
              <w:rPr/>
              <w:t>安装</w:t>
            </w:r>
            <w:r>
              <w:rPr/>
              <w:t>布置要求：</w:t>
            </w:r>
          </w:p>
          <w:p>
            <w:pPr>
              <w:pStyle w:val="null3"/>
            </w:pPr>
            <w:r>
              <w:rPr/>
              <w:t>（</w:t>
            </w:r>
            <w:r>
              <w:rPr/>
              <w:t>1</w:t>
            </w:r>
            <w:r>
              <w:rPr/>
              <w:t>）供应商须配合采购人（或采购人指定单位）</w:t>
            </w:r>
            <w:r>
              <w:rPr/>
              <w:t>摸查</w:t>
            </w:r>
            <w:r>
              <w:rPr/>
              <w:t>区域内公共区域的</w:t>
            </w:r>
            <w:r>
              <w:rPr/>
              <w:t>应装未装和原有破损防蚊闸板的基础情况</w:t>
            </w:r>
            <w:r>
              <w:rPr/>
              <w:t>，</w:t>
            </w:r>
            <w:r>
              <w:rPr/>
              <w:t>并</w:t>
            </w:r>
            <w:r>
              <w:rPr/>
              <w:t>严格按照摸查的</w:t>
            </w:r>
            <w:r>
              <w:rPr/>
              <w:t>点位</w:t>
            </w:r>
            <w:r>
              <w:rPr/>
              <w:t>、数量、尺寸进行</w:t>
            </w:r>
            <w:r>
              <w:rPr/>
              <w:t>提升完善与</w:t>
            </w:r>
            <w:r>
              <w:rPr/>
              <w:t>安装</w:t>
            </w:r>
            <w:r>
              <w:rPr/>
              <w:t>管理服务</w:t>
            </w:r>
            <w:r>
              <w:rPr/>
              <w:t>，包括标准尺寸下水道口和非标准尺寸下水道口，特殊原因不能安装的下水道口需要与镇街确认（如深度不够、盖子无法打开）</w:t>
            </w:r>
            <w:r>
              <w:rPr/>
              <w:t>。</w:t>
            </w:r>
          </w:p>
          <w:p>
            <w:pPr>
              <w:pStyle w:val="null3"/>
            </w:pPr>
            <w:r>
              <w:rPr>
                <w:sz w:val="20"/>
              </w:rPr>
              <w:t>（</w:t>
            </w:r>
            <w:r>
              <w:rPr>
                <w:sz w:val="20"/>
              </w:rPr>
              <w:t>2</w:t>
            </w:r>
            <w:r>
              <w:rPr>
                <w:sz w:val="20"/>
              </w:rPr>
              <w:t>）</w:t>
            </w:r>
            <w:r>
              <w:rPr/>
              <w:t>防蚊闸板材料以玻璃纤维复合材料为主，非标准尺寸下水道口的用镀锌钢板</w:t>
            </w:r>
            <w:r>
              <w:rPr/>
              <w:t>。</w:t>
            </w:r>
          </w:p>
          <w:p>
            <w:pPr>
              <w:pStyle w:val="null3"/>
            </w:pPr>
            <w:r>
              <w:rPr>
                <w:sz w:val="20"/>
              </w:rPr>
              <w:t>（</w:t>
            </w:r>
            <w:r>
              <w:rPr>
                <w:sz w:val="20"/>
              </w:rPr>
              <w:t>3</w:t>
            </w:r>
            <w:r>
              <w:rPr>
                <w:sz w:val="20"/>
              </w:rPr>
              <w:t>）</w:t>
            </w:r>
            <w:r>
              <w:rPr/>
              <w:t>供应商</w:t>
            </w:r>
            <w:r>
              <w:rPr>
                <w:sz w:val="20"/>
              </w:rPr>
              <w:t>须配合采购人</w:t>
            </w:r>
            <w:r>
              <w:rPr/>
              <w:t>（或采购人指定单位）</w:t>
            </w:r>
            <w:r>
              <w:rPr>
                <w:sz w:val="20"/>
              </w:rPr>
              <w:t>日常</w:t>
            </w:r>
            <w:r>
              <w:rPr>
                <w:sz w:val="20"/>
              </w:rPr>
              <w:t>巡查</w:t>
            </w:r>
            <w:r>
              <w:rPr>
                <w:sz w:val="20"/>
              </w:rPr>
              <w:t>并提升</w:t>
            </w:r>
            <w:r>
              <w:rPr>
                <w:sz w:val="20"/>
              </w:rPr>
              <w:t>完善区域内公共区域的防蚊闸，确保符合国家卫生城市标准和病媒生物防制要求。防蚊闸板以投放区域实际需求量为准，并</w:t>
            </w:r>
            <w:r>
              <w:rPr>
                <w:sz w:val="20"/>
              </w:rPr>
              <w:t>在</w:t>
            </w:r>
            <w:r>
              <w:rPr>
                <w:sz w:val="20"/>
              </w:rPr>
              <w:t>2</w:t>
            </w:r>
            <w:r>
              <w:rPr>
                <w:sz w:val="20"/>
              </w:rPr>
              <w:t>年质保期内</w:t>
            </w:r>
            <w:r>
              <w:rPr>
                <w:sz w:val="20"/>
              </w:rPr>
              <w:t>及时对遗失、损坏的进行补充，保证防蚊闸的总量。</w:t>
            </w:r>
          </w:p>
          <w:p>
            <w:pPr>
              <w:pStyle w:val="null3"/>
            </w:pPr>
            <w:r>
              <w:rPr/>
              <w:t>（</w:t>
            </w:r>
            <w:r>
              <w:rPr/>
              <w:t>4</w:t>
            </w:r>
            <w:r>
              <w:rPr/>
              <w:t>）</w:t>
            </w:r>
            <w:r>
              <w:rPr/>
              <w:t>防蚊闸板安装后，</w:t>
            </w:r>
            <w:r>
              <w:rPr/>
              <w:t>供应商</w:t>
            </w:r>
            <w:r>
              <w:rPr/>
              <w:t>应以镇街、社区、巷道为单位登记造册防蚊闸安装台账，包括编号、位置、设置时间、维护记录、图片等，定期</w:t>
            </w:r>
            <w:r>
              <w:rPr/>
              <w:t>巡查维护并</w:t>
            </w:r>
            <w:r>
              <w:rPr/>
              <w:t>上交至采购人。</w:t>
            </w:r>
          </w:p>
          <w:p>
            <w:pPr>
              <w:pStyle w:val="null3"/>
            </w:pPr>
            <w:r>
              <w:rPr/>
              <w:t>4.</w:t>
            </w:r>
            <w:r>
              <w:rPr/>
              <w:t>安装维护要求：</w:t>
            </w:r>
          </w:p>
          <w:p>
            <w:pPr>
              <w:pStyle w:val="null3"/>
            </w:pPr>
            <w:r>
              <w:rPr/>
              <w:t>▲</w:t>
            </w:r>
            <w:r>
              <w:rPr/>
              <w:t>（</w:t>
            </w:r>
            <w:r>
              <w:rPr/>
              <w:t>1</w:t>
            </w:r>
            <w:r>
              <w:rPr/>
              <w:t>）供应商可通过</w:t>
            </w:r>
            <w:r>
              <w:rPr/>
              <w:t>app</w:t>
            </w:r>
            <w:r>
              <w:rPr/>
              <w:t>或</w:t>
            </w:r>
            <w:r>
              <w:rPr>
                <w:sz w:val="20"/>
              </w:rPr>
              <w:t>微信小程序</w:t>
            </w:r>
            <w:r>
              <w:rPr>
                <w:sz w:val="20"/>
              </w:rPr>
              <w:t>等</w:t>
            </w:r>
            <w:r>
              <w:rPr>
                <w:sz w:val="20"/>
              </w:rPr>
              <w:t>移动设备端录入编号、详细地址、规格、防蚊闸照片、安装地点标志性照片、安装时间、安装人</w:t>
            </w:r>
            <w:r>
              <w:rPr>
                <w:sz w:val="20"/>
              </w:rPr>
              <w:t>，</w:t>
            </w:r>
            <w:r>
              <w:rPr>
                <w:sz w:val="20"/>
              </w:rPr>
              <w:t>实现防蚊闸安装位置现场定位数据、安装资料、现场情况实时拍照上报建档，生成电子地图标识</w:t>
            </w:r>
            <w:r>
              <w:rPr>
                <w:sz w:val="20"/>
              </w:rPr>
              <w:t>。</w:t>
            </w:r>
          </w:p>
          <w:p>
            <w:pPr>
              <w:pStyle w:val="null3"/>
            </w:pPr>
            <w:r>
              <w:rPr/>
              <w:t>（</w:t>
            </w:r>
            <w:r>
              <w:rPr/>
              <w:t>2</w:t>
            </w:r>
            <w:r>
              <w:rPr/>
              <w:t>）供应商</w:t>
            </w:r>
            <w:r>
              <w:rPr>
                <w:sz w:val="20"/>
              </w:rPr>
              <w:t>在防蚊闸维护过程中可以通过</w:t>
            </w:r>
            <w:r>
              <w:rPr/>
              <w:t>app</w:t>
            </w:r>
            <w:r>
              <w:rPr/>
              <w:t>或</w:t>
            </w:r>
            <w:r>
              <w:rPr>
                <w:sz w:val="20"/>
              </w:rPr>
              <w:t>微信小程序</w:t>
            </w:r>
            <w:r>
              <w:rPr>
                <w:sz w:val="20"/>
              </w:rPr>
              <w:t>等</w:t>
            </w:r>
            <w:r>
              <w:rPr>
                <w:sz w:val="20"/>
              </w:rPr>
              <w:t>移动设备端定期巡检，定位实时报到，损坏拍照上报更换</w:t>
            </w:r>
            <w:r>
              <w:rPr>
                <w:sz w:val="20"/>
              </w:rPr>
              <w:t>，</w:t>
            </w:r>
            <w:r>
              <w:rPr>
                <w:sz w:val="20"/>
              </w:rPr>
              <w:t>可以查看及录入</w:t>
            </w:r>
            <w:r>
              <w:rPr>
                <w:sz w:val="20"/>
              </w:rPr>
              <w:t>维护的防蚊闸使用状态（正常、破损、缺失、堵塞）、维护内容（疏通、换新、新装或其它）、维护时间、维护人、备注</w:t>
            </w:r>
            <w:r>
              <w:rPr>
                <w:sz w:val="20"/>
              </w:rPr>
              <w:t>。</w:t>
            </w:r>
          </w:p>
          <w:p>
            <w:pPr>
              <w:pStyle w:val="null3"/>
            </w:pPr>
            <w:r>
              <w:rPr>
                <w:sz w:val="20"/>
              </w:rPr>
              <w:t>（</w:t>
            </w:r>
            <w:r>
              <w:rPr>
                <w:sz w:val="20"/>
              </w:rPr>
              <w:t>3</w:t>
            </w:r>
            <w:r>
              <w:rPr>
                <w:sz w:val="20"/>
              </w:rPr>
              <w:t>）</w:t>
            </w:r>
            <w:r>
              <w:rPr>
                <w:sz w:val="20"/>
              </w:rPr>
              <w:t>采购人通过移动设备端</w:t>
            </w:r>
            <w:r>
              <w:rPr>
                <w:sz w:val="20"/>
              </w:rPr>
              <w:t>查看或导出防蚊闸</w:t>
            </w:r>
            <w:r>
              <w:rPr>
                <w:sz w:val="20"/>
              </w:rPr>
              <w:t>安装维护</w:t>
            </w:r>
            <w:r>
              <w:rPr>
                <w:sz w:val="20"/>
              </w:rPr>
              <w:t>台账（包括编号、详细地址、防蚊闸照片、安装地点标志性照片、规格、使用状态、更新时间、备注）</w:t>
            </w:r>
            <w:r>
              <w:rPr>
                <w:sz w:val="20"/>
              </w:rPr>
              <w:t>、</w:t>
            </w:r>
            <w:r>
              <w:rPr>
                <w:sz w:val="20"/>
              </w:rPr>
              <w:t>防蚊闸维护记录（包括编号、详细地址、规格、使用状态、维护内容、备注）</w:t>
            </w:r>
            <w:r>
              <w:rPr>
                <w:sz w:val="20"/>
              </w:rPr>
              <w:t>、</w:t>
            </w:r>
            <w:r>
              <w:rPr>
                <w:sz w:val="20"/>
              </w:rPr>
              <w:t>防蚊闸维护统计情况，统计内容包括</w:t>
            </w:r>
            <w:r>
              <w:rPr>
                <w:sz w:val="20"/>
              </w:rPr>
              <w:t>镇</w:t>
            </w:r>
            <w:r>
              <w:rPr>
                <w:sz w:val="20"/>
              </w:rPr>
              <w:t>街</w:t>
            </w:r>
            <w:r>
              <w:rPr>
                <w:sz w:val="20"/>
              </w:rPr>
              <w:t>、</w:t>
            </w:r>
            <w:r>
              <w:rPr>
                <w:sz w:val="20"/>
              </w:rPr>
              <w:t>镇街</w:t>
            </w:r>
            <w:r>
              <w:rPr>
                <w:sz w:val="20"/>
              </w:rPr>
              <w:t>防蚊闸总数、</w:t>
            </w:r>
            <w:r>
              <w:rPr>
                <w:sz w:val="20"/>
              </w:rPr>
              <w:t>村居</w:t>
            </w:r>
            <w:r>
              <w:rPr>
                <w:sz w:val="20"/>
              </w:rPr>
              <w:t>、</w:t>
            </w:r>
            <w:r>
              <w:rPr>
                <w:sz w:val="20"/>
              </w:rPr>
              <w:t>村居</w:t>
            </w:r>
            <w:r>
              <w:rPr>
                <w:sz w:val="20"/>
              </w:rPr>
              <w:t>防蚊闸总数、使用状态、维护内容、正常维护使用率。</w:t>
            </w:r>
          </w:p>
          <w:p>
            <w:pPr>
              <w:pStyle w:val="null3"/>
            </w:pPr>
            <w:r>
              <w:rPr/>
              <w:t>（二）</w:t>
            </w:r>
            <w:r>
              <w:rPr/>
              <w:t>电动吸蚊器</w:t>
            </w:r>
          </w:p>
          <w:p>
            <w:pPr>
              <w:pStyle w:val="null3"/>
            </w:pPr>
            <w:r>
              <w:rPr/>
              <w:t>1.</w:t>
            </w:r>
            <w:r>
              <w:rPr/>
              <w:t>服务内容：</w:t>
            </w:r>
            <w:r>
              <w:rPr/>
              <w:t>供应商</w:t>
            </w:r>
            <w:r>
              <w:rPr/>
              <w:t>按要求向采购人提供提升服务所需设备并完成送货、配置和使用培训，按照采购人</w:t>
            </w:r>
            <w:r>
              <w:rPr/>
              <w:t>（或采购人指定单位）</w:t>
            </w:r>
            <w:r>
              <w:rPr/>
              <w:t>日常使用需求，在</w:t>
            </w:r>
            <w:r>
              <w:rPr/>
              <w:t>2</w:t>
            </w:r>
            <w:r>
              <w:rPr/>
              <w:t>年</w:t>
            </w:r>
            <w:r>
              <w:rPr/>
              <w:t>提升与完善管理服务</w:t>
            </w:r>
            <w:r>
              <w:rPr/>
              <w:t>期间提供免费的</w:t>
            </w:r>
            <w:r>
              <w:rPr/>
              <w:t>包修、包换、包退、包维护保养</w:t>
            </w:r>
            <w:r>
              <w:rPr/>
              <w:t>等相关服务，</w:t>
            </w:r>
            <w:r>
              <w:rPr/>
              <w:t>确保设备在正常使用状态</w:t>
            </w:r>
            <w:r>
              <w:rPr/>
              <w:t>。</w:t>
            </w:r>
          </w:p>
          <w:p>
            <w:pPr>
              <w:pStyle w:val="null3"/>
            </w:pPr>
            <w:r>
              <w:rPr/>
              <w:t>2.</w:t>
            </w:r>
            <w:r>
              <w:rPr/>
              <w:t>技术参数要求</w:t>
            </w:r>
          </w:p>
          <w:p>
            <w:pPr>
              <w:pStyle w:val="null3"/>
            </w:pPr>
            <w:r>
              <w:rPr/>
              <w:t>（</w:t>
            </w:r>
            <w:r>
              <w:rPr/>
              <w:t>1</w:t>
            </w:r>
            <w:r>
              <w:rPr/>
              <w:t>）所需</w:t>
            </w:r>
            <w:r>
              <w:rPr/>
              <w:t>数量：不少于</w:t>
            </w:r>
            <w:r>
              <w:rPr/>
              <w:t>140</w:t>
            </w:r>
            <w:r>
              <w:rPr/>
              <w:t>台。</w:t>
            </w:r>
          </w:p>
          <w:p>
            <w:pPr>
              <w:pStyle w:val="null3"/>
            </w:pPr>
            <w:r>
              <w:rPr/>
              <w:t>（</w:t>
            </w:r>
            <w:r>
              <w:rPr/>
              <w:t>2</w:t>
            </w:r>
            <w:r>
              <w:rPr/>
              <w:t>）</w:t>
            </w:r>
            <w:r>
              <w:rPr/>
              <w:t>参考规格：</w:t>
            </w:r>
            <w:r>
              <w:rPr/>
              <w:t>电池容量不低于</w:t>
            </w:r>
            <w:r>
              <w:rPr/>
              <w:t>4000mah</w:t>
            </w:r>
            <w:r>
              <w:rPr/>
              <w:t>；风扇直径</w:t>
            </w:r>
            <w:r>
              <w:rPr/>
              <w:t>不小于</w:t>
            </w:r>
            <w:r>
              <w:rPr/>
              <w:t>66mm</w:t>
            </w:r>
            <w:r>
              <w:rPr/>
              <w:t>，共</w:t>
            </w:r>
            <w:r>
              <w:rPr/>
              <w:t>3</w:t>
            </w:r>
            <w:r>
              <w:rPr/>
              <w:t>翼；配置贮蚊罐；挡蚊网直径</w:t>
            </w:r>
            <w:r>
              <w:rPr/>
              <w:t>不小于</w:t>
            </w:r>
            <w:r>
              <w:rPr/>
              <w:t>70mm</w:t>
            </w:r>
            <w:r>
              <w:rPr/>
              <w:t>。</w:t>
            </w:r>
          </w:p>
          <w:p>
            <w:pPr>
              <w:pStyle w:val="null3"/>
            </w:pPr>
            <w:r>
              <w:rPr/>
              <w:t>（</w:t>
            </w:r>
            <w:r>
              <w:rPr/>
              <w:t>3</w:t>
            </w:r>
            <w:r>
              <w:rPr/>
              <w:t>）</w:t>
            </w:r>
            <w:r>
              <w:rPr/>
              <w:t>参考参数：续航时间大于</w:t>
            </w:r>
            <w:r>
              <w:rPr/>
              <w:t>60min</w:t>
            </w:r>
            <w:r>
              <w:rPr/>
              <w:t>；风速吸力大于</w:t>
            </w:r>
            <w:r>
              <w:rPr/>
              <w:t>4m/s</w:t>
            </w:r>
            <w:r>
              <w:rPr/>
              <w:t>；可拆卸更换贮蚊罐；可用常见充电方式（例：</w:t>
            </w:r>
            <w:r>
              <w:rPr/>
              <w:t>type-c</w:t>
            </w:r>
            <w:r>
              <w:rPr/>
              <w:t>接口）充电使用，可边供电边使用。</w:t>
            </w:r>
          </w:p>
          <w:p>
            <w:pPr>
              <w:pStyle w:val="null3"/>
            </w:pPr>
            <w:r>
              <w:rPr/>
              <w:t>（三）</w:t>
            </w:r>
            <w:r>
              <w:rPr/>
              <w:t>蚊虫自动监测仪</w:t>
            </w:r>
          </w:p>
          <w:p>
            <w:pPr>
              <w:pStyle w:val="null3"/>
            </w:pPr>
            <w:r>
              <w:rPr/>
              <w:t>1.</w:t>
            </w:r>
            <w:r>
              <w:rPr/>
              <w:t>服务内容：</w:t>
            </w:r>
            <w:r>
              <w:rPr/>
              <w:t>供应商</w:t>
            </w:r>
            <w:r>
              <w:rPr/>
              <w:t>按要求向采购人提供所需设备并完成送货，按照采购人</w:t>
            </w:r>
            <w:r>
              <w:rPr/>
              <w:t>（或采购人指定单位）</w:t>
            </w:r>
            <w:r>
              <w:rPr/>
              <w:t>日常使用需求，</w:t>
            </w:r>
            <w:r>
              <w:rPr/>
              <w:t>配备配套软件服务，并安排服务人员向采购人提供软件服务的运营管理、维护等服务</w:t>
            </w:r>
            <w:r>
              <w:rPr/>
              <w:t>，</w:t>
            </w:r>
            <w:r>
              <w:rPr/>
              <w:t>确保设备及配套软件在正常使用状态</w:t>
            </w:r>
            <w:r>
              <w:rPr/>
              <w:t>。</w:t>
            </w:r>
          </w:p>
          <w:p>
            <w:pPr>
              <w:pStyle w:val="null3"/>
            </w:pPr>
            <w:r>
              <w:rPr/>
              <w:t>2.</w:t>
            </w:r>
            <w:r>
              <w:rPr/>
              <w:t>技术参数要求：</w:t>
            </w:r>
          </w:p>
          <w:p>
            <w:pPr>
              <w:pStyle w:val="null3"/>
            </w:pPr>
            <w:r>
              <w:rPr/>
              <w:t>（</w:t>
            </w:r>
            <w:r>
              <w:rPr/>
              <w:t>1</w:t>
            </w:r>
            <w:r>
              <w:rPr/>
              <w:t>）</w:t>
            </w:r>
            <w:r>
              <w:rPr/>
              <w:t>所需</w:t>
            </w:r>
            <w:r>
              <w:rPr/>
              <w:t>数量：不少于</w:t>
            </w:r>
            <w:r>
              <w:rPr/>
              <w:t>8</w:t>
            </w:r>
            <w:r>
              <w:rPr/>
              <w:t>台。</w:t>
            </w:r>
          </w:p>
          <w:p>
            <w:pPr>
              <w:pStyle w:val="null3"/>
            </w:pPr>
            <w:r>
              <w:rPr/>
              <w:t>（</w:t>
            </w:r>
            <w:r>
              <w:rPr/>
              <w:t>2</w:t>
            </w:r>
            <w:r>
              <w:rPr/>
              <w:t>）</w:t>
            </w:r>
            <w:r>
              <w:rPr/>
              <w:t>参考规格：尺寸参考</w:t>
            </w:r>
            <w:r>
              <w:rPr/>
              <w:t>约为</w:t>
            </w:r>
            <w:r>
              <w:rPr/>
              <w:t>65*40*40cm</w:t>
            </w:r>
            <w:r>
              <w:rPr/>
              <w:t>；整机材质为</w:t>
            </w:r>
            <w:r>
              <w:rPr/>
              <w:t>ABS</w:t>
            </w:r>
            <w:r>
              <w:rPr/>
              <w:t>阻燃材料</w:t>
            </w:r>
            <w:r>
              <w:rPr/>
              <w:t>或金属材质</w:t>
            </w:r>
            <w:r>
              <w:rPr/>
              <w:t>。</w:t>
            </w:r>
          </w:p>
          <w:p>
            <w:pPr>
              <w:pStyle w:val="null3"/>
            </w:pPr>
            <w:r>
              <w:rPr/>
              <w:t>（</w:t>
            </w:r>
            <w:r>
              <w:rPr/>
              <w:t>3</w:t>
            </w:r>
            <w:r>
              <w:rPr/>
              <w:t>）</w:t>
            </w:r>
            <w:r>
              <w:rPr/>
              <w:t>参考参数：设置引诱剂释放口</w:t>
            </w:r>
            <w:r>
              <w:rPr/>
              <w:t>，</w:t>
            </w:r>
            <w:r>
              <w:rPr/>
              <w:t>可使用化学引诱剂进行蚊虫诱捕；设备应内置温度、湿度、光照等传感器；具有防盗功能；电池满电可使用持续不少于</w:t>
            </w:r>
            <w:r>
              <w:rPr/>
              <w:t>50</w:t>
            </w:r>
            <w:r>
              <w:rPr/>
              <w:t>小时。</w:t>
            </w:r>
          </w:p>
          <w:p>
            <w:pPr>
              <w:pStyle w:val="null3"/>
            </w:pPr>
            <w:r>
              <w:rPr/>
              <w:t>▲</w:t>
            </w:r>
            <w:r>
              <w:rPr/>
              <w:t>3.</w:t>
            </w:r>
            <w:r>
              <w:rPr/>
              <w:t>配置要求：需配置</w:t>
            </w:r>
            <w:r>
              <w:rPr/>
              <w:t>12</w:t>
            </w:r>
            <w:r>
              <w:rPr/>
              <w:t>个化学引诱剂，每台设备需搭配</w:t>
            </w:r>
            <w:r>
              <w:rPr/>
              <w:t>SIM</w:t>
            </w:r>
            <w:r>
              <w:rPr/>
              <w:t>卡</w:t>
            </w:r>
            <w:r>
              <w:rPr/>
              <w:t>以便实现配套软件管理服务。</w:t>
            </w:r>
          </w:p>
          <w:p>
            <w:pPr>
              <w:pStyle w:val="null3"/>
            </w:pPr>
            <w:r>
              <w:rPr/>
              <w:t>4.</w:t>
            </w:r>
            <w:r>
              <w:rPr/>
              <w:t>配套软件服务：</w:t>
            </w:r>
          </w:p>
          <w:p>
            <w:pPr>
              <w:pStyle w:val="null3"/>
            </w:pPr>
            <w:r>
              <w:rPr/>
              <w:t>（</w:t>
            </w:r>
            <w:r>
              <w:rPr/>
              <w:t>1</w:t>
            </w:r>
            <w:r>
              <w:rPr/>
              <w:t>）</w:t>
            </w:r>
            <w:r>
              <w:rPr/>
              <w:t>供应商应</w:t>
            </w:r>
            <w:r>
              <w:rPr/>
              <w:t>采用物联网等互联网技术将设备</w:t>
            </w:r>
            <w:r>
              <w:rPr/>
              <w:t>监测</w:t>
            </w:r>
            <w:r>
              <w:rPr/>
              <w:t>数据上传到</w:t>
            </w:r>
            <w:r>
              <w:rPr/>
              <w:t>配套</w:t>
            </w:r>
            <w:r>
              <w:rPr/>
              <w:t>软件平台，</w:t>
            </w:r>
            <w:r>
              <w:rPr/>
              <w:t>利用传感器等配置</w:t>
            </w:r>
            <w:r>
              <w:rPr/>
              <w:t>检知媒介蚊虫</w:t>
            </w:r>
            <w:r>
              <w:rPr/>
              <w:t>并</w:t>
            </w:r>
            <w:r>
              <w:rPr/>
              <w:t>实时传输相关数据</w:t>
            </w:r>
            <w:r>
              <w:rPr/>
              <w:t>到软件平台。</w:t>
            </w:r>
          </w:p>
          <w:p>
            <w:pPr>
              <w:pStyle w:val="null3"/>
            </w:pPr>
            <w:r>
              <w:rPr/>
              <w:t>（</w:t>
            </w:r>
            <w:r>
              <w:rPr/>
              <w:t>2</w:t>
            </w:r>
            <w:r>
              <w:rPr/>
              <w:t>）</w:t>
            </w:r>
            <w:r>
              <w:rPr/>
              <w:t>实现远程控制设备启动或关闭、</w:t>
            </w:r>
            <w:r>
              <w:rPr/>
              <w:t>远程实时查看设备工作状态及相关传感器参数</w:t>
            </w:r>
            <w:r>
              <w:rPr/>
              <w:t>、</w:t>
            </w:r>
            <w:r>
              <w:rPr/>
              <w:t>运维管理等功能</w:t>
            </w:r>
            <w:r>
              <w:rPr/>
              <w:t>。</w:t>
            </w:r>
          </w:p>
          <w:p>
            <w:pPr>
              <w:pStyle w:val="null3"/>
            </w:pPr>
            <w:r>
              <w:rPr/>
              <w:t>（</w:t>
            </w:r>
            <w:r>
              <w:rPr/>
              <w:t>3</w:t>
            </w:r>
            <w:r>
              <w:rPr/>
              <w:t>）</w:t>
            </w:r>
            <w:r>
              <w:rPr/>
              <w:t>为采购人提供管理账号，可供采购人网页或移动端实时监测设备运行情况。</w:t>
            </w:r>
          </w:p>
          <w:p>
            <w:pPr>
              <w:pStyle w:val="null3"/>
            </w:pPr>
            <w:r>
              <w:rPr/>
              <w:t>（</w:t>
            </w:r>
            <w:r>
              <w:rPr/>
              <w:t>4</w:t>
            </w:r>
            <w:r>
              <w:rPr/>
              <w:t>）</w:t>
            </w:r>
            <w:r>
              <w:rPr/>
              <w:t>供应商</w:t>
            </w:r>
            <w:r>
              <w:rPr/>
              <w:t>通过对过程数据有效采集分析，</w:t>
            </w:r>
            <w:r>
              <w:rPr/>
              <w:t>提供报表导出、数据查看及历史数据导出等功能，定期向采购人提供数字分析报表（包括但不限于监测蚊虫数量统计、蚊虫密度走势、巡检计划表、设备故障分析、设备使用状态、巡检设备情况分析等），</w:t>
            </w:r>
            <w:r>
              <w:rPr/>
              <w:t>更好优化管理流程。</w:t>
            </w:r>
          </w:p>
          <w:p>
            <w:pPr>
              <w:pStyle w:val="null3"/>
            </w:pPr>
            <w:r>
              <w:rPr/>
              <w:t>（</w:t>
            </w:r>
            <w:r>
              <w:rPr/>
              <w:t>5</w:t>
            </w:r>
            <w:r>
              <w:rPr/>
              <w:t>）</w:t>
            </w:r>
            <w:r>
              <w:rPr/>
              <w:t>供应商在维保服务期内应提供免费上门维修、免费更换零部件，无法维修的设备，应免费更换整机设备。</w:t>
            </w:r>
          </w:p>
          <w:p>
            <w:pPr>
              <w:pStyle w:val="null3"/>
              <w:jc w:val="both"/>
            </w:pPr>
            <w:r>
              <w:rPr>
                <w:sz w:val="21"/>
              </w:rPr>
              <w:t>（</w:t>
            </w:r>
            <w:r>
              <w:rPr>
                <w:sz w:val="21"/>
              </w:rPr>
              <w:t>6</w:t>
            </w:r>
            <w:r>
              <w:rPr>
                <w:sz w:val="21"/>
              </w:rPr>
              <w:t>）自项目验收之日起，供应商为采购人提供验收后</w:t>
            </w:r>
            <w:r>
              <w:rPr>
                <w:sz w:val="21"/>
              </w:rPr>
              <w:t>2</w:t>
            </w:r>
            <w:r>
              <w:rPr>
                <w:sz w:val="21"/>
              </w:rPr>
              <w:t>年的免费运维服务</w:t>
            </w:r>
            <w:r>
              <w:rPr>
                <w:sz w:val="21"/>
              </w:rPr>
              <w:t>、</w:t>
            </w:r>
            <w:r>
              <w:rPr>
                <w:sz w:val="21"/>
              </w:rPr>
              <w:t>免费升级</w:t>
            </w:r>
            <w:r>
              <w:rPr>
                <w:sz w:val="21"/>
              </w:rPr>
              <w:t>及</w:t>
            </w:r>
            <w:r>
              <w:rPr>
                <w:sz w:val="21"/>
              </w:rPr>
              <w:t>技术支持，保证</w:t>
            </w:r>
            <w:r>
              <w:rPr>
                <w:sz w:val="21"/>
              </w:rPr>
              <w:t>软件</w:t>
            </w:r>
            <w:r>
              <w:rPr>
                <w:sz w:val="21"/>
              </w:rPr>
              <w:t>平台顺利运行，费用计入投标总价；维护期内，所有软件平台维护均为免费，免费提供系统扩充、升级方面的技术支持服务；维护期外，提供终生有偿维护服务，单机不高于维护期内维护服务的合同单价。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采购包2（灭蚊灯设施提升与完善管理服务）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合同生效后2个月内完成提升与完善管理服务所需产品的交货、安装、验收及使用培训，所有产品提供出厂合格证书、出厂检测报告、厂家装箱清单、使用说明、操作手册、随机附件及其他相关资料。</w:t>
            </w:r>
          </w:p>
        </w:tc>
      </w:tr>
      <w:tr>
        <w:tc>
          <w:tcPr>
            <w:tcW w:type="dxa" w:w="4153"/>
          </w:tcPr>
          <w:p>
            <w:pPr>
              <w:pStyle w:val="null3"/>
            </w:pPr>
            <w:r>
              <w:rPr/>
              <w:t>标的提供的地点</w:t>
            </w:r>
          </w:p>
        </w:tc>
        <w:tc>
          <w:tcPr>
            <w:tcW w:type="dxa" w:w="4153"/>
          </w:tcPr>
          <w:p>
            <w:pPr>
              <w:pStyle w:val="null3"/>
            </w:pPr>
            <w:r>
              <w:rPr/>
              <w:t>广州市南沙区行政区范围内采购人指定地点</w:t>
            </w:r>
          </w:p>
        </w:tc>
      </w:tr>
      <w:tr>
        <w:tc>
          <w:tcPr>
            <w:tcW w:type="dxa" w:w="4153"/>
          </w:tcPr>
          <w:p>
            <w:pPr>
              <w:pStyle w:val="null3"/>
            </w:pPr>
            <w:r>
              <w:rPr/>
              <w:t>付款方式</w:t>
            </w:r>
          </w:p>
        </w:tc>
        <w:tc>
          <w:tcPr>
            <w:tcW w:type="dxa" w:w="4153"/>
          </w:tcPr>
          <w:p>
            <w:pPr>
              <w:pStyle w:val="null3"/>
            </w:pPr>
            <w:r>
              <w:rPr/>
              <w:t>1期：支付比例40%,合同生效后30个工作日内，采购人先行支付成交供应商40%的合同款项。</w:t>
            </w:r>
          </w:p>
          <w:p>
            <w:pPr>
              <w:pStyle w:val="null3"/>
            </w:pPr>
            <w:r>
              <w:rPr/>
              <w:t>2期：支付比例40%,成交供应商安装完成50%供货量时，提供供货安装材料（安装数量、地点、图片及其他有关资料）及经采购人（或采购人指定的单位）验收合格后，采购人支付成交供应商40%的合同款项。</w:t>
            </w:r>
          </w:p>
          <w:p>
            <w:pPr>
              <w:pStyle w:val="null3"/>
            </w:pPr>
            <w:r>
              <w:rPr/>
              <w:t>3期：支付比例20%,成交供应商完成交货、安装及采购人（或采购人指定的单位）验收合格后，采购人收齐发票后的30个工作日内支付剩余20%的合同款项。 【合同款支付说明： 1.本项目为包干价，合同实施期间不再调整； 2.具体方式和时间以实际签署相应服务合同约定为准； 3.因采购人使用的是财政资金，在规定的付款时间向政府财政部门提出办理财政支付申请手续的时间（不含政府财政支付部门审核的时间），即视为采购人已经按期支付，政府财政部门审核支付导致实际付款延迟的，采购人不须承担违约责任； 4.成交供应商须向采购人提供完税后的合法发票，才可收取服务费用。成交供应商延迟提供发票的，采购人付款的时间相应顺延。】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1期：（1）提升与完善管理服务验收工作由采购人（或采购人指定单位）和成交供应商共同进行。 （2）由采购人对产品的质量、规格、数量和运行状况及其他进行检验。如发现质量、规格、数量和运行状况等任何一项与招标要求规定不符，采购人有权拒绝验收。 （3）当出现不合格产品时，成交供应商要无条件更换合格产品。除采购人认可，否则不接受任何形式的降格处理。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收取比例：5%,说明：收到成交通知书后7个工作日内，成交供应商向采购人以支票、汇票、本票或者金融机构、担保机构出具的保函等形式提交，履约保证金的金额为成交金额5%。采购人确认成交供应商全部义务履行完毕且无违约责任后30个工作日内无息退回。</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一、报价要求，1.合同生效后2个月内完成提升与完善管理服务所需产品的交货、安装、验收及培训使用。 2.采购包报价不得高于最高限价。报价应包含材料费、人工费、设备费、运输费、装卸费、现场保管仓储费、安装费、验收费、质保期内维修保养费、管理费、税费及合同实施过程中的不可预见费用等全部费用。 3.供应商应自行核算项目正常、合法运作及使用所必需的费用，费用应在报价中清楚列明，如出现任何遗漏内容需产生额外费用，均由供应商自行承担，采购人将不再另行支付任何费用。</w:t>
            </w:r>
          </w:p>
          <w:p>
            <w:pPr>
              <w:pStyle w:val="null3"/>
            </w:pPr>
            <w:r>
              <w:rPr/>
              <w:t>二、质保要求，1.自采购人和成交供应商代表在产品安装调试验收后的验收书上签字之日起2年为提升与完善管理服务质量保证期。质量保证期内成交供应商对所供产品实行包修、包换、包退、包管理维护和使用保养，所有质保费用均已包含在总报价中。质保期满后，应提供优先的有偿售后服务及按不高于投标文件中清单所报价格供应原厂零配件、易损件等。 2.非人为因素或不可抗因素影响，产品出现质量问题不能维持验收标准，则通过验收即日起2个月内完成换货，2年内如有质量问题则更换产品，费用由供应商承担。 3.对采购人的服务通知，供应商在接报后2小时内响应，24小时内到达现场，48小时内处理完毕。若在48小时内仍未能有效解决，供应商须提供同等质量标准的产品予采购人临时使用。 4.供应商须设有7×24小时维修服务电话，负责解答用户在产品使用中遇到的问题，及时提出解决问题的建议和方法。 5.供应商应向采购人提供全方位、及时而有效的技术支持和服务。</w:t>
            </w:r>
          </w:p>
          <w:p>
            <w:pPr>
              <w:pStyle w:val="null3"/>
            </w:pPr>
            <w:r>
              <w:rPr/>
              <w:t>三、安装调试，1.成交供应商负责病媒生物防制基础设施提升与完善管理服务期间所需产品的包装、运输、安装、调试、维护保养等工作，并承担由此产生的所有费用，成交供应商负责到采购人指定的地点进行安装、调试。 2.成交供应商应提交详细安装进度表。 3.成交供应商应设安装负责人，负责安装协调管理工作。 4.病媒生物防制基础设施提升与完善管理服务期间所需产品的安装、调试等项工作由成交供应商负责，但必须在采购人指定人员的参与下进行。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灭蚊灯设施提升与完善管理服务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536,400.00</w:t>
            </w:r>
          </w:p>
        </w:tc>
        <w:tc>
          <w:tcPr>
            <w:tcW w:type="dxa" w:w="933"/>
          </w:tcPr>
          <w:p>
            <w:pPr>
              <w:pStyle w:val="null3"/>
              <w:jc w:val="right"/>
            </w:pPr>
            <w:r>
              <w:rPr/>
              <w:t>536,400.00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灭蚊灯设施提升与完善管理服务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一、服务要求</w:t>
            </w:r>
          </w:p>
          <w:p>
            <w:pPr>
              <w:pStyle w:val="null3"/>
            </w:pPr>
            <w:r>
              <w:rPr/>
              <w:t>1.</w:t>
            </w:r>
            <w:r>
              <w:rPr/>
              <w:t>供应商</w:t>
            </w:r>
            <w:r>
              <w:rPr/>
              <w:t>按要求向采购人提供提升服务所需的设备（产品）并完成送货、配置安装、使用培训、维护管理、保养保修。</w:t>
            </w:r>
          </w:p>
          <w:p>
            <w:pPr>
              <w:pStyle w:val="null3"/>
            </w:pPr>
            <w:r>
              <w:rPr/>
              <w:t>▲</w:t>
            </w:r>
            <w:r>
              <w:rPr/>
              <w:t>2.</w:t>
            </w:r>
            <w:r>
              <w:rPr/>
              <w:t>供应商</w:t>
            </w:r>
            <w:r>
              <w:rPr/>
              <w:t>所</w:t>
            </w:r>
            <w:r>
              <w:rPr/>
              <w:t>提供</w:t>
            </w:r>
            <w:r>
              <w:rPr/>
              <w:t>的设施配套产品必须是原装、全新的，符合国家以及该产品的出厂标准。</w:t>
            </w:r>
            <w:r>
              <w:rPr/>
              <w:t>提供产品合格证、出厂证、厂家授权书、质量检测报告。</w:t>
            </w:r>
          </w:p>
          <w:p>
            <w:pPr>
              <w:pStyle w:val="null3"/>
            </w:pPr>
            <w:r>
              <w:rPr/>
              <w:t>3.</w:t>
            </w:r>
            <w:r>
              <w:rPr/>
              <w:t>供应商</w:t>
            </w:r>
            <w:r>
              <w:rPr/>
              <w:t>所</w:t>
            </w:r>
            <w:r>
              <w:rPr/>
              <w:t>提供</w:t>
            </w:r>
            <w:r>
              <w:rPr/>
              <w:t>的产品必须使用环保材料并符合国家环保要求及标准。</w:t>
            </w:r>
          </w:p>
          <w:p>
            <w:pPr>
              <w:pStyle w:val="null3"/>
            </w:pPr>
            <w:r>
              <w:rPr/>
              <w:t>▲</w:t>
            </w:r>
            <w:r>
              <w:rPr/>
              <w:t>4.</w:t>
            </w:r>
            <w:r>
              <w:rPr/>
              <w:t>供应商</w:t>
            </w:r>
            <w:r>
              <w:rPr/>
              <w:t>按照采购人</w:t>
            </w:r>
            <w:r>
              <w:rPr/>
              <w:t>（或采购人指定单位）</w:t>
            </w:r>
            <w:r>
              <w:rPr/>
              <w:t>日常使用</w:t>
            </w:r>
            <w:r>
              <w:rPr/>
              <w:t>情况</w:t>
            </w:r>
            <w:r>
              <w:rPr/>
              <w:t>，</w:t>
            </w:r>
            <w:r>
              <w:rPr/>
              <w:t>在</w:t>
            </w:r>
            <w:r>
              <w:rPr/>
              <w:t>提升与完善管理服务</w:t>
            </w:r>
            <w:r>
              <w:rPr/>
              <w:t>2</w:t>
            </w:r>
            <w:r>
              <w:rPr/>
              <w:t>年期间提供免费的</w:t>
            </w:r>
            <w:r>
              <w:rPr/>
              <w:t>包修、包换、包退、包运营管理、包维护保养</w:t>
            </w:r>
            <w:r>
              <w:rPr/>
              <w:t>等相关服务，</w:t>
            </w:r>
            <w:r>
              <w:rPr/>
              <w:t>确保设备在正常使用状态</w:t>
            </w:r>
            <w:r>
              <w:rPr/>
              <w:t>。</w:t>
            </w:r>
          </w:p>
          <w:p>
            <w:pPr>
              <w:pStyle w:val="null3"/>
            </w:pPr>
            <w:r>
              <w:rPr/>
              <w:t>二、技术参数要求</w:t>
            </w:r>
          </w:p>
          <w:p>
            <w:pPr>
              <w:pStyle w:val="null3"/>
            </w:pPr>
            <w:r>
              <w:rPr/>
              <w:t>1.</w:t>
            </w:r>
            <w:r>
              <w:rPr/>
              <w:t>所需</w:t>
            </w:r>
            <w:r>
              <w:rPr/>
              <w:t>数量：电击式灭蚊灯不少于</w:t>
            </w:r>
            <w:r>
              <w:rPr/>
              <w:t>4260</w:t>
            </w:r>
            <w:r>
              <w:rPr/>
              <w:t>台，粘捕式灭蚊灯不少于</w:t>
            </w:r>
            <w:r>
              <w:rPr/>
              <w:t>740</w:t>
            </w:r>
            <w:r>
              <w:rPr/>
              <w:t>台。</w:t>
            </w:r>
          </w:p>
          <w:p>
            <w:pPr>
              <w:pStyle w:val="null3"/>
            </w:pPr>
            <w:r>
              <w:rPr/>
              <w:t>2.</w:t>
            </w:r>
            <w:r>
              <w:rPr/>
              <w:t>电击式灭蚊灯相关参数</w:t>
            </w:r>
          </w:p>
          <w:p>
            <w:pPr>
              <w:pStyle w:val="null3"/>
            </w:pPr>
            <w:r>
              <w:rPr/>
              <w:t>（</w:t>
            </w:r>
            <w:r>
              <w:rPr/>
              <w:t>1</w:t>
            </w:r>
            <w:r>
              <w:rPr/>
              <w:t>）</w:t>
            </w:r>
            <w:r>
              <w:rPr/>
              <w:t>参考规格：尺寸参考</w:t>
            </w:r>
            <w:r>
              <w:rPr/>
              <w:t>约为</w:t>
            </w:r>
            <w:r>
              <w:rPr/>
              <w:t>39*8.5*29.5cm</w:t>
            </w:r>
            <w:r>
              <w:rPr/>
              <w:t>、功率</w:t>
            </w:r>
            <w:r>
              <w:rPr/>
              <w:t>15-20W</w:t>
            </w:r>
            <w:r>
              <w:rPr/>
              <w:t>、</w:t>
            </w:r>
            <w:r>
              <w:rPr/>
              <w:t>LED</w:t>
            </w:r>
            <w:r>
              <w:rPr/>
              <w:t>双灯管型号</w:t>
            </w:r>
            <w:r>
              <w:rPr/>
              <w:t>2W-6W</w:t>
            </w:r>
            <w:r>
              <w:rPr/>
              <w:t>、适用面积</w:t>
            </w:r>
            <w:r>
              <w:rPr/>
              <w:t>60-100</w:t>
            </w:r>
            <w:r>
              <w:rPr/>
              <w:t>㎡。</w:t>
            </w:r>
          </w:p>
          <w:p>
            <w:pPr>
              <w:pStyle w:val="null3"/>
            </w:pPr>
            <w:r>
              <w:rPr/>
              <w:t>（</w:t>
            </w:r>
            <w:r>
              <w:rPr/>
              <w:t>2</w:t>
            </w:r>
            <w:r>
              <w:rPr/>
              <w:t>）参考</w:t>
            </w:r>
            <w:r>
              <w:rPr/>
              <w:t>参数：产品机身采用材质为铝合金，橡胶电源线需耐高温，防护网应采用曲网设计且间隙不高于</w:t>
            </w:r>
            <w:r>
              <w:rPr/>
              <w:t>8mm</w:t>
            </w:r>
            <w:r>
              <w:rPr/>
              <w:t>，采用电感式或磁力高压包可持续不间断放电，易拆卸灯管（打开防护网即可更换灯管、无需拆开机身更换），内设保险丝可自动断电保护，有</w:t>
            </w:r>
            <w:r>
              <w:rPr/>
              <w:t>2</w:t>
            </w:r>
            <w:r>
              <w:rPr/>
              <w:t>种或</w:t>
            </w:r>
            <w:r>
              <w:rPr/>
              <w:t>2</w:t>
            </w:r>
            <w:r>
              <w:rPr/>
              <w:t>种以上诱虫波段。</w:t>
            </w:r>
          </w:p>
          <w:p>
            <w:pPr>
              <w:pStyle w:val="null3"/>
            </w:pPr>
            <w:r>
              <w:rPr/>
              <w:t>▲</w:t>
            </w:r>
            <w:r>
              <w:rPr/>
              <w:t>（</w:t>
            </w:r>
            <w:r>
              <w:rPr/>
              <w:t>3</w:t>
            </w:r>
            <w:r>
              <w:rPr/>
              <w:t>）</w:t>
            </w:r>
            <w:r>
              <w:rPr/>
              <w:t>产品标准：</w:t>
            </w:r>
            <w:r>
              <w:rPr/>
              <w:t>产品应符合</w:t>
            </w:r>
            <w:r>
              <w:rPr/>
              <w:t>GB4706.1-2005</w:t>
            </w:r>
            <w:r>
              <w:rPr/>
              <w:t>（家用和类似用途电器的安全通用要求）、</w:t>
            </w:r>
            <w:r>
              <w:rPr/>
              <w:t>GB4706.76-2008</w:t>
            </w:r>
            <w:r>
              <w:rPr/>
              <w:t>（家用和类似用途电器的安全 灭虫器的特殊要求）相关标准。</w:t>
            </w:r>
          </w:p>
          <w:p>
            <w:pPr>
              <w:pStyle w:val="null3"/>
            </w:pPr>
            <w:r>
              <w:rPr/>
              <w:t>3.</w:t>
            </w:r>
            <w:r>
              <w:rPr/>
              <w:t>粘捕式灭蚊灯相关参数</w:t>
            </w:r>
          </w:p>
          <w:p>
            <w:pPr>
              <w:pStyle w:val="null3"/>
            </w:pPr>
            <w:r>
              <w:rPr/>
              <w:t>（</w:t>
            </w:r>
            <w:r>
              <w:rPr/>
              <w:t>1</w:t>
            </w:r>
            <w:r>
              <w:rPr/>
              <w:t>）</w:t>
            </w:r>
            <w:r>
              <w:rPr/>
              <w:t>参考规格：尺寸参考</w:t>
            </w:r>
            <w:r>
              <w:rPr/>
              <w:t>约为：</w:t>
            </w:r>
            <w:r>
              <w:rPr/>
              <w:t>38*17*19.6cm</w:t>
            </w:r>
            <w:r>
              <w:rPr/>
              <w:t>，功率不低于</w:t>
            </w:r>
            <w:r>
              <w:rPr/>
              <w:t>16W</w:t>
            </w:r>
            <w:r>
              <w:rPr/>
              <w:t>，飞利浦双灯管型号不低于</w:t>
            </w:r>
            <w:r>
              <w:rPr/>
              <w:t>8W</w:t>
            </w:r>
            <w:r>
              <w:rPr/>
              <w:t>，适用面积</w:t>
            </w:r>
            <w:r>
              <w:rPr/>
              <w:t>50-70</w:t>
            </w:r>
            <w:r>
              <w:rPr/>
              <w:t>㎡。</w:t>
            </w:r>
          </w:p>
          <w:p>
            <w:pPr>
              <w:pStyle w:val="null3"/>
            </w:pPr>
            <w:r>
              <w:rPr/>
              <w:t>（</w:t>
            </w:r>
            <w:r>
              <w:rPr/>
              <w:t>2</w:t>
            </w:r>
            <w:r>
              <w:rPr/>
              <w:t>）</w:t>
            </w:r>
            <w:r>
              <w:rPr/>
              <w:t>相关参数：产品机身材质采用</w:t>
            </w:r>
            <w:r>
              <w:rPr/>
              <w:t>ABS</w:t>
            </w:r>
            <w:r>
              <w:rPr/>
              <w:t>阻燃材料，镇流器材质采用</w:t>
            </w:r>
            <w:r>
              <w:rPr/>
              <w:t>PC</w:t>
            </w:r>
            <w:r>
              <w:rPr/>
              <w:t>阻燃材料，配置粘捕纸不少于</w:t>
            </w:r>
            <w:r>
              <w:rPr/>
              <w:t>50</w:t>
            </w:r>
            <w:r>
              <w:rPr/>
              <w:t>张</w:t>
            </w:r>
            <w:r>
              <w:rPr/>
              <w:t>。</w:t>
            </w:r>
          </w:p>
          <w:p>
            <w:pPr>
              <w:pStyle w:val="null3"/>
            </w:pPr>
            <w:r>
              <w:rPr/>
              <w:t>▲</w:t>
            </w:r>
            <w:r>
              <w:rPr/>
              <w:t>（</w:t>
            </w:r>
            <w:r>
              <w:rPr/>
              <w:t>3</w:t>
            </w:r>
            <w:r>
              <w:rPr/>
              <w:t>）</w:t>
            </w:r>
            <w:r>
              <w:rPr/>
              <w:t>产品标准：</w:t>
            </w:r>
            <w:r>
              <w:rPr/>
              <w:t>产品应符合</w:t>
            </w:r>
            <w:r>
              <w:rPr/>
              <w:t>GB4706.1-2005</w:t>
            </w:r>
            <w:r>
              <w:rPr/>
              <w:t>（家用和类似用途电器的安全通用要求）相关标准。</w:t>
            </w:r>
          </w:p>
          <w:p>
            <w:pPr>
              <w:pStyle w:val="null3"/>
            </w:pPr>
            <w:r>
              <w:rPr/>
              <w:t>三、</w:t>
            </w:r>
            <w:r>
              <w:rPr/>
              <w:t>质保期</w:t>
            </w:r>
            <w:r>
              <w:rPr/>
              <w:t>服务</w:t>
            </w:r>
            <w:r>
              <w:rPr/>
              <w:t>要求：</w:t>
            </w:r>
          </w:p>
          <w:p>
            <w:pPr>
              <w:pStyle w:val="null3"/>
            </w:pPr>
            <w:r>
              <w:rPr/>
              <w:t>1.</w:t>
            </w:r>
            <w:r>
              <w:rPr/>
              <w:t>整机质保不少于</w:t>
            </w:r>
            <w:r>
              <w:rPr/>
              <w:t>2</w:t>
            </w:r>
            <w:r>
              <w:rPr/>
              <w:t>年，灯管质保不少于</w:t>
            </w:r>
            <w:r>
              <w:rPr/>
              <w:t>1</w:t>
            </w:r>
            <w:r>
              <w:rPr/>
              <w:t>年。</w:t>
            </w:r>
          </w:p>
          <w:p>
            <w:pPr>
              <w:pStyle w:val="null3"/>
            </w:pPr>
            <w:r>
              <w:rPr/>
              <w:t>2.</w:t>
            </w:r>
            <w:r>
              <w:rPr/>
              <w:t>除人为主观损坏外，供应商在</w:t>
            </w:r>
            <w:r>
              <w:rPr/>
              <w:t>质保</w:t>
            </w:r>
            <w:r>
              <w:rPr/>
              <w:t>服务期内应提供免费上门维修、免费更换零部件。</w:t>
            </w:r>
          </w:p>
          <w:p>
            <w:pPr>
              <w:pStyle w:val="null3"/>
            </w:pPr>
            <w:r>
              <w:rPr/>
              <w:t>3.对于无法维修的设备，应提供免费更换整机设备的售后维护服务。</w:t>
            </w:r>
          </w:p>
          <w:p>
            <w:pPr>
              <w:pStyle w:val="null3"/>
            </w:pPr>
            <w:r>
              <w:rPr/>
              <w:t>4.</w:t>
            </w:r>
            <w:r>
              <w:rPr/>
              <w:t>如出现人为主观损坏的，应</w:t>
            </w:r>
            <w:r>
              <w:rPr/>
              <w:t>提供优先的有偿售后服务及按不高于投标文件中清单所报价格供应原厂零配件、易损件。</w:t>
            </w:r>
          </w:p>
          <w:p>
            <w:pPr>
              <w:pStyle w:val="null3"/>
            </w:pPr>
            <w:r>
              <w:rPr/>
              <w:t>5.由于设备质量问题造成的包括但不限于人身伤害等一切不良后果均由供应商承担全部损失。</w:t>
            </w:r>
          </w:p>
          <w:p>
            <w:pPr>
              <w:pStyle w:val="null3"/>
              <w:jc w:val="both"/>
            </w:pPr>
            <w:r>
              <w:rPr>
                <w:sz w:val="21"/>
              </w:rPr>
              <w:t>▲</w:t>
            </w:r>
            <w:r>
              <w:rPr>
                <w:sz w:val="21"/>
              </w:rPr>
              <w:t>四、产品配件服务要求：供应商应对本项目质保期外的灯管、粘捕纸等配件提供优先有偿售后服务，且相关原厂零件及易损件的报价不应</w:t>
            </w:r>
            <w:r>
              <w:rPr>
                <w:sz w:val="21"/>
              </w:rPr>
              <w:t>高于投标文件中清单所报价格。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采购包3（防鼠类设施提升与完善管理服务）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合同生效后2个月内完成提升与完善管理服务所需产品的交货、安装、验收及使用培训，所有产品提供出厂合格证书、出厂检测报告、厂家装箱清单、使用说明、操作手册、随机附件及其他相关资料。</w:t>
            </w:r>
          </w:p>
        </w:tc>
      </w:tr>
      <w:tr>
        <w:tc>
          <w:tcPr>
            <w:tcW w:type="dxa" w:w="4153"/>
          </w:tcPr>
          <w:p>
            <w:pPr>
              <w:pStyle w:val="null3"/>
            </w:pPr>
            <w:r>
              <w:rPr/>
              <w:t>标的提供的地点</w:t>
            </w:r>
          </w:p>
        </w:tc>
        <w:tc>
          <w:tcPr>
            <w:tcW w:type="dxa" w:w="4153"/>
          </w:tcPr>
          <w:p>
            <w:pPr>
              <w:pStyle w:val="null3"/>
            </w:pPr>
            <w:r>
              <w:rPr/>
              <w:t>广州市南沙区行政区范围内采购人指定地点</w:t>
            </w:r>
          </w:p>
        </w:tc>
      </w:tr>
      <w:tr>
        <w:tc>
          <w:tcPr>
            <w:tcW w:type="dxa" w:w="4153"/>
          </w:tcPr>
          <w:p>
            <w:pPr>
              <w:pStyle w:val="null3"/>
            </w:pPr>
            <w:r>
              <w:rPr/>
              <w:t>付款方式</w:t>
            </w:r>
          </w:p>
        </w:tc>
        <w:tc>
          <w:tcPr>
            <w:tcW w:type="dxa" w:w="4153"/>
          </w:tcPr>
          <w:p>
            <w:pPr>
              <w:pStyle w:val="null3"/>
            </w:pPr>
            <w:r>
              <w:rPr/>
              <w:t>1期：支付比例40%,合同生效后30个工作日内，采购人先行支付成交供应商40%的合同款项。</w:t>
            </w:r>
          </w:p>
          <w:p>
            <w:pPr>
              <w:pStyle w:val="null3"/>
            </w:pPr>
            <w:r>
              <w:rPr/>
              <w:t>2期：支付比例40%,成交供应商安装完成50%供货量时，提供供货安装材料（安装数量、地点、图片及其他有关资料）及经采购人（或采购人指定的单位）验收合格后，采购人支付成交供应商40%的合同款项。</w:t>
            </w:r>
          </w:p>
          <w:p>
            <w:pPr>
              <w:pStyle w:val="null3"/>
            </w:pPr>
            <w:r>
              <w:rPr/>
              <w:t>3期：支付比例20%,成交供应商完成交货、安装及采购人（或采购人指定的单位）验收合格后，采购人收齐发票后的30个工作日内支付剩余20%的合同款项。 【合同款支付说明： 1.本项目为包干价，合同实施期间不再调整； 2.具体方式和时间以实际签署相应服务合同约定为准； 3.因采购人使用的是财政资金，在规定的付款时间向政府财政部门提出办理财政支付申请手续的时间（不含政府财政支付部门审核的时间），即视为采购人已经按期支付，政府财政部门审核支付导致实际付款延迟的，采购人不须承担违约责任； 4.成交供应商须向采购人提供完税后的合法发票，才可收取服务费用。成交供应商延迟提供发票的，采购人付款的时间相应顺延。】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1期：（1）提升与完善管理服务验收工作由采购人（或采购人指定单位）和成交供应商共同进行。 （2）由采购人对产品的质量、规格、数量和运行状况及其他进行检验。如发现质量、规格、数量和运行状况等任何一项与招标要求规定不符，采购人有权拒绝验收。 （3）当出现不合格产品时，成交供应商要无条件更换合格产品。除采购人认可，否则不接受任何形式的降格处理。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收取比例：5%,说明：收到成交通知书后7个工作日内，成交供应商向采购人以支票、汇票、本票或者金融机构、担保机构出具的保函等形式提交，履约保证金的金额为成交金额5%。采购人确认成交供应商全部义务履行完毕且无违约责任后30个工作日内无息退回。</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一、报价要求，1.合同生效后2个月内完成提升与完善管理服务所需产品的交货、安装、验收及培训使用。 2.采购包报价不得高于最高限价。报价应包含材料费、人工费、设备费、运输费、装卸费、现场保管仓储费、安装费、验收费、质保期内维修保养费、税费及合同实施过程中的不可预见费用等全部费用。 3.供应商应自行核算项目正常、合法运作及使用所必需的费用，费用应在报价中清楚列明，如出现任何遗漏内容需产生额外费用，均由供应商自行承担，采购人将不再另行支付任何费用。</w:t>
            </w:r>
          </w:p>
          <w:p>
            <w:pPr>
              <w:pStyle w:val="null3"/>
            </w:pPr>
            <w:r>
              <w:rPr/>
              <w:t>二、质保要求，1.自采购人和成交供应商代表在产品安装调试验收后的验收书上签字之日起2年为质量保证期。质量保证期内成交供应商对所供产品实行包修、包换、包退、包维护保养，所有质保费用均已包含在总报价中。质保期满后，应提供优先的有偿售后服务及按不高于投标文件中清单所报价格供应原厂零配件、易损件等。 2.非人为因素或不可抗因素影响，产品出现质量问题不能维持验收标准，则通过验收即日起2个月内完成换货，一年内如有质量问题则更换产品，费用由供应商承担。 3.对采购人的服务通知，供应商在接报后2小时内响应，24小时内到达现场，48小时内处理完毕。若在48小时内仍未能有效解决，供应商须提供同等质量标准的产品予采购人临时使用。 4.供应商须设有7×24小时维修服务电话，负责解答用户在产品使用中遇到的问题，及时提出解决问题的建议和方法。 5.供应商应向采购人提供全方位、及时而有效的技术支持和服务。</w:t>
            </w:r>
          </w:p>
          <w:p>
            <w:pPr>
              <w:pStyle w:val="null3"/>
            </w:pPr>
            <w:r>
              <w:rPr/>
              <w:t>三、测量安装调试，1.成交供应商负责提升与完善管理服务所需产品的包装、运输、安装、调试等工作，并承担由此产生的所有费用，成交供应商负责到采购人指定的地点进行测量、安装、调试。 2.成交供应商应提交详细安装进度表。 3.成交供应商应设安装负责人，负责安装协调管理工作。 4.提升与完善管理服务所需产品的测量、安装、调试等项工作由成交供应商负责，但必须在采购人指定人员的参与下进行。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防鼠类设施提升与完善管理服务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412,581.00</w:t>
            </w:r>
          </w:p>
        </w:tc>
        <w:tc>
          <w:tcPr>
            <w:tcW w:type="dxa" w:w="933"/>
          </w:tcPr>
          <w:p>
            <w:pPr>
              <w:pStyle w:val="null3"/>
              <w:jc w:val="right"/>
            </w:pPr>
            <w:r>
              <w:rPr/>
              <w:t>412,581.00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防鼠类设施提升与完善管理服务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一、服务要求</w:t>
            </w:r>
          </w:p>
          <w:p>
            <w:pPr>
              <w:pStyle w:val="null3"/>
            </w:pPr>
            <w:r>
              <w:rPr/>
              <w:t>1.</w:t>
            </w:r>
            <w:r>
              <w:rPr/>
              <w:t>服务范围：</w:t>
            </w:r>
            <w:r>
              <w:rPr>
                <w:sz w:val="20"/>
              </w:rPr>
              <w:t>南沙</w:t>
            </w:r>
            <w:r>
              <w:rPr>
                <w:sz w:val="20"/>
              </w:rPr>
              <w:t>区辖内的公共外环境</w:t>
            </w:r>
            <w:r>
              <w:rPr>
                <w:sz w:val="20"/>
              </w:rPr>
              <w:t>及采购人指定区域</w:t>
            </w:r>
            <w:r>
              <w:rPr>
                <w:sz w:val="20"/>
              </w:rPr>
              <w:t>。公共外环境指除物业小区、机关团体、企事业单位、市场、工地等各类有责任主体单位外的区域，包括城中村、无物业居民区、公共绿地以及责任主体单位周边区域。</w:t>
            </w:r>
          </w:p>
          <w:p>
            <w:pPr>
              <w:pStyle w:val="null3"/>
            </w:pPr>
            <w:r>
              <w:rPr>
                <w:sz w:val="20"/>
              </w:rPr>
              <w:t>2.</w:t>
            </w:r>
            <w:r>
              <w:rPr>
                <w:sz w:val="20"/>
              </w:rPr>
              <w:t>服务内容：</w:t>
            </w:r>
            <w:r>
              <w:rPr>
                <w:sz w:val="20"/>
              </w:rPr>
              <w:t>对上述区域进行毒鼠屋新装和原有不规范毒鼠屋换新，</w:t>
            </w:r>
            <w:r>
              <w:rPr>
                <w:sz w:val="20"/>
              </w:rPr>
              <w:t>对鼠药投放点标识不规范以及脱落丢失的进行补充，在采购人指定区域设置安装捕鼠笼及粘鼠板，</w:t>
            </w:r>
            <w:r>
              <w:rPr>
                <w:sz w:val="20"/>
              </w:rPr>
              <w:t>日常做好毒鼠屋</w:t>
            </w:r>
            <w:r>
              <w:rPr>
                <w:sz w:val="20"/>
              </w:rPr>
              <w:t>及其他防鼠类设施的</w:t>
            </w:r>
            <w:r>
              <w:rPr>
                <w:sz w:val="20"/>
              </w:rPr>
              <w:t>维护</w:t>
            </w:r>
            <w:r>
              <w:rPr>
                <w:sz w:val="20"/>
              </w:rPr>
              <w:t>服务</w:t>
            </w:r>
            <w:r>
              <w:rPr>
                <w:sz w:val="20"/>
              </w:rPr>
              <w:t>，服务期内保证毒鼠屋</w:t>
            </w:r>
            <w:r>
              <w:rPr>
                <w:sz w:val="20"/>
              </w:rPr>
              <w:t>及其他防鼠类设施</w:t>
            </w:r>
            <w:r>
              <w:rPr>
                <w:sz w:val="20"/>
              </w:rPr>
              <w:t>安装无灭鼠盲区、无不规范等情况</w:t>
            </w:r>
            <w:r>
              <w:rPr>
                <w:sz w:val="20"/>
              </w:rPr>
              <w:t>。</w:t>
            </w:r>
          </w:p>
          <w:p>
            <w:pPr>
              <w:pStyle w:val="null3"/>
            </w:pPr>
            <w:r>
              <w:rPr/>
              <w:t>▲</w:t>
            </w:r>
            <w:r>
              <w:rPr/>
              <w:t>3.</w:t>
            </w:r>
            <w:r>
              <w:rPr/>
              <w:t>供应商</w:t>
            </w:r>
            <w:r>
              <w:rPr/>
              <w:t>所</w:t>
            </w:r>
            <w:r>
              <w:rPr/>
              <w:t>提供</w:t>
            </w:r>
            <w:r>
              <w:rPr/>
              <w:t>的设施配套产品必须是原装、全新的，符合国家以及该产品的出厂标准。</w:t>
            </w:r>
            <w:r>
              <w:rPr/>
              <w:t>提供产品合格证、出厂证、厂家授权书。</w:t>
            </w:r>
          </w:p>
          <w:p>
            <w:pPr>
              <w:pStyle w:val="null3"/>
            </w:pPr>
            <w:r>
              <w:rPr/>
              <w:t>4.</w:t>
            </w:r>
            <w:r>
              <w:rPr/>
              <w:t>供应商</w:t>
            </w:r>
            <w:r>
              <w:rPr/>
              <w:t>所</w:t>
            </w:r>
            <w:r>
              <w:rPr/>
              <w:t>提供</w:t>
            </w:r>
            <w:r>
              <w:rPr/>
              <w:t>的产品必须使用环保材料并符合国家环保要求及标准。</w:t>
            </w:r>
          </w:p>
          <w:p>
            <w:pPr>
              <w:pStyle w:val="null3"/>
            </w:pPr>
            <w:r>
              <w:rPr/>
              <w:t>▲</w:t>
            </w:r>
            <w:r>
              <w:rPr/>
              <w:t>5.</w:t>
            </w:r>
            <w:r>
              <w:rPr/>
              <w:t>供应商</w:t>
            </w:r>
            <w:r>
              <w:rPr/>
              <w:t>按照采购人</w:t>
            </w:r>
            <w:r>
              <w:rPr/>
              <w:t>（或采购人指定单位）</w:t>
            </w:r>
            <w:r>
              <w:rPr/>
              <w:t>日常使用情况，在</w:t>
            </w:r>
            <w:r>
              <w:rPr/>
              <w:t>提升与完善管理服务</w:t>
            </w:r>
            <w:r>
              <w:rPr/>
              <w:t>2</w:t>
            </w:r>
            <w:r>
              <w:rPr/>
              <w:t>年期间提供免费的</w:t>
            </w:r>
            <w:r>
              <w:rPr/>
              <w:t>包修、包换、包退、包运营管理、包维护保养</w:t>
            </w:r>
            <w:r>
              <w:rPr/>
              <w:t>等相关服务，</w:t>
            </w:r>
            <w:r>
              <w:rPr/>
              <w:t>确保设备在正常使用状态</w:t>
            </w:r>
            <w:r>
              <w:rPr/>
              <w:t>。</w:t>
            </w:r>
          </w:p>
          <w:p>
            <w:pPr>
              <w:pStyle w:val="null3"/>
            </w:pPr>
            <w:r>
              <w:rPr>
                <w:sz w:val="20"/>
              </w:rPr>
              <w:t>二、技术参数要求</w:t>
            </w:r>
          </w:p>
          <w:p>
            <w:pPr>
              <w:pStyle w:val="null3"/>
            </w:pPr>
            <w:r>
              <w:rPr>
                <w:sz w:val="20"/>
              </w:rPr>
              <w:t>1.</w:t>
            </w:r>
            <w:r>
              <w:rPr/>
              <w:t>毒鼠饵</w:t>
            </w:r>
            <w:r>
              <w:rPr/>
              <w:t>屋</w:t>
            </w:r>
          </w:p>
          <w:p>
            <w:pPr>
              <w:pStyle w:val="null3"/>
            </w:pPr>
            <w:r>
              <w:rPr/>
              <w:t>①</w:t>
            </w:r>
            <w:r>
              <w:rPr/>
              <w:t>所需</w:t>
            </w:r>
            <w:r>
              <w:rPr/>
              <w:t>数量：陶土材质</w:t>
            </w:r>
            <w:r>
              <w:rPr/>
              <w:t>毒鼠饵</w:t>
            </w:r>
            <w:r>
              <w:rPr/>
              <w:t>屋不少于</w:t>
            </w:r>
            <w:r>
              <w:rPr/>
              <w:t>3200个，塑料材质毒鼠饵盒不少于7900个。</w:t>
            </w:r>
          </w:p>
          <w:p>
            <w:pPr>
              <w:pStyle w:val="null3"/>
              <w:jc w:val="both"/>
            </w:pPr>
            <w:r>
              <w:rPr/>
              <w:t>②陶土材质</w:t>
            </w:r>
            <w:r>
              <w:rPr/>
              <w:t>毒鼠饵</w:t>
            </w:r>
            <w:r>
              <w:rPr/>
              <w:t>屋相关参考规格参数：</w:t>
            </w:r>
            <w:r>
              <w:rPr/>
              <w:t>参考规格：陶土材质，直角大口，外径</w:t>
            </w:r>
            <w:r>
              <w:rPr/>
              <w:t>约</w:t>
            </w:r>
            <w:r>
              <w:rPr/>
              <w:t>30*11*11cm，</w:t>
            </w:r>
            <w:r>
              <w:rPr/>
              <w:t>内</w:t>
            </w:r>
            <w:r>
              <w:rPr/>
              <w:t>孔约</w:t>
            </w:r>
            <w:r>
              <w:rPr/>
              <w:t>30*9*9cm</w:t>
            </w:r>
            <w:r>
              <w:rPr/>
              <w:t>，激光刻制警示标志或文字，配饵料托盘。</w:t>
            </w:r>
          </w:p>
          <w:p>
            <w:pPr>
              <w:pStyle w:val="null3"/>
              <w:jc w:val="both"/>
            </w:pPr>
            <w:r>
              <w:rPr/>
              <w:t>③塑料材质毒鼠饵盒相关参考规格参数：</w:t>
            </w:r>
            <w:r>
              <w:rPr/>
              <w:t>高纯度</w:t>
            </w:r>
            <w:r>
              <w:rPr/>
              <w:t>PP颗粒塑料，参考尺寸长≥25CM，宽≥18CM，高≥10CM，洞口约5*5.5cm，直角大口带安全锁、内可放置鼠夹或鼠板，上盖侧开门（左右开门）；搭配警示贴、钥匙、贴墙固定板、饵料托盘；有排水小孔，防潮防湿。</w:t>
            </w:r>
          </w:p>
          <w:p>
            <w:pPr>
              <w:pStyle w:val="null3"/>
              <w:jc w:val="both"/>
            </w:pPr>
            <w:r>
              <w:rPr/>
              <w:t>2.鼠药投放点警示标识</w:t>
            </w:r>
          </w:p>
          <w:p>
            <w:pPr>
              <w:pStyle w:val="null3"/>
              <w:jc w:val="both"/>
            </w:pPr>
            <w:r>
              <w:rPr/>
              <w:t>①</w:t>
            </w:r>
            <w:r>
              <w:rPr/>
              <w:t>所需</w:t>
            </w:r>
            <w:r>
              <w:rPr/>
              <w:t>数量：不少于</w:t>
            </w:r>
            <w:r>
              <w:rPr/>
              <w:t>9435个。</w:t>
            </w:r>
          </w:p>
          <w:p>
            <w:pPr>
              <w:pStyle w:val="null3"/>
              <w:jc w:val="both"/>
            </w:pPr>
            <w:r>
              <w:rPr/>
              <w:t>②参考规格参数：</w:t>
            </w:r>
            <w:r>
              <w:rPr/>
              <w:t>材质</w:t>
            </w:r>
            <w:r>
              <w:rPr/>
              <w:t>PVC塑料板，PP背胶贴纸，参考尺寸</w:t>
            </w:r>
            <w:r>
              <w:rPr/>
              <w:t>约</w:t>
            </w:r>
            <w:r>
              <w:rPr/>
              <w:t>10*20cm，防水、易粘贴上墙、粘性良好，含毒饵站名称、鼠药成分选项、解毒剂、禁止触摸标识、维护单位及电话。</w:t>
            </w:r>
          </w:p>
          <w:p>
            <w:pPr>
              <w:pStyle w:val="null3"/>
              <w:jc w:val="both"/>
            </w:pPr>
            <w:r>
              <w:rPr>
                <w:sz w:val="20"/>
              </w:rPr>
              <w:t>3.</w:t>
            </w:r>
            <w:r>
              <w:rPr/>
              <w:t>踏板式捕鼠笼</w:t>
            </w:r>
          </w:p>
          <w:p>
            <w:pPr>
              <w:pStyle w:val="null3"/>
              <w:jc w:val="both"/>
            </w:pPr>
            <w:r>
              <w:rPr/>
              <w:t>①</w:t>
            </w:r>
            <w:r>
              <w:rPr/>
              <w:t>所需</w:t>
            </w:r>
            <w:r>
              <w:rPr/>
              <w:t>数量：不少于</w:t>
            </w:r>
            <w:r>
              <w:rPr/>
              <w:t>3000个。</w:t>
            </w:r>
          </w:p>
          <w:p>
            <w:pPr>
              <w:pStyle w:val="null3"/>
              <w:jc w:val="both"/>
            </w:pPr>
            <w:r>
              <w:rPr/>
              <w:t>②参考规格参数：</w:t>
            </w:r>
            <w:r>
              <w:rPr/>
              <w:t>镀锌钢板网，约</w:t>
            </w:r>
            <w:r>
              <w:rPr/>
              <w:t>27*14*11cm；自动门锁装置，锁门弹簧设计，内部触发踏板，防水防锈。</w:t>
            </w:r>
          </w:p>
          <w:p>
            <w:pPr>
              <w:pStyle w:val="null3"/>
              <w:jc w:val="both"/>
            </w:pPr>
            <w:r>
              <w:rPr>
                <w:sz w:val="20"/>
              </w:rPr>
              <w:t>4.</w:t>
            </w:r>
            <w:r>
              <w:rPr/>
              <w:t>粘鼠板</w:t>
            </w:r>
          </w:p>
          <w:p>
            <w:pPr>
              <w:pStyle w:val="null3"/>
              <w:jc w:val="both"/>
            </w:pPr>
            <w:r>
              <w:rPr/>
              <w:t>①</w:t>
            </w:r>
            <w:r>
              <w:rPr/>
              <w:t>所需</w:t>
            </w:r>
            <w:r>
              <w:rPr/>
              <w:t>数量：不少于</w:t>
            </w:r>
            <w:r>
              <w:rPr/>
              <w:t>52000个。</w:t>
            </w:r>
          </w:p>
          <w:p>
            <w:pPr>
              <w:pStyle w:val="null3"/>
              <w:jc w:val="both"/>
            </w:pPr>
            <w:r>
              <w:rPr/>
              <w:t>②参考规格参数：</w:t>
            </w:r>
            <w:r>
              <w:rPr/>
              <w:t>尺寸</w:t>
            </w:r>
            <w:r>
              <w:rPr/>
              <w:t>约</w:t>
            </w:r>
            <w:r>
              <w:rPr/>
              <w:t>22*17cm，硬纸板，优质胶每张含胶量≥45克。</w:t>
            </w:r>
          </w:p>
          <w:p>
            <w:pPr>
              <w:pStyle w:val="null3"/>
              <w:jc w:val="both"/>
            </w:pPr>
            <w:r>
              <w:rPr>
                <w:sz w:val="20"/>
              </w:rPr>
              <w:t>三、</w:t>
            </w:r>
            <w:r>
              <w:rPr>
                <w:sz w:val="20"/>
              </w:rPr>
              <w:t>安装要求</w:t>
            </w:r>
          </w:p>
          <w:p>
            <w:pPr>
              <w:pStyle w:val="null3"/>
              <w:jc w:val="both"/>
            </w:pPr>
            <w:r>
              <w:rPr/>
              <w:t>▲</w:t>
            </w:r>
            <w:r>
              <w:rPr>
                <w:sz w:val="20"/>
              </w:rPr>
              <w:t>1.供应商本项目</w:t>
            </w:r>
            <w:r>
              <w:rPr>
                <w:sz w:val="20"/>
              </w:rPr>
              <w:t>安装过程中可以通过</w:t>
            </w:r>
            <w:r>
              <w:rPr>
                <w:sz w:val="20"/>
              </w:rPr>
              <w:t>app或微信小程序等</w:t>
            </w:r>
            <w:r>
              <w:rPr>
                <w:sz w:val="20"/>
              </w:rPr>
              <w:t>移动设备端</w:t>
            </w:r>
            <w:r>
              <w:rPr>
                <w:sz w:val="20"/>
              </w:rPr>
              <w:t>等互联网平台技术</w:t>
            </w:r>
            <w:r>
              <w:rPr>
                <w:sz w:val="20"/>
              </w:rPr>
              <w:t>录入编号、详细地址、</w:t>
            </w:r>
            <w:r>
              <w:rPr>
                <w:sz w:val="20"/>
              </w:rPr>
              <w:t>防鼠类设施</w:t>
            </w:r>
            <w:r>
              <w:rPr>
                <w:sz w:val="20"/>
              </w:rPr>
              <w:t>照片、安装地点标志性照片、安装时间、安装人</w:t>
            </w:r>
            <w:r>
              <w:rPr>
                <w:sz w:val="20"/>
              </w:rPr>
              <w:t>；</w:t>
            </w:r>
            <w:r>
              <w:rPr>
                <w:sz w:val="20"/>
              </w:rPr>
              <w:t>在毒鼠屋维护过程中可以通过移动设备端检索到正在维护的毒鼠屋录入使用状态（正常、停用、丢失、破损、标识缺失）、维护内容（补饵、换饵、新装鼠屋、完善标识）、维护时间、维护人、备注</w:t>
            </w:r>
            <w:r>
              <w:rPr>
                <w:sz w:val="20"/>
              </w:rPr>
              <w:t>。</w:t>
            </w:r>
          </w:p>
          <w:p>
            <w:pPr>
              <w:pStyle w:val="null3"/>
              <w:jc w:val="both"/>
            </w:pPr>
            <w:r>
              <w:rPr/>
              <w:t>▲</w:t>
            </w:r>
            <w:r>
              <w:rPr>
                <w:sz w:val="20"/>
              </w:rPr>
              <w:t>2.采购人可以通过平台后台</w:t>
            </w:r>
            <w:r>
              <w:rPr>
                <w:sz w:val="20"/>
              </w:rPr>
              <w:t>查看或导出毒鼠屋台账（包括编号、详细地址、毒鼠屋照片、安装地点标志性照片、使用状态、更新时间、备注）和毒鼠屋维护记录（包括编号、详细地址、使用状态、维护内容、备注）；查看或导出毒鼠屋维护统计情况，统计内容包括街道、街道毒鼠屋总数、社区、社区毒鼠屋总数、正常维护使用率。</w:t>
            </w:r>
          </w:p>
          <w:p>
            <w:pPr>
              <w:pStyle w:val="null3"/>
              <w:jc w:val="both"/>
            </w:pPr>
            <w:r>
              <w:rPr>
                <w:sz w:val="21"/>
              </w:rPr>
              <w:t>▲</w:t>
            </w:r>
            <w:r>
              <w:rPr>
                <w:sz w:val="20"/>
              </w:rPr>
              <w:t>3.供应商按要求</w:t>
            </w:r>
            <w:r>
              <w:rPr>
                <w:sz w:val="20"/>
              </w:rPr>
              <w:t>以</w:t>
            </w:r>
            <w:r>
              <w:rPr>
                <w:sz w:val="20"/>
              </w:rPr>
              <w:t>镇街</w:t>
            </w:r>
            <w:r>
              <w:rPr>
                <w:sz w:val="20"/>
              </w:rPr>
              <w:t>、社区、巷道为单位形成毒鼠屋台</w:t>
            </w:r>
            <w:r>
              <w:rPr>
                <w:sz w:val="20"/>
              </w:rPr>
              <w:t>账</w:t>
            </w:r>
            <w:r>
              <w:rPr>
                <w:sz w:val="20"/>
              </w:rPr>
              <w:t>造册登记，包括编号、位置、设置时间、投药记录、维护记录等，定期上交至采购人。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兼投不兼中，每个供应商最多只能被确定为1个子包的第一成交候选人。本项目按子包的顺序进行评审，依次按照评审总得分由高到低的顺序，每包组推荐三名成交候选人。已获得子包一的第一成交候选人资格的，将不具有子包二的候选人推荐资格；子包二从具有成交候选人资格的供应商中，排名最高的响应供应商为第一成交候选人，排名次高的响应供应商为第二成交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成交金额作为采购机构代理服务的计算基数。采购机构代理服务采用差额定率累进法进行计算，参照中华人民共和国国家发展计划委员会颁发的计价格〔2002〕1980号、发改办价格〔2003〕857号及发改价格〔2011〕534号文规定的“服务类”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罗先生</w:t>
      </w:r>
    </w:p>
    <w:p>
      <w:pPr>
        <w:pStyle w:val="null3"/>
        <w:ind w:firstLine="480"/>
      </w:pPr>
      <w:r>
        <w:rPr/>
        <w:t>电话：</w:t>
      </w:r>
      <w:r>
        <w:rPr/>
        <w:t>020-83642820-807</w:t>
      </w:r>
    </w:p>
    <w:p>
      <w:pPr>
        <w:pStyle w:val="null3"/>
        <w:ind w:firstLine="480"/>
      </w:pPr>
      <w:r>
        <w:rPr/>
        <w:t>传真：</w:t>
      </w:r>
      <w:r>
        <w:rPr/>
        <w:t>020-83642820-822</w:t>
      </w:r>
    </w:p>
    <w:p>
      <w:pPr>
        <w:pStyle w:val="null3"/>
        <w:ind w:firstLine="480"/>
      </w:pPr>
      <w:r>
        <w:rPr/>
        <w:t>邮箱：</w:t>
      </w:r>
      <w:r>
        <w:rPr/>
        <w:t>335862279@qq.com</w:t>
      </w:r>
    </w:p>
    <w:p>
      <w:pPr>
        <w:pStyle w:val="null3"/>
        <w:ind w:firstLine="480"/>
      </w:pPr>
      <w:r>
        <w:rPr/>
        <w:t>地址：</w:t>
      </w:r>
      <w:r>
        <w:rPr/>
        <w:t>广州市越秀区越秀北路222号越良大厦六楼</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防蚊类设施提升与完善管理服务)：综合评分法,是指响应文件满足磋商文件全部实质性要求，且按照评审因素的量化指标评审得分最高的投标人为成交候选人的评标方法。（最低报价不是成交的唯一依据。）</w:t>
      </w:r>
    </w:p>
    <w:p>
      <w:pPr>
        <w:pStyle w:val="null3"/>
      </w:pPr>
      <w:r>
        <w:rPr/>
        <w:t>采购包2(灭蚊灯设施提升与完善管理服务)：综合评分法,是指响应文件满足磋商文件全部实质性要求，且按照评审因素的量化指标评审得分最高的投标人为成交候选人的评标方法。（最低报价不是成交的唯一依据。）</w:t>
      </w:r>
    </w:p>
    <w:p>
      <w:pPr>
        <w:pStyle w:val="null3"/>
      </w:pPr>
      <w:r>
        <w:rPr/>
        <w:t>采购包3(防鼠类设施提升与完善管理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采购包1（防蚊类设施提升与完善管理服务）：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采购包2（灭蚊灯设施提升与完善管理服务）：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采购包3（防鼠类设施提升与完善管理服务）：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采购包1（防蚊类设施提升与完善管理服务）：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提供《供应商资格声明函》或承诺书（格式自拟）。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提供《供应商资格声明函》或承诺书（格式自拟）。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提供《供应商资格声明函》或承诺书（格式自拟）。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tc>
      </w:tr>
    </w:tbl>
    <w:p>
      <w:pPr>
        <w:pStyle w:val="null3"/>
      </w:pPr>
      <w:r>
        <w:rPr/>
        <w:t>采购包2（灭蚊灯设施提升与完善管理服务）：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提供《供应商资格声明函》或承诺书（格式自拟）。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提供《供应商资格声明函》或承诺书（格式自拟）。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提供《供应商资格声明函》或承诺书（格式自拟）。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tc>
      </w:tr>
    </w:tbl>
    <w:p>
      <w:pPr>
        <w:pStyle w:val="null3"/>
      </w:pPr>
      <w:r>
        <w:rPr/>
        <w:t>采购包3（防鼠类设施提升与完善管理服务）：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提供《供应商资格声明函》或承诺书（格式自拟）。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提供《供应商资格声明函》或承诺书（格式自拟）。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提供《供应商资格声明函》或承诺书（格式自拟）。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承接服务的企业须为中小型或微型企业（监狱企业或残疾人福利性单位视同小微企业）。注：由供应商提供《中小企业声明函》或《残疾人福利性单位声明函》或属于监狱企业的证明文件。</w:t>
            </w:r>
          </w:p>
        </w:tc>
      </w:tr>
    </w:tbl>
    <w:p>
      <w:pPr>
        <w:pStyle w:val="null3"/>
        <w:ind w:firstLine="480"/>
      </w:pPr>
      <w:r>
        <w:rPr/>
        <w:t>表二符合性审查表：</w:t>
      </w:r>
    </w:p>
    <w:p>
      <w:pPr>
        <w:pStyle w:val="null3"/>
      </w:pPr>
      <w:r>
        <w:rPr/>
        <w:t>采购包1（防蚊类设施提升与完善管理服务）：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最后报价</w:t>
            </w:r>
          </w:p>
        </w:tc>
        <w:tc>
          <w:tcPr>
            <w:tcW w:type="dxa" w:w="4238"/>
          </w:tcPr>
          <w:p>
            <w:pPr>
              <w:pStyle w:val="null3"/>
            </w:pPr>
            <w:r>
              <w:rPr/>
              <w:t>最后报价是固定价且唯一的，未超过本项目采购预算及最高限价的。</w:t>
            </w:r>
          </w:p>
        </w:tc>
      </w:tr>
      <w:tr>
        <w:tc>
          <w:tcPr>
            <w:tcW w:type="dxa" w:w="890"/>
          </w:tcPr>
          <w:p>
            <w:pPr>
              <w:pStyle w:val="null3"/>
            </w:pPr>
            <w:r>
              <w:rPr/>
              <w:t>2</w:t>
            </w:r>
          </w:p>
        </w:tc>
        <w:tc>
          <w:tcPr>
            <w:tcW w:type="dxa" w:w="3178"/>
          </w:tcPr>
          <w:p>
            <w:pPr>
              <w:pStyle w:val="null3"/>
            </w:pPr>
            <w:r>
              <w:rPr/>
              <w:t>最后报价合理性</w:t>
            </w:r>
          </w:p>
        </w:tc>
        <w:tc>
          <w:tcPr>
            <w:tcW w:type="dxa" w:w="4238"/>
          </w:tcPr>
          <w:p>
            <w:pPr>
              <w:pStyle w:val="null3"/>
            </w:pPr>
            <w:r>
              <w:rPr/>
              <w:t>磋商小组认为响应供应商的最后报价未出现明显低于其他通过符合性审查响应供应商的最后报价的。若磋商小组认为响应供应商的最后报价明显低于其他通过符合性审查响应供应商的报价，有可能影响产品质量或者不能诚信履约的应当要求其在磋商现场合理的时间内提供书面说明，必要时提交相关证明材料，响应供应商不能证明其报价合理性的，磋商小组应当将其作为无效响应处理。</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按格式要求提交响应承诺函。</w:t>
            </w:r>
          </w:p>
        </w:tc>
      </w:tr>
      <w:tr>
        <w:tc>
          <w:tcPr>
            <w:tcW w:type="dxa" w:w="890"/>
          </w:tcPr>
          <w:p>
            <w:pPr>
              <w:pStyle w:val="null3"/>
            </w:pPr>
            <w:r>
              <w:rPr/>
              <w:t>4</w:t>
            </w:r>
          </w:p>
        </w:tc>
        <w:tc>
          <w:tcPr>
            <w:tcW w:type="dxa" w:w="3178"/>
          </w:tcPr>
          <w:p>
            <w:pPr>
              <w:pStyle w:val="null3"/>
            </w:pPr>
            <w:r>
              <w:rPr/>
              <w:t>投标（响应）有效期</w:t>
            </w:r>
          </w:p>
        </w:tc>
        <w:tc>
          <w:tcPr>
            <w:tcW w:type="dxa" w:w="4238"/>
          </w:tcPr>
          <w:p>
            <w:pPr>
              <w:pStyle w:val="null3"/>
            </w:pPr>
            <w:r>
              <w:rPr/>
              <w:t>投标（响应）有效期为投标（响应）截止之日起90日历天（以响应承诺函中的承诺为准）。</w:t>
            </w:r>
          </w:p>
        </w:tc>
      </w:tr>
      <w:tr>
        <w:tc>
          <w:tcPr>
            <w:tcW w:type="dxa" w:w="890"/>
          </w:tcPr>
          <w:p>
            <w:pPr>
              <w:pStyle w:val="null3"/>
            </w:pPr>
            <w:r>
              <w:rPr/>
              <w:t>5</w:t>
            </w:r>
          </w:p>
        </w:tc>
        <w:tc>
          <w:tcPr>
            <w:tcW w:type="dxa" w:w="3178"/>
          </w:tcPr>
          <w:p>
            <w:pPr>
              <w:pStyle w:val="null3"/>
            </w:pPr>
            <w:r>
              <w:rPr/>
              <w:t>授权文件</w:t>
            </w:r>
          </w:p>
        </w:tc>
        <w:tc>
          <w:tcPr>
            <w:tcW w:type="dxa" w:w="4238"/>
          </w:tcPr>
          <w:p>
            <w:pPr>
              <w:pStyle w:val="null3"/>
            </w:pPr>
            <w:r>
              <w:rPr/>
              <w:t>法定代表人证明书、法定代表人授权书按对应格式文件签署、盖章。</w:t>
            </w:r>
          </w:p>
        </w:tc>
      </w:tr>
      <w:tr>
        <w:tc>
          <w:tcPr>
            <w:tcW w:type="dxa" w:w="890"/>
          </w:tcPr>
          <w:p>
            <w:pPr>
              <w:pStyle w:val="null3"/>
            </w:pPr>
            <w:r>
              <w:rPr/>
              <w:t>6</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响应文件完全满足磋商文件的实质性条款（“★”号条款）。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未出现法律、法规和项目磋商文件规定的其他无效响应的情形。</w:t>
            </w:r>
          </w:p>
        </w:tc>
      </w:tr>
    </w:tbl>
    <w:p>
      <w:pPr>
        <w:pStyle w:val="null3"/>
      </w:pPr>
      <w:r>
        <w:rPr/>
        <w:t>采购包2（灭蚊灯设施提升与完善管理服务）：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最后报价</w:t>
            </w:r>
          </w:p>
        </w:tc>
        <w:tc>
          <w:tcPr>
            <w:tcW w:type="dxa" w:w="4238"/>
          </w:tcPr>
          <w:p>
            <w:pPr>
              <w:pStyle w:val="null3"/>
            </w:pPr>
            <w:r>
              <w:rPr/>
              <w:t>最后报价是固定价且唯一的，未超过本项目采购预算及最高限价的。</w:t>
            </w:r>
          </w:p>
        </w:tc>
      </w:tr>
      <w:tr>
        <w:tc>
          <w:tcPr>
            <w:tcW w:type="dxa" w:w="890"/>
          </w:tcPr>
          <w:p>
            <w:pPr>
              <w:pStyle w:val="null3"/>
            </w:pPr>
            <w:r>
              <w:rPr/>
              <w:t>2</w:t>
            </w:r>
          </w:p>
        </w:tc>
        <w:tc>
          <w:tcPr>
            <w:tcW w:type="dxa" w:w="3178"/>
          </w:tcPr>
          <w:p>
            <w:pPr>
              <w:pStyle w:val="null3"/>
            </w:pPr>
            <w:r>
              <w:rPr/>
              <w:t>最后报价合理性</w:t>
            </w:r>
          </w:p>
        </w:tc>
        <w:tc>
          <w:tcPr>
            <w:tcW w:type="dxa" w:w="4238"/>
          </w:tcPr>
          <w:p>
            <w:pPr>
              <w:pStyle w:val="null3"/>
            </w:pPr>
            <w:r>
              <w:rPr/>
              <w:t>磋商小组认为响应供应商的最后报价未出现明显低于其他通过符合性审查响应供应商的最后报价的。若磋商小组认为响应供应商的最后报价明显低于其他通过符合性审查响应供应商的报价，有可能影响产品质量或者不能诚信履约的应当要求其在磋商现场合理的时间内提供书面说明，必要时提交相关证明材料，响应供应商不能证明其报价合理性的，磋商小组应当将其作为无效响应处理。</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按格式要求提交响应承诺函。</w:t>
            </w:r>
          </w:p>
        </w:tc>
      </w:tr>
      <w:tr>
        <w:tc>
          <w:tcPr>
            <w:tcW w:type="dxa" w:w="890"/>
          </w:tcPr>
          <w:p>
            <w:pPr>
              <w:pStyle w:val="null3"/>
            </w:pPr>
            <w:r>
              <w:rPr/>
              <w:t>4</w:t>
            </w:r>
          </w:p>
        </w:tc>
        <w:tc>
          <w:tcPr>
            <w:tcW w:type="dxa" w:w="3178"/>
          </w:tcPr>
          <w:p>
            <w:pPr>
              <w:pStyle w:val="null3"/>
            </w:pPr>
            <w:r>
              <w:rPr/>
              <w:t>投标（响应）有效期</w:t>
            </w:r>
          </w:p>
        </w:tc>
        <w:tc>
          <w:tcPr>
            <w:tcW w:type="dxa" w:w="4238"/>
          </w:tcPr>
          <w:p>
            <w:pPr>
              <w:pStyle w:val="null3"/>
            </w:pPr>
            <w:r>
              <w:rPr/>
              <w:t>投标（响应）有效期为投标（响应）截止之日起90日历天（以响应承诺函中的承诺为准）。</w:t>
            </w:r>
          </w:p>
        </w:tc>
      </w:tr>
      <w:tr>
        <w:tc>
          <w:tcPr>
            <w:tcW w:type="dxa" w:w="890"/>
          </w:tcPr>
          <w:p>
            <w:pPr>
              <w:pStyle w:val="null3"/>
            </w:pPr>
            <w:r>
              <w:rPr/>
              <w:t>5</w:t>
            </w:r>
          </w:p>
        </w:tc>
        <w:tc>
          <w:tcPr>
            <w:tcW w:type="dxa" w:w="3178"/>
          </w:tcPr>
          <w:p>
            <w:pPr>
              <w:pStyle w:val="null3"/>
            </w:pPr>
            <w:r>
              <w:rPr/>
              <w:t>授权文件</w:t>
            </w:r>
          </w:p>
        </w:tc>
        <w:tc>
          <w:tcPr>
            <w:tcW w:type="dxa" w:w="4238"/>
          </w:tcPr>
          <w:p>
            <w:pPr>
              <w:pStyle w:val="null3"/>
            </w:pPr>
            <w:r>
              <w:rPr/>
              <w:t>法定代表人证明书、法定代表人授权书按对应格式文件签署、盖章。</w:t>
            </w:r>
          </w:p>
        </w:tc>
      </w:tr>
      <w:tr>
        <w:tc>
          <w:tcPr>
            <w:tcW w:type="dxa" w:w="890"/>
          </w:tcPr>
          <w:p>
            <w:pPr>
              <w:pStyle w:val="null3"/>
            </w:pPr>
            <w:r>
              <w:rPr/>
              <w:t>6</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响应文件完全满足磋商文件的实质性条款（“★”号条款）。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未出现法律、法规和项目磋商文件规定的其他无效响应的情形。</w:t>
            </w:r>
          </w:p>
        </w:tc>
      </w:tr>
    </w:tbl>
    <w:p>
      <w:pPr>
        <w:pStyle w:val="null3"/>
      </w:pPr>
      <w:r>
        <w:rPr/>
        <w:t>采购包3（防鼠类设施提升与完善管理服务）：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最后报价</w:t>
            </w:r>
          </w:p>
        </w:tc>
        <w:tc>
          <w:tcPr>
            <w:tcW w:type="dxa" w:w="4238"/>
          </w:tcPr>
          <w:p>
            <w:pPr>
              <w:pStyle w:val="null3"/>
            </w:pPr>
            <w:r>
              <w:rPr/>
              <w:t>最后报价是固定价且唯一的，未超过本项目采购预算及最高限价的。</w:t>
            </w:r>
          </w:p>
        </w:tc>
      </w:tr>
      <w:tr>
        <w:tc>
          <w:tcPr>
            <w:tcW w:type="dxa" w:w="890"/>
          </w:tcPr>
          <w:p>
            <w:pPr>
              <w:pStyle w:val="null3"/>
            </w:pPr>
            <w:r>
              <w:rPr/>
              <w:t>2</w:t>
            </w:r>
          </w:p>
        </w:tc>
        <w:tc>
          <w:tcPr>
            <w:tcW w:type="dxa" w:w="3178"/>
          </w:tcPr>
          <w:p>
            <w:pPr>
              <w:pStyle w:val="null3"/>
            </w:pPr>
            <w:r>
              <w:rPr/>
              <w:t>最后报价合理性</w:t>
            </w:r>
          </w:p>
        </w:tc>
        <w:tc>
          <w:tcPr>
            <w:tcW w:type="dxa" w:w="4238"/>
          </w:tcPr>
          <w:p>
            <w:pPr>
              <w:pStyle w:val="null3"/>
            </w:pPr>
            <w:r>
              <w:rPr/>
              <w:t>磋商小组认为响应供应商的最后报价未出现明显低于其他通过符合性审查响应供应商的最后报价的。若磋商小组认为响应供应商的最后报价明显低于其他通过符合性审查响应供应商的报价，有可能影响产品质量或者不能诚信履约的应当要求其在磋商现场合理的时间内提供书面说明，必要时提交相关证明材料，响应供应商不能证明其报价合理性的，磋商小组应当将其作为无效响应处理。</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按格式要求提交响应承诺函。</w:t>
            </w:r>
          </w:p>
        </w:tc>
      </w:tr>
      <w:tr>
        <w:tc>
          <w:tcPr>
            <w:tcW w:type="dxa" w:w="890"/>
          </w:tcPr>
          <w:p>
            <w:pPr>
              <w:pStyle w:val="null3"/>
            </w:pPr>
            <w:r>
              <w:rPr/>
              <w:t>4</w:t>
            </w:r>
          </w:p>
        </w:tc>
        <w:tc>
          <w:tcPr>
            <w:tcW w:type="dxa" w:w="3178"/>
          </w:tcPr>
          <w:p>
            <w:pPr>
              <w:pStyle w:val="null3"/>
            </w:pPr>
            <w:r>
              <w:rPr/>
              <w:t>投标（响应）有效期</w:t>
            </w:r>
          </w:p>
        </w:tc>
        <w:tc>
          <w:tcPr>
            <w:tcW w:type="dxa" w:w="4238"/>
          </w:tcPr>
          <w:p>
            <w:pPr>
              <w:pStyle w:val="null3"/>
            </w:pPr>
            <w:r>
              <w:rPr/>
              <w:t>投标（响应）有效期为投标（响应）截止之日起90日历天（以响应承诺函中的承诺为准）。</w:t>
            </w:r>
          </w:p>
        </w:tc>
      </w:tr>
      <w:tr>
        <w:tc>
          <w:tcPr>
            <w:tcW w:type="dxa" w:w="890"/>
          </w:tcPr>
          <w:p>
            <w:pPr>
              <w:pStyle w:val="null3"/>
            </w:pPr>
            <w:r>
              <w:rPr/>
              <w:t>5</w:t>
            </w:r>
          </w:p>
        </w:tc>
        <w:tc>
          <w:tcPr>
            <w:tcW w:type="dxa" w:w="3178"/>
          </w:tcPr>
          <w:p>
            <w:pPr>
              <w:pStyle w:val="null3"/>
            </w:pPr>
            <w:r>
              <w:rPr/>
              <w:t>授权文件</w:t>
            </w:r>
          </w:p>
        </w:tc>
        <w:tc>
          <w:tcPr>
            <w:tcW w:type="dxa" w:w="4238"/>
          </w:tcPr>
          <w:p>
            <w:pPr>
              <w:pStyle w:val="null3"/>
            </w:pPr>
            <w:r>
              <w:rPr/>
              <w:t>法定代表人证明书、法定代表人授权书按对应格式文件签署、盖章。</w:t>
            </w:r>
          </w:p>
        </w:tc>
      </w:tr>
      <w:tr>
        <w:tc>
          <w:tcPr>
            <w:tcW w:type="dxa" w:w="890"/>
          </w:tcPr>
          <w:p>
            <w:pPr>
              <w:pStyle w:val="null3"/>
            </w:pPr>
            <w:r>
              <w:rPr/>
              <w:t>6</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响应文件完全满足磋商文件的实质性条款（“★”号条款）。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未出现法律、法规和项目磋商文件规定的其他无效响应的情形。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采购包1(防蚊类设施提升与完善管理服务):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根据带“▲”的服务技术参数符合性进行评审 (15.0分)</w:t>
            </w:r>
          </w:p>
        </w:tc>
        <w:tc>
          <w:tcPr>
            <w:tcW w:type="dxa" w:w="5076"/>
          </w:tcPr>
          <w:p>
            <w:pPr>
              <w:pStyle w:val="null3"/>
              <w:jc w:val="left"/>
            </w:pPr>
            <w:r>
              <w:rPr/>
              <w:t>根据供应商对采购文件“用户需求书具体技术(参数)要求”中服务技术参数要求进行评审：完全响应用户需求书中的“▲”的技术参数要求的得满分15分；用户需求书中带“▲”的技术参数每项不满足或负偏离扣3分。 注：1.以每款参数最小的序号为一项评审指标（有说明的除外）；2.用户需求书中带“▲”的技术参数共5项，不按磋商文件要求提供相应证明文件的，按不满足处理。</w:t>
            </w:r>
          </w:p>
        </w:tc>
      </w:tr>
      <w:tr>
        <w:tc>
          <w:tcPr>
            <w:tcW w:type="dxa" w:w="922"/>
            <w:gridSpan w:val="2"/>
            <w:vMerge/>
          </w:tcPr>
          <w:p/>
        </w:tc>
        <w:tc>
          <w:tcPr>
            <w:tcW w:type="dxa" w:w="2307"/>
          </w:tcPr>
          <w:p>
            <w:pPr>
              <w:pStyle w:val="null3"/>
              <w:jc w:val="left"/>
            </w:pPr>
            <w:r>
              <w:rPr/>
              <w:t>根据非“▲”技术参数符合性进行评审 (6.0分)</w:t>
            </w:r>
          </w:p>
        </w:tc>
        <w:tc>
          <w:tcPr>
            <w:tcW w:type="dxa" w:w="5076"/>
          </w:tcPr>
          <w:p>
            <w:pPr>
              <w:pStyle w:val="null3"/>
              <w:jc w:val="left"/>
            </w:pPr>
            <w:r>
              <w:rPr/>
              <w:t>完全响应用户需求书中的非“▲”的技术参数要求的得满分6分；有1-3条非“▲”技术参数要求不满足的得4分；有4-6条非“▲”技术参数要求不满足的得2分；有7-10条非“▲”技术参数不满足的得1分；超过10条非“▲”技术参数不满足的得0分。 注：1.以每款参数最小的序号为一项评审指标（有说明的除外）；2.用户需求书中非“▲”的技术参数共27项，不按磋商文件要求提供相应证明文件的，按不满足处理。</w:t>
            </w:r>
          </w:p>
        </w:tc>
      </w:tr>
      <w:tr>
        <w:tc>
          <w:tcPr>
            <w:tcW w:type="dxa" w:w="922"/>
            <w:gridSpan w:val="2"/>
            <w:vMerge/>
          </w:tcPr>
          <w:p/>
        </w:tc>
        <w:tc>
          <w:tcPr>
            <w:tcW w:type="dxa" w:w="2307"/>
          </w:tcPr>
          <w:p>
            <w:pPr>
              <w:pStyle w:val="null3"/>
              <w:jc w:val="left"/>
            </w:pPr>
            <w:r>
              <w:rPr/>
              <w:t>项目组织实施服务方案 (8.0分)</w:t>
            </w:r>
            <w:r>
              <w:rPr/>
              <w:t>，（等次分值选择：</w:t>
            </w:r>
            <w:r>
              <w:rPr/>
              <w:t>0.0;</w:t>
            </w:r>
            <w:r>
              <w:rPr/>
              <w:t>2.0;</w:t>
            </w:r>
            <w:r>
              <w:rPr/>
              <w:t>5.0;</w:t>
            </w:r>
            <w:r>
              <w:rPr/>
              <w:t>8.0;</w:t>
            </w:r>
            <w:r>
              <w:rPr/>
              <w:t>）</w:t>
            </w:r>
          </w:p>
        </w:tc>
        <w:tc>
          <w:tcPr>
            <w:tcW w:type="dxa" w:w="5076"/>
          </w:tcPr>
          <w:p>
            <w:pPr>
              <w:pStyle w:val="null3"/>
              <w:jc w:val="left"/>
            </w:pPr>
            <w:r>
              <w:rPr/>
              <w:t>根据供应商提供的项目组织实施服务方案（包括提升与完善管理服务所需产品提供方案、安装布点方案、售后管理服务方案、安装进度方案、在合同实施过程中可能涉及到的与其他管理机构或部门的协调方案、管理服务方案、项目人员配置方案等）进行综合评审： 1.项目组织实施服务方案详细具体、安装布点配置合理、售后管理服务方案明确、安装进度方案科学、与相关部门沟通协调顺畅、管理服务完善、项目人员配置方案，能够确保项目设施在提升与完善管理服务期间始终处于良好的正常使用状态，完全满足或优于项目需求的，得8分； 2.项目组织实施服务方案较详细具体、安装布点配置较合理、售后管理服务方案一般、安装进度方案较科学、与相关部门沟通协调较顺畅、管理服务较完善、项目人员配置方案，基本能够做到项目设施在提升与完善管理服务期间始终处于正常使用状态，基本满足项目需求的，得5分； 3.项目组织实施服务方案不够详细具体、安装布点配置不合理、售后管理服务方案差、安装进度方案一般、与相关部门沟通协调不顺畅、管理服务不完善、项目人员配置方案，不能确保项目设施在提升与完善管理服务期间始终处于正常使用状态，不能满足项目需求的，得2分； 4.未提供方案或方案不具可操作性，得0分。</w:t>
            </w:r>
          </w:p>
        </w:tc>
      </w:tr>
      <w:tr>
        <w:tc>
          <w:tcPr>
            <w:tcW w:type="dxa" w:w="922"/>
            <w:gridSpan w:val="2"/>
            <w:vMerge/>
          </w:tcPr>
          <w:p/>
        </w:tc>
        <w:tc>
          <w:tcPr>
            <w:tcW w:type="dxa" w:w="2307"/>
          </w:tcPr>
          <w:p>
            <w:pPr>
              <w:pStyle w:val="null3"/>
              <w:jc w:val="left"/>
            </w:pPr>
            <w:r>
              <w:rPr/>
              <w:t>服务质量保障措施 (6.0分)</w:t>
            </w:r>
            <w:r>
              <w:rPr/>
              <w:t>，（等次分值选择：</w:t>
            </w:r>
            <w:r>
              <w:rPr/>
              <w:t>0.0;</w:t>
            </w:r>
            <w:r>
              <w:rPr/>
              <w:t>2.0;</w:t>
            </w:r>
            <w:r>
              <w:rPr/>
              <w:t>4.0;</w:t>
            </w:r>
            <w:r>
              <w:rPr/>
              <w:t>6.0;</w:t>
            </w:r>
            <w:r>
              <w:rPr/>
              <w:t>）</w:t>
            </w:r>
          </w:p>
        </w:tc>
        <w:tc>
          <w:tcPr>
            <w:tcW w:type="dxa" w:w="5076"/>
          </w:tcPr>
          <w:p>
            <w:pPr>
              <w:pStyle w:val="null3"/>
              <w:jc w:val="left"/>
            </w:pPr>
            <w:r>
              <w:rPr/>
              <w:t>根据供应商提供的服务质量保障方案（包括但不限于服务承诺、产品质量保障方案、质量保障期维护保养方案、故障响应时间与服务保障承诺、服务质量保证措施等）进行综合评审： 1.方案措施涵盖上述内容，服务承诺明确，产品质量保障方案详细、质量保障期维护保养方案合理、故障响应与维修更换方案及时、服务质量保证措施科学全面，完全满足本项目服务要求，得6分； 2.方案措施虽涵盖上述内容，但服务承诺较明确，产品质量保障方案较详细、质量保障期维护保养方案较合理、故障响应与维修更换方案较及时、服务质量保证措施基本科学，基本满足本项目服务要求，得4分； 3.方案措施未全面涵盖上述内容，但服务承诺不明确，产品质量保障方案不详细、质量保障期维护保养方案不合理、故障响应与维修更换方案不及时、服务质量保证措施不科学，无法满足本项目服务要求，得2分； 4.未提供方案或方案不具可操作性，得0分。</w:t>
            </w:r>
          </w:p>
        </w:tc>
      </w:tr>
      <w:tr>
        <w:tc>
          <w:tcPr>
            <w:tcW w:type="dxa" w:w="922"/>
            <w:gridSpan w:val="2"/>
            <w:vMerge/>
          </w:tcPr>
          <w:p/>
        </w:tc>
        <w:tc>
          <w:tcPr>
            <w:tcW w:type="dxa" w:w="2307"/>
          </w:tcPr>
          <w:p>
            <w:pPr>
              <w:pStyle w:val="null3"/>
              <w:jc w:val="left"/>
            </w:pPr>
            <w:r>
              <w:rPr/>
              <w:t>防蚊闸安装与管理维护方案 (10.0分)</w:t>
            </w:r>
            <w:r>
              <w:rPr/>
              <w:t>，（等次分值选择：</w:t>
            </w:r>
            <w:r>
              <w:rPr/>
              <w:t>0.0;</w:t>
            </w:r>
            <w:r>
              <w:rPr/>
              <w:t>4.0;</w:t>
            </w:r>
            <w:r>
              <w:rPr/>
              <w:t>6.0;</w:t>
            </w:r>
            <w:r>
              <w:rPr/>
              <w:t>10.0;</w:t>
            </w:r>
            <w:r>
              <w:rPr/>
              <w:t>）</w:t>
            </w:r>
          </w:p>
        </w:tc>
        <w:tc>
          <w:tcPr>
            <w:tcW w:type="dxa" w:w="5076"/>
          </w:tcPr>
          <w:p>
            <w:pPr>
              <w:pStyle w:val="null3"/>
              <w:jc w:val="left"/>
            </w:pPr>
            <w:r>
              <w:rPr/>
              <w:t>根据供应商提供的防蚊闸安装调试与管理维护保养服务方案（方案应包括但不限于以下内容：安装条件与安装实施方案、进度保障措施、验收交付方案、管理维护方案等内容）进行综合评审： 1. 方案具体详细、进度措施合理、验收交付措施可行、管理维护措施全面，完全满足采购需求，得10分； 2. 方案较具体详细、进度措施基本合理、验收交付措施基本可行、管理维护措施较合理，基本完全满足采购需求，得6分； 3. 方案一般、进度措施含糊、验收交付措施一般、管理维护措施一般，无法完全满足采购需求，得4分； 4. 未提供方案或方案不具可操作性，得0分。</w:t>
            </w:r>
          </w:p>
        </w:tc>
      </w:tr>
      <w:tr>
        <w:tc>
          <w:tcPr>
            <w:tcW w:type="dxa" w:w="922"/>
            <w:gridSpan w:val="2"/>
            <w:vMerge/>
          </w:tcPr>
          <w:p/>
        </w:tc>
        <w:tc>
          <w:tcPr>
            <w:tcW w:type="dxa" w:w="2307"/>
          </w:tcPr>
          <w:p>
            <w:pPr>
              <w:pStyle w:val="null3"/>
              <w:jc w:val="left"/>
            </w:pPr>
            <w:r>
              <w:rPr/>
              <w:t>突发事件应急处置方案 (5.0分)</w:t>
            </w:r>
            <w:r>
              <w:rPr/>
              <w:t>，（等次分值选择：</w:t>
            </w:r>
            <w:r>
              <w:rPr/>
              <w:t>0.0;</w:t>
            </w:r>
            <w:r>
              <w:rPr/>
              <w:t>1.0;</w:t>
            </w:r>
            <w:r>
              <w:rPr/>
              <w:t>3.0;</w:t>
            </w:r>
            <w:r>
              <w:rPr/>
              <w:t>5.0;</w:t>
            </w:r>
            <w:r>
              <w:rPr/>
              <w:t>）</w:t>
            </w:r>
          </w:p>
        </w:tc>
        <w:tc>
          <w:tcPr>
            <w:tcW w:type="dxa" w:w="5076"/>
          </w:tcPr>
          <w:p>
            <w:pPr>
              <w:pStyle w:val="null3"/>
              <w:jc w:val="left"/>
            </w:pPr>
            <w:r>
              <w:rPr/>
              <w:t>根据供应商对突发事件应急处置方案措施（包括但不限于应急措施、应急服务承诺及应急服务响应能力、应急响应时间等方面）的可操作性、合理性、可行性进行综合评审： 1.突发事件应急处置方案的可操作性好、合理性高、可行性很强的，完全满足采购需求，得5分； 2.突发事件应急处置方案的可操作性较好、合理性较高、可行性较强的，基本满足采购需求，得3分； 3.突发事件应急处置方案的可操作性差、不合理、无可行性的，部分满足采购需求，得1分； 4.未提供方案或方案不具可操作性，得0分。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供应商自2021年1月1日起至今（以合同签订时间为准）承接过同类项目业绩，每提供一个得1分，最高得5分。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在上述有效业绩中，供应商提供项目用户单位出具的客户评价材料或满意度评价材料，评价材料必须达到90分或带有“满意”或“好评”或“优秀”等正面评价字眼，每提供一份得1分，最高得4分。 注：同一个项目业绩的多份评价不可累积计分，须提供用户单位盖章的评价证明材料扫描件作为评审材料，无提供或不符合要求不得分。</w:t>
            </w:r>
          </w:p>
        </w:tc>
      </w:tr>
      <w:tr>
        <w:tc>
          <w:tcPr>
            <w:tcW w:type="dxa" w:w="922"/>
            <w:gridSpan w:val="2"/>
            <w:vMerge/>
          </w:tcPr>
          <w:p/>
        </w:tc>
        <w:tc>
          <w:tcPr>
            <w:tcW w:type="dxa" w:w="2307"/>
          </w:tcPr>
          <w:p>
            <w:pPr>
              <w:pStyle w:val="null3"/>
              <w:jc w:val="left"/>
            </w:pPr>
            <w:r>
              <w:rPr/>
              <w:t>检测报告 (9.0分)</w:t>
            </w:r>
          </w:p>
        </w:tc>
        <w:tc>
          <w:tcPr>
            <w:tcW w:type="dxa" w:w="5076"/>
          </w:tcPr>
          <w:p>
            <w:pPr>
              <w:pStyle w:val="null3"/>
              <w:jc w:val="left"/>
            </w:pPr>
            <w:r>
              <w:rPr/>
              <w:t>提供2024年1月1日后由第三方检测机构（具备CMA和CNAS资质）出具的防蚊闸板、电动吸蚊器、蚊虫自动监测仪3种产品的检测报告，每提供1项得3分，最高得9分。 说明：检测报告须附带查验真伪的二维码或公开查询网址，可通过二维码或公开网址查询验证真伪，否则不得分。</w:t>
            </w:r>
          </w:p>
        </w:tc>
      </w:tr>
      <w:tr>
        <w:tc>
          <w:tcPr>
            <w:tcW w:type="dxa" w:w="922"/>
            <w:gridSpan w:val="2"/>
            <w:vMerge/>
          </w:tcPr>
          <w:p/>
        </w:tc>
        <w:tc>
          <w:tcPr>
            <w:tcW w:type="dxa" w:w="2307"/>
          </w:tcPr>
          <w:p>
            <w:pPr>
              <w:pStyle w:val="null3"/>
              <w:jc w:val="left"/>
            </w:pPr>
            <w:r>
              <w:rPr/>
              <w:t>防蚊闸老化试验 (4.0分)</w:t>
            </w:r>
          </w:p>
        </w:tc>
        <w:tc>
          <w:tcPr>
            <w:tcW w:type="dxa" w:w="5076"/>
          </w:tcPr>
          <w:p>
            <w:pPr>
              <w:pStyle w:val="null3"/>
              <w:jc w:val="left"/>
            </w:pPr>
            <w:r>
              <w:rPr/>
              <w:t>根据供应商提供的防蚊闸老化试验数据进行评审： 1.老化试验时间不少于700小时的，得4分； 2.老化试验时间不少于350小时但不足700小时的，得2分； 3.老化试验时间少于350小时的，得1分； 4.未提供老化试验，得0分； 注：提供第三方有效的证明资料。</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供应商具有有效的质量管理体系认证证书、环境管理体系认证证书、职业健康安全管理体系认证证书，每个证书得1分，最高得3分。 注：须提供有效期内的管理体系认证证书复印件及证书在“全国认证认可信息公共服务平台（http://cx.cnca.cn/CertECloud/index/index/page）”上的查询结果及显示查询状态为“有效”的网页信息截图并加盖投标人公章，不满足上述情况的或未按要求提供证明材料的，不得分。新成立的公司因实施运行不满3个月无法办理认证证书的，可得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采购包2(灭蚊灯设施提升与完善管理服务):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根据带“▲”的服务技术参数符合性进行评审 (15.0分)</w:t>
            </w:r>
          </w:p>
        </w:tc>
        <w:tc>
          <w:tcPr>
            <w:tcW w:type="dxa" w:w="5076"/>
          </w:tcPr>
          <w:p>
            <w:pPr>
              <w:pStyle w:val="null3"/>
              <w:jc w:val="left"/>
            </w:pPr>
            <w:r>
              <w:rPr/>
              <w:t>根据供应商对采购文件“用户需求书具体技术(参数)要求”中服务技术参数要求进行评审：完全响应用户需求书中的“▲”的技术参数要求的得满分15分；用户需求书中带“▲”的技术参数每项不满足或负偏离扣3分。 注：1.以每款参数最小的序号为一项评审指标（有说明的除外）；2.用户需求书中带“▲”的技术参数共5项，不按磋商文件要求提供相应证明文件的，按不满足处理。</w:t>
            </w:r>
          </w:p>
        </w:tc>
      </w:tr>
      <w:tr>
        <w:tc>
          <w:tcPr>
            <w:tcW w:type="dxa" w:w="922"/>
            <w:gridSpan w:val="2"/>
            <w:vMerge/>
          </w:tcPr>
          <w:p/>
        </w:tc>
        <w:tc>
          <w:tcPr>
            <w:tcW w:type="dxa" w:w="2307"/>
          </w:tcPr>
          <w:p>
            <w:pPr>
              <w:pStyle w:val="null3"/>
              <w:jc w:val="left"/>
            </w:pPr>
            <w:r>
              <w:rPr/>
              <w:t>根据非“▲”技术参数 符合性进行评审 (6.0分)</w:t>
            </w:r>
          </w:p>
        </w:tc>
        <w:tc>
          <w:tcPr>
            <w:tcW w:type="dxa" w:w="5076"/>
          </w:tcPr>
          <w:p>
            <w:pPr>
              <w:pStyle w:val="null3"/>
              <w:jc w:val="left"/>
            </w:pPr>
            <w:r>
              <w:rPr/>
              <w:t>完全响应用户需求书中的非“▲”的技术参数要求的得满分6分；用户需求书中非“▲”的技术参数每项不满足或负偏离扣0.5分。 注：1.以每款参数最小的序号为一项评审指标（有说明的除外）；2.用户需求书中非“▲”的技术参数共12项，不按磋商文件要求提供相应证明文件的，按不满足处理 。</w:t>
            </w:r>
          </w:p>
        </w:tc>
      </w:tr>
      <w:tr>
        <w:tc>
          <w:tcPr>
            <w:tcW w:type="dxa" w:w="922"/>
            <w:gridSpan w:val="2"/>
            <w:vMerge/>
          </w:tcPr>
          <w:p/>
        </w:tc>
        <w:tc>
          <w:tcPr>
            <w:tcW w:type="dxa" w:w="2307"/>
          </w:tcPr>
          <w:p>
            <w:pPr>
              <w:pStyle w:val="null3"/>
              <w:jc w:val="left"/>
            </w:pPr>
            <w:r>
              <w:rPr/>
              <w:t>项目组织实施服务方案 (10.0分)</w:t>
            </w:r>
            <w:r>
              <w:rPr/>
              <w:t>，（等次分值选择：</w:t>
            </w:r>
            <w:r>
              <w:rPr/>
              <w:t>0.0;</w:t>
            </w:r>
            <w:r>
              <w:rPr/>
              <w:t>3.0;</w:t>
            </w:r>
            <w:r>
              <w:rPr/>
              <w:t>6.0;</w:t>
            </w:r>
            <w:r>
              <w:rPr/>
              <w:t>10.0;</w:t>
            </w:r>
            <w:r>
              <w:rPr/>
              <w:t>）</w:t>
            </w:r>
          </w:p>
        </w:tc>
        <w:tc>
          <w:tcPr>
            <w:tcW w:type="dxa" w:w="5076"/>
          </w:tcPr>
          <w:p>
            <w:pPr>
              <w:pStyle w:val="null3"/>
              <w:jc w:val="left"/>
            </w:pPr>
            <w:r>
              <w:rPr/>
              <w:t>根据供应商提供的项目组织实施服务方案（包括提升与完善管理服务所需产品提供方案、安装布点方案、售后管理服务方案、安装进度方案、在合同实施过程中可能涉及到的与其他管理机构或部门的协调方案、项目人员配置方案等）进行综合评审： 1.项目组织实施服务方案详细具体、安装布点配置合理、售后管理服务方案明确、安装进度方案科学、与相关部门沟通协调顺畅、项目人员配置方案，能够确保项目设施在提升与完善管理服务期间始终处于良好的正常使用状态，完全满足或优于项目需求的，得10分； 2.项目组织实施服务方案较详细具体、安装布点配置较合理、售后管理服务方案一般、安装进度方案较科学、与相关部门沟通协调较顺畅、项目人员配置方案，基本能够做到项目设施在提升与完善管理服务期间始终处于正常使用状态，基本满足项目需求的，得6分； 3.项目组织实施服务方案不够详细具体、安装布点配置不合理、售后管理服务方案差、安装进度方案一般、与相关部门沟通协调不顺畅、项目人员配置方案，不能确保项目设施在提升与完善管理服务期间始终处于正常使用状态，不能满足项目需求的，得3分； 4.未提供方案或方案不具可操作性，得0分。</w:t>
            </w:r>
          </w:p>
        </w:tc>
      </w:tr>
      <w:tr>
        <w:tc>
          <w:tcPr>
            <w:tcW w:type="dxa" w:w="922"/>
            <w:gridSpan w:val="2"/>
            <w:vMerge/>
          </w:tcPr>
          <w:p/>
        </w:tc>
        <w:tc>
          <w:tcPr>
            <w:tcW w:type="dxa" w:w="2307"/>
          </w:tcPr>
          <w:p>
            <w:pPr>
              <w:pStyle w:val="null3"/>
              <w:jc w:val="left"/>
            </w:pPr>
            <w:r>
              <w:rPr/>
              <w:t>服务质量保障措施 (8.0分)</w:t>
            </w:r>
            <w:r>
              <w:rPr/>
              <w:t>，（等次分值选择：</w:t>
            </w:r>
            <w:r>
              <w:rPr/>
              <w:t>0.0;</w:t>
            </w:r>
            <w:r>
              <w:rPr/>
              <w:t>2.0;</w:t>
            </w:r>
            <w:r>
              <w:rPr/>
              <w:t>5.0;</w:t>
            </w:r>
            <w:r>
              <w:rPr/>
              <w:t>8.0;</w:t>
            </w:r>
            <w:r>
              <w:rPr/>
              <w:t>）</w:t>
            </w:r>
          </w:p>
        </w:tc>
        <w:tc>
          <w:tcPr>
            <w:tcW w:type="dxa" w:w="5076"/>
          </w:tcPr>
          <w:p>
            <w:pPr>
              <w:pStyle w:val="null3"/>
              <w:jc w:val="left"/>
            </w:pPr>
            <w:r>
              <w:rPr/>
              <w:t>根据供应商提供的服务质量保障方案（包括但不限于服务承诺、产品质量保障方案、质量保障期维护保养方案、故障响应时间与服务保障承诺、服务质量保证措施等）进行综合评审： 1.方案措施涵盖上述内容，服务承诺明确，产品质量保障方案详细、质量保障期维护保养方案合理、故障响应与维修更换方案及时、服务质量保证措施科学全面，满足本项目服务要求，得8分； 2.方案措施虽涵盖上述内容，但服务承诺较明确，产品质量保障方案较详细、质量保障期维护保养方案较合理、故障响应与维护更换方案不够及时，服务质量保证措施基本科学，基本满足本项目服务要求，得5分； 3.方案措施未全面涵盖上述内容，但服务承诺不明确，产品质量保障方案不详细、质量保障期维护保养方案不合理、故障响应与维修更换方案不及时，服务质量保证措施不科学，无法满足本项目服务要求，得2分； 4.未提供方案或方案不具可操作性，得0分。</w:t>
            </w:r>
          </w:p>
        </w:tc>
      </w:tr>
      <w:tr>
        <w:tc>
          <w:tcPr>
            <w:tcW w:type="dxa" w:w="922"/>
            <w:gridSpan w:val="2"/>
            <w:vMerge/>
          </w:tcPr>
          <w:p/>
        </w:tc>
        <w:tc>
          <w:tcPr>
            <w:tcW w:type="dxa" w:w="2307"/>
          </w:tcPr>
          <w:p>
            <w:pPr>
              <w:pStyle w:val="null3"/>
              <w:jc w:val="left"/>
            </w:pPr>
            <w:r>
              <w:rPr/>
              <w:t>突发事件应急处置方案 (8.0分)</w:t>
            </w:r>
            <w:r>
              <w:rPr/>
              <w:t>，（等次分值选择：</w:t>
            </w:r>
            <w:r>
              <w:rPr/>
              <w:t>0.0;</w:t>
            </w:r>
            <w:r>
              <w:rPr/>
              <w:t>2.0;</w:t>
            </w:r>
            <w:r>
              <w:rPr/>
              <w:t>5.0;</w:t>
            </w:r>
            <w:r>
              <w:rPr/>
              <w:t>8.0;</w:t>
            </w:r>
            <w:r>
              <w:rPr/>
              <w:t>）</w:t>
            </w:r>
          </w:p>
        </w:tc>
        <w:tc>
          <w:tcPr>
            <w:tcW w:type="dxa" w:w="5076"/>
          </w:tcPr>
          <w:p>
            <w:pPr>
              <w:pStyle w:val="null3"/>
              <w:jc w:val="left"/>
            </w:pPr>
            <w:r>
              <w:rPr/>
              <w:t>根据供应商对突发事件应急处置方案措施（包括但不限于应急措施、应急服务承诺及应急服务响应能力、应急响应时间等方面）的可操作性、合理性、可行性进行综合评审： 1. 突发事件应急处置方案的可操作性好、合理性高、可行性很强的，完全满足采购需求，得8分； 2. 突发事件应急处置方案的可操作性较好、合理性较高、可行性较强的，基本满足采购需求，得5分； 3. 突发事件应急处置方案的可操作性差、不合理、无可行性的，部分满足采购需求，得2分； 4. 未提供方案或方案不具可操作性，得0分。</w:t>
            </w:r>
          </w:p>
        </w:tc>
      </w:tr>
      <w:tr>
        <w:tc>
          <w:tcPr>
            <w:tcW w:type="dxa" w:w="922"/>
            <w:gridSpan w:val="2"/>
            <w:vMerge/>
          </w:tcPr>
          <w:p/>
        </w:tc>
        <w:tc>
          <w:tcPr>
            <w:tcW w:type="dxa" w:w="2307"/>
          </w:tcPr>
          <w:p>
            <w:pPr>
              <w:pStyle w:val="null3"/>
              <w:jc w:val="left"/>
            </w:pPr>
            <w:r>
              <w:rPr/>
              <w:t>管理服务方案与承诺 (8.0分)</w:t>
            </w:r>
            <w:r>
              <w:rPr/>
              <w:t>，（等次分值选择：</w:t>
            </w:r>
            <w:r>
              <w:rPr/>
              <w:t>0.0;</w:t>
            </w:r>
            <w:r>
              <w:rPr/>
              <w:t>2.0;</w:t>
            </w:r>
            <w:r>
              <w:rPr/>
              <w:t>5.0;</w:t>
            </w:r>
            <w:r>
              <w:rPr/>
              <w:t>8.0;</w:t>
            </w:r>
            <w:r>
              <w:rPr/>
              <w:t>）</w:t>
            </w:r>
          </w:p>
        </w:tc>
        <w:tc>
          <w:tcPr>
            <w:tcW w:type="dxa" w:w="5076"/>
          </w:tcPr>
          <w:p>
            <w:pPr>
              <w:pStyle w:val="null3"/>
              <w:jc w:val="left"/>
            </w:pPr>
            <w:r>
              <w:rPr/>
              <w:t>根据供应商提供的提升与完善管理服务2年期间的维保服务方案与承诺进行综合评审： 1.管理服务方案详细，有偿售后服务价格标准合理、相关原厂零件及易损件维修及更换的价格标准优惠，完全满足采购需求的，得8分； 2.管理服务方案较详细，有偿售后服务价格标准较合理、相关原厂零件及易损件维修及更换的价格标准较优惠，基本满足采购需求的，得5分； 3.方案一般，有偿售后服务价格标准不合理、相关原厂零件及易损件维修及更换的价格标准优惠小，不能满足采购需求的，得2分； 4. 未提供方案承诺或方案承诺不具可操作性的，得0分。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供应商自2021年1月1日起至今（以合同签订时间为准）承接过同类项目业绩，每提供一个得2分，最高得6分。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在上述有效业绩中，供应商提供项目用户单位出具的客户评价材料或满意度评价材料，评价材料必须达到90分或带有“满意”或“好评”或“优秀”等正面评价字眼，每提供一份得2分，最高得4分。 注：同一个项目业绩的多份评价不可累积计分，须提供用户单位盖章的评价证明材料扫描件作为评审材料，无提供或不符合要求不得分。</w:t>
            </w:r>
          </w:p>
        </w:tc>
      </w:tr>
      <w:tr>
        <w:tc>
          <w:tcPr>
            <w:tcW w:type="dxa" w:w="922"/>
            <w:gridSpan w:val="2"/>
            <w:vMerge/>
          </w:tcPr>
          <w:p/>
        </w:tc>
        <w:tc>
          <w:tcPr>
            <w:tcW w:type="dxa" w:w="2307"/>
          </w:tcPr>
          <w:p>
            <w:pPr>
              <w:pStyle w:val="null3"/>
              <w:jc w:val="left"/>
            </w:pPr>
            <w:r>
              <w:rPr/>
              <w:t>检测报告 (4.0分)</w:t>
            </w:r>
          </w:p>
        </w:tc>
        <w:tc>
          <w:tcPr>
            <w:tcW w:type="dxa" w:w="5076"/>
          </w:tcPr>
          <w:p>
            <w:pPr>
              <w:pStyle w:val="null3"/>
              <w:jc w:val="left"/>
            </w:pPr>
            <w:r>
              <w:rPr/>
              <w:t>灭蚊灯检测报告：提供2024年1月1日后由第三方检测机构（具备CMA和CNAS资质）出具的灭蚊灯检测报告，每提供1份得2分，最高得4分。 说明：检测报告须附带查验真伪的二维码或公开查询网址，可通过二维码或公开网址查询验证真伪，否则不得分。</w:t>
            </w:r>
          </w:p>
        </w:tc>
      </w:tr>
      <w:tr>
        <w:tc>
          <w:tcPr>
            <w:tcW w:type="dxa" w:w="922"/>
            <w:gridSpan w:val="2"/>
            <w:vMerge/>
          </w:tcPr>
          <w:p/>
        </w:tc>
        <w:tc>
          <w:tcPr>
            <w:tcW w:type="dxa" w:w="2307"/>
          </w:tcPr>
          <w:p>
            <w:pPr>
              <w:pStyle w:val="null3"/>
              <w:jc w:val="left"/>
            </w:pPr>
            <w:r>
              <w:rPr/>
              <w:t>供应商相关管理体系认证情况 (6.0分)</w:t>
            </w:r>
          </w:p>
        </w:tc>
        <w:tc>
          <w:tcPr>
            <w:tcW w:type="dxa" w:w="5076"/>
          </w:tcPr>
          <w:p>
            <w:pPr>
              <w:pStyle w:val="null3"/>
              <w:jc w:val="left"/>
            </w:pPr>
            <w:r>
              <w:rPr/>
              <w:t>供应商具有有效的质量管理体系认证证书、环境管理体系认证证书、职业健康安全管理体系认证证书，每个证书得2分，最高得6分。 注：须提供有效期内的管理体系认证证书复印件及证书在“全国认证认可信息公共服务平台（http://cx.cnca.cn/CertECloud/index/index/page）”上的查询结果及显示查询状态为“有效”的网页信息截图并加盖投标人公章，不满足上述情况的或未按要求提供证明材料的，不得分。新成立的公司因实施运行不满3个月无法办理认证证书的，可得满分。</w:t>
            </w:r>
          </w:p>
        </w:tc>
      </w:tr>
      <w:tr>
        <w:tc>
          <w:tcPr>
            <w:tcW w:type="dxa" w:w="922"/>
            <w:gridSpan w:val="2"/>
          </w:tcPr>
          <w:p>
            <w:pPr>
              <w:pStyle w:val="null3"/>
              <w:jc w:val="center"/>
            </w:pPr>
            <w:r>
              <w:rPr/>
              <w:t>投标报价</w:t>
            </w:r>
          </w:p>
        </w:tc>
        <w:tc>
          <w:tcPr>
            <w:tcW w:type="dxa" w:w="2307"/>
          </w:tcPr>
          <w:p>
            <w:pPr>
              <w:pStyle w:val="null3"/>
              <w:jc w:val="left"/>
            </w:pPr>
            <w:r>
              <w:rPr/>
              <w:t>投标价格得分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采购包3(防鼠类设施提升与完善管理服务):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根据带“▲”的服务技术参数符合性进行评审 (15.0分)</w:t>
            </w:r>
          </w:p>
        </w:tc>
        <w:tc>
          <w:tcPr>
            <w:tcW w:type="dxa" w:w="5076"/>
          </w:tcPr>
          <w:p>
            <w:pPr>
              <w:pStyle w:val="null3"/>
              <w:jc w:val="left"/>
            </w:pPr>
            <w:r>
              <w:rPr/>
              <w:t>根据供应商对采购文件“用户需求书具体技术(参数)要求”中服务技术参数要求进行评审：完全满足用户需求书中的“▲”的技术参数要求的得满分15分；用户需求书中带“▲”的技术参数每项不满足或负偏离扣3分。 注：1.以每款参数最小的序号为一项评审指标（有说明的除外）；2.用户需求书中带“▲”的技术参数共5项，不按磋商文件要求提供相应证明文件的，按不满足处理 。</w:t>
            </w:r>
          </w:p>
        </w:tc>
      </w:tr>
      <w:tr>
        <w:tc>
          <w:tcPr>
            <w:tcW w:type="dxa" w:w="922"/>
            <w:gridSpan w:val="2"/>
            <w:vMerge/>
          </w:tcPr>
          <w:p/>
        </w:tc>
        <w:tc>
          <w:tcPr>
            <w:tcW w:type="dxa" w:w="2307"/>
          </w:tcPr>
          <w:p>
            <w:pPr>
              <w:pStyle w:val="null3"/>
              <w:jc w:val="left"/>
            </w:pPr>
            <w:r>
              <w:rPr/>
              <w:t>根据非“▲”技术参数 符合性进行评审 (6.0分)</w:t>
            </w:r>
          </w:p>
        </w:tc>
        <w:tc>
          <w:tcPr>
            <w:tcW w:type="dxa" w:w="5076"/>
          </w:tcPr>
          <w:p>
            <w:pPr>
              <w:pStyle w:val="null3"/>
              <w:jc w:val="left"/>
            </w:pPr>
            <w:r>
              <w:rPr/>
              <w:t>完全满足用户需求书中的非“▲”的技术参数要求的得满分6分；用户需求书中非“▲”的技术参数每项不满足或负偏离扣0.5分。 注：1.以每款参数最小的序号为一项评审指标（有说明的除外）；2.用户需求书中非“▲”的技术参数共12项，不按招标文件要求提供相应证明文件的，按不满足处理。</w:t>
            </w:r>
          </w:p>
        </w:tc>
      </w:tr>
      <w:tr>
        <w:tc>
          <w:tcPr>
            <w:tcW w:type="dxa" w:w="922"/>
            <w:gridSpan w:val="2"/>
            <w:vMerge/>
          </w:tcPr>
          <w:p/>
        </w:tc>
        <w:tc>
          <w:tcPr>
            <w:tcW w:type="dxa" w:w="2307"/>
          </w:tcPr>
          <w:p>
            <w:pPr>
              <w:pStyle w:val="null3"/>
              <w:jc w:val="left"/>
            </w:pPr>
            <w:r>
              <w:rPr/>
              <w:t>项目组织实施服务方案 (10.0分)</w:t>
            </w:r>
            <w:r>
              <w:rPr/>
              <w:t>，（等次分值选择：</w:t>
            </w:r>
            <w:r>
              <w:rPr/>
              <w:t>0.0;</w:t>
            </w:r>
            <w:r>
              <w:rPr/>
              <w:t>3.0;</w:t>
            </w:r>
            <w:r>
              <w:rPr/>
              <w:t>6.0;</w:t>
            </w:r>
            <w:r>
              <w:rPr/>
              <w:t>10.0;</w:t>
            </w:r>
            <w:r>
              <w:rPr/>
              <w:t>）</w:t>
            </w:r>
          </w:p>
        </w:tc>
        <w:tc>
          <w:tcPr>
            <w:tcW w:type="dxa" w:w="5076"/>
          </w:tcPr>
          <w:p>
            <w:pPr>
              <w:pStyle w:val="null3"/>
              <w:jc w:val="left"/>
            </w:pPr>
            <w:r>
              <w:rPr/>
              <w:t>根据供应商提供的项目组织实施服务方案（包括提升与完善管理服务所需产品提供方案、安装条件与安装布点方案、满足安装需求配备的必要性设施或设备、安装进度与投放点标识方案、在合同实施过程中可能涉及到的与其他管理机构或部门的协调方案、项目人员配置方案、安装验收方案等）进行综合评审： 1.项目组织实施服务方案详细具体、安装条件与安装布点配置合理、安装需求配备设施或设备齐全、安装进度与投放点标识方案科学、与相关部门沟通协调顺畅、项目人员配置方案和安装验收方案周全，能够确保项目设施在提升与完善管理服务期间始终处于良好的正常使用状态，完全满足或优于项目需求的，得10分； 2..项目组织实施服务方案较详细、安装条件与安装布点配置较合理、安装需求配备设施或设备较齐全、安装进度与投放点标识方案较科学、与相关部门沟通协调较顺畅、项目人员配置方案和安装验收方案较周全，基本能够做到项目设施在提升与完善管理服务期间始终处于正常使用状态，基本满足项目需求的，得6分； 3..项目组织实施服务方案不够详细、安装条件与安装布点配置不合理、安装需求配备设施或设备不齐全、安装进度与投放点标识方案不科学、与相关部门沟通协调不顺畅、项目人员配置方案和安装验收方案不周全，不能确保项目设施在提升与完善管理服务期间始终处于正常使用状态，不能满足项目需求的，得3分； 4.未提供方案或方案不具可操作性，得0分。</w:t>
            </w:r>
          </w:p>
        </w:tc>
      </w:tr>
      <w:tr>
        <w:tc>
          <w:tcPr>
            <w:tcW w:type="dxa" w:w="922"/>
            <w:gridSpan w:val="2"/>
            <w:vMerge/>
          </w:tcPr>
          <w:p/>
        </w:tc>
        <w:tc>
          <w:tcPr>
            <w:tcW w:type="dxa" w:w="2307"/>
          </w:tcPr>
          <w:p>
            <w:pPr>
              <w:pStyle w:val="null3"/>
              <w:jc w:val="left"/>
            </w:pPr>
            <w:r>
              <w:rPr/>
              <w:t>设施维护保养方案 (10.0分)</w:t>
            </w:r>
            <w:r>
              <w:rPr/>
              <w:t>，（等次分值选择：</w:t>
            </w:r>
            <w:r>
              <w:rPr/>
              <w:t>0.0;</w:t>
            </w:r>
            <w:r>
              <w:rPr/>
              <w:t>3.0;</w:t>
            </w:r>
            <w:r>
              <w:rPr/>
              <w:t>6.0;</w:t>
            </w:r>
            <w:r>
              <w:rPr/>
              <w:t>10.0;</w:t>
            </w:r>
            <w:r>
              <w:rPr/>
              <w:t>）</w:t>
            </w:r>
          </w:p>
        </w:tc>
        <w:tc>
          <w:tcPr>
            <w:tcW w:type="dxa" w:w="5076"/>
          </w:tcPr>
          <w:p>
            <w:pPr>
              <w:pStyle w:val="null3"/>
              <w:jc w:val="left"/>
            </w:pPr>
            <w:r>
              <w:rPr/>
              <w:t>根据供应商提供的设施维护保养方案（包括但不限于产品质量维护保养方案、故障响应时间与服务保障承诺、服务质量保证措施等）进行综合评审： 1.方案措施涵盖上述内容，服务承诺明确清晰，产品质量维护保养方案完善、故障响应及时、服务质量保证措施科学全面，满足本项目服务要求，得10分； 2.方案措施虽涵盖上述内容，但服务承诺不够明确清晰，产品质量维护保养方案不够完善、故障响应不够及时，服务质量保证措施基本科学，基本满足本项目服务要求，得6分； 3.方案措施未全面涵盖上述内容，服务承诺含糊不清晰，产品质量维护保养方案较差，故障响应时间不及时，服务质量保证措施不科学，无法满足本项目服务要求，得3分； 4.未提供方案或方案不具可操作性，得0分。</w:t>
            </w:r>
          </w:p>
        </w:tc>
      </w:tr>
      <w:tr>
        <w:tc>
          <w:tcPr>
            <w:tcW w:type="dxa" w:w="922"/>
            <w:gridSpan w:val="2"/>
            <w:vMerge/>
          </w:tcPr>
          <w:p/>
        </w:tc>
        <w:tc>
          <w:tcPr>
            <w:tcW w:type="dxa" w:w="2307"/>
          </w:tcPr>
          <w:p>
            <w:pPr>
              <w:pStyle w:val="null3"/>
              <w:jc w:val="left"/>
            </w:pPr>
            <w:r>
              <w:rPr/>
              <w:t>突发事件应急处置方案 (6.0分)</w:t>
            </w:r>
            <w:r>
              <w:rPr/>
              <w:t>，（等次分值选择：</w:t>
            </w:r>
            <w:r>
              <w:rPr/>
              <w:t>0.0;</w:t>
            </w:r>
            <w:r>
              <w:rPr/>
              <w:t>1.0;</w:t>
            </w:r>
            <w:r>
              <w:rPr/>
              <w:t>3.0;</w:t>
            </w:r>
            <w:r>
              <w:rPr/>
              <w:t>6.0;</w:t>
            </w:r>
            <w:r>
              <w:rPr/>
              <w:t>）</w:t>
            </w:r>
          </w:p>
        </w:tc>
        <w:tc>
          <w:tcPr>
            <w:tcW w:type="dxa" w:w="5076"/>
          </w:tcPr>
          <w:p>
            <w:pPr>
              <w:pStyle w:val="null3"/>
              <w:jc w:val="left"/>
            </w:pPr>
            <w:r>
              <w:rPr/>
              <w:t>根据供应商对突发事件应急处置方案措施（包括但不限于应急措施、应急服务承诺及应急服务响应能力、应急响应时间、特殊应急情况等方面）的可操作性、合理性、可行性进行综合评审： 1.突发事件应急处置方案的可操作性好、合理性高、可行性很强的，完全满足采购需求，得6分； 2.突发事件应急处置方案的可操作性较好、合理性较高、可行性较强的，基本满足采购需求，得3分； 3.突发事件应急处置方案的可操作性差、不合理、无可行性的，部分满足采购需求，得1分； 4.未提供方案或方案不具可操作性，得0分。</w:t>
            </w:r>
          </w:p>
        </w:tc>
      </w:tr>
      <w:tr>
        <w:tc>
          <w:tcPr>
            <w:tcW w:type="dxa" w:w="922"/>
            <w:gridSpan w:val="2"/>
            <w:vMerge/>
          </w:tcPr>
          <w:p/>
        </w:tc>
        <w:tc>
          <w:tcPr>
            <w:tcW w:type="dxa" w:w="2307"/>
          </w:tcPr>
          <w:p>
            <w:pPr>
              <w:pStyle w:val="null3"/>
              <w:jc w:val="left"/>
            </w:pPr>
            <w:r>
              <w:rPr/>
              <w:t>管理服务方案与承诺 (8.0分)</w:t>
            </w:r>
            <w:r>
              <w:rPr/>
              <w:t>，（等次分值选择：</w:t>
            </w:r>
            <w:r>
              <w:rPr/>
              <w:t>0.0;</w:t>
            </w:r>
            <w:r>
              <w:rPr/>
              <w:t>3.0;</w:t>
            </w:r>
            <w:r>
              <w:rPr/>
              <w:t>5.0;</w:t>
            </w:r>
            <w:r>
              <w:rPr/>
              <w:t>8.0;</w:t>
            </w:r>
            <w:r>
              <w:rPr/>
              <w:t>）</w:t>
            </w:r>
          </w:p>
        </w:tc>
        <w:tc>
          <w:tcPr>
            <w:tcW w:type="dxa" w:w="5076"/>
          </w:tcPr>
          <w:p>
            <w:pPr>
              <w:pStyle w:val="null3"/>
              <w:jc w:val="left"/>
            </w:pPr>
            <w:r>
              <w:rPr/>
              <w:t>根据供应商提供的提升与完善管理服务2年期间的管理服务方案与承诺进行综合评审： 1.管理服务方案详细，换新补充方案合理、日常巡查维护方案科学，完全满足采购需求的，得8分； 2.管理服务方案较详细，换新补充方案较合理、日常巡查维护方案较科学，基本满足采购需求的，得5分； 3.管理服务方案一般，换新补充方案一般、日常巡查维护方案不科学，不能满足采购需求的，得3分； 4.未提供管理服务方案承诺或方案承诺不具可操作性的，得0分。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供应商自2021年1月1日起至今（以合同签订时间为准）承接过同类项目业绩，每提供一个得1分，最高得5分。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在上述有效业绩中，供应商提供项目用户单位出具的客户评价材料或满意度评价材料，评价材料必须达到90分或带有“满意”或“好评”或“优秀”等正面评价字眼，每提供一份得1分，最高得5分。 注：同一个项目业绩的多份评价不可累积计分，须提供用户单位盖章的评价证明材料扫描件作为评审材料，无提供或不符合要求不得分。</w:t>
            </w:r>
          </w:p>
        </w:tc>
      </w:tr>
      <w:tr>
        <w:tc>
          <w:tcPr>
            <w:tcW w:type="dxa" w:w="922"/>
            <w:gridSpan w:val="2"/>
            <w:vMerge/>
          </w:tcPr>
          <w:p/>
        </w:tc>
        <w:tc>
          <w:tcPr>
            <w:tcW w:type="dxa" w:w="2307"/>
          </w:tcPr>
          <w:p>
            <w:pPr>
              <w:pStyle w:val="null3"/>
              <w:jc w:val="left"/>
            </w:pPr>
            <w:r>
              <w:rPr/>
              <w:t>供应商相关管理体系认证情况 (6.0分)</w:t>
            </w:r>
          </w:p>
        </w:tc>
        <w:tc>
          <w:tcPr>
            <w:tcW w:type="dxa" w:w="5076"/>
          </w:tcPr>
          <w:p>
            <w:pPr>
              <w:pStyle w:val="null3"/>
              <w:jc w:val="left"/>
            </w:pPr>
            <w:r>
              <w:rPr/>
              <w:t>供应商具有有效的质量管理体系认证证书、环境管理体系认证证书、职业健康安全管理体系认证证书，每个证书得2分，最高得6分。 注：须提供有效期内的管理体系认证证书复印件及证书在“全国认证认可信息公共服务平台（http://cx.cnca.cn/CertECloud/index/index/page）”上的查询结果及显示查询状态为“有效”的网页信息截图并加盖投标人公章，不满足上述情况的或未按要求提供证明材料的，不得分。新成立的公司因实施运行不满3个月无法办理认证证书的，可得满分。</w:t>
            </w:r>
          </w:p>
        </w:tc>
      </w:tr>
      <w:tr>
        <w:tc>
          <w:tcPr>
            <w:tcW w:type="dxa" w:w="922"/>
            <w:gridSpan w:val="2"/>
            <w:vMerge/>
          </w:tcPr>
          <w:p/>
        </w:tc>
        <w:tc>
          <w:tcPr>
            <w:tcW w:type="dxa" w:w="2307"/>
          </w:tcPr>
          <w:p>
            <w:pPr>
              <w:pStyle w:val="null3"/>
              <w:jc w:val="left"/>
            </w:pPr>
            <w:r>
              <w:rPr/>
              <w:t>商务条款响应情况 (4.0分)</w:t>
            </w:r>
          </w:p>
        </w:tc>
        <w:tc>
          <w:tcPr>
            <w:tcW w:type="dxa" w:w="5076"/>
          </w:tcPr>
          <w:p>
            <w:pPr>
              <w:pStyle w:val="null3"/>
              <w:jc w:val="left"/>
            </w:pPr>
            <w:r>
              <w:rPr/>
              <w:t>根据供应商对采购文件“用户需求书”中“主要商务要求”响应情况进行评审：完全满足用户需求书中主要商务条款要求的，得4分；用户需求书中商务条款每项不满足或负偏离扣0.5分。 注：1.商务响应条款以每大点为一项评审指标（有说明的除外）；2.用户需求书中商务要求条款共8项，不按采购文件要求提供相应证明文件的，按不满足处理 。</w:t>
            </w:r>
          </w:p>
        </w:tc>
      </w:tr>
      <w:tr>
        <w:tc>
          <w:tcPr>
            <w:tcW w:type="dxa" w:w="922"/>
            <w:gridSpan w:val="2"/>
          </w:tcPr>
          <w:p>
            <w:pPr>
              <w:pStyle w:val="null3"/>
              <w:jc w:val="center"/>
            </w:pPr>
            <w:r>
              <w:rPr/>
              <w:t>投标报价</w:t>
            </w:r>
          </w:p>
        </w:tc>
        <w:tc>
          <w:tcPr>
            <w:tcW w:type="dxa" w:w="2307"/>
          </w:tcPr>
          <w:p>
            <w:pPr>
              <w:pStyle w:val="null3"/>
              <w:jc w:val="left"/>
            </w:pPr>
            <w:r>
              <w:rPr/>
              <w:t>投标价格得分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依此类推；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依此类推；评审后得分最高的同品牌谈判供应商获得成交候选人推荐资格；评审得分相同的，由采购人或者采购人委托谈判小组采取随机抽取方式确定，其他同品牌谈判供应商不作为成交候选人）。 采购包1的第一成交候选人不推荐为本采购包的成交候选人。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依此类推；评审后得分最高的同品牌谈判供应商获得成交候选人推荐资格；评审得分相同的，由采购人或者采购人委托谈判小组采取随机抽取方式确定，其他同品牌谈判供应商不作为成交候选人）。 采购包1的第一成交候选人及采购包2的第一成交候选人，不推荐为本采购包的成交候选人。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rPr/>
        <w:t xml:space="preserve">   </w:t>
      </w:r>
    </w:p>
    <w:p>
      <w:pPr>
        <w:pStyle w:val="null3"/>
        <w:jc w:val="center"/>
      </w:pPr>
      <w:r>
        <w:rPr>
          <w:sz w:val="28"/>
          <w:color w:val="222222"/>
        </w:rPr>
        <w:t>采购计划编号：</w:t>
      </w:r>
      <w:r>
        <w:rPr/>
        <w:t xml:space="preserve">                         </w:t>
      </w:r>
    </w:p>
    <w:p>
      <w:pPr>
        <w:pStyle w:val="null3"/>
        <w:jc w:val="both"/>
      </w:pPr>
      <w:r>
        <w:rPr/>
        <w:t xml:space="preserve"> </w:t>
      </w:r>
    </w:p>
    <w:p>
      <w:pPr>
        <w:pStyle w:val="null3"/>
        <w:ind w:firstLine="3360"/>
        <w:jc w:val="both"/>
      </w:pPr>
      <w:r>
        <w:rPr>
          <w:sz w:val="28"/>
          <w:color w:val="222222"/>
        </w:rPr>
        <w:t>项目编号：</w:t>
      </w:r>
      <w:r>
        <w:rPr/>
        <w:t xml:space="preserve">                             </w:t>
      </w:r>
    </w:p>
    <w:p>
      <w:pPr>
        <w:pStyle w:val="null3"/>
        <w:jc w:val="both"/>
      </w:pPr>
      <w:r>
        <w:rPr/>
        <w:t xml:space="preserve"> </w:t>
      </w:r>
    </w:p>
    <w:p>
      <w:pPr>
        <w:pStyle w:val="null3"/>
        <w:jc w:val="both"/>
      </w:pPr>
      <w:r>
        <w:rPr>
          <w:sz w:val="28"/>
          <w:color w:val="222222"/>
        </w:rPr>
        <w:t xml:space="preserve">                                        </w:t>
      </w:r>
      <w:r>
        <w:rPr>
          <w:sz w:val="28"/>
          <w:color w:val="222222"/>
        </w:rPr>
        <w:t>项目名称：</w:t>
      </w:r>
    </w:p>
    <w:p>
      <w:pPr>
        <w:pStyle w:val="null3"/>
        <w:ind w:firstLine="3360"/>
        <w:jc w:val="both"/>
      </w:pPr>
      <w:r>
        <w:rPr>
          <w:sz w:val="28"/>
          <w:color w:val="222222"/>
        </w:rPr>
        <w:t>采购包号：</w:t>
      </w:r>
    </w:p>
    <w:p>
      <w:pPr>
        <w:pStyle w:val="null3"/>
        <w:jc w:val="both"/>
      </w:pPr>
      <w:r>
        <w:rPr/>
        <w:t xml:space="preserve"> </w:t>
      </w:r>
    </w:p>
    <w:p>
      <w:pPr>
        <w:pStyle w:val="null3"/>
        <w:jc w:val="both"/>
      </w:pPr>
      <w:r>
        <w:rPr/>
        <w:t xml:space="preserve"> </w:t>
      </w:r>
    </w:p>
    <w:p>
      <w:pPr>
        <w:pStyle w:val="null3"/>
        <w:ind w:firstLine="480"/>
        <w:jc w:val="both"/>
      </w:pPr>
      <w:r>
        <w:rPr/>
        <w:t xml:space="preserve"> </w:t>
      </w:r>
    </w:p>
    <w:p>
      <w:pPr>
        <w:pStyle w:val="null3"/>
        <w:ind w:firstLine="482"/>
        <w:jc w:val="both"/>
      </w:pPr>
      <w:r>
        <w:rPr>
          <w:sz w:val="24"/>
          <w:b/>
        </w:rPr>
        <w:t>甲方：广州市南沙区卫生健康局</w:t>
      </w:r>
    </w:p>
    <w:p>
      <w:pPr>
        <w:pStyle w:val="null3"/>
        <w:ind w:firstLine="480"/>
        <w:jc w:val="both"/>
      </w:pPr>
      <w:r>
        <w:rPr>
          <w:sz w:val="24"/>
        </w:rPr>
        <w:t>电话：</w:t>
      </w:r>
      <w:r>
        <w:rPr>
          <w:sz w:val="24"/>
        </w:rPr>
        <w:t>020-34685414</w:t>
      </w:r>
    </w:p>
    <w:p>
      <w:pPr>
        <w:pStyle w:val="null3"/>
        <w:ind w:firstLine="480"/>
        <w:jc w:val="both"/>
      </w:pPr>
      <w:r>
        <w:rPr>
          <w:sz w:val="24"/>
        </w:rPr>
        <w:t>地址：广州市南沙区环市大道中</w:t>
      </w:r>
      <w:r>
        <w:rPr>
          <w:sz w:val="24"/>
        </w:rPr>
        <w:t>11号</w:t>
      </w:r>
    </w:p>
    <w:p>
      <w:pPr>
        <w:pStyle w:val="null3"/>
        <w:ind w:firstLine="482"/>
        <w:jc w:val="both"/>
      </w:pPr>
      <w:r>
        <w:rPr>
          <w:sz w:val="24"/>
          <w:b/>
        </w:rPr>
        <w:t>乙方：</w:t>
      </w:r>
    </w:p>
    <w:p>
      <w:pPr>
        <w:pStyle w:val="null3"/>
        <w:ind w:firstLine="480"/>
        <w:jc w:val="both"/>
      </w:pPr>
      <w:r>
        <w:rPr>
          <w:sz w:val="24"/>
        </w:rPr>
        <w:t>电话：</w:t>
      </w:r>
    </w:p>
    <w:p>
      <w:pPr>
        <w:pStyle w:val="null3"/>
        <w:ind w:firstLine="480"/>
        <w:jc w:val="both"/>
      </w:pPr>
      <w:r>
        <w:rPr>
          <w:sz w:val="24"/>
        </w:rPr>
        <w:t>地址：</w:t>
      </w:r>
    </w:p>
    <w:p>
      <w:pPr>
        <w:pStyle w:val="null3"/>
        <w:ind w:firstLine="482"/>
        <w:jc w:val="both"/>
      </w:pPr>
      <w:r>
        <w:rPr>
          <w:b/>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color w:val="222222"/>
        </w:rPr>
        <w:t xml:space="preserve"> </w:t>
      </w:r>
      <w:r>
        <w:rPr>
          <w:sz w:val="24"/>
          <w:color w:val="222222"/>
        </w:rPr>
        <w:t>根据</w:t>
      </w:r>
      <w:r>
        <w:rPr>
          <w:sz w:val="24"/>
          <w:color w:val="222222"/>
        </w:rPr>
        <w:t>“</w:t>
      </w:r>
      <w:r>
        <w:rPr>
          <w:sz w:val="24"/>
          <w:color w:val="222222"/>
        </w:rPr>
        <w:t>2024年南沙区病媒生物防制基础设施提升与完善管理服务项目（</w:t>
      </w:r>
      <w:r>
        <w:rPr>
          <w:sz w:val="24"/>
          <w:color w:val="222222"/>
        </w:rPr>
        <w:t>项目编号：</w:t>
      </w:r>
      <w:r>
        <w:rPr>
          <w:sz w:val="24"/>
          <w:color w:val="222222"/>
        </w:rPr>
        <w:t>GDYD240679）”采购包</w:t>
      </w:r>
      <w:r>
        <w:rPr>
          <w:sz w:val="24"/>
          <w:color w:val="222222"/>
        </w:rPr>
        <w:t>1/2/3</w:t>
      </w:r>
      <w:r>
        <w:rPr>
          <w:sz w:val="24"/>
          <w:color w:val="222222"/>
        </w:rPr>
        <w:t>项目的采购结果，按照《中华人民共和国政府采购法》，《中华人民共和国民法典</w:t>
      </w:r>
      <w:r>
        <w:rPr>
          <w:sz w:val="24"/>
          <w:color w:val="222222"/>
        </w:rPr>
        <w:t>（</w:t>
      </w:r>
      <w:r>
        <w:rPr>
          <w:sz w:val="24"/>
          <w:color w:val="222222"/>
        </w:rPr>
        <w:t>合同编</w:t>
      </w:r>
      <w:r>
        <w:rPr>
          <w:sz w:val="24"/>
          <w:color w:val="222222"/>
        </w:rPr>
        <w:t>）</w:t>
      </w:r>
      <w:r>
        <w:rPr>
          <w:sz w:val="24"/>
          <w:color w:val="222222"/>
        </w:rPr>
        <w:t>》的规定，经双方协商，本着平等互利和诚实信用的原则，一致同意遵守本合同如下。</w:t>
      </w:r>
    </w:p>
    <w:p>
      <w:pPr>
        <w:pStyle w:val="null3"/>
        <w:ind w:firstLine="482"/>
        <w:jc w:val="both"/>
      </w:pPr>
      <w:r>
        <w:rPr>
          <w:sz w:val="24"/>
          <w:b/>
          <w:color w:val="222222"/>
        </w:rPr>
        <w:t>一、合同金额</w:t>
      </w:r>
    </w:p>
    <w:p>
      <w:pPr>
        <w:pStyle w:val="null3"/>
        <w:ind w:firstLine="480"/>
        <w:jc w:val="both"/>
      </w:pPr>
      <w:r>
        <w:rPr>
          <w:sz w:val="24"/>
          <w:color w:val="222222"/>
        </w:rPr>
        <w:t>合同金额为（大写）：</w:t>
      </w:r>
      <w:r>
        <w:rPr>
          <w:sz w:val="24"/>
          <w:color w:val="222222"/>
        </w:rPr>
        <w:t>_____________元（￥_________元）人民币。</w:t>
      </w:r>
    </w:p>
    <w:p>
      <w:pPr>
        <w:pStyle w:val="null3"/>
        <w:ind w:firstLine="482"/>
        <w:jc w:val="both"/>
      </w:pPr>
      <w:r>
        <w:rPr>
          <w:sz w:val="24"/>
          <w:b/>
          <w:color w:val="222222"/>
        </w:rPr>
        <w:t>二、</w:t>
      </w:r>
      <w:r>
        <w:rPr>
          <w:sz w:val="24"/>
          <w:b/>
          <w:color w:val="222222"/>
        </w:rPr>
        <w:t>服务范围内容及要求</w:t>
      </w:r>
    </w:p>
    <w:p>
      <w:pPr>
        <w:pStyle w:val="null3"/>
        <w:ind w:firstLine="480"/>
        <w:jc w:val="both"/>
      </w:pPr>
      <w:r>
        <w:rPr>
          <w:sz w:val="24"/>
          <w:color w:val="222222"/>
        </w:rPr>
        <w:t>甲方聘请乙方提供以下服务：</w:t>
      </w:r>
    </w:p>
    <w:p>
      <w:pPr>
        <w:pStyle w:val="null3"/>
        <w:ind w:firstLine="480"/>
        <w:jc w:val="both"/>
      </w:pPr>
      <w:r>
        <w:rPr>
          <w:sz w:val="24"/>
          <w:color w:val="222222"/>
        </w:rPr>
        <w:t>1．　　　　　　　　　　　</w:t>
      </w:r>
    </w:p>
    <w:p>
      <w:pPr>
        <w:pStyle w:val="null3"/>
        <w:ind w:firstLine="480"/>
        <w:jc w:val="both"/>
      </w:pPr>
      <w:r>
        <w:rPr>
          <w:sz w:val="24"/>
          <w:color w:val="222222"/>
        </w:rPr>
        <w:t>2．　　　　　　　　　　　</w:t>
      </w:r>
    </w:p>
    <w:p>
      <w:pPr>
        <w:pStyle w:val="null3"/>
        <w:ind w:firstLine="480"/>
        <w:jc w:val="both"/>
      </w:pPr>
      <w:r>
        <w:rPr>
          <w:sz w:val="24"/>
          <w:color w:val="222222"/>
        </w:rPr>
        <w:t>……</w:t>
      </w:r>
    </w:p>
    <w:p>
      <w:pPr>
        <w:pStyle w:val="null3"/>
        <w:ind w:firstLine="480"/>
        <w:jc w:val="both"/>
      </w:pPr>
      <w:r>
        <w:rPr>
          <w:sz w:val="24"/>
          <w:color w:val="222222"/>
        </w:rPr>
        <w:t>（根据具体采购包采购需求要求和乙方投标响应文件和承诺进行补充）</w:t>
      </w:r>
    </w:p>
    <w:p>
      <w:pPr>
        <w:pStyle w:val="null3"/>
        <w:ind w:firstLine="482"/>
        <w:jc w:val="both"/>
      </w:pPr>
      <w:r>
        <w:rPr>
          <w:sz w:val="24"/>
          <w:b/>
          <w:color w:val="222222"/>
        </w:rPr>
        <w:t>三、甲方乙方的权利和义务</w:t>
      </w:r>
    </w:p>
    <w:p>
      <w:pPr>
        <w:pStyle w:val="null3"/>
        <w:ind w:firstLine="480"/>
        <w:jc w:val="both"/>
      </w:pPr>
      <w:r>
        <w:rPr>
          <w:sz w:val="24"/>
          <w:color w:val="222222"/>
        </w:rPr>
        <w:t>1.甲方的权利和义务</w:t>
      </w:r>
    </w:p>
    <w:p>
      <w:pPr>
        <w:pStyle w:val="null3"/>
        <w:ind w:firstLine="480"/>
        <w:jc w:val="both"/>
      </w:pPr>
      <w:r>
        <w:rPr>
          <w:sz w:val="24"/>
        </w:rPr>
        <w:t>（</w:t>
      </w:r>
      <w:r>
        <w:rPr>
          <w:sz w:val="24"/>
        </w:rPr>
        <w:t>1）甲方在项目开展过程中应配合、支持乙方工作。</w:t>
      </w:r>
    </w:p>
    <w:p>
      <w:pPr>
        <w:pStyle w:val="null3"/>
        <w:ind w:firstLine="480"/>
        <w:jc w:val="both"/>
      </w:pPr>
      <w:r>
        <w:rPr>
          <w:sz w:val="24"/>
        </w:rPr>
        <w:t>（</w:t>
      </w:r>
      <w:r>
        <w:rPr>
          <w:sz w:val="24"/>
        </w:rPr>
        <w:t>2）甲方对本服务项目如有修改意见，应提前5个工作日书面通知乙方。</w:t>
      </w:r>
    </w:p>
    <w:p>
      <w:pPr>
        <w:pStyle w:val="null3"/>
        <w:ind w:firstLine="480"/>
        <w:jc w:val="both"/>
      </w:pPr>
      <w:r>
        <w:rPr>
          <w:sz w:val="24"/>
        </w:rPr>
        <w:t>（</w:t>
      </w:r>
      <w:r>
        <w:rPr>
          <w:sz w:val="24"/>
        </w:rPr>
        <w:t>3）甲方可在本服务项目确认前，</w:t>
      </w:r>
      <w:r>
        <w:rPr>
          <w:sz w:val="24"/>
        </w:rPr>
        <w:t>要求乙方对</w:t>
      </w:r>
      <w:r>
        <w:rPr>
          <w:sz w:val="24"/>
        </w:rPr>
        <w:t>服务项目内容需求</w:t>
      </w:r>
      <w:r>
        <w:rPr>
          <w:sz w:val="24"/>
        </w:rPr>
        <w:t>进行必要的</w:t>
      </w:r>
      <w:r>
        <w:rPr>
          <w:sz w:val="24"/>
        </w:rPr>
        <w:t>增、减、修改</w:t>
      </w:r>
      <w:r>
        <w:rPr>
          <w:sz w:val="24"/>
        </w:rPr>
        <w:t>和</w:t>
      </w:r>
      <w:r>
        <w:rPr>
          <w:sz w:val="24"/>
        </w:rPr>
        <w:t>完善。经双方协商通过后，乙方必须承诺及时提供相关的服务与支持。当本项目内容发生较大变动时，以甲乙双方商议的最终结果为主。</w:t>
      </w:r>
    </w:p>
    <w:p>
      <w:pPr>
        <w:pStyle w:val="null3"/>
        <w:ind w:firstLine="480"/>
        <w:jc w:val="both"/>
      </w:pPr>
      <w:r>
        <w:rPr>
          <w:sz w:val="24"/>
        </w:rPr>
        <w:t>（</w:t>
      </w:r>
      <w:r>
        <w:rPr>
          <w:sz w:val="24"/>
        </w:rPr>
        <w:t>4）甲方拥有本项目全部服务过程和结果（原始资料、文字分析报告、录音、照片等）的所有权及知识产权。</w:t>
      </w:r>
    </w:p>
    <w:p>
      <w:pPr>
        <w:pStyle w:val="null3"/>
        <w:ind w:firstLine="480"/>
        <w:jc w:val="both"/>
      </w:pPr>
      <w:r>
        <w:rPr>
          <w:sz w:val="24"/>
        </w:rPr>
        <w:t>（</w:t>
      </w:r>
      <w:r>
        <w:rPr>
          <w:sz w:val="24"/>
        </w:rPr>
        <w:t>5）甲方有权了解及抽查乙方执行情况，包括但不限于乙方</w:t>
      </w:r>
      <w:r>
        <w:rPr>
          <w:sz w:val="24"/>
        </w:rPr>
        <w:t>每次巡检</w:t>
      </w:r>
      <w:r>
        <w:rPr>
          <w:sz w:val="24"/>
        </w:rPr>
        <w:t>的检查人员、执行进度、数据处理细节及过程等。</w:t>
      </w:r>
    </w:p>
    <w:p>
      <w:pPr>
        <w:pStyle w:val="null3"/>
        <w:ind w:firstLine="480"/>
        <w:jc w:val="both"/>
      </w:pPr>
      <w:r>
        <w:rPr>
          <w:sz w:val="24"/>
        </w:rPr>
        <w:t>2、乙方的权利和义务</w:t>
      </w:r>
    </w:p>
    <w:p>
      <w:pPr>
        <w:pStyle w:val="null3"/>
        <w:ind w:firstLine="480"/>
        <w:jc w:val="both"/>
      </w:pPr>
      <w:r>
        <w:rPr>
          <w:sz w:val="24"/>
        </w:rPr>
        <w:t>（</w:t>
      </w:r>
      <w:r>
        <w:rPr>
          <w:sz w:val="24"/>
        </w:rPr>
        <w:t>1）乙方应严格依据甲方要求进行项目服务工作。</w:t>
      </w:r>
    </w:p>
    <w:p>
      <w:pPr>
        <w:pStyle w:val="null3"/>
        <w:ind w:firstLine="480"/>
        <w:jc w:val="both"/>
      </w:pPr>
      <w:r>
        <w:rPr>
          <w:sz w:val="24"/>
        </w:rPr>
        <w:t>（</w:t>
      </w:r>
      <w:r>
        <w:rPr>
          <w:sz w:val="24"/>
        </w:rPr>
        <w:t>2）若甲方对服务项目有修改意见，乙方应按甲方修改意见开展服务工作，并不另行收取费用。</w:t>
      </w:r>
    </w:p>
    <w:p>
      <w:pPr>
        <w:pStyle w:val="null3"/>
        <w:ind w:firstLine="480"/>
        <w:jc w:val="both"/>
      </w:pPr>
      <w:r>
        <w:rPr>
          <w:sz w:val="24"/>
        </w:rPr>
        <w:t>（</w:t>
      </w:r>
      <w:r>
        <w:rPr>
          <w:sz w:val="24"/>
        </w:rPr>
        <w:t>3）乙方保证已经完全理解甲方关于本项目服务的具体要求，并有能力依据甲方的要求完成本项目服务工作。</w:t>
      </w:r>
    </w:p>
    <w:p>
      <w:pPr>
        <w:pStyle w:val="null3"/>
        <w:ind w:firstLine="480"/>
        <w:jc w:val="both"/>
      </w:pPr>
      <w:r>
        <w:rPr>
          <w:sz w:val="24"/>
        </w:rPr>
        <w:t>（</w:t>
      </w:r>
      <w:r>
        <w:rPr>
          <w:sz w:val="24"/>
        </w:rPr>
        <w:t>4）乙方应保证其具有承接服务合同的法定资质，因乙方缺乏相应资质而给甲方造成损失，乙方应承担相关责任。</w:t>
      </w:r>
    </w:p>
    <w:p>
      <w:pPr>
        <w:pStyle w:val="null3"/>
        <w:ind w:firstLine="480"/>
        <w:jc w:val="both"/>
      </w:pPr>
      <w:r>
        <w:rPr>
          <w:sz w:val="24"/>
        </w:rPr>
        <w:t>（</w:t>
      </w:r>
      <w:r>
        <w:rPr>
          <w:sz w:val="24"/>
        </w:rPr>
        <w:t>5）乙方在服务过程中，应遵守国家法律法规及地方法规的有关规定，应遵守本项目所在地的相关法律、法规的规定，并承担因违反上述规定而产生的法律责任。</w:t>
      </w:r>
    </w:p>
    <w:p>
      <w:pPr>
        <w:pStyle w:val="null3"/>
        <w:ind w:firstLine="480"/>
        <w:jc w:val="both"/>
      </w:pPr>
      <w:r>
        <w:rPr>
          <w:sz w:val="24"/>
        </w:rPr>
        <w:t>（</w:t>
      </w:r>
      <w:r>
        <w:rPr>
          <w:sz w:val="24"/>
        </w:rPr>
        <w:t>6）乙方应保证本项目产品及服务软件不得侵犯任何第三方的合法权益。若在履行服务合同过程中，乙方给第三方人身或财产造成损害的，由乙方承担全部赔偿责任。</w:t>
      </w:r>
    </w:p>
    <w:p>
      <w:pPr>
        <w:pStyle w:val="null3"/>
        <w:ind w:firstLine="480"/>
        <w:jc w:val="both"/>
      </w:pPr>
      <w:r>
        <w:rPr>
          <w:sz w:val="24"/>
        </w:rPr>
        <w:t>（</w:t>
      </w:r>
      <w:r>
        <w:rPr>
          <w:sz w:val="24"/>
        </w:rPr>
        <w:t>7）乙方自行承担应服务合同项下服务项目产生的一切税费。</w:t>
      </w:r>
    </w:p>
    <w:p>
      <w:pPr>
        <w:pStyle w:val="null3"/>
        <w:ind w:firstLine="480"/>
        <w:jc w:val="both"/>
      </w:pPr>
      <w:r>
        <w:rPr>
          <w:sz w:val="24"/>
        </w:rPr>
        <w:t>（</w:t>
      </w:r>
      <w:r>
        <w:rPr>
          <w:sz w:val="24"/>
        </w:rPr>
        <w:t>8</w:t>
      </w:r>
      <w:r>
        <w:rPr>
          <w:sz w:val="24"/>
        </w:rPr>
        <w:t>）乙方应自行开展服务合同项目服务工作，不得将服务合同项目服务工作委托给第三方实施。</w:t>
      </w:r>
    </w:p>
    <w:p>
      <w:pPr>
        <w:pStyle w:val="null3"/>
        <w:ind w:firstLine="480"/>
        <w:jc w:val="both"/>
      </w:pPr>
      <w:r>
        <w:rPr>
          <w:sz w:val="24"/>
        </w:rPr>
        <w:t>（</w:t>
      </w:r>
      <w:r>
        <w:rPr>
          <w:sz w:val="24"/>
        </w:rPr>
        <w:t>9</w:t>
      </w:r>
      <w:r>
        <w:rPr>
          <w:sz w:val="24"/>
        </w:rPr>
        <w:t>）乙方应当做好安全保障义务，因履行本合同而发生的人身、财产损害，由乙方负责处理及承担赔偿责任。</w:t>
      </w:r>
    </w:p>
    <w:p>
      <w:pPr>
        <w:pStyle w:val="null3"/>
        <w:ind w:firstLine="482"/>
        <w:jc w:val="both"/>
      </w:pPr>
      <w:r>
        <w:rPr>
          <w:sz w:val="24"/>
          <w:b/>
          <w:color w:val="222222"/>
        </w:rPr>
        <w:t>四、服务期间（项目完成期限）</w:t>
      </w:r>
    </w:p>
    <w:p>
      <w:pPr>
        <w:pStyle w:val="null3"/>
        <w:ind w:firstLine="480"/>
        <w:jc w:val="both"/>
      </w:pPr>
      <w:r>
        <w:rPr>
          <w:sz w:val="24"/>
        </w:rPr>
        <w:t>1.</w:t>
      </w:r>
      <w:r>
        <w:rPr>
          <w:sz w:val="24"/>
        </w:rPr>
        <w:t>合同生效后</w:t>
      </w:r>
      <w:r>
        <w:rPr>
          <w:sz w:val="24"/>
        </w:rPr>
        <w:t>2个月内完成提升与完善管理服务所需产品的交货、安装、验收及使用培训；</w:t>
      </w:r>
    </w:p>
    <w:p>
      <w:pPr>
        <w:pStyle w:val="null3"/>
        <w:ind w:firstLine="480"/>
        <w:jc w:val="both"/>
      </w:pPr>
      <w:r>
        <w:rPr>
          <w:sz w:val="24"/>
        </w:rPr>
        <w:t>2.</w:t>
      </w:r>
      <w:r>
        <w:rPr>
          <w:sz w:val="24"/>
        </w:rPr>
        <w:t>提升与完善管理服务</w:t>
      </w:r>
      <w:r>
        <w:rPr>
          <w:sz w:val="24"/>
        </w:rPr>
        <w:t>2年期间提供免费的</w:t>
      </w:r>
      <w:r>
        <w:rPr>
          <w:sz w:val="24"/>
        </w:rPr>
        <w:t>包修、包换、包退、包运营管理、包维护保养</w:t>
      </w:r>
      <w:r>
        <w:rPr>
          <w:sz w:val="24"/>
        </w:rPr>
        <w:t>等相关服务，确保设备在正常使用状态。</w:t>
      </w:r>
    </w:p>
    <w:p>
      <w:pPr>
        <w:pStyle w:val="null3"/>
        <w:ind w:firstLine="482"/>
        <w:jc w:val="both"/>
      </w:pPr>
      <w:r>
        <w:rPr>
          <w:sz w:val="24"/>
          <w:b/>
          <w:color w:val="222222"/>
        </w:rPr>
        <w:t>五、付款方式</w:t>
      </w:r>
    </w:p>
    <w:p>
      <w:pPr>
        <w:pStyle w:val="null3"/>
        <w:ind w:firstLine="480"/>
        <w:jc w:val="both"/>
      </w:pPr>
      <w:r>
        <w:rPr>
          <w:sz w:val="24"/>
        </w:rPr>
        <w:t>分</w:t>
      </w:r>
      <w:r>
        <w:rPr>
          <w:sz w:val="24"/>
        </w:rPr>
        <w:t>3期支付：</w:t>
      </w:r>
    </w:p>
    <w:p>
      <w:pPr>
        <w:pStyle w:val="null3"/>
        <w:ind w:firstLine="480"/>
        <w:jc w:val="both"/>
      </w:pPr>
      <w:r>
        <w:rPr>
          <w:sz w:val="24"/>
        </w:rPr>
        <w:t>第</w:t>
      </w:r>
      <w:r>
        <w:rPr>
          <w:sz w:val="24"/>
        </w:rPr>
        <w:t>1期：合同生效后30个工作日内，甲方先行支付乙方40%的合同款项。</w:t>
      </w:r>
    </w:p>
    <w:p>
      <w:pPr>
        <w:pStyle w:val="null3"/>
        <w:ind w:firstLine="480"/>
        <w:jc w:val="both"/>
      </w:pPr>
      <w:r>
        <w:rPr>
          <w:sz w:val="24"/>
        </w:rPr>
        <w:t>第</w:t>
      </w:r>
      <w:r>
        <w:rPr>
          <w:sz w:val="24"/>
        </w:rPr>
        <w:t>2期：乙方安装完成50%供货量及安装完成50%防蚊闸时，提供安装</w:t>
      </w:r>
      <w:r>
        <w:rPr>
          <w:sz w:val="24"/>
        </w:rPr>
        <w:t>供货相关</w:t>
      </w:r>
      <w:r>
        <w:rPr>
          <w:sz w:val="24"/>
        </w:rPr>
        <w:t>材料（安装数量、地点、图片及其他有关资料）及经甲方（或甲方指定的单位）验收合格后，甲方支付乙方</w:t>
      </w:r>
      <w:r>
        <w:rPr>
          <w:sz w:val="24"/>
        </w:rPr>
        <w:t>40%的合同款项。</w:t>
      </w:r>
    </w:p>
    <w:p>
      <w:pPr>
        <w:pStyle w:val="null3"/>
        <w:ind w:firstLine="480"/>
        <w:jc w:val="both"/>
      </w:pPr>
      <w:r>
        <w:rPr>
          <w:sz w:val="24"/>
        </w:rPr>
        <w:t>第</w:t>
      </w:r>
      <w:r>
        <w:rPr>
          <w:sz w:val="24"/>
        </w:rPr>
        <w:t>3期：乙方完成交货、安装及甲方（或甲方指定的单位）验收合格后，甲方收齐发票后的30个工作日内支付剩余20%的合同款项。</w:t>
      </w:r>
    </w:p>
    <w:p>
      <w:pPr>
        <w:pStyle w:val="null3"/>
        <w:ind w:firstLine="480"/>
        <w:jc w:val="both"/>
      </w:pPr>
      <w:r>
        <w:rPr>
          <w:sz w:val="24"/>
        </w:rPr>
        <w:t>说明：</w:t>
      </w:r>
      <w:r>
        <w:rPr>
          <w:sz w:val="24"/>
        </w:rPr>
        <w:t>1.本项目为包干价，合同实施期间不再调整；</w:t>
      </w:r>
    </w:p>
    <w:p>
      <w:pPr>
        <w:pStyle w:val="null3"/>
        <w:ind w:firstLine="480"/>
        <w:jc w:val="both"/>
      </w:pPr>
      <w:r>
        <w:rPr>
          <w:sz w:val="24"/>
        </w:rPr>
        <w:t>2.具体方式和时间以实际签署相应服务合同约定为准；</w:t>
      </w:r>
    </w:p>
    <w:p>
      <w:pPr>
        <w:pStyle w:val="null3"/>
        <w:ind w:firstLine="480"/>
        <w:jc w:val="both"/>
      </w:pPr>
      <w:r>
        <w:rPr>
          <w:sz w:val="24"/>
        </w:rPr>
        <w:t>3.因甲方使用的是财政资金，在规定的付款时间向政府财政部门提出办理财政支付申请手续的时间（不含政府财政支付部门审核的时间），即视为甲方已经按期支付，政府财政部门审核支付导致实际付款延迟的，甲方不须承担违约责任；</w:t>
      </w:r>
    </w:p>
    <w:p>
      <w:pPr>
        <w:pStyle w:val="null3"/>
        <w:ind w:firstLine="480"/>
        <w:jc w:val="both"/>
      </w:pPr>
      <w:r>
        <w:rPr>
          <w:sz w:val="24"/>
        </w:rPr>
        <w:t>4.乙方须向甲方提供完税后的合法发票，才可收取服务费用。乙方延迟提供发票的，甲方付款的时间相应顺延。</w:t>
      </w:r>
    </w:p>
    <w:p>
      <w:pPr>
        <w:pStyle w:val="null3"/>
        <w:ind w:firstLine="482"/>
        <w:jc w:val="both"/>
      </w:pPr>
      <w:r>
        <w:rPr>
          <w:sz w:val="24"/>
          <w:b/>
          <w:color w:val="222222"/>
        </w:rPr>
        <w:t>六、验收标准</w:t>
      </w:r>
    </w:p>
    <w:p>
      <w:pPr>
        <w:pStyle w:val="null3"/>
        <w:ind w:firstLine="480"/>
        <w:jc w:val="both"/>
      </w:pPr>
      <w:r>
        <w:rPr>
          <w:sz w:val="24"/>
          <w:color w:val="222222"/>
        </w:rPr>
        <w:t>（</w:t>
      </w:r>
      <w:r>
        <w:rPr>
          <w:sz w:val="24"/>
          <w:color w:val="222222"/>
        </w:rPr>
        <w:t>1）提升与完善管理服务验收工作由甲方（或甲方指定单位）和乙方共同进行。</w:t>
      </w:r>
    </w:p>
    <w:p>
      <w:pPr>
        <w:pStyle w:val="null3"/>
        <w:ind w:firstLine="480"/>
        <w:jc w:val="both"/>
      </w:pPr>
      <w:r>
        <w:rPr>
          <w:sz w:val="24"/>
          <w:color w:val="222222"/>
        </w:rPr>
        <w:t>（</w:t>
      </w:r>
      <w:r>
        <w:rPr>
          <w:sz w:val="24"/>
          <w:color w:val="222222"/>
        </w:rPr>
        <w:t>2）由甲方对</w:t>
      </w:r>
      <w:r>
        <w:rPr>
          <w:sz w:val="24"/>
          <w:color w:val="222222"/>
        </w:rPr>
        <w:t>产品</w:t>
      </w:r>
      <w:r>
        <w:rPr>
          <w:sz w:val="24"/>
          <w:color w:val="222222"/>
        </w:rPr>
        <w:t>的质量、规格、数量和运行状况及其他进行检验。如发现质量、规格、数量和运行状况等任何一项与招标要求规定不符，甲方有权拒绝验收。</w:t>
      </w:r>
    </w:p>
    <w:p>
      <w:pPr>
        <w:pStyle w:val="null3"/>
        <w:ind w:firstLine="480"/>
        <w:jc w:val="both"/>
      </w:pPr>
      <w:r>
        <w:rPr>
          <w:sz w:val="24"/>
          <w:color w:val="222222"/>
        </w:rPr>
        <w:t>（</w:t>
      </w:r>
      <w:r>
        <w:rPr>
          <w:sz w:val="24"/>
          <w:color w:val="222222"/>
        </w:rPr>
        <w:t>3</w:t>
      </w:r>
      <w:r>
        <w:rPr>
          <w:sz w:val="24"/>
          <w:color w:val="222222"/>
        </w:rPr>
        <w:t>）当出现不合格产品时，乙方要无条件更换合格产品。除甲方认可，否则不接受任何形式的降格处理。</w:t>
      </w:r>
    </w:p>
    <w:p>
      <w:pPr>
        <w:pStyle w:val="null3"/>
        <w:ind w:firstLine="482"/>
        <w:jc w:val="both"/>
      </w:pPr>
      <w:r>
        <w:rPr>
          <w:sz w:val="24"/>
          <w:b/>
          <w:color w:val="222222"/>
        </w:rPr>
        <w:t>七、知识产权归属</w:t>
      </w:r>
    </w:p>
    <w:p>
      <w:pPr>
        <w:pStyle w:val="null3"/>
        <w:ind w:firstLine="480"/>
        <w:jc w:val="both"/>
      </w:pPr>
      <w:r>
        <w:rPr>
          <w:sz w:val="24"/>
        </w:rPr>
        <w:t>乙方应保证本项目的投标</w:t>
      </w:r>
      <w:r>
        <w:rPr>
          <w:sz w:val="24"/>
        </w:rPr>
        <w:t>响应</w:t>
      </w:r>
      <w:r>
        <w:rPr>
          <w:sz w:val="24"/>
        </w:rPr>
        <w:t>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color w:val="222222"/>
        </w:rPr>
        <w:t>八、</w:t>
      </w:r>
      <w:r>
        <w:rPr>
          <w:sz w:val="24"/>
        </w:rPr>
        <w:t>履约保证金</w:t>
      </w:r>
    </w:p>
    <w:p>
      <w:pPr>
        <w:pStyle w:val="null3"/>
        <w:ind w:firstLine="480"/>
      </w:pPr>
      <w:r>
        <w:rPr>
          <w:sz w:val="24"/>
        </w:rPr>
        <w:t>1.</w:t>
      </w:r>
      <w:r>
        <w:rPr>
          <w:sz w:val="24"/>
        </w:rPr>
        <w:t>乙方</w:t>
      </w:r>
      <w:r>
        <w:rPr>
          <w:sz w:val="24"/>
        </w:rPr>
        <w:t>收到</w:t>
      </w:r>
      <w:r>
        <w:rPr>
          <w:sz w:val="24"/>
        </w:rPr>
        <w:t>成交</w:t>
      </w:r>
      <w:r>
        <w:rPr>
          <w:sz w:val="24"/>
        </w:rPr>
        <w:t>通知书后</w:t>
      </w:r>
      <w:r>
        <w:rPr>
          <w:sz w:val="24"/>
        </w:rPr>
        <w:t>7个工作日内，向</w:t>
      </w:r>
      <w:r>
        <w:rPr>
          <w:sz w:val="24"/>
        </w:rPr>
        <w:t>甲方</w:t>
      </w:r>
      <w:r>
        <w:rPr>
          <w:sz w:val="24"/>
        </w:rPr>
        <w:t>以支票、汇票、本票或者金融机构、担保机构出具的保函等形式提交，履约保证金的金额为</w:t>
      </w:r>
      <w:r>
        <w:rPr>
          <w:sz w:val="24"/>
        </w:rPr>
        <w:t>合同</w:t>
      </w:r>
      <w:r>
        <w:rPr>
          <w:sz w:val="24"/>
        </w:rPr>
        <w:t>金额</w:t>
      </w:r>
      <w:r>
        <w:rPr>
          <w:sz w:val="24"/>
        </w:rPr>
        <w:t>的</w:t>
      </w:r>
      <w:r>
        <w:rPr>
          <w:sz w:val="24"/>
        </w:rPr>
        <w:t>5%。</w:t>
      </w:r>
    </w:p>
    <w:p>
      <w:pPr>
        <w:pStyle w:val="null3"/>
        <w:ind w:firstLine="480"/>
      </w:pPr>
      <w:r>
        <w:rPr>
          <w:sz w:val="24"/>
        </w:rPr>
        <w:t>2.</w:t>
      </w:r>
      <w:r>
        <w:rPr>
          <w:sz w:val="24"/>
        </w:rPr>
        <w:t>甲方</w:t>
      </w:r>
      <w:r>
        <w:rPr>
          <w:sz w:val="24"/>
        </w:rPr>
        <w:t>确认</w:t>
      </w:r>
      <w:r>
        <w:rPr>
          <w:sz w:val="24"/>
        </w:rPr>
        <w:t>乙方</w:t>
      </w:r>
      <w:r>
        <w:rPr>
          <w:sz w:val="24"/>
        </w:rPr>
        <w:t>全部义务履行完毕且无违约责任后</w:t>
      </w:r>
      <w:r>
        <w:rPr>
          <w:sz w:val="24"/>
        </w:rPr>
        <w:t>30个工作日内无息退回。</w:t>
      </w:r>
    </w:p>
    <w:p>
      <w:pPr>
        <w:pStyle w:val="null3"/>
        <w:ind w:firstLine="482"/>
        <w:jc w:val="both"/>
      </w:pPr>
      <w:r>
        <w:rPr>
          <w:sz w:val="24"/>
          <w:b/>
          <w:color w:val="222222"/>
        </w:rPr>
        <w:t>九、保密</w:t>
      </w:r>
    </w:p>
    <w:p>
      <w:pPr>
        <w:pStyle w:val="null3"/>
        <w:ind w:firstLine="480"/>
        <w:jc w:val="both"/>
      </w:pPr>
      <w:r>
        <w:rPr>
          <w:sz w:val="24"/>
        </w:rPr>
        <w:t>项目实施过程中至乙方正式向甲方交付项目资料时止，乙方必须采取措施对本项目实施过程中的数据、文档等资料保密，否则，由于乙方过错导致的上述资料泄密的，乙方必须承担一切责任。项目完成后，甲、乙双方均有责任对本项目资料保密承担责任。</w:t>
      </w:r>
    </w:p>
    <w:p>
      <w:pPr>
        <w:pStyle w:val="null3"/>
        <w:ind w:firstLine="482"/>
        <w:jc w:val="both"/>
      </w:pPr>
      <w:r>
        <w:rPr>
          <w:sz w:val="24"/>
          <w:b/>
          <w:color w:val="222222"/>
        </w:rPr>
        <w:t>十</w:t>
      </w:r>
      <w:r>
        <w:rPr>
          <w:sz w:val="24"/>
          <w:b/>
          <w:color w:val="222222"/>
        </w:rPr>
        <w:t>、违约责任与赔偿损失</w:t>
      </w:r>
    </w:p>
    <w:p>
      <w:pPr>
        <w:pStyle w:val="null3"/>
        <w:ind w:firstLine="480"/>
        <w:jc w:val="both"/>
      </w:pPr>
      <w:r>
        <w:rPr>
          <w:sz w:val="24"/>
          <w:color w:val="222222"/>
        </w:rPr>
        <w:t>1.乙方提供的服务不符合本合同规定的，甲方有权拒收，并且乙方须向甲方支付本合同总价5%的违约金。</w:t>
      </w:r>
    </w:p>
    <w:p>
      <w:pPr>
        <w:pStyle w:val="null3"/>
        <w:ind w:firstLine="480"/>
        <w:jc w:val="both"/>
      </w:pPr>
      <w:r>
        <w:rPr>
          <w:sz w:val="24"/>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color w:val="222222"/>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color w:val="222222"/>
        </w:rPr>
        <w:t>4.对于因甲方原因导致变更、中止或者终止政府采购合同的，甲方应当依照以下合同约定对</w:t>
      </w:r>
      <w:r>
        <w:rPr>
          <w:sz w:val="24"/>
          <w:color w:val="222222"/>
        </w:rPr>
        <w:t>乙方</w:t>
      </w:r>
      <w:r>
        <w:rPr>
          <w:sz w:val="24"/>
          <w:color w:val="222222"/>
        </w:rPr>
        <w:t>受到的损失予以赔偿或者补偿。</w:t>
      </w:r>
    </w:p>
    <w:p>
      <w:pPr>
        <w:pStyle w:val="null3"/>
        <w:ind w:firstLine="480"/>
        <w:jc w:val="both"/>
      </w:pPr>
      <w:r>
        <w:rPr>
          <w:sz w:val="24"/>
          <w:color w:val="222222"/>
        </w:rPr>
        <w:t>5.其它违约责任按《中华人民共和国民法典》处理。</w:t>
      </w:r>
    </w:p>
    <w:p>
      <w:pPr>
        <w:pStyle w:val="null3"/>
        <w:ind w:firstLine="482"/>
        <w:jc w:val="both"/>
      </w:pPr>
      <w:r>
        <w:rPr>
          <w:sz w:val="24"/>
          <w:b/>
          <w:color w:val="222222"/>
        </w:rPr>
        <w:t>十</w:t>
      </w:r>
      <w:r>
        <w:rPr>
          <w:sz w:val="24"/>
          <w:b/>
          <w:color w:val="222222"/>
        </w:rPr>
        <w:t>一</w:t>
      </w:r>
      <w:r>
        <w:rPr>
          <w:sz w:val="24"/>
          <w:b/>
          <w:color w:val="222222"/>
        </w:rPr>
        <w:t>、争议的解决</w:t>
      </w:r>
    </w:p>
    <w:p>
      <w:pPr>
        <w:pStyle w:val="null3"/>
        <w:ind w:firstLine="480"/>
        <w:jc w:val="both"/>
      </w:pPr>
      <w:r>
        <w:rPr>
          <w:sz w:val="24"/>
          <w:color w:val="222222"/>
        </w:rPr>
        <w:t>合同执行过程中发生的任何争议，如双方不能通过友好协商解决，</w:t>
      </w:r>
      <w:r>
        <w:rPr>
          <w:sz w:val="24"/>
          <w:color w:val="222222"/>
        </w:rPr>
        <w:t>双方可向甲方所在地法院提起诉讼</w:t>
      </w:r>
      <w:r>
        <w:rPr>
          <w:sz w:val="24"/>
          <w:color w:val="222222"/>
        </w:rPr>
        <w:t>。</w:t>
      </w:r>
      <w:r>
        <w:rPr/>
        <w:t xml:space="preserve">    </w:t>
      </w:r>
    </w:p>
    <w:p>
      <w:pPr>
        <w:pStyle w:val="null3"/>
        <w:ind w:firstLine="482"/>
        <w:jc w:val="both"/>
      </w:pPr>
      <w:r>
        <w:rPr>
          <w:sz w:val="24"/>
          <w:b/>
          <w:color w:val="222222"/>
        </w:rPr>
        <w:t>十</w:t>
      </w:r>
      <w:r>
        <w:rPr>
          <w:sz w:val="24"/>
          <w:b/>
          <w:color w:val="222222"/>
        </w:rPr>
        <w:t>二</w:t>
      </w:r>
      <w:r>
        <w:rPr>
          <w:sz w:val="24"/>
          <w:b/>
          <w:color w:val="222222"/>
        </w:rPr>
        <w:t>、不可抗力</w:t>
      </w:r>
    </w:p>
    <w:p>
      <w:pPr>
        <w:pStyle w:val="null3"/>
        <w:ind w:firstLine="480"/>
        <w:jc w:val="both"/>
      </w:pPr>
      <w:r>
        <w:rPr>
          <w:sz w:val="24"/>
          <w:color w:val="222222"/>
        </w:rPr>
        <w:t>任何一方由于不可抗力原因不能履行合同时，应在不可抗力事件结束后</w:t>
      </w:r>
      <w:r>
        <w:rPr>
          <w:sz w:val="24"/>
          <w:color w:val="222222"/>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color w:val="222222"/>
        </w:rPr>
        <w:t>十</w:t>
      </w:r>
      <w:r>
        <w:rPr>
          <w:sz w:val="24"/>
          <w:b/>
          <w:color w:val="222222"/>
        </w:rPr>
        <w:t>三</w:t>
      </w:r>
      <w:r>
        <w:rPr>
          <w:sz w:val="24"/>
          <w:b/>
          <w:color w:val="222222"/>
        </w:rPr>
        <w:t>、税费</w:t>
      </w:r>
    </w:p>
    <w:p>
      <w:pPr>
        <w:pStyle w:val="null3"/>
        <w:ind w:firstLine="480"/>
        <w:jc w:val="both"/>
      </w:pPr>
      <w:r>
        <w:rPr>
          <w:sz w:val="24"/>
          <w:color w:val="222222"/>
        </w:rPr>
        <w:t>在中国境内、外发生的与本合同执行有关的一切税费均由乙方负担。</w:t>
      </w:r>
    </w:p>
    <w:p>
      <w:pPr>
        <w:pStyle w:val="null3"/>
        <w:ind w:firstLine="482"/>
        <w:jc w:val="both"/>
      </w:pPr>
      <w:r>
        <w:rPr>
          <w:sz w:val="24"/>
          <w:b/>
          <w:color w:val="222222"/>
        </w:rPr>
        <w:t>十</w:t>
      </w:r>
      <w:r>
        <w:rPr>
          <w:sz w:val="24"/>
          <w:b/>
          <w:color w:val="222222"/>
        </w:rPr>
        <w:t>四</w:t>
      </w:r>
      <w:r>
        <w:rPr>
          <w:sz w:val="24"/>
          <w:b/>
          <w:color w:val="222222"/>
        </w:rPr>
        <w:t>、其它</w:t>
      </w:r>
    </w:p>
    <w:p>
      <w:pPr>
        <w:pStyle w:val="null3"/>
        <w:ind w:firstLine="480"/>
        <w:jc w:val="both"/>
      </w:pPr>
      <w:r>
        <w:rPr>
          <w:sz w:val="24"/>
          <w:color w:val="222222"/>
        </w:rPr>
        <w:t>1.本合同所有附件、采购文件、投标响应文件、</w:t>
      </w:r>
      <w:r>
        <w:rPr>
          <w:sz w:val="24"/>
          <w:color w:val="222222"/>
        </w:rPr>
        <w:t>报价资料、澄清修改资料、</w:t>
      </w:r>
      <w:r>
        <w:rPr>
          <w:sz w:val="24"/>
          <w:color w:val="222222"/>
        </w:rPr>
        <w:t>中标（成交）通知书</w:t>
      </w:r>
      <w:r>
        <w:rPr>
          <w:sz w:val="24"/>
          <w:color w:val="222222"/>
        </w:rPr>
        <w:t>等</w:t>
      </w:r>
      <w:r>
        <w:rPr>
          <w:sz w:val="24"/>
          <w:color w:val="222222"/>
        </w:rPr>
        <w:t>均为合同的有效组成部分，与本合同具有同等法律效力。</w:t>
      </w:r>
    </w:p>
    <w:p>
      <w:pPr>
        <w:pStyle w:val="null3"/>
        <w:ind w:firstLine="480"/>
        <w:jc w:val="both"/>
      </w:pPr>
      <w:r>
        <w:rPr>
          <w:sz w:val="24"/>
          <w:color w:val="222222"/>
        </w:rPr>
        <w:t>2.在执行本合同的过程中，所有经双方签署确认的文件（包括会议纪要、补充协议、往来信函）即成为本合同的有效组成部分。</w:t>
      </w:r>
    </w:p>
    <w:p>
      <w:pPr>
        <w:pStyle w:val="null3"/>
        <w:ind w:firstLine="480"/>
        <w:jc w:val="both"/>
      </w:pPr>
      <w:r>
        <w:rPr>
          <w:sz w:val="24"/>
          <w:color w:val="222222"/>
        </w:rPr>
        <w:t>3.如一方地址、电话、传真号码有变更，应在变更当日内书面通知对方，否则，应承担相应责任。</w:t>
      </w:r>
    </w:p>
    <w:p>
      <w:pPr>
        <w:pStyle w:val="null3"/>
        <w:ind w:firstLine="480"/>
        <w:jc w:val="both"/>
      </w:pPr>
      <w:r>
        <w:rPr>
          <w:sz w:val="24"/>
          <w:color w:val="222222"/>
        </w:rPr>
        <w:t>4.除甲方事先书面同意外，乙方不得部分或全部转让其应履行的合同项下的义务。</w:t>
      </w:r>
    </w:p>
    <w:p>
      <w:pPr>
        <w:pStyle w:val="null3"/>
        <w:ind w:firstLine="482"/>
        <w:jc w:val="both"/>
      </w:pPr>
      <w:r>
        <w:rPr>
          <w:sz w:val="24"/>
          <w:b/>
          <w:color w:val="222222"/>
        </w:rPr>
        <w:t>十</w:t>
      </w:r>
      <w:r>
        <w:rPr>
          <w:sz w:val="24"/>
          <w:b/>
          <w:color w:val="222222"/>
        </w:rPr>
        <w:t>五</w:t>
      </w:r>
      <w:r>
        <w:rPr>
          <w:sz w:val="24"/>
          <w:b/>
          <w:color w:val="222222"/>
        </w:rPr>
        <w:t>、合同生效</w:t>
      </w:r>
    </w:p>
    <w:p>
      <w:pPr>
        <w:pStyle w:val="null3"/>
        <w:ind w:firstLine="480"/>
        <w:jc w:val="both"/>
      </w:pPr>
      <w:r>
        <w:rPr>
          <w:sz w:val="24"/>
          <w:color w:val="222222"/>
        </w:rPr>
        <w:t>1.本合同在甲乙双方法人代表或其授权代表签字盖章后生效。</w:t>
      </w:r>
    </w:p>
    <w:p>
      <w:pPr>
        <w:pStyle w:val="null3"/>
        <w:ind w:firstLine="480"/>
        <w:jc w:val="both"/>
      </w:pPr>
      <w:r>
        <w:rPr>
          <w:sz w:val="24"/>
          <w:color w:val="222222"/>
        </w:rPr>
        <w:t>2.合同一式    份。</w:t>
      </w:r>
    </w:p>
    <w:p>
      <w:pPr>
        <w:pStyle w:val="null3"/>
        <w:ind w:firstLine="480"/>
        <w:jc w:val="both"/>
      </w:pPr>
      <w:r>
        <w:rPr/>
        <w:t xml:space="preserve"> </w:t>
      </w:r>
    </w:p>
    <w:p>
      <w:pPr>
        <w:pStyle w:val="null3"/>
        <w:ind w:firstLine="482"/>
        <w:jc w:val="both"/>
      </w:pPr>
      <w:r>
        <w:rPr>
          <w:sz w:val="24"/>
          <w:b/>
          <w:color w:val="222222"/>
        </w:rPr>
        <w:t>甲方（盖章）：</w:t>
      </w:r>
      <w:r>
        <w:rPr>
          <w:sz w:val="24"/>
          <w:b/>
          <w:color w:val="222222"/>
        </w:rPr>
        <w:t xml:space="preserve">               </w:t>
      </w:r>
      <w:r>
        <w:rPr>
          <w:sz w:val="24"/>
          <w:b/>
          <w:color w:val="222222"/>
        </w:rPr>
        <w:t>乙方（盖章）：</w:t>
      </w:r>
    </w:p>
    <w:p>
      <w:pPr>
        <w:pStyle w:val="null3"/>
        <w:ind w:firstLine="482"/>
        <w:jc w:val="both"/>
      </w:pPr>
      <w:r>
        <w:rPr>
          <w:sz w:val="24"/>
          <w:b/>
          <w:color w:val="222222"/>
        </w:rPr>
        <w:t>代表：</w:t>
      </w:r>
      <w:r>
        <w:rPr>
          <w:sz w:val="24"/>
          <w:b/>
          <w:color w:val="222222"/>
        </w:rPr>
        <w:t xml:space="preserve">                            </w:t>
      </w:r>
      <w:r>
        <w:rPr>
          <w:sz w:val="24"/>
          <w:b/>
          <w:color w:val="222222"/>
        </w:rPr>
        <w:t>代表：</w:t>
      </w:r>
    </w:p>
    <w:p>
      <w:pPr>
        <w:pStyle w:val="null3"/>
        <w:ind w:firstLine="480"/>
        <w:jc w:val="both"/>
      </w:pPr>
      <w:r>
        <w:rPr>
          <w:sz w:val="24"/>
          <w:color w:val="222222"/>
        </w:rPr>
        <w:t>签订地点：</w:t>
      </w:r>
    </w:p>
    <w:p>
      <w:pPr>
        <w:pStyle w:val="null3"/>
        <w:ind w:firstLine="480"/>
        <w:jc w:val="both"/>
      </w:pPr>
      <w:r>
        <w:rPr>
          <w:sz w:val="24"/>
          <w:color w:val="222222"/>
        </w:rPr>
        <w:t>签订日期：　　　年　　月　　日签订日期：　　　年　　月　　日</w:t>
      </w:r>
    </w:p>
    <w:p>
      <w:pPr>
        <w:pStyle w:val="null3"/>
        <w:ind w:firstLine="480"/>
        <w:jc w:val="both"/>
      </w:pPr>
      <w:r>
        <w:rPr>
          <w:sz w:val="24"/>
          <w:color w:val="222222"/>
        </w:rPr>
        <w:t>开户名称：</w:t>
      </w:r>
    </w:p>
    <w:p>
      <w:pPr>
        <w:pStyle w:val="null3"/>
        <w:ind w:firstLine="480"/>
        <w:jc w:val="both"/>
      </w:pPr>
      <w:r>
        <w:rPr>
          <w:sz w:val="24"/>
          <w:color w:val="222222"/>
        </w:rPr>
        <w:t>银行账号：</w:t>
      </w:r>
    </w:p>
    <w:p>
      <w:pPr>
        <w:pStyle w:val="null3"/>
        <w:jc w:val="both"/>
      </w:pPr>
      <w:r>
        <w:rPr>
          <w:sz w:val="24"/>
          <w:color w:val="222222"/>
        </w:rPr>
        <w:t xml:space="preserve">      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440115-2024-03815</w:t>
      </w:r>
    </w:p>
    <w:p>
      <w:pPr>
        <w:pStyle w:val="null3"/>
        <w:jc w:val="center"/>
        <w:outlineLvl w:val="3"/>
      </w:pPr>
      <w:r>
        <w:rPr>
          <w:sz w:val="24"/>
          <w:b/>
        </w:rPr>
        <w:t>采购项目编号：</w:t>
      </w:r>
      <w:r>
        <w:rPr>
          <w:sz w:val="24"/>
          <w:b/>
        </w:rPr>
        <w:t>GDYD240679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2024年南沙区病媒生物防制基础设施提升与完善管理服务项目</w:t>
      </w:r>
      <w:r>
        <w:rPr>
          <w:u w:val="single"/>
        </w:rPr>
        <w:t>”</w:t>
      </w:r>
      <w:r>
        <w:rPr/>
        <w:t>项目的竞争性磋商[采购项目编号为：</w:t>
      </w:r>
      <w:r>
        <w:rPr>
          <w:u w:val="single"/>
        </w:rPr>
        <w:t>GDYD240679</w:t>
      </w:r>
      <w:r>
        <w:rPr/>
        <w:t>]，我方愿参与响应。</w:t>
      </w:r>
    </w:p>
    <w:p>
      <w:pPr>
        <w:pStyle w:val="null3"/>
        <w:ind w:firstLine="480"/>
      </w:pPr>
      <w:r>
        <w:rPr/>
        <w:t>我方确认收到贵方提供的</w:t>
      </w:r>
      <w:r>
        <w:rPr>
          <w:u w:val="single"/>
        </w:rPr>
        <w:t>“</w:t>
      </w:r>
      <w:r>
        <w:rPr>
          <w:u w:val="single"/>
        </w:rPr>
        <w:t>2024年南沙区病媒生物防制基础设施提升与完善管理服务项目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2024年南沙区病媒生物防制基础设施提升与完善管理服务项目</w:t>
      </w:r>
      <w:r>
        <w:rPr/>
        <w:t>”项目采购[采购项目编号为</w:t>
      </w:r>
      <w:r>
        <w:rPr/>
        <w:t>GDYD240679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2024年南沙区病媒生物防制基础设施提升与完善管理服务项目</w:t>
      </w:r>
      <w:r>
        <w:rPr/>
        <w:t>（采购项目编号：</w:t>
      </w:r>
      <w:r>
        <w:rPr/>
        <w:t>GDYD240679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