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南靖县2024年度红火蚁专业化防控服务</w:t>
      </w:r>
    </w:p>
    <w:p>
      <w:pPr>
        <w:pStyle w:val="null3"/>
        <w:jc w:val="center"/>
        <w:outlineLvl w:val="2"/>
      </w:pPr>
      <w:r>
        <w:rPr>
          <w:sz w:val="28"/>
          <w:b/>
        </w:rPr>
        <w:t>备案编号：</w:t>
      </w:r>
      <w:r>
        <w:rPr>
          <w:sz w:val="28"/>
          <w:b/>
        </w:rPr>
        <w:t>CGXM-2024-350627-00504[2024]00339</w:t>
      </w:r>
    </w:p>
    <w:p>
      <w:pPr>
        <w:pStyle w:val="null3"/>
        <w:jc w:val="center"/>
        <w:outlineLvl w:val="2"/>
      </w:pPr>
      <w:r>
        <w:rPr>
          <w:sz w:val="28"/>
          <w:b/>
        </w:rPr>
        <w:t>项目编号：</w:t>
      </w:r>
      <w:r>
        <w:rPr>
          <w:sz w:val="28"/>
          <w:b/>
        </w:rPr>
        <w:t>[350627]RK[GK]2024001</w:t>
      </w:r>
    </w:p>
    <w:p>
      <w:pPr>
        <w:pStyle w:val="null3"/>
        <w:jc w:val="center"/>
        <w:outlineLvl w:val="2"/>
      </w:pPr>
      <w:r>
        <w:rPr>
          <w:sz w:val="28"/>
          <w:b/>
        </w:rPr>
        <w:t>采购人：</w:t>
      </w:r>
      <w:r>
        <w:rPr>
          <w:sz w:val="28"/>
          <w:b/>
        </w:rPr>
        <w:t>南靖县农业农村局</w:t>
      </w:r>
    </w:p>
    <w:p>
      <w:pPr>
        <w:pStyle w:val="null3"/>
        <w:jc w:val="center"/>
        <w:outlineLvl w:val="2"/>
      </w:pPr>
      <w:r>
        <w:rPr>
          <w:sz w:val="28"/>
          <w:b/>
        </w:rPr>
        <w:t>代理机构：</w:t>
      </w:r>
      <w:r>
        <w:rPr>
          <w:sz w:val="28"/>
          <w:b/>
        </w:rPr>
        <w:t>福建睿凯工程管理有限公司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福建睿凯工程管理有限公司</w:t>
      </w:r>
      <w:r>
        <w:rPr/>
        <w:t xml:space="preserve"> 采用公开招标方式组织 </w:t>
      </w:r>
      <w:r>
        <w:rPr/>
        <w:t>南靖县2024年度红火蚁专业化防控服务</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CGXM-2024-350627-00504[2024]00339</w:t>
      </w:r>
    </w:p>
    <w:p>
      <w:pPr>
        <w:pStyle w:val="null3"/>
        <w:ind w:firstLine="480"/>
        <w:jc w:val="left"/>
        <w:outlineLvl w:val="2"/>
      </w:pPr>
      <w:r>
        <w:rPr>
          <w:sz w:val="28"/>
          <w:b/>
        </w:rPr>
        <w:t>2、项目编号</w:t>
      </w:r>
      <w:r>
        <w:rPr>
          <w:sz w:val="28"/>
          <w:b/>
        </w:rPr>
        <w:t>：</w:t>
      </w:r>
      <w:r>
        <w:rPr>
          <w:sz w:val="28"/>
          <w:b/>
        </w:rPr>
        <w:t>[350627]RK[GK]2024001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否</w:t>
      </w:r>
    </w:p>
    <w:p>
      <w:pPr>
        <w:pStyle w:val="null3"/>
        <w:ind w:firstLine="960"/>
        <w:jc w:val="left"/>
      </w:pPr>
      <w:r>
        <w:rPr/>
        <w:t>节能产品：</w:t>
      </w:r>
      <w:r>
        <w:rPr/>
        <w:t>节能产品，不适用 。</w:t>
      </w:r>
    </w:p>
    <w:p>
      <w:pPr>
        <w:pStyle w:val="null3"/>
        <w:ind w:firstLine="960"/>
        <w:jc w:val="left"/>
      </w:pPr>
      <w:r>
        <w:rPr/>
        <w:t>环境标志产品：</w:t>
      </w:r>
      <w:r>
        <w:rPr/>
        <w:t>环境标志产品，不适用 。</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96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依法缴纳社会保障资金的相关材料</w:t>
            </w:r>
          </w:p>
        </w:tc>
        <w:tc>
          <w:tcPr>
            <w:tcW w:type="dxa" w:w="4614"/>
          </w:tcPr>
          <w:p>
            <w:pPr>
              <w:pStyle w:val="null3"/>
              <w:jc w:val="both"/>
            </w:pPr>
            <w:r>
              <w:rPr/>
              <w:t>提供投标截止时间前六个月任一个月的依法缴纳社会保障资金的凭据(提供依法缴纳社会保障资金的相关凭证。根据《中华人民共和国社会保险法》第十条、二十三条、三十三条、四十四条、五十三条的规定，职工缴交社会保障资金应当包含基本养老保险、基本医疗保险、工伤保险、失业保险、生育保险。如职工基本医疗保险和生育保险已合并实施的，需提供合并的相关材料证明。)；或者提供依法不需要缴纳社会保障资金的相应证明文件。</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南靖县农业农村局</w:t>
      </w:r>
    </w:p>
    <w:p>
      <w:pPr>
        <w:pStyle w:val="null3"/>
        <w:ind w:firstLine="960"/>
        <w:jc w:val="left"/>
      </w:pPr>
      <w:r>
        <w:rPr/>
        <w:t xml:space="preserve"> 地址： </w:t>
      </w:r>
      <w:r>
        <w:rPr/>
        <w:t>南靖县山城镇教育路1号</w:t>
      </w:r>
    </w:p>
    <w:p>
      <w:pPr>
        <w:pStyle w:val="null3"/>
        <w:jc w:val="left"/>
      </w:pPr>
      <w:r>
        <w:rPr/>
        <w:t xml:space="preserve"> 邮编： </w:t>
      </w:r>
      <w:r>
        <w:rPr/>
        <w:t>363600</w:t>
      </w:r>
    </w:p>
    <w:p>
      <w:pPr>
        <w:pStyle w:val="null3"/>
        <w:jc w:val="left"/>
      </w:pPr>
      <w:r>
        <w:rPr/>
        <w:t xml:space="preserve"> 联系人： </w:t>
      </w:r>
      <w:r>
        <w:rPr/>
        <w:t>王国鑫</w:t>
      </w:r>
    </w:p>
    <w:p>
      <w:pPr>
        <w:pStyle w:val="null3"/>
        <w:jc w:val="left"/>
      </w:pPr>
      <w:r>
        <w:rPr/>
        <w:t xml:space="preserve"> 联系电话： </w:t>
      </w:r>
      <w:r>
        <w:rPr/>
        <w:t>13709373072</w:t>
      </w:r>
    </w:p>
    <w:p>
      <w:pPr>
        <w:pStyle w:val="null3"/>
        <w:ind w:firstLine="480"/>
        <w:jc w:val="left"/>
        <w:outlineLvl w:val="2"/>
      </w:pPr>
      <w:r>
        <w:rPr>
          <w:sz w:val="28"/>
          <w:b/>
        </w:rPr>
        <w:t>12、代理机构</w:t>
      </w:r>
      <w:r>
        <w:rPr>
          <w:sz w:val="28"/>
          <w:b/>
        </w:rPr>
        <w:t>：</w:t>
      </w:r>
      <w:r>
        <w:rPr>
          <w:sz w:val="28"/>
          <w:b/>
        </w:rPr>
        <w:t>福建睿凯工程管理有限公司</w:t>
      </w:r>
    </w:p>
    <w:p>
      <w:pPr>
        <w:pStyle w:val="null3"/>
        <w:ind w:firstLine="960"/>
        <w:jc w:val="both"/>
      </w:pPr>
      <w:r>
        <w:rPr/>
        <w:t xml:space="preserve"> 地址： </w:t>
      </w:r>
      <w:r>
        <w:rPr/>
        <w:t>漳州市芗城区欣隆盛世外滩A区3幢203号</w:t>
      </w:r>
    </w:p>
    <w:p>
      <w:pPr>
        <w:pStyle w:val="null3"/>
        <w:jc w:val="both"/>
      </w:pPr>
      <w:r>
        <w:rPr/>
        <w:t xml:space="preserve"> 邮编： </w:t>
      </w:r>
      <w:r>
        <w:rPr/>
        <w:t>363000</w:t>
      </w:r>
    </w:p>
    <w:p>
      <w:pPr>
        <w:pStyle w:val="null3"/>
        <w:jc w:val="both"/>
      </w:pPr>
      <w:r>
        <w:rPr/>
        <w:t xml:space="preserve"> 联系人： </w:t>
      </w:r>
      <w:r>
        <w:rPr/>
        <w:t>小蔡、小陈</w:t>
      </w:r>
    </w:p>
    <w:p>
      <w:pPr>
        <w:pStyle w:val="null3"/>
        <w:jc w:val="both"/>
      </w:pPr>
      <w:r>
        <w:rPr/>
        <w:t xml:space="preserve"> 联系电话： </w:t>
      </w:r>
      <w:r>
        <w:rPr/>
        <w:t>0596-2632768 、18150682222</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福建睿凯工程管理有限公司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1,368,000.00</w:t>
      </w:r>
    </w:p>
    <w:p>
      <w:pPr>
        <w:pStyle w:val="null3"/>
        <w:jc w:val="left"/>
      </w:pPr>
      <w:r>
        <w:rPr/>
        <w:t>采购包最高限价（元）: 1,299,600.00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红火蚁专业化防控服务</w:t>
            </w:r>
          </w:p>
        </w:tc>
        <w:tc>
          <w:tcPr>
            <w:tcW w:type="dxa" w:w="1187"/>
          </w:tcPr>
          <w:p>
            <w:pPr>
              <w:pStyle w:val="null3"/>
              <w:jc w:val="right"/>
            </w:pPr>
            <w:r>
              <w:rPr/>
              <w:t>1.00</w:t>
            </w:r>
          </w:p>
        </w:tc>
        <w:tc>
          <w:tcPr>
            <w:tcW w:type="dxa" w:w="1187"/>
          </w:tcPr>
          <w:p>
            <w:pPr>
              <w:pStyle w:val="null3"/>
              <w:jc w:val="right"/>
            </w:pPr>
            <w:r>
              <w:rPr/>
              <w:t>1,368,000.00</w:t>
            </w:r>
          </w:p>
        </w:tc>
        <w:tc>
          <w:tcPr>
            <w:tcW w:type="dxa" w:w="1187"/>
          </w:tcPr>
          <w:p>
            <w:pPr>
              <w:pStyle w:val="null3"/>
              <w:jc w:val="left"/>
            </w:pPr>
            <w:r>
              <w:rPr/>
              <w:t>批</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红火蚁专业化防控服务</w:t>
            </w:r>
          </w:p>
        </w:tc>
        <w:tc>
          <w:tcPr>
            <w:tcW w:type="dxa" w:w="554"/>
          </w:tcPr>
          <w:p>
            <w:pPr>
              <w:pStyle w:val="null3"/>
              <w:jc w:val="left"/>
            </w:pPr>
            <w:r>
              <w:rPr/>
              <w:t>批</w:t>
            </w:r>
          </w:p>
        </w:tc>
        <w:tc>
          <w:tcPr>
            <w:tcW w:type="dxa" w:w="554"/>
          </w:tcPr>
          <w:p>
            <w:pPr>
              <w:pStyle w:val="null3"/>
              <w:jc w:val="left"/>
            </w:pPr>
            <w:r>
              <w:rPr/>
              <w:t>元</w:t>
            </w:r>
          </w:p>
        </w:tc>
        <w:tc>
          <w:tcPr>
            <w:tcW w:type="dxa" w:w="1384"/>
          </w:tcPr>
          <w:p>
            <w:pPr>
              <w:pStyle w:val="null3"/>
              <w:jc w:val="right"/>
            </w:pPr>
            <w:r>
              <w:rPr/>
              <w:t>1,299,600.00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红火蚁专业化防控服务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红火蚁专业化防控服务</w:t>
            </w:r>
          </w:p>
        </w:tc>
        <w:tc>
          <w:tcPr>
            <w:tcW w:type="dxa" w:w="2076"/>
          </w:tcPr>
          <w:p>
            <w:pPr>
              <w:pStyle w:val="null3"/>
              <w:jc w:val="left"/>
            </w:pPr>
            <w:r>
              <w:rPr/>
              <w:t>红火蚁专业化防控服务</w:t>
            </w:r>
          </w:p>
        </w:tc>
        <w:tc>
          <w:tcPr>
            <w:tcW w:type="dxa" w:w="415"/>
          </w:tcPr>
          <w:p>
            <w:pPr>
              <w:pStyle w:val="null3"/>
              <w:jc w:val="left"/>
            </w:pPr>
            <w:r>
              <w:rPr/>
              <w:t>批</w:t>
            </w:r>
          </w:p>
        </w:tc>
        <w:tc>
          <w:tcPr>
            <w:tcW w:type="dxa" w:w="415"/>
          </w:tcPr>
          <w:p>
            <w:pPr>
              <w:pStyle w:val="null3"/>
              <w:jc w:val="left"/>
            </w:pPr>
            <w:r>
              <w:rPr/>
              <w:t>元</w:t>
            </w:r>
          </w:p>
        </w:tc>
        <w:tc>
          <w:tcPr>
            <w:tcW w:type="dxa" w:w="831"/>
          </w:tcPr>
          <w:p>
            <w:pPr>
              <w:pStyle w:val="null3"/>
              <w:jc w:val="right"/>
            </w:pPr>
            <w:r>
              <w:rPr/>
              <w:t>1,299,600.00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采购包1：3名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福建睿凯工程管理有限公司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南靖县政府采购领导小组办公室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代理服务费收费标准：①招标代理服务费采用差额定率累进法计算,中标金额在100万（含）以下的，按中标金额的1.5%收取， 中标金额在100（不含）-500万，按中标金额的0.8%收取，{代理服务费不足3000元按3000元收取}。 ② 代理服务费收取方式：代理服务费以人民币支付。成交供应商在领取成交通知书的同时将代理服务费以转帐、电汇、现金等方式一次性缴清代理服务费；代理服务费缴交银行帐号：开户名称：福建睿凯工程管理有限公司； 开户银行：泉州银行漳州分行；银行账号：0000012993202012。</w:t>
            </w:r>
          </w:p>
          <w:p>
            <w:pPr>
              <w:pStyle w:val="null3"/>
              <w:jc w:val="left"/>
            </w:pPr>
            <w:r>
              <w:rPr/>
              <w:t xml:space="preserve"> (2)其他：</w:t>
            </w:r>
          </w:p>
          <w:p>
            <w:pPr>
              <w:pStyle w:val="null3"/>
              <w:jc w:val="left"/>
            </w:pPr>
            <w:r>
              <w:rPr/>
              <w:t>1、质疑受理的其它补充要求： a、供应商递交质疑函时还应出具供应商已在福建省政府采购网上公开信息系统上已对本项目进行报名的证明文件（体现报名时间），否则将不被认定为潜在供应商，其质疑将不予受理。【采购文件首次下载之日为供应商在福建省政府采购网上公开信息系统成功报名之日。】 b、供应商为法人或其他组织的，质疑函需逐页加盖供应商单位公章；若本项目接受自然人参加报价且质疑人为自然人的，质疑函需质疑人本人逐页签名。否则质疑将不予受理。 c、供应商质疑应在法定质疑期内一次性提出针对同一采购程序环节的质疑，同一采购程序环节不接受多次质疑。 2、中标人过来领中标通知书时需提交投标文件正、副本各一份（含技术、商务、报价）。3、本项目接受远程开标，投标人可自主选择通过网络远程参与开标或现场参与。具体操作按采购网通知公告《关于在全省范围推行远程参与竞争性谈判（磋商）模式的通知》执行。选择远程参与开标的投标人，在采购平台运行正常的情况下，ca解密时间不得超过20分钟，否则按无效投标处理。</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 xml:space="preserve"> （2）将招标文件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 xml:space="preserve"> （3）将下列内容增列为招标文件的组成部分（以下简称：“增列内容”）适用本项目的电子招标投标活动，若增列内容与招标文件其他章节内容有冲突，应以增列内容为准：</w:t>
            </w:r>
          </w:p>
          <w:p>
            <w:pPr>
              <w:pStyle w:val="null3"/>
              <w:jc w:val="left"/>
            </w:pPr>
            <w:r>
              <w:rPr/>
              <w:t xml:space="preserve"> ①电子招标投标活动的具体操作流程以福建省政府采购网上公开信息系统设定的为准。</w:t>
            </w:r>
          </w:p>
          <w:p>
            <w:pPr>
              <w:pStyle w:val="null3"/>
              <w:jc w:val="left"/>
            </w:pPr>
            <w:r>
              <w:rPr/>
              <w:t xml:space="preserve"> ②关于电子投标文件：</w:t>
            </w:r>
          </w:p>
          <w:p>
            <w:pPr>
              <w:pStyle w:val="null3"/>
              <w:jc w:val="left"/>
            </w:pPr>
            <w:r>
              <w:rPr/>
              <w:t xml:space="preserve"> a.投标人应按照福建省政府采购网上公开信息系统设定的评审节点编制电子投标文件，否则资格审查小组、评标委员会将按照不利于投标人的内容进行认定。</w:t>
            </w:r>
          </w:p>
          <w:p>
            <w:pPr>
              <w:pStyle w:val="null3"/>
              <w:jc w:val="left"/>
            </w:pPr>
            <w:r>
              <w:rPr/>
              <w:t xml:space="preserve"> 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null3"/>
              <w:jc w:val="left"/>
            </w:pPr>
            <w:r>
              <w:rPr/>
              <w:t xml:space="preserve"> ③关于证明材料或资料：</w:t>
            </w:r>
          </w:p>
          <w:p>
            <w:pPr>
              <w:pStyle w:val="null3"/>
              <w:jc w:val="left"/>
            </w:pPr>
            <w:r>
              <w:rPr/>
              <w:t xml:space="preserve"> 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 xml:space="preserve"> 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 xml:space="preserve"> ④关于“全称”、“投标人代表签字”及“加盖单位公章”：</w:t>
            </w:r>
          </w:p>
          <w:p>
            <w:pPr>
              <w:pStyle w:val="null3"/>
              <w:jc w:val="left"/>
            </w:pPr>
            <w:r>
              <w:rPr/>
              <w:t xml:space="preserve"> a.在电子投标文件中，涉及“全称”和“投标人代表签字”的内容可使用打字录入方式完成。</w:t>
            </w:r>
          </w:p>
          <w:p>
            <w:pPr>
              <w:pStyle w:val="null3"/>
              <w:jc w:val="left"/>
            </w:pPr>
            <w:r>
              <w:rPr/>
              <w:t xml:space="preserve"> b.在电子投标文件中，涉及“加盖单位公章”的内容应使用投标人的CA证书完成，否则投标无效。</w:t>
            </w:r>
          </w:p>
          <w:p>
            <w:pPr>
              <w:pStyle w:val="null3"/>
              <w:jc w:val="left"/>
            </w:pPr>
            <w:r>
              <w:rPr/>
              <w:t xml:space="preserve"> c.在电子投标文件中，若投标人按照本增列内容第④点第b项规定加盖其单位公章，则出现无全称、或投标人代表未签字等情形，不视为投标无效。</w:t>
            </w:r>
          </w:p>
          <w:p>
            <w:pPr>
              <w:pStyle w:val="null3"/>
              <w:jc w:val="left"/>
            </w:pPr>
            <w:r>
              <w:rPr/>
              <w:t xml:space="preserve"> ⑤关于投标人的CA证书：</w:t>
            </w:r>
          </w:p>
          <w:p>
            <w:pPr>
              <w:pStyle w:val="null3"/>
              <w:jc w:val="left"/>
            </w:pPr>
            <w:r>
              <w:rPr/>
              <w:t xml:space="preserve"> a.投标人的CA证书应在系统规定时间内使用CA证书进行电子投标文件的解密操作，逾期未解密的视为放弃投标。</w:t>
            </w:r>
          </w:p>
          <w:p>
            <w:pPr>
              <w:pStyle w:val="null3"/>
              <w:jc w:val="left"/>
            </w:pPr>
            <w:r>
              <w:rPr/>
              <w:t xml:space="preserve"> b.投标人的CA证书可采用信封（包括但不限于：信封、档案袋、文件袋等）作为外包装进行单独包装。外包装密封、不密封皆可。</w:t>
            </w:r>
          </w:p>
          <w:p>
            <w:pPr>
              <w:pStyle w:val="null3"/>
              <w:jc w:val="left"/>
            </w:pPr>
            <w:r>
              <w:rPr/>
              <w:t xml:space="preserve"> c.投标人的CA证书或外包装应标记“项目名称、项目编号、投标人的全称”等内容，以方便识别、使用。</w:t>
            </w:r>
          </w:p>
          <w:p>
            <w:pPr>
              <w:pStyle w:val="null3"/>
              <w:jc w:val="left"/>
            </w:pPr>
            <w:r>
              <w:rPr/>
              <w:t xml:space="preserve"> d.投标人的CA证书应能正常、有效使用，否则产生不利后果由投标人承担责任。</w:t>
            </w:r>
          </w:p>
          <w:p>
            <w:pPr>
              <w:pStyle w:val="null3"/>
              <w:jc w:val="left"/>
            </w:pPr>
            <w:r>
              <w:rPr/>
              <w:t xml:space="preserve"> ⑥关于投标截止时间过后</w:t>
            </w:r>
          </w:p>
          <w:p>
            <w:pPr>
              <w:pStyle w:val="null3"/>
              <w:jc w:val="left"/>
            </w:pPr>
            <w:r>
              <w:rPr/>
              <w:t xml:space="preserve"> a.未按招标文件规定提交投标保证金的，其投标将按无效投标处理。</w:t>
            </w:r>
          </w:p>
          <w:p>
            <w:pPr>
              <w:pStyle w:val="null3"/>
              <w:jc w:val="left"/>
            </w:pPr>
            <w:r>
              <w:rPr/>
              <w:t xml:space="preserve"> b.有下列情形之一的，其投标无效,其保证金不予退还或通过投标保函进行索赔：</w:t>
            </w:r>
          </w:p>
          <w:p>
            <w:pPr>
              <w:pStyle w:val="null3"/>
              <w:jc w:val="left"/>
            </w:pPr>
            <w:r>
              <w:rPr/>
              <w:t xml:space="preserve"> b1不同投标人的电子投标文件具有相同内部识别码；</w:t>
            </w:r>
          </w:p>
          <w:p>
            <w:pPr>
              <w:pStyle w:val="null3"/>
              <w:jc w:val="left"/>
            </w:pPr>
            <w:r>
              <w:rPr/>
              <w:t xml:space="preserve"> b2不同投标人的投标保证金从同一单位或个人的账户转出；</w:t>
            </w:r>
          </w:p>
          <w:p>
            <w:pPr>
              <w:pStyle w:val="null3"/>
              <w:jc w:val="left"/>
            </w:pPr>
            <w:r>
              <w:rPr/>
              <w:t xml:space="preserve"> b3投标人的投标保证金同一采购包下有其他投标人提交的投标保证金；</w:t>
            </w:r>
          </w:p>
          <w:p>
            <w:pPr>
              <w:pStyle w:val="null3"/>
              <w:jc w:val="left"/>
            </w:pPr>
            <w:r>
              <w:rPr/>
              <w:t xml:space="preserve"> b4不同投标人存在串通投标的其他情形。</w:t>
            </w:r>
          </w:p>
          <w:p>
            <w:pPr>
              <w:pStyle w:val="null3"/>
              <w:jc w:val="left"/>
            </w:pPr>
            <w:r>
              <w:rPr/>
              <w:t xml:space="preserve"> 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 xml:space="preserve"> 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福建睿凯工程管理有限公司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福建睿凯工程管理有限公司</w:t>
      </w:r>
      <w:r>
        <w:rPr/>
        <w:t xml:space="preserve"> 将在投标截止时间至少15个日历日前，在招标文件载明的指定媒体以更正公告的形式发布澄清或修改的内容。不足15个日历日的， </w:t>
      </w:r>
      <w:r>
        <w:rPr/>
        <w:t>福建睿凯工程管理有限公司</w:t>
      </w:r>
      <w:r>
        <w:rPr/>
        <w:t xml:space="preserve"> 将顺延投标截止时间及开标时间， </w:t>
      </w:r>
      <w:r>
        <w:rPr/>
        <w:t>福建睿凯工程管理有限公司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福建睿凯工程管理有限公司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福建睿凯工程管理有限公司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福建睿凯工程管理有限公司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福建睿凯工程管理有限公司</w:t>
      </w:r>
      <w:r>
        <w:rPr/>
        <w:t xml:space="preserve"> 可终止招标并发布终止公告。</w:t>
      </w:r>
    </w:p>
    <w:p>
      <w:pPr>
        <w:pStyle w:val="null3"/>
        <w:ind w:firstLine="480"/>
        <w:jc w:val="both"/>
      </w:pPr>
      <w:r>
        <w:rPr/>
        <w:t xml:space="preserve">8.2终止公告作为 </w:t>
      </w:r>
      <w:r>
        <w:rPr/>
        <w:t>福建睿凯工程管理有限公司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福建睿凯工程管理有限公司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福建睿凯工程管理有限公司</w:t>
      </w:r>
      <w:r>
        <w:rPr/>
        <w:t xml:space="preserve"> 可于投标有效期届满之前书面要求投标人延长投标有效期，投标人应在 </w:t>
      </w:r>
      <w:r>
        <w:rPr/>
        <w:t>福建睿凯工程管理有限公司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福建睿凯工程管理有限公司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福建睿凯工程管理有限公司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福建睿凯工程管理有限公司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福建睿凯工程管理有限公司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福建睿凯工程管理有限公司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福建睿凯工程管理有限公司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福建睿凯工程管理有限公司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福建睿凯工程管理有限公司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福建睿凯工程管理有限公司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福建睿凯工程管理有限公司</w:t>
      </w:r>
      <w:r>
        <w:rPr/>
        <w:t xml:space="preserve"> 提出询问， </w:t>
      </w:r>
      <w:r>
        <w:rPr/>
        <w:t>福建睿凯工程管理有限公司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福建睿凯工程管理有限公司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福建睿凯工程管理有限公司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由福建睿凯工程管理有限公司派出的工作人员至少1人，</w:t>
      </w:r>
      <w:r>
        <w:rPr/>
        <w:t>其余1人可为采购人代表或福建睿凯工程管理有限公司的工作人员。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依法缴纳社会保障资金的相关材料</w:t>
            </w:r>
          </w:p>
        </w:tc>
        <w:tc>
          <w:tcPr>
            <w:tcW w:type="dxa" w:w="4614"/>
          </w:tcPr>
          <w:p>
            <w:pPr>
              <w:pStyle w:val="null3"/>
              <w:jc w:val="left"/>
            </w:pPr>
            <w:r>
              <w:rPr/>
              <w:t>提供投标截止时间前六个月任一个月的依法缴纳社会保障资金的凭据(提供依法缴纳社会保障资金的相关凭证。根据《中华人民共和国社会保险法》第十条、二十三条、三十三条、四十四条、五十三条的规定，职工缴交社会保障资金应当包含基本养老保险、基本医疗保险、工伤保险、失业保险、生育保险。如职工基本医疗保险和生育保险已合并实施的，需提供合并的相关材料证明。)；或者提供依法不需要缴纳社会保障资金的相应证明文件。</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福建睿凯工程管理有限公司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福建睿凯工程管理有限公司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福建睿凯工程管理有限公司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福建睿凯工程管理有限公司</w:t>
      </w:r>
      <w:r>
        <w:rPr/>
        <w:t xml:space="preserve"> 统一对外发布。</w:t>
      </w:r>
    </w:p>
    <w:p>
      <w:pPr>
        <w:pStyle w:val="null3"/>
        <w:ind w:firstLine="480"/>
        <w:jc w:val="both"/>
      </w:pPr>
      <w:r>
        <w:rPr/>
        <w:t xml:space="preserve">②对 </w:t>
      </w:r>
      <w:r>
        <w:rPr/>
        <w:t>福建睿凯工程管理有限公司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技术部分的实际得分少于招标文件设定的技术部分总分的50%的作为无效标处理。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符合招标文件要求。</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福建睿凯工程管理有限公司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价格项（F1×A1）满分为10.0000分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技术项（F2×A2）满分为69.0000分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1.技术响应情况</w:t>
            </w:r>
          </w:p>
        </w:tc>
        <w:tc>
          <w:tcPr>
            <w:tcW w:type="dxa" w:w="831"/>
          </w:tcPr>
          <w:p>
            <w:pPr>
              <w:pStyle w:val="null3"/>
              <w:jc w:val="right"/>
            </w:pPr>
            <w:r>
              <w:rPr/>
              <w:t>30.0000</w:t>
            </w:r>
          </w:p>
        </w:tc>
        <w:tc>
          <w:tcPr>
            <w:tcW w:type="dxa" w:w="4153"/>
          </w:tcPr>
          <w:p>
            <w:pPr>
              <w:pStyle w:val="null3"/>
              <w:jc w:val="both"/>
            </w:pPr>
            <w:r>
              <w:rPr/>
              <w:t>供应商对照“第五章采购内容及要求”“二、技术要求”逐项响应承诺进行打分：完全满足投标文件技术参数要求的得30分，标注“★”号的为实质性要求（共6项），有负偏离的按无效报价处理；其他未标注“★”号的一般技术参数合计15项，每负偏离一项扣2分，正偏离不加分,扣完为止。满分30分</w:t>
            </w:r>
          </w:p>
        </w:tc>
      </w:tr>
      <w:tr>
        <w:tc>
          <w:tcPr>
            <w:tcW w:type="dxa" w:w="3322"/>
          </w:tcPr>
          <w:p>
            <w:pPr>
              <w:pStyle w:val="null3"/>
              <w:jc w:val="both"/>
            </w:pPr>
            <w:r>
              <w:rPr/>
              <w:t>2.整体技术服务方案</w:t>
            </w:r>
          </w:p>
        </w:tc>
        <w:tc>
          <w:tcPr>
            <w:tcW w:type="dxa" w:w="831"/>
          </w:tcPr>
          <w:p>
            <w:pPr>
              <w:pStyle w:val="null3"/>
              <w:jc w:val="right"/>
            </w:pPr>
            <w:r>
              <w:rPr/>
              <w:t>3.0000</w:t>
            </w:r>
          </w:p>
        </w:tc>
        <w:tc>
          <w:tcPr>
            <w:tcW w:type="dxa" w:w="4153"/>
          </w:tcPr>
          <w:p>
            <w:pPr>
              <w:pStyle w:val="null3"/>
              <w:jc w:val="both"/>
            </w:pPr>
            <w:r>
              <w:rPr/>
              <w:t>根据供应商结合本项目的实际情况制定的整体技术服务方案情况（包括但不限于组织实施服务作业、服务进度计划安排等）进行评审：（1）方案整体思路清晰（对整体技术服务方案能够具体列明方式或流程等）、内容描述完整（内容包括但不限于组织实施服务作业、服务进度计划安排等）、逻辑性强、重点明确的（方案内容可实际操作）得3分；（2）方案整体思路清晰、内容描述不完整、有逻辑性、重点不明确的得2分；（3）方案整体思路模糊、内容描述不完整、没逻辑性的得1分；（4）未提供方案的本项不得分。满分3分</w:t>
            </w:r>
          </w:p>
        </w:tc>
      </w:tr>
      <w:tr>
        <w:tc>
          <w:tcPr>
            <w:tcW w:type="dxa" w:w="3322"/>
          </w:tcPr>
          <w:p>
            <w:pPr>
              <w:pStyle w:val="null3"/>
              <w:jc w:val="both"/>
            </w:pPr>
            <w:r>
              <w:rPr/>
              <w:t>3.针对性的防治措施</w:t>
            </w:r>
          </w:p>
        </w:tc>
        <w:tc>
          <w:tcPr>
            <w:tcW w:type="dxa" w:w="831"/>
          </w:tcPr>
          <w:p>
            <w:pPr>
              <w:pStyle w:val="null3"/>
              <w:jc w:val="right"/>
            </w:pPr>
            <w:r>
              <w:rPr/>
              <w:t>3.0000</w:t>
            </w:r>
          </w:p>
        </w:tc>
        <w:tc>
          <w:tcPr>
            <w:tcW w:type="dxa" w:w="4153"/>
          </w:tcPr>
          <w:p>
            <w:pPr>
              <w:pStyle w:val="null3"/>
              <w:jc w:val="both"/>
            </w:pPr>
            <w:r>
              <w:rPr/>
              <w:t>供应商通过自行对合同包防治区域的实地考察，根据项目地的环境情况，防控区域内农田和其他地的不同防治要求，制定详细的针对性防治措施（包括但不限于防治方法、进度、质量保证措施等）及图表，根据防治措施及图表制作情况进行评审：（1）措施及图表描述完整详细（内容包括但不限于防治方法、进度、质量保证措施等），具有针对性（适用于本项目的采购需求），可行性强且重点明确的（内容可实际操作）得3分；（2）措施及图表描述不清晰，重点不明确，针对性和可行性不完整的得2分；（3）措施及图表描述不完整，没有针对性和可行性得1分；（4）未提供针对性防治措施的不得分。满分3分</w:t>
            </w:r>
          </w:p>
        </w:tc>
      </w:tr>
      <w:tr>
        <w:tc>
          <w:tcPr>
            <w:tcW w:type="dxa" w:w="3322"/>
          </w:tcPr>
          <w:p>
            <w:pPr>
              <w:pStyle w:val="null3"/>
              <w:jc w:val="both"/>
            </w:pPr>
            <w:r>
              <w:rPr/>
              <w:t>4.组织实施作业方案</w:t>
            </w:r>
          </w:p>
        </w:tc>
        <w:tc>
          <w:tcPr>
            <w:tcW w:type="dxa" w:w="831"/>
          </w:tcPr>
          <w:p>
            <w:pPr>
              <w:pStyle w:val="null3"/>
              <w:jc w:val="right"/>
            </w:pPr>
            <w:r>
              <w:rPr/>
              <w:t>3.0000</w:t>
            </w:r>
          </w:p>
        </w:tc>
        <w:tc>
          <w:tcPr>
            <w:tcW w:type="dxa" w:w="4153"/>
          </w:tcPr>
          <w:p>
            <w:pPr>
              <w:pStyle w:val="null3"/>
              <w:jc w:val="both"/>
            </w:pPr>
            <w:r>
              <w:rPr/>
              <w:t>根据供应商结合本项目的实际情况制定的组织实施作业方案情况（包括但不限于作业现场的安全文明措施保障、现场环境和查杀作业质量保障等）进行评审：（1）方案整体思路清晰（对组织实施作业方案能够具体列明方式或流程等）、内容描述完整（内容包括但不限于作业现场的安全文明措施保障、现场环境和查杀作业质量保障等）、逻辑性强重点明确的（方案内容可实际操作）得3分；（2）方案整体思路不清晰、内容描述不完整、逻辑、重点不明确的得2分；（3）方案整体思路模糊、内容描述不完整、没逻辑性的得1分；（4）未提供方案的本项不得分。满分3分</w:t>
            </w:r>
          </w:p>
        </w:tc>
      </w:tr>
      <w:tr>
        <w:tc>
          <w:tcPr>
            <w:tcW w:type="dxa" w:w="3322"/>
          </w:tcPr>
          <w:p>
            <w:pPr>
              <w:pStyle w:val="null3"/>
              <w:jc w:val="both"/>
            </w:pPr>
            <w:r>
              <w:rPr/>
              <w:t>5.防治方式、重点与难点分析</w:t>
            </w:r>
          </w:p>
        </w:tc>
        <w:tc>
          <w:tcPr>
            <w:tcW w:type="dxa" w:w="831"/>
          </w:tcPr>
          <w:p>
            <w:pPr>
              <w:pStyle w:val="null3"/>
              <w:jc w:val="right"/>
            </w:pPr>
            <w:r>
              <w:rPr/>
              <w:t>3.0000</w:t>
            </w:r>
          </w:p>
        </w:tc>
        <w:tc>
          <w:tcPr>
            <w:tcW w:type="dxa" w:w="4153"/>
          </w:tcPr>
          <w:p>
            <w:pPr>
              <w:pStyle w:val="null3"/>
              <w:jc w:val="both"/>
            </w:pPr>
            <w:r>
              <w:rPr/>
              <w:t>根据供应商结合本项目的实际情况制定的分析情况（包括但不限于防治方式、重点与难点分析、合理化建议情况等）进行评审：（1）分析到位（能够具体列明方式或流程等）、内容描述完整且重点明确（包括但不限于防治方式、重点与难点分析、合理化建议情况等）、建议逻辑性逻辑性强的（方案内容可实际操作）得3分；（2）分析思路不清晰、内容描述不完整、有逻辑性、重点不明确且符合本项目要求的得2分；（3）分析思路模糊、内容描述不完整、没逻辑性的得1分；（4）未提供分析和建议的本项不得分。满分3分</w:t>
            </w:r>
          </w:p>
        </w:tc>
      </w:tr>
      <w:tr>
        <w:tc>
          <w:tcPr>
            <w:tcW w:type="dxa" w:w="3322"/>
          </w:tcPr>
          <w:p>
            <w:pPr>
              <w:pStyle w:val="null3"/>
              <w:jc w:val="both"/>
            </w:pPr>
            <w:r>
              <w:rPr/>
              <w:t>6.季节或天气异常等特殊情况的应对方案</w:t>
            </w:r>
          </w:p>
        </w:tc>
        <w:tc>
          <w:tcPr>
            <w:tcW w:type="dxa" w:w="831"/>
          </w:tcPr>
          <w:p>
            <w:pPr>
              <w:pStyle w:val="null3"/>
              <w:jc w:val="right"/>
            </w:pPr>
            <w:r>
              <w:rPr/>
              <w:t>3.0000</w:t>
            </w:r>
          </w:p>
        </w:tc>
        <w:tc>
          <w:tcPr>
            <w:tcW w:type="dxa" w:w="4153"/>
          </w:tcPr>
          <w:p>
            <w:pPr>
              <w:pStyle w:val="null3"/>
              <w:jc w:val="both"/>
            </w:pPr>
            <w:r>
              <w:rPr/>
              <w:t>根据供应商结合本项目的实际情况制定的季节或天气异常等特殊情况的应对方案情况（包括但不限于高温、强降雨、季节性防治、天气异常的应对等）进行评审：（1）方案整体思路清晰（能够具体列明方式或流程等）、内容描述完整、逻辑性强逻辑性强重点明确的（方案内容可实际操作）得3分；（2）方案整体思路不清晰、内容描述不完整、有逻辑性、重点不明确的得2分；（3）方案整体思路模糊、内容描述不完整、没逻辑性的得1分；（4）未提供方案的本项不得分。满分3分</w:t>
            </w:r>
          </w:p>
        </w:tc>
      </w:tr>
      <w:tr>
        <w:tc>
          <w:tcPr>
            <w:tcW w:type="dxa" w:w="3322"/>
          </w:tcPr>
          <w:p>
            <w:pPr>
              <w:pStyle w:val="null3"/>
              <w:jc w:val="both"/>
            </w:pPr>
            <w:r>
              <w:rPr/>
              <w:t>7.疫情监测方案</w:t>
            </w:r>
          </w:p>
        </w:tc>
        <w:tc>
          <w:tcPr>
            <w:tcW w:type="dxa" w:w="831"/>
          </w:tcPr>
          <w:p>
            <w:pPr>
              <w:pStyle w:val="null3"/>
              <w:jc w:val="right"/>
            </w:pPr>
            <w:r>
              <w:rPr/>
              <w:t>3.0000</w:t>
            </w:r>
          </w:p>
        </w:tc>
        <w:tc>
          <w:tcPr>
            <w:tcW w:type="dxa" w:w="4153"/>
          </w:tcPr>
          <w:p>
            <w:pPr>
              <w:pStyle w:val="null3"/>
              <w:jc w:val="both"/>
            </w:pPr>
            <w:r>
              <w:rPr/>
              <w:t>根据供应商结合本项目的实际情况制定的疫情监测方案情况（包括但不限于监测点设置、监测人员配备、监测手段、监测方法等）进行评审： （1）方案整体思路清晰（对疫情监测方案能够具体列明方式或流程等）、内容描述完整（内容包括但不限于监测点设置、监测人员配备、监测手段、监测方法等）、逻辑性强、重点明确的（方案内容可实际操作）得3分；（2）方案整体思路不清晰、内容描述不完整、有逻辑性、重点不明确的得2分；（3）方案整体思路模糊、内容描述不完整、没逻辑性的得1分；（4）未提供方案的本项不得分。满分3分</w:t>
            </w:r>
          </w:p>
        </w:tc>
      </w:tr>
      <w:tr>
        <w:tc>
          <w:tcPr>
            <w:tcW w:type="dxa" w:w="3322"/>
          </w:tcPr>
          <w:p>
            <w:pPr>
              <w:pStyle w:val="null3"/>
              <w:jc w:val="both"/>
            </w:pPr>
            <w:r>
              <w:rPr/>
              <w:t>8.药物使用管理方案</w:t>
            </w:r>
          </w:p>
        </w:tc>
        <w:tc>
          <w:tcPr>
            <w:tcW w:type="dxa" w:w="831"/>
          </w:tcPr>
          <w:p>
            <w:pPr>
              <w:pStyle w:val="null3"/>
              <w:jc w:val="right"/>
            </w:pPr>
            <w:r>
              <w:rPr/>
              <w:t>3.0000</w:t>
            </w:r>
          </w:p>
        </w:tc>
        <w:tc>
          <w:tcPr>
            <w:tcW w:type="dxa" w:w="4153"/>
          </w:tcPr>
          <w:p>
            <w:pPr>
              <w:pStyle w:val="null3"/>
              <w:jc w:val="both"/>
            </w:pPr>
            <w:r>
              <w:rPr/>
              <w:t>根据供应商结合本项目的实际情况制定的药物使用及管理方案情况（包括但不限于药物使用培训、药物保存等）进行评审： （1）方案整体思路清晰（对药物使用管理方案能够具体列明方式或流程等）、内容描述完整（包括但不限于药物使用培训、药物保存等）、逻辑性强、重点明确的（方案内容可实际操作）得3分；（2）方案整体思路不清晰、内容描述不完整、有逻辑、重点不明确的得2分；（3）方案整体思路模糊、内容描述不完整、没逻辑性的得1分；（4）未提供方案的本项不得分。满分3分</w:t>
            </w:r>
          </w:p>
        </w:tc>
      </w:tr>
      <w:tr>
        <w:tc>
          <w:tcPr>
            <w:tcW w:type="dxa" w:w="3322"/>
          </w:tcPr>
          <w:p>
            <w:pPr>
              <w:pStyle w:val="null3"/>
              <w:jc w:val="both"/>
            </w:pPr>
            <w:r>
              <w:rPr/>
              <w:t>9.重大安全或突发事件应急保障方案</w:t>
            </w:r>
          </w:p>
        </w:tc>
        <w:tc>
          <w:tcPr>
            <w:tcW w:type="dxa" w:w="831"/>
          </w:tcPr>
          <w:p>
            <w:pPr>
              <w:pStyle w:val="null3"/>
              <w:jc w:val="right"/>
            </w:pPr>
            <w:r>
              <w:rPr/>
              <w:t>3.0000</w:t>
            </w:r>
          </w:p>
        </w:tc>
        <w:tc>
          <w:tcPr>
            <w:tcW w:type="dxa" w:w="4153"/>
          </w:tcPr>
          <w:p>
            <w:pPr>
              <w:pStyle w:val="null3"/>
              <w:jc w:val="both"/>
            </w:pPr>
            <w:r>
              <w:rPr/>
              <w:t>根据供应商结合本项目的实际情况制定的重大安全或突发事件应急保障方案情况（包括但不限于自然灾害、疫情爆发、停水停电等）进行评审：（1）方案整体思路清晰（对重大安全或突发事件应急保障方案能够具体列明方式或流程等）、内容描述完整（包括但不限于自然灾害、疫情爆发、停水停电等）、逻辑性强、重点明确的（方案内容可实际操作）得3分；（2）方案整体思路不清晰、内容描述不完整、有逻辑性、重点不明确的得2分；（3）方案整体思路模糊、内容描述不完整、没逻辑性的得1分；（4）未提供方案的本项不得分。满分3分</w:t>
            </w:r>
          </w:p>
        </w:tc>
      </w:tr>
      <w:tr>
        <w:tc>
          <w:tcPr>
            <w:tcW w:type="dxa" w:w="3322"/>
          </w:tcPr>
          <w:p>
            <w:pPr>
              <w:pStyle w:val="null3"/>
              <w:jc w:val="both"/>
            </w:pPr>
            <w:r>
              <w:rPr/>
              <w:t>10.培训及宣传方案</w:t>
            </w:r>
          </w:p>
        </w:tc>
        <w:tc>
          <w:tcPr>
            <w:tcW w:type="dxa" w:w="831"/>
          </w:tcPr>
          <w:p>
            <w:pPr>
              <w:pStyle w:val="null3"/>
              <w:jc w:val="right"/>
            </w:pPr>
            <w:r>
              <w:rPr/>
              <w:t>3.0000</w:t>
            </w:r>
          </w:p>
        </w:tc>
        <w:tc>
          <w:tcPr>
            <w:tcW w:type="dxa" w:w="4153"/>
          </w:tcPr>
          <w:p>
            <w:pPr>
              <w:pStyle w:val="null3"/>
              <w:jc w:val="both"/>
            </w:pPr>
            <w:r>
              <w:rPr/>
              <w:t>根据供应商结合本项目的实际情况制定的培训及宣传方案情况（包括但不限于培训人员安排、培训计划、宣传计划等）进行评审：（1）方案整体思路清晰（对培训及宣传方案能够具体列明方式或流程等）、内容描述完整（包括但不限于培训人员安排、培训计划、宣传计划等）、逻辑性强、重点明确的（方案内容可实际操作）得3分；（2）方案整体思路不清晰、内容描述不完整、有逻辑性、重点不明确的得2分；（3）方案整体思路模糊、内容描述不完整、没逻辑性的得1分；（4）未提供方案的本项不得分。满分3分</w:t>
            </w:r>
          </w:p>
        </w:tc>
      </w:tr>
      <w:tr>
        <w:tc>
          <w:tcPr>
            <w:tcW w:type="dxa" w:w="3322"/>
          </w:tcPr>
          <w:p>
            <w:pPr>
              <w:pStyle w:val="null3"/>
              <w:jc w:val="both"/>
            </w:pPr>
            <w:r>
              <w:rPr/>
              <w:t>11、技术力量</w:t>
            </w:r>
          </w:p>
        </w:tc>
        <w:tc>
          <w:tcPr>
            <w:tcW w:type="dxa" w:w="831"/>
          </w:tcPr>
          <w:p>
            <w:pPr>
              <w:pStyle w:val="null3"/>
              <w:jc w:val="right"/>
            </w:pPr>
            <w:r>
              <w:rPr/>
              <w:t>3.0000</w:t>
            </w:r>
          </w:p>
        </w:tc>
        <w:tc>
          <w:tcPr>
            <w:tcW w:type="dxa" w:w="4153"/>
          </w:tcPr>
          <w:p>
            <w:pPr>
              <w:pStyle w:val="null3"/>
              <w:jc w:val="both"/>
            </w:pPr>
            <w:r>
              <w:rPr/>
              <w:t>根据供应商针对拟选派本项目的技术人员技术力量进行评审：提供具备农业病虫害防治相关专业职称证书的得1分，满分3分，此项不与项目负责人重复。投标人须提供以下证明材料：①人员名单；②人员职称证明材料；③供应商为其缴交社保证明材料【投标截止时间前在供应商单位近6个月中的任意一个月的社保缴纳证明材料（不含投标当月），若为退休返聘人员，提供退休证明、聘用证书（或聘用合同）、身份证复印件】。未提供或不满足本项要求的不得分。</w:t>
            </w:r>
          </w:p>
        </w:tc>
      </w:tr>
      <w:tr>
        <w:tc>
          <w:tcPr>
            <w:tcW w:type="dxa" w:w="3322"/>
          </w:tcPr>
          <w:p>
            <w:pPr>
              <w:pStyle w:val="null3"/>
              <w:jc w:val="both"/>
            </w:pPr>
            <w:r>
              <w:rPr/>
              <w:t>12.技术人员</w:t>
            </w:r>
          </w:p>
        </w:tc>
        <w:tc>
          <w:tcPr>
            <w:tcW w:type="dxa" w:w="831"/>
          </w:tcPr>
          <w:p>
            <w:pPr>
              <w:pStyle w:val="null3"/>
              <w:jc w:val="right"/>
            </w:pPr>
            <w:r>
              <w:rPr/>
              <w:t>3.0000</w:t>
            </w:r>
          </w:p>
        </w:tc>
        <w:tc>
          <w:tcPr>
            <w:tcW w:type="dxa" w:w="4153"/>
          </w:tcPr>
          <w:p>
            <w:pPr>
              <w:pStyle w:val="null3"/>
              <w:jc w:val="both"/>
            </w:pPr>
            <w:r>
              <w:rPr/>
              <w:t>供应商拟选派为本项目的相关专业技术服务人员具备红火蚁防治员或有害生物防制员证书的，每提供1人得0.5分，满分3分。供应商提供相关证书复印件及投标截止时间前六个月(不含投标截止时间的当月)任意一个月在供应商单位缴纳的社保证明材料复印件，提供不完整或未提供不得分；本项提供的人员和其他评分项人员重复的不得分。</w:t>
            </w:r>
          </w:p>
        </w:tc>
      </w:tr>
      <w:tr>
        <w:tc>
          <w:tcPr>
            <w:tcW w:type="dxa" w:w="3322"/>
          </w:tcPr>
          <w:p>
            <w:pPr>
              <w:pStyle w:val="null3"/>
              <w:jc w:val="both"/>
            </w:pPr>
            <w:r>
              <w:rPr/>
              <w:t>13.现场施工人员</w:t>
            </w:r>
          </w:p>
        </w:tc>
        <w:tc>
          <w:tcPr>
            <w:tcW w:type="dxa" w:w="831"/>
          </w:tcPr>
          <w:p>
            <w:pPr>
              <w:pStyle w:val="null3"/>
              <w:jc w:val="right"/>
            </w:pPr>
            <w:r>
              <w:rPr/>
              <w:t>3.0000</w:t>
            </w:r>
          </w:p>
        </w:tc>
        <w:tc>
          <w:tcPr>
            <w:tcW w:type="dxa" w:w="4153"/>
          </w:tcPr>
          <w:p>
            <w:pPr>
              <w:pStyle w:val="null3"/>
              <w:jc w:val="both"/>
            </w:pPr>
            <w:r>
              <w:rPr/>
              <w:t>供应商针对本项目拟派出的相关现场施工人员，自2019年1月1日以来(日期以合同签订日期为准)，具有担任与本项目同类型的基于社会化服务采购模式开展红火蚁防控项目经验，每提供一人得0.5分，满分3分。须提供项目合同复印件、该项目已经采购人验收合格的相关证明文件复印件、供应商加盖公章的其为该项目的现场施工人员的相关佐证材料，未提供的或提供不全的不得分。本项提供的人员和其他评分项人员重复的不得分。</w:t>
            </w:r>
          </w:p>
        </w:tc>
      </w:tr>
      <w:tr>
        <w:tc>
          <w:tcPr>
            <w:tcW w:type="dxa" w:w="3322"/>
          </w:tcPr>
          <w:p>
            <w:pPr>
              <w:pStyle w:val="null3"/>
              <w:jc w:val="both"/>
            </w:pPr>
            <w:r>
              <w:rPr/>
              <w:t>14.防治车辆配备</w:t>
            </w:r>
          </w:p>
        </w:tc>
        <w:tc>
          <w:tcPr>
            <w:tcW w:type="dxa" w:w="831"/>
          </w:tcPr>
          <w:p>
            <w:pPr>
              <w:pStyle w:val="null3"/>
              <w:jc w:val="right"/>
            </w:pPr>
            <w:r>
              <w:rPr/>
              <w:t>3.0000</w:t>
            </w:r>
          </w:p>
        </w:tc>
        <w:tc>
          <w:tcPr>
            <w:tcW w:type="dxa" w:w="4153"/>
          </w:tcPr>
          <w:p>
            <w:pPr>
              <w:pStyle w:val="null3"/>
              <w:jc w:val="both"/>
            </w:pPr>
            <w:r>
              <w:rPr/>
              <w:t>根据供应商为本项目拟投入的防治车辆情况进行评分，每提供一辆得0.5分，满分3分。注：①若为自有车辆，须提供车辆有效的机动车登记证书及车辆行驶证、车辆照片证明材料。②若为租赁车辆，须同时提供租赁合同（合同有效期不得早于本项目结束时间）、车辆行驶证及车辆照片，未按要求提供或提供不全证明材料不得分。</w:t>
            </w:r>
          </w:p>
        </w:tc>
      </w:tr>
    </w:tbl>
    <w:p>
      <w:pPr>
        <w:pStyle w:val="null3"/>
        <w:jc w:val="both"/>
      </w:pPr>
      <w:r>
        <w:rPr/>
        <w:t>商务项（F3×A3）满分为21.0000分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1、售后服务方案</w:t>
            </w:r>
          </w:p>
        </w:tc>
        <w:tc>
          <w:tcPr>
            <w:tcW w:type="dxa" w:w="831"/>
          </w:tcPr>
          <w:p>
            <w:pPr>
              <w:pStyle w:val="null3"/>
              <w:jc w:val="right"/>
            </w:pPr>
            <w:r>
              <w:rPr/>
              <w:t>2.0000</w:t>
            </w:r>
          </w:p>
        </w:tc>
        <w:tc>
          <w:tcPr>
            <w:tcW w:type="dxa" w:w="4153"/>
          </w:tcPr>
          <w:p>
            <w:pPr>
              <w:pStyle w:val="null3"/>
              <w:jc w:val="both"/>
            </w:pPr>
            <w:r>
              <w:rPr/>
              <w:t>根据供应商结合本项目的实际情况制定的售后服务方案情况进行评审：①方案整体思路清晰、内容描述完整、逻辑性强、重点明确的得2分；②方案整体思路清晰、内容描述完整、有逻辑性、重点不明确的得1分；③方案整体思路正确、内容描述简短、没有逻辑性但符合本项目要求的得0.5分；④方案不合理或未齐全提供方案的本项不得分。满分2分</w:t>
            </w:r>
          </w:p>
        </w:tc>
      </w:tr>
      <w:tr>
        <w:tc>
          <w:tcPr>
            <w:tcW w:type="dxa" w:w="3322"/>
          </w:tcPr>
          <w:p>
            <w:pPr>
              <w:pStyle w:val="null3"/>
              <w:jc w:val="both"/>
            </w:pPr>
            <w:r>
              <w:rPr/>
              <w:t>2. 企业实力</w:t>
            </w:r>
          </w:p>
        </w:tc>
        <w:tc>
          <w:tcPr>
            <w:tcW w:type="dxa" w:w="831"/>
          </w:tcPr>
          <w:p>
            <w:pPr>
              <w:pStyle w:val="null3"/>
              <w:jc w:val="right"/>
            </w:pPr>
            <w:r>
              <w:rPr/>
              <w:t>1.0000</w:t>
            </w:r>
          </w:p>
        </w:tc>
        <w:tc>
          <w:tcPr>
            <w:tcW w:type="dxa" w:w="4153"/>
          </w:tcPr>
          <w:p>
            <w:pPr>
              <w:pStyle w:val="null3"/>
              <w:jc w:val="both"/>
            </w:pPr>
            <w:r>
              <w:rPr/>
              <w:t>根据供应商所提供的证明材料进行评分：（1）供应商独立承接过国家级红火蚁防控示范项目的得1分；（2）独立承接过省级红火蚁防控示范项目的得0.5分；（3）独立承接过市级红火蚁防控示范项目的得0.2分。注：须提供以下所有材料①中标（成交）通知书；②合同文本复印件；③发票复印件等证明材料。供应商未按要求提供证明材料或提供的证明材料不齐全的或无法提供的不得分。满分1分</w:t>
            </w:r>
          </w:p>
        </w:tc>
      </w:tr>
      <w:tr>
        <w:tc>
          <w:tcPr>
            <w:tcW w:type="dxa" w:w="3322"/>
          </w:tcPr>
          <w:p>
            <w:pPr>
              <w:pStyle w:val="null3"/>
              <w:jc w:val="both"/>
            </w:pPr>
            <w:r>
              <w:rPr/>
              <w:t>3. 应急响应能力</w:t>
            </w:r>
          </w:p>
        </w:tc>
        <w:tc>
          <w:tcPr>
            <w:tcW w:type="dxa" w:w="831"/>
          </w:tcPr>
          <w:p>
            <w:pPr>
              <w:pStyle w:val="null3"/>
              <w:jc w:val="right"/>
            </w:pPr>
            <w:r>
              <w:rPr/>
              <w:t>3.0000</w:t>
            </w:r>
          </w:p>
        </w:tc>
        <w:tc>
          <w:tcPr>
            <w:tcW w:type="dxa" w:w="4153"/>
          </w:tcPr>
          <w:p>
            <w:pPr>
              <w:pStyle w:val="null3"/>
              <w:jc w:val="both"/>
            </w:pPr>
            <w:r>
              <w:rPr/>
              <w:t>根据供应商应急服务能力，承诺在接到应急处置任务时到达 项目实施地址（南靖县山城镇人民政府）时间长短进行评审：在60分钟（含）以内的得3分，在60分钟以上120分钟（含）以内的得2分，在120分钟以上的得1分，未提供承诺的不得分。若在实施过程中，采购人发现供应商提供虚假承诺， 按提供虚假材料谋取中标、成交处理。采购人将上报监督管 理部门按相关法律法规对供应商进行处理。满分3分</w:t>
            </w:r>
          </w:p>
        </w:tc>
      </w:tr>
      <w:tr>
        <w:tc>
          <w:tcPr>
            <w:tcW w:type="dxa" w:w="3322"/>
          </w:tcPr>
          <w:p>
            <w:pPr>
              <w:pStyle w:val="null3"/>
              <w:jc w:val="both"/>
            </w:pPr>
            <w:r>
              <w:rPr/>
              <w:t>4.业绩证明</w:t>
            </w:r>
          </w:p>
        </w:tc>
        <w:tc>
          <w:tcPr>
            <w:tcW w:type="dxa" w:w="831"/>
          </w:tcPr>
          <w:p>
            <w:pPr>
              <w:pStyle w:val="null3"/>
              <w:jc w:val="right"/>
            </w:pPr>
            <w:r>
              <w:rPr/>
              <w:t>3.0000</w:t>
            </w:r>
          </w:p>
        </w:tc>
        <w:tc>
          <w:tcPr>
            <w:tcW w:type="dxa" w:w="4153"/>
          </w:tcPr>
          <w:p>
            <w:pPr>
              <w:pStyle w:val="null3"/>
              <w:jc w:val="both"/>
            </w:pPr>
            <w:r>
              <w:rPr/>
              <w:t>根据供应商2019年1月1日以来（根据合同签订时间计算）至今完成的红火蚁社会化服务防控项目成果进行评审：供应商承接的服务同类型项目通过项目验收合格且综合防治率达90%及以上的，每提供一个项目案例服务成果的得1分，满分3分。供应商须提供以下相关证明材料：① 中标公告（提供相关网站中标公告的下载网页并注明网址））②中标（成交）通知书复印件；③合同文本复印件；④证明项目已通过验收合格的相关证明材料。供应商提供相关材料复印件并加盖公章，原件评标现场备查；⑤延期验收或一次性验收不合格，不得分。本项与“服务评价”项不重复得分。</w:t>
            </w:r>
          </w:p>
        </w:tc>
      </w:tr>
      <w:tr>
        <w:tc>
          <w:tcPr>
            <w:tcW w:type="dxa" w:w="3322"/>
          </w:tcPr>
          <w:p>
            <w:pPr>
              <w:pStyle w:val="null3"/>
              <w:jc w:val="both"/>
            </w:pPr>
            <w:r>
              <w:rPr/>
              <w:t>5.服务评价</w:t>
            </w:r>
          </w:p>
        </w:tc>
        <w:tc>
          <w:tcPr>
            <w:tcW w:type="dxa" w:w="831"/>
          </w:tcPr>
          <w:p>
            <w:pPr>
              <w:pStyle w:val="null3"/>
              <w:jc w:val="right"/>
            </w:pPr>
            <w:r>
              <w:rPr/>
              <w:t>3.0000</w:t>
            </w:r>
          </w:p>
        </w:tc>
        <w:tc>
          <w:tcPr>
            <w:tcW w:type="dxa" w:w="4153"/>
          </w:tcPr>
          <w:p>
            <w:pPr>
              <w:pStyle w:val="null3"/>
              <w:jc w:val="both"/>
            </w:pPr>
            <w:r>
              <w:rPr/>
              <w:t>根据供应商承担过与本项目同类项目获得过采购人单位满意证明材料的，每提供1份满意度证明材料的得1分；满分3分。须提供项目中标通知书复印件、采购合同文本复印件和相关评价证明文件（评价为“优秀”或者“满意”或者“90分以上”或者同类意思表述的均可）复印件并加盖公章，否则不得分。本项与“已完成项目综合防治率”项不重复得分。</w:t>
            </w:r>
          </w:p>
        </w:tc>
      </w:tr>
      <w:tr>
        <w:tc>
          <w:tcPr>
            <w:tcW w:type="dxa" w:w="3322"/>
          </w:tcPr>
          <w:p>
            <w:pPr>
              <w:pStyle w:val="null3"/>
              <w:jc w:val="both"/>
            </w:pPr>
            <w:r>
              <w:rPr/>
              <w:t>6.系统运用情况</w:t>
            </w:r>
          </w:p>
        </w:tc>
        <w:tc>
          <w:tcPr>
            <w:tcW w:type="dxa" w:w="831"/>
          </w:tcPr>
          <w:p>
            <w:pPr>
              <w:pStyle w:val="null3"/>
              <w:jc w:val="right"/>
            </w:pPr>
            <w:r>
              <w:rPr/>
              <w:t>2.0000</w:t>
            </w:r>
          </w:p>
        </w:tc>
        <w:tc>
          <w:tcPr>
            <w:tcW w:type="dxa" w:w="4153"/>
          </w:tcPr>
          <w:p>
            <w:pPr>
              <w:pStyle w:val="null3"/>
              <w:jc w:val="both"/>
            </w:pPr>
            <w:r>
              <w:rPr/>
              <w:t>根据供应商对红火蚁数据采集系统“云采集”应用程度进行评价：供应商有应用“云采集”系统开展过红火蚁防控或普查项目，并验收通过。每提供一份合同（合同中未体现“云采集”系统的，应提供该项目招标文件中相关条款进行补充证明）及业主开具的验收合格证明得1分，满分2分。（须提供合同或招标文件相关条款复印件及业主开具的验收合格证明复印件并加盖公章，否则不得分。）</w:t>
            </w:r>
          </w:p>
        </w:tc>
      </w:tr>
      <w:tr>
        <w:tc>
          <w:tcPr>
            <w:tcW w:type="dxa" w:w="3322"/>
          </w:tcPr>
          <w:p>
            <w:pPr>
              <w:pStyle w:val="null3"/>
              <w:jc w:val="both"/>
            </w:pPr>
            <w:r>
              <w:rPr/>
              <w:t>7. 药剂防效</w:t>
            </w:r>
          </w:p>
        </w:tc>
        <w:tc>
          <w:tcPr>
            <w:tcW w:type="dxa" w:w="831"/>
          </w:tcPr>
          <w:p>
            <w:pPr>
              <w:pStyle w:val="null3"/>
              <w:jc w:val="right"/>
            </w:pPr>
            <w:r>
              <w:rPr/>
              <w:t>3.0000</w:t>
            </w:r>
          </w:p>
        </w:tc>
        <w:tc>
          <w:tcPr>
            <w:tcW w:type="dxa" w:w="4153"/>
          </w:tcPr>
          <w:p>
            <w:pPr>
              <w:pStyle w:val="null3"/>
              <w:jc w:val="both"/>
            </w:pPr>
            <w:r>
              <w:rPr/>
              <w:t>根据供应商所提供防治药剂综合防治效果进行评审： 1.药剂综合防治效果达到90%以上得3分； 2.药剂综合防治效果达到80%- 90%（含）得2分； 3.药剂综合防治效果70～80%(不含）得1分； ； 4.其它药剂或含量，药剂综合防治效果70%（含）以下的不得分。 （注：提供政府文件出具的所投产品的防控效果通报材料或试验报告复印件加盖公章。不具备资质单位的试验报告不得分）满分3分</w:t>
            </w:r>
          </w:p>
        </w:tc>
      </w:tr>
      <w:tr>
        <w:tc>
          <w:tcPr>
            <w:tcW w:type="dxa" w:w="3322"/>
          </w:tcPr>
          <w:p>
            <w:pPr>
              <w:pStyle w:val="null3"/>
              <w:jc w:val="both"/>
            </w:pPr>
            <w:r>
              <w:rPr/>
              <w:t>8.保险保障</w:t>
            </w:r>
          </w:p>
        </w:tc>
        <w:tc>
          <w:tcPr>
            <w:tcW w:type="dxa" w:w="831"/>
          </w:tcPr>
          <w:p>
            <w:pPr>
              <w:pStyle w:val="null3"/>
              <w:jc w:val="right"/>
            </w:pPr>
            <w:r>
              <w:rPr/>
              <w:t>3.0000</w:t>
            </w:r>
          </w:p>
        </w:tc>
        <w:tc>
          <w:tcPr>
            <w:tcW w:type="dxa" w:w="4153"/>
          </w:tcPr>
          <w:p>
            <w:pPr>
              <w:pStyle w:val="null3"/>
              <w:jc w:val="both"/>
            </w:pPr>
            <w:r>
              <w:rPr/>
              <w:t>根据各供应商承诺成交后为本项目投入的所有人员（每人）购买意外伤害保险或雇主责任险的保额情况进行评分，保额≥100万元的得3分；100万元＞保额≥80万元的得2分；80万元＞保额≥60万元的得1分，保额＜60万元的不得分。需提供承诺函且承诺为本项目投入的所有人员购买的意外伤害险的保障日期不少于本项目合同服务期，未提供的不得分。满分3分</w:t>
            </w:r>
          </w:p>
        </w:tc>
      </w:tr>
      <w:tr>
        <w:tc>
          <w:tcPr>
            <w:tcW w:type="dxa" w:w="3322"/>
          </w:tcPr>
          <w:p>
            <w:pPr>
              <w:pStyle w:val="null3"/>
              <w:jc w:val="both"/>
            </w:pPr>
            <w:r>
              <w:rPr/>
              <w:t>9、企业荣誉</w:t>
            </w:r>
          </w:p>
        </w:tc>
        <w:tc>
          <w:tcPr>
            <w:tcW w:type="dxa" w:w="831"/>
          </w:tcPr>
          <w:p>
            <w:pPr>
              <w:pStyle w:val="null3"/>
              <w:jc w:val="right"/>
            </w:pPr>
            <w:r>
              <w:rPr/>
              <w:t>1.0000</w:t>
            </w:r>
          </w:p>
        </w:tc>
        <w:tc>
          <w:tcPr>
            <w:tcW w:type="dxa" w:w="4153"/>
          </w:tcPr>
          <w:p>
            <w:pPr>
              <w:pStyle w:val="null3"/>
              <w:jc w:val="both"/>
            </w:pPr>
            <w:r>
              <w:rPr/>
              <w:t>供应商在实施红火蚁防控项目方面有受过政府机构嘉奖或表彰的得1分。 注：供应商须提供证明材料复印件并加盖公章。供应商未按要求提供证明材料或未提供的不得分。满分1分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rPr>
        <w:t>1.1总体防控目标</w:t>
      </w:r>
    </w:p>
    <w:p>
      <w:pPr>
        <w:pStyle w:val="null3"/>
        <w:ind w:firstLine="480"/>
        <w:jc w:val="both"/>
      </w:pPr>
      <w:r>
        <w:rPr>
          <w:rFonts w:ascii="宋体" w:hAnsi="宋体" w:cs="宋体" w:eastAsia="宋体"/>
          <w:sz w:val="24"/>
        </w:rPr>
        <w:t>供应商在项目招标防控范围内，采用专业化防控，使红火蚁危害有效降低。项目防控红火蚁发生量不少于</w:t>
      </w:r>
      <w:r>
        <w:rPr>
          <w:rFonts w:ascii="宋体" w:hAnsi="宋体" w:cs="宋体" w:eastAsia="宋体"/>
          <w:sz w:val="24"/>
        </w:rPr>
        <w:t>22000亩，综合防治率达90%以上。</w:t>
      </w:r>
    </w:p>
    <w:p>
      <w:pPr>
        <w:pStyle w:val="null3"/>
        <w:ind w:firstLine="480"/>
        <w:jc w:val="both"/>
      </w:pPr>
      <w:r>
        <w:rPr>
          <w:rFonts w:ascii="宋体" w:hAnsi="宋体" w:cs="宋体" w:eastAsia="宋体"/>
          <w:sz w:val="24"/>
        </w:rPr>
        <w:t>1.2服务期限</w:t>
      </w:r>
    </w:p>
    <w:p>
      <w:pPr>
        <w:pStyle w:val="null3"/>
        <w:ind w:firstLine="480"/>
        <w:jc w:val="both"/>
      </w:pPr>
      <w:r>
        <w:rPr>
          <w:rFonts w:ascii="宋体" w:hAnsi="宋体" w:cs="宋体" w:eastAsia="宋体"/>
          <w:sz w:val="24"/>
        </w:rPr>
        <w:t>本项目服务期限自合同签订之日起</w:t>
      </w:r>
      <w:r>
        <w:rPr>
          <w:rFonts w:ascii="宋体" w:hAnsi="宋体" w:cs="宋体" w:eastAsia="宋体"/>
          <w:sz w:val="24"/>
        </w:rPr>
        <w:t>6个月内完成防控，如遇低温、雨季、重大法定节假日等可适当延长防控时间。</w:t>
      </w:r>
    </w:p>
    <w:p>
      <w:pPr>
        <w:pStyle w:val="null3"/>
        <w:ind w:firstLine="480"/>
        <w:jc w:val="both"/>
      </w:pPr>
      <w:r>
        <w:rPr>
          <w:rFonts w:ascii="宋体" w:hAnsi="宋体" w:cs="宋体" w:eastAsia="宋体"/>
          <w:sz w:val="24"/>
        </w:rPr>
        <w:t>1.3项目招标防控范围</w:t>
      </w:r>
    </w:p>
    <w:p>
      <w:pPr>
        <w:pStyle w:val="null3"/>
        <w:ind w:firstLine="480"/>
        <w:jc w:val="both"/>
      </w:pPr>
      <w:r>
        <w:rPr>
          <w:rFonts w:ascii="宋体" w:hAnsi="宋体" w:cs="宋体" w:eastAsia="宋体"/>
          <w:sz w:val="24"/>
        </w:rPr>
        <w:t>本项目招标服务的防控范围从</w:t>
      </w:r>
      <w:r>
        <w:rPr>
          <w:rFonts w:ascii="宋体" w:hAnsi="宋体" w:cs="宋体" w:eastAsia="宋体"/>
          <w:sz w:val="24"/>
        </w:rPr>
        <w:t>①从2023年防控区外开始往东北方向沿伸至牛崎头、②碧候村开始沿南环城路往东方向至汤坑村（不得与历年来专业化防控区域重复，投标前可咨询业主或到现场实地查看），若以上区域现有红火蚁发生区域防控监测面积不足</w:t>
      </w:r>
      <w:r>
        <w:rPr>
          <w:rFonts w:ascii="宋体" w:hAnsi="宋体" w:cs="宋体" w:eastAsia="宋体"/>
          <w:sz w:val="24"/>
        </w:rPr>
        <w:t>22000亩</w:t>
      </w:r>
      <w:r>
        <w:rPr>
          <w:rFonts w:ascii="宋体" w:hAnsi="宋体" w:cs="宋体" w:eastAsia="宋体"/>
          <w:sz w:val="24"/>
        </w:rPr>
        <w:t>，从葛山村往南靖东高速路的两旁村庄进行普查直至红火蚁发生量超过</w:t>
      </w:r>
      <w:r>
        <w:rPr>
          <w:rFonts w:ascii="宋体" w:hAnsi="宋体" w:cs="宋体" w:eastAsia="宋体"/>
          <w:sz w:val="24"/>
        </w:rPr>
        <w:t>22000亩</w:t>
      </w:r>
      <w:r>
        <w:rPr>
          <w:rFonts w:ascii="宋体" w:hAnsi="宋体" w:cs="宋体" w:eastAsia="宋体"/>
          <w:sz w:val="24"/>
        </w:rPr>
        <w:t>包含辖区内所有农田、农村、学校、公共绿地等范围）</w:t>
      </w:r>
      <w:r>
        <w:rPr>
          <w:rFonts w:ascii="宋体" w:hAnsi="宋体" w:cs="宋体" w:eastAsia="宋体"/>
          <w:sz w:val="24"/>
        </w:rPr>
        <w:t>。供应商在签订合同前，必须在采购人指定的区域内运用监理单位提供的</w:t>
      </w:r>
      <w:r>
        <w:rPr>
          <w:rFonts w:ascii="宋体" w:hAnsi="宋体" w:cs="宋体" w:eastAsia="宋体"/>
          <w:sz w:val="24"/>
        </w:rPr>
        <w:t>“云采集”福建省红火蚁普查软件进行详细普查，根据普查结果划定具体的防控范围，并形成防控范围地图。划定的防控范围内经普查核实的红火蚁发生量不得少于22000亩的防控发生量。</w:t>
      </w:r>
    </w:p>
    <w:p>
      <w:pPr>
        <w:pStyle w:val="null3"/>
        <w:spacing w:after="150"/>
        <w:ind w:left="-180" w:right="-180" w:firstLine="720"/>
        <w:jc w:val="left"/>
      </w:pPr>
      <w:r>
        <w:rPr>
          <w:rFonts w:ascii="宋体" w:hAnsi="宋体" w:cs="宋体" w:eastAsia="宋体"/>
          <w:sz w:val="24"/>
        </w:rPr>
        <w:t>★</w:t>
      </w:r>
      <w:r>
        <w:rPr>
          <w:rFonts w:ascii="宋体" w:hAnsi="宋体" w:cs="宋体" w:eastAsia="宋体"/>
          <w:sz w:val="24"/>
          <w:b/>
        </w:rPr>
        <w:t>注：调查结果仅作划定防控范围的参考，各供应商应充分评估项目涉及各乡镇</w:t>
      </w:r>
      <w:r>
        <w:rPr>
          <w:rFonts w:ascii="宋体" w:hAnsi="宋体" w:cs="宋体" w:eastAsia="宋体"/>
          <w:sz w:val="24"/>
          <w:b/>
        </w:rPr>
        <w:t>/街道内因红火蚁迁飞或发生面积变化造成的项目实施风险，以及防控范围内地理条件、农业生产、气象条件所需的额外防控成本，提出合理的单亩防控价格。中标后具体的防控区域一经划定，供应商不得以任何理由追加防控费用、缩小防控范围和降低验收标准；供应商需对防控范围内所有区域进行防控处置（投药或诱集监测），即包括调查已探明的红火蚁发生区域和未发生红火蚁的区域；验收时由采购人在防控范围内随机抽检。各供应商</w:t>
      </w:r>
      <w:r>
        <w:rPr>
          <w:rFonts w:ascii="宋体" w:hAnsi="宋体" w:cs="宋体" w:eastAsia="宋体"/>
          <w:sz w:val="24"/>
          <w:b/>
          <w:shd w:fill="FFFFFF" w:val="clear"/>
        </w:rPr>
        <w:t>须对此作出承诺，未提供承诺的视为无效投标。</w:t>
      </w:r>
    </w:p>
    <w:p>
      <w:pPr>
        <w:pStyle w:val="null3"/>
        <w:jc w:val="both"/>
        <w:outlineLvl w:val="2"/>
      </w:pPr>
      <w:r>
        <w:rPr>
          <w:sz w:val="28"/>
          <w:b/>
        </w:rPr>
        <w:t>二、技术和服务要求（以“★”标示的内容为不允许负偏离的实质性要求）</w:t>
      </w:r>
    </w:p>
    <w:p>
      <w:pPr>
        <w:pStyle w:val="null3"/>
        <w:jc w:val="left"/>
      </w:pPr>
      <w:r>
        <w:rPr>
          <w:rFonts w:ascii="宋体" w:hAnsi="宋体" w:cs="宋体" w:eastAsia="宋体"/>
          <w:sz w:val="24"/>
        </w:rPr>
        <w:t>★1、防控技术要求</w:t>
      </w:r>
    </w:p>
    <w:p>
      <w:pPr>
        <w:pStyle w:val="null3"/>
        <w:ind w:firstLine="480"/>
        <w:jc w:val="both"/>
      </w:pPr>
      <w:r>
        <w:rPr>
          <w:rFonts w:ascii="宋体" w:hAnsi="宋体" w:cs="宋体" w:eastAsia="宋体"/>
          <w:sz w:val="24"/>
        </w:rPr>
        <w:t>1.1供应商应在防控区域设立固定办公点与储药仓库，派驻技术人员，投入足够人力，抓住红火蚁防控的关键季节开展集中防控。防控期间供应商拟投入本项目的人员中长期驻点人员不得少于3名。</w:t>
      </w:r>
    </w:p>
    <w:p>
      <w:pPr>
        <w:pStyle w:val="null3"/>
        <w:ind w:firstLine="480"/>
        <w:jc w:val="both"/>
      </w:pPr>
      <w:r>
        <w:rPr>
          <w:rFonts w:ascii="宋体" w:hAnsi="宋体" w:cs="宋体" w:eastAsia="宋体"/>
          <w:sz w:val="24"/>
        </w:rPr>
        <w:t>1.2供应商应抓住红火蚁防控最佳气候条件，合理安排防控时间，根据实际情况组织网格化集中施药扑杀。防控期间供应商在防控区域内实施的防控施工（投药+监测）不少于2遍，每遍防控范围应做到全覆盖。调查中发现的高等级危害区域应根据防控需要增加防控次数，以保证防效达标。监理单位将根据调查发生范围和供应商上传的防控数据评估防控工作量是否达标。</w:t>
      </w:r>
    </w:p>
    <w:p>
      <w:pPr>
        <w:pStyle w:val="null3"/>
        <w:ind w:firstLine="480"/>
        <w:jc w:val="both"/>
      </w:pPr>
      <w:r>
        <w:rPr>
          <w:rFonts w:ascii="宋体" w:hAnsi="宋体" w:cs="宋体" w:eastAsia="宋体"/>
          <w:sz w:val="24"/>
        </w:rPr>
        <w:t>1.3防治药剂以饵剂为主，在许可的情况下可使用粉剂进行应急消杀。所有使用药剂都必须在中国农药信息网能够查询到登记信息且防治对象为红火蚁。供应商应根据防治区域的天气、环境、农业耕作等情况，选备2种以上成分，</w:t>
      </w:r>
      <w:r>
        <w:rPr>
          <w:rFonts w:ascii="宋体" w:hAnsi="宋体" w:cs="宋体" w:eastAsia="宋体"/>
          <w:sz w:val="24"/>
          <w:color w:val="FF0000"/>
        </w:rPr>
        <w:t>2</w:t>
      </w:r>
      <w:r>
        <w:rPr>
          <w:rFonts w:ascii="宋体" w:hAnsi="宋体" w:cs="宋体" w:eastAsia="宋体"/>
          <w:sz w:val="24"/>
        </w:rPr>
        <w:t>家厂商以上的防治饵剂以便更换。在不同防治季供应商应根据防控需要更换使用药剂，避免单一药剂药效下降影响防效。</w:t>
      </w:r>
    </w:p>
    <w:p>
      <w:pPr>
        <w:pStyle w:val="null3"/>
        <w:ind w:firstLine="480"/>
        <w:jc w:val="both"/>
      </w:pPr>
      <w:r>
        <w:rPr>
          <w:rFonts w:ascii="宋体" w:hAnsi="宋体" w:cs="宋体" w:eastAsia="宋体"/>
          <w:sz w:val="24"/>
        </w:rPr>
        <w:t>1.4防治初期蚁巢密度较大，蚁巢较容易踏查，可采用广泛施撒饵剂，达到快速压制红火蚁发生程度的目标。当防控区域红火蚁蚁巢数量降低且较为隐蔽，难以踏查搜寻时，应采用诱集的方式先明确防控区域内的红火蚁发生情况，根据诱集结果采用针对性的精准施药。</w:t>
      </w:r>
    </w:p>
    <w:p>
      <w:pPr>
        <w:pStyle w:val="null3"/>
        <w:ind w:firstLine="480"/>
        <w:jc w:val="both"/>
      </w:pPr>
      <w:r>
        <w:rPr>
          <w:rFonts w:ascii="宋体" w:hAnsi="宋体" w:cs="宋体" w:eastAsia="宋体"/>
          <w:sz w:val="24"/>
        </w:rPr>
        <w:t>1.5建立药效检查机制，在每遍药剂投放结束后，供应商按照监理单位提供的防效自检点采用火腿肠诱集监测开展防效检查，发现未达到防控要求的区域，及时补施药。</w:t>
      </w:r>
    </w:p>
    <w:p>
      <w:pPr>
        <w:pStyle w:val="null3"/>
        <w:ind w:firstLine="480"/>
        <w:jc w:val="both"/>
      </w:pPr>
      <w:r>
        <w:rPr>
          <w:rFonts w:ascii="宋体" w:hAnsi="宋体" w:cs="宋体" w:eastAsia="宋体"/>
          <w:sz w:val="24"/>
        </w:rPr>
        <w:t>1.6供应商必须积极配合监理单位要求的技术手段，认真做好防控信息的采集工作，通过“云采集”手机软件准确记录每个施药点的时间、位置、蚁巢大小、扑杀场景图片等数据并及时上传。这些数据将作为药品投入、防控面积估算、防控成效评估与考核的重要依据。若因供应商未按照技术要求操作，导致信息采集不完整或未及时上传数据，造成防控目标无法评估或实现，供应商需承担由此造成的项目延期及其他不良后果。</w:t>
      </w:r>
    </w:p>
    <w:p>
      <w:pPr>
        <w:pStyle w:val="null3"/>
        <w:ind w:firstLine="480"/>
        <w:jc w:val="both"/>
      </w:pPr>
      <w:r>
        <w:rPr>
          <w:rFonts w:ascii="宋体" w:hAnsi="宋体" w:cs="宋体" w:eastAsia="宋体"/>
          <w:sz w:val="24"/>
        </w:rPr>
        <w:t>1.7供应商应建立应急处理机制。在防控区域内公布供应商24小时应急电话，确保在接到红火蚁疫情应急处理通知后，保证24小时内派员到现场进行处理。超过一天后才到达的，按每超一天扣罚200元进行累加扣罚。</w:t>
      </w:r>
    </w:p>
    <w:p>
      <w:pPr>
        <w:pStyle w:val="null3"/>
        <w:ind w:firstLine="480"/>
        <w:jc w:val="both"/>
      </w:pPr>
      <w:r>
        <w:rPr>
          <w:rFonts w:ascii="宋体" w:hAnsi="宋体" w:cs="宋体" w:eastAsia="宋体"/>
          <w:sz w:val="24"/>
        </w:rPr>
        <w:t>1.8供应商应购置一定数量防治</w:t>
      </w:r>
      <w:r>
        <w:rPr>
          <w:rFonts w:ascii="宋体" w:hAnsi="宋体" w:cs="宋体" w:eastAsia="宋体"/>
          <w:sz w:val="24"/>
        </w:rPr>
        <w:t>时</w:t>
      </w:r>
      <w:r>
        <w:rPr>
          <w:rFonts w:ascii="宋体" w:hAnsi="宋体" w:cs="宋体" w:eastAsia="宋体"/>
          <w:sz w:val="24"/>
        </w:rPr>
        <w:t>被红火蚁叮咬的药剂，用于现场应急处理。</w:t>
      </w:r>
    </w:p>
    <w:p>
      <w:pPr>
        <w:pStyle w:val="null3"/>
        <w:ind w:firstLine="480"/>
        <w:jc w:val="both"/>
      </w:pPr>
      <w:r>
        <w:rPr>
          <w:rFonts w:ascii="宋体" w:hAnsi="宋体" w:cs="宋体" w:eastAsia="宋体"/>
          <w:sz w:val="24"/>
        </w:rPr>
        <w:t>2、防控宣传技术培训要求</w:t>
      </w:r>
    </w:p>
    <w:p>
      <w:pPr>
        <w:pStyle w:val="null3"/>
        <w:ind w:firstLine="482"/>
        <w:jc w:val="both"/>
      </w:pPr>
      <w:r>
        <w:rPr>
          <w:rFonts w:ascii="宋体" w:hAnsi="宋体" w:cs="宋体" w:eastAsia="宋体"/>
          <w:sz w:val="24"/>
          <w:b/>
        </w:rPr>
        <w:t>（指标项</w:t>
      </w:r>
      <w:r>
        <w:rPr>
          <w:rFonts w:ascii="宋体" w:hAnsi="宋体" w:cs="宋体" w:eastAsia="宋体"/>
          <w:sz w:val="24"/>
          <w:b/>
        </w:rPr>
        <w:t>1）</w:t>
      </w:r>
      <w:r>
        <w:rPr>
          <w:rFonts w:ascii="宋体" w:hAnsi="宋体" w:cs="宋体" w:eastAsia="宋体"/>
          <w:sz w:val="24"/>
        </w:rPr>
        <w:t>2.1鉴于采购社会化服务开展红火蚁防控属于政府公益性事业，为保证防控区域内民众能够切实得到良好的服务，体现防控的成效，供应商应做好防控宣传，在防控涉及乡镇至少提供1场针对民众的技术培训。</w:t>
      </w:r>
    </w:p>
    <w:p>
      <w:pPr>
        <w:pStyle w:val="null3"/>
        <w:ind w:firstLine="482"/>
        <w:jc w:val="both"/>
      </w:pPr>
      <w:r>
        <w:rPr>
          <w:rFonts w:ascii="宋体" w:hAnsi="宋体" w:cs="宋体" w:eastAsia="宋体"/>
          <w:sz w:val="24"/>
          <w:b/>
        </w:rPr>
        <w:t>（指标项</w:t>
      </w:r>
      <w:r>
        <w:rPr>
          <w:rFonts w:ascii="宋体" w:hAnsi="宋体" w:cs="宋体" w:eastAsia="宋体"/>
          <w:sz w:val="24"/>
          <w:b/>
        </w:rPr>
        <w:t>2）</w:t>
      </w:r>
      <w:r>
        <w:rPr>
          <w:rFonts w:ascii="宋体" w:hAnsi="宋体" w:cs="宋体" w:eastAsia="宋体"/>
          <w:sz w:val="24"/>
        </w:rPr>
        <w:t>2.2供应商应与防控区域内的镇街、村农技干部建立有效的信息沟通机制，及时反馈防控进展，了解防控区域民众对防控服务的要求。</w:t>
      </w:r>
    </w:p>
    <w:p>
      <w:pPr>
        <w:pStyle w:val="null3"/>
        <w:ind w:firstLine="480"/>
        <w:jc w:val="both"/>
      </w:pPr>
      <w:r>
        <w:rPr>
          <w:rFonts w:ascii="宋体" w:hAnsi="宋体" w:cs="宋体" w:eastAsia="宋体"/>
          <w:sz w:val="24"/>
        </w:rPr>
        <w:t>★2.3采用粘贴宣传彩页、分发防控联系小卡片的方式，做好防控区域内各村落红火蚁危害与防范宣传科普。在村落公开宣传栏与人流密集区粘贴宣传彩页，保证宣传到位。</w:t>
      </w:r>
    </w:p>
    <w:p>
      <w:pPr>
        <w:pStyle w:val="null3"/>
        <w:ind w:firstLine="482"/>
        <w:jc w:val="both"/>
      </w:pPr>
      <w:r>
        <w:rPr>
          <w:rFonts w:ascii="宋体" w:hAnsi="宋体" w:cs="宋体" w:eastAsia="宋体"/>
          <w:sz w:val="24"/>
          <w:b/>
        </w:rPr>
        <w:t>（指标项</w:t>
      </w:r>
      <w:r>
        <w:rPr>
          <w:rFonts w:ascii="宋体" w:hAnsi="宋体" w:cs="宋体" w:eastAsia="宋体"/>
          <w:sz w:val="24"/>
          <w:b/>
        </w:rPr>
        <w:t>3）</w:t>
      </w:r>
      <w:r>
        <w:rPr>
          <w:rFonts w:ascii="宋体" w:hAnsi="宋体" w:cs="宋体" w:eastAsia="宋体"/>
          <w:sz w:val="24"/>
        </w:rPr>
        <w:t>2.4供应商负责防控区域内红火蚁疫情应急处理和技术指导。</w:t>
      </w:r>
    </w:p>
    <w:p>
      <w:pPr>
        <w:pStyle w:val="null3"/>
        <w:ind w:firstLine="480"/>
        <w:jc w:val="both"/>
      </w:pPr>
      <w:r>
        <w:rPr>
          <w:rFonts w:ascii="宋体" w:hAnsi="宋体" w:cs="宋体" w:eastAsia="宋体"/>
          <w:sz w:val="24"/>
        </w:rPr>
        <w:t>3、供应商人员配备要求</w:t>
      </w:r>
    </w:p>
    <w:p>
      <w:pPr>
        <w:pStyle w:val="null3"/>
        <w:ind w:firstLine="480"/>
        <w:jc w:val="both"/>
      </w:pPr>
      <w:r>
        <w:rPr>
          <w:rFonts w:ascii="宋体" w:hAnsi="宋体" w:cs="宋体" w:eastAsia="宋体"/>
          <w:sz w:val="24"/>
        </w:rPr>
        <w:t>★3.1为保证防控质量，供应商需针对本项目成立项目组，并配备项目负责人1名及不少于2名（含2人）的技术人员（须提供红火蚁防治类或有害生物防制类资格证书复印件及投标截止时间前六个月(不含投标截止时间的当月)任意一个月在供应商单位缴纳的社保证明材料复印件）。所有防治人员应确认到位，项目负责人在承包期间原则上不得更换。若因特殊原因（主要为采购人要求更换该项目负责人或该项目负责人发生重大疾病、伤亡或其他不可抗力因素）在承包期间本项目负责人需更换，必须报经采购人同意，才予更换。</w:t>
      </w:r>
    </w:p>
    <w:p>
      <w:pPr>
        <w:pStyle w:val="null3"/>
        <w:ind w:firstLine="482"/>
        <w:jc w:val="both"/>
      </w:pPr>
      <w:r>
        <w:rPr>
          <w:rFonts w:ascii="宋体" w:hAnsi="宋体" w:cs="宋体" w:eastAsia="宋体"/>
          <w:sz w:val="24"/>
          <w:b/>
        </w:rPr>
        <w:t>（指标项</w:t>
      </w:r>
      <w:r>
        <w:rPr>
          <w:rFonts w:ascii="宋体" w:hAnsi="宋体" w:cs="宋体" w:eastAsia="宋体"/>
          <w:sz w:val="24"/>
          <w:b/>
        </w:rPr>
        <w:t>4）</w:t>
      </w:r>
      <w:r>
        <w:rPr>
          <w:rFonts w:ascii="宋体" w:hAnsi="宋体" w:cs="宋体" w:eastAsia="宋体"/>
          <w:sz w:val="24"/>
        </w:rPr>
        <w:t>3.2服务期间若采购人根据项目需要召开会议，项目负责人必须准时参加。</w:t>
      </w:r>
    </w:p>
    <w:p>
      <w:pPr>
        <w:pStyle w:val="null3"/>
        <w:ind w:firstLine="482"/>
        <w:jc w:val="both"/>
      </w:pPr>
      <w:r>
        <w:rPr>
          <w:rFonts w:ascii="宋体" w:hAnsi="宋体" w:cs="宋体" w:eastAsia="宋体"/>
          <w:sz w:val="24"/>
          <w:b/>
        </w:rPr>
        <w:t>（指标项</w:t>
      </w:r>
      <w:r>
        <w:rPr>
          <w:rFonts w:ascii="宋体" w:hAnsi="宋体" w:cs="宋体" w:eastAsia="宋体"/>
          <w:sz w:val="24"/>
          <w:b/>
        </w:rPr>
        <w:t>5）</w:t>
      </w:r>
      <w:r>
        <w:rPr>
          <w:rFonts w:ascii="宋体" w:hAnsi="宋体" w:cs="宋体" w:eastAsia="宋体"/>
          <w:sz w:val="24"/>
        </w:rPr>
        <w:t>3.3供应商安排的每位员工每周的工作时长、员工薪酬待遇等须符合劳动法等法律法规规定。若供应商与其雇员产生劳动纠纷或其他不符合劳动法等法律法规规定的，一切责任由供应商自行承担，造成采购人负面影响的，采购人有权</w:t>
      </w:r>
      <w:r>
        <w:rPr>
          <w:rFonts w:ascii="宋体" w:hAnsi="宋体" w:cs="宋体" w:eastAsia="宋体"/>
          <w:sz w:val="24"/>
        </w:rPr>
        <w:t>报相关主管部门对成交人进行处罚</w:t>
      </w:r>
      <w:r>
        <w:rPr>
          <w:rFonts w:ascii="宋体" w:hAnsi="宋体" w:cs="宋体" w:eastAsia="宋体"/>
          <w:sz w:val="24"/>
        </w:rPr>
        <w:t>。供应商须提供每周的人员工作安排计划表。</w:t>
      </w:r>
    </w:p>
    <w:p>
      <w:pPr>
        <w:pStyle w:val="null3"/>
        <w:ind w:firstLine="480"/>
        <w:jc w:val="both"/>
      </w:pPr>
      <w:r>
        <w:rPr>
          <w:rFonts w:ascii="宋体" w:hAnsi="宋体" w:cs="宋体" w:eastAsia="宋体"/>
          <w:sz w:val="24"/>
        </w:rPr>
        <w:t>★4、过程监理与防效自检</w:t>
      </w:r>
    </w:p>
    <w:p>
      <w:pPr>
        <w:pStyle w:val="null3"/>
        <w:ind w:firstLine="480"/>
        <w:jc w:val="both"/>
      </w:pPr>
      <w:r>
        <w:rPr>
          <w:rFonts w:ascii="宋体" w:hAnsi="宋体" w:cs="宋体" w:eastAsia="宋体"/>
          <w:sz w:val="24"/>
        </w:rPr>
        <w:t>4.1由采购人聘请监理单位对施工单位进行全程数字化监督，供应商需接受监理单位的监督。监理单位负责跟踪检查项目组织管理制度落实情况、项目人员到位情况，以及巡查、监测、防治、应急处理等各项工作实施力度、进度是否符合投标文件、合同和实施方案要求；检查该项目各类相关文件档案、数据、资料等是否完整、齐备。</w:t>
      </w:r>
    </w:p>
    <w:p>
      <w:pPr>
        <w:pStyle w:val="null3"/>
        <w:ind w:firstLine="480"/>
        <w:jc w:val="both"/>
      </w:pPr>
      <w:r>
        <w:rPr>
          <w:rFonts w:ascii="宋体" w:hAnsi="宋体" w:cs="宋体" w:eastAsia="宋体"/>
          <w:sz w:val="24"/>
        </w:rPr>
        <w:t>4.2防控开始前，供应商需向采购人、监理单位提供人员配备、防治药品储备、办公地点设置、防控计划、培训计划等情况的自查报告。</w:t>
      </w:r>
    </w:p>
    <w:p>
      <w:pPr>
        <w:pStyle w:val="null3"/>
        <w:ind w:firstLine="420"/>
        <w:jc w:val="both"/>
      </w:pPr>
      <w:r>
        <w:rPr>
          <w:rFonts w:ascii="宋体" w:hAnsi="宋体" w:cs="宋体" w:eastAsia="宋体"/>
          <w:sz w:val="24"/>
        </w:rPr>
        <w:t>4.3防控结束后，监理单位将指导供应商进行防效自检。供应商需根据监理单位规划的监测点位置，定点定位做好防效自检工作。防效自检采用诱集监测法，自检监测点数量不少于44个，每个监测点放置不少于20个猪肉火腿肠诱饵，每个诱饵之间距离10米以上，监测时间不少于30分钟，供应商需用“云采集”软件详细记录防效自检监测数据。监理单位根据供应商上传的监测数据测算企业自检防治率。企业自检的防治率须达到90%以上，供应商才能提请验收申请。如发现供应商在防效自检中弄虚作假，不按监测规程进行现供应商所采取的防控措施或防控进度不符合首次响应文件做出的承诺或不能满足项目实施要求，采购人或监理单位将向供应商发出整改通知书，并责令限期整改。限期仍未整改到位的，采购人有权书面约谈供应商。凡被约谈一次扣罚应</w:t>
      </w:r>
      <w:r>
        <w:rPr>
          <w:rFonts w:ascii="宋体" w:hAnsi="宋体" w:cs="宋体" w:eastAsia="宋体"/>
          <w:sz w:val="24"/>
        </w:rPr>
        <w:t>付款总额</w:t>
      </w:r>
      <w:r>
        <w:rPr>
          <w:rFonts w:ascii="宋体" w:hAnsi="宋体" w:cs="宋体" w:eastAsia="宋体"/>
          <w:sz w:val="24"/>
        </w:rPr>
        <w:t>的</w:t>
      </w:r>
      <w:r>
        <w:rPr>
          <w:rFonts w:ascii="宋体" w:hAnsi="宋体" w:cs="宋体" w:eastAsia="宋体"/>
          <w:sz w:val="24"/>
        </w:rPr>
        <w:t>5%。拒不整改或者自整改通知书下达起整改</w:t>
      </w:r>
      <w:r>
        <w:rPr>
          <w:rFonts w:ascii="宋体" w:hAnsi="宋体" w:cs="宋体" w:eastAsia="宋体"/>
          <w:sz w:val="24"/>
        </w:rPr>
        <w:t>3</w:t>
      </w:r>
      <w:r>
        <w:rPr>
          <w:rFonts w:ascii="宋体" w:hAnsi="宋体" w:cs="宋体" w:eastAsia="宋体"/>
          <w:sz w:val="24"/>
        </w:rPr>
        <w:t>轮仍未整改到位的，采购人有权</w:t>
      </w:r>
      <w:r>
        <w:rPr>
          <w:rFonts w:ascii="宋体" w:hAnsi="宋体" w:cs="宋体" w:eastAsia="宋体"/>
          <w:sz w:val="24"/>
        </w:rPr>
        <w:t>报相关主管部门对成交人进行处罚</w:t>
      </w:r>
      <w:r>
        <w:rPr>
          <w:rFonts w:ascii="宋体" w:hAnsi="宋体" w:cs="宋体" w:eastAsia="宋体"/>
          <w:sz w:val="24"/>
        </w:rPr>
        <w:t>。</w:t>
      </w:r>
    </w:p>
    <w:p>
      <w:pPr>
        <w:pStyle w:val="null3"/>
        <w:ind w:firstLine="480"/>
        <w:jc w:val="both"/>
      </w:pPr>
      <w:r>
        <w:rPr>
          <w:rFonts w:ascii="宋体" w:hAnsi="宋体" w:cs="宋体" w:eastAsia="宋体"/>
          <w:sz w:val="24"/>
        </w:rPr>
        <w:t>5、药剂选用要求</w:t>
      </w:r>
    </w:p>
    <w:p>
      <w:pPr>
        <w:pStyle w:val="null3"/>
        <w:ind w:firstLine="480"/>
        <w:jc w:val="both"/>
      </w:pPr>
      <w:r>
        <w:rPr>
          <w:rFonts w:ascii="宋体" w:hAnsi="宋体" w:cs="宋体" w:eastAsia="宋体"/>
          <w:sz w:val="24"/>
        </w:rPr>
        <w:t>★5.1供应商使用的防治药剂剂型为饵剂，药剂必须是高效低毒，对人畜、水体、土壤及周边环境无害，符合环境要求，且有效成分不含氟虫腈，防治对象为红火蚁，药剂必须取得农药登记证、生产许可证或生产批准证书、农药企业标准，能在中国农药信息网进行有效查询。</w:t>
      </w:r>
    </w:p>
    <w:p>
      <w:pPr>
        <w:pStyle w:val="null3"/>
        <w:ind w:firstLine="482"/>
        <w:jc w:val="both"/>
      </w:pPr>
      <w:r>
        <w:rPr>
          <w:rFonts w:ascii="宋体" w:hAnsi="宋体" w:cs="宋体" w:eastAsia="宋体"/>
          <w:sz w:val="24"/>
          <w:b/>
        </w:rPr>
        <w:t>（指标项</w:t>
      </w:r>
      <w:r>
        <w:rPr>
          <w:rFonts w:ascii="宋体" w:hAnsi="宋体" w:cs="宋体" w:eastAsia="宋体"/>
          <w:sz w:val="24"/>
          <w:b/>
        </w:rPr>
        <w:t>6）</w:t>
      </w:r>
      <w:r>
        <w:rPr>
          <w:rFonts w:ascii="宋体" w:hAnsi="宋体" w:cs="宋体" w:eastAsia="宋体"/>
          <w:sz w:val="24"/>
        </w:rPr>
        <w:t>5.2供应商须提供红火蚁防控专用药剂至指定地点，作为防控用药及储备药，进场储备总量不得少于首轮防控用药总量的60%（含）。</w:t>
      </w:r>
    </w:p>
    <w:p>
      <w:pPr>
        <w:pStyle w:val="null3"/>
        <w:ind w:firstLine="482"/>
        <w:jc w:val="both"/>
      </w:pPr>
      <w:r>
        <w:rPr>
          <w:rFonts w:ascii="宋体" w:hAnsi="宋体" w:cs="宋体" w:eastAsia="宋体"/>
          <w:sz w:val="24"/>
          <w:b/>
        </w:rPr>
        <w:t>（指标项</w:t>
      </w:r>
      <w:r>
        <w:rPr>
          <w:rFonts w:ascii="宋体" w:hAnsi="宋体" w:cs="宋体" w:eastAsia="宋体"/>
          <w:sz w:val="24"/>
          <w:b/>
        </w:rPr>
        <w:t>7）</w:t>
      </w:r>
      <w:r>
        <w:rPr>
          <w:rFonts w:ascii="宋体" w:hAnsi="宋体" w:cs="宋体" w:eastAsia="宋体"/>
          <w:sz w:val="24"/>
        </w:rPr>
        <w:t>5.3供应商应根据药品使用说明书要求，结合防控区域农业生产周期、疫情发生情况、气候条件、环境等因素，合理安排施药间隔期、科学施药，保证防控效果。供应商应做到精准施药，注意控制药剂的用量，不可盲目的投放药剂造成防控区域的二次污染。如发现违规用药或造成重大安全事故，责任由供应商承担，</w:t>
      </w:r>
      <w:r>
        <w:rPr>
          <w:rFonts w:ascii="宋体" w:hAnsi="宋体" w:cs="宋体" w:eastAsia="宋体"/>
          <w:sz w:val="24"/>
        </w:rPr>
        <w:t>采购人报相关主管部门对供应商进行处罚</w:t>
      </w:r>
      <w:r>
        <w:rPr>
          <w:rFonts w:ascii="宋体" w:hAnsi="宋体" w:cs="宋体" w:eastAsia="宋体"/>
          <w:sz w:val="24"/>
        </w:rPr>
        <w:t>。</w:t>
      </w:r>
    </w:p>
    <w:p>
      <w:pPr>
        <w:pStyle w:val="null3"/>
        <w:ind w:firstLine="482"/>
        <w:jc w:val="both"/>
      </w:pPr>
      <w:r>
        <w:rPr>
          <w:rFonts w:ascii="宋体" w:hAnsi="宋体" w:cs="宋体" w:eastAsia="宋体"/>
          <w:sz w:val="24"/>
          <w:b/>
        </w:rPr>
        <w:t>（指标项</w:t>
      </w:r>
      <w:r>
        <w:rPr>
          <w:rFonts w:ascii="宋体" w:hAnsi="宋体" w:cs="宋体" w:eastAsia="宋体"/>
          <w:sz w:val="24"/>
          <w:b/>
        </w:rPr>
        <w:t>8）</w:t>
      </w:r>
      <w:r>
        <w:rPr>
          <w:rFonts w:ascii="宋体" w:hAnsi="宋体" w:cs="宋体" w:eastAsia="宋体"/>
          <w:sz w:val="24"/>
        </w:rPr>
        <w:t>5.4供应商可根据防控情况添加药品种类，添加的药品必须满足项目招标要求。供应商经监理单位同意后向采购人提出申请，由采购人审批后方可使用。</w:t>
      </w:r>
    </w:p>
    <w:p>
      <w:pPr>
        <w:pStyle w:val="null3"/>
        <w:ind w:firstLine="482"/>
        <w:jc w:val="left"/>
      </w:pPr>
      <w:r>
        <w:rPr>
          <w:rFonts w:ascii="宋体" w:hAnsi="宋体" w:cs="宋体" w:eastAsia="宋体"/>
          <w:sz w:val="24"/>
          <w:b/>
        </w:rPr>
        <w:t>（指标项</w:t>
      </w:r>
      <w:r>
        <w:rPr>
          <w:rFonts w:ascii="宋体" w:hAnsi="宋体" w:cs="宋体" w:eastAsia="宋体"/>
          <w:sz w:val="24"/>
          <w:b/>
        </w:rPr>
        <w:t>9）</w:t>
      </w:r>
      <w:r>
        <w:rPr>
          <w:rFonts w:ascii="宋体" w:hAnsi="宋体" w:cs="宋体" w:eastAsia="宋体"/>
          <w:sz w:val="24"/>
        </w:rPr>
        <w:t>5.5如遇特殊情况或重大疫情，需要辅助使用粉剂的，供应商经监理单位同意后向采购人提出申请，由采购人审批后方可使用。粉剂药剂必须是高效低毒，对人畜、水体、土壤及周边环境无害，符合环境要求，且有效成分不含氟虫腈，防治对象为红火蚁，药剂必须取得农药登记证、生产许可证或生产批准证书、农药企业标准，能在中国农药信息网进行有效查询。未经批准违规使用粉剂，发生事故责任由中标单位承担，采购人报相关主管部门对成交人进行处罚。</w:t>
      </w:r>
    </w:p>
    <w:p>
      <w:pPr>
        <w:pStyle w:val="null3"/>
        <w:ind w:firstLine="482"/>
        <w:jc w:val="both"/>
      </w:pPr>
      <w:r>
        <w:rPr>
          <w:rFonts w:ascii="宋体" w:hAnsi="宋体" w:cs="宋体" w:eastAsia="宋体"/>
          <w:sz w:val="24"/>
          <w:b/>
        </w:rPr>
        <w:t>（指标项</w:t>
      </w:r>
      <w:r>
        <w:rPr>
          <w:rFonts w:ascii="宋体" w:hAnsi="宋体" w:cs="宋体" w:eastAsia="宋体"/>
          <w:sz w:val="24"/>
          <w:b/>
        </w:rPr>
        <w:t>10）</w:t>
      </w:r>
      <w:r>
        <w:rPr>
          <w:rFonts w:ascii="宋体" w:hAnsi="宋体" w:cs="宋体" w:eastAsia="宋体"/>
          <w:sz w:val="24"/>
        </w:rPr>
        <w:t>5.6供应商应建立农药包装废弃物回收机制，农药包装废弃物回收率不低于90%，保证防治药剂包装袋不被丢弃在防控现场，采用集中回收统一处置的方式，药剂包装袋定期交给农药包装废弃物回收站（点），建立完善的药剂包装袋回收台账，并将其纳入供应商的项目验收总结材料。</w:t>
      </w:r>
    </w:p>
    <w:p>
      <w:pPr>
        <w:pStyle w:val="null3"/>
        <w:ind w:firstLine="480"/>
        <w:jc w:val="both"/>
      </w:pPr>
      <w:r>
        <w:rPr>
          <w:rFonts w:ascii="宋体" w:hAnsi="宋体" w:cs="宋体" w:eastAsia="宋体"/>
          <w:sz w:val="24"/>
        </w:rPr>
        <w:t>6、供应商组织管理要求</w:t>
      </w:r>
    </w:p>
    <w:p>
      <w:pPr>
        <w:pStyle w:val="null3"/>
        <w:ind w:firstLine="480"/>
        <w:jc w:val="both"/>
      </w:pPr>
      <w:r>
        <w:rPr>
          <w:rFonts w:ascii="宋体" w:hAnsi="宋体" w:cs="宋体" w:eastAsia="宋体"/>
          <w:sz w:val="24"/>
        </w:rPr>
        <w:t>★6.1鉴于红火蚁在福建省范围内属于非主动公开的疫情，为严防红火蚁的发生、分布等相关资料泄漏，供应商须签订保密责任书。</w:t>
      </w:r>
    </w:p>
    <w:p>
      <w:pPr>
        <w:pStyle w:val="null3"/>
        <w:ind w:firstLine="482"/>
        <w:jc w:val="both"/>
      </w:pPr>
      <w:r>
        <w:rPr>
          <w:rFonts w:ascii="宋体" w:hAnsi="宋体" w:cs="宋体" w:eastAsia="宋体"/>
          <w:sz w:val="24"/>
          <w:b/>
        </w:rPr>
        <w:t>（指标项</w:t>
      </w:r>
      <w:r>
        <w:rPr>
          <w:rFonts w:ascii="宋体" w:hAnsi="宋体" w:cs="宋体" w:eastAsia="宋体"/>
          <w:sz w:val="24"/>
          <w:b/>
        </w:rPr>
        <w:t>11）</w:t>
      </w:r>
      <w:r>
        <w:rPr>
          <w:rFonts w:ascii="宋体" w:hAnsi="宋体" w:cs="宋体" w:eastAsia="宋体"/>
          <w:sz w:val="24"/>
        </w:rPr>
        <w:t>6.2供应商应提供本项目的防控组织实施方案，包括技术方案说明、组织实施、工作计划安排方案及进度计划，并对本方案中有不完善的地方进行补充和完善，保证防控工作的有序性与科学性。</w:t>
      </w:r>
    </w:p>
    <w:p>
      <w:pPr>
        <w:pStyle w:val="null3"/>
        <w:ind w:firstLine="482"/>
        <w:jc w:val="both"/>
      </w:pPr>
      <w:r>
        <w:rPr>
          <w:rFonts w:ascii="宋体" w:hAnsi="宋体" w:cs="宋体" w:eastAsia="宋体"/>
          <w:sz w:val="24"/>
          <w:b/>
        </w:rPr>
        <w:t>（指标项</w:t>
      </w:r>
      <w:r>
        <w:rPr>
          <w:rFonts w:ascii="宋体" w:hAnsi="宋体" w:cs="宋体" w:eastAsia="宋体"/>
          <w:sz w:val="24"/>
          <w:b/>
        </w:rPr>
        <w:t>12）</w:t>
      </w:r>
      <w:r>
        <w:rPr>
          <w:rFonts w:ascii="宋体" w:hAnsi="宋体" w:cs="宋体" w:eastAsia="宋体"/>
          <w:sz w:val="24"/>
        </w:rPr>
        <w:t>6.3供应商提供的防控工艺、标准及技术规范等必须符合国家和行业规定标准、规范要求，技术指标要求不得低于项目提供的服务内容要求。</w:t>
      </w:r>
    </w:p>
    <w:p>
      <w:pPr>
        <w:pStyle w:val="null3"/>
        <w:ind w:firstLine="482"/>
        <w:jc w:val="both"/>
      </w:pPr>
      <w:r>
        <w:rPr>
          <w:rFonts w:ascii="宋体" w:hAnsi="宋体" w:cs="宋体" w:eastAsia="宋体"/>
          <w:sz w:val="24"/>
          <w:b/>
        </w:rPr>
        <w:t>（指标项</w:t>
      </w:r>
      <w:r>
        <w:rPr>
          <w:rFonts w:ascii="宋体" w:hAnsi="宋体" w:cs="宋体" w:eastAsia="宋体"/>
          <w:sz w:val="24"/>
          <w:b/>
        </w:rPr>
        <w:t>13）</w:t>
      </w:r>
      <w:r>
        <w:rPr>
          <w:rFonts w:ascii="宋体" w:hAnsi="宋体" w:cs="宋体" w:eastAsia="宋体"/>
          <w:sz w:val="24"/>
        </w:rPr>
        <w:t>6.4供应商应提供内部管理制度情况、安全保障措施以及拟投入的药物情况。</w:t>
      </w:r>
    </w:p>
    <w:p>
      <w:pPr>
        <w:pStyle w:val="null3"/>
        <w:ind w:firstLine="482"/>
        <w:jc w:val="both"/>
      </w:pPr>
      <w:r>
        <w:rPr>
          <w:rFonts w:ascii="宋体" w:hAnsi="宋体" w:cs="宋体" w:eastAsia="宋体"/>
          <w:sz w:val="24"/>
          <w:b/>
        </w:rPr>
        <w:t>（指标项</w:t>
      </w:r>
      <w:r>
        <w:rPr>
          <w:rFonts w:ascii="宋体" w:hAnsi="宋体" w:cs="宋体" w:eastAsia="宋体"/>
          <w:sz w:val="24"/>
          <w:b/>
        </w:rPr>
        <w:t>14）</w:t>
      </w:r>
      <w:r>
        <w:rPr>
          <w:rFonts w:ascii="宋体" w:hAnsi="宋体" w:cs="宋体" w:eastAsia="宋体"/>
          <w:sz w:val="24"/>
        </w:rPr>
        <w:t>6.5供应商须在成交后两周内提供拟投入的项目管理班子、相关专业人员名单以及人员排班计划，并附人员的从业经历、职称证书、资质证书等相关证明的有效复印件。</w:t>
      </w:r>
    </w:p>
    <w:p>
      <w:pPr>
        <w:pStyle w:val="null3"/>
        <w:ind w:firstLine="482"/>
        <w:jc w:val="both"/>
      </w:pPr>
      <w:r>
        <w:rPr>
          <w:rFonts w:ascii="宋体" w:hAnsi="宋体" w:cs="宋体" w:eastAsia="宋体"/>
          <w:sz w:val="24"/>
          <w:b/>
        </w:rPr>
        <w:t>（指标项</w:t>
      </w:r>
      <w:r>
        <w:rPr>
          <w:rFonts w:ascii="宋体" w:hAnsi="宋体" w:cs="宋体" w:eastAsia="宋体"/>
          <w:sz w:val="24"/>
          <w:b/>
        </w:rPr>
        <w:t>15）</w:t>
      </w:r>
      <w:r>
        <w:rPr>
          <w:rFonts w:ascii="宋体" w:hAnsi="宋体" w:cs="宋体" w:eastAsia="宋体"/>
          <w:sz w:val="24"/>
        </w:rPr>
        <w:t>6.6供应商应协助采购人检查项目开展情况。</w:t>
      </w:r>
    </w:p>
    <w:p>
      <w:pPr>
        <w:pStyle w:val="null3"/>
        <w:jc w:val="both"/>
        <w:outlineLvl w:val="2"/>
      </w:pPr>
      <w:r>
        <w:rPr>
          <w:sz w:val="28"/>
          <w:b/>
        </w:rPr>
        <w:t>三、商务要求（以“★”标示的内容为不允许负偏离的实质性要求）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自合同签订之日起6个月内</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合同签订并验收合格。</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1、期次1，说明：详见其他商务条件“8、验收”。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1、项目验收合格后，供应商提供增值税发票，达到付款条件起30日内，支付合同总金额的100.00%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不缴纳</w:t>
            </w:r>
          </w:p>
        </w:tc>
      </w:tr>
    </w:tbl>
    <w:p>
      <w:pPr>
        <w:pStyle w:val="null3"/>
        <w:jc w:val="left"/>
      </w:pPr>
      <w:r>
        <w:rPr/>
        <w:t>其他商务要求</w:t>
      </w:r>
    </w:p>
    <w:p>
      <w:pPr>
        <w:pStyle w:val="null3"/>
        <w:ind w:firstLine="480"/>
        <w:jc w:val="left"/>
      </w:pPr>
      <w:r>
        <w:rPr>
          <w:rFonts w:ascii="宋体" w:hAnsi="宋体" w:cs="宋体" w:eastAsia="宋体"/>
          <w:sz w:val="24"/>
        </w:rPr>
        <w:t>8、验收</w:t>
      </w:r>
    </w:p>
    <w:p>
      <w:pPr>
        <w:pStyle w:val="null3"/>
        <w:ind w:firstLine="480"/>
        <w:jc w:val="both"/>
      </w:pPr>
      <w:r>
        <w:rPr>
          <w:rFonts w:ascii="宋体" w:hAnsi="宋体" w:cs="宋体" w:eastAsia="宋体"/>
          <w:sz w:val="24"/>
        </w:rPr>
        <w:t>8.1供应商完成项目防控工作后，采购人将组织验收专家组进行防效考核。考核形式包括书面资料审查和实地防效考核。书面资料包括：防控总结、调查监测数据汇总、培训资料汇总等。</w:t>
      </w:r>
    </w:p>
    <w:p>
      <w:pPr>
        <w:pStyle w:val="null3"/>
        <w:ind w:firstLine="480"/>
        <w:jc w:val="both"/>
      </w:pPr>
      <w:r>
        <w:rPr>
          <w:rFonts w:ascii="宋体" w:hAnsi="宋体" w:cs="宋体" w:eastAsia="宋体"/>
          <w:sz w:val="24"/>
        </w:rPr>
        <w:t>8.2防效评价方法</w:t>
      </w:r>
    </w:p>
    <w:p>
      <w:pPr>
        <w:pStyle w:val="null3"/>
        <w:ind w:firstLine="480"/>
        <w:jc w:val="both"/>
      </w:pPr>
      <w:r>
        <w:rPr>
          <w:rFonts w:ascii="宋体" w:hAnsi="宋体" w:cs="宋体" w:eastAsia="宋体"/>
          <w:sz w:val="24"/>
        </w:rPr>
        <w:t>通过综合防治率评价专业化防控项目的防效，计算公式如下：</w:t>
      </w:r>
    </w:p>
    <w:p>
      <w:pPr>
        <w:pStyle w:val="null3"/>
        <w:jc w:val="center"/>
      </w:pPr>
      <w:r>
        <w:rPr>
          <w:rFonts w:ascii="宋体" w:hAnsi="宋体" w:cs="宋体" w:eastAsia="宋体"/>
          <w:sz w:val="21"/>
        </w:rPr>
        <w:t xml:space="preserve"> </w:t>
      </w:r>
      <w:r>
        <w:drawing>
          <wp:inline distT="0" distR="0" distB="0" distL="0">
            <wp:extent cx="1571625" cy="3429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571625" cy="342900"/>
                    </a:xfrm>
                    <a:prstGeom prst="rect">
                      <a:avLst/>
                    </a:prstGeom>
                  </pic:spPr>
                </pic:pic>
              </a:graphicData>
            </a:graphic>
          </wp:inline>
        </w:drawing>
      </w:r>
      <w:r>
        <w:rPr>
          <w:rFonts w:ascii="宋体" w:hAnsi="宋体" w:cs="宋体" w:eastAsia="宋体"/>
          <w:sz w:val="21"/>
        </w:rPr>
        <w:t xml:space="preserve">  </w:t>
      </w:r>
      <w:r>
        <w:rPr>
          <w:rFonts w:ascii="宋体" w:hAnsi="宋体" w:cs="宋体" w:eastAsia="宋体"/>
          <w:sz w:val="21"/>
        </w:rPr>
        <w:t>式（</w:t>
      </w:r>
      <w:r>
        <w:rPr>
          <w:rFonts w:ascii="宋体" w:hAnsi="宋体" w:cs="宋体" w:eastAsia="宋体"/>
          <w:sz w:val="21"/>
        </w:rPr>
        <w:t>1）</w:t>
      </w:r>
    </w:p>
    <w:p>
      <w:pPr>
        <w:pStyle w:val="null3"/>
        <w:jc w:val="center"/>
      </w:pPr>
      <w:r>
        <w:rPr>
          <w:rFonts w:ascii="宋体" w:hAnsi="宋体" w:cs="宋体" w:eastAsia="宋体"/>
          <w:sz w:val="21"/>
        </w:rPr>
        <w:t xml:space="preserve"> </w:t>
      </w:r>
      <w:r>
        <w:drawing>
          <wp:inline distT="0" distR="0" distB="0" distL="0">
            <wp:extent cx="2057400" cy="48577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2057400" cy="485775"/>
                    </a:xfrm>
                    <a:prstGeom prst="rect">
                      <a:avLst/>
                    </a:prstGeom>
                  </pic:spPr>
                </pic:pic>
              </a:graphicData>
            </a:graphic>
          </wp:inline>
        </w:drawing>
      </w:r>
      <w:r>
        <w:rPr>
          <w:rFonts w:ascii="宋体" w:hAnsi="宋体" w:cs="宋体" w:eastAsia="宋体"/>
          <w:sz w:val="21"/>
        </w:rPr>
        <w:t xml:space="preserve">  </w:t>
      </w:r>
      <w:r>
        <w:rPr>
          <w:rFonts w:ascii="宋体" w:hAnsi="宋体" w:cs="宋体" w:eastAsia="宋体"/>
          <w:sz w:val="21"/>
        </w:rPr>
        <w:t>式（</w:t>
      </w:r>
      <w:r>
        <w:rPr>
          <w:rFonts w:ascii="宋体" w:hAnsi="宋体" w:cs="宋体" w:eastAsia="宋体"/>
          <w:sz w:val="21"/>
        </w:rPr>
        <w:t>2）</w:t>
      </w:r>
    </w:p>
    <w:p>
      <w:pPr>
        <w:pStyle w:val="null3"/>
        <w:ind w:firstLine="480"/>
        <w:jc w:val="left"/>
      </w:pPr>
      <w:r>
        <w:rPr>
          <w:rFonts w:ascii="宋体" w:hAnsi="宋体" w:cs="宋体" w:eastAsia="宋体"/>
          <w:sz w:val="24"/>
        </w:rPr>
        <w:t>式（</w:t>
      </w:r>
      <w:r>
        <w:rPr>
          <w:rFonts w:ascii="宋体" w:hAnsi="宋体" w:cs="宋体" w:eastAsia="宋体"/>
          <w:sz w:val="24"/>
        </w:rPr>
        <w:t>1）计算每个验收点的防治率，其中：</w:t>
      </w:r>
      <w:r>
        <w:rPr>
          <w:rFonts w:ascii="宋体" w:hAnsi="宋体" w:cs="宋体" w:eastAsia="宋体"/>
          <w:sz w:val="24"/>
        </w:rPr>
        <w:t>表示验收点防治率，</w:t>
      </w:r>
      <w:r>
        <w:rPr>
          <w:rFonts w:ascii="宋体" w:hAnsi="宋体" w:cs="宋体" w:eastAsia="宋体"/>
          <w:sz w:val="24"/>
        </w:rPr>
        <w:t>表示诱集发生样本数，</w:t>
      </w:r>
      <w:r>
        <w:rPr>
          <w:rFonts w:ascii="宋体" w:hAnsi="宋体" w:cs="宋体" w:eastAsia="宋体"/>
          <w:sz w:val="24"/>
        </w:rPr>
        <w:t>表示验收点诱集样本总数。</w:t>
      </w:r>
    </w:p>
    <w:p>
      <w:pPr>
        <w:pStyle w:val="null3"/>
        <w:ind w:firstLine="480"/>
        <w:jc w:val="both"/>
      </w:pPr>
      <w:r>
        <w:rPr>
          <w:rFonts w:ascii="宋体" w:hAnsi="宋体" w:cs="宋体" w:eastAsia="宋体"/>
          <w:sz w:val="24"/>
        </w:rPr>
        <w:t>式（</w:t>
      </w:r>
      <w:r>
        <w:rPr>
          <w:rFonts w:ascii="宋体" w:hAnsi="宋体" w:cs="宋体" w:eastAsia="宋体"/>
          <w:sz w:val="24"/>
        </w:rPr>
        <w:t>2）计算综合防治率，其中：</w:t>
      </w:r>
      <w:r>
        <w:rPr>
          <w:rFonts w:ascii="宋体" w:hAnsi="宋体" w:cs="宋体" w:eastAsia="宋体"/>
          <w:sz w:val="24"/>
        </w:rPr>
        <w:t>表示综合防治率，</w:t>
      </w:r>
      <w:r>
        <w:rPr>
          <w:rFonts w:ascii="宋体" w:hAnsi="宋体" w:cs="宋体" w:eastAsia="宋体"/>
          <w:sz w:val="24"/>
        </w:rPr>
        <w:t>∑表示验收点调查面积总和，</w:t>
      </w:r>
      <w:r>
        <w:rPr>
          <w:rFonts w:ascii="宋体" w:hAnsi="宋体" w:cs="宋体" w:eastAsia="宋体"/>
          <w:sz w:val="24"/>
        </w:rPr>
        <w:t>表示验收点调查面积，</w:t>
      </w:r>
      <w:r>
        <w:rPr>
          <w:rFonts w:ascii="宋体" w:hAnsi="宋体" w:cs="宋体" w:eastAsia="宋体"/>
          <w:sz w:val="24"/>
        </w:rPr>
        <w:t>K表示验收点数量，</w:t>
      </w:r>
      <w:r>
        <w:rPr>
          <w:rFonts w:ascii="宋体" w:hAnsi="宋体" w:cs="宋体" w:eastAsia="宋体"/>
          <w:sz w:val="24"/>
        </w:rPr>
        <w:t>表示验收点防治率。</w:t>
      </w:r>
    </w:p>
    <w:p>
      <w:pPr>
        <w:pStyle w:val="null3"/>
        <w:ind w:firstLine="420"/>
        <w:jc w:val="both"/>
      </w:pPr>
      <w:r>
        <w:rPr>
          <w:rFonts w:ascii="宋体" w:hAnsi="宋体" w:cs="宋体" w:eastAsia="宋体"/>
          <w:sz w:val="24"/>
        </w:rPr>
        <w:t>8.3验收点布设综合考虑乡镇生境类型，原始红火蚁发生、施药次数、防效评估等因素，随机抽取不少于</w:t>
      </w:r>
      <w:r>
        <w:rPr>
          <w:rFonts w:ascii="宋体" w:hAnsi="宋体" w:cs="宋体" w:eastAsia="宋体"/>
          <w:sz w:val="24"/>
          <w:color w:val="FF0000"/>
        </w:rPr>
        <w:t>11</w:t>
      </w:r>
      <w:r>
        <w:rPr>
          <w:rFonts w:ascii="宋体" w:hAnsi="宋体" w:cs="宋体" w:eastAsia="宋体"/>
          <w:sz w:val="24"/>
        </w:rPr>
        <w:t>个验收点。验收方法按照福建省植保植检总站印发的《关于印发</w:t>
      </w:r>
      <w:r>
        <w:rPr>
          <w:rFonts w:ascii="宋体" w:hAnsi="宋体" w:cs="宋体" w:eastAsia="宋体"/>
          <w:sz w:val="24"/>
        </w:rPr>
        <w:t>&lt;福建省红火蚁防控社会化服务效果评价规范（试行）&gt;》（闽植保函[2021]12号）规定执行。在每个验收点放置不少于60个猪肉火腿肠诱饵进行诱集，每个诱饵之间距离10米以上，若发现蚁巢直接将诱饵放置于蚁巢上，监测时间不少于30分钟，记录每个诱饵上红火蚁数量。</w:t>
      </w:r>
    </w:p>
    <w:p>
      <w:pPr>
        <w:pStyle w:val="null3"/>
        <w:ind w:firstLine="420"/>
        <w:jc w:val="both"/>
      </w:pPr>
      <w:r>
        <w:rPr>
          <w:rFonts w:ascii="宋体" w:hAnsi="宋体" w:cs="宋体" w:eastAsia="宋体"/>
          <w:sz w:val="24"/>
        </w:rPr>
        <w:t>8.4项目采用项目1次总验收的方式。即：防控结束，验收前必须防效自检达标后，供应商才能向采购人提出验收申请。采购人组织</w:t>
      </w:r>
      <w:r>
        <w:rPr>
          <w:rFonts w:ascii="calibri" w:hAnsi="calibri" w:cs="calibri" w:eastAsia="calibri"/>
          <w:sz w:val="24"/>
        </w:rPr>
        <w:t>5-7</w:t>
      </w:r>
      <w:r>
        <w:rPr>
          <w:rFonts w:ascii="宋体" w:hAnsi="宋体" w:cs="宋体" w:eastAsia="宋体"/>
          <w:sz w:val="24"/>
        </w:rPr>
        <w:t>名专家进行材料和现场验收。项目执行期间，验收所需一切费用由供应商承担。</w:t>
      </w:r>
    </w:p>
    <w:p>
      <w:pPr>
        <w:pStyle w:val="null3"/>
        <w:ind w:firstLine="420"/>
        <w:jc w:val="both"/>
      </w:pPr>
      <w:r>
        <w:rPr>
          <w:rFonts w:ascii="宋体" w:hAnsi="宋体" w:cs="宋体" w:eastAsia="宋体"/>
          <w:sz w:val="24"/>
        </w:rPr>
        <w:t>8.5在验收过程中，如发现供应商故意干扰验收、弄虚作假、伪造诱集监测结果，一经发现核实，采购人有权终止验收，并判断不合格。</w:t>
      </w:r>
    </w:p>
    <w:p>
      <w:pPr>
        <w:pStyle w:val="null3"/>
        <w:ind w:firstLine="420"/>
        <w:jc w:val="both"/>
      </w:pPr>
      <w:r>
        <w:rPr>
          <w:rFonts w:ascii="宋体" w:hAnsi="宋体" w:cs="宋体" w:eastAsia="宋体"/>
          <w:sz w:val="24"/>
        </w:rPr>
        <w:t>8.6项目第一次总验收不合格，采购人有权责令供应商进行整改和补充防治，并根据补防情况再行组织验收。如出现下列情况之一，则判定项目总验收不合格（最终结果），采购人有权</w:t>
      </w:r>
      <w:r>
        <w:rPr>
          <w:rFonts w:ascii="宋体" w:hAnsi="宋体" w:cs="宋体" w:eastAsia="宋体"/>
          <w:sz w:val="24"/>
        </w:rPr>
        <w:t>报相关主管部门对供应商进行处罚</w:t>
      </w:r>
      <w:r>
        <w:rPr>
          <w:rFonts w:ascii="宋体" w:hAnsi="宋体" w:cs="宋体" w:eastAsia="宋体"/>
          <w:sz w:val="24"/>
        </w:rPr>
        <w:t>，不支付任何费用，并向供应商追讨相应损失：</w:t>
      </w:r>
      <w:r>
        <w:rPr>
          <w:rFonts w:ascii="宋体" w:hAnsi="宋体" w:cs="宋体" w:eastAsia="宋体"/>
          <w:sz w:val="24"/>
        </w:rPr>
        <w:t>①在规定的期限内未能再次组织验收；②在规定的期限内补防仍未能达到验收要求；③再行组织验收仍未通过。</w:t>
      </w:r>
    </w:p>
    <w:p>
      <w:pPr>
        <w:pStyle w:val="null3"/>
        <w:ind w:firstLine="420"/>
        <w:jc w:val="both"/>
      </w:pPr>
      <w:r>
        <w:rPr>
          <w:rFonts w:ascii="宋体" w:hAnsi="宋体" w:cs="宋体" w:eastAsia="宋体"/>
          <w:sz w:val="24"/>
        </w:rPr>
        <w:t>9、违约责任</w:t>
      </w:r>
    </w:p>
    <w:p>
      <w:pPr>
        <w:pStyle w:val="null3"/>
        <w:ind w:firstLine="420"/>
        <w:jc w:val="both"/>
      </w:pPr>
      <w:r>
        <w:rPr>
          <w:rFonts w:ascii="宋体" w:hAnsi="宋体" w:cs="宋体" w:eastAsia="宋体"/>
          <w:sz w:val="24"/>
        </w:rPr>
        <w:t>9.1应急响应未到位，按投标文件执行</w:t>
      </w:r>
      <w:r>
        <w:rPr>
          <w:rFonts w:ascii="宋体" w:hAnsi="宋体" w:cs="宋体" w:eastAsia="宋体"/>
          <w:sz w:val="24"/>
          <w:b/>
        </w:rPr>
        <w:t>（超过一天后才到达的，按每超一天扣罚</w:t>
      </w:r>
      <w:r>
        <w:rPr>
          <w:rFonts w:ascii="宋体" w:hAnsi="宋体" w:cs="宋体" w:eastAsia="宋体"/>
          <w:sz w:val="24"/>
          <w:b/>
        </w:rPr>
        <w:t>200元进行累加扣罚）。</w:t>
      </w:r>
    </w:p>
    <w:p>
      <w:pPr>
        <w:pStyle w:val="null3"/>
        <w:ind w:firstLine="420"/>
        <w:jc w:val="both"/>
      </w:pPr>
      <w:r>
        <w:rPr>
          <w:rFonts w:ascii="宋体" w:hAnsi="宋体" w:cs="宋体" w:eastAsia="宋体"/>
          <w:sz w:val="24"/>
        </w:rPr>
        <w:t>9.2在抽检或验收过程中，有群众投诉房前屋后防治不给药的情况，每例扣罚服务费100元。</w:t>
      </w:r>
    </w:p>
    <w:p>
      <w:pPr>
        <w:pStyle w:val="null3"/>
        <w:ind w:firstLine="420"/>
        <w:jc w:val="both"/>
      </w:pPr>
      <w:r>
        <w:rPr>
          <w:rFonts w:ascii="宋体" w:hAnsi="宋体" w:cs="宋体" w:eastAsia="宋体"/>
          <w:sz w:val="24"/>
        </w:rPr>
        <w:t>9.3未执行农药包装废弃物回收机制或回收率低于70%的扣应付款总额3%，回收率未达到90%的扣应付款总额1%。</w:t>
      </w:r>
    </w:p>
    <w:p>
      <w:pPr>
        <w:pStyle w:val="null3"/>
        <w:ind w:firstLine="480"/>
        <w:jc w:val="both"/>
      </w:pPr>
      <w:r>
        <w:rPr>
          <w:rFonts w:ascii="宋体" w:hAnsi="宋体" w:cs="宋体" w:eastAsia="宋体"/>
          <w:sz w:val="24"/>
        </w:rPr>
        <w:t>9.4项目实施期间，监理单位将阶段性向采购人汇报防控进展情况。一经发现供应商所采取的防控措施或防控进度不符合首次响应文件做出的承诺或不能满足项目实施要求，采购人或监理单位将向供应商发出整改通知书，并责令限期整改。限期仍未整改到位的，采购人有权书面约谈供应商。凡被约谈一次扣罚应</w:t>
      </w:r>
      <w:r>
        <w:rPr>
          <w:rFonts w:ascii="宋体" w:hAnsi="宋体" w:cs="宋体" w:eastAsia="宋体"/>
          <w:sz w:val="21"/>
        </w:rPr>
        <w:t>付款</w:t>
      </w:r>
      <w:r>
        <w:rPr>
          <w:rFonts w:ascii="宋体" w:hAnsi="宋体" w:cs="宋体" w:eastAsia="宋体"/>
          <w:sz w:val="24"/>
        </w:rPr>
        <w:t>总额的</w:t>
      </w:r>
      <w:r>
        <w:rPr>
          <w:rFonts w:ascii="calibri" w:hAnsi="calibri" w:cs="calibri" w:eastAsia="calibri"/>
          <w:sz w:val="24"/>
        </w:rPr>
        <w:t>5%</w:t>
      </w:r>
      <w:r>
        <w:rPr>
          <w:rFonts w:ascii="宋体" w:hAnsi="宋体" w:cs="宋体" w:eastAsia="宋体"/>
          <w:sz w:val="24"/>
        </w:rPr>
        <w:t>。拒不整改或者自整改通知书下达起整改</w:t>
      </w:r>
      <w:r>
        <w:rPr>
          <w:rFonts w:ascii="calibri" w:hAnsi="calibri" w:cs="calibri" w:eastAsia="calibri"/>
          <w:sz w:val="24"/>
        </w:rPr>
        <w:t>3</w:t>
      </w:r>
      <w:r>
        <w:rPr>
          <w:rFonts w:ascii="宋体" w:hAnsi="宋体" w:cs="宋体" w:eastAsia="宋体"/>
          <w:sz w:val="24"/>
        </w:rPr>
        <w:t>轮仍未整改到位的，视为供应商违约，终止合同，</w:t>
      </w:r>
      <w:r>
        <w:rPr>
          <w:rFonts w:ascii="宋体" w:hAnsi="宋体" w:cs="宋体" w:eastAsia="宋体"/>
          <w:sz w:val="24"/>
        </w:rPr>
        <w:t>采购人有权</w:t>
      </w:r>
      <w:r>
        <w:rPr>
          <w:rFonts w:ascii="宋体" w:hAnsi="宋体" w:cs="宋体" w:eastAsia="宋体"/>
          <w:sz w:val="24"/>
        </w:rPr>
        <w:t>报相关主管部门对成交人进行处罚</w:t>
      </w:r>
      <w:r>
        <w:rPr>
          <w:rFonts w:ascii="宋体" w:hAnsi="宋体" w:cs="宋体" w:eastAsia="宋体"/>
          <w:sz w:val="24"/>
        </w:rPr>
        <w:t>。</w:t>
      </w:r>
    </w:p>
    <w:p>
      <w:pPr>
        <w:pStyle w:val="null3"/>
        <w:ind w:firstLine="480"/>
        <w:jc w:val="both"/>
      </w:pPr>
      <w:r>
        <w:rPr>
          <w:rFonts w:ascii="宋体" w:hAnsi="宋体" w:cs="宋体" w:eastAsia="宋体"/>
          <w:sz w:val="24"/>
        </w:rPr>
        <w:t>10、其他要求</w:t>
      </w:r>
    </w:p>
    <w:p>
      <w:pPr>
        <w:pStyle w:val="null3"/>
        <w:ind w:firstLine="480"/>
        <w:jc w:val="both"/>
      </w:pPr>
      <w:r>
        <w:rPr>
          <w:rFonts w:ascii="宋体" w:hAnsi="宋体" w:cs="宋体" w:eastAsia="宋体"/>
          <w:sz w:val="24"/>
        </w:rPr>
        <w:t>10</w:t>
      </w:r>
      <w:r>
        <w:rPr>
          <w:rFonts w:ascii="宋体" w:hAnsi="宋体" w:cs="宋体" w:eastAsia="宋体"/>
          <w:sz w:val="24"/>
        </w:rPr>
        <w:t>.1防治人员须严格按照本投标文件要求、相关规范的规定进行工作，供应商须对其防治人员的工作负责。由于未遵守本投标文件规定，不服从采购人管理造成项目延误或责任事故，违反相关法律法规及国家规则制度的，所产生的一切法律责任和经济损失均由供应商承担，造成采购人负面影响的，采购人有权追究供应商的违约责任。</w:t>
      </w:r>
    </w:p>
    <w:p>
      <w:pPr>
        <w:pStyle w:val="null3"/>
        <w:ind w:firstLine="480"/>
        <w:jc w:val="both"/>
      </w:pPr>
      <w:r>
        <w:rPr>
          <w:rFonts w:ascii="宋体" w:hAnsi="宋体" w:cs="宋体" w:eastAsia="宋体"/>
          <w:sz w:val="24"/>
        </w:rPr>
        <w:t>10</w:t>
      </w:r>
      <w:r>
        <w:rPr>
          <w:rFonts w:ascii="宋体" w:hAnsi="宋体" w:cs="宋体" w:eastAsia="宋体"/>
          <w:sz w:val="24"/>
        </w:rPr>
        <w:t>.2防治人员须严格遵守相关的法律法规，若在防控期内发生违法犯罪行为的，或因防治人员的行为给采购人造成负面影响，一切后果均由供应商承担，采购人均有权追究供应商的违约责任。</w:t>
      </w:r>
    </w:p>
    <w:p>
      <w:pPr>
        <w:pStyle w:val="null3"/>
        <w:ind w:firstLine="480"/>
        <w:jc w:val="both"/>
      </w:pPr>
      <w:r>
        <w:rPr>
          <w:rFonts w:ascii="宋体" w:hAnsi="宋体" w:cs="宋体" w:eastAsia="宋体"/>
          <w:sz w:val="24"/>
        </w:rPr>
        <w:t>10</w:t>
      </w:r>
      <w:r>
        <w:rPr>
          <w:rFonts w:ascii="宋体" w:hAnsi="宋体" w:cs="宋体" w:eastAsia="宋体"/>
          <w:sz w:val="24"/>
        </w:rPr>
        <w:t>.3防治人员在防治过程中要服从采购人的管理，接受采购人的监督。注意施工安全，防止发生火灾和人身意外事故。供应商必须特别注意在林区施工时的森林防火安全，严禁在林区搭建临时食宿设施，严禁携带火种进入林区；同时不得对水源保护区造成污染，遵守有关安全保护规程，如有违反规定发生安全事故由供应商负全责。</w:t>
      </w:r>
    </w:p>
    <w:p>
      <w:pPr>
        <w:pStyle w:val="null3"/>
        <w:ind w:firstLine="480"/>
        <w:jc w:val="both"/>
      </w:pPr>
      <w:r>
        <w:rPr>
          <w:rFonts w:ascii="宋体" w:hAnsi="宋体" w:cs="宋体" w:eastAsia="宋体"/>
          <w:sz w:val="24"/>
        </w:rPr>
        <w:t>10</w:t>
      </w:r>
      <w:r>
        <w:rPr>
          <w:rFonts w:ascii="宋体" w:hAnsi="宋体" w:cs="宋体" w:eastAsia="宋体"/>
          <w:sz w:val="24"/>
        </w:rPr>
        <w:t>.4供应商必须为防治施工人员购买保险，服务期间发生的一切安全责任事故及造成第三者伤害责任的，均由供应商承担相应的责任。提醒防治人员在施工过程中注意自身及周边安全，负责施工过程中所有事故的处理和费用。</w:t>
      </w:r>
    </w:p>
    <w:p>
      <w:pPr>
        <w:pStyle w:val="null3"/>
        <w:ind w:firstLine="480"/>
        <w:jc w:val="both"/>
      </w:pPr>
      <w:r>
        <w:rPr>
          <w:rFonts w:ascii="宋体" w:hAnsi="宋体" w:cs="宋体" w:eastAsia="宋体"/>
          <w:sz w:val="24"/>
        </w:rPr>
        <w:t>10</w:t>
      </w:r>
      <w:r>
        <w:rPr>
          <w:rFonts w:ascii="宋体" w:hAnsi="宋体" w:cs="宋体" w:eastAsia="宋体"/>
          <w:sz w:val="24"/>
        </w:rPr>
        <w:t>.5供应商的服务费包含人工费、药品、辅助材料费、机械、技术服务、检验检测、劳保、税金、验收费用、验收专家费、相关伴随服务合同期间所可能发生的一切费用。</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ind w:firstLine="960"/>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ind w:firstLine="960"/>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ind w:firstLine="960"/>
        <w:jc w:val="left"/>
      </w:pPr>
      <w:r>
        <w:rPr/>
        <w:t xml:space="preserve"> </w:t>
        <w:br/>
        <w:br w:type="page"/>
      </w:r>
    </w:p>
    <w:p>
      <w:pPr>
        <w:pStyle w:val="null3"/>
        <w:ind w:firstLine="960"/>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t xml:space="preserve"> </w:t>
        <w:br/>
        <w:br w:type="page"/>
      </w:r>
    </w:p>
    <w:p>
      <w:pPr>
        <w:pStyle w:val="null3"/>
        <w:ind w:firstLine="960"/>
        <w:jc w:val="center"/>
        <w:outlineLvl w:val="3"/>
      </w:pPr>
      <w:r>
        <w:rPr>
          <w:sz w:val="24"/>
          <w:b/>
        </w:rPr>
        <w:t>二-9中小企业声明函</w:t>
      </w:r>
    </w:p>
    <w:p>
      <w:pPr>
        <w:pStyle w:val="null3"/>
        <w:ind w:firstLine="960"/>
        <w:jc w:val="center"/>
        <w:outlineLvl w:val="3"/>
      </w:pPr>
      <w:r>
        <w:rPr>
          <w:sz w:val="24"/>
          <w:b/>
        </w:rPr>
        <w:t>（以资格条件落实中小企业扶持政策时适用，若有）</w:t>
      </w:r>
    </w:p>
    <w:p>
      <w:pPr>
        <w:pStyle w:val="null3"/>
        <w:ind w:firstLine="960"/>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残疾人福利性单位声明函</w:t>
      </w:r>
    </w:p>
    <w:p>
      <w:pPr>
        <w:pStyle w:val="null3"/>
        <w:ind w:firstLine="960"/>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ind w:firstLine="960"/>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t xml:space="preserve"> </w:t>
        <w:br/>
        <w:br w:type="page"/>
      </w:r>
    </w:p>
    <w:p>
      <w:pPr>
        <w:pStyle w:val="null3"/>
        <w:ind w:firstLine="960"/>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ind w:firstLine="960"/>
              <w:jc w:val="right"/>
            </w:pPr>
            <w:r>
              <w:rPr/>
              <w:t>签订地点：</w:t>
            </w:r>
            <w:r>
              <w:rPr>
                <w:u w:val="single"/>
              </w:rPr>
              <w:t>　　　　　　　　　　</w:t>
            </w:r>
          </w:p>
          <w:p>
            <w:pPr>
              <w:pStyle w:val="null3"/>
              <w:ind w:firstLine="960"/>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二-12其他资格证明文件（若有）</w:t>
      </w:r>
    </w:p>
    <w:p>
      <w:pPr>
        <w:pStyle w:val="null3"/>
        <w:ind w:firstLine="960"/>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[350627]RK[GK]2024001</w:t>
      </w:r>
    </w:p>
    <w:p>
      <w:pPr>
        <w:pStyle w:val="null3"/>
        <w:jc w:val="left"/>
      </w:pPr>
      <w:r>
        <w:rPr/>
        <w:t>项目名称：</w:t>
      </w:r>
      <w:r>
        <w:rPr/>
        <w:t>南靖县2024年度红火蚁专业化防控服务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南靖县2024年度红火蚁专业化防控服务</w:t>
            </w:r>
          </w:p>
        </w:tc>
        <w:tc>
          <w:tcPr>
            <w:tcW w:type="dxa" w:w="1661"/>
          </w:tcPr>
          <w:p>
            <w:pPr>
              <w:pStyle w:val="null3"/>
              <w:jc w:val="left"/>
            </w:pPr>
            <w:r>
              <w:rPr/>
              <w:t xml:space="preserve"> 1299600.00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[350627]RK[GK]2024001</w:t>
      </w:r>
    </w:p>
    <w:p>
      <w:pPr>
        <w:pStyle w:val="null3"/>
        <w:jc w:val="left"/>
      </w:pPr>
      <w:r>
        <w:rPr/>
        <w:t>项目名称：</w:t>
      </w:r>
      <w:r>
        <w:rPr/>
        <w:t>南靖县2024年度红火蚁专业化防控服务</w:t>
      </w:r>
    </w:p>
    <w:p>
      <w:pPr>
        <w:pStyle w:val="null3"/>
        <w:jc w:val="left"/>
      </w:pPr>
      <w:r>
        <w:rPr/>
        <w:t xml:space="preserve"> 红火蚁专业化防控服务</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红火蚁专业化防控服务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1299600.00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批</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