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竞 争 性 磋 商 文 件</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jc w:val="center"/>
        <w:outlineLvl w:val="3"/>
      </w:pPr>
      <w:r>
        <w:rPr>
          <w:sz w:val="24"/>
          <w:b/>
        </w:rPr>
        <w:t>采购计划编号：</w:t>
      </w:r>
      <w:r>
        <w:rPr>
          <w:sz w:val="24"/>
          <w:b/>
        </w:rPr>
        <w:t>441781-2024-01785</w:t>
      </w:r>
    </w:p>
    <w:p>
      <w:pPr>
        <w:pStyle w:val="null3"/>
        <w:jc w:val="center"/>
        <w:outlineLvl w:val="3"/>
      </w:pPr>
      <w:r>
        <w:rPr>
          <w:sz w:val="24"/>
          <w:b/>
        </w:rPr>
        <w:t>采购项目编号：</w:t>
      </w:r>
      <w:r>
        <w:rPr>
          <w:sz w:val="24"/>
          <w:b/>
        </w:rPr>
        <w:t>WC-ZFFW-24001</w:t>
      </w:r>
    </w:p>
    <w:p>
      <w:pPr>
        <w:pStyle w:val="null3"/>
        <w:jc w:val="center"/>
        <w:outlineLvl w:val="3"/>
      </w:pPr>
      <w:r>
        <w:rPr>
          <w:sz w:val="24"/>
          <w:b/>
        </w:rPr>
        <w:t>项目名称：</w:t>
      </w:r>
      <w:r>
        <w:rPr>
          <w:sz w:val="24"/>
          <w:b/>
        </w:rPr>
        <w:t>2024年至2025年阳春市国家卫生城市迎复审公共环境病媒生物防制项目</w:t>
      </w:r>
    </w:p>
    <w:p>
      <w:pPr>
        <w:pStyle w:val="null3"/>
        <w:jc w:val="center"/>
        <w:outlineLvl w:val="3"/>
      </w:pPr>
      <w:r>
        <w:rPr>
          <w:sz w:val="24"/>
          <w:b/>
        </w:rPr>
        <w:t>采购人：</w:t>
      </w:r>
      <w:r>
        <w:rPr>
          <w:sz w:val="24"/>
          <w:b/>
        </w:rPr>
        <w:t>阳春市卫生健康局</w:t>
      </w:r>
    </w:p>
    <w:p>
      <w:pPr>
        <w:pStyle w:val="null3"/>
        <w:jc w:val="center"/>
        <w:outlineLvl w:val="3"/>
      </w:pPr>
      <w:r>
        <w:rPr>
          <w:sz w:val="24"/>
          <w:b/>
        </w:rPr>
        <w:t>采购代理机构：</w:t>
      </w:r>
      <w:r>
        <w:rPr>
          <w:sz w:val="24"/>
          <w:b/>
        </w:rPr>
        <w:t>伟创工程咨询（广州）有限公司</w:t>
      </w:r>
    </w:p>
    <w:p>
      <w:pPr>
        <w:pStyle w:val="null3"/>
        <w:ind w:firstLine="480"/>
      </w:pPr>
      <w:r>
        <w:rPr/>
        <w:t xml:space="preserve">  </w:t>
      </w:r>
    </w:p>
    <w:p>
      <w:pPr>
        <w:pStyle w:val="null3"/>
        <w:jc w:val="center"/>
        <w:outlineLvl w:val="1"/>
      </w:pPr>
      <w:r>
        <w:rPr>
          <w:sz w:val="36"/>
          <w:b/>
        </w:rPr>
        <w:t>第一章 磋商邀请</w:t>
      </w:r>
    </w:p>
    <w:p>
      <w:pPr>
        <w:pStyle w:val="null3"/>
        <w:ind w:firstLine="480"/>
      </w:pPr>
      <w:r>
        <w:rPr/>
        <w:t>伟创工程咨询（广州）有限公司</w:t>
      </w:r>
      <w:r>
        <w:rPr/>
        <w:t>受</w:t>
      </w:r>
      <w:r>
        <w:rPr/>
        <w:t>阳春市卫生健康局</w:t>
      </w:r>
      <w:r>
        <w:rPr/>
        <w:t>的委托，采用</w:t>
      </w:r>
      <w:r>
        <w:rPr/>
        <w:t>竞争性磋商</w:t>
      </w:r>
      <w:r>
        <w:rPr/>
        <w:t>方式组织采购</w:t>
      </w:r>
      <w:r>
        <w:rPr/>
        <w:t>2024年至2025年阳春市国家卫生城市迎复审公共环境病媒生物防制项目</w:t>
      </w:r>
      <w:r>
        <w:rPr/>
        <w:t>。欢迎符合资格条件的供应商参加。</w:t>
      </w:r>
    </w:p>
    <w:p>
      <w:pPr>
        <w:pStyle w:val="null3"/>
        <w:outlineLvl w:val="2"/>
      </w:pPr>
      <w:r>
        <w:rPr>
          <w:sz w:val="28"/>
          <w:b/>
        </w:rPr>
        <w:t>一.项目概述</w:t>
      </w:r>
    </w:p>
    <w:p>
      <w:pPr>
        <w:pStyle w:val="null3"/>
        <w:outlineLvl w:val="3"/>
      </w:pPr>
      <w:r>
        <w:rPr>
          <w:sz w:val="24"/>
          <w:b/>
        </w:rPr>
        <w:t>1.名称与编号</w:t>
      </w:r>
    </w:p>
    <w:p>
      <w:pPr>
        <w:pStyle w:val="null3"/>
        <w:ind w:firstLine="480"/>
      </w:pPr>
      <w:r>
        <w:rPr/>
        <w:t>采购项目名称：</w:t>
      </w:r>
      <w:r>
        <w:rPr/>
        <w:t>2024年至2025年阳春市国家卫生城市迎复审公共环境病媒生物防制项目</w:t>
      </w:r>
    </w:p>
    <w:p>
      <w:pPr>
        <w:pStyle w:val="null3"/>
        <w:ind w:firstLine="480"/>
      </w:pPr>
      <w:r>
        <w:rPr/>
        <w:t>采购计划编号：</w:t>
      </w:r>
      <w:r>
        <w:rPr/>
        <w:t>441781-2024-01785</w:t>
      </w:r>
    </w:p>
    <w:p>
      <w:pPr>
        <w:pStyle w:val="null3"/>
        <w:ind w:firstLine="480"/>
      </w:pPr>
      <w:r>
        <w:rPr/>
        <w:t>采购项目编号：</w:t>
      </w:r>
      <w:r>
        <w:rPr/>
        <w:t>WC-ZFFW-24001</w:t>
      </w:r>
    </w:p>
    <w:p>
      <w:pPr>
        <w:pStyle w:val="null3"/>
        <w:ind w:firstLine="480"/>
      </w:pPr>
      <w:r>
        <w:rPr/>
        <w:t>采购方式：</w:t>
      </w:r>
      <w:r>
        <w:rPr/>
        <w:t>竞争性磋商</w:t>
      </w:r>
    </w:p>
    <w:p>
      <w:pPr>
        <w:pStyle w:val="null3"/>
        <w:ind w:firstLine="480"/>
      </w:pPr>
      <w:r>
        <w:rPr/>
        <w:t>预算金额：</w:t>
      </w:r>
      <w:r>
        <w:rPr/>
        <w:t>1,700,000.00</w:t>
      </w:r>
      <w:r>
        <w:rPr/>
        <w:t>元</w:t>
      </w:r>
    </w:p>
    <w:p>
      <w:pPr>
        <w:pStyle w:val="null3"/>
        <w:outlineLvl w:val="3"/>
      </w:pPr>
      <w:r>
        <w:rPr>
          <w:sz w:val="24"/>
          <w:b/>
        </w:rPr>
        <w:t>2.项目内容及需求情况（采购项目技术规格、参数及要求）</w:t>
      </w:r>
    </w:p>
    <w:p>
      <w:pPr>
        <w:pStyle w:val="null3"/>
      </w:pPr>
      <w:r>
        <w:rPr/>
        <w:t>采购包1(2024年至2025年阳春市国家卫生城市迎复审公共环境病媒生物防制项目):</w:t>
      </w:r>
    </w:p>
    <w:p>
      <w:pPr>
        <w:pStyle w:val="null3"/>
      </w:pPr>
      <w:r>
        <w:rPr/>
        <w:t>采购包预算金额：1,700,000.00元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其他服务</w:t>
            </w:r>
          </w:p>
        </w:tc>
        <w:tc>
          <w:tcPr>
            <w:tcW w:type="dxa" w:w="2052"/>
          </w:tcPr>
          <w:p>
            <w:pPr>
              <w:pStyle w:val="null3"/>
            </w:pPr>
            <w:r>
              <w:rPr/>
              <w:t>2024年至2025年阳春市国家卫生城市迎复审公共环境病媒生物防制项目</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1,700,000.00</w:t>
            </w:r>
          </w:p>
        </w:tc>
        <w:tc>
          <w:tcPr>
            <w:tcW w:type="dxa" w:w="977"/>
          </w:tcPr>
          <w:p>
            <w:pPr>
              <w:pStyle w:val="null3"/>
            </w:pPr>
            <w:r>
              <w:rPr/>
              <w:t>否</w:t>
            </w:r>
          </w:p>
        </w:tc>
      </w:tr>
    </w:tbl>
    <w:p>
      <w:pPr>
        <w:pStyle w:val="null3"/>
      </w:pPr>
      <w:r>
        <w:rPr/>
        <w:t>本采购包不接受联合体响应</w:t>
      </w:r>
    </w:p>
    <w:p>
      <w:pPr>
        <w:pStyle w:val="null3"/>
      </w:pPr>
      <w:r>
        <w:rPr/>
        <w:t>合同分包：不允许合同分包</w:t>
      </w:r>
    </w:p>
    <w:p>
      <w:pPr>
        <w:pStyle w:val="null3"/>
      </w:pPr>
      <w:r>
        <w:rPr/>
        <w:t>合同履行期限：自合同签订生效之日起为期一年</w:t>
      </w:r>
    </w:p>
    <w:p>
      <w:pPr>
        <w:pStyle w:val="null3"/>
        <w:outlineLvl w:val="2"/>
      </w:pPr>
      <w:r>
        <w:rPr>
          <w:sz w:val="28"/>
          <w:b/>
        </w:rPr>
        <w:t>二.供应商的资格要求</w:t>
      </w:r>
    </w:p>
    <w:p>
      <w:pPr>
        <w:pStyle w:val="null3"/>
        <w:outlineLvl w:val="3"/>
      </w:pPr>
      <w:r>
        <w:rPr>
          <w:sz w:val="24"/>
          <w:b/>
        </w:rPr>
        <w:t>1.供应商应具备《中华人民共和国政府采购法》第二十二条规定的条件，提供下列材料：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2）有依法缴纳税收和社会保障资金的良好记录：提供《阳江市政府采购供应商资格信用承诺函》。</w:t>
      </w:r>
    </w:p>
    <w:p>
      <w:pPr>
        <w:pStyle w:val="null3"/>
      </w:pPr>
      <w:r>
        <w:rPr/>
        <w:t>3）具有良好的商业信誉和健全的财务会计制度：提供《阳江市政府采购供应商资格信用承诺函》。</w:t>
      </w:r>
    </w:p>
    <w:p>
      <w:pPr>
        <w:pStyle w:val="null3"/>
      </w:pPr>
      <w:r>
        <w:rPr/>
        <w:t>4）履行合同所必需的设备和专业技术能力：提供《阳江市政府采购供应商资格信用承诺函》。</w:t>
      </w:r>
    </w:p>
    <w:p>
      <w:pPr>
        <w:pStyle w:val="null3"/>
      </w:pPr>
      <w:r>
        <w:rPr/>
        <w:t>5）参加采购活动前3年内，在经营活动中没有重大违法记录：提供《阳江市政府采购供应商资格信用承诺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采购包1（2024年至2025年阳春市国家卫生城市迎复审公共环境病媒生物防制项目）：</w:t>
      </w:r>
      <w:r>
        <w:rPr/>
        <w:t>本项目专门面向中小企业，采购标的对应的中小企业划分标准所属行业为其他未列明行业。参与的供应商全部由符合政策要求的中小企业承接：供应商应为符合《政府采购促进中小企业发展管理办法》（财库〔2020〕46号）规定和《中小企业划型标准规定》（工信部联企业[2011]300号）的中型、小型、微型企业。注：中小企业以供应商出具的《中小企业声明函》（见竞争性磋商文件格式）为判定标准；残疾人福利性单位以供应商出具的《残疾人福利性单位声明函》（见竞争性磋商文件格式）为判定标准；监狱企业以供应商提供由省级以上监狱管理局、戒毒管理局（含新疆生产建设兵团）出具的属于监狱企业的证明文件，否则不予认定。</w:t>
      </w:r>
    </w:p>
    <w:p>
      <w:pPr>
        <w:pStyle w:val="null3"/>
        <w:outlineLvl w:val="3"/>
      </w:pPr>
      <w:r>
        <w:rPr>
          <w:sz w:val="24"/>
          <w:b/>
        </w:rPr>
        <w:t>3.本项目特定的资格要求：</w:t>
      </w:r>
    </w:p>
    <w:p>
      <w:pPr>
        <w:pStyle w:val="null3"/>
      </w:pPr>
      <w:r>
        <w:rPr/>
        <w:t>采购包1（2024年至2025年阳春市国家卫生城市迎复审公共环境病媒生物防制项目）：</w:t>
      </w:r>
    </w:p>
    <w:p>
      <w:pPr>
        <w:pStyle w:val="null3"/>
      </w:pPr>
      <w:r>
        <w:rPr/>
        <w:t>1)供应商未被列入“信用中国”网站(https://www.creditchina.gov.cn/)“记录失信被执行人或重大税收违法案件当事人名单或政府采购严重违法失信行为”记录名单；不处于中国政府采购网(http://www.ccgp.gov.cn/)“政府采购严重违法失信行为信息记录”中的禁止参加政府采购活动期间。（以资格审查人员于投标（响应）截止时间当天在“信用中国”网站（https://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监理、检测等服务的供应商， 不得再参与本项目投标（响应）。 （详见《格式一：响应承诺函》）</w:t>
      </w:r>
    </w:p>
    <w:p>
      <w:pPr>
        <w:pStyle w:val="null3"/>
        <w:outlineLvl w:val="2"/>
      </w:pPr>
      <w:r>
        <w:rPr>
          <w:sz w:val="28"/>
          <w:b/>
        </w:rPr>
        <w:t>三.获取磋商文件</w:t>
      </w:r>
    </w:p>
    <w:p>
      <w:pPr>
        <w:pStyle w:val="null3"/>
        <w:ind w:firstLine="480"/>
      </w:pPr>
      <w:r>
        <w:rPr/>
        <w:t>时间：详见磋商公告及其变更公告（如有）</w:t>
      </w:r>
    </w:p>
    <w:p>
      <w:pPr>
        <w:pStyle w:val="null3"/>
        <w:ind w:firstLine="480"/>
      </w:pPr>
      <w:r>
        <w:rPr/>
        <w:t>地点：详见磋商公告及其变更公告（如有）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pStyle w:val="null3"/>
        <w:ind w:firstLine="480"/>
      </w:pPr>
      <w:r>
        <w:rPr/>
        <w:t>售价：免费</w:t>
      </w:r>
    </w:p>
    <w:p>
      <w:pPr>
        <w:pStyle w:val="null3"/>
        <w:outlineLvl w:val="2"/>
      </w:pPr>
      <w:r>
        <w:rPr>
          <w:sz w:val="28"/>
          <w:b/>
        </w:rPr>
        <w:t>四.提交响应文件截止时间、开启时间和地点：</w:t>
      </w:r>
    </w:p>
    <w:p>
      <w:pPr>
        <w:pStyle w:val="null3"/>
        <w:ind w:firstLine="480"/>
      </w:pPr>
      <w:r>
        <w:rPr/>
        <w:t>提交响应文件截止时间和开启时间：详见磋商公告及其变更公告（如有）（自响应文件开始发出之日起至响应供应商提交响应文件截止之日止，不得少于10个日历日）</w:t>
      </w:r>
    </w:p>
    <w:p>
      <w:pPr>
        <w:pStyle w:val="null3"/>
        <w:ind w:firstLine="480"/>
      </w:pPr>
      <w:r>
        <w:rPr/>
        <w:t>地点：详见磋商公告及其变更公告（如有）</w:t>
      </w:r>
    </w:p>
    <w:p>
      <w:pPr>
        <w:pStyle w:val="null3"/>
        <w:outlineLvl w:val="2"/>
      </w:pPr>
      <w:r>
        <w:rPr>
          <w:sz w:val="28"/>
          <w:b/>
        </w:rPr>
        <w:t>五.公告期限、发布公告的媒介：</w:t>
      </w:r>
    </w:p>
    <w:p>
      <w:pPr>
        <w:pStyle w:val="null3"/>
        <w:ind w:firstLine="480"/>
      </w:pPr>
      <w:r>
        <w:rPr/>
        <w:t>1、公告期限：自本公告发布之日起不得少于3个工作日。</w:t>
      </w:r>
    </w:p>
    <w:p>
      <w:pPr>
        <w:pStyle w:val="null3"/>
        <w:ind w:firstLine="480"/>
      </w:pPr>
      <w:r>
        <w:rPr/>
        <w:t>2、发布公告的媒介：中国政府采购网(www.ccgp.gov.cn)，广东省政府采购网(https://gdgpo.czt.gd.gov.cn/)；</w:t>
      </w:r>
      <w:r>
        <w:rPr/>
        <w:t>/</w:t>
      </w:r>
    </w:p>
    <w:p>
      <w:pPr>
        <w:pStyle w:val="null3"/>
        <w:outlineLvl w:val="2"/>
      </w:pPr>
      <w:r>
        <w:rPr>
          <w:sz w:val="28"/>
          <w:b/>
        </w:rPr>
        <w:t>六.本项目联系方式：</w:t>
      </w:r>
    </w:p>
    <w:p>
      <w:pPr>
        <w:pStyle w:val="null3"/>
        <w:outlineLvl w:val="3"/>
      </w:pPr>
      <w:r>
        <w:rPr>
          <w:sz w:val="24"/>
          <w:b/>
        </w:rPr>
        <w:t>1.采购人信息</w:t>
      </w:r>
    </w:p>
    <w:p>
      <w:pPr>
        <w:pStyle w:val="null3"/>
        <w:ind w:firstLine="480"/>
      </w:pPr>
      <w:r>
        <w:rPr/>
        <w:t>名称：</w:t>
      </w:r>
      <w:r>
        <w:rPr/>
        <w:t>阳春市卫生健康局</w:t>
      </w:r>
    </w:p>
    <w:p>
      <w:pPr>
        <w:pStyle w:val="null3"/>
        <w:ind w:firstLine="480"/>
      </w:pPr>
      <w:r>
        <w:rPr/>
        <w:t>地址：</w:t>
      </w:r>
      <w:r>
        <w:rPr/>
        <w:t>广东省阳春市春城城东大道107号</w:t>
      </w:r>
    </w:p>
    <w:p>
      <w:pPr>
        <w:pStyle w:val="null3"/>
        <w:ind w:firstLine="480"/>
      </w:pPr>
      <w:r>
        <w:rPr/>
        <w:t>联系方式：</w:t>
      </w:r>
      <w:r>
        <w:rPr/>
        <w:t>0662-7736543</w:t>
      </w:r>
    </w:p>
    <w:p>
      <w:pPr>
        <w:pStyle w:val="null3"/>
        <w:outlineLvl w:val="3"/>
      </w:pPr>
      <w:r>
        <w:rPr>
          <w:sz w:val="24"/>
          <w:b/>
        </w:rPr>
        <w:t>2.采购代理机构信息</w:t>
      </w:r>
    </w:p>
    <w:p>
      <w:pPr>
        <w:pStyle w:val="null3"/>
        <w:ind w:firstLine="480"/>
      </w:pPr>
      <w:r>
        <w:rPr/>
        <w:t>名称：</w:t>
      </w:r>
      <w:r>
        <w:rPr/>
        <w:t>伟创工程咨询（广州）有限公司</w:t>
      </w:r>
    </w:p>
    <w:p>
      <w:pPr>
        <w:pStyle w:val="null3"/>
        <w:ind w:firstLine="480"/>
      </w:pPr>
      <w:r>
        <w:rPr/>
        <w:t xml:space="preserve"> 地址：</w:t>
      </w:r>
      <w:r>
        <w:rPr/>
        <w:t>广东省阳春市春城街道广场路东三巷3号</w:t>
      </w:r>
    </w:p>
    <w:p>
      <w:pPr>
        <w:pStyle w:val="null3"/>
        <w:ind w:firstLine="480"/>
      </w:pPr>
      <w:r>
        <w:rPr/>
        <w:t xml:space="preserve"> 联系方式：</w:t>
      </w:r>
      <w:r>
        <w:rPr/>
        <w:t>15767681088</w:t>
      </w:r>
    </w:p>
    <w:p>
      <w:pPr>
        <w:pStyle w:val="null3"/>
        <w:outlineLvl w:val="3"/>
      </w:pPr>
      <w:r>
        <w:rPr>
          <w:sz w:val="24"/>
          <w:b/>
        </w:rPr>
        <w:t xml:space="preserve"> 3.项目联系方式</w:t>
      </w:r>
    </w:p>
    <w:p>
      <w:pPr>
        <w:pStyle w:val="null3"/>
        <w:ind w:firstLine="480"/>
      </w:pPr>
      <w:r>
        <w:rPr/>
        <w:t xml:space="preserve"> 项目联系人：</w:t>
      </w:r>
      <w:r>
        <w:rPr/>
        <w:t>魏工</w:t>
      </w:r>
    </w:p>
    <w:p>
      <w:pPr>
        <w:pStyle w:val="null3"/>
        <w:ind w:firstLine="480"/>
      </w:pPr>
      <w:r>
        <w:rPr/>
        <w:t xml:space="preserve"> 电话：</w:t>
      </w:r>
      <w:r>
        <w:rPr/>
        <w:t>15767681088</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伟创工程咨询（广州）有限公司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t>为了改善城市人居环境，预防病媒传染病发生，消除病媒生物的危害，保障人民群众身体健康，根据现阶段巩固国家卫生城市的实际工作情况，在阳春市区范围内公共场所开展以灭鼠、灭蚊、灭蝇、灭蟑螂为重点的病媒生物防制服务。</w:t>
      </w:r>
    </w:p>
    <w:p>
      <w:pPr>
        <w:pStyle w:val="null3"/>
      </w:pPr>
      <w:r>
        <w:rPr/>
        <w:t>采购包1（2024年至2025年阳春市国家卫生城市迎复审公共环境病媒生物防制项目）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自合同签订生效之日起为期一年</w:t>
            </w:r>
          </w:p>
        </w:tc>
      </w:tr>
      <w:tr>
        <w:tc>
          <w:tcPr>
            <w:tcW w:type="dxa" w:w="4153"/>
          </w:tcPr>
          <w:p>
            <w:pPr>
              <w:pStyle w:val="null3"/>
            </w:pPr>
            <w:r>
              <w:rPr/>
              <w:t>标的提供的地点</w:t>
            </w:r>
          </w:p>
        </w:tc>
        <w:tc>
          <w:tcPr>
            <w:tcW w:type="dxa" w:w="4153"/>
          </w:tcPr>
          <w:p>
            <w:pPr>
              <w:pStyle w:val="null3"/>
            </w:pPr>
            <w:r>
              <w:rPr/>
              <w:t>阳春市区公共外环境巩卫红线区域范围（详见技术要求附表所示巩卫区域）。</w:t>
            </w:r>
          </w:p>
        </w:tc>
      </w:tr>
      <w:tr>
        <w:tc>
          <w:tcPr>
            <w:tcW w:type="dxa" w:w="4153"/>
          </w:tcPr>
          <w:p>
            <w:pPr>
              <w:pStyle w:val="null3"/>
            </w:pPr>
            <w:r>
              <w:rPr/>
              <w:t>付款方式</w:t>
            </w:r>
          </w:p>
        </w:tc>
        <w:tc>
          <w:tcPr>
            <w:tcW w:type="dxa" w:w="4153"/>
          </w:tcPr>
          <w:p>
            <w:pPr>
              <w:pStyle w:val="null3"/>
            </w:pPr>
            <w:r>
              <w:rPr/>
              <w:t>1期：支付比例30%,项目启动资金，合同签订后5个工作日内支付</w:t>
            </w:r>
          </w:p>
          <w:p>
            <w:pPr>
              <w:pStyle w:val="null3"/>
            </w:pPr>
            <w:r>
              <w:rPr/>
              <w:t>2期：支付比例30%,经专家组验收评审合格，采购人将于2024年12月支付合同服务金额的30%</w:t>
            </w:r>
          </w:p>
          <w:p>
            <w:pPr>
              <w:pStyle w:val="null3"/>
            </w:pPr>
            <w:r>
              <w:rPr/>
              <w:t>3期：支付比例40%,剩余合同服务金额的40%待合同期满验收合格后15个日历天内一次性付清给成交供应商</w:t>
            </w:r>
          </w:p>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合同签订后半年内，由阳春市卫生健康局组织专家组对合同范围内病媒生物防制效果进行评审，如防制效果未能达到国家C级或C级以上标准，采购人向成交供应商发出书面限期整改通知书，整改后仍然未能达到国家C级或C级以上标准，采购人有权终止合同，一切损失由成交供应商负责。 期满验收，由阳春市卫生健康局组织专家组对合同范围内病媒生物防制效果进行评审，如防制效果未能达到国家C级或C级以上标准，成交供应商需整改至达到国家C级或C级以上标准为止。</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合同签订要求</w:t>
            </w:r>
          </w:p>
        </w:tc>
        <w:tc>
          <w:tcPr>
            <w:tcW w:type="dxa" w:w="2076"/>
          </w:tcPr>
          <w:p>
            <w:pPr>
              <w:pStyle w:val="null3"/>
              <w:jc w:val="left"/>
            </w:pPr>
            <w:r>
              <w:rPr/>
              <w:t>采购合同由成交供应商与采购人双方签订，签订时间为成交供应商收到《中标通知书》通知后5个工作日内。</w:t>
            </w:r>
          </w:p>
        </w:tc>
      </w:tr>
      <w:tr>
        <w:tc>
          <w:tcPr>
            <w:tcW w:type="dxa" w:w="2076"/>
          </w:tcPr>
          <w:p/>
        </w:tc>
        <w:tc>
          <w:tcPr>
            <w:tcW w:type="dxa" w:w="2076"/>
          </w:tcPr>
          <w:p>
            <w:pPr>
              <w:pStyle w:val="null3"/>
              <w:jc w:val="center"/>
            </w:pPr>
            <w:r>
              <w:rPr/>
              <w:t>2</w:t>
            </w:r>
          </w:p>
        </w:tc>
        <w:tc>
          <w:tcPr>
            <w:tcW w:type="dxa" w:w="2076"/>
          </w:tcPr>
          <w:p>
            <w:pPr>
              <w:pStyle w:val="null3"/>
              <w:jc w:val="left"/>
            </w:pPr>
            <w:r>
              <w:rPr/>
              <w:t>项目的监督和管理</w:t>
            </w:r>
          </w:p>
        </w:tc>
        <w:tc>
          <w:tcPr>
            <w:tcW w:type="dxa" w:w="2076"/>
          </w:tcPr>
          <w:p>
            <w:pPr>
              <w:pStyle w:val="null3"/>
              <w:jc w:val="left"/>
            </w:pPr>
            <w:r>
              <w:rPr/>
              <w:t>（1）成立阳春市区公共外环境病媒生物防制项目工作领导小组，负责日常工作，项目完成后自行撤销。 （2）领导小组负责病媒生物防制技术指导，监督项目工作落实，以及项目的施工管理，严把病媒生物防制品质关，并按施工要求，严格监督落实。（3）采用低毒高效灭鼠毒饵，严格控制消杀药物浓度，使用有效的三证（农药登记证、农药生产许可证、企业标准）药物，保证消杀效果。施工期间，严格按照病媒生物防制操作规程施工，确保人身安全。</w:t>
            </w:r>
          </w:p>
        </w:tc>
      </w:tr>
      <w:tr>
        <w:tc>
          <w:tcPr>
            <w:tcW w:type="dxa" w:w="2076"/>
          </w:tcPr>
          <w:p/>
        </w:tc>
        <w:tc>
          <w:tcPr>
            <w:tcW w:type="dxa" w:w="2076"/>
          </w:tcPr>
          <w:p>
            <w:pPr>
              <w:pStyle w:val="null3"/>
              <w:jc w:val="center"/>
            </w:pPr>
            <w:r>
              <w:rPr/>
              <w:t>3</w:t>
            </w:r>
          </w:p>
        </w:tc>
        <w:tc>
          <w:tcPr>
            <w:tcW w:type="dxa" w:w="2076"/>
          </w:tcPr>
          <w:p>
            <w:pPr>
              <w:pStyle w:val="null3"/>
              <w:jc w:val="left"/>
            </w:pPr>
            <w:r>
              <w:rPr/>
              <w:t>验收结算、付款方法和条件</w:t>
            </w:r>
          </w:p>
        </w:tc>
        <w:tc>
          <w:tcPr>
            <w:tcW w:type="dxa" w:w="2076"/>
          </w:tcPr>
          <w:p>
            <w:pPr>
              <w:pStyle w:val="null3"/>
              <w:jc w:val="left"/>
            </w:pPr>
            <w:r>
              <w:rPr/>
              <w:t>（1）合同签订后5个工作日内，支付合同金额的30%作为项目启动资金。（2）合同签订后半年，由阳春市卫生健康局组织专家组对合同范围内病媒生物防制效果进行评审，如防制效果未能达到国家C级或C级以上标准，采购人向成交供应商发出书面限期整改通知书，整改后仍然未能达到国家C级或C级以上标准，采购人有权力即终止合同，一切损失由成交供应商负责。（3）经专家组评审合格，采购人将于2024年12月支付合同服务金额的30%，剩余合同服务金额的40%，待合同期满验收合格后15个日历天内一次性付清给成交供应商。（4）专家组评审费用由采购人支付。（5）若发生评审验收不及格，复检的评估费用由成交供应商承担。</w:t>
            </w:r>
          </w:p>
        </w:tc>
      </w:tr>
      <w:tr>
        <w:tc>
          <w:tcPr>
            <w:tcW w:type="dxa" w:w="2076"/>
          </w:tcPr>
          <w:p/>
        </w:tc>
        <w:tc>
          <w:tcPr>
            <w:tcW w:type="dxa" w:w="2076"/>
          </w:tcPr>
          <w:p>
            <w:pPr>
              <w:pStyle w:val="null3"/>
              <w:jc w:val="center"/>
            </w:pPr>
            <w:r>
              <w:rPr/>
              <w:t>4</w:t>
            </w:r>
          </w:p>
        </w:tc>
        <w:tc>
          <w:tcPr>
            <w:tcW w:type="dxa" w:w="2076"/>
          </w:tcPr>
          <w:p>
            <w:pPr>
              <w:pStyle w:val="null3"/>
              <w:jc w:val="left"/>
            </w:pPr>
            <w:r>
              <w:rPr/>
              <w:t>踏勘现场</w:t>
            </w:r>
          </w:p>
        </w:tc>
        <w:tc>
          <w:tcPr>
            <w:tcW w:type="dxa" w:w="2076"/>
          </w:tcPr>
          <w:p>
            <w:pPr>
              <w:pStyle w:val="null3"/>
              <w:jc w:val="left"/>
            </w:pPr>
            <w:r>
              <w:rPr/>
              <w:t>（1）本项项目实施服务地点多且地形复杂，供应商自行选择踏勘现场。 （2）供应商踏勘现场所发生的费用自理，并自行负责在踏勘现场时发生的人员伤亡、人身伤害、财产损失、损害以及任何其他的损失和损害。</w:t>
            </w:r>
          </w:p>
        </w:tc>
      </w:tr>
      <w:tr>
        <w:tc>
          <w:tcPr>
            <w:tcW w:type="dxa" w:w="2076"/>
          </w:tcPr>
          <w:p/>
        </w:tc>
        <w:tc>
          <w:tcPr>
            <w:tcW w:type="dxa" w:w="2076"/>
          </w:tcPr>
          <w:p>
            <w:pPr>
              <w:pStyle w:val="null3"/>
              <w:jc w:val="center"/>
            </w:pPr>
            <w:r>
              <w:rPr/>
              <w:t>5</w:t>
            </w:r>
          </w:p>
        </w:tc>
        <w:tc>
          <w:tcPr>
            <w:tcW w:type="dxa" w:w="2076"/>
          </w:tcPr>
          <w:p>
            <w:pPr>
              <w:pStyle w:val="null3"/>
              <w:jc w:val="left"/>
            </w:pPr>
            <w:r>
              <w:rPr/>
              <w:t>服务项目督查</w:t>
            </w:r>
          </w:p>
        </w:tc>
        <w:tc>
          <w:tcPr>
            <w:tcW w:type="dxa" w:w="2076"/>
          </w:tcPr>
          <w:p>
            <w:pPr>
              <w:pStyle w:val="null3"/>
              <w:jc w:val="left"/>
            </w:pPr>
            <w:r>
              <w:rPr/>
              <w:t>采购人和疾控中心加强指导督查，发现问题及时通报处理，中标单位发现影响效果的问题须及时向采购人报告。</w:t>
            </w:r>
          </w:p>
        </w:tc>
      </w:tr>
      <w:tr>
        <w:tc>
          <w:tcPr>
            <w:tcW w:type="dxa" w:w="2076"/>
          </w:tcPr>
          <w:p/>
        </w:tc>
        <w:tc>
          <w:tcPr>
            <w:tcW w:type="dxa" w:w="2076"/>
          </w:tcPr>
          <w:p>
            <w:pPr>
              <w:pStyle w:val="null3"/>
              <w:jc w:val="center"/>
            </w:pPr>
            <w:r>
              <w:rPr/>
              <w:t>6</w:t>
            </w:r>
          </w:p>
        </w:tc>
        <w:tc>
          <w:tcPr>
            <w:tcW w:type="dxa" w:w="2076"/>
          </w:tcPr>
          <w:p>
            <w:pPr>
              <w:pStyle w:val="null3"/>
              <w:jc w:val="left"/>
            </w:pPr>
            <w:r>
              <w:rPr/>
              <w:t>其他要求</w:t>
            </w:r>
          </w:p>
        </w:tc>
        <w:tc>
          <w:tcPr>
            <w:tcW w:type="dxa" w:w="2076"/>
          </w:tcPr>
          <w:p>
            <w:pPr>
              <w:pStyle w:val="null3"/>
              <w:jc w:val="left"/>
            </w:pPr>
            <w:r>
              <w:rPr/>
              <w:t>（1）本项目服务质量不符合要求或服务质量不合格者，采购人有权要求中标单位停工和返工，返工费用由供应商自行承担。（2）中标单位在服务期间，须严格遵守当地政府职能部门的各项规章制度，做好防火、安全生产等工作。（3）中标单位要向采购方提供项目人员有效的证明文件，包括身份证、驾驶证、资格证书等。（4）配套设施维护所使用的水电费用等，由中标单位承担。（5）非自然灾害不可抗力因素造成设施更换的，一切费用均由中标单位负责。（6）中标单位必须具备设施维护等所需要的设备，并承担使用设备的所有费用。（7）采购人不提供施工临时食宿设施，中标单位自行考虑住宿、水电、交通运输所需费用。（8）采购人有权在签订合同时对项目方案作适当调整或修改。（9）在施工过程中，因受客观因素影响，无法按规定施工的，由采购人与中标单位协商解决。（10）供应商必须承诺在中标后在阳春市设立服务机构，提供承诺函。（11）中标单位须做好施工宣传告知事项，施工过程造成的人员损害由中标单位负责。</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其他服务</w:t>
            </w:r>
          </w:p>
        </w:tc>
        <w:tc>
          <w:tcPr>
            <w:tcW w:type="dxa" w:w="933"/>
          </w:tcPr>
          <w:p>
            <w:pPr>
              <w:pStyle w:val="null3"/>
              <w:jc w:val="left"/>
            </w:pPr>
            <w:r>
              <w:rPr/>
              <w:t>2024年至2025年阳春市国家卫生城市迎复审公共环境病媒生物防制项目</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1,700,000.00</w:t>
            </w:r>
          </w:p>
        </w:tc>
        <w:tc>
          <w:tcPr>
            <w:tcW w:type="dxa" w:w="933"/>
          </w:tcPr>
          <w:p>
            <w:pPr>
              <w:pStyle w:val="null3"/>
              <w:jc w:val="right"/>
            </w:pPr>
            <w:r>
              <w:rPr/>
              <w:t>1,700,000.00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2024年至2025年阳春市国家卫生城市迎复审公共环境病媒生物防制项目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b/>
              </w:rPr>
              <w:t>一、采购项目主要工作及要求</w:t>
            </w:r>
          </w:p>
          <w:p>
            <w:pPr>
              <w:pStyle w:val="null3"/>
              <w:ind w:firstLine="420"/>
              <w:jc w:val="both"/>
            </w:pPr>
            <w:r>
              <w:rPr>
                <w:sz w:val="21"/>
                <w:color w:val="000000"/>
              </w:rPr>
              <w:t>1.阳春市区巩卫区域范围的病媒生物防制；</w:t>
            </w:r>
          </w:p>
          <w:p>
            <w:pPr>
              <w:pStyle w:val="null3"/>
              <w:ind w:firstLine="420"/>
              <w:jc w:val="both"/>
            </w:pPr>
            <w:r>
              <w:rPr>
                <w:sz w:val="21"/>
                <w:color w:val="000000"/>
              </w:rPr>
              <w:t>2.在巩卫区域内收集四害（老鼠、蟑螂等）尸体工作，并将尸体做无害化处理；</w:t>
            </w:r>
          </w:p>
          <w:p>
            <w:pPr>
              <w:pStyle w:val="null3"/>
              <w:ind w:firstLine="420"/>
              <w:jc w:val="both"/>
            </w:pPr>
            <w:r>
              <w:rPr>
                <w:sz w:val="21"/>
                <w:color w:val="000000"/>
              </w:rPr>
              <w:t>3.</w:t>
            </w:r>
            <w:r>
              <w:rPr>
                <w:sz w:val="21"/>
                <w:color w:val="000000"/>
              </w:rPr>
              <w:t>在巩卫区域消除鼠粪、鼠洞、鼠咬痕等痕迹工作；</w:t>
            </w:r>
          </w:p>
          <w:p>
            <w:pPr>
              <w:pStyle w:val="null3"/>
              <w:ind w:firstLine="420"/>
              <w:jc w:val="both"/>
            </w:pPr>
            <w:r>
              <w:rPr>
                <w:sz w:val="21"/>
                <w:color w:val="000000"/>
                <w:shd w:fill="FFFFFF" w:val="clear"/>
              </w:rPr>
              <w:t>4</w:t>
            </w:r>
            <w:r>
              <w:rPr>
                <w:sz w:val="21"/>
                <w:color w:val="000000"/>
                <w:shd w:fill="FFFFFF" w:val="clear"/>
              </w:rPr>
              <w:t>.在巩卫区域的</w:t>
            </w:r>
            <w:r>
              <w:rPr>
                <w:sz w:val="21"/>
              </w:rPr>
              <w:t>病媒生物</w:t>
            </w:r>
            <w:r>
              <w:rPr>
                <w:sz w:val="21"/>
              </w:rPr>
              <w:t>防制</w:t>
            </w:r>
            <w:r>
              <w:rPr>
                <w:sz w:val="21"/>
              </w:rPr>
              <w:t>设施（</w:t>
            </w:r>
            <w:r>
              <w:rPr>
                <w:sz w:val="21"/>
              </w:rPr>
              <w:t>防蚊闸</w:t>
            </w:r>
            <w:r>
              <w:rPr>
                <w:sz w:val="21"/>
              </w:rPr>
              <w:t>除外</w:t>
            </w:r>
            <w:r>
              <w:rPr>
                <w:sz w:val="21"/>
              </w:rPr>
              <w:t>）进行查漏补缺，</w:t>
            </w:r>
            <w:r>
              <w:rPr>
                <w:sz w:val="21"/>
                <w:color w:val="000000"/>
                <w:shd w:fill="FFFFFF" w:val="clear"/>
              </w:rPr>
              <w:t>缺多少补装多少；</w:t>
            </w:r>
          </w:p>
          <w:p>
            <w:pPr>
              <w:pStyle w:val="null3"/>
              <w:ind w:firstLine="420"/>
              <w:jc w:val="both"/>
            </w:pPr>
            <w:r>
              <w:rPr>
                <w:sz w:val="21"/>
                <w:color w:val="000000"/>
              </w:rPr>
              <w:t>5</w:t>
            </w:r>
            <w:r>
              <w:rPr>
                <w:sz w:val="21"/>
                <w:color w:val="000000"/>
              </w:rPr>
              <w:t>.</w:t>
            </w:r>
            <w:r>
              <w:rPr>
                <w:sz w:val="21"/>
                <w:color w:val="000000"/>
              </w:rPr>
              <w:t>确保</w:t>
            </w:r>
            <w:r>
              <w:rPr>
                <w:sz w:val="21"/>
                <w:color w:val="000000"/>
              </w:rPr>
              <w:t>巩卫区域内</w:t>
            </w:r>
            <w:r>
              <w:rPr>
                <w:sz w:val="21"/>
                <w:color w:val="000000"/>
              </w:rPr>
              <w:t>四害密度达到国家卫生城市验收标准。</w:t>
            </w:r>
          </w:p>
          <w:p>
            <w:pPr>
              <w:pStyle w:val="null3"/>
              <w:jc w:val="both"/>
            </w:pPr>
            <w:r>
              <w:rPr>
                <w:sz w:val="21"/>
                <w:b/>
              </w:rPr>
              <w:t>二、采购项目相关条件配置要求和用药标准要求</w:t>
            </w:r>
          </w:p>
          <w:p>
            <w:pPr>
              <w:pStyle w:val="null3"/>
              <w:ind w:firstLine="420"/>
              <w:jc w:val="both"/>
            </w:pPr>
            <w:r>
              <w:rPr>
                <w:sz w:val="21"/>
              </w:rPr>
              <w:t>1.中标单位</w:t>
            </w:r>
            <w:r>
              <w:rPr>
                <w:sz w:val="21"/>
                <w:color w:val="000000"/>
              </w:rPr>
              <w:t>应在进场</w:t>
            </w:r>
            <w:r>
              <w:rPr>
                <w:sz w:val="21"/>
                <w:color w:val="000000"/>
              </w:rPr>
              <w:t>10天内在采购人所在地设置固定办公室，并设置固定联系电话，建立24小时值班制度，应付项目实施过程中突发事件的发生。</w:t>
            </w:r>
          </w:p>
          <w:p>
            <w:pPr>
              <w:pStyle w:val="null3"/>
              <w:ind w:firstLine="420"/>
              <w:jc w:val="both"/>
            </w:pPr>
            <w:r>
              <w:rPr>
                <w:sz w:val="21"/>
                <w:color w:val="000000"/>
              </w:rPr>
              <w:t>2.人员要求：中标后15天内必须组建一支可完成项目任务的队伍，要求人员配置</w:t>
            </w:r>
            <w:r>
              <w:rPr>
                <w:sz w:val="21"/>
                <w:color w:val="000000"/>
              </w:rPr>
              <w:t>12</w:t>
            </w:r>
            <w:r>
              <w:rPr>
                <w:sz w:val="21"/>
                <w:color w:val="000000"/>
              </w:rPr>
              <w:t>人以上，</w:t>
            </w:r>
            <w:r>
              <w:rPr>
                <w:sz w:val="21"/>
                <w:color w:val="000000"/>
              </w:rPr>
              <w:t>所有人员均需具备有害生物防制员国家职业技能（资格）</w:t>
            </w:r>
            <w:r>
              <w:rPr>
                <w:sz w:val="21"/>
                <w:color w:val="000000"/>
              </w:rPr>
              <w:t>证书</w:t>
            </w:r>
            <w:r>
              <w:rPr>
                <w:sz w:val="21"/>
                <w:color w:val="000000"/>
              </w:rPr>
              <w:t>，</w:t>
            </w:r>
            <w:r>
              <w:rPr>
                <w:sz w:val="21"/>
                <w:color w:val="000000"/>
              </w:rPr>
              <w:t>具备消毒员国家职业技能（资格）</w:t>
            </w:r>
            <w:r>
              <w:rPr>
                <w:sz w:val="21"/>
                <w:color w:val="000000"/>
              </w:rPr>
              <w:t>证书</w:t>
            </w:r>
            <w:r>
              <w:rPr>
                <w:sz w:val="21"/>
                <w:color w:val="000000"/>
              </w:rPr>
              <w:t>人员不少于</w:t>
            </w:r>
            <w:r>
              <w:rPr>
                <w:sz w:val="21"/>
                <w:color w:val="000000"/>
              </w:rPr>
              <w:t>3人</w:t>
            </w:r>
            <w:r>
              <w:rPr>
                <w:sz w:val="21"/>
                <w:color w:val="000000"/>
              </w:rPr>
              <w:t>。</w:t>
            </w:r>
          </w:p>
          <w:p>
            <w:pPr>
              <w:pStyle w:val="null3"/>
              <w:ind w:firstLine="420"/>
              <w:jc w:val="both"/>
            </w:pPr>
            <w:r>
              <w:rPr>
                <w:sz w:val="21"/>
                <w:color w:val="000000"/>
              </w:rPr>
              <w:t>3.设备要求：中标单位应具有或不限于下述要求设备：应急车辆、热烟雾机、背负式超低容量喷雾</w:t>
            </w:r>
            <w:r>
              <w:rPr>
                <w:sz w:val="21"/>
                <w:color w:val="000000"/>
              </w:rPr>
              <w:t>机、常量喷雾机等</w:t>
            </w:r>
            <w:r>
              <w:rPr>
                <w:sz w:val="21"/>
                <w:color w:val="000000"/>
              </w:rPr>
              <w:t>专业设备。</w:t>
            </w:r>
          </w:p>
          <w:p>
            <w:pPr>
              <w:pStyle w:val="null3"/>
              <w:ind w:firstLine="420"/>
              <w:jc w:val="both"/>
            </w:pPr>
            <w:r>
              <w:rPr>
                <w:sz w:val="21"/>
                <w:color w:val="000000"/>
              </w:rPr>
              <w:t>4.用药标准：中标单位必须注重科学合理用药，不得使用假药、国家禁用的药物，并须确保</w:t>
            </w:r>
            <w:r>
              <w:rPr>
                <w:sz w:val="21"/>
              </w:rPr>
              <w:t>药物来源和质量正当可靠。</w:t>
            </w:r>
          </w:p>
          <w:p>
            <w:pPr>
              <w:pStyle w:val="null3"/>
              <w:jc w:val="both"/>
            </w:pPr>
            <w:r>
              <w:rPr>
                <w:sz w:val="21"/>
                <w:b/>
              </w:rPr>
              <w:t>附表：为保证用药质量，确保巩卫工作顺利进行，使用药物</w:t>
            </w:r>
            <w:r>
              <w:rPr>
                <w:sz w:val="21"/>
                <w:b/>
              </w:rPr>
              <w:t>推荐</w:t>
            </w:r>
            <w:r>
              <w:rPr>
                <w:sz w:val="21"/>
                <w:b/>
              </w:rPr>
              <w:t>按照以下标准和要求执行。</w:t>
            </w:r>
          </w:p>
          <w:tbl>
            <w:tblPr>
              <w:tblBorders>
                <w:top w:val="none" w:color="000000" w:sz="4"/>
                <w:left w:val="none" w:color="000000" w:sz="4"/>
                <w:bottom w:val="none" w:color="000000" w:sz="4"/>
                <w:right w:val="none" w:color="000000" w:sz="4"/>
                <w:insideH w:val="none"/>
                <w:insideV w:val="none"/>
              </w:tblBorders>
            </w:tblPr>
            <w:tblGrid>
              <w:gridCol w:w="476"/>
              <w:gridCol w:w="965"/>
              <w:gridCol w:w="3152"/>
              <w:gridCol w:w="965"/>
            </w:tblGrid>
            <w:tr>
              <w:tc>
                <w:tcPr>
                  <w:tcW w:type="dxa" w:w="476"/>
                  <w:tcBorders>
                    <w:top w:val="single" w:color="000000" w:sz="4"/>
                    <w:left w:val="single" w:color="000000" w:sz="4"/>
                    <w:bottom w:val="single" w:color="000000" w:sz="4"/>
                    <w:right w:val="single" w:color="000000" w:sz="4"/>
                  </w:tcBorders>
                  <w:shd w:fill="FFFFFF"/>
                  <w:tcMar>
                    <w:top w:type="dxa" w:w="30"/>
                    <w:left w:type="dxa" w:w="60"/>
                    <w:bottom w:type="dxa" w:w="30"/>
                    <w:right w:type="dxa" w:w="60"/>
                  </w:tcMar>
                  <w:vAlign w:val="top"/>
                </w:tcPr>
                <w:p>
                  <w:pPr>
                    <w:pStyle w:val="null3"/>
                    <w:jc w:val="center"/>
                  </w:pPr>
                  <w:r>
                    <w:rPr>
                      <w:sz w:val="21"/>
                      <w:b/>
                    </w:rPr>
                    <w:t>序号</w:t>
                  </w:r>
                </w:p>
              </w:tc>
              <w:tc>
                <w:tcPr>
                  <w:tcW w:type="dxa" w:w="965"/>
                  <w:tcBorders>
                    <w:top w:val="single" w:color="000000" w:sz="4"/>
                    <w:left w:val="none" w:color="000000" w:sz="4"/>
                    <w:bottom w:val="single" w:color="000000" w:sz="4"/>
                    <w:right w:val="single" w:color="000000" w:sz="4"/>
                  </w:tcBorders>
                  <w:shd w:fill="FFFFFF"/>
                  <w:tcMar>
                    <w:top w:type="dxa" w:w="30"/>
                    <w:left w:type="dxa" w:w="60"/>
                    <w:bottom w:type="dxa" w:w="30"/>
                    <w:right w:type="dxa" w:w="60"/>
                  </w:tcMar>
                  <w:vAlign w:val="top"/>
                </w:tcPr>
                <w:p>
                  <w:pPr>
                    <w:pStyle w:val="null3"/>
                    <w:jc w:val="center"/>
                  </w:pPr>
                  <w:r>
                    <w:rPr>
                      <w:sz w:val="21"/>
                      <w:b/>
                    </w:rPr>
                    <w:t>药品名称</w:t>
                  </w:r>
                </w:p>
              </w:tc>
              <w:tc>
                <w:tcPr>
                  <w:tcW w:type="dxa" w:w="3152"/>
                  <w:tcBorders>
                    <w:top w:val="single" w:color="000000" w:sz="4"/>
                    <w:left w:val="none" w:color="000000" w:sz="4"/>
                    <w:bottom w:val="single" w:color="000000" w:sz="4"/>
                    <w:right w:val="single" w:color="000000" w:sz="4"/>
                  </w:tcBorders>
                  <w:shd w:fill="FFFFFF"/>
                  <w:tcMar>
                    <w:top w:type="dxa" w:w="30"/>
                    <w:left w:type="dxa" w:w="60"/>
                    <w:bottom w:type="dxa" w:w="30"/>
                    <w:right w:type="dxa" w:w="60"/>
                  </w:tcMar>
                  <w:vAlign w:val="top"/>
                </w:tcPr>
                <w:p>
                  <w:pPr>
                    <w:pStyle w:val="null3"/>
                    <w:jc w:val="center"/>
                  </w:pPr>
                  <w:r>
                    <w:rPr>
                      <w:sz w:val="21"/>
                      <w:b/>
                    </w:rPr>
                    <w:t>有效成分及含量、剂型</w:t>
                  </w:r>
                </w:p>
              </w:tc>
              <w:tc>
                <w:tcPr>
                  <w:tcW w:type="dxa" w:w="965"/>
                  <w:tcBorders>
                    <w:top w:val="single" w:color="000000" w:sz="4"/>
                    <w:left w:val="none" w:color="000000" w:sz="4"/>
                    <w:bottom w:val="single" w:color="000000" w:sz="4"/>
                    <w:right w:val="single" w:color="000000" w:sz="4"/>
                  </w:tcBorders>
                  <w:shd w:fill="FFFFFF"/>
                  <w:tcMar>
                    <w:top w:type="dxa" w:w="30"/>
                    <w:left w:type="dxa" w:w="60"/>
                    <w:bottom w:type="dxa" w:w="30"/>
                    <w:right w:type="dxa" w:w="60"/>
                  </w:tcMar>
                  <w:vAlign w:val="top"/>
                </w:tcPr>
                <w:p>
                  <w:pPr>
                    <w:pStyle w:val="null3"/>
                    <w:jc w:val="center"/>
                  </w:pPr>
                  <w:r>
                    <w:rPr>
                      <w:sz w:val="21"/>
                      <w:b/>
                    </w:rPr>
                    <w:t>说明</w:t>
                  </w:r>
                </w:p>
              </w:tc>
            </w:tr>
            <w:tr>
              <w:tc>
                <w:tcPr>
                  <w:tcW w:type="dxa" w:w="476"/>
                  <w:tcBorders>
                    <w:top w:val="none" w:color="000000" w:sz="4"/>
                    <w:left w:val="single" w:color="000000" w:sz="4"/>
                    <w:bottom w:val="single" w:color="000000" w:sz="4"/>
                    <w:right w:val="single" w:color="000000" w:sz="4"/>
                  </w:tcBorders>
                  <w:shd w:fill="FFFFFF"/>
                  <w:tcMar>
                    <w:top w:type="dxa" w:w="30"/>
                    <w:left w:type="dxa" w:w="60"/>
                    <w:bottom w:type="dxa" w:w="30"/>
                    <w:right w:type="dxa" w:w="60"/>
                  </w:tcMar>
                  <w:vAlign w:val="top"/>
                </w:tcPr>
                <w:p>
                  <w:pPr>
                    <w:pStyle w:val="null3"/>
                    <w:jc w:val="center"/>
                  </w:pPr>
                  <w:r>
                    <w:rPr>
                      <w:sz w:val="21"/>
                    </w:rPr>
                    <w:t>1</w:t>
                  </w:r>
                </w:p>
              </w:tc>
              <w:tc>
                <w:tcPr>
                  <w:tcW w:type="dxa" w:w="965"/>
                  <w:tcBorders>
                    <w:top w:val="none" w:color="000000" w:sz="4"/>
                    <w:left w:val="none" w:color="000000" w:sz="4"/>
                    <w:bottom w:val="single" w:color="000000" w:sz="4"/>
                    <w:right w:val="single" w:color="000000" w:sz="4"/>
                  </w:tcBorders>
                  <w:shd w:fill="FFFFFF"/>
                  <w:tcMar>
                    <w:top w:type="dxa" w:w="30"/>
                    <w:left w:type="dxa" w:w="60"/>
                    <w:bottom w:type="dxa" w:w="30"/>
                    <w:right w:type="dxa" w:w="60"/>
                  </w:tcMar>
                  <w:vAlign w:val="top"/>
                </w:tcPr>
                <w:p>
                  <w:pPr>
                    <w:pStyle w:val="null3"/>
                    <w:jc w:val="center"/>
                  </w:pPr>
                  <w:r>
                    <w:rPr>
                      <w:sz w:val="21"/>
                    </w:rPr>
                    <w:t>溴鼠灵</w:t>
                  </w:r>
                </w:p>
              </w:tc>
              <w:tc>
                <w:tcPr>
                  <w:tcW w:type="dxa" w:w="3152"/>
                  <w:tcBorders>
                    <w:top w:val="none" w:color="000000" w:sz="4"/>
                    <w:left w:val="none" w:color="000000" w:sz="4"/>
                    <w:bottom w:val="single" w:color="000000" w:sz="4"/>
                    <w:right w:val="single" w:color="000000" w:sz="4"/>
                  </w:tcBorders>
                  <w:shd w:fill="FFFFFF"/>
                  <w:tcMar>
                    <w:top w:type="dxa" w:w="30"/>
                    <w:left w:type="dxa" w:w="60"/>
                    <w:bottom w:type="dxa" w:w="30"/>
                    <w:right w:type="dxa" w:w="60"/>
                  </w:tcMar>
                  <w:vAlign w:val="top"/>
                </w:tcPr>
                <w:p>
                  <w:pPr>
                    <w:pStyle w:val="null3"/>
                    <w:jc w:val="both"/>
                  </w:pPr>
                  <w:r>
                    <w:rPr>
                      <w:sz w:val="21"/>
                      <w:b/>
                    </w:rPr>
                    <w:t>有效成分及含量：</w:t>
                  </w:r>
                  <w:r>
                    <w:rPr>
                      <w:sz w:val="21"/>
                    </w:rPr>
                    <w:t>溴鼠灵</w:t>
                  </w:r>
                  <w:r>
                    <w:rPr>
                      <w:sz w:val="21"/>
                    </w:rPr>
                    <w:t>≥0.005%，</w:t>
                  </w:r>
                </w:p>
                <w:p>
                  <w:pPr>
                    <w:pStyle w:val="null3"/>
                    <w:jc w:val="both"/>
                  </w:pPr>
                  <w:r>
                    <w:rPr>
                      <w:sz w:val="21"/>
                      <w:b/>
                    </w:rPr>
                    <w:t>剂型</w:t>
                  </w:r>
                  <w:r>
                    <w:rPr>
                      <w:sz w:val="21"/>
                    </w:rPr>
                    <w:t>：毒饵或饵剂</w:t>
                  </w:r>
                </w:p>
                <w:p>
                  <w:pPr>
                    <w:pStyle w:val="null3"/>
                    <w:jc w:val="both"/>
                  </w:pPr>
                  <w:r>
                    <w:rPr>
                      <w:sz w:val="21"/>
                    </w:rPr>
                    <w:t>备注：新鲜稻谷。</w:t>
                  </w:r>
                </w:p>
              </w:tc>
              <w:tc>
                <w:tcPr>
                  <w:tcW w:type="dxa" w:w="965"/>
                  <w:tcBorders>
                    <w:top w:val="none" w:color="000000" w:sz="4"/>
                    <w:left w:val="none" w:color="000000" w:sz="4"/>
                    <w:bottom w:val="single" w:color="000000" w:sz="4"/>
                    <w:right w:val="single" w:color="000000" w:sz="4"/>
                  </w:tcBorders>
                  <w:shd w:fill="FFFFFF"/>
                  <w:tcMar>
                    <w:top w:type="dxa" w:w="30"/>
                    <w:left w:type="dxa" w:w="60"/>
                    <w:bottom w:type="dxa" w:w="30"/>
                    <w:right w:type="dxa" w:w="60"/>
                  </w:tcMar>
                  <w:vAlign w:val="top"/>
                </w:tcPr>
                <w:p>
                  <w:pPr>
                    <w:pStyle w:val="null3"/>
                    <w:jc w:val="center"/>
                  </w:pPr>
                  <w:r>
                    <w:rPr>
                      <w:sz w:val="21"/>
                    </w:rPr>
                    <w:t>化学灭鼠。</w:t>
                  </w:r>
                </w:p>
              </w:tc>
            </w:tr>
            <w:tr>
              <w:tc>
                <w:tcPr>
                  <w:tcW w:type="dxa" w:w="476"/>
                  <w:tcBorders>
                    <w:top w:val="none" w:color="000000" w:sz="4"/>
                    <w:left w:val="single" w:color="000000" w:sz="4"/>
                    <w:bottom w:val="single" w:color="000000" w:sz="4"/>
                    <w:right w:val="single" w:color="000000" w:sz="4"/>
                  </w:tcBorders>
                  <w:shd w:fill="FFFFFF"/>
                  <w:tcMar>
                    <w:top w:type="dxa" w:w="30"/>
                    <w:left w:type="dxa" w:w="60"/>
                    <w:bottom w:type="dxa" w:w="30"/>
                    <w:right w:type="dxa" w:w="60"/>
                  </w:tcMar>
                  <w:vAlign w:val="top"/>
                </w:tcPr>
                <w:p>
                  <w:pPr>
                    <w:pStyle w:val="null3"/>
                    <w:jc w:val="center"/>
                  </w:pPr>
                  <w:r>
                    <w:rPr>
                      <w:sz w:val="21"/>
                    </w:rPr>
                    <w:t>2</w:t>
                  </w:r>
                </w:p>
              </w:tc>
              <w:tc>
                <w:tcPr>
                  <w:tcW w:type="dxa" w:w="965"/>
                  <w:tcBorders>
                    <w:top w:val="none" w:color="000000" w:sz="4"/>
                    <w:left w:val="none" w:color="000000" w:sz="4"/>
                    <w:bottom w:val="single" w:color="000000" w:sz="4"/>
                    <w:right w:val="single" w:color="000000" w:sz="4"/>
                  </w:tcBorders>
                  <w:shd w:fill="FFFFFF"/>
                  <w:tcMar>
                    <w:top w:type="dxa" w:w="30"/>
                    <w:left w:type="dxa" w:w="60"/>
                    <w:bottom w:type="dxa" w:w="30"/>
                    <w:right w:type="dxa" w:w="60"/>
                  </w:tcMar>
                  <w:vAlign w:val="top"/>
                </w:tcPr>
                <w:p>
                  <w:pPr>
                    <w:pStyle w:val="null3"/>
                    <w:jc w:val="center"/>
                  </w:pPr>
                  <w:r>
                    <w:rPr>
                      <w:sz w:val="21"/>
                    </w:rPr>
                    <w:t>溴</w:t>
                  </w:r>
                  <w:r>
                    <w:rPr>
                      <w:sz w:val="21"/>
                    </w:rPr>
                    <w:t>敌隆</w:t>
                  </w:r>
                </w:p>
              </w:tc>
              <w:tc>
                <w:tcPr>
                  <w:tcW w:type="dxa" w:w="3152"/>
                  <w:tcBorders>
                    <w:top w:val="none" w:color="000000" w:sz="4"/>
                    <w:left w:val="none" w:color="000000" w:sz="4"/>
                    <w:bottom w:val="single" w:color="000000" w:sz="4"/>
                    <w:right w:val="single" w:color="000000" w:sz="4"/>
                  </w:tcBorders>
                  <w:shd w:fill="FFFFFF"/>
                  <w:tcMar>
                    <w:top w:type="dxa" w:w="30"/>
                    <w:left w:type="dxa" w:w="60"/>
                    <w:bottom w:type="dxa" w:w="30"/>
                    <w:right w:type="dxa" w:w="60"/>
                  </w:tcMar>
                  <w:vAlign w:val="top"/>
                </w:tcPr>
                <w:p>
                  <w:pPr>
                    <w:pStyle w:val="null3"/>
                    <w:jc w:val="both"/>
                  </w:pPr>
                  <w:r>
                    <w:rPr>
                      <w:sz w:val="21"/>
                      <w:b/>
                    </w:rPr>
                    <w:t>有效成分及含量：</w:t>
                  </w:r>
                  <w:r>
                    <w:rPr>
                      <w:sz w:val="21"/>
                    </w:rPr>
                    <w:t>溴</w:t>
                  </w:r>
                  <w:r>
                    <w:rPr>
                      <w:sz w:val="21"/>
                    </w:rPr>
                    <w:t>敌隆</w:t>
                  </w:r>
                  <w:r>
                    <w:rPr>
                      <w:sz w:val="21"/>
                    </w:rPr>
                    <w:t>≥0.005%，</w:t>
                  </w:r>
                </w:p>
                <w:p>
                  <w:pPr>
                    <w:pStyle w:val="null3"/>
                    <w:jc w:val="both"/>
                  </w:pPr>
                  <w:r>
                    <w:rPr>
                      <w:sz w:val="21"/>
                      <w:b/>
                    </w:rPr>
                    <w:t>剂型</w:t>
                  </w:r>
                  <w:r>
                    <w:rPr>
                      <w:sz w:val="21"/>
                    </w:rPr>
                    <w:t>：毒饵或饵剂</w:t>
                  </w:r>
                </w:p>
                <w:p>
                  <w:pPr>
                    <w:pStyle w:val="null3"/>
                    <w:jc w:val="both"/>
                  </w:pPr>
                  <w:r>
                    <w:rPr>
                      <w:sz w:val="21"/>
                    </w:rPr>
                    <w:t>备注：新鲜稻谷。</w:t>
                  </w:r>
                </w:p>
              </w:tc>
              <w:tc>
                <w:tcPr>
                  <w:tcW w:type="dxa" w:w="965"/>
                  <w:tcBorders>
                    <w:top w:val="none" w:color="000000" w:sz="4"/>
                    <w:left w:val="none" w:color="000000" w:sz="4"/>
                    <w:bottom w:val="single" w:color="000000" w:sz="4"/>
                    <w:right w:val="single" w:color="000000" w:sz="4"/>
                  </w:tcBorders>
                  <w:shd w:fill="FFFFFF"/>
                  <w:tcMar>
                    <w:top w:type="dxa" w:w="30"/>
                    <w:left w:type="dxa" w:w="60"/>
                    <w:bottom w:type="dxa" w:w="30"/>
                    <w:right w:type="dxa" w:w="60"/>
                  </w:tcMar>
                  <w:vAlign w:val="top"/>
                </w:tcPr>
                <w:p>
                  <w:pPr>
                    <w:pStyle w:val="null3"/>
                    <w:jc w:val="center"/>
                  </w:pPr>
                  <w:r>
                    <w:rPr>
                      <w:sz w:val="21"/>
                    </w:rPr>
                    <w:t>化学灭鼠。</w:t>
                  </w:r>
                </w:p>
              </w:tc>
            </w:tr>
            <w:tr>
              <w:tc>
                <w:tcPr>
                  <w:tcW w:type="dxa" w:w="476"/>
                  <w:tcBorders>
                    <w:top w:val="none" w:color="000000" w:sz="4"/>
                    <w:left w:val="single" w:color="000000" w:sz="4"/>
                    <w:bottom w:val="single" w:color="000000" w:sz="4"/>
                    <w:right w:val="single" w:color="000000" w:sz="4"/>
                  </w:tcBorders>
                  <w:shd w:fill="FFFFFF"/>
                  <w:tcMar>
                    <w:top w:type="dxa" w:w="30"/>
                    <w:left w:type="dxa" w:w="60"/>
                    <w:bottom w:type="dxa" w:w="30"/>
                    <w:right w:type="dxa" w:w="60"/>
                  </w:tcMar>
                  <w:vAlign w:val="top"/>
                </w:tcPr>
                <w:p>
                  <w:pPr>
                    <w:pStyle w:val="null3"/>
                    <w:jc w:val="center"/>
                  </w:pPr>
                  <w:r>
                    <w:rPr>
                      <w:sz w:val="21"/>
                    </w:rPr>
                    <w:t>3</w:t>
                  </w:r>
                </w:p>
              </w:tc>
              <w:tc>
                <w:tcPr>
                  <w:tcW w:type="dxa" w:w="965"/>
                  <w:tcBorders>
                    <w:top w:val="none" w:color="000000" w:sz="4"/>
                    <w:left w:val="none" w:color="000000" w:sz="4"/>
                    <w:bottom w:val="single" w:color="000000" w:sz="4"/>
                    <w:right w:val="single" w:color="000000" w:sz="4"/>
                  </w:tcBorders>
                  <w:shd w:fill="FFFFFF"/>
                  <w:tcMar>
                    <w:top w:type="dxa" w:w="30"/>
                    <w:left w:type="dxa" w:w="60"/>
                    <w:bottom w:type="dxa" w:w="30"/>
                    <w:right w:type="dxa" w:w="60"/>
                  </w:tcMar>
                  <w:vAlign w:val="top"/>
                </w:tcPr>
                <w:p>
                  <w:pPr>
                    <w:pStyle w:val="null3"/>
                    <w:jc w:val="center"/>
                  </w:pPr>
                  <w:r>
                    <w:rPr>
                      <w:sz w:val="21"/>
                    </w:rPr>
                    <w:t>烯丙</w:t>
                  </w:r>
                  <w:r>
                    <w:rPr>
                      <w:sz w:val="21"/>
                    </w:rPr>
                    <w:t>•氯菊</w:t>
                  </w:r>
                </w:p>
              </w:tc>
              <w:tc>
                <w:tcPr>
                  <w:tcW w:type="dxa" w:w="3152"/>
                  <w:tcBorders>
                    <w:top w:val="none" w:color="000000" w:sz="4"/>
                    <w:left w:val="none" w:color="000000" w:sz="4"/>
                    <w:bottom w:val="single" w:color="000000" w:sz="4"/>
                    <w:right w:val="single" w:color="000000" w:sz="4"/>
                  </w:tcBorders>
                  <w:shd w:fill="FFFFFF"/>
                  <w:tcMar>
                    <w:top w:type="dxa" w:w="30"/>
                    <w:left w:type="dxa" w:w="60"/>
                    <w:bottom w:type="dxa" w:w="30"/>
                    <w:right w:type="dxa" w:w="60"/>
                  </w:tcMar>
                  <w:vAlign w:val="top"/>
                </w:tcPr>
                <w:p>
                  <w:pPr>
                    <w:pStyle w:val="null3"/>
                    <w:jc w:val="both"/>
                  </w:pPr>
                  <w:r>
                    <w:rPr>
                      <w:sz w:val="21"/>
                      <w:b/>
                    </w:rPr>
                    <w:t>有效成分及含量：</w:t>
                  </w:r>
                  <w:r>
                    <w:rPr>
                      <w:sz w:val="21"/>
                    </w:rPr>
                    <w:t>氯菊酯与烯丙菊酯混配，总含量</w:t>
                  </w:r>
                  <w:r>
                    <w:rPr>
                      <w:sz w:val="21"/>
                    </w:rPr>
                    <w:t>≥10%</w:t>
                  </w:r>
                </w:p>
                <w:p>
                  <w:pPr>
                    <w:pStyle w:val="null3"/>
                    <w:jc w:val="both"/>
                  </w:pPr>
                  <w:r>
                    <w:rPr>
                      <w:sz w:val="21"/>
                      <w:b/>
                    </w:rPr>
                    <w:t>剂型：</w:t>
                  </w:r>
                  <w:r>
                    <w:rPr>
                      <w:sz w:val="21"/>
                    </w:rPr>
                    <w:t>乳</w:t>
                  </w:r>
                  <w:r>
                    <w:rPr>
                      <w:sz w:val="21"/>
                    </w:rPr>
                    <w:t>油</w:t>
                  </w:r>
                  <w:r>
                    <w:rPr>
                      <w:sz w:val="21"/>
                    </w:rPr>
                    <w:t>剂</w:t>
                  </w:r>
                </w:p>
              </w:tc>
              <w:tc>
                <w:tcPr>
                  <w:tcW w:type="dxa" w:w="965"/>
                  <w:tcBorders>
                    <w:top w:val="none" w:color="000000" w:sz="4"/>
                    <w:left w:val="none" w:color="000000" w:sz="4"/>
                    <w:bottom w:val="single" w:color="000000" w:sz="4"/>
                    <w:right w:val="single" w:color="000000" w:sz="4"/>
                  </w:tcBorders>
                  <w:shd w:fill="FFFFFF"/>
                  <w:tcMar>
                    <w:top w:type="dxa" w:w="30"/>
                    <w:left w:type="dxa" w:w="60"/>
                    <w:bottom w:type="dxa" w:w="30"/>
                    <w:right w:type="dxa" w:w="60"/>
                  </w:tcMar>
                  <w:vAlign w:val="top"/>
                </w:tcPr>
                <w:p>
                  <w:pPr>
                    <w:pStyle w:val="null3"/>
                    <w:jc w:val="center"/>
                  </w:pPr>
                  <w:r>
                    <w:rPr>
                      <w:sz w:val="21"/>
                    </w:rPr>
                    <w:t>空间喷雾灭蚊、蝇。</w:t>
                  </w:r>
                </w:p>
              </w:tc>
            </w:tr>
            <w:tr>
              <w:tc>
                <w:tcPr>
                  <w:tcW w:type="dxa" w:w="476"/>
                  <w:tcBorders>
                    <w:top w:val="none" w:color="000000" w:sz="4"/>
                    <w:left w:val="single" w:color="000000" w:sz="4"/>
                    <w:bottom w:val="single" w:color="000000" w:sz="4"/>
                    <w:right w:val="single" w:color="000000" w:sz="4"/>
                  </w:tcBorders>
                  <w:shd w:fill="FFFFFF"/>
                  <w:tcMar>
                    <w:top w:type="dxa" w:w="30"/>
                    <w:left w:type="dxa" w:w="60"/>
                    <w:bottom w:type="dxa" w:w="30"/>
                    <w:right w:type="dxa" w:w="60"/>
                  </w:tcMar>
                  <w:vAlign w:val="top"/>
                </w:tcPr>
                <w:p>
                  <w:pPr>
                    <w:pStyle w:val="null3"/>
                    <w:jc w:val="center"/>
                  </w:pPr>
                  <w:r>
                    <w:rPr>
                      <w:sz w:val="21"/>
                    </w:rPr>
                    <w:t>3</w:t>
                  </w:r>
                </w:p>
              </w:tc>
              <w:tc>
                <w:tcPr>
                  <w:tcW w:type="dxa" w:w="965"/>
                  <w:tcBorders>
                    <w:top w:val="none" w:color="000000" w:sz="4"/>
                    <w:left w:val="none" w:color="000000" w:sz="4"/>
                    <w:bottom w:val="single" w:color="000000" w:sz="4"/>
                    <w:right w:val="single" w:color="000000" w:sz="4"/>
                  </w:tcBorders>
                  <w:shd w:fill="FFFFFF"/>
                  <w:tcMar>
                    <w:top w:type="dxa" w:w="30"/>
                    <w:left w:type="dxa" w:w="60"/>
                    <w:bottom w:type="dxa" w:w="30"/>
                    <w:right w:type="dxa" w:w="60"/>
                  </w:tcMar>
                  <w:vAlign w:val="top"/>
                </w:tcPr>
                <w:p>
                  <w:pPr>
                    <w:pStyle w:val="null3"/>
                    <w:jc w:val="center"/>
                  </w:pPr>
                  <w:r>
                    <w:rPr>
                      <w:sz w:val="21"/>
                    </w:rPr>
                    <w:t>残杀威</w:t>
                  </w:r>
                </w:p>
              </w:tc>
              <w:tc>
                <w:tcPr>
                  <w:tcW w:type="dxa" w:w="3152"/>
                  <w:tcBorders>
                    <w:top w:val="none" w:color="000000" w:sz="4"/>
                    <w:left w:val="none" w:color="000000" w:sz="4"/>
                    <w:bottom w:val="single" w:color="000000" w:sz="4"/>
                    <w:right w:val="single" w:color="000000" w:sz="4"/>
                  </w:tcBorders>
                  <w:shd w:fill="FFFFFF"/>
                  <w:tcMar>
                    <w:top w:type="dxa" w:w="30"/>
                    <w:left w:type="dxa" w:w="60"/>
                    <w:bottom w:type="dxa" w:w="30"/>
                    <w:right w:type="dxa" w:w="60"/>
                  </w:tcMar>
                  <w:vAlign w:val="top"/>
                </w:tcPr>
                <w:p>
                  <w:pPr>
                    <w:pStyle w:val="null3"/>
                    <w:jc w:val="both"/>
                  </w:pPr>
                  <w:r>
                    <w:rPr>
                      <w:sz w:val="21"/>
                      <w:b/>
                    </w:rPr>
                    <w:t>有效成分及含量：</w:t>
                  </w:r>
                  <w:r>
                    <w:rPr>
                      <w:sz w:val="21"/>
                    </w:rPr>
                    <w:t>残杀威与氯氟醚菊酯或四氟苯菊酯混配，总含量</w:t>
                  </w:r>
                  <w:r>
                    <w:rPr>
                      <w:sz w:val="21"/>
                    </w:rPr>
                    <w:t>≥</w:t>
                  </w:r>
                  <w:r>
                    <w:rPr>
                      <w:sz w:val="21"/>
                    </w:rPr>
                    <w:t>10</w:t>
                  </w:r>
                  <w:r>
                    <w:rPr>
                      <w:sz w:val="21"/>
                    </w:rPr>
                    <w:t>%</w:t>
                  </w:r>
                </w:p>
                <w:p>
                  <w:pPr>
                    <w:pStyle w:val="null3"/>
                    <w:jc w:val="both"/>
                  </w:pPr>
                  <w:r>
                    <w:rPr>
                      <w:sz w:val="21"/>
                      <w:b/>
                    </w:rPr>
                    <w:t>剂型：</w:t>
                  </w:r>
                  <w:r>
                    <w:rPr>
                      <w:sz w:val="21"/>
                    </w:rPr>
                    <w:t>乳油或微乳剂</w:t>
                  </w:r>
                </w:p>
              </w:tc>
              <w:tc>
                <w:tcPr>
                  <w:tcW w:type="dxa" w:w="965"/>
                  <w:vMerge w:val="restart"/>
                  <w:tcBorders>
                    <w:top w:val="none" w:color="000000" w:sz="4"/>
                    <w:left w:val="none" w:color="000000" w:sz="4"/>
                    <w:bottom w:val="none" w:color="000000" w:sz="4"/>
                    <w:right w:val="single" w:color="000000" w:sz="4"/>
                  </w:tcBorders>
                  <w:shd w:fill="FFFFFF"/>
                  <w:tcMar>
                    <w:top w:type="dxa" w:w="30"/>
                    <w:left w:type="dxa" w:w="60"/>
                    <w:bottom w:type="dxa" w:w="30"/>
                    <w:right w:type="dxa" w:w="60"/>
                  </w:tcMar>
                  <w:vAlign w:val="top"/>
                </w:tcPr>
                <w:p>
                  <w:pPr>
                    <w:pStyle w:val="null3"/>
                    <w:jc w:val="center"/>
                  </w:pPr>
                  <w:r>
                    <w:rPr>
                      <w:sz w:val="21"/>
                    </w:rPr>
                    <w:t>室内外灭成蚊、成蝇、蟑螂轮换使用。</w:t>
                  </w:r>
                </w:p>
              </w:tc>
            </w:tr>
            <w:tr>
              <w:tc>
                <w:tcPr>
                  <w:tcW w:type="dxa" w:w="476"/>
                  <w:tcBorders>
                    <w:top w:val="none" w:color="000000" w:sz="4"/>
                    <w:left w:val="single" w:color="000000" w:sz="4"/>
                    <w:bottom w:val="single" w:color="000000" w:sz="4"/>
                    <w:right w:val="single" w:color="000000" w:sz="4"/>
                  </w:tcBorders>
                  <w:shd w:fill="FFFFFF"/>
                  <w:tcMar>
                    <w:top w:type="dxa" w:w="30"/>
                    <w:left w:type="dxa" w:w="60"/>
                    <w:bottom w:type="dxa" w:w="30"/>
                    <w:right w:type="dxa" w:w="60"/>
                  </w:tcMar>
                  <w:vAlign w:val="top"/>
                </w:tcPr>
                <w:p>
                  <w:pPr>
                    <w:pStyle w:val="null3"/>
                    <w:jc w:val="center"/>
                  </w:pPr>
                  <w:r>
                    <w:rPr>
                      <w:sz w:val="21"/>
                    </w:rPr>
                    <w:t>4</w:t>
                  </w:r>
                </w:p>
              </w:tc>
              <w:tc>
                <w:tcPr>
                  <w:tcW w:type="dxa" w:w="965"/>
                  <w:tcBorders>
                    <w:top w:val="none" w:color="000000" w:sz="4"/>
                    <w:left w:val="none" w:color="000000" w:sz="4"/>
                    <w:bottom w:val="single" w:color="000000" w:sz="4"/>
                    <w:right w:val="single" w:color="000000" w:sz="4"/>
                  </w:tcBorders>
                  <w:shd w:fill="FFFFFF"/>
                  <w:tcMar>
                    <w:top w:type="dxa" w:w="30"/>
                    <w:left w:type="dxa" w:w="60"/>
                    <w:bottom w:type="dxa" w:w="30"/>
                    <w:right w:type="dxa" w:w="60"/>
                  </w:tcMar>
                  <w:vAlign w:val="top"/>
                </w:tcPr>
                <w:p>
                  <w:pPr>
                    <w:pStyle w:val="null3"/>
                    <w:jc w:val="center"/>
                  </w:pPr>
                  <w:r>
                    <w:rPr>
                      <w:sz w:val="21"/>
                    </w:rPr>
                    <w:t>苯氰</w:t>
                  </w:r>
                  <w:r>
                    <w:rPr>
                      <w:sz w:val="21"/>
                    </w:rPr>
                    <w:t>.</w:t>
                  </w:r>
                  <w:r>
                    <w:rPr>
                      <w:sz w:val="21"/>
                    </w:rPr>
                    <w:t>残杀威</w:t>
                  </w:r>
                </w:p>
              </w:tc>
              <w:tc>
                <w:tcPr>
                  <w:tcW w:type="dxa" w:w="3152"/>
                  <w:tcBorders>
                    <w:top w:val="none" w:color="000000" w:sz="4"/>
                    <w:left w:val="none" w:color="000000" w:sz="4"/>
                    <w:bottom w:val="single" w:color="000000" w:sz="4"/>
                    <w:right w:val="single" w:color="000000" w:sz="4"/>
                  </w:tcBorders>
                  <w:shd w:fill="FFFFFF"/>
                  <w:tcMar>
                    <w:top w:type="dxa" w:w="30"/>
                    <w:left w:type="dxa" w:w="60"/>
                    <w:bottom w:type="dxa" w:w="30"/>
                    <w:right w:type="dxa" w:w="60"/>
                  </w:tcMar>
                  <w:vAlign w:val="top"/>
                </w:tcPr>
                <w:p>
                  <w:pPr>
                    <w:pStyle w:val="null3"/>
                    <w:jc w:val="both"/>
                  </w:pPr>
                  <w:r>
                    <w:rPr>
                      <w:sz w:val="21"/>
                      <w:b/>
                    </w:rPr>
                    <w:t>有效成分及含量：</w:t>
                  </w:r>
                  <w:r>
                    <w:rPr>
                      <w:sz w:val="21"/>
                    </w:rPr>
                    <w:t>右旋苯醚氰菊酯</w:t>
                  </w:r>
                  <w:r>
                    <w:rPr>
                      <w:sz w:val="21"/>
                    </w:rPr>
                    <w:t>与残杀威混配，总含量</w:t>
                  </w:r>
                  <w:r>
                    <w:rPr>
                      <w:sz w:val="21"/>
                    </w:rPr>
                    <w:t>≥10%</w:t>
                  </w:r>
                </w:p>
                <w:p>
                  <w:pPr>
                    <w:pStyle w:val="null3"/>
                    <w:jc w:val="both"/>
                  </w:pPr>
                  <w:r>
                    <w:rPr>
                      <w:sz w:val="21"/>
                      <w:b/>
                    </w:rPr>
                    <w:t>剂型：</w:t>
                  </w:r>
                  <w:r>
                    <w:rPr>
                      <w:sz w:val="21"/>
                    </w:rPr>
                    <w:t>乳油</w:t>
                  </w:r>
                </w:p>
              </w:tc>
              <w:tc>
                <w:tcPr>
                  <w:tcW w:type="dxa" w:w="965"/>
                  <w:vMerge/>
                  <w:tcBorders>
                    <w:top w:val="none" w:color="000000" w:sz="4"/>
                    <w:left w:val="none" w:color="000000" w:sz="4"/>
                    <w:bottom w:val="none" w:color="000000" w:sz="4"/>
                    <w:right w:val="single" w:color="000000" w:sz="4"/>
                  </w:tcBorders>
                </w:tcPr>
                <w:p/>
              </w:tc>
            </w:tr>
            <w:tr>
              <w:tc>
                <w:tcPr>
                  <w:tcW w:type="dxa" w:w="476"/>
                  <w:tcBorders>
                    <w:top w:val="none" w:color="000000" w:sz="4"/>
                    <w:left w:val="single" w:color="000000" w:sz="4"/>
                    <w:bottom w:val="single" w:color="000000" w:sz="4"/>
                    <w:right w:val="single" w:color="000000" w:sz="4"/>
                  </w:tcBorders>
                  <w:shd w:fill="FFFFFF"/>
                  <w:tcMar>
                    <w:top w:type="dxa" w:w="30"/>
                    <w:left w:type="dxa" w:w="60"/>
                    <w:bottom w:type="dxa" w:w="30"/>
                    <w:right w:type="dxa" w:w="60"/>
                  </w:tcMar>
                  <w:vAlign w:val="top"/>
                </w:tcPr>
                <w:p>
                  <w:pPr>
                    <w:pStyle w:val="null3"/>
                    <w:jc w:val="center"/>
                  </w:pPr>
                  <w:r>
                    <w:rPr>
                      <w:sz w:val="21"/>
                    </w:rPr>
                    <w:t>5</w:t>
                  </w:r>
                </w:p>
              </w:tc>
              <w:tc>
                <w:tcPr>
                  <w:tcW w:type="dxa" w:w="965"/>
                  <w:tcBorders>
                    <w:top w:val="none" w:color="000000" w:sz="4"/>
                    <w:left w:val="none" w:color="000000" w:sz="4"/>
                    <w:bottom w:val="single" w:color="000000" w:sz="4"/>
                    <w:right w:val="single" w:color="000000" w:sz="4"/>
                  </w:tcBorders>
                  <w:shd w:fill="FFFFFF"/>
                  <w:tcMar>
                    <w:top w:type="dxa" w:w="30"/>
                    <w:left w:type="dxa" w:w="60"/>
                    <w:bottom w:type="dxa" w:w="30"/>
                    <w:right w:type="dxa" w:w="60"/>
                  </w:tcMar>
                  <w:vAlign w:val="top"/>
                </w:tcPr>
                <w:p>
                  <w:pPr>
                    <w:pStyle w:val="null3"/>
                    <w:jc w:val="center"/>
                  </w:pPr>
                  <w:r>
                    <w:rPr>
                      <w:sz w:val="21"/>
                    </w:rPr>
                    <w:t>氯氰</w:t>
                  </w:r>
                  <w:r>
                    <w:rPr>
                      <w:sz w:val="21"/>
                    </w:rPr>
                    <w:t>•氯</w:t>
                  </w:r>
                  <w:r>
                    <w:rPr>
                      <w:sz w:val="21"/>
                    </w:rPr>
                    <w:t>菊</w:t>
                  </w:r>
                </w:p>
              </w:tc>
              <w:tc>
                <w:tcPr>
                  <w:tcW w:type="dxa" w:w="3152"/>
                  <w:tcBorders>
                    <w:top w:val="none" w:color="000000" w:sz="4"/>
                    <w:left w:val="none" w:color="000000" w:sz="4"/>
                    <w:bottom w:val="single" w:color="000000" w:sz="4"/>
                    <w:right w:val="single" w:color="000000" w:sz="4"/>
                  </w:tcBorders>
                  <w:shd w:fill="FFFFFF"/>
                  <w:tcMar>
                    <w:top w:type="dxa" w:w="30"/>
                    <w:left w:type="dxa" w:w="60"/>
                    <w:bottom w:type="dxa" w:w="30"/>
                    <w:right w:type="dxa" w:w="60"/>
                  </w:tcMar>
                  <w:vAlign w:val="top"/>
                </w:tcPr>
                <w:p>
                  <w:pPr>
                    <w:pStyle w:val="null3"/>
                    <w:jc w:val="both"/>
                  </w:pPr>
                  <w:r>
                    <w:rPr>
                      <w:sz w:val="21"/>
                      <w:b/>
                    </w:rPr>
                    <w:t>有效成分：</w:t>
                  </w:r>
                  <w:r>
                    <w:rPr>
                      <w:sz w:val="21"/>
                    </w:rPr>
                    <w:t>氯氰菊酯与氯菊酯混配，总含量</w:t>
                  </w:r>
                  <w:r>
                    <w:rPr>
                      <w:sz w:val="21"/>
                    </w:rPr>
                    <w:t>≥</w:t>
                  </w:r>
                  <w:r>
                    <w:rPr>
                      <w:sz w:val="21"/>
                    </w:rPr>
                    <w:t>6</w:t>
                  </w:r>
                  <w:r>
                    <w:rPr>
                      <w:sz w:val="21"/>
                    </w:rPr>
                    <w:t>%</w:t>
                  </w:r>
                </w:p>
                <w:p>
                  <w:pPr>
                    <w:pStyle w:val="null3"/>
                    <w:jc w:val="both"/>
                  </w:pPr>
                  <w:r>
                    <w:rPr>
                      <w:sz w:val="21"/>
                      <w:b/>
                    </w:rPr>
                    <w:t>剂型：</w:t>
                  </w:r>
                  <w:r>
                    <w:rPr>
                      <w:sz w:val="21"/>
                    </w:rPr>
                    <w:t>微乳剂</w:t>
                  </w:r>
                </w:p>
              </w:tc>
              <w:tc>
                <w:tcPr>
                  <w:tcW w:type="dxa" w:w="965"/>
                  <w:vMerge/>
                  <w:tcBorders>
                    <w:top w:val="none" w:color="000000" w:sz="4"/>
                    <w:left w:val="none" w:color="000000" w:sz="4"/>
                    <w:bottom w:val="none" w:color="000000" w:sz="4"/>
                    <w:right w:val="single" w:color="000000" w:sz="4"/>
                  </w:tcBorders>
                </w:tcPr>
                <w:p/>
              </w:tc>
            </w:tr>
            <w:tr>
              <w:tc>
                <w:tcPr>
                  <w:tcW w:type="dxa" w:w="476"/>
                  <w:tcBorders>
                    <w:top w:val="none" w:color="000000" w:sz="4"/>
                    <w:left w:val="single" w:color="000000" w:sz="4"/>
                    <w:bottom w:val="single" w:color="000000" w:sz="4"/>
                    <w:right w:val="single" w:color="000000" w:sz="4"/>
                  </w:tcBorders>
                  <w:shd w:fill="FFFFFF"/>
                  <w:tcMar>
                    <w:top w:type="dxa" w:w="30"/>
                    <w:left w:type="dxa" w:w="60"/>
                    <w:bottom w:type="dxa" w:w="30"/>
                    <w:right w:type="dxa" w:w="60"/>
                  </w:tcMar>
                  <w:vAlign w:val="top"/>
                </w:tcPr>
                <w:p>
                  <w:pPr>
                    <w:pStyle w:val="null3"/>
                    <w:jc w:val="center"/>
                  </w:pPr>
                  <w:r>
                    <w:rPr>
                      <w:sz w:val="21"/>
                    </w:rPr>
                    <w:t>6</w:t>
                  </w:r>
                </w:p>
              </w:tc>
              <w:tc>
                <w:tcPr>
                  <w:tcW w:type="dxa" w:w="965"/>
                  <w:tcBorders>
                    <w:top w:val="none" w:color="000000" w:sz="4"/>
                    <w:left w:val="none" w:color="000000" w:sz="4"/>
                    <w:bottom w:val="single" w:color="000000" w:sz="4"/>
                    <w:right w:val="single" w:color="000000" w:sz="4"/>
                  </w:tcBorders>
                  <w:shd w:fill="FFFFFF"/>
                  <w:tcMar>
                    <w:top w:type="dxa" w:w="30"/>
                    <w:left w:type="dxa" w:w="60"/>
                    <w:bottom w:type="dxa" w:w="30"/>
                    <w:right w:type="dxa" w:w="60"/>
                  </w:tcMar>
                  <w:vAlign w:val="top"/>
                </w:tcPr>
                <w:p>
                  <w:pPr>
                    <w:pStyle w:val="null3"/>
                    <w:jc w:val="center"/>
                  </w:pPr>
                  <w:r>
                    <w:rPr>
                      <w:sz w:val="21"/>
                    </w:rPr>
                    <w:t>高效氯氰菊酯</w:t>
                  </w:r>
                </w:p>
              </w:tc>
              <w:tc>
                <w:tcPr>
                  <w:tcW w:type="dxa" w:w="3152"/>
                  <w:tcBorders>
                    <w:top w:val="none" w:color="000000" w:sz="4"/>
                    <w:left w:val="none" w:color="000000" w:sz="4"/>
                    <w:bottom w:val="single" w:color="000000" w:sz="4"/>
                    <w:right w:val="single" w:color="000000" w:sz="4"/>
                  </w:tcBorders>
                  <w:shd w:fill="FFFFFF"/>
                  <w:tcMar>
                    <w:top w:type="dxa" w:w="30"/>
                    <w:left w:type="dxa" w:w="60"/>
                    <w:bottom w:type="dxa" w:w="30"/>
                    <w:right w:type="dxa" w:w="60"/>
                  </w:tcMar>
                  <w:vAlign w:val="top"/>
                </w:tcPr>
                <w:p>
                  <w:pPr>
                    <w:pStyle w:val="null3"/>
                    <w:jc w:val="both"/>
                  </w:pPr>
                  <w:r>
                    <w:rPr>
                      <w:sz w:val="21"/>
                      <w:b/>
                    </w:rPr>
                    <w:t>有效成分及含量：</w:t>
                  </w:r>
                  <w:r>
                    <w:rPr>
                      <w:sz w:val="21"/>
                      <w:b/>
                    </w:rPr>
                    <w:t>高效</w:t>
                  </w:r>
                  <w:r>
                    <w:rPr>
                      <w:sz w:val="21"/>
                    </w:rPr>
                    <w:t>氯</w:t>
                  </w:r>
                  <w:r>
                    <w:rPr>
                      <w:sz w:val="21"/>
                    </w:rPr>
                    <w:t>氰</w:t>
                  </w:r>
                  <w:r>
                    <w:rPr>
                      <w:sz w:val="21"/>
                    </w:rPr>
                    <w:t>菊酯</w:t>
                  </w:r>
                  <w:r>
                    <w:rPr>
                      <w:sz w:val="21"/>
                    </w:rPr>
                    <w:t>≥5%</w:t>
                  </w:r>
                </w:p>
                <w:p>
                  <w:pPr>
                    <w:pStyle w:val="null3"/>
                    <w:jc w:val="both"/>
                  </w:pPr>
                  <w:r>
                    <w:rPr>
                      <w:sz w:val="21"/>
                      <w:b/>
                    </w:rPr>
                    <w:t>剂型：</w:t>
                  </w:r>
                  <w:r>
                    <w:rPr>
                      <w:sz w:val="21"/>
                    </w:rPr>
                    <w:t>悬浮</w:t>
                  </w:r>
                  <w:r>
                    <w:rPr>
                      <w:sz w:val="21"/>
                    </w:rPr>
                    <w:t>剂</w:t>
                  </w:r>
                </w:p>
              </w:tc>
              <w:tc>
                <w:tcPr>
                  <w:tcW w:type="dxa" w:w="965"/>
                  <w:vMerge/>
                  <w:tcBorders>
                    <w:top w:val="none" w:color="000000" w:sz="4"/>
                    <w:left w:val="none" w:color="000000" w:sz="4"/>
                    <w:bottom w:val="none" w:color="000000" w:sz="4"/>
                    <w:right w:val="single" w:color="000000" w:sz="4"/>
                  </w:tcBorders>
                </w:tcPr>
                <w:p/>
              </w:tc>
            </w:tr>
            <w:tr>
              <w:tc>
                <w:tcPr>
                  <w:tcW w:type="dxa" w:w="476"/>
                  <w:tcBorders>
                    <w:top w:val="none" w:color="000000" w:sz="4"/>
                    <w:left w:val="single" w:color="000000" w:sz="4"/>
                    <w:bottom w:val="single" w:color="000000" w:sz="4"/>
                    <w:right w:val="single" w:color="000000" w:sz="4"/>
                  </w:tcBorders>
                  <w:shd w:fill="FFFFFF"/>
                  <w:tcMar>
                    <w:top w:type="dxa" w:w="30"/>
                    <w:left w:type="dxa" w:w="60"/>
                    <w:bottom w:type="dxa" w:w="30"/>
                    <w:right w:type="dxa" w:w="60"/>
                  </w:tcMar>
                  <w:vAlign w:val="top"/>
                </w:tcPr>
                <w:p>
                  <w:pPr>
                    <w:pStyle w:val="null3"/>
                    <w:jc w:val="center"/>
                  </w:pPr>
                  <w:r>
                    <w:rPr>
                      <w:sz w:val="21"/>
                    </w:rPr>
                    <w:t>7</w:t>
                  </w:r>
                </w:p>
              </w:tc>
              <w:tc>
                <w:tcPr>
                  <w:tcW w:type="dxa" w:w="965"/>
                  <w:tcBorders>
                    <w:top w:val="none" w:color="000000" w:sz="4"/>
                    <w:left w:val="none" w:color="000000" w:sz="4"/>
                    <w:bottom w:val="single" w:color="000000" w:sz="4"/>
                    <w:right w:val="single" w:color="000000" w:sz="4"/>
                  </w:tcBorders>
                  <w:shd w:fill="FFFFFF"/>
                  <w:tcMar>
                    <w:top w:type="dxa" w:w="30"/>
                    <w:left w:type="dxa" w:w="60"/>
                    <w:bottom w:type="dxa" w:w="30"/>
                    <w:right w:type="dxa" w:w="60"/>
                  </w:tcMar>
                  <w:vAlign w:val="top"/>
                </w:tcPr>
                <w:p>
                  <w:pPr>
                    <w:pStyle w:val="null3"/>
                    <w:jc w:val="center"/>
                  </w:pPr>
                  <w:r>
                    <w:rPr>
                      <w:sz w:val="21"/>
                    </w:rPr>
                    <w:t>杀蟑饵剂</w:t>
                  </w:r>
                </w:p>
              </w:tc>
              <w:tc>
                <w:tcPr>
                  <w:tcW w:type="dxa" w:w="3152"/>
                  <w:tcBorders>
                    <w:top w:val="none" w:color="000000" w:sz="4"/>
                    <w:left w:val="none" w:color="000000" w:sz="4"/>
                    <w:bottom w:val="single" w:color="000000" w:sz="4"/>
                    <w:right w:val="single" w:color="000000" w:sz="4"/>
                  </w:tcBorders>
                  <w:shd w:fill="FFFFFF"/>
                  <w:tcMar>
                    <w:top w:type="dxa" w:w="30"/>
                    <w:left w:type="dxa" w:w="60"/>
                    <w:bottom w:type="dxa" w:w="30"/>
                    <w:right w:type="dxa" w:w="60"/>
                  </w:tcMar>
                  <w:vAlign w:val="top"/>
                </w:tcPr>
                <w:p>
                  <w:pPr>
                    <w:pStyle w:val="null3"/>
                    <w:jc w:val="both"/>
                  </w:pPr>
                  <w:r>
                    <w:rPr>
                      <w:sz w:val="21"/>
                      <w:b/>
                    </w:rPr>
                    <w:t>有效成分及含量：</w:t>
                  </w:r>
                  <w:r>
                    <w:rPr>
                      <w:sz w:val="21"/>
                    </w:rPr>
                    <w:t>残杀威</w:t>
                  </w:r>
                  <w:r>
                    <w:rPr>
                      <w:sz w:val="21"/>
                    </w:rPr>
                    <w:t>≥</w:t>
                  </w:r>
                  <w:r>
                    <w:rPr>
                      <w:sz w:val="21"/>
                    </w:rPr>
                    <w:t>1</w:t>
                  </w:r>
                  <w:r>
                    <w:rPr>
                      <w:sz w:val="21"/>
                    </w:rPr>
                    <w:t>.5%</w:t>
                  </w:r>
                </w:p>
                <w:p>
                  <w:pPr>
                    <w:pStyle w:val="null3"/>
                    <w:jc w:val="both"/>
                  </w:pPr>
                  <w:r>
                    <w:rPr>
                      <w:sz w:val="21"/>
                      <w:b/>
                    </w:rPr>
                    <w:t>剂型：</w:t>
                  </w:r>
                  <w:r>
                    <w:rPr>
                      <w:sz w:val="21"/>
                    </w:rPr>
                    <w:t>饵剂</w:t>
                  </w:r>
                </w:p>
              </w:tc>
              <w:tc>
                <w:tcPr>
                  <w:tcW w:type="dxa" w:w="965"/>
                  <w:tcBorders>
                    <w:top w:val="none" w:color="000000" w:sz="4"/>
                    <w:left w:val="none" w:color="000000" w:sz="4"/>
                    <w:bottom w:val="single" w:color="000000" w:sz="4"/>
                    <w:right w:val="single" w:color="000000" w:sz="4"/>
                  </w:tcBorders>
                  <w:shd w:fill="FFFFFF"/>
                  <w:tcMar>
                    <w:top w:type="dxa" w:w="30"/>
                    <w:left w:type="dxa" w:w="60"/>
                    <w:bottom w:type="dxa" w:w="30"/>
                    <w:right w:type="dxa" w:w="60"/>
                  </w:tcMar>
                  <w:vAlign w:val="top"/>
                </w:tcPr>
                <w:p>
                  <w:pPr>
                    <w:pStyle w:val="null3"/>
                    <w:jc w:val="center"/>
                  </w:pPr>
                  <w:r>
                    <w:rPr>
                      <w:sz w:val="21"/>
                    </w:rPr>
                    <w:t>灭蟑。</w:t>
                  </w:r>
                </w:p>
              </w:tc>
            </w:tr>
            <w:tr>
              <w:tc>
                <w:tcPr>
                  <w:tcW w:type="dxa" w:w="476"/>
                  <w:tcBorders>
                    <w:top w:val="none" w:color="000000" w:sz="4"/>
                    <w:left w:val="single" w:color="000000" w:sz="4"/>
                    <w:bottom w:val="single" w:color="000000" w:sz="4"/>
                    <w:right w:val="single" w:color="000000" w:sz="4"/>
                  </w:tcBorders>
                  <w:shd w:fill="FFFFFF"/>
                  <w:tcMar>
                    <w:top w:type="dxa" w:w="30"/>
                    <w:left w:type="dxa" w:w="60"/>
                    <w:bottom w:type="dxa" w:w="30"/>
                    <w:right w:type="dxa" w:w="60"/>
                  </w:tcMar>
                  <w:vAlign w:val="top"/>
                </w:tcPr>
                <w:p>
                  <w:pPr>
                    <w:pStyle w:val="null3"/>
                    <w:jc w:val="center"/>
                  </w:pPr>
                  <w:r>
                    <w:rPr>
                      <w:sz w:val="21"/>
                    </w:rPr>
                    <w:t>8</w:t>
                  </w:r>
                </w:p>
              </w:tc>
              <w:tc>
                <w:tcPr>
                  <w:tcW w:type="dxa" w:w="965"/>
                  <w:tcBorders>
                    <w:top w:val="none" w:color="000000" w:sz="4"/>
                    <w:left w:val="none" w:color="000000" w:sz="4"/>
                    <w:bottom w:val="single" w:color="000000" w:sz="4"/>
                    <w:right w:val="single" w:color="000000" w:sz="4"/>
                  </w:tcBorders>
                  <w:shd w:fill="FFFFFF"/>
                  <w:tcMar>
                    <w:top w:type="dxa" w:w="30"/>
                    <w:left w:type="dxa" w:w="60"/>
                    <w:bottom w:type="dxa" w:w="30"/>
                    <w:right w:type="dxa" w:w="60"/>
                  </w:tcMar>
                  <w:vAlign w:val="top"/>
                </w:tcPr>
                <w:p>
                  <w:pPr>
                    <w:pStyle w:val="null3"/>
                    <w:jc w:val="center"/>
                  </w:pPr>
                  <w:r>
                    <w:rPr>
                      <w:sz w:val="21"/>
                    </w:rPr>
                    <w:t>杀虫热雾剂</w:t>
                  </w:r>
                </w:p>
              </w:tc>
              <w:tc>
                <w:tcPr>
                  <w:tcW w:type="dxa" w:w="3152"/>
                  <w:tcBorders>
                    <w:top w:val="none" w:color="000000" w:sz="4"/>
                    <w:left w:val="none" w:color="000000" w:sz="4"/>
                    <w:bottom w:val="single" w:color="000000" w:sz="4"/>
                    <w:right w:val="single" w:color="000000" w:sz="4"/>
                  </w:tcBorders>
                  <w:shd w:fill="FFFFFF"/>
                  <w:tcMar>
                    <w:top w:type="dxa" w:w="30"/>
                    <w:left w:type="dxa" w:w="60"/>
                    <w:bottom w:type="dxa" w:w="30"/>
                    <w:right w:type="dxa" w:w="60"/>
                  </w:tcMar>
                  <w:vAlign w:val="top"/>
                </w:tcPr>
                <w:p>
                  <w:pPr>
                    <w:pStyle w:val="null3"/>
                    <w:jc w:val="both"/>
                  </w:pPr>
                  <w:r>
                    <w:rPr>
                      <w:sz w:val="21"/>
                      <w:b/>
                    </w:rPr>
                    <w:t>有效成分及含量：</w:t>
                  </w:r>
                  <w:r>
                    <w:rPr>
                      <w:sz w:val="21"/>
                    </w:rPr>
                    <w:t>氯氰菊酯与残杀威混配，总含量</w:t>
                  </w:r>
                  <w:r>
                    <w:rPr>
                      <w:sz w:val="21"/>
                    </w:rPr>
                    <w:t>≥</w:t>
                  </w:r>
                  <w:r>
                    <w:rPr>
                      <w:sz w:val="21"/>
                    </w:rPr>
                    <w:t>2.5</w:t>
                  </w:r>
                  <w:r>
                    <w:rPr>
                      <w:sz w:val="21"/>
                    </w:rPr>
                    <w:t>%</w:t>
                  </w:r>
                </w:p>
                <w:p>
                  <w:pPr>
                    <w:pStyle w:val="null3"/>
                    <w:jc w:val="both"/>
                  </w:pPr>
                  <w:r>
                    <w:rPr>
                      <w:sz w:val="21"/>
                      <w:b/>
                    </w:rPr>
                    <w:t>剂型：</w:t>
                  </w:r>
                  <w:r>
                    <w:rPr>
                      <w:sz w:val="21"/>
                    </w:rPr>
                    <w:t>热雾剂</w:t>
                  </w:r>
                </w:p>
              </w:tc>
              <w:tc>
                <w:tcPr>
                  <w:tcW w:type="dxa" w:w="965"/>
                  <w:tcBorders>
                    <w:top w:val="none" w:color="000000" w:sz="4"/>
                    <w:left w:val="none" w:color="000000" w:sz="4"/>
                    <w:bottom w:val="single" w:color="000000" w:sz="4"/>
                    <w:right w:val="single" w:color="000000" w:sz="4"/>
                  </w:tcBorders>
                  <w:shd w:fill="FFFFFF"/>
                  <w:tcMar>
                    <w:top w:type="dxa" w:w="30"/>
                    <w:left w:type="dxa" w:w="60"/>
                    <w:bottom w:type="dxa" w:w="30"/>
                    <w:right w:type="dxa" w:w="60"/>
                  </w:tcMar>
                  <w:vAlign w:val="top"/>
                </w:tcPr>
                <w:p>
                  <w:pPr>
                    <w:pStyle w:val="null3"/>
                    <w:jc w:val="center"/>
                  </w:pPr>
                  <w:r>
                    <w:rPr>
                      <w:sz w:val="21"/>
                    </w:rPr>
                    <w:t>烟熏灭杀蟑、蚊。</w:t>
                  </w:r>
                </w:p>
              </w:tc>
            </w:tr>
            <w:tr>
              <w:tc>
                <w:tcPr>
                  <w:tcW w:type="dxa" w:w="476"/>
                  <w:tcBorders>
                    <w:top w:val="none" w:color="000000" w:sz="4"/>
                    <w:left w:val="single" w:color="000000" w:sz="4"/>
                    <w:bottom w:val="single" w:color="000000" w:sz="4"/>
                    <w:right w:val="single" w:color="000000" w:sz="4"/>
                  </w:tcBorders>
                  <w:shd w:fill="FFFFFF"/>
                  <w:tcMar>
                    <w:top w:type="dxa" w:w="30"/>
                    <w:left w:type="dxa" w:w="60"/>
                    <w:bottom w:type="dxa" w:w="30"/>
                    <w:right w:type="dxa" w:w="60"/>
                  </w:tcMar>
                  <w:vAlign w:val="top"/>
                </w:tcPr>
                <w:p>
                  <w:pPr>
                    <w:pStyle w:val="null3"/>
                    <w:jc w:val="center"/>
                  </w:pPr>
                  <w:r>
                    <w:rPr>
                      <w:sz w:val="21"/>
                    </w:rPr>
                    <w:t>9</w:t>
                  </w:r>
                </w:p>
              </w:tc>
              <w:tc>
                <w:tcPr>
                  <w:tcW w:type="dxa" w:w="965"/>
                  <w:tcBorders>
                    <w:top w:val="none" w:color="000000" w:sz="4"/>
                    <w:left w:val="none" w:color="000000" w:sz="4"/>
                    <w:bottom w:val="single" w:color="000000" w:sz="4"/>
                    <w:right w:val="single" w:color="000000" w:sz="4"/>
                  </w:tcBorders>
                  <w:shd w:fill="FFFFFF"/>
                  <w:tcMar>
                    <w:top w:type="dxa" w:w="30"/>
                    <w:left w:type="dxa" w:w="60"/>
                    <w:bottom w:type="dxa" w:w="30"/>
                    <w:right w:type="dxa" w:w="60"/>
                  </w:tcMar>
                  <w:vAlign w:val="top"/>
                </w:tcPr>
                <w:p>
                  <w:pPr>
                    <w:pStyle w:val="null3"/>
                    <w:jc w:val="center"/>
                  </w:pPr>
                  <w:r>
                    <w:rPr>
                      <w:sz w:val="21"/>
                    </w:rPr>
                    <w:t>杀虫</w:t>
                  </w:r>
                  <w:r>
                    <w:rPr>
                      <w:sz w:val="21"/>
                    </w:rPr>
                    <w:t>粉剂</w:t>
                  </w:r>
                </w:p>
              </w:tc>
              <w:tc>
                <w:tcPr>
                  <w:tcW w:type="dxa" w:w="3152"/>
                  <w:tcBorders>
                    <w:top w:val="none" w:color="000000" w:sz="4"/>
                    <w:left w:val="none" w:color="000000" w:sz="4"/>
                    <w:bottom w:val="single" w:color="000000" w:sz="4"/>
                    <w:right w:val="single" w:color="000000" w:sz="4"/>
                  </w:tcBorders>
                  <w:shd w:fill="FFFFFF"/>
                  <w:tcMar>
                    <w:top w:type="dxa" w:w="30"/>
                    <w:left w:type="dxa" w:w="60"/>
                    <w:bottom w:type="dxa" w:w="30"/>
                    <w:right w:type="dxa" w:w="60"/>
                  </w:tcMar>
                  <w:vAlign w:val="top"/>
                </w:tcPr>
                <w:p>
                  <w:pPr>
                    <w:pStyle w:val="null3"/>
                    <w:jc w:val="both"/>
                  </w:pPr>
                  <w:r>
                    <w:rPr>
                      <w:sz w:val="21"/>
                      <w:b/>
                    </w:rPr>
                    <w:t>有效成分及含量：</w:t>
                  </w:r>
                  <w:r>
                    <w:rPr>
                      <w:sz w:val="21"/>
                    </w:rPr>
                    <w:t>吡虫啉含量</w:t>
                  </w:r>
                  <w:r>
                    <w:rPr>
                      <w:sz w:val="21"/>
                    </w:rPr>
                    <w:t>≥</w:t>
                  </w:r>
                  <w:r>
                    <w:rPr>
                      <w:sz w:val="21"/>
                    </w:rPr>
                    <w:t>2</w:t>
                  </w:r>
                  <w:r>
                    <w:rPr>
                      <w:sz w:val="21"/>
                    </w:rPr>
                    <w:t>%</w:t>
                  </w:r>
                </w:p>
                <w:p>
                  <w:pPr>
                    <w:pStyle w:val="null3"/>
                    <w:jc w:val="both"/>
                  </w:pPr>
                  <w:r>
                    <w:rPr>
                      <w:sz w:val="21"/>
                      <w:b/>
                    </w:rPr>
                    <w:t>剂型：</w:t>
                  </w:r>
                  <w:r>
                    <w:rPr>
                      <w:sz w:val="21"/>
                    </w:rPr>
                    <w:t>粉</w:t>
                  </w:r>
                  <w:r>
                    <w:rPr>
                      <w:sz w:val="21"/>
                    </w:rPr>
                    <w:t>剂</w:t>
                  </w:r>
                </w:p>
              </w:tc>
              <w:tc>
                <w:tcPr>
                  <w:tcW w:type="dxa" w:w="965"/>
                  <w:tcBorders>
                    <w:top w:val="none" w:color="000000" w:sz="4"/>
                    <w:left w:val="none" w:color="000000" w:sz="4"/>
                    <w:bottom w:val="single" w:color="000000" w:sz="4"/>
                    <w:right w:val="single" w:color="000000" w:sz="4"/>
                  </w:tcBorders>
                  <w:shd w:fill="FFFFFF"/>
                  <w:tcMar>
                    <w:top w:type="dxa" w:w="30"/>
                    <w:left w:type="dxa" w:w="60"/>
                    <w:bottom w:type="dxa" w:w="30"/>
                    <w:right w:type="dxa" w:w="60"/>
                  </w:tcMar>
                  <w:vAlign w:val="top"/>
                </w:tcPr>
                <w:p>
                  <w:pPr>
                    <w:pStyle w:val="null3"/>
                    <w:jc w:val="center"/>
                  </w:pPr>
                  <w:r>
                    <w:rPr>
                      <w:sz w:val="21"/>
                    </w:rPr>
                    <w:t>化学灭蚊、蝇幼虫药物。</w:t>
                  </w:r>
                </w:p>
              </w:tc>
            </w:tr>
            <w:tr>
              <w:tc>
                <w:tcPr>
                  <w:tcW w:type="dxa" w:w="476"/>
                  <w:tcBorders>
                    <w:top w:val="none" w:color="000000" w:sz="4"/>
                    <w:left w:val="single" w:color="000000" w:sz="4"/>
                    <w:bottom w:val="single" w:color="000000" w:sz="4"/>
                    <w:right w:val="single" w:color="000000" w:sz="4"/>
                  </w:tcBorders>
                  <w:shd w:fill="FFFFFF"/>
                  <w:tcMar>
                    <w:top w:type="dxa" w:w="30"/>
                    <w:left w:type="dxa" w:w="60"/>
                    <w:bottom w:type="dxa" w:w="30"/>
                    <w:right w:type="dxa" w:w="60"/>
                  </w:tcMar>
                  <w:vAlign w:val="top"/>
                </w:tcPr>
                <w:p>
                  <w:pPr>
                    <w:pStyle w:val="null3"/>
                    <w:jc w:val="center"/>
                  </w:pPr>
                  <w:r>
                    <w:rPr>
                      <w:sz w:val="21"/>
                    </w:rPr>
                    <w:t>10</w:t>
                  </w:r>
                </w:p>
              </w:tc>
              <w:tc>
                <w:tcPr>
                  <w:tcW w:type="dxa" w:w="965"/>
                  <w:tcBorders>
                    <w:top w:val="none" w:color="000000" w:sz="4"/>
                    <w:left w:val="none" w:color="000000" w:sz="4"/>
                    <w:bottom w:val="single" w:color="000000" w:sz="4"/>
                    <w:right w:val="single" w:color="000000" w:sz="4"/>
                  </w:tcBorders>
                  <w:shd w:fill="FFFFFF"/>
                  <w:tcMar>
                    <w:top w:type="dxa" w:w="30"/>
                    <w:left w:type="dxa" w:w="60"/>
                    <w:bottom w:type="dxa" w:w="30"/>
                    <w:right w:type="dxa" w:w="60"/>
                  </w:tcMar>
                  <w:vAlign w:val="top"/>
                </w:tcPr>
                <w:p>
                  <w:pPr>
                    <w:pStyle w:val="null3"/>
                    <w:jc w:val="center"/>
                  </w:pPr>
                  <w:r>
                    <w:rPr>
                      <w:sz w:val="21"/>
                    </w:rPr>
                    <w:t>苏云金杆菌</w:t>
                  </w:r>
                </w:p>
              </w:tc>
              <w:tc>
                <w:tcPr>
                  <w:tcW w:type="dxa" w:w="3152"/>
                  <w:tcBorders>
                    <w:top w:val="none" w:color="000000" w:sz="4"/>
                    <w:left w:val="none" w:color="000000" w:sz="4"/>
                    <w:bottom w:val="single" w:color="000000" w:sz="4"/>
                    <w:right w:val="single" w:color="000000" w:sz="4"/>
                  </w:tcBorders>
                  <w:shd w:fill="FFFFFF"/>
                  <w:tcMar>
                    <w:top w:type="dxa" w:w="30"/>
                    <w:left w:type="dxa" w:w="60"/>
                    <w:bottom w:type="dxa" w:w="30"/>
                    <w:right w:type="dxa" w:w="60"/>
                  </w:tcMar>
                  <w:vAlign w:val="top"/>
                </w:tcPr>
                <w:p>
                  <w:pPr>
                    <w:pStyle w:val="null3"/>
                    <w:jc w:val="both"/>
                  </w:pPr>
                  <w:r>
                    <w:rPr>
                      <w:sz w:val="21"/>
                      <w:b/>
                    </w:rPr>
                    <w:t>有效成分及含量：</w:t>
                  </w:r>
                  <w:r>
                    <w:rPr>
                      <w:sz w:val="21"/>
                    </w:rPr>
                    <w:t>苏云金杆菌以色列亚种</w:t>
                  </w:r>
                  <w:r>
                    <w:rPr>
                      <w:sz w:val="21"/>
                    </w:rPr>
                    <w:t>≥</w:t>
                  </w:r>
                  <w:r>
                    <w:rPr>
                      <w:sz w:val="21"/>
                    </w:rPr>
                    <w:t>4</w:t>
                  </w:r>
                  <w:r>
                    <w:rPr>
                      <w:sz w:val="21"/>
                    </w:rPr>
                    <w:t>00ITU/毫克，</w:t>
                  </w:r>
                </w:p>
                <w:p>
                  <w:pPr>
                    <w:pStyle w:val="null3"/>
                    <w:jc w:val="both"/>
                  </w:pPr>
                  <w:r>
                    <w:rPr>
                      <w:sz w:val="21"/>
                      <w:b/>
                    </w:rPr>
                    <w:t>剂型：</w:t>
                  </w:r>
                  <w:r>
                    <w:rPr>
                      <w:sz w:val="21"/>
                    </w:rPr>
                    <w:t>悬浮剂</w:t>
                  </w:r>
                  <w:r>
                    <w:rPr>
                      <w:sz w:val="21"/>
                    </w:rPr>
                    <w:t>或颗粒剂</w:t>
                  </w:r>
                </w:p>
              </w:tc>
              <w:tc>
                <w:tcPr>
                  <w:tcW w:type="dxa" w:w="965"/>
                  <w:tcBorders>
                    <w:top w:val="none" w:color="000000" w:sz="4"/>
                    <w:left w:val="none" w:color="000000" w:sz="4"/>
                    <w:bottom w:val="single" w:color="000000" w:sz="4"/>
                    <w:right w:val="single" w:color="000000" w:sz="4"/>
                  </w:tcBorders>
                  <w:shd w:fill="FFFFFF"/>
                  <w:tcMar>
                    <w:top w:type="dxa" w:w="30"/>
                    <w:left w:type="dxa" w:w="60"/>
                    <w:bottom w:type="dxa" w:w="30"/>
                    <w:right w:type="dxa" w:w="60"/>
                  </w:tcMar>
                  <w:vAlign w:val="top"/>
                </w:tcPr>
                <w:p>
                  <w:pPr>
                    <w:pStyle w:val="null3"/>
                    <w:jc w:val="center"/>
                  </w:pPr>
                  <w:r>
                    <w:rPr>
                      <w:sz w:val="21"/>
                    </w:rPr>
                    <w:t>生物灭蚊幼药物。</w:t>
                  </w:r>
                </w:p>
              </w:tc>
            </w:tr>
          </w:tbl>
          <w:p>
            <w:pPr>
              <w:pStyle w:val="null3"/>
              <w:ind w:firstLine="420"/>
              <w:jc w:val="both"/>
            </w:pPr>
            <w:r>
              <w:rPr>
                <w:sz w:val="21"/>
                <w:color w:val="000000"/>
              </w:rPr>
              <w:t>备注：</w:t>
            </w:r>
            <w:r>
              <w:rPr>
                <w:sz w:val="21"/>
                <w:color w:val="000000"/>
              </w:rPr>
              <w:t>供应商</w:t>
            </w:r>
            <w:r>
              <w:rPr>
                <w:sz w:val="21"/>
                <w:color w:val="000000"/>
              </w:rPr>
              <w:t>在</w:t>
            </w:r>
            <w:r>
              <w:rPr>
                <w:sz w:val="21"/>
                <w:color w:val="000000"/>
              </w:rPr>
              <w:t>响应文件</w:t>
            </w:r>
            <w:r>
              <w:rPr>
                <w:sz w:val="21"/>
                <w:color w:val="000000"/>
              </w:rPr>
              <w:t>中必须提供上述药品的以下</w:t>
            </w:r>
            <w:r>
              <w:rPr>
                <w:sz w:val="21"/>
                <w:color w:val="000000"/>
              </w:rPr>
              <w:t>五</w:t>
            </w:r>
            <w:r>
              <w:rPr>
                <w:sz w:val="21"/>
                <w:color w:val="000000"/>
              </w:rPr>
              <w:t>项资料的扫描件或复印件并加盖</w:t>
            </w:r>
            <w:r>
              <w:rPr>
                <w:sz w:val="21"/>
                <w:color w:val="000000"/>
              </w:rPr>
              <w:t>供应商</w:t>
            </w:r>
            <w:r>
              <w:rPr>
                <w:sz w:val="21"/>
                <w:color w:val="000000"/>
              </w:rPr>
              <w:t>公章：</w:t>
            </w:r>
          </w:p>
          <w:p>
            <w:pPr>
              <w:pStyle w:val="null3"/>
              <w:ind w:firstLine="420"/>
              <w:jc w:val="both"/>
            </w:pPr>
            <w:r>
              <w:rPr>
                <w:sz w:val="21"/>
                <w:color w:val="000000"/>
              </w:rPr>
              <w:t>（</w:t>
            </w:r>
            <w:r>
              <w:rPr>
                <w:sz w:val="21"/>
                <w:color w:val="000000"/>
              </w:rPr>
              <w:t>1）农业部颁发的农药登记证。</w:t>
            </w:r>
          </w:p>
          <w:p>
            <w:pPr>
              <w:pStyle w:val="null3"/>
              <w:ind w:firstLine="420"/>
              <w:jc w:val="both"/>
            </w:pPr>
            <w:r>
              <w:rPr>
                <w:sz w:val="21"/>
                <w:color w:val="000000"/>
              </w:rPr>
              <w:t>（</w:t>
            </w:r>
            <w:r>
              <w:rPr>
                <w:sz w:val="21"/>
                <w:color w:val="000000"/>
              </w:rPr>
              <w:t>2）农业部门颁发的农药生产许可证（生产范围包括投标产品剂型）。</w:t>
            </w:r>
          </w:p>
          <w:p>
            <w:pPr>
              <w:pStyle w:val="null3"/>
              <w:ind w:firstLine="420"/>
              <w:jc w:val="both"/>
            </w:pPr>
            <w:r>
              <w:rPr>
                <w:sz w:val="21"/>
                <w:color w:val="000000"/>
              </w:rPr>
              <w:t>（</w:t>
            </w:r>
            <w:r>
              <w:rPr>
                <w:sz w:val="21"/>
                <w:color w:val="000000"/>
              </w:rPr>
              <w:t>3）企业标准信息公共服务平台备案的企业标准封面。</w:t>
            </w:r>
          </w:p>
          <w:p>
            <w:pPr>
              <w:pStyle w:val="null3"/>
              <w:ind w:firstLine="420"/>
              <w:jc w:val="both"/>
            </w:pPr>
            <w:r>
              <w:rPr>
                <w:sz w:val="21"/>
                <w:color w:val="000000"/>
              </w:rPr>
              <w:t>序号</w:t>
            </w:r>
            <w:r>
              <w:rPr>
                <w:sz w:val="21"/>
                <w:color w:val="000000"/>
              </w:rPr>
              <w:t>1）-3）资料的备案须在有效期内，续展期顺延三个月。</w:t>
            </w:r>
          </w:p>
          <w:p>
            <w:pPr>
              <w:pStyle w:val="null3"/>
              <w:ind w:firstLine="420"/>
              <w:jc w:val="both"/>
            </w:pPr>
            <w:r>
              <w:rPr>
                <w:sz w:val="21"/>
                <w:color w:val="000000"/>
              </w:rPr>
              <w:t>（</w:t>
            </w:r>
            <w:r>
              <w:rPr>
                <w:sz w:val="21"/>
                <w:color w:val="000000"/>
              </w:rPr>
              <w:t>4）</w:t>
            </w:r>
            <w:r>
              <w:rPr>
                <w:sz w:val="21"/>
                <w:color w:val="000000"/>
              </w:rPr>
              <w:t>药品化学品安全技术说明书或农药产品安全数据单（</w:t>
            </w:r>
            <w:r>
              <w:rPr>
                <w:sz w:val="21"/>
                <w:color w:val="000000"/>
              </w:rPr>
              <w:t>MSDS）</w:t>
            </w:r>
            <w:r>
              <w:rPr>
                <w:sz w:val="21"/>
                <w:color w:val="000000"/>
              </w:rPr>
              <w:t>。</w:t>
            </w:r>
          </w:p>
          <w:p>
            <w:pPr>
              <w:pStyle w:val="null3"/>
              <w:ind w:firstLine="420"/>
              <w:jc w:val="both"/>
            </w:pPr>
            <w:r>
              <w:rPr>
                <w:sz w:val="21"/>
                <w:color w:val="000000"/>
              </w:rPr>
              <w:t>（</w:t>
            </w:r>
            <w:r>
              <w:rPr>
                <w:sz w:val="21"/>
                <w:color w:val="000000"/>
              </w:rPr>
              <w:t>5）生产厂家供货承诺。</w:t>
            </w:r>
          </w:p>
          <w:p>
            <w:pPr>
              <w:pStyle w:val="null3"/>
              <w:jc w:val="both"/>
            </w:pPr>
            <w:r>
              <w:rPr>
                <w:sz w:val="21"/>
                <w:b/>
              </w:rPr>
              <w:t>三、开展除</w:t>
            </w:r>
            <w:r>
              <w:rPr>
                <w:sz w:val="21"/>
                <w:b/>
              </w:rPr>
              <w:t>“四害”服务所需的药物投放与喷洒要求：</w:t>
            </w:r>
          </w:p>
          <w:p>
            <w:pPr>
              <w:pStyle w:val="null3"/>
              <w:ind w:firstLine="420"/>
              <w:jc w:val="both"/>
            </w:pPr>
            <w:r>
              <w:rPr>
                <w:sz w:val="21"/>
                <w:color w:val="000000"/>
              </w:rPr>
              <w:t>1.必须选择国家规定的低毒、低残留的药物。根据巩卫方案的工作内容及防治措施开展除四害工作。</w:t>
            </w:r>
          </w:p>
          <w:p>
            <w:pPr>
              <w:pStyle w:val="null3"/>
              <w:ind w:firstLine="420"/>
              <w:jc w:val="both"/>
            </w:pPr>
            <w:r>
              <w:rPr>
                <w:sz w:val="21"/>
                <w:color w:val="000000"/>
              </w:rPr>
              <w:t>2.灭鼠每月进行药物投放1次或以上；灭蚊、灭蝇、灭蟑5月至11月每月进行药物喷洒二次以上，孳生地灭蚊、蝇幼虫药物投放每两周一1次或以上；灭冬蚊、蝇在12月、1月、2月进行药物灭杀1次或以上（以上投放与喷洒需结合实际情况和成效适当增加）。3.该预算金额包括在巩卫区域的防蚊闸和毒鼠屋查漏补缺，缺多少补装多少；</w:t>
            </w:r>
          </w:p>
          <w:p>
            <w:pPr>
              <w:pStyle w:val="null3"/>
              <w:ind w:firstLine="420"/>
              <w:jc w:val="both"/>
            </w:pPr>
            <w:r>
              <w:rPr>
                <w:sz w:val="21"/>
                <w:color w:val="000000"/>
              </w:rPr>
              <w:t>3.根椐用药标准及要求，做出合理的用药方案。</w:t>
            </w:r>
          </w:p>
          <w:p>
            <w:pPr>
              <w:pStyle w:val="null3"/>
              <w:ind w:firstLine="420"/>
              <w:jc w:val="both"/>
            </w:pPr>
            <w:r>
              <w:rPr>
                <w:sz w:val="21"/>
                <w:color w:val="000000"/>
              </w:rPr>
              <w:t>4</w:t>
            </w:r>
            <w:r>
              <w:rPr>
                <w:sz w:val="21"/>
                <w:color w:val="000000"/>
              </w:rPr>
              <w:t>.该预算金额包括在巩卫区域的</w:t>
            </w:r>
            <w:r>
              <w:rPr>
                <w:sz w:val="21"/>
                <w:color w:val="000000"/>
              </w:rPr>
              <w:t>病媒生物</w:t>
            </w:r>
            <w:r>
              <w:rPr>
                <w:sz w:val="21"/>
                <w:color w:val="000000"/>
              </w:rPr>
              <w:t>防制</w:t>
            </w:r>
            <w:r>
              <w:rPr>
                <w:sz w:val="21"/>
                <w:color w:val="000000"/>
              </w:rPr>
              <w:t>设施（</w:t>
            </w:r>
            <w:r>
              <w:rPr>
                <w:sz w:val="21"/>
                <w:color w:val="000000"/>
              </w:rPr>
              <w:t>防蚊闸</w:t>
            </w:r>
            <w:r>
              <w:rPr>
                <w:sz w:val="21"/>
                <w:color w:val="000000"/>
              </w:rPr>
              <w:t>除外）进行查漏补缺，</w:t>
            </w:r>
            <w:r>
              <w:rPr>
                <w:sz w:val="21"/>
                <w:color w:val="000000"/>
              </w:rPr>
              <w:t>缺多少补装多少；</w:t>
            </w:r>
          </w:p>
          <w:p>
            <w:pPr>
              <w:pStyle w:val="null3"/>
              <w:ind w:firstLine="420"/>
              <w:jc w:val="both"/>
            </w:pPr>
            <w:r>
              <w:rPr>
                <w:sz w:val="21"/>
                <w:color w:val="000000"/>
              </w:rPr>
              <w:t>5</w:t>
            </w:r>
            <w:r>
              <w:rPr>
                <w:sz w:val="21"/>
                <w:color w:val="000000"/>
              </w:rPr>
              <w:t>.确保服务区域内“四害”密度不超标，病媒防制工作达到巩固国家卫生城市验收标准和要求。</w:t>
            </w:r>
          </w:p>
          <w:p>
            <w:pPr>
              <w:pStyle w:val="null3"/>
              <w:jc w:val="both"/>
            </w:pPr>
            <w:r>
              <w:rPr>
                <w:sz w:val="21"/>
                <w:b/>
              </w:rPr>
              <w:t>附表：</w:t>
            </w:r>
          </w:p>
          <w:tbl>
            <w:tblPr>
              <w:tblBorders>
                <w:top w:val="none" w:color="000000" w:sz="4"/>
                <w:left w:val="none" w:color="000000" w:sz="4"/>
                <w:bottom w:val="none" w:color="000000" w:sz="4"/>
                <w:right w:val="none" w:color="000000" w:sz="4"/>
                <w:insideH w:val="none"/>
                <w:insideV w:val="none"/>
              </w:tblBorders>
            </w:tblPr>
            <w:tblGrid>
              <w:gridCol w:w="722"/>
              <w:gridCol w:w="2179"/>
              <w:gridCol w:w="1947"/>
              <w:gridCol w:w="722"/>
            </w:tblGrid>
            <w:tr>
              <w:tc>
                <w:tcPr>
                  <w:tcW w:type="dxa" w:w="722"/>
                  <w:tcBorders>
                    <w:top w:val="singl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center"/>
                  </w:pPr>
                  <w:r>
                    <w:rPr>
                      <w:sz w:val="21"/>
                      <w:b/>
                    </w:rPr>
                    <w:t>序号</w:t>
                  </w:r>
                </w:p>
              </w:tc>
              <w:tc>
                <w:tcPr>
                  <w:tcW w:type="dxa" w:w="2179"/>
                  <w:tcBorders>
                    <w:top w:val="singl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center"/>
                  </w:pPr>
                  <w:r>
                    <w:rPr>
                      <w:sz w:val="21"/>
                      <w:b/>
                    </w:rPr>
                    <w:t>村（居）委</w:t>
                  </w:r>
                </w:p>
              </w:tc>
              <w:tc>
                <w:tcPr>
                  <w:tcW w:type="dxa" w:w="1947"/>
                  <w:tcBorders>
                    <w:top w:val="singl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center"/>
                  </w:pPr>
                  <w:r>
                    <w:rPr>
                      <w:sz w:val="21"/>
                      <w:b/>
                    </w:rPr>
                    <w:t>总面积</w:t>
                  </w:r>
                  <w:r>
                    <w:rPr>
                      <w:sz w:val="21"/>
                      <w:b/>
                    </w:rPr>
                    <w:t>(平方米)</w:t>
                  </w:r>
                </w:p>
              </w:tc>
              <w:tc>
                <w:tcPr>
                  <w:tcW w:type="dxa" w:w="722"/>
                  <w:tcBorders>
                    <w:top w:val="singl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center"/>
                  </w:pPr>
                  <w:r>
                    <w:rPr>
                      <w:sz w:val="21"/>
                      <w:b/>
                    </w:rPr>
                    <w:t>备注</w:t>
                  </w:r>
                </w:p>
              </w:tc>
            </w:tr>
            <w:tr>
              <w:tc>
                <w:tcPr>
                  <w:tcW w:type="dxa" w:w="722"/>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center"/>
                  </w:pPr>
                  <w:r>
                    <w:rPr>
                      <w:sz w:val="21"/>
                    </w:rPr>
                    <w:t>1</w:t>
                  </w:r>
                </w:p>
              </w:tc>
              <w:tc>
                <w:tcPr>
                  <w:tcW w:type="dxa" w:w="2179"/>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center"/>
                  </w:pPr>
                  <w:r>
                    <w:rPr>
                      <w:sz w:val="21"/>
                    </w:rPr>
                    <w:t>春江居委</w:t>
                  </w:r>
                </w:p>
              </w:tc>
              <w:tc>
                <w:tcPr>
                  <w:tcW w:type="dxa" w:w="1947"/>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center"/>
                  </w:pPr>
                  <w:r>
                    <w:rPr>
                      <w:sz w:val="21"/>
                    </w:rPr>
                    <w:t>3000000</w:t>
                  </w:r>
                </w:p>
              </w:tc>
              <w:tc>
                <w:tcPr>
                  <w:tcW w:type="dxa" w:w="722"/>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center"/>
                  </w:pPr>
                </w:p>
              </w:tc>
            </w:tr>
            <w:tr>
              <w:tc>
                <w:tcPr>
                  <w:tcW w:type="dxa" w:w="722"/>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center"/>
                  </w:pPr>
                  <w:r>
                    <w:rPr>
                      <w:sz w:val="21"/>
                    </w:rPr>
                    <w:t>2</w:t>
                  </w:r>
                </w:p>
              </w:tc>
              <w:tc>
                <w:tcPr>
                  <w:tcW w:type="dxa" w:w="2179"/>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center"/>
                  </w:pPr>
                  <w:r>
                    <w:rPr>
                      <w:sz w:val="21"/>
                    </w:rPr>
                    <w:t>红旗居委</w:t>
                  </w:r>
                </w:p>
              </w:tc>
              <w:tc>
                <w:tcPr>
                  <w:tcW w:type="dxa" w:w="1947"/>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center"/>
                  </w:pPr>
                  <w:r>
                    <w:rPr>
                      <w:sz w:val="21"/>
                    </w:rPr>
                    <w:t>400000</w:t>
                  </w:r>
                </w:p>
              </w:tc>
              <w:tc>
                <w:tcPr>
                  <w:tcW w:type="dxa" w:w="722"/>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center"/>
                  </w:pPr>
                </w:p>
              </w:tc>
            </w:tr>
            <w:tr>
              <w:tc>
                <w:tcPr>
                  <w:tcW w:type="dxa" w:w="722"/>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center"/>
                  </w:pPr>
                  <w:r>
                    <w:rPr>
                      <w:sz w:val="21"/>
                    </w:rPr>
                    <w:t>3</w:t>
                  </w:r>
                </w:p>
              </w:tc>
              <w:tc>
                <w:tcPr>
                  <w:tcW w:type="dxa" w:w="2179"/>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center"/>
                  </w:pPr>
                  <w:r>
                    <w:rPr>
                      <w:sz w:val="21"/>
                    </w:rPr>
                    <w:t>县前居委</w:t>
                  </w:r>
                </w:p>
              </w:tc>
              <w:tc>
                <w:tcPr>
                  <w:tcW w:type="dxa" w:w="1947"/>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center"/>
                  </w:pPr>
                  <w:r>
                    <w:rPr>
                      <w:sz w:val="21"/>
                    </w:rPr>
                    <w:t>450000</w:t>
                  </w:r>
                </w:p>
              </w:tc>
              <w:tc>
                <w:tcPr>
                  <w:tcW w:type="dxa" w:w="722"/>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center"/>
                  </w:pPr>
                </w:p>
              </w:tc>
            </w:tr>
            <w:tr>
              <w:tc>
                <w:tcPr>
                  <w:tcW w:type="dxa" w:w="722"/>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center"/>
                  </w:pPr>
                  <w:r>
                    <w:rPr>
                      <w:sz w:val="21"/>
                    </w:rPr>
                    <w:t>4</w:t>
                  </w:r>
                </w:p>
              </w:tc>
              <w:tc>
                <w:tcPr>
                  <w:tcW w:type="dxa" w:w="2179"/>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center"/>
                  </w:pPr>
                  <w:r>
                    <w:rPr>
                      <w:sz w:val="21"/>
                    </w:rPr>
                    <w:t>前进居委</w:t>
                  </w:r>
                </w:p>
              </w:tc>
              <w:tc>
                <w:tcPr>
                  <w:tcW w:type="dxa" w:w="1947"/>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center"/>
                  </w:pPr>
                  <w:r>
                    <w:rPr>
                      <w:sz w:val="21"/>
                    </w:rPr>
                    <w:t>300000</w:t>
                  </w:r>
                </w:p>
              </w:tc>
              <w:tc>
                <w:tcPr>
                  <w:tcW w:type="dxa" w:w="722"/>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center"/>
                  </w:pPr>
                </w:p>
              </w:tc>
            </w:tr>
            <w:tr>
              <w:tc>
                <w:tcPr>
                  <w:tcW w:type="dxa" w:w="722"/>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center"/>
                  </w:pPr>
                  <w:r>
                    <w:rPr>
                      <w:sz w:val="21"/>
                    </w:rPr>
                    <w:t>5</w:t>
                  </w:r>
                </w:p>
              </w:tc>
              <w:tc>
                <w:tcPr>
                  <w:tcW w:type="dxa" w:w="2179"/>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center"/>
                  </w:pPr>
                  <w:r>
                    <w:rPr>
                      <w:sz w:val="21"/>
                    </w:rPr>
                    <w:t>龙湾居委</w:t>
                  </w:r>
                </w:p>
              </w:tc>
              <w:tc>
                <w:tcPr>
                  <w:tcW w:type="dxa" w:w="1947"/>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center"/>
                  </w:pPr>
                  <w:r>
                    <w:rPr>
                      <w:sz w:val="21"/>
                    </w:rPr>
                    <w:t>800000</w:t>
                  </w:r>
                </w:p>
              </w:tc>
              <w:tc>
                <w:tcPr>
                  <w:tcW w:type="dxa" w:w="722"/>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center"/>
                  </w:pPr>
                </w:p>
              </w:tc>
            </w:tr>
            <w:tr>
              <w:tc>
                <w:tcPr>
                  <w:tcW w:type="dxa" w:w="722"/>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center"/>
                  </w:pPr>
                  <w:r>
                    <w:rPr>
                      <w:sz w:val="21"/>
                    </w:rPr>
                    <w:t>6</w:t>
                  </w:r>
                </w:p>
              </w:tc>
              <w:tc>
                <w:tcPr>
                  <w:tcW w:type="dxa" w:w="2179"/>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center"/>
                  </w:pPr>
                  <w:r>
                    <w:rPr>
                      <w:sz w:val="21"/>
                    </w:rPr>
                    <w:t>东门居委</w:t>
                  </w:r>
                </w:p>
              </w:tc>
              <w:tc>
                <w:tcPr>
                  <w:tcW w:type="dxa" w:w="1947"/>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center"/>
                  </w:pPr>
                  <w:r>
                    <w:rPr>
                      <w:sz w:val="21"/>
                    </w:rPr>
                    <w:t>800000</w:t>
                  </w:r>
                </w:p>
              </w:tc>
              <w:tc>
                <w:tcPr>
                  <w:tcW w:type="dxa" w:w="722"/>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center"/>
                  </w:pPr>
                </w:p>
              </w:tc>
            </w:tr>
            <w:tr>
              <w:tc>
                <w:tcPr>
                  <w:tcW w:type="dxa" w:w="722"/>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center"/>
                  </w:pPr>
                  <w:r>
                    <w:rPr>
                      <w:sz w:val="21"/>
                    </w:rPr>
                    <w:t>7</w:t>
                  </w:r>
                </w:p>
              </w:tc>
              <w:tc>
                <w:tcPr>
                  <w:tcW w:type="dxa" w:w="2179"/>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center"/>
                  </w:pPr>
                  <w:r>
                    <w:rPr>
                      <w:sz w:val="21"/>
                    </w:rPr>
                    <w:t>镇北居委</w:t>
                  </w:r>
                </w:p>
              </w:tc>
              <w:tc>
                <w:tcPr>
                  <w:tcW w:type="dxa" w:w="1947"/>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center"/>
                  </w:pPr>
                  <w:r>
                    <w:rPr>
                      <w:sz w:val="21"/>
                    </w:rPr>
                    <w:t>5000000</w:t>
                  </w:r>
                </w:p>
              </w:tc>
              <w:tc>
                <w:tcPr>
                  <w:tcW w:type="dxa" w:w="722"/>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center"/>
                  </w:pPr>
                </w:p>
              </w:tc>
            </w:tr>
            <w:tr>
              <w:tc>
                <w:tcPr>
                  <w:tcW w:type="dxa" w:w="722"/>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center"/>
                  </w:pPr>
                  <w:r>
                    <w:rPr>
                      <w:sz w:val="21"/>
                    </w:rPr>
                    <w:t>8</w:t>
                  </w:r>
                </w:p>
              </w:tc>
              <w:tc>
                <w:tcPr>
                  <w:tcW w:type="dxa" w:w="2179"/>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center"/>
                  </w:pPr>
                  <w:r>
                    <w:rPr>
                      <w:sz w:val="21"/>
                    </w:rPr>
                    <w:t>城云居委</w:t>
                  </w:r>
                </w:p>
              </w:tc>
              <w:tc>
                <w:tcPr>
                  <w:tcW w:type="dxa" w:w="1947"/>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center"/>
                  </w:pPr>
                  <w:r>
                    <w:rPr>
                      <w:sz w:val="21"/>
                    </w:rPr>
                    <w:t>1800000</w:t>
                  </w:r>
                </w:p>
              </w:tc>
              <w:tc>
                <w:tcPr>
                  <w:tcW w:type="dxa" w:w="722"/>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center"/>
                  </w:pPr>
                </w:p>
              </w:tc>
            </w:tr>
            <w:tr>
              <w:tc>
                <w:tcPr>
                  <w:tcW w:type="dxa" w:w="722"/>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center"/>
                  </w:pPr>
                  <w:r>
                    <w:rPr>
                      <w:sz w:val="21"/>
                    </w:rPr>
                    <w:t>9</w:t>
                  </w:r>
                </w:p>
              </w:tc>
              <w:tc>
                <w:tcPr>
                  <w:tcW w:type="dxa" w:w="2179"/>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center"/>
                  </w:pPr>
                  <w:r>
                    <w:rPr>
                      <w:sz w:val="21"/>
                    </w:rPr>
                    <w:t>拥军居委</w:t>
                  </w:r>
                </w:p>
              </w:tc>
              <w:tc>
                <w:tcPr>
                  <w:tcW w:type="dxa" w:w="1947"/>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center"/>
                  </w:pPr>
                  <w:r>
                    <w:rPr>
                      <w:sz w:val="21"/>
                    </w:rPr>
                    <w:t>1000000</w:t>
                  </w:r>
                </w:p>
              </w:tc>
              <w:tc>
                <w:tcPr>
                  <w:tcW w:type="dxa" w:w="722"/>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center"/>
                  </w:pPr>
                </w:p>
              </w:tc>
            </w:tr>
            <w:tr>
              <w:tc>
                <w:tcPr>
                  <w:tcW w:type="dxa" w:w="722"/>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center"/>
                  </w:pPr>
                  <w:r>
                    <w:rPr>
                      <w:sz w:val="21"/>
                    </w:rPr>
                    <w:t>10</w:t>
                  </w:r>
                </w:p>
              </w:tc>
              <w:tc>
                <w:tcPr>
                  <w:tcW w:type="dxa" w:w="2179"/>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center"/>
                  </w:pPr>
                  <w:r>
                    <w:rPr>
                      <w:sz w:val="21"/>
                    </w:rPr>
                    <w:t>东湖居委</w:t>
                  </w:r>
                </w:p>
              </w:tc>
              <w:tc>
                <w:tcPr>
                  <w:tcW w:type="dxa" w:w="1947"/>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center"/>
                  </w:pPr>
                  <w:r>
                    <w:rPr>
                      <w:sz w:val="21"/>
                    </w:rPr>
                    <w:t>2000000</w:t>
                  </w:r>
                </w:p>
              </w:tc>
              <w:tc>
                <w:tcPr>
                  <w:tcW w:type="dxa" w:w="722"/>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center"/>
                  </w:pPr>
                </w:p>
              </w:tc>
            </w:tr>
            <w:tr>
              <w:tc>
                <w:tcPr>
                  <w:tcW w:type="dxa" w:w="722"/>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center"/>
                  </w:pPr>
                  <w:r>
                    <w:rPr>
                      <w:sz w:val="21"/>
                    </w:rPr>
                    <w:t>11</w:t>
                  </w:r>
                </w:p>
              </w:tc>
              <w:tc>
                <w:tcPr>
                  <w:tcW w:type="dxa" w:w="2179"/>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center"/>
                  </w:pPr>
                  <w:r>
                    <w:rPr>
                      <w:sz w:val="21"/>
                    </w:rPr>
                    <w:t>城东居委</w:t>
                  </w:r>
                </w:p>
              </w:tc>
              <w:tc>
                <w:tcPr>
                  <w:tcW w:type="dxa" w:w="1947"/>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center"/>
                  </w:pPr>
                  <w:r>
                    <w:rPr>
                      <w:sz w:val="21"/>
                    </w:rPr>
                    <w:t>1300000</w:t>
                  </w:r>
                </w:p>
              </w:tc>
              <w:tc>
                <w:tcPr>
                  <w:tcW w:type="dxa" w:w="722"/>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center"/>
                  </w:pPr>
                </w:p>
              </w:tc>
            </w:tr>
            <w:tr>
              <w:tc>
                <w:tcPr>
                  <w:tcW w:type="dxa" w:w="722"/>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center"/>
                  </w:pPr>
                  <w:r>
                    <w:rPr>
                      <w:sz w:val="21"/>
                    </w:rPr>
                    <w:t>12</w:t>
                  </w:r>
                </w:p>
              </w:tc>
              <w:tc>
                <w:tcPr>
                  <w:tcW w:type="dxa" w:w="2179"/>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center"/>
                  </w:pPr>
                  <w:r>
                    <w:rPr>
                      <w:sz w:val="21"/>
                    </w:rPr>
                    <w:t>兴华居委</w:t>
                  </w:r>
                </w:p>
              </w:tc>
              <w:tc>
                <w:tcPr>
                  <w:tcW w:type="dxa" w:w="1947"/>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center"/>
                  </w:pPr>
                  <w:r>
                    <w:rPr>
                      <w:sz w:val="21"/>
                    </w:rPr>
                    <w:t>2000000</w:t>
                  </w:r>
                </w:p>
              </w:tc>
              <w:tc>
                <w:tcPr>
                  <w:tcW w:type="dxa" w:w="722"/>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center"/>
                  </w:pPr>
                </w:p>
              </w:tc>
            </w:tr>
            <w:tr>
              <w:tc>
                <w:tcPr>
                  <w:tcW w:type="dxa" w:w="722"/>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center"/>
                  </w:pPr>
                  <w:r>
                    <w:rPr>
                      <w:sz w:val="21"/>
                    </w:rPr>
                    <w:t>13</w:t>
                  </w:r>
                </w:p>
              </w:tc>
              <w:tc>
                <w:tcPr>
                  <w:tcW w:type="dxa" w:w="2179"/>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center"/>
                  </w:pPr>
                  <w:r>
                    <w:rPr>
                      <w:sz w:val="21"/>
                    </w:rPr>
                    <w:t>竹园居委</w:t>
                  </w:r>
                </w:p>
              </w:tc>
              <w:tc>
                <w:tcPr>
                  <w:tcW w:type="dxa" w:w="1947"/>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center"/>
                  </w:pPr>
                  <w:r>
                    <w:rPr>
                      <w:sz w:val="21"/>
                    </w:rPr>
                    <w:t>1500000</w:t>
                  </w:r>
                </w:p>
              </w:tc>
              <w:tc>
                <w:tcPr>
                  <w:tcW w:type="dxa" w:w="722"/>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center"/>
                  </w:pPr>
                </w:p>
              </w:tc>
            </w:tr>
            <w:tr>
              <w:tc>
                <w:tcPr>
                  <w:tcW w:type="dxa" w:w="722"/>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center"/>
                  </w:pPr>
                  <w:r>
                    <w:rPr>
                      <w:sz w:val="21"/>
                    </w:rPr>
                    <w:t>14</w:t>
                  </w:r>
                </w:p>
              </w:tc>
              <w:tc>
                <w:tcPr>
                  <w:tcW w:type="dxa" w:w="2179"/>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center"/>
                  </w:pPr>
                  <w:r>
                    <w:rPr>
                      <w:sz w:val="21"/>
                    </w:rPr>
                    <w:t>龙脊居委</w:t>
                  </w:r>
                </w:p>
              </w:tc>
              <w:tc>
                <w:tcPr>
                  <w:tcW w:type="dxa" w:w="1947"/>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center"/>
                  </w:pPr>
                  <w:r>
                    <w:rPr>
                      <w:sz w:val="21"/>
                    </w:rPr>
                    <w:t>1000000</w:t>
                  </w:r>
                </w:p>
              </w:tc>
              <w:tc>
                <w:tcPr>
                  <w:tcW w:type="dxa" w:w="722"/>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center"/>
                  </w:pPr>
                </w:p>
              </w:tc>
            </w:tr>
            <w:tr>
              <w:tc>
                <w:tcPr>
                  <w:tcW w:type="dxa" w:w="722"/>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center"/>
                  </w:pPr>
                  <w:r>
                    <w:rPr>
                      <w:sz w:val="21"/>
                    </w:rPr>
                    <w:t>15</w:t>
                  </w:r>
                </w:p>
              </w:tc>
              <w:tc>
                <w:tcPr>
                  <w:tcW w:type="dxa" w:w="2179"/>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center"/>
                  </w:pPr>
                  <w:r>
                    <w:rPr>
                      <w:sz w:val="21"/>
                    </w:rPr>
                    <w:t>城南村委会</w:t>
                  </w:r>
                </w:p>
              </w:tc>
              <w:tc>
                <w:tcPr>
                  <w:tcW w:type="dxa" w:w="1947"/>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center"/>
                  </w:pPr>
                  <w:r>
                    <w:rPr>
                      <w:sz w:val="21"/>
                    </w:rPr>
                    <w:t>420000</w:t>
                  </w:r>
                </w:p>
              </w:tc>
              <w:tc>
                <w:tcPr>
                  <w:tcW w:type="dxa" w:w="722"/>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center"/>
                  </w:pPr>
                </w:p>
              </w:tc>
            </w:tr>
            <w:tr>
              <w:tc>
                <w:tcPr>
                  <w:tcW w:type="dxa" w:w="722"/>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center"/>
                  </w:pPr>
                  <w:r>
                    <w:rPr>
                      <w:sz w:val="21"/>
                    </w:rPr>
                    <w:t>16</w:t>
                  </w:r>
                </w:p>
              </w:tc>
              <w:tc>
                <w:tcPr>
                  <w:tcW w:type="dxa" w:w="2179"/>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center"/>
                  </w:pPr>
                  <w:r>
                    <w:rPr>
                      <w:sz w:val="21"/>
                    </w:rPr>
                    <w:t>城北村委会</w:t>
                  </w:r>
                </w:p>
              </w:tc>
              <w:tc>
                <w:tcPr>
                  <w:tcW w:type="dxa" w:w="1947"/>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center"/>
                  </w:pPr>
                  <w:r>
                    <w:rPr>
                      <w:sz w:val="21"/>
                    </w:rPr>
                    <w:t>1000000</w:t>
                  </w:r>
                </w:p>
              </w:tc>
              <w:tc>
                <w:tcPr>
                  <w:tcW w:type="dxa" w:w="722"/>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center"/>
                  </w:pPr>
                </w:p>
              </w:tc>
            </w:tr>
            <w:tr>
              <w:tc>
                <w:tcPr>
                  <w:tcW w:type="dxa" w:w="722"/>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center"/>
                  </w:pPr>
                  <w:r>
                    <w:rPr>
                      <w:sz w:val="21"/>
                    </w:rPr>
                    <w:t>17</w:t>
                  </w:r>
                </w:p>
              </w:tc>
              <w:tc>
                <w:tcPr>
                  <w:tcW w:type="dxa" w:w="2179"/>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center"/>
                  </w:pPr>
                  <w:r>
                    <w:rPr>
                      <w:sz w:val="21"/>
                    </w:rPr>
                    <w:t>城郊村委会</w:t>
                  </w:r>
                </w:p>
              </w:tc>
              <w:tc>
                <w:tcPr>
                  <w:tcW w:type="dxa" w:w="1947"/>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center"/>
                  </w:pPr>
                  <w:r>
                    <w:rPr>
                      <w:sz w:val="21"/>
                    </w:rPr>
                    <w:t>500000</w:t>
                  </w:r>
                </w:p>
              </w:tc>
              <w:tc>
                <w:tcPr>
                  <w:tcW w:type="dxa" w:w="722"/>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center"/>
                  </w:pPr>
                </w:p>
              </w:tc>
            </w:tr>
            <w:tr>
              <w:tc>
                <w:tcPr>
                  <w:tcW w:type="dxa" w:w="722"/>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center"/>
                  </w:pPr>
                  <w:r>
                    <w:rPr>
                      <w:sz w:val="21"/>
                    </w:rPr>
                    <w:t>18</w:t>
                  </w:r>
                </w:p>
              </w:tc>
              <w:tc>
                <w:tcPr>
                  <w:tcW w:type="dxa" w:w="2179"/>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center"/>
                  </w:pPr>
                  <w:r>
                    <w:rPr>
                      <w:sz w:val="21"/>
                    </w:rPr>
                    <w:t>垌尾村委会</w:t>
                  </w:r>
                </w:p>
              </w:tc>
              <w:tc>
                <w:tcPr>
                  <w:tcW w:type="dxa" w:w="1947"/>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center"/>
                  </w:pPr>
                  <w:r>
                    <w:rPr>
                      <w:sz w:val="21"/>
                    </w:rPr>
                    <w:t>100000</w:t>
                  </w:r>
                </w:p>
              </w:tc>
              <w:tc>
                <w:tcPr>
                  <w:tcW w:type="dxa" w:w="722"/>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center"/>
                  </w:pPr>
                </w:p>
              </w:tc>
            </w:tr>
            <w:tr>
              <w:tc>
                <w:tcPr>
                  <w:tcW w:type="dxa" w:w="722"/>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center"/>
                  </w:pPr>
                  <w:r>
                    <w:rPr>
                      <w:sz w:val="21"/>
                    </w:rPr>
                    <w:t>19</w:t>
                  </w:r>
                </w:p>
              </w:tc>
              <w:tc>
                <w:tcPr>
                  <w:tcW w:type="dxa" w:w="2179"/>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center"/>
                  </w:pPr>
                  <w:r>
                    <w:rPr>
                      <w:sz w:val="21"/>
                    </w:rPr>
                    <w:t>西堤社区</w:t>
                  </w:r>
                </w:p>
              </w:tc>
              <w:tc>
                <w:tcPr>
                  <w:tcW w:type="dxa" w:w="1947"/>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center"/>
                  </w:pPr>
                  <w:r>
                    <w:rPr>
                      <w:sz w:val="21"/>
                    </w:rPr>
                    <w:t>2000000</w:t>
                  </w:r>
                </w:p>
              </w:tc>
              <w:tc>
                <w:tcPr>
                  <w:tcW w:type="dxa" w:w="722"/>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center"/>
                  </w:pPr>
                </w:p>
              </w:tc>
            </w:tr>
            <w:tr>
              <w:tc>
                <w:tcPr>
                  <w:tcW w:type="dxa" w:w="722"/>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center"/>
                  </w:pPr>
                  <w:r>
                    <w:rPr>
                      <w:sz w:val="21"/>
                    </w:rPr>
                    <w:t>20</w:t>
                  </w:r>
                </w:p>
              </w:tc>
              <w:tc>
                <w:tcPr>
                  <w:tcW w:type="dxa" w:w="2179"/>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center"/>
                  </w:pPr>
                  <w:r>
                    <w:rPr>
                      <w:sz w:val="21"/>
                    </w:rPr>
                    <w:t>绵登社区</w:t>
                  </w:r>
                </w:p>
              </w:tc>
              <w:tc>
                <w:tcPr>
                  <w:tcW w:type="dxa" w:w="1947"/>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center"/>
                  </w:pPr>
                  <w:r>
                    <w:rPr>
                      <w:sz w:val="21"/>
                    </w:rPr>
                    <w:t>2800000</w:t>
                  </w:r>
                </w:p>
              </w:tc>
              <w:tc>
                <w:tcPr>
                  <w:tcW w:type="dxa" w:w="722"/>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center"/>
                  </w:pPr>
                </w:p>
              </w:tc>
            </w:tr>
            <w:tr>
              <w:tc>
                <w:tcPr>
                  <w:tcW w:type="dxa" w:w="722"/>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center"/>
                  </w:pPr>
                  <w:r>
                    <w:rPr>
                      <w:sz w:val="21"/>
                    </w:rPr>
                    <w:t>21</w:t>
                  </w:r>
                </w:p>
              </w:tc>
              <w:tc>
                <w:tcPr>
                  <w:tcW w:type="dxa" w:w="2179"/>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center"/>
                  </w:pPr>
                  <w:r>
                    <w:rPr>
                      <w:sz w:val="21"/>
                    </w:rPr>
                    <w:t>泰安社区</w:t>
                  </w:r>
                </w:p>
              </w:tc>
              <w:tc>
                <w:tcPr>
                  <w:tcW w:type="dxa" w:w="1947"/>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center"/>
                  </w:pPr>
                  <w:r>
                    <w:rPr>
                      <w:sz w:val="21"/>
                    </w:rPr>
                    <w:t>1500000</w:t>
                  </w:r>
                </w:p>
              </w:tc>
              <w:tc>
                <w:tcPr>
                  <w:tcW w:type="dxa" w:w="722"/>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center"/>
                  </w:pPr>
                </w:p>
              </w:tc>
            </w:tr>
            <w:tr>
              <w:tc>
                <w:tcPr>
                  <w:tcW w:type="dxa" w:w="722"/>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center"/>
                  </w:pPr>
                  <w:r>
                    <w:rPr>
                      <w:sz w:val="21"/>
                    </w:rPr>
                    <w:t>22</w:t>
                  </w:r>
                </w:p>
              </w:tc>
              <w:tc>
                <w:tcPr>
                  <w:tcW w:type="dxa" w:w="2179"/>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center"/>
                  </w:pPr>
                  <w:r>
                    <w:rPr>
                      <w:sz w:val="21"/>
                    </w:rPr>
                    <w:t>站前社区</w:t>
                  </w:r>
                </w:p>
              </w:tc>
              <w:tc>
                <w:tcPr>
                  <w:tcW w:type="dxa" w:w="1947"/>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center"/>
                  </w:pPr>
                  <w:r>
                    <w:rPr>
                      <w:sz w:val="21"/>
                    </w:rPr>
                    <w:t>1000000</w:t>
                  </w:r>
                </w:p>
              </w:tc>
              <w:tc>
                <w:tcPr>
                  <w:tcW w:type="dxa" w:w="722"/>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center"/>
                  </w:pPr>
                </w:p>
              </w:tc>
            </w:tr>
            <w:tr>
              <w:tc>
                <w:tcPr>
                  <w:tcW w:type="dxa" w:w="722"/>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center"/>
                  </w:pPr>
                  <w:r>
                    <w:rPr>
                      <w:sz w:val="21"/>
                    </w:rPr>
                    <w:t>23</w:t>
                  </w:r>
                </w:p>
              </w:tc>
              <w:tc>
                <w:tcPr>
                  <w:tcW w:type="dxa" w:w="2179"/>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center"/>
                  </w:pPr>
                  <w:r>
                    <w:rPr>
                      <w:sz w:val="21"/>
                    </w:rPr>
                    <w:t>渔业社区</w:t>
                  </w:r>
                </w:p>
              </w:tc>
              <w:tc>
                <w:tcPr>
                  <w:tcW w:type="dxa" w:w="1947"/>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center"/>
                  </w:pPr>
                  <w:r>
                    <w:rPr>
                      <w:sz w:val="21"/>
                    </w:rPr>
                    <w:t>2000000</w:t>
                  </w:r>
                </w:p>
              </w:tc>
              <w:tc>
                <w:tcPr>
                  <w:tcW w:type="dxa" w:w="722"/>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center"/>
                  </w:pPr>
                </w:p>
              </w:tc>
            </w:tr>
            <w:tr>
              <w:tc>
                <w:tcPr>
                  <w:tcW w:type="dxa" w:w="722"/>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center"/>
                  </w:pPr>
                  <w:r>
                    <w:rPr>
                      <w:sz w:val="21"/>
                    </w:rPr>
                    <w:t>24</w:t>
                  </w:r>
                </w:p>
              </w:tc>
              <w:tc>
                <w:tcPr>
                  <w:tcW w:type="dxa" w:w="2179"/>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center"/>
                  </w:pPr>
                  <w:r>
                    <w:rPr>
                      <w:sz w:val="21"/>
                    </w:rPr>
                    <w:t>升平村委会</w:t>
                  </w:r>
                </w:p>
              </w:tc>
              <w:tc>
                <w:tcPr>
                  <w:tcW w:type="dxa" w:w="1947"/>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center"/>
                  </w:pPr>
                  <w:r>
                    <w:rPr>
                      <w:sz w:val="21"/>
                    </w:rPr>
                    <w:t>730000</w:t>
                  </w:r>
                </w:p>
              </w:tc>
              <w:tc>
                <w:tcPr>
                  <w:tcW w:type="dxa" w:w="722"/>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center"/>
                  </w:pPr>
                </w:p>
              </w:tc>
            </w:tr>
            <w:tr>
              <w:tc>
                <w:tcPr>
                  <w:tcW w:type="dxa" w:w="722"/>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center"/>
                  </w:pPr>
                  <w:r>
                    <w:rPr>
                      <w:sz w:val="21"/>
                    </w:rPr>
                    <w:t>25</w:t>
                  </w:r>
                </w:p>
              </w:tc>
              <w:tc>
                <w:tcPr>
                  <w:tcW w:type="dxa" w:w="2179"/>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center"/>
                  </w:pPr>
                  <w:r>
                    <w:rPr>
                      <w:sz w:val="21"/>
                    </w:rPr>
                    <w:t>龙岩村委会</w:t>
                  </w:r>
                </w:p>
              </w:tc>
              <w:tc>
                <w:tcPr>
                  <w:tcW w:type="dxa" w:w="1947"/>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center"/>
                  </w:pPr>
                  <w:r>
                    <w:rPr>
                      <w:sz w:val="21"/>
                    </w:rPr>
                    <w:t>1000000</w:t>
                  </w:r>
                </w:p>
              </w:tc>
              <w:tc>
                <w:tcPr>
                  <w:tcW w:type="dxa" w:w="722"/>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center"/>
                  </w:pPr>
                </w:p>
              </w:tc>
            </w:tr>
            <w:tr>
              <w:tc>
                <w:tcPr>
                  <w:tcW w:type="dxa" w:w="722"/>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center"/>
                  </w:pPr>
                  <w:r>
                    <w:rPr>
                      <w:sz w:val="21"/>
                    </w:rPr>
                    <w:t>26</w:t>
                  </w:r>
                </w:p>
              </w:tc>
              <w:tc>
                <w:tcPr>
                  <w:tcW w:type="dxa" w:w="2179"/>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center"/>
                  </w:pPr>
                  <w:r>
                    <w:rPr>
                      <w:sz w:val="21"/>
                    </w:rPr>
                    <w:t>大安管理处</w:t>
                  </w:r>
                </w:p>
              </w:tc>
              <w:tc>
                <w:tcPr>
                  <w:tcW w:type="dxa" w:w="1947"/>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center"/>
                  </w:pPr>
                  <w:r>
                    <w:rPr>
                      <w:sz w:val="21"/>
                    </w:rPr>
                    <w:t>600000</w:t>
                  </w:r>
                </w:p>
              </w:tc>
              <w:tc>
                <w:tcPr>
                  <w:tcW w:type="dxa" w:w="722"/>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center"/>
                  </w:pPr>
                </w:p>
              </w:tc>
            </w:tr>
            <w:tr>
              <w:tc>
                <w:tcPr>
                  <w:tcW w:type="dxa" w:w="2901"/>
                  <w:gridSpan w:val="2"/>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center"/>
                  </w:pPr>
                  <w:r>
                    <w:rPr>
                      <w:sz w:val="21"/>
                      <w:b/>
                    </w:rPr>
                    <w:t>小计</w:t>
                  </w:r>
                </w:p>
              </w:tc>
              <w:tc>
                <w:tcPr>
                  <w:tcW w:type="dxa" w:w="1947"/>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center"/>
                  </w:pPr>
                  <w:r>
                    <w:rPr>
                      <w:sz w:val="21"/>
                      <w:b/>
                    </w:rPr>
                    <w:t>35000000</w:t>
                  </w:r>
                </w:p>
              </w:tc>
              <w:tc>
                <w:tcPr>
                  <w:tcW w:type="dxa" w:w="722"/>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center"/>
                  </w:pP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供应商须知</w:t>
      </w:r>
    </w:p>
    <w:p>
      <w:pPr>
        <w:pStyle w:val="null3"/>
        <w:ind w:firstLine="480"/>
      </w:pPr>
      <w:r>
        <w:rPr/>
        <w:t xml:space="preserve"> 供应商必须认真阅读磋商文件中所有的事项、格式、条款和采购需求等。供应商没有按照磋商文件要求提交全部资料，或者响应文件没有对磋商文件在各方面都做出实质性响应的可能导致其响应无效或被拒绝。</w:t>
      </w:r>
    </w:p>
    <w:p>
      <w:pPr>
        <w:pStyle w:val="null3"/>
        <w:ind w:firstLine="480"/>
      </w:pPr>
      <w:r>
        <w:rPr/>
        <w:t>请注意：供应商需在响应文件截止时间前，将加密响应文件上传至云平台项目采购系统中并取得回执，逾期上传或错误方式投递送达将导致响应无效。</w:t>
      </w:r>
    </w:p>
    <w:p>
      <w:pPr>
        <w:pStyle w:val="null3"/>
        <w:outlineLvl w:val="3"/>
      </w:pPr>
      <w:r>
        <w:rPr>
          <w:sz w:val="24"/>
          <w:b/>
        </w:rPr>
        <w:t>一、名词解释</w:t>
      </w:r>
    </w:p>
    <w:p>
      <w:pPr>
        <w:pStyle w:val="null3"/>
        <w:ind w:firstLine="480"/>
      </w:pPr>
      <w:r>
        <w:rPr/>
        <w:t>1.采购代理机构：本项目是指伟创工程咨询（广州）有限公司，负责整个采购活动的组织，依法负责编制和发布磋商文件，对磋商文件拥有最终的解释权，不以任何身份出任磋商小组成员。</w:t>
      </w:r>
    </w:p>
    <w:p>
      <w:pPr>
        <w:pStyle w:val="null3"/>
        <w:ind w:firstLine="480"/>
      </w:pPr>
      <w:r>
        <w:rPr/>
        <w:t xml:space="preserve"> 2.采购人：本项目是指</w:t>
      </w:r>
      <w:r>
        <w:rPr/>
        <w:t>阳春市卫生健康局</w:t>
      </w:r>
      <w:r>
        <w:rPr/>
        <w:t>，是采购活动当事人之一，负责项目的整体规划、技术方案可行性设计论证与实施，作为合同采购方（用户）的主体承担质疑回复、履行合同、验收与评价等义务。</w:t>
      </w:r>
    </w:p>
    <w:p>
      <w:pPr>
        <w:pStyle w:val="null3"/>
        <w:ind w:firstLine="480"/>
      </w:pPr>
      <w:r>
        <w:rPr/>
        <w:t>3.供应商：是指在云平台项目采购系统完成本项目响应登记并提交电子响应文件的供应商。</w:t>
      </w:r>
    </w:p>
    <w:p>
      <w:pPr>
        <w:pStyle w:val="null3"/>
        <w:ind w:firstLine="480"/>
      </w:pPr>
      <w:r>
        <w:rPr/>
        <w:t>4.“磋商小组”是指根据《中华人民共和国政府采购法》等法律法规规定，由采购人代表和有关专家组成以确定成交供应商或者推荐成交候选供应商的临时组织。</w:t>
      </w:r>
    </w:p>
    <w:p>
      <w:pPr>
        <w:pStyle w:val="null3"/>
        <w:ind w:firstLine="480"/>
      </w:pPr>
      <w:r>
        <w:rPr/>
        <w:t>5.“成交供应商”是指经磋商小组评审确定的对磋商文件做出实质性响应，经采购人按照规定在磋商小组推荐的成交候选供应商中确定的或磋商小组受采购人委托直接确认的供应商。</w:t>
      </w:r>
    </w:p>
    <w:p>
      <w:pPr>
        <w:pStyle w:val="null3"/>
        <w:ind w:firstLine="480"/>
      </w:pPr>
      <w:r>
        <w:rPr/>
        <w:t>6.磋商文件：是指包括磋商公告和磋商文件及其补充、变更和澄清等一系列文件。</w:t>
      </w:r>
    </w:p>
    <w:p>
      <w:pPr>
        <w:pStyle w:val="null3"/>
        <w:ind w:firstLine="480"/>
      </w:pPr>
      <w:r>
        <w:rPr/>
        <w:t>7.电子响应文件：是指使用云平台提供的投标客户端制作加密并上传到系统的响应文件。（投标客户端制作响应文件时，生成的后缀为“.标书”的文件）</w:t>
      </w:r>
    </w:p>
    <w:p>
      <w:pPr>
        <w:pStyle w:val="null3"/>
        <w:ind w:firstLine="480"/>
      </w:pPr>
      <w:r>
        <w:rPr/>
        <w:t>8.备用电子响应文件：是指使用云平台提供的投标客户端制作电子响应文件时，同时生成的同一版本的备用响应文件。（投标客户端制作响应文件时，生成的后缀为“.备用标书”的文件）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本表与磋商文件对应章节的内容若不一致，以本表为准。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jc w:val="center"/>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jc w:val="center"/>
            </w:pPr>
            <w:r>
              <w:rPr/>
              <w:t xml:space="preserve"> 2</w:t>
            </w:r>
          </w:p>
        </w:tc>
        <w:tc>
          <w:tcPr>
            <w:tcW w:type="dxa" w:w="2252"/>
          </w:tcPr>
          <w:p>
            <w:pPr>
              <w:pStyle w:val="null3"/>
            </w:pPr>
            <w:r>
              <w:rPr/>
              <w:t xml:space="preserve"> 开启方式</w:t>
            </w:r>
          </w:p>
        </w:tc>
        <w:tc>
          <w:tcPr>
            <w:tcW w:type="dxa" w:w="5004"/>
          </w:tcPr>
          <w:p>
            <w:pPr>
              <w:pStyle w:val="null3"/>
            </w:pPr>
            <w:r>
              <w:rPr/>
              <w:t>远程电子开标</w:t>
            </w:r>
          </w:p>
        </w:tc>
      </w:tr>
      <w:tr>
        <w:tc>
          <w:tcPr>
            <w:tcW w:type="dxa" w:w="1051"/>
          </w:tcPr>
          <w:p>
            <w:pPr>
              <w:pStyle w:val="null3"/>
              <w:jc w:val="center"/>
            </w:pPr>
            <w:r>
              <w:rPr/>
              <w:t xml:space="preserve"> 3</w:t>
            </w:r>
          </w:p>
        </w:tc>
        <w:tc>
          <w:tcPr>
            <w:tcW w:type="dxa" w:w="2252"/>
          </w:tcPr>
          <w:p>
            <w:pPr>
              <w:pStyle w:val="null3"/>
            </w:pPr>
            <w:r>
              <w:rPr/>
              <w:t xml:space="preserve"> 评审方式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jc w:val="center"/>
            </w:pPr>
            <w:r>
              <w:rPr/>
              <w:t xml:space="preserve"> 4</w:t>
            </w:r>
          </w:p>
        </w:tc>
        <w:tc>
          <w:tcPr>
            <w:tcW w:type="dxa" w:w="2252"/>
          </w:tcPr>
          <w:p>
            <w:pPr>
              <w:pStyle w:val="null3"/>
            </w:pPr>
            <w:r>
              <w:rPr/>
              <w:t xml:space="preserve"> 评审办法</w:t>
            </w:r>
          </w:p>
        </w:tc>
        <w:tc>
          <w:tcPr>
            <w:tcW w:type="dxa" w:w="5004"/>
          </w:tcPr>
          <w:p>
            <w:pPr>
              <w:pStyle w:val="null3"/>
            </w:pPr>
            <w:r>
              <w:rPr/>
              <w:t>采购包1：综合评分法</w:t>
            </w:r>
          </w:p>
        </w:tc>
      </w:tr>
      <w:tr>
        <w:tc>
          <w:tcPr>
            <w:tcW w:type="dxa" w:w="1051"/>
          </w:tcPr>
          <w:p>
            <w:pPr>
              <w:pStyle w:val="null3"/>
              <w:jc w:val="center"/>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jc w:val="center"/>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jc w:val="center"/>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jc w:val="center"/>
            </w:pPr>
            <w:r>
              <w:rPr/>
              <w:t xml:space="preserve"> 8</w:t>
            </w:r>
          </w:p>
        </w:tc>
        <w:tc>
          <w:tcPr>
            <w:tcW w:type="dxa" w:w="2252"/>
          </w:tcPr>
          <w:p>
            <w:pPr>
              <w:pStyle w:val="null3"/>
            </w:pPr>
            <w:r>
              <w:rPr/>
              <w:t xml:space="preserve"> 响应有效期</w:t>
            </w:r>
          </w:p>
        </w:tc>
        <w:tc>
          <w:tcPr>
            <w:tcW w:type="dxa" w:w="5004"/>
          </w:tcPr>
          <w:p>
            <w:pPr>
              <w:pStyle w:val="null3"/>
            </w:pPr>
            <w:r>
              <w:rPr/>
              <w:t>从提交投标（响应）文件的截止之日起90日历天</w:t>
            </w:r>
          </w:p>
        </w:tc>
      </w:tr>
      <w:tr>
        <w:tc>
          <w:tcPr>
            <w:tcW w:type="dxa" w:w="1051"/>
          </w:tcPr>
          <w:p>
            <w:pPr>
              <w:pStyle w:val="null3"/>
              <w:jc w:val="center"/>
            </w:pPr>
            <w:r>
              <w:rPr/>
              <w:t xml:space="preserve"> 9</w:t>
            </w:r>
          </w:p>
        </w:tc>
        <w:tc>
          <w:tcPr>
            <w:tcW w:type="dxa" w:w="2252"/>
          </w:tcPr>
          <w:p>
            <w:pPr>
              <w:pStyle w:val="null3"/>
            </w:pPr>
            <w:r>
              <w:rPr/>
              <w:t xml:space="preserve"> 响应保证金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pPr>
            <w:r>
              <w:rPr/>
              <w:t>响应保证金有效期∶与响应有效期一致。</w:t>
            </w:r>
          </w:p>
          <w:p>
            <w:pPr>
              <w:pStyle w:val="null3"/>
            </w:pPr>
            <w:r>
              <w:rPr/>
              <w:t>响应保函提交方式：供应商可通过"广东政府采购智慧云平台金融服务中心"(http://gdgpo.czt.gd.gov.cn/zcdservice/zcd/guangdong/)，申请办理响应担保函、保险（保证）凭证，成功出函的等效于现金缴纳响应保证金。</w:t>
            </w:r>
          </w:p>
        </w:tc>
      </w:tr>
      <w:tr>
        <w:tc>
          <w:tcPr>
            <w:tcW w:type="dxa" w:w="1051"/>
          </w:tcPr>
          <w:p>
            <w:pPr>
              <w:pStyle w:val="null3"/>
              <w:jc w:val="center"/>
            </w:pPr>
            <w:r>
              <w:rPr/>
              <w:t xml:space="preserve"> 10</w:t>
            </w:r>
          </w:p>
        </w:tc>
        <w:tc>
          <w:tcPr>
            <w:tcW w:type="dxa" w:w="2252"/>
          </w:tcPr>
          <w:p>
            <w:pPr>
              <w:pStyle w:val="null3"/>
            </w:pPr>
            <w:r>
              <w:rPr/>
              <w:t xml:space="preserve"> 成交候选供应商推荐家数</w:t>
            </w:r>
          </w:p>
        </w:tc>
        <w:tc>
          <w:tcPr>
            <w:tcW w:type="dxa" w:w="5004"/>
          </w:tcPr>
          <w:p>
            <w:pPr>
              <w:pStyle w:val="null3"/>
            </w:pPr>
            <w:r>
              <w:rPr/>
              <w:t>采购包1：</w:t>
            </w:r>
            <w:r>
              <w:rPr/>
              <w:t>3家</w:t>
            </w:r>
          </w:p>
        </w:tc>
      </w:tr>
      <w:tr>
        <w:tc>
          <w:tcPr>
            <w:tcW w:type="dxa" w:w="1051"/>
          </w:tcPr>
          <w:p>
            <w:pPr>
              <w:pStyle w:val="null3"/>
              <w:jc w:val="center"/>
            </w:pPr>
            <w:r>
              <w:rPr/>
              <w:t>11</w:t>
            </w:r>
          </w:p>
        </w:tc>
        <w:tc>
          <w:tcPr>
            <w:tcW w:type="dxa" w:w="2252"/>
          </w:tcPr>
          <w:p>
            <w:pPr>
              <w:pStyle w:val="null3"/>
            </w:pPr>
            <w:r>
              <w:rPr/>
              <w:t xml:space="preserve"> 成交供应商家数</w:t>
            </w:r>
          </w:p>
        </w:tc>
        <w:tc>
          <w:tcPr>
            <w:tcW w:type="dxa" w:w="5004"/>
          </w:tcPr>
          <w:p>
            <w:pPr>
              <w:pStyle w:val="null3"/>
            </w:pPr>
            <w:r>
              <w:rPr/>
              <w:t>采购包1：</w:t>
            </w:r>
            <w:r>
              <w:rPr/>
              <w:t>1家</w:t>
            </w:r>
          </w:p>
        </w:tc>
      </w:tr>
      <w:tr>
        <w:tc>
          <w:tcPr>
            <w:tcW w:type="dxa" w:w="1051"/>
          </w:tcPr>
          <w:p>
            <w:pPr>
              <w:pStyle w:val="null3"/>
              <w:jc w:val="center"/>
            </w:pPr>
            <w:r>
              <w:rPr/>
              <w:t>12</w:t>
            </w:r>
          </w:p>
        </w:tc>
        <w:tc>
          <w:tcPr>
            <w:tcW w:type="dxa" w:w="2252"/>
          </w:tcPr>
          <w:p>
            <w:pPr>
              <w:pStyle w:val="null3"/>
            </w:pPr>
            <w:r>
              <w:rPr/>
              <w:t xml:space="preserve"> 有效供应商家数</w:t>
            </w:r>
          </w:p>
        </w:tc>
        <w:tc>
          <w:tcPr>
            <w:tcW w:type="dxa" w:w="5004"/>
          </w:tcPr>
          <w:p>
            <w:pPr>
              <w:pStyle w:val="null3"/>
              <w:jc w:val="left"/>
            </w:pPr>
            <w:r>
              <w:rPr/>
              <w:t>采购包1：3家</w:t>
            </w:r>
          </w:p>
          <w:p>
            <w:pPr>
              <w:pStyle w:val="null3"/>
            </w:pPr>
            <w:r>
              <w:rPr/>
              <w:t>此人数约定了开启与评审过程中的最低有效供应商家数，当家数不足时项目将不得开启、不得评审或直接终止采购。</w:t>
            </w:r>
          </w:p>
        </w:tc>
      </w:tr>
      <w:tr>
        <w:tc>
          <w:tcPr>
            <w:tcW w:type="dxa" w:w="1051"/>
          </w:tcPr>
          <w:p>
            <w:pPr>
              <w:pStyle w:val="null3"/>
              <w:jc w:val="center"/>
            </w:pPr>
            <w:r>
              <w:rPr/>
              <w:t>13</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jc w:val="center"/>
            </w:pPr>
            <w:r>
              <w:rPr/>
              <w:t>14</w:t>
            </w:r>
          </w:p>
        </w:tc>
        <w:tc>
          <w:tcPr>
            <w:tcW w:type="dxa" w:w="2252"/>
          </w:tcPr>
          <w:p>
            <w:pPr>
              <w:pStyle w:val="null3"/>
            </w:pPr>
            <w:r>
              <w:rPr/>
              <w:t xml:space="preserve"> 成交供应商确定方式</w:t>
            </w:r>
          </w:p>
        </w:tc>
        <w:tc>
          <w:tcPr>
            <w:tcW w:type="dxa" w:w="5004"/>
          </w:tcPr>
          <w:p>
            <w:pPr>
              <w:pStyle w:val="null3"/>
            </w:pPr>
            <w:r>
              <w:rPr/>
              <w:t>采购人按照评审报告中推荐的成交候选人确定中标（成交）人。</w:t>
            </w:r>
          </w:p>
        </w:tc>
      </w:tr>
      <w:tr>
        <w:tc>
          <w:tcPr>
            <w:tcW w:type="dxa" w:w="1051"/>
          </w:tcPr>
          <w:p>
            <w:pPr>
              <w:pStyle w:val="null3"/>
              <w:jc w:val="center"/>
            </w:pPr>
            <w:r>
              <w:rPr/>
              <w:t>15</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代理服务费按中华人民共和国国家发展计划委员会颁发的计价格[2002]1980号文《招标代理服务收费管理暂行办法》及发改价格[2011]534号文件，以中标金额作为计算基数，采用差额定率累进法，按“服务类”计算。</w:t>
            </w:r>
          </w:p>
        </w:tc>
      </w:tr>
      <w:tr>
        <w:tc>
          <w:tcPr>
            <w:tcW w:type="dxa" w:w="1051"/>
          </w:tcPr>
          <w:p>
            <w:pPr>
              <w:pStyle w:val="null3"/>
              <w:jc w:val="center"/>
            </w:pPr>
            <w:r>
              <w:rPr/>
              <w:t>16</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jc w:val="center"/>
            </w:pPr>
            <w:r>
              <w:rPr/>
              <w:t>17</w:t>
            </w:r>
          </w:p>
        </w:tc>
        <w:tc>
          <w:tcPr>
            <w:tcW w:type="dxa" w:w="2252"/>
          </w:tcPr>
          <w:p>
            <w:pPr>
              <w:pStyle w:val="null3"/>
            </w:pPr>
            <w:r>
              <w:rPr/>
              <w:t xml:space="preserve"> 响应文件要求</w:t>
            </w:r>
          </w:p>
        </w:tc>
        <w:tc>
          <w:tcPr>
            <w:tcW w:type="dxa" w:w="5004"/>
          </w:tcPr>
          <w:p>
            <w:pPr>
              <w:pStyle w:val="null3"/>
              <w:ind w:firstLine="480"/>
            </w:pPr>
            <w:r>
              <w:rPr>
                <w:b/>
              </w:rPr>
              <w:t>一、电子响应文件（必须提供）：</w:t>
            </w:r>
          </w:p>
          <w:p>
            <w:pPr>
              <w:pStyle w:val="null3"/>
              <w:ind w:firstLine="480"/>
            </w:pPr>
            <w:r>
              <w:rPr/>
              <w:t>（1）加密的电子响应文件 1 份（需在递交响应文件截止时间前成功上传至云平台项目采购系统）。</w:t>
            </w:r>
          </w:p>
          <w:p>
            <w:pPr>
              <w:pStyle w:val="null3"/>
              <w:ind w:firstLine="480"/>
            </w:pPr>
            <w:r>
              <w:rPr/>
              <w:t>（2）非加密电子版文件 U 盘(或光盘)</w:t>
            </w:r>
            <w:r>
              <w:rPr/>
              <w:t>0</w:t>
            </w:r>
            <w:r>
              <w:rPr/>
              <w:t>份，加密的电子响应文件与非加密的电子响应文件必须完全一致。</w:t>
            </w:r>
          </w:p>
          <w:p>
            <w:pPr>
              <w:pStyle w:val="null3"/>
              <w:ind w:firstLine="480"/>
            </w:pPr>
            <w:r>
              <w:rPr>
                <w:b/>
              </w:rPr>
              <w:t>非加密电子版响应文件使用情形:</w:t>
            </w:r>
            <w:r>
              <w:rPr/>
              <w:t xml:space="preserve"> 当无法使用 CA 证书在云平台项目采购系统进行电子响应文件开标解密时，供应商须在代理机构指引下启用非加密电子版响应文件。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jc w:val="center"/>
            </w:pPr>
            <w:r>
              <w:rPr/>
              <w:t>18</w:t>
            </w:r>
          </w:p>
        </w:tc>
        <w:tc>
          <w:tcPr>
            <w:tcW w:type="dxa" w:w="2252"/>
          </w:tcPr>
          <w:p>
            <w:pPr>
              <w:pStyle w:val="null3"/>
            </w:pPr>
            <w:r>
              <w:rPr/>
              <w:t xml:space="preserve"> 其他</w:t>
            </w:r>
          </w:p>
        </w:tc>
        <w:tc>
          <w:tcPr>
            <w:tcW w:type="dxa" w:w="5004"/>
          </w:tcPr>
          <w:p/>
        </w:tc>
      </w:tr>
      <w:tr>
        <w:tc>
          <w:tcPr>
            <w:tcW w:type="dxa" w:w="1051"/>
          </w:tcPr>
          <w:p>
            <w:pPr>
              <w:pStyle w:val="null3"/>
              <w:jc w:val="center"/>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jc w:val="center"/>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 xml:space="preserve"> 本磋商文件依据《中华人民共和国政府采购法》、《中华人民共和国政府采购法实施条例》（国务院令第658号）和《政府采购竞争性磋商采购方式管理暂行办法》（财库〔2014〕214号）及国家和广东省有关法律、法规、规章制度编制。</w:t>
      </w:r>
    </w:p>
    <w:p>
      <w:pPr>
        <w:pStyle w:val="null3"/>
        <w:ind w:firstLine="480"/>
      </w:pPr>
      <w:r>
        <w:rPr/>
        <w:t xml:space="preserve"> 供应商应仔细阅读本项目信息公告及磋商文件的所有内容（包括变更、补充、澄清以及修改等，且均为磋商文件的组成部分），按照磋商文件要求以及格式编制响应文件，并保证其真实性，否则一切后果自负。</w:t>
      </w:r>
    </w:p>
    <w:p>
      <w:pPr>
        <w:pStyle w:val="null3"/>
        <w:ind w:firstLine="480"/>
      </w:pPr>
      <w:r>
        <w:rPr/>
        <w:t>本次竞争性磋商项目，是以磋商公告的方式邀请非特定的供应商参加磋商。</w:t>
      </w:r>
    </w:p>
    <w:p>
      <w:pPr>
        <w:pStyle w:val="null3"/>
        <w:outlineLvl w:val="3"/>
      </w:pPr>
      <w:r>
        <w:rPr>
          <w:sz w:val="24"/>
          <w:b/>
        </w:rPr>
        <w:t>2.适用范围</w:t>
      </w:r>
    </w:p>
    <w:p>
      <w:pPr>
        <w:pStyle w:val="null3"/>
        <w:ind w:firstLine="480"/>
      </w:pPr>
      <w:r>
        <w:rPr/>
        <w:t>本磋商文件仅适用于本次磋商公告中所涉及的项目和内容。</w:t>
      </w:r>
    </w:p>
    <w:p>
      <w:pPr>
        <w:pStyle w:val="null3"/>
        <w:outlineLvl w:val="3"/>
      </w:pPr>
      <w:r>
        <w:rPr>
          <w:sz w:val="24"/>
          <w:b/>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4.磋商费用</w:t>
      </w:r>
    </w:p>
    <w:p>
      <w:pPr>
        <w:pStyle w:val="null3"/>
        <w:ind w:firstLine="480"/>
      </w:pPr>
      <w:r>
        <w:rPr/>
        <w:t>不论磋商结果如何，供应商应承担所有与准备和参加磋商有关的费用。采购代理机构和采购人均无义务和责任承担相关费用。</w:t>
      </w:r>
    </w:p>
    <w:p>
      <w:pPr>
        <w:pStyle w:val="null3"/>
        <w:outlineLvl w:val="3"/>
      </w:pPr>
      <w:r>
        <w:rPr>
          <w:sz w:val="24"/>
          <w:b/>
        </w:rPr>
        <w:t>5.以联合体形式磋商的，应符合以下规定：</w:t>
      </w:r>
    </w:p>
    <w:p>
      <w:pPr>
        <w:pStyle w:val="null3"/>
        <w:ind w:firstLine="480"/>
      </w:pPr>
      <w:r>
        <w:rPr/>
        <w:t>5.1联合体各方均应当满足《中华人民共和国政府采购法》第二十二条规定的条件，并在响应文件中提供联合体各方的相关证明材料。</w:t>
      </w:r>
    </w:p>
    <w:p>
      <w:pPr>
        <w:pStyle w:val="null3"/>
        <w:ind w:firstLine="480"/>
      </w:pPr>
      <w:r>
        <w:rPr/>
        <w:t xml:space="preserve"> 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pStyle w:val="null3"/>
        <w:ind w:firstLine="480"/>
      </w:pPr>
      <w:r>
        <w:rPr/>
        <w:t xml:space="preserve"> 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6.关联企业响应说明</w:t>
      </w:r>
    </w:p>
    <w:p>
      <w:pPr>
        <w:pStyle w:val="null3"/>
        <w:ind w:firstLine="480"/>
      </w:pPr>
      <w:r>
        <w:rPr/>
        <w:t xml:space="preserve"> 6.1对于不接受联合体响应的采购项目（采购包）：法定代表人或单位负责人为同一个人或者存在直接控股、管理关系的不同供应商，不得同时参加同一项目或同一采购包的响应。如同时参加，则评审时将同时被拒绝。</w:t>
      </w:r>
    </w:p>
    <w:p>
      <w:pPr>
        <w:pStyle w:val="null3"/>
        <w:ind w:firstLine="480"/>
      </w:pPr>
      <w:r>
        <w:rPr/>
        <w:t xml:space="preserve"> 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pPr>
        <w:pStyle w:val="null3"/>
        <w:outlineLvl w:val="3"/>
      </w:pPr>
      <w:r>
        <w:rPr>
          <w:sz w:val="24"/>
          <w:b/>
        </w:rPr>
        <w:t>7.关于中小微企业响应</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pStyle w:val="null3"/>
        <w:ind w:firstLine="480"/>
      </w:pPr>
      <w:r>
        <w:rPr/>
        <w:t>8.2供应商不得与采购人就响应价格、响应方案等实质性内容进行磋商，也不得私下接触磋商小组成员。</w:t>
      </w:r>
    </w:p>
    <w:p>
      <w:pPr>
        <w:pStyle w:val="null3"/>
        <w:ind w:firstLine="480"/>
      </w:pPr>
      <w:r>
        <w:rPr/>
        <w:t>8.3在确定成交供应商之前，供应商试图在响应文件审查、澄清、比较和评价时对磋商小组、采购人和采购代理机构施加任何影响都可能导致其响应无效。</w:t>
      </w:r>
    </w:p>
    <w:p>
      <w:pPr>
        <w:pStyle w:val="null3"/>
        <w:ind w:firstLine="480"/>
      </w:pPr>
      <w:r>
        <w:rPr/>
        <w:t>8.4获得本磋商文件者，须履行本磋商项目下保密义务，不得将因本次磋商获得的信息向第三人外传，不得将磋商文件用作本次响应以外的任何用途。</w:t>
      </w:r>
    </w:p>
    <w:p>
      <w:pPr>
        <w:pStyle w:val="null3"/>
        <w:ind w:firstLine="480"/>
      </w:pPr>
      <w:r>
        <w:rPr/>
        <w:t xml:space="preserve"> 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pStyle w:val="null3"/>
        <w:ind w:firstLine="480"/>
      </w:pPr>
      <w:r>
        <w:rPr/>
        <w:t>8.6采购人或采购代理机构有权将供应商提供的所有资料向有关政府部门或询价小组披露。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9.2除非磋商文件的技术规格中另有规定，供应商在响应文件中及其与采购人和采购代理机构的所有往来文件中的计量单位均应采用中华人民共和国法定计量单位。</w:t>
      </w:r>
    </w:p>
    <w:p>
      <w:pPr>
        <w:pStyle w:val="null3"/>
        <w:ind w:firstLine="480"/>
      </w:pPr>
      <w:r>
        <w:rPr/>
        <w:t>9.3供应商所提供的货物和服务均应以人民币报价，货币单位：元。</w:t>
      </w:r>
    </w:p>
    <w:p>
      <w:pPr>
        <w:pStyle w:val="null3"/>
        <w:outlineLvl w:val="3"/>
      </w:pPr>
      <w:r>
        <w:rPr>
          <w:sz w:val="24"/>
          <w:b/>
        </w:rPr>
        <w:t>10. 现场踏勘（如有）</w:t>
      </w:r>
    </w:p>
    <w:p>
      <w:pPr>
        <w:pStyle w:val="null3"/>
        <w:ind w:firstLine="480"/>
      </w:pPr>
      <w:r>
        <w:rPr/>
        <w:t>10.1磋商文件规定组织踏勘现场的，采购人按磋商文件规定的时间、地点组织供应商踏勘项目现场。</w:t>
      </w:r>
    </w:p>
    <w:p>
      <w:pPr>
        <w:pStyle w:val="null3"/>
        <w:ind w:firstLine="480"/>
      </w:pPr>
      <w:r>
        <w:rPr/>
        <w:t>10.2供应商自行承担踏勘现场发生的责任、风险和自身费用。</w:t>
      </w:r>
    </w:p>
    <w:p>
      <w:pPr>
        <w:pStyle w:val="null3"/>
        <w:ind w:firstLine="480"/>
      </w:pPr>
      <w:r>
        <w:rPr/>
        <w:t>10.3采购人在踏勘现场中介绍的资料和数据等，不构成对磋商文件的修改或不作为供应商编制响应文件的依据。</w:t>
      </w:r>
    </w:p>
    <w:p>
      <w:pPr>
        <w:pStyle w:val="null3"/>
        <w:outlineLvl w:val="2"/>
      </w:pPr>
      <w:r>
        <w:rPr>
          <w:sz w:val="28"/>
          <w:b/>
        </w:rPr>
        <w:t>四、磋商文件的澄清和修改</w:t>
      </w:r>
    </w:p>
    <w:p>
      <w:pPr>
        <w:pStyle w:val="null3"/>
        <w:ind w:firstLine="480"/>
      </w:pPr>
      <w:r>
        <w:rPr/>
        <w:t xml:space="preserve"> 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pStyle w:val="null3"/>
        <w:ind w:firstLine="480"/>
      </w:pPr>
      <w:r>
        <w:rPr/>
        <w:t xml:space="preserve"> 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pStyle w:val="null3"/>
        <w:ind w:firstLine="480"/>
      </w:pPr>
      <w:r>
        <w:rPr/>
        <w:t>3.如更正公告有重新发布电子磋商文件的，供应商应登录云平台项目采购系统下载最新发布的电子磋商文件制作响应文件。</w:t>
      </w:r>
    </w:p>
    <w:p>
      <w:pPr>
        <w:pStyle w:val="null3"/>
        <w:ind w:firstLine="480"/>
      </w:pPr>
      <w:r>
        <w:rPr/>
        <w:t xml:space="preserve"> 4.供应商在规定的时间内未对磋商文件提出疑问、质疑或要求澄清的，将视其为无异议。对磋商文件中描述有歧义或前后不一致的地方，磋商小组有权进行评判，但对同一条款的评判应适用于每个供应商。</w:t>
      </w:r>
    </w:p>
    <w:p>
      <w:pPr>
        <w:pStyle w:val="null3"/>
        <w:outlineLvl w:val="2"/>
      </w:pPr>
      <w:r>
        <w:rPr>
          <w:sz w:val="28"/>
          <w:b/>
        </w:rPr>
        <w:t>五、响应要求</w:t>
      </w:r>
    </w:p>
    <w:p>
      <w:pPr>
        <w:pStyle w:val="null3"/>
        <w:outlineLvl w:val="3"/>
      </w:pPr>
      <w:r>
        <w:rPr>
          <w:sz w:val="24"/>
          <w:b/>
        </w:rPr>
        <w:t>1.响应登记</w:t>
      </w:r>
    </w:p>
    <w:p>
      <w:pPr>
        <w:pStyle w:val="null3"/>
        <w:ind w:firstLine="480"/>
      </w:pPr>
      <w:r>
        <w:rPr/>
        <w:t xml:space="preserve"> 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pPr>
        <w:pStyle w:val="null3"/>
        <w:outlineLvl w:val="3"/>
      </w:pPr>
      <w:r>
        <w:rPr>
          <w:sz w:val="24"/>
          <w:b/>
        </w:rPr>
        <w:t>2.响应文件的制作</w:t>
      </w:r>
    </w:p>
    <w:p>
      <w:pPr>
        <w:pStyle w:val="null3"/>
        <w:ind w:firstLine="480"/>
      </w:pPr>
      <w:r>
        <w:rPr/>
        <w:t>2.1响应文件中，所有内容均以电子文件编制，其格式要求详见第六章说明。如因不按要求编制导致系统无法检索、读取相关信息时，其后果由供应商承担。由于本项目采用电子化投标，请充分考虑设备、网络环境、人员对系统熟悉度等因素，合理安排响应文件制作、提交时间，建议至少提前一天完成制作、提交工作。</w:t>
      </w:r>
    </w:p>
    <w:p>
      <w:pPr>
        <w:pStyle w:val="null3"/>
        <w:ind w:firstLine="480"/>
      </w:pPr>
      <w:r>
        <w:rPr/>
        <w:t xml:space="preserve"> 2.2供应商应使用云平台提供的投标客户端编制、标记、加密响应文件，成功加密后将生成指定格式的电子响应文件和电子备用响应文件。所有响应文件不能进行压缩处理。关于电子磋商报价说明如下：</w:t>
      </w:r>
    </w:p>
    <w:p>
      <w:pPr>
        <w:pStyle w:val="null3"/>
        <w:ind w:firstLine="480"/>
      </w:pPr>
      <w:r>
        <w:rPr/>
        <w:t xml:space="preserve"> （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pStyle w:val="null3"/>
        <w:ind w:firstLine="480"/>
      </w:pPr>
      <w:r>
        <w:rPr/>
        <w:t>（2）磋商报价包括本项目采购需求和投入使用的所有费用，包括但不限于主件、标准附件、备品备件、施工、服务、专用工具、安装、调试、检验、培训、运输、保险、税款等。</w:t>
      </w:r>
    </w:p>
    <w:p>
      <w:pPr>
        <w:pStyle w:val="null3"/>
        <w:ind w:firstLine="480"/>
      </w:pPr>
      <w:r>
        <w:rPr/>
        <w:t>（3）磋商报价不得有选择性报价和附有条件的报价，否则将导致响应无效。</w:t>
      </w:r>
    </w:p>
    <w:p>
      <w:pPr>
        <w:pStyle w:val="null3"/>
        <w:ind w:firstLine="480"/>
      </w:pPr>
      <w:r>
        <w:rPr/>
        <w:t>2.3如有对多个采购包响应的，要对每个采购包独立制作电子响应文件。</w:t>
      </w:r>
    </w:p>
    <w:p>
      <w:pPr>
        <w:pStyle w:val="null3"/>
        <w:ind w:firstLine="480"/>
      </w:pPr>
      <w:r>
        <w:rPr/>
        <w:t>2.4供应商不得将同一个项目或同一个采购包的内容拆开响应，否则其报价将被视为非实质性响应。</w:t>
      </w:r>
    </w:p>
    <w:p>
      <w:pPr>
        <w:pStyle w:val="null3"/>
        <w:ind w:firstLine="480"/>
      </w:pPr>
      <w:r>
        <w:rPr/>
        <w:t>2.5供应商须对磋商文件的对应要求给予唯一的实质性响应，否则将视为不响应。</w:t>
      </w:r>
    </w:p>
    <w:p>
      <w:pPr>
        <w:pStyle w:val="null3"/>
        <w:ind w:firstLine="480"/>
      </w:pPr>
      <w:r>
        <w:rPr/>
        <w:t>2.6磋商文件中，凡标有“★”的地方均为实质性响应条款，供应商若有一项带“★”的条款未响应或不满足，将按无效响应处理。</w:t>
      </w:r>
    </w:p>
    <w:p>
      <w:pPr>
        <w:pStyle w:val="null3"/>
        <w:ind w:firstLine="480"/>
      </w:pPr>
      <w:r>
        <w:rPr/>
        <w:t xml:space="preserve"> 2.7供应商必须按磋商文件指定的格式填写各种报价，各报价应计算正确。除在磋商文件另有规定外（如：报折扣、报优惠率等），计量单位应使用中华人民共和国法定计量单位，以人民币填报所有报价。</w:t>
      </w:r>
    </w:p>
    <w:p>
      <w:pPr>
        <w:pStyle w:val="null3"/>
        <w:ind w:firstLine="480"/>
      </w:pPr>
      <w:r>
        <w:rPr/>
        <w:t xml:space="preserve"> 2.8响应文件以及供应商与采购人、代理机构就有关响应的往来函电均应使用中文。供应商提交的支持性文件和印制的文件可以用另一种语言，但相应内容应翻译成中文，在解释响应文件时以中文文本为准。</w:t>
      </w:r>
    </w:p>
    <w:p>
      <w:pPr>
        <w:pStyle w:val="null3"/>
        <w:ind w:firstLine="480"/>
      </w:pPr>
      <w:r>
        <w:rPr/>
        <w:t xml:space="preserve"> 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3.响应文件的提交</w:t>
      </w:r>
    </w:p>
    <w:p>
      <w:pPr>
        <w:pStyle w:val="null3"/>
        <w:ind w:firstLine="480"/>
      </w:pPr>
      <w:r>
        <w:rPr/>
        <w:t xml:space="preserve"> 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pStyle w:val="null3"/>
        <w:ind w:firstLine="480"/>
      </w:pPr>
      <w:r>
        <w:rPr/>
        <w:t>3.2代理机构对因不可抗力事件造成的响应文件的损坏、丢失的，不承担责任。</w:t>
      </w:r>
    </w:p>
    <w:p>
      <w:pPr>
        <w:pStyle w:val="null3"/>
        <w:ind w:firstLine="480"/>
      </w:pPr>
      <w:r>
        <w:rPr/>
        <w:t>3.3出现下述情形之一，属于未成功提交响应文件，按无效响应处理：</w:t>
      </w:r>
    </w:p>
    <w:p>
      <w:pPr>
        <w:pStyle w:val="null3"/>
        <w:ind w:firstLine="480"/>
      </w:pPr>
      <w:r>
        <w:rPr/>
        <w:t>（1）至提交响应文件截止时，响应文件未完整上传并取得响应回执的。</w:t>
      </w:r>
    </w:p>
    <w:p>
      <w:pPr>
        <w:pStyle w:val="null3"/>
        <w:ind w:firstLine="480"/>
      </w:pPr>
      <w:r>
        <w:rPr/>
        <w:t>（2）响应文件未按响应格式中注明需签字盖章的要求进行签名（含电子签名）和加盖电子印章，或签名（含电子签名）或电子印章不完整的。</w:t>
      </w:r>
    </w:p>
    <w:p>
      <w:pPr>
        <w:pStyle w:val="null3"/>
        <w:ind w:firstLine="480"/>
      </w:pPr>
      <w:r>
        <w:rPr/>
        <w:t>（3）响应文件损坏或格式不正确的。</w:t>
      </w:r>
    </w:p>
    <w:p>
      <w:pPr>
        <w:pStyle w:val="null3"/>
        <w:outlineLvl w:val="3"/>
      </w:pPr>
      <w:r>
        <w:rPr>
          <w:sz w:val="24"/>
          <w:b/>
        </w:rPr>
        <w:t>4.响应文件的修改、撤回与撤销</w:t>
      </w:r>
    </w:p>
    <w:p>
      <w:pPr>
        <w:pStyle w:val="null3"/>
        <w:ind w:firstLine="480"/>
      </w:pPr>
      <w:r>
        <w:rPr/>
        <w:t xml:space="preserve"> 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pStyle w:val="null3"/>
        <w:ind w:firstLine="480"/>
      </w:pPr>
      <w:r>
        <w:rPr/>
        <w:t>4.2在提交响应文件截止时间后，供应商不得补充、修改和更换响应文件。</w:t>
      </w:r>
    </w:p>
    <w:p>
      <w:pPr>
        <w:pStyle w:val="null3"/>
        <w:outlineLvl w:val="3"/>
      </w:pPr>
      <w:r>
        <w:rPr>
          <w:sz w:val="24"/>
          <w:b/>
        </w:rPr>
        <w:t>5.响应文件的解密</w:t>
      </w:r>
    </w:p>
    <w:p>
      <w:pPr>
        <w:pStyle w:val="null3"/>
        <w:ind w:firstLine="480"/>
      </w:pPr>
      <w:r>
        <w:rPr/>
        <w:t xml:space="preserve"> 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pPr>
        <w:pStyle w:val="null3"/>
        <w:outlineLvl w:val="3"/>
      </w:pPr>
      <w:r>
        <w:rPr>
          <w:sz w:val="24"/>
          <w:b/>
        </w:rPr>
        <w:t>6.响应保证金</w:t>
      </w:r>
    </w:p>
    <w:p>
      <w:pPr>
        <w:pStyle w:val="null3"/>
        <w:ind w:firstLine="480"/>
      </w:pPr>
      <w:r>
        <w:rPr/>
        <w:t xml:space="preserve"> 6.1响应保证金的缴纳</w:t>
      </w:r>
    </w:p>
    <w:p>
      <w:pPr>
        <w:pStyle w:val="null3"/>
        <w:ind w:firstLine="480"/>
      </w:pPr>
      <w:r>
        <w:rPr/>
        <w:t>供应商在提交响应文件的同时，应按供应商须知前附表规定的金额和缴纳要求缴纳响应保证金，并作为其响应文件的组成部分。</w:t>
      </w:r>
    </w:p>
    <w:p>
      <w:pPr>
        <w:pStyle w:val="null3"/>
        <w:ind w:firstLine="480"/>
      </w:pPr>
      <w:r>
        <w:rPr/>
        <w:t xml:space="preserve"> 如采用转账、支票、本票、汇票形式提交的，响应保证金从供应商基本账户递交，由</w:t>
      </w:r>
      <w:r>
        <w:rPr/>
        <w:t>伟创工程咨询（广州）有限公司</w:t>
      </w:r>
      <w:r>
        <w:rPr/>
        <w:t>代收。具体操作要求详见</w:t>
      </w:r>
      <w:r>
        <w:rPr/>
        <w:t>伟创工程咨询（广州）有限公司</w:t>
      </w:r>
      <w:r>
        <w:rPr/>
        <w:t>有关指引，递交事宜请自行咨询</w:t>
      </w:r>
      <w:r>
        <w:rPr/>
        <w:t>伟创工程咨询（广州）有限公司</w:t>
      </w:r>
      <w:r>
        <w:rPr/>
        <w:t>；请各供应商在响应文件递交截止时间前按须知前附表规定的金额递交至</w:t>
      </w:r>
      <w:r>
        <w:rPr/>
        <w:t>伟创工程咨询（广州）有限公司</w:t>
      </w:r>
      <w:r>
        <w:rPr/>
        <w:t>，到账情况以开启时</w:t>
      </w:r>
      <w:r>
        <w:rPr/>
        <w:t>伟创工程咨询（广州）有限公司</w:t>
      </w:r>
      <w:r>
        <w:rPr/>
        <w:t>查询的信息为准。</w:t>
      </w:r>
    </w:p>
    <w:p>
      <w:pPr>
        <w:pStyle w:val="null3"/>
        <w:ind w:firstLine="480"/>
      </w:pPr>
      <w:r>
        <w:rPr/>
        <w:t>如采用金融机构、专业担保机构开具的响应保函、响应保证保险函等形式提交响应保证金的，响应保函或响应保证保险函须开具给采购人（保险受益人须为采购人），并与响应文件一同递交。</w:t>
      </w:r>
    </w:p>
    <w:p>
      <w:pPr>
        <w:pStyle w:val="null3"/>
        <w:ind w:firstLine="480"/>
      </w:pPr>
      <w:r>
        <w:rPr/>
        <w:t xml:space="preserve"> 供应商可通过"广东政府采购智慧云平台金融服务中心"(https://gdgpo.czt.gd.gov.cn/zcdservice/zcd/guangdong/)，申请办理电子保函，电子保函与纸质保函具有同样效力。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启或评审现场无法拉取电子保函信息时，可提供电子保函打印件或购买凭证作为核验凭证。相关凭证应上传至系统归档保存。</w:t>
      </w:r>
    </w:p>
    <w:p>
      <w:pPr>
        <w:pStyle w:val="null3"/>
        <w:ind w:firstLine="480"/>
      </w:pPr>
      <w:r>
        <w:rPr/>
        <w:t>6.2响应保证金的退还：</w:t>
      </w:r>
    </w:p>
    <w:p>
      <w:pPr>
        <w:pStyle w:val="null3"/>
        <w:ind w:firstLine="480"/>
      </w:pPr>
      <w:r>
        <w:rPr/>
        <w:t>（1）供应商在递交响应文件截止时间前放弃响应的，自所投采购包结果公告发出后5个工作日内退还。</w:t>
      </w:r>
    </w:p>
    <w:p>
      <w:pPr>
        <w:pStyle w:val="null3"/>
        <w:ind w:firstLine="480"/>
      </w:pPr>
      <w:r>
        <w:rPr/>
        <w:t>（2）未成交的供应商保证金，在成交供应商发出后5个工作日内原额退还。</w:t>
      </w:r>
    </w:p>
    <w:p>
      <w:pPr>
        <w:pStyle w:val="null3"/>
        <w:ind w:firstLine="480"/>
      </w:pPr>
      <w:r>
        <w:rPr/>
        <w:t>（3）成交供应商的响应保证金,在成交供应商与采购人签订采购合同后5个工作日内原额退还。</w:t>
      </w:r>
    </w:p>
    <w:p>
      <w:pPr>
        <w:pStyle w:val="null3"/>
        <w:ind w:firstLine="480"/>
      </w:pPr>
      <w:r>
        <w:rPr/>
        <w:t>备注：但因供应商自身原因导致无法及时退还的除外。</w:t>
      </w:r>
    </w:p>
    <w:p>
      <w:pPr>
        <w:pStyle w:val="null3"/>
        <w:ind w:firstLine="480"/>
      </w:pPr>
      <w:r>
        <w:rPr/>
        <w:t xml:space="preserve"> 6.3有下列情形之一的，响应保证金将不予退还并上缴国库：</w:t>
      </w:r>
    </w:p>
    <w:p>
      <w:pPr>
        <w:pStyle w:val="null3"/>
        <w:ind w:firstLine="480"/>
      </w:pPr>
      <w:r>
        <w:rPr/>
        <w:t>（1）提供虚假材料谋取成交的；</w:t>
      </w:r>
    </w:p>
    <w:p>
      <w:pPr>
        <w:pStyle w:val="null3"/>
        <w:ind w:firstLine="480"/>
      </w:pPr>
      <w:r>
        <w:rPr/>
        <w:t>（2）供应商在磋商文件规定的响应有效期内撤销其响应；</w:t>
      </w:r>
    </w:p>
    <w:p>
      <w:pPr>
        <w:pStyle w:val="null3"/>
        <w:ind w:firstLine="480"/>
      </w:pPr>
      <w:r>
        <w:rPr/>
        <w:t>（3）成交后，无正当理由放弃成交资格；</w:t>
      </w:r>
    </w:p>
    <w:p>
      <w:pPr>
        <w:pStyle w:val="null3"/>
        <w:ind w:firstLine="480"/>
      </w:pPr>
      <w:r>
        <w:rPr/>
        <w:t>（4）成交后，无正当理由不与采购人签订合同；</w:t>
      </w:r>
    </w:p>
    <w:p>
      <w:pPr>
        <w:pStyle w:val="null3"/>
        <w:ind w:firstLine="480"/>
      </w:pPr>
      <w:r>
        <w:rPr/>
        <w:t>（5）法律法规和磋商文件规定的其他情形。</w:t>
      </w:r>
    </w:p>
    <w:p>
      <w:pPr>
        <w:pStyle w:val="null3"/>
        <w:outlineLvl w:val="3"/>
      </w:pPr>
      <w:r>
        <w:rPr>
          <w:sz w:val="24"/>
          <w:b/>
        </w:rPr>
        <w:t>7.响应有效期</w:t>
      </w:r>
    </w:p>
    <w:p>
      <w:pPr>
        <w:pStyle w:val="null3"/>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pStyle w:val="null3"/>
        <w:ind w:firstLine="480"/>
      </w:pPr>
      <w:r>
        <w:rPr/>
        <w:t xml:space="preserve"> 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pPr>
        <w:pStyle w:val="null3"/>
        <w:outlineLvl w:val="3"/>
      </w:pPr>
      <w:r>
        <w:rPr>
          <w:sz w:val="24"/>
          <w:b/>
        </w:rPr>
        <w:t>8.样品（演示）</w:t>
      </w:r>
    </w:p>
    <w:p>
      <w:pPr>
        <w:pStyle w:val="null3"/>
        <w:ind w:firstLine="480"/>
      </w:pPr>
      <w:r>
        <w:rPr/>
        <w:t>8.1磋商文件规定供应商提交样品的，样品属于响应文件的组成部分。样品的生产、运输、安装、保全等一切费用由供应商自理。</w:t>
      </w:r>
    </w:p>
    <w:p>
      <w:pPr>
        <w:pStyle w:val="null3"/>
        <w:ind w:firstLine="480"/>
      </w:pPr>
      <w:r>
        <w:rPr/>
        <w:t>8.2递交响应文件截止时间前，供应商应将样品送达至指定地点。若需要现场演示的，供应商应提前做好演示准备（包括演示设备）。</w:t>
      </w:r>
    </w:p>
    <w:p>
      <w:pPr>
        <w:pStyle w:val="null3"/>
        <w:ind w:firstLine="480"/>
      </w:pPr>
      <w:r>
        <w:rPr/>
        <w:t xml:space="preserve"> 8.3采购结果公告发布后，成交供应商的样品由采购人封存，作为履约验收的依据之一。未成交供应商在接到采购代理机构通知后，应按规定时间尽快自行取回样品，否则视同供应商不再认领，代理机构有权进行处理。</w:t>
      </w:r>
    </w:p>
    <w:p>
      <w:pPr>
        <w:pStyle w:val="null3"/>
        <w:outlineLvl w:val="3"/>
      </w:pPr>
      <w:r>
        <w:rPr>
          <w:sz w:val="24"/>
          <w:b/>
        </w:rPr>
        <w:t>9.除磋商文件另有规定外，有下列情形之一的，响应无效：</w:t>
      </w:r>
    </w:p>
    <w:p>
      <w:pPr>
        <w:pStyle w:val="null3"/>
        <w:ind w:firstLine="480"/>
      </w:pPr>
      <w:r>
        <w:rPr/>
        <w:t>9.1响应文件未按照磋商文件要求签署、盖章；</w:t>
      </w:r>
    </w:p>
    <w:p>
      <w:pPr>
        <w:pStyle w:val="null3"/>
        <w:ind w:firstLine="480"/>
      </w:pPr>
      <w:r>
        <w:rPr/>
        <w:t>9.2不符合磋商文件中规定的资格要求；</w:t>
      </w:r>
    </w:p>
    <w:p>
      <w:pPr>
        <w:pStyle w:val="null3"/>
        <w:ind w:firstLine="480"/>
      </w:pPr>
      <w:r>
        <w:rPr/>
        <w:t>9.3磋商报价超过磋商文件中规定的预算金额或最高限价；</w:t>
      </w:r>
    </w:p>
    <w:p>
      <w:pPr>
        <w:pStyle w:val="null3"/>
        <w:ind w:firstLine="480"/>
      </w:pPr>
      <w:r>
        <w:rPr/>
        <w:t>9.4响应文件含有采购人不能接受的附加条件；</w:t>
      </w:r>
    </w:p>
    <w:p>
      <w:pPr>
        <w:pStyle w:val="null3"/>
        <w:ind w:firstLine="480"/>
      </w:pPr>
      <w:r>
        <w:rPr/>
        <w:t>9.5有关法律、法规和规章及磋商文件规定的其他无效情形。</w:t>
      </w:r>
    </w:p>
    <w:p>
      <w:pPr>
        <w:pStyle w:val="null3"/>
        <w:outlineLvl w:val="2"/>
      </w:pPr>
      <w:r>
        <w:rPr>
          <w:sz w:val="28"/>
          <w:b/>
        </w:rPr>
        <w:t>六、磋商、评审和结果确定</w:t>
      </w:r>
    </w:p>
    <w:p>
      <w:pPr>
        <w:pStyle w:val="null3"/>
        <w:outlineLvl w:val="3"/>
      </w:pPr>
      <w:r>
        <w:rPr>
          <w:sz w:val="24"/>
          <w:b/>
        </w:rPr>
        <w:t>1.响应文件的开启</w:t>
      </w:r>
    </w:p>
    <w:p>
      <w:pPr>
        <w:pStyle w:val="null3"/>
        <w:ind w:firstLine="480"/>
      </w:pPr>
      <w:r>
        <w:rPr/>
        <w:t>1.1开启程序</w:t>
      </w:r>
    </w:p>
    <w:p>
      <w:pPr>
        <w:pStyle w:val="null3"/>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pStyle w:val="null3"/>
        <w:ind w:firstLine="480"/>
      </w:pPr>
      <w:r>
        <w:rPr/>
        <w:t xml:space="preserve"> 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pStyle w:val="null3"/>
        <w:ind w:firstLine="480"/>
      </w:pPr>
      <w:r>
        <w:rPr/>
        <w:t xml:space="preserve"> 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pStyle w:val="null3"/>
        <w:ind w:firstLine="480"/>
      </w:pPr>
      <w:r>
        <w:rPr/>
        <w:t xml:space="preserve"> 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如供应商无法在代理规定的时间内完成备用电子响应文件的上传，响应将被拒绝，作无效响应处理。</w:t>
      </w:r>
    </w:p>
    <w:p>
      <w:pPr>
        <w:pStyle w:val="null3"/>
        <w:ind w:firstLine="480"/>
      </w:pPr>
      <w:r>
        <w:rPr/>
        <w:t>1.2异议</w:t>
      </w:r>
    </w:p>
    <w:p>
      <w:pPr>
        <w:pStyle w:val="null3"/>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pStyle w:val="null3"/>
        <w:ind w:firstLine="480"/>
      </w:pPr>
      <w:r>
        <w:rPr/>
        <w:t>1.3开启时出现下列情况的，视为响应无效处理</w:t>
      </w:r>
    </w:p>
    <w:p>
      <w:pPr>
        <w:pStyle w:val="null3"/>
        <w:ind w:firstLine="480"/>
      </w:pPr>
      <w:r>
        <w:rPr/>
        <w:t>（1）经检查数字证书无效的；</w:t>
      </w:r>
    </w:p>
    <w:p>
      <w:pPr>
        <w:pStyle w:val="null3"/>
        <w:ind w:firstLine="480"/>
      </w:pPr>
      <w:r>
        <w:rPr/>
        <w:t>（2）因供应商自身原因，未在规定时间内完成电子响应文件解密的；</w:t>
      </w:r>
    </w:p>
    <w:p>
      <w:pPr>
        <w:pStyle w:val="null3"/>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3.成交</w:t>
      </w:r>
    </w:p>
    <w:p>
      <w:pPr>
        <w:pStyle w:val="null3"/>
        <w:ind w:firstLine="480"/>
      </w:pPr>
      <w:r>
        <w:rPr/>
        <w:t>3.1成交结果公告：</w:t>
      </w:r>
    </w:p>
    <w:p>
      <w:pPr>
        <w:pStyle w:val="null3"/>
        <w:ind w:firstLine="480"/>
      </w:pPr>
      <w:r>
        <w:rPr/>
        <w:t xml:space="preserve"> 成交供应商确定之日起2个工作日内，采购人或采购代理机构将在中国政府采购网(www.ccgp.gov.cn)、广东省政府采购网(https://gdgpo.czt.gd.gov.cn/)、</w:t>
      </w:r>
      <w:r>
        <w:rPr/>
        <w:t>/</w:t>
      </w:r>
      <w:r>
        <w:rPr/>
        <w:t>上以公告的形式发布成交结果，结果公告的公告期限为 1 个工作日。结果公告同时作为采购代理机构通知除成交供应商外的其他供应商没有成交的书面形式，采购代理机构不再以其它方式另行通知。</w:t>
      </w:r>
    </w:p>
    <w:p>
      <w:pPr>
        <w:pStyle w:val="null3"/>
        <w:ind w:firstLine="480"/>
      </w:pPr>
      <w:r>
        <w:rPr/>
        <w:t>3.2成交通知书：</w:t>
      </w:r>
    </w:p>
    <w:p>
      <w:pPr>
        <w:pStyle w:val="null3"/>
        <w:ind w:firstLine="480"/>
      </w:pPr>
      <w:r>
        <w:rPr/>
        <w:t xml:space="preserve"> 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pStyle w:val="null3"/>
        <w:ind w:firstLine="480"/>
      </w:pPr>
      <w:r>
        <w:rPr/>
        <w:t>3.3终止公告：</w:t>
      </w:r>
    </w:p>
    <w:p>
      <w:pPr>
        <w:pStyle w:val="null3"/>
        <w:ind w:firstLine="480"/>
      </w:pPr>
      <w:r>
        <w:rPr/>
        <w:t xml:space="preserve"> 终止磋商采购活动后，采购人或采购代理机构将在中国政府采购网(www.ccgp.gov.cn)、广东省政府采购网(https://gdgpo.czt.gd.gov.cn/)、</w:t>
      </w:r>
      <w:r>
        <w:rPr/>
        <w:t>/</w:t>
      </w:r>
      <w:r>
        <w:rPr/>
        <w:t>上发布终止公告，终止公告的公告期限为 1 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pPr>
        <w:pStyle w:val="null3"/>
        <w:outlineLvl w:val="3"/>
      </w:pPr>
      <w:r>
        <w:rPr>
          <w:sz w:val="24"/>
          <w:b/>
        </w:rPr>
        <w:t>2.质疑</w:t>
      </w:r>
    </w:p>
    <w:p>
      <w:pPr>
        <w:pStyle w:val="null3"/>
        <w:ind w:firstLine="480"/>
      </w:pPr>
      <w:r>
        <w:rPr/>
        <w:t xml:space="preserve"> 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（1）对磋商文件提出质疑的，为获取磋商文件之日或者磋商文件公告期限届满之日；</w:t>
      </w:r>
    </w:p>
    <w:p>
      <w:pPr>
        <w:pStyle w:val="null3"/>
        <w:ind w:firstLine="480"/>
      </w:pPr>
      <w:r>
        <w:rPr/>
        <w:t>（2）对采购过程提出质疑的，为各采购程序环节结束之日；</w:t>
      </w:r>
    </w:p>
    <w:p>
      <w:pPr>
        <w:pStyle w:val="null3"/>
        <w:ind w:firstLine="480"/>
      </w:pPr>
      <w:r>
        <w:rPr/>
        <w:t>（3）对成交结果提出质疑的，为成交结果公告期限届满之日。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（3）认为磋商文件、采购过程和成交结果使自己的合法权益受到损害的法律依据、事实依据、相关证明材料及证据来源；</w:t>
      </w:r>
    </w:p>
    <w:p>
      <w:pPr>
        <w:pStyle w:val="null3"/>
        <w:ind w:firstLine="480"/>
      </w:pPr>
      <w:r>
        <w:rPr/>
        <w:t>（4）提出质疑的日期。</w:t>
      </w:r>
    </w:p>
    <w:p>
      <w:pPr>
        <w:pStyle w:val="null3"/>
        <w:ind w:firstLine="480"/>
      </w:pPr>
      <w:r>
        <w:rPr/>
        <w:t>2.3质疑函应当署名。质疑供应商为自然人的，应当由本人签字；质疑供应商为法人或者其他组织的，应当由法定代表人、主要负责人，或者其授权代表签字或者盖章，并加盖公章。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魏工</w:t>
      </w:r>
    </w:p>
    <w:p>
      <w:pPr>
        <w:pStyle w:val="null3"/>
        <w:ind w:firstLine="480"/>
      </w:pPr>
      <w:r>
        <w:rPr/>
        <w:t>电话：</w:t>
      </w:r>
      <w:r>
        <w:rPr/>
        <w:t>15767681088</w:t>
      </w:r>
    </w:p>
    <w:p>
      <w:pPr>
        <w:pStyle w:val="null3"/>
        <w:ind w:firstLine="480"/>
      </w:pPr>
      <w:r>
        <w:rPr/>
        <w:t>传真：</w:t>
      </w:r>
      <w:r>
        <w:rPr/>
        <w:t>/</w:t>
      </w:r>
    </w:p>
    <w:p>
      <w:pPr>
        <w:pStyle w:val="null3"/>
        <w:ind w:firstLine="480"/>
      </w:pPr>
      <w:r>
        <w:rPr/>
        <w:t>邮箱：</w:t>
      </w:r>
      <w:r>
        <w:rPr/>
        <w:t>wyj814@foxmail.com</w:t>
      </w:r>
    </w:p>
    <w:p>
      <w:pPr>
        <w:pStyle w:val="null3"/>
        <w:ind w:firstLine="480"/>
      </w:pPr>
      <w:r>
        <w:rPr/>
        <w:t>地址：</w:t>
      </w:r>
      <w:r>
        <w:rPr/>
        <w:t>广东省阳春市春城街道广场路东三巷3号</w:t>
      </w:r>
    </w:p>
    <w:p>
      <w:pPr>
        <w:pStyle w:val="null3"/>
        <w:ind w:firstLine="480"/>
      </w:pPr>
      <w:r>
        <w:rPr/>
        <w:t>邮编：</w:t>
      </w:r>
      <w:r>
        <w:rPr/>
        <w:t>529600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政府采购监督管理机构名称：阳春市政府采购事务中心</w:t>
      </w:r>
    </w:p>
    <w:p>
      <w:pPr>
        <w:pStyle w:val="null3"/>
      </w:pPr>
      <w:r>
        <w:rPr/>
        <w:t>地 址：阳春市春城朝南路73号</w:t>
      </w:r>
    </w:p>
    <w:p>
      <w:pPr>
        <w:pStyle w:val="null3"/>
      </w:pPr>
      <w:r>
        <w:rPr/>
        <w:t>电 话：0662－7745980</w:t>
      </w:r>
    </w:p>
    <w:p>
      <w:pPr>
        <w:pStyle w:val="null3"/>
      </w:pPr>
      <w:r>
        <w:rPr/>
        <w:t>邮 编：529600</w:t>
      </w:r>
    </w:p>
    <w:p>
      <w:pPr>
        <w:pStyle w:val="null3"/>
      </w:pPr>
      <w:r>
        <w:rPr/>
        <w:t>传 真：0662－7745980</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1.1采购人应当自《成交通知书》发出之日起三十日内，按照磋商文件和成交供应商响应文件的约定，与成交供应商签订合同。所签订的合同不得对磋商文件和成交供应商响应文件作实质性修改。</w:t>
      </w:r>
    </w:p>
    <w:p>
      <w:pPr>
        <w:pStyle w:val="null3"/>
        <w:ind w:firstLine="480"/>
      </w:pPr>
      <w:r>
        <w:rPr/>
        <w:t>1.2采购人不得提出试用合格等任何不合理的要求作为签订合同的条件，且不得与成交供应商私下订立背离合同实质性内容的协议。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评审</w:t>
      </w:r>
    </w:p>
    <w:p>
      <w:pPr>
        <w:pStyle w:val="null3"/>
        <w:outlineLvl w:val="2"/>
      </w:pPr>
      <w:r>
        <w:rPr>
          <w:sz w:val="28"/>
          <w:b/>
        </w:rPr>
        <w:t>一、评审要求</w:t>
      </w:r>
    </w:p>
    <w:p>
      <w:pPr>
        <w:pStyle w:val="null3"/>
        <w:outlineLvl w:val="3"/>
      </w:pPr>
      <w:r>
        <w:rPr>
          <w:sz w:val="24"/>
          <w:b/>
        </w:rPr>
        <w:t>1.评审方法</w:t>
      </w:r>
    </w:p>
    <w:p>
      <w:pPr>
        <w:pStyle w:val="null3"/>
      </w:pPr>
      <w:r>
        <w:rPr/>
        <w:t>采购包1(2024年至2025年阳春市国家卫生城市迎复审公共环境病媒生物防制项目)：综合评分法,是指响应文件满足磋商文件全部实质性要求，且按照评审因素的量化指标评审得分最高的投标人为成交候选人的评标方法。（最低报价不是成交的唯一依据。）</w:t>
      </w:r>
    </w:p>
    <w:p>
      <w:pPr>
        <w:pStyle w:val="null3"/>
        <w:outlineLvl w:val="3"/>
      </w:pPr>
      <w:r>
        <w:rPr>
          <w:sz w:val="24"/>
          <w:b/>
        </w:rPr>
        <w:t>2.评审原则</w:t>
      </w:r>
    </w:p>
    <w:p>
      <w:pPr>
        <w:pStyle w:val="null3"/>
        <w:ind w:firstLine="480"/>
      </w:pPr>
      <w:r>
        <w:rPr/>
        <w:t>2.1评审活动遵循公平、公正、科学和择优的原则，以磋商文件和响应文件为评审的基本依据，并按照磋商文件规定的评审方法和评审标准进行评审。</w:t>
      </w:r>
    </w:p>
    <w:p>
      <w:pPr>
        <w:pStyle w:val="null3"/>
        <w:ind w:firstLine="480"/>
      </w:pPr>
      <w:r>
        <w:rPr/>
        <w:t xml:space="preserve"> 2.2具体评审事项由磋商小组负责，并按磋商文件的规定办法进行评审。对磋商文件中描述有歧义或前后不一致的地方，磋商小组有权按法律法规的规定进行评判，但对同一条款的评判应适用于每个响应供应商。</w:t>
      </w:r>
    </w:p>
    <w:p>
      <w:pPr>
        <w:pStyle w:val="null3"/>
        <w:outlineLvl w:val="3"/>
      </w:pPr>
      <w:r>
        <w:rPr>
          <w:sz w:val="24"/>
          <w:b/>
        </w:rPr>
        <w:t>3.磋商小组</w:t>
      </w:r>
    </w:p>
    <w:p>
      <w:pPr>
        <w:pStyle w:val="null3"/>
        <w:ind w:firstLine="480"/>
      </w:pPr>
      <w:r>
        <w:rPr/>
        <w:t>3.1磋商小组由采购人代表和评审专家组成，成员人数应当为3人及以上单数，其中技术、经济等方面的评审专家不得少于成员总数的三分之二。</w:t>
      </w:r>
    </w:p>
    <w:p>
      <w:pPr>
        <w:pStyle w:val="null3"/>
        <w:ind w:firstLine="480"/>
      </w:pPr>
      <w:r>
        <w:rPr/>
        <w:t>3.2评审应遵守下列评审纪律：</w:t>
      </w:r>
    </w:p>
    <w:p>
      <w:pPr>
        <w:pStyle w:val="null3"/>
        <w:ind w:firstLine="480"/>
      </w:pPr>
      <w:r>
        <w:rPr/>
        <w:t>（1）评审情况不得私自外泄，有关信息由</w:t>
      </w:r>
      <w:r>
        <w:rPr/>
        <w:t>伟创工程咨询（广州）有限公司</w:t>
      </w:r>
      <w:r>
        <w:rPr/>
        <w:t>统一对外发布。</w:t>
      </w:r>
    </w:p>
    <w:p>
      <w:pPr>
        <w:pStyle w:val="null3"/>
        <w:ind w:firstLine="480"/>
      </w:pPr>
      <w:r>
        <w:rPr/>
        <w:t>（2）对</w:t>
      </w:r>
      <w:r>
        <w:rPr/>
        <w:t>伟创工程咨询（广州）有限公司</w:t>
      </w:r>
      <w:r>
        <w:rPr/>
        <w:t>或供应商提供的要求保密的资料，不得摘记翻印和外传。</w:t>
      </w:r>
    </w:p>
    <w:p>
      <w:pPr>
        <w:pStyle w:val="null3"/>
        <w:ind w:firstLine="480"/>
      </w:pPr>
      <w:r>
        <w:rPr/>
        <w:t>（3）不得收受响应供应商或有关人员的任何礼物，不得串联鼓动其他人袒护某供应商。若与供应商存在利害关系，则应主动声明并回避。</w:t>
      </w:r>
    </w:p>
    <w:p>
      <w:pPr>
        <w:pStyle w:val="null3"/>
        <w:ind w:firstLine="480"/>
      </w:pPr>
      <w:r>
        <w:rPr/>
        <w:t>（4）全体评委应按照磋商文件规定进行评审，一切认定事项应查有实据且不得弄虚作假。</w:t>
      </w:r>
    </w:p>
    <w:p>
      <w:pPr>
        <w:pStyle w:val="null3"/>
        <w:ind w:firstLine="480"/>
      </w:pPr>
      <w:r>
        <w:rPr/>
        <w:t>（5）磋商小组各成员应当独立对每个响应供应商的响应文件进行评价，并对评价意见承担个人责任。评审过程中，不得发表倾向性言论。</w:t>
      </w:r>
    </w:p>
    <w:p>
      <w:pPr>
        <w:pStyle w:val="null3"/>
        <w:ind w:firstLine="480"/>
      </w:pPr>
      <w:r>
        <w:rPr/>
        <w:t>※对违反评审纪律的评委，将取消其评委资格，对评审工作造成严重损失者将予以通报批评乃至追究法律责任。</w:t>
      </w:r>
    </w:p>
    <w:p>
      <w:pPr>
        <w:pStyle w:val="null3"/>
        <w:outlineLvl w:val="3"/>
      </w:pPr>
      <w:r>
        <w:rPr>
          <w:sz w:val="24"/>
          <w:b/>
        </w:rPr>
        <w:t>4.有下列情形之一的，视为供应商串通响应，其响应无效</w:t>
      </w:r>
    </w:p>
    <w:p>
      <w:pPr>
        <w:pStyle w:val="null3"/>
        <w:ind w:firstLine="480"/>
      </w:pPr>
      <w:r>
        <w:rPr/>
        <w:t>4.1不同供应商的响应文件由同一单位或者个人编制；</w:t>
      </w:r>
    </w:p>
    <w:p>
      <w:pPr>
        <w:pStyle w:val="null3"/>
        <w:ind w:firstLine="480"/>
      </w:pPr>
      <w:r>
        <w:rPr/>
        <w:t>4.2不同供应商委托同一单位或者个人办理响应事宜；</w:t>
      </w:r>
    </w:p>
    <w:p>
      <w:pPr>
        <w:pStyle w:val="null3"/>
        <w:ind w:firstLine="480"/>
      </w:pPr>
      <w:r>
        <w:rPr/>
        <w:t>4.3不同供应商的响应文件载明的项目管理成员或者联系人员为同一人；</w:t>
      </w:r>
    </w:p>
    <w:p>
      <w:pPr>
        <w:pStyle w:val="null3"/>
        <w:ind w:firstLine="480"/>
      </w:pPr>
      <w:r>
        <w:rPr/>
        <w:t>4.4不同供应商的响应文件异常一致或者响应报价呈规律性差异；</w:t>
      </w:r>
    </w:p>
    <w:p>
      <w:pPr>
        <w:pStyle w:val="null3"/>
        <w:ind w:firstLine="480"/>
      </w:pPr>
      <w:r>
        <w:rPr/>
        <w:t>4.5不同供应商的响应文件相互混装；</w:t>
      </w:r>
    </w:p>
    <w:p>
      <w:pPr>
        <w:pStyle w:val="null3"/>
        <w:ind w:firstLine="480"/>
      </w:pPr>
      <w:r>
        <w:rPr/>
        <w:t>4.6不同供应商的响应保证金或购买电子保函支付款为从同一单位或个人的账户转出。</w:t>
      </w:r>
    </w:p>
    <w:p>
      <w:pPr>
        <w:pStyle w:val="null3"/>
        <w:ind w:firstLine="480"/>
      </w:pPr>
      <w:r>
        <w:rPr/>
        <w:t>4.7供应商上传的电子响应文件使用该项目其他响应供应商的数字证书加密的或加盖该项目的其他响应供应商的电子印章的。</w:t>
      </w:r>
    </w:p>
    <w:p>
      <w:pPr>
        <w:pStyle w:val="null3"/>
        <w:ind w:firstLine="480"/>
      </w:pPr>
      <w:r>
        <w:rPr/>
        <w:t xml:space="preserve"> 说明：在评审过程中发现供应商有上述情形的，磋商小组应当认定其响应无效。同时，项目评审时被认定为串通响应的供应商不得参加该合同项下的采购活动。</w:t>
      </w:r>
    </w:p>
    <w:p>
      <w:pPr>
        <w:pStyle w:val="null3"/>
        <w:outlineLvl w:val="3"/>
      </w:pPr>
      <w:r>
        <w:rPr>
          <w:sz w:val="24"/>
          <w:b/>
        </w:rPr>
        <w:t>5.有下列情形之一的，属于恶意串通响应：</w:t>
      </w:r>
    </w:p>
    <w:p>
      <w:pPr>
        <w:pStyle w:val="null3"/>
        <w:ind w:firstLine="480"/>
      </w:pPr>
      <w:r>
        <w:rPr/>
        <w:t>（1）供应商直接或者间接从采购人或者采购代理机构处获得其他供应商的相关情况并修改其响应文件；</w:t>
      </w:r>
    </w:p>
    <w:p>
      <w:pPr>
        <w:pStyle w:val="null3"/>
        <w:ind w:firstLine="480"/>
      </w:pPr>
      <w:r>
        <w:rPr/>
        <w:t>（2）供应商按照采购人或者采购代理机构的授意撤换、修改响应文件；</w:t>
      </w:r>
    </w:p>
    <w:p>
      <w:pPr>
        <w:pStyle w:val="null3"/>
        <w:ind w:firstLine="480"/>
      </w:pPr>
      <w:r>
        <w:rPr/>
        <w:t>（3）供应商之间协商报价、技术方案等响应文件的实质性内容；</w:t>
      </w:r>
    </w:p>
    <w:p>
      <w:pPr>
        <w:pStyle w:val="null3"/>
        <w:ind w:firstLine="480"/>
      </w:pPr>
      <w:r>
        <w:rPr/>
        <w:t>（4）属于同一集团、协会、商会等组织成员的供应商按照该组织要求协同参加政府采购活动；</w:t>
      </w:r>
    </w:p>
    <w:p>
      <w:pPr>
        <w:pStyle w:val="null3"/>
        <w:ind w:firstLine="480"/>
      </w:pPr>
      <w:r>
        <w:rPr/>
        <w:t>（5）供应商之间事先约定由某一特定供应商成交；</w:t>
      </w:r>
    </w:p>
    <w:p>
      <w:pPr>
        <w:pStyle w:val="null3"/>
        <w:ind w:firstLine="480"/>
      </w:pPr>
      <w:r>
        <w:rPr/>
        <w:t>（6）供应商之间商定部分供应商放弃参加政府采购活动或者放弃成交；</w:t>
      </w:r>
    </w:p>
    <w:p>
      <w:pPr>
        <w:pStyle w:val="null3"/>
        <w:ind w:firstLine="480"/>
      </w:pPr>
      <w:r>
        <w:rPr/>
        <w:t>（7）供应商与采购人或者采购代理机构之间、供应商相互之间，为谋求特定供应商成交或者排斥其他供应商的其他串通行为。</w:t>
      </w:r>
    </w:p>
    <w:p>
      <w:pPr>
        <w:pStyle w:val="null3"/>
        <w:outlineLvl w:val="3"/>
      </w:pPr>
      <w:r>
        <w:rPr>
          <w:sz w:val="24"/>
          <w:b/>
        </w:rPr>
        <w:t>6.其他响应无效的情形</w:t>
      </w:r>
    </w:p>
    <w:p>
      <w:pPr>
        <w:pStyle w:val="null3"/>
        <w:ind w:firstLine="480"/>
      </w:pPr>
      <w:r>
        <w:rPr/>
        <w:t>详见资格性审查、符合性审查和磋商文件其他响应无效条款。</w:t>
      </w:r>
    </w:p>
    <w:p>
      <w:pPr>
        <w:pStyle w:val="null3"/>
        <w:outlineLvl w:val="3"/>
      </w:pPr>
      <w:r>
        <w:rPr>
          <w:sz w:val="24"/>
          <w:b/>
        </w:rPr>
        <w:t>7.终止竞争性磋商采购活动的情形</w:t>
      </w:r>
    </w:p>
    <w:p>
      <w:pPr>
        <w:pStyle w:val="null3"/>
        <w:ind w:firstLine="480"/>
      </w:pPr>
      <w:r>
        <w:rPr/>
        <w:t>出现下列情形之一的，采购人或者采购代理机构应当终止竞争性磋商采购活动，发布项目终止公告并说明原因，重新开展采购活动：</w:t>
      </w:r>
    </w:p>
    <w:p>
      <w:pPr>
        <w:pStyle w:val="null3"/>
        <w:ind w:firstLine="480"/>
      </w:pPr>
      <w:r>
        <w:rPr/>
        <w:t>（1）因情况变化，不再符合规定的竞争性磋商采购方式适用情形的；</w:t>
      </w:r>
    </w:p>
    <w:p>
      <w:pPr>
        <w:pStyle w:val="null3"/>
        <w:ind w:firstLine="480"/>
      </w:pPr>
      <w:r>
        <w:rPr/>
        <w:t>（2）出现影响采购公正的违法、违规行为的；</w:t>
      </w:r>
    </w:p>
    <w:p>
      <w:pPr>
        <w:pStyle w:val="null3"/>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pStyle w:val="null3"/>
        <w:ind w:firstLine="480"/>
      </w:pPr>
      <w:r>
        <w:rPr/>
        <w:t>（4）法律、法规以及磋商文件规定其他情形。</w:t>
      </w:r>
    </w:p>
    <w:p>
      <w:pPr>
        <w:pStyle w:val="null3"/>
        <w:outlineLvl w:val="3"/>
      </w:pPr>
      <w:r>
        <w:rPr>
          <w:sz w:val="24"/>
          <w:b/>
        </w:rPr>
        <w:t>8.确定成交供应商</w:t>
      </w:r>
    </w:p>
    <w:p>
      <w:pPr>
        <w:pStyle w:val="null3"/>
        <w:ind w:firstLine="480"/>
      </w:pPr>
      <w:r>
        <w:rPr/>
        <w:t>磋商小组按照磋商文件确定的评审方法、步骤、标准，对响应文件进行评审。评审结束后，对供应商的评审名次进行排序，确定成交供应商或者推荐成交候选供应商。</w:t>
      </w:r>
    </w:p>
    <w:p>
      <w:pPr>
        <w:pStyle w:val="null3"/>
        <w:outlineLvl w:val="3"/>
      </w:pPr>
      <w:r>
        <w:rPr>
          <w:sz w:val="24"/>
          <w:b/>
        </w:rPr>
        <w:t>9.价格修正</w:t>
      </w:r>
    </w:p>
    <w:p>
      <w:pPr>
        <w:pStyle w:val="null3"/>
        <w:ind w:firstLine="480"/>
      </w:pPr>
      <w:r>
        <w:rPr/>
        <w:t>对报价的计算错误按以下原则修正：</w:t>
      </w:r>
    </w:p>
    <w:p>
      <w:pPr>
        <w:pStyle w:val="null3"/>
        <w:ind w:firstLine="480"/>
      </w:pPr>
      <w:r>
        <w:rPr/>
        <w:t>（1）响应文件中首轮报价表（报价表）内容与响应文件中相应内容不一致的，以首轮报价表（报价表）为准；</w:t>
      </w:r>
    </w:p>
    <w:p>
      <w:pPr>
        <w:pStyle w:val="null3"/>
        <w:ind w:firstLine="480"/>
      </w:pPr>
      <w:r>
        <w:rPr/>
        <w:t>（2）大写金额和小写金额不一致的，以大写金额为准；</w:t>
      </w:r>
    </w:p>
    <w:p>
      <w:pPr>
        <w:pStyle w:val="null3"/>
        <w:ind w:firstLine="480"/>
      </w:pPr>
      <w:r>
        <w:rPr/>
        <w:t>（3）单价金额小数点或者百分比有明显错位的，以首轮报价表的总价为准，并修改单价；</w:t>
      </w:r>
    </w:p>
    <w:p>
      <w:pPr>
        <w:pStyle w:val="null3"/>
        <w:ind w:firstLine="480"/>
      </w:pPr>
      <w:r>
        <w:rPr/>
        <w:t>（4）总价金额与按单价汇总金额不一致的，以单价金额计算结果为准。但是单价金额计算结果超过预算价的，对其按无效响应处理；</w:t>
      </w:r>
    </w:p>
    <w:p>
      <w:pPr>
        <w:pStyle w:val="null3"/>
        <w:ind w:firstLine="480"/>
      </w:pPr>
      <w:r>
        <w:rPr/>
        <w:t>（5）若投标客户端上传的电子报价数据与电子响应文件价格不一致的，以电子报价数据为准。</w:t>
      </w:r>
    </w:p>
    <w:p>
      <w:pPr>
        <w:pStyle w:val="null3"/>
        <w:ind w:firstLine="480"/>
      </w:pPr>
      <w:r>
        <w:rPr/>
        <w:t xml:space="preserve"> 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采购的产品属于品目清单范围的，将依据国家确定的认证机构出具的、处于有效期之内的节能产品、环境标志产品认证证书，对获得证书的产品实施政府优先采购或强制采购，具体按照本磋商文件相关要求执行。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采购包1（2024年至2025年阳春市国家卫生城市迎复审公共环境病媒生物防制项目）：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 xml:space="preserve"> 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pStyle w:val="null3"/>
        <w:ind w:firstLine="480"/>
      </w:pPr>
      <w:r>
        <w:rPr/>
        <w:t>说明：供应商应当对其出具的《中小企业声明函》真实性负责，供应商出具的《中小企业声明函》内容不实的，属于提供虚假材料谋取成交。</w:t>
      </w:r>
    </w:p>
    <w:p>
      <w:pPr>
        <w:pStyle w:val="null3"/>
        <w:ind w:firstLine="480"/>
      </w:pPr>
      <w:r>
        <w:rPr/>
        <w:t xml:space="preserve"> （3）联合体各方均为小型、微型企业的，各方均应提供《中小企业声明函》；中小微企业作为联合体一方参与政府采购活动，且联合体协议书中约定，小型、微型企业的协议合同金额占到联合体协议合同总金额30%以上的，应附中小微企业的《中小企业声明函》。</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 xml:space="preserve"> 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pStyle w:val="null3"/>
        <w:ind w:firstLine="480"/>
      </w:pPr>
      <w:r>
        <w:rPr/>
        <w:t>磋商小组对各磋商供应商进行资格性和符合性审查过程中，对初步被认定为初审不合格或无效响应者应实行及时告知，由磋商小组组长或采购人代表将集体意见及时告知报价当事人。</w:t>
      </w:r>
    </w:p>
    <w:p>
      <w:pPr>
        <w:pStyle w:val="null3"/>
        <w:ind w:firstLine="480"/>
      </w:pPr>
      <w:r>
        <w:rPr/>
        <w:t>表一资格性审查表：</w:t>
      </w:r>
    </w:p>
    <w:p>
      <w:pPr>
        <w:pStyle w:val="null3"/>
      </w:pPr>
      <w:r>
        <w:rPr/>
        <w:t>采购包1（2024年至2025年阳春市国家卫生城市迎复审公共环境病媒生物防制项目）：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提供《阳江市政府采购供应商资格信用承诺函》。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提供《阳江市政府采购供应商资格信用承诺函》。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提供《阳江市政府采购供应商资格信用承诺函》。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阳江市政府采购供应商资格信用承诺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https://www.creditchina.gov.cn/)“记录失信被执行人或重大税收违法案件当事人名单或政府采购严重违法失信行为”记录名单；不处于中国政府采购网(http://www.ccgp.gov.cn/)“政府采购严重违法失信行为信息记录”中的禁止参加政府采购活动期间。（以资格审查人员于投标（响应）截止时间当天在“信用中国”网站（https://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监理、检测等服务的供应商， 不得再参与本项目投标（响应）。 （详见《格式一：响应承诺函》）</w:t>
            </w:r>
          </w:p>
        </w:tc>
      </w:tr>
      <w:tr>
        <w:tc>
          <w:tcPr>
            <w:tcW w:type="dxa" w:w="890"/>
          </w:tcPr>
          <w:p>
            <w:pPr>
              <w:pStyle w:val="null3"/>
            </w:pPr>
            <w:r>
              <w:rPr/>
              <w:t>8</w:t>
            </w:r>
          </w:p>
        </w:tc>
        <w:tc>
          <w:tcPr>
            <w:tcW w:type="dxa" w:w="3178"/>
          </w:tcPr>
          <w:p>
            <w:pPr>
              <w:pStyle w:val="null3"/>
            </w:pPr>
            <w:r>
              <w:rPr/>
              <w:t>本采购包专门面向中小企业采购</w:t>
            </w:r>
          </w:p>
        </w:tc>
        <w:tc>
          <w:tcPr>
            <w:tcW w:type="dxa" w:w="4238"/>
          </w:tcPr>
          <w:p>
            <w:pPr>
              <w:pStyle w:val="null3"/>
            </w:pPr>
            <w:r>
              <w:rPr/>
              <w:t>本项目专门面向中小企业，采购标的对应的中小企业划分标准所属行业为其他未列明行业。参与的供应商全部由符合政策要求的中小企业承接：供应商应为符合《政府采购促进中小企业发展管理办法》（财库〔2020〕46号）规定和《中小企业划型标准规定》（工信部联企业[2011]300号）的中型、小型、微型企业。注：中小企业以供应商出具的《中小企业声明函》（见竞争性磋商文件格式）为判定标准；残疾人福利性单位以供应商出具的《残疾人福利性单位声明函》（见竞争性磋商文件格式）为判定标准；监狱企业以供应商提供由省级以上监狱管理局、戒毒管理局（含新疆生产建设兵团）出具的属于监狱企业的证明文件，否则不予认定。</w:t>
            </w:r>
          </w:p>
        </w:tc>
      </w:tr>
    </w:tbl>
    <w:p>
      <w:pPr>
        <w:pStyle w:val="null3"/>
        <w:ind w:firstLine="480"/>
      </w:pPr>
      <w:r>
        <w:rPr/>
        <w:t>表二符合性审查表：</w:t>
      </w:r>
    </w:p>
    <w:p>
      <w:pPr>
        <w:pStyle w:val="null3"/>
      </w:pPr>
      <w:r>
        <w:rPr/>
        <w:t>采购包1（2024年至2025年阳春市国家卫生城市迎复审公共环境病媒生物防制项目）：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磋商有效期</w:t>
            </w:r>
          </w:p>
        </w:tc>
        <w:tc>
          <w:tcPr>
            <w:tcW w:type="dxa" w:w="4238"/>
          </w:tcPr>
          <w:p>
            <w:pPr>
              <w:pStyle w:val="null3"/>
            </w:pPr>
            <w:r>
              <w:rPr/>
              <w:t>磋商有效期为90天。</w:t>
            </w:r>
          </w:p>
        </w:tc>
      </w:tr>
      <w:tr>
        <w:tc>
          <w:tcPr>
            <w:tcW w:type="dxa" w:w="890"/>
          </w:tcPr>
          <w:p>
            <w:pPr>
              <w:pStyle w:val="null3"/>
            </w:pPr>
            <w:r>
              <w:rPr/>
              <w:t>2</w:t>
            </w:r>
          </w:p>
        </w:tc>
        <w:tc>
          <w:tcPr>
            <w:tcW w:type="dxa" w:w="3178"/>
          </w:tcPr>
          <w:p>
            <w:pPr>
              <w:pStyle w:val="null3"/>
            </w:pPr>
            <w:r>
              <w:rPr/>
              <w:t>签署要求</w:t>
            </w:r>
          </w:p>
        </w:tc>
        <w:tc>
          <w:tcPr>
            <w:tcW w:type="dxa" w:w="4238"/>
          </w:tcPr>
          <w:p>
            <w:pPr>
              <w:pStyle w:val="null3"/>
            </w:pPr>
            <w:r>
              <w:rPr/>
              <w:t>响应文件符合采购文件的式样和签署要求。</w:t>
            </w:r>
          </w:p>
        </w:tc>
      </w:tr>
      <w:tr>
        <w:tc>
          <w:tcPr>
            <w:tcW w:type="dxa" w:w="890"/>
          </w:tcPr>
          <w:p>
            <w:pPr>
              <w:pStyle w:val="null3"/>
            </w:pPr>
            <w:r>
              <w:rPr/>
              <w:t>3</w:t>
            </w:r>
          </w:p>
        </w:tc>
        <w:tc>
          <w:tcPr>
            <w:tcW w:type="dxa" w:w="3178"/>
          </w:tcPr>
          <w:p>
            <w:pPr>
              <w:pStyle w:val="null3"/>
            </w:pPr>
            <w:r>
              <w:rPr/>
              <w:t>报价要求</w:t>
            </w:r>
          </w:p>
        </w:tc>
        <w:tc>
          <w:tcPr>
            <w:tcW w:type="dxa" w:w="4238"/>
          </w:tcPr>
          <w:p>
            <w:pPr>
              <w:pStyle w:val="null3"/>
            </w:pPr>
            <w:r>
              <w:rPr/>
              <w:t>投标报价是固定唯一价，未超过本项目采购预算。不存在低于成本价投标或投标报价明显不合理且供应商不能合理说明的情况。</w:t>
            </w:r>
          </w:p>
        </w:tc>
      </w:tr>
      <w:tr>
        <w:tc>
          <w:tcPr>
            <w:tcW w:type="dxa" w:w="890"/>
          </w:tcPr>
          <w:p>
            <w:pPr>
              <w:pStyle w:val="null3"/>
            </w:pPr>
            <w:r>
              <w:rPr/>
              <w:t>4</w:t>
            </w:r>
          </w:p>
        </w:tc>
        <w:tc>
          <w:tcPr>
            <w:tcW w:type="dxa" w:w="3178"/>
          </w:tcPr>
          <w:p>
            <w:pPr>
              <w:pStyle w:val="null3"/>
            </w:pPr>
            <w:r>
              <w:rPr/>
              <w:t>响应文件无其他未实质性响应磋商文件要求</w:t>
            </w:r>
          </w:p>
        </w:tc>
        <w:tc>
          <w:tcPr>
            <w:tcW w:type="dxa" w:w="4238"/>
          </w:tcPr>
          <w:p>
            <w:pPr>
              <w:pStyle w:val="null3"/>
            </w:pPr>
            <w:r>
              <w:rPr/>
              <w:t>响应文件无其他未实质性响应采购文件要求，或无经评委认定为无效标的。</w:t>
            </w:r>
          </w:p>
        </w:tc>
      </w:tr>
    </w:tbl>
    <w:p>
      <w:pPr>
        <w:pStyle w:val="null3"/>
        <w:outlineLvl w:val="3"/>
      </w:pPr>
      <w:r>
        <w:rPr>
          <w:sz w:val="24"/>
          <w:b/>
        </w:rPr>
        <w:t>2.响应文件澄清</w:t>
      </w:r>
    </w:p>
    <w:p>
      <w:pPr>
        <w:pStyle w:val="null3"/>
        <w:ind w:firstLine="480"/>
      </w:pPr>
      <w:r>
        <w:rPr/>
        <w:t xml:space="preserve"> 2.1对于响应文件中含义不明确、同类问题表述不一致或者有明显文字和计算错误的内容，磋商小组应当在评审过程中发起在线澄清，要求供应商针对价格或内容做出必要的澄清、说明或补正。代理机构可根据开启环节记录的</w:t>
      </w:r>
      <w:r>
        <w:rPr>
          <w:b/>
        </w:rPr>
        <w:t>授权代表人联系方式</w:t>
      </w:r>
      <w:r>
        <w:rPr/>
        <w:t>发送短信提醒或电话告知。</w:t>
      </w:r>
    </w:p>
    <w:p>
      <w:pPr>
        <w:pStyle w:val="null3"/>
        <w:ind w:firstLine="480"/>
      </w:pPr>
      <w:r>
        <w:rPr/>
        <w:t>供应商需登录广东政府采购智慧云平台项目采购系统的等候大厅，在规定时间内完成澄清（响应），并加盖电子印章。</w:t>
      </w:r>
    </w:p>
    <w:p>
      <w:pPr>
        <w:pStyle w:val="null3"/>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pStyle w:val="null3"/>
        <w:ind w:firstLine="480"/>
      </w:pPr>
      <w:r>
        <w:rPr/>
        <w:t>2.2磋商小组不接受供应商主动提出的澄清、说明或补正。</w:t>
      </w:r>
    </w:p>
    <w:p>
      <w:pPr>
        <w:pStyle w:val="null3"/>
        <w:ind w:firstLine="480"/>
      </w:pPr>
      <w:r>
        <w:rPr/>
        <w:t>2.3磋商小组对供应商提交的澄清、说明或补正有疑问的，可以要求供应商进一步澄清、说明或补正。</w:t>
      </w:r>
    </w:p>
    <w:p>
      <w:pPr>
        <w:pStyle w:val="null3"/>
        <w:outlineLvl w:val="3"/>
      </w:pPr>
      <w:r>
        <w:rPr>
          <w:sz w:val="24"/>
          <w:b/>
        </w:rPr>
        <w:t>3.磋商</w:t>
      </w:r>
    </w:p>
    <w:p>
      <w:pPr>
        <w:pStyle w:val="null3"/>
        <w:ind w:firstLine="480"/>
      </w:pPr>
      <w:r>
        <w:rPr/>
        <w:t>3.1磋商小组所有成员应当集中与单一供应商分别进行磋商，并给予所有参加磋商的供应商平等的磋商机会。</w:t>
      </w:r>
    </w:p>
    <w:p>
      <w:pPr>
        <w:pStyle w:val="null3"/>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pStyle w:val="null3"/>
        <w:ind w:firstLine="480"/>
      </w:pPr>
      <w:r>
        <w:rPr/>
        <w:t>3.3对磋商文件作出的实质性变动是磋商文件的有效组成部分，磋商小组应当及时、同时通知所有参加磋商的供应商。</w:t>
      </w:r>
    </w:p>
    <w:p>
      <w:pPr>
        <w:pStyle w:val="null3"/>
        <w:ind w:firstLine="480"/>
      </w:pPr>
      <w:r>
        <w:rPr/>
        <w:t xml:space="preserve"> 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pPr>
        <w:pStyle w:val="null3"/>
        <w:outlineLvl w:val="3"/>
      </w:pPr>
      <w:r>
        <w:rPr>
          <w:sz w:val="24"/>
          <w:b/>
        </w:rPr>
        <w:t>4.最后报价</w:t>
      </w:r>
    </w:p>
    <w:p>
      <w:pPr>
        <w:pStyle w:val="null3"/>
        <w:ind w:firstLine="480"/>
      </w:pPr>
      <w:r>
        <w:rPr/>
        <w:t>4.1磋商结束后，磋商小组应当要求所有实质性响应的供应商在规定时间内提交最后报价。最后报价是供应商响应文件的有效组成部分。</w:t>
      </w:r>
    </w:p>
    <w:p>
      <w:pPr>
        <w:pStyle w:val="null3"/>
        <w:ind w:firstLine="480"/>
      </w:pPr>
      <w:r>
        <w:rPr/>
        <w:t>4.2已提交响应文件的供应商，在提交最后报价之前，可以根据磋商情况退出磋商。</w:t>
      </w:r>
    </w:p>
    <w:p>
      <w:pPr>
        <w:pStyle w:val="null3"/>
        <w:ind w:firstLine="480"/>
      </w:pPr>
      <w:r>
        <w:rPr/>
        <w:t>4.3除法规规定的特殊性情形外，提交最后报价的供应商不得少于3家。</w:t>
      </w:r>
    </w:p>
    <w:p>
      <w:pPr>
        <w:pStyle w:val="null3"/>
        <w:outlineLvl w:val="3"/>
      </w:pPr>
      <w:r>
        <w:rPr>
          <w:sz w:val="24"/>
          <w:b/>
        </w:rPr>
        <w:t>5.详细评审</w:t>
      </w:r>
    </w:p>
    <w:p>
      <w:pPr>
        <w:pStyle w:val="null3"/>
      </w:pPr>
      <w:r>
        <w:rPr/>
        <w:t>采购包1(2024年至2025年阳春市国家卫生城市迎复审公共环境病媒生物防制项目):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商务部分35.0分</w:t>
            </w:r>
          </w:p>
          <w:p>
            <w:pPr>
              <w:pStyle w:val="null3"/>
            </w:pPr>
            <w:r>
              <w:rPr/>
              <w:t>技术部分55.0分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技术参数响应情况 (15.0分)</w:t>
            </w:r>
          </w:p>
        </w:tc>
        <w:tc>
          <w:tcPr>
            <w:tcW w:type="dxa" w:w="5076"/>
          </w:tcPr>
          <w:p>
            <w:pPr>
              <w:pStyle w:val="null3"/>
              <w:jc w:val="left"/>
            </w:pPr>
            <w:r>
              <w:rPr/>
              <w:t>供应商应如实填写《技术和服务要求响应表》，评标委员会根据技术参数响应情况进行打分，各项技术参数指标及要求完全满足或优于招标文件要求的得15分，每项负偏离扣1分，扣完为止。</w:t>
            </w:r>
          </w:p>
        </w:tc>
      </w:tr>
      <w:tr>
        <w:tc>
          <w:tcPr>
            <w:tcW w:type="dxa" w:w="922"/>
            <w:gridSpan w:val="2"/>
            <w:vMerge/>
          </w:tcPr>
          <w:p/>
        </w:tc>
        <w:tc>
          <w:tcPr>
            <w:tcW w:type="dxa" w:w="2307"/>
          </w:tcPr>
          <w:p>
            <w:pPr>
              <w:pStyle w:val="null3"/>
              <w:jc w:val="left"/>
            </w:pPr>
            <w:r>
              <w:rPr/>
              <w:t>服务方案 (10.0分)</w:t>
            </w:r>
            <w:r>
              <w:rPr/>
              <w:t>，（等次分值选择：</w:t>
            </w:r>
            <w:r>
              <w:rPr/>
              <w:t>0.0;</w:t>
            </w:r>
            <w:r>
              <w:rPr/>
              <w:t>1.0;</w:t>
            </w:r>
            <w:r>
              <w:rPr/>
              <w:t>4.0;</w:t>
            </w:r>
            <w:r>
              <w:rPr/>
              <w:t>7.0;</w:t>
            </w:r>
            <w:r>
              <w:rPr/>
              <w:t>10.0;</w:t>
            </w:r>
            <w:r>
              <w:rPr/>
              <w:t>）</w:t>
            </w:r>
          </w:p>
        </w:tc>
        <w:tc>
          <w:tcPr>
            <w:tcW w:type="dxa" w:w="5076"/>
          </w:tcPr>
          <w:p>
            <w:pPr>
              <w:pStyle w:val="null3"/>
              <w:jc w:val="left"/>
            </w:pPr>
            <w:r>
              <w:rPr/>
              <w:t>根据供应商对项目提供的服务方案（包括用药方案、工作计划、工作流程、病媒生物防治措施、四害特点、防制要点等）进行评审： 1.供应商对本项目提出科学、有针对性的项目整体服务方案，且方案可操作性、合理性、完整性强的，得10分； 2.供应商对本项目提出较科学、较有针对性的项目整体服务方案，且方案具有一定的可操作性和合理性的，得7分； 3.供应商对本项目提出的项目整体服务方案一般，缺乏可操作性和合理性的，得4分； 4.供应商对本项目提出的项目整体服务方案差，没有可操作性和合理性的，得1分； 5.未提供或提供内容偏离实际需求的，不得分。</w:t>
            </w:r>
          </w:p>
        </w:tc>
      </w:tr>
      <w:tr>
        <w:tc>
          <w:tcPr>
            <w:tcW w:type="dxa" w:w="922"/>
            <w:gridSpan w:val="2"/>
            <w:vMerge/>
          </w:tcPr>
          <w:p/>
        </w:tc>
        <w:tc>
          <w:tcPr>
            <w:tcW w:type="dxa" w:w="2307"/>
          </w:tcPr>
          <w:p>
            <w:pPr>
              <w:pStyle w:val="null3"/>
              <w:jc w:val="left"/>
            </w:pPr>
            <w:r>
              <w:rPr/>
              <w:t>应急方案 (10.0分)</w:t>
            </w:r>
            <w:r>
              <w:rPr/>
              <w:t>，（等次分值选择：</w:t>
            </w:r>
            <w:r>
              <w:rPr/>
              <w:t>0.0;</w:t>
            </w:r>
            <w:r>
              <w:rPr/>
              <w:t>4.0;</w:t>
            </w:r>
            <w:r>
              <w:rPr/>
              <w:t>7.0;</w:t>
            </w:r>
            <w:r>
              <w:rPr/>
              <w:t>10.0;</w:t>
            </w:r>
            <w:r>
              <w:rPr/>
              <w:t>）</w:t>
            </w:r>
          </w:p>
        </w:tc>
        <w:tc>
          <w:tcPr>
            <w:tcW w:type="dxa" w:w="5076"/>
          </w:tcPr>
          <w:p>
            <w:pPr>
              <w:pStyle w:val="null3"/>
              <w:jc w:val="left"/>
            </w:pPr>
            <w:r>
              <w:rPr/>
              <w:t>供应商应根据对本项目的理解提供根据应急服务方案（包括但不限于突发事件的处理措施、应急处理措施等）进行评审： 1.应急方案科学、合理、完善、具有可行性的，得10分； 2.应急方案科学性、合理性、可行性一般的，得7分； 3.应急方案内容简单，科学性、合理性、可行性差的，得4分； 4.未提供或提供内容偏离实际需求的，不得分。</w:t>
            </w:r>
          </w:p>
        </w:tc>
      </w:tr>
      <w:tr>
        <w:tc>
          <w:tcPr>
            <w:tcW w:type="dxa" w:w="922"/>
            <w:gridSpan w:val="2"/>
            <w:vMerge/>
          </w:tcPr>
          <w:p/>
        </w:tc>
        <w:tc>
          <w:tcPr>
            <w:tcW w:type="dxa" w:w="2307"/>
          </w:tcPr>
          <w:p>
            <w:pPr>
              <w:pStyle w:val="null3"/>
              <w:jc w:val="left"/>
            </w:pPr>
            <w:r>
              <w:rPr/>
              <w:t>人员管理及培训方案 (6.0分)</w:t>
            </w:r>
            <w:r>
              <w:rPr/>
              <w:t>，（等次分值选择：</w:t>
            </w:r>
            <w:r>
              <w:rPr/>
              <w:t>0.0;</w:t>
            </w:r>
            <w:r>
              <w:rPr/>
              <w:t>1.0;</w:t>
            </w:r>
            <w:r>
              <w:rPr/>
              <w:t>3.0;</w:t>
            </w:r>
            <w:r>
              <w:rPr/>
              <w:t>6.0;</w:t>
            </w:r>
            <w:r>
              <w:rPr/>
              <w:t>）</w:t>
            </w:r>
          </w:p>
        </w:tc>
        <w:tc>
          <w:tcPr>
            <w:tcW w:type="dxa" w:w="5076"/>
          </w:tcPr>
          <w:p>
            <w:pPr>
              <w:pStyle w:val="null3"/>
              <w:jc w:val="left"/>
            </w:pPr>
            <w:r>
              <w:rPr/>
              <w:t>根据供应商对本项目的人员管理及培训方案（包括消杀人员技术培训、杀虫药物的使用常识、防制方法及措施等）进行评审： 1.方案内容齐全，合理性强，得6分； 2.方案内容不够齐全，合理性一般，得3分； 3.方案内容不齐全，合理性差，得1分； 4.未提供或提供内容偏离实际需求的，不得分。</w:t>
            </w:r>
          </w:p>
        </w:tc>
      </w:tr>
      <w:tr>
        <w:tc>
          <w:tcPr>
            <w:tcW w:type="dxa" w:w="922"/>
            <w:gridSpan w:val="2"/>
            <w:vMerge/>
          </w:tcPr>
          <w:p/>
        </w:tc>
        <w:tc>
          <w:tcPr>
            <w:tcW w:type="dxa" w:w="2307"/>
          </w:tcPr>
          <w:p>
            <w:pPr>
              <w:pStyle w:val="null3"/>
              <w:jc w:val="left"/>
            </w:pPr>
            <w:r>
              <w:rPr/>
              <w:t>项目质量控制方案 (6.0分)</w:t>
            </w:r>
            <w:r>
              <w:rPr/>
              <w:t>，（等次分值选择：</w:t>
            </w:r>
            <w:r>
              <w:rPr/>
              <w:t>0.0;</w:t>
            </w:r>
            <w:r>
              <w:rPr/>
              <w:t>1.0;</w:t>
            </w:r>
            <w:r>
              <w:rPr/>
              <w:t>3.0;</w:t>
            </w:r>
            <w:r>
              <w:rPr/>
              <w:t>6.0;</w:t>
            </w:r>
            <w:r>
              <w:rPr/>
              <w:t>）</w:t>
            </w:r>
          </w:p>
        </w:tc>
        <w:tc>
          <w:tcPr>
            <w:tcW w:type="dxa" w:w="5076"/>
          </w:tcPr>
          <w:p>
            <w:pPr>
              <w:pStyle w:val="null3"/>
              <w:jc w:val="left"/>
            </w:pPr>
            <w:r>
              <w:rPr/>
              <w:t>根据供应商对本项目的项目质量控制方案进行评审： 1.供应商对本项目编制的项目质量控制方案承诺具体合理、全面完善、可操作性强的，6分； 2.供应商对本项目编制的项目质量控制方案承诺较合理、较完善、可操作性较强的，得3分； 3.供应商对本项目编制的项目质量控制方案承诺基本合理、基本完善、可操作性一般的，1分； 4.未提供或提供内容偏离实际需求的，不得分。</w:t>
            </w:r>
          </w:p>
        </w:tc>
      </w:tr>
      <w:tr>
        <w:tc>
          <w:tcPr>
            <w:tcW w:type="dxa" w:w="922"/>
            <w:gridSpan w:val="2"/>
            <w:vMerge/>
          </w:tcPr>
          <w:p/>
        </w:tc>
        <w:tc>
          <w:tcPr>
            <w:tcW w:type="dxa" w:w="2307"/>
          </w:tcPr>
          <w:p>
            <w:pPr>
              <w:pStyle w:val="null3"/>
              <w:jc w:val="left"/>
            </w:pPr>
            <w:r>
              <w:rPr/>
              <w:t>投入设备情况 (8.0分)</w:t>
            </w:r>
          </w:p>
        </w:tc>
        <w:tc>
          <w:tcPr>
            <w:tcW w:type="dxa" w:w="5076"/>
          </w:tcPr>
          <w:p>
            <w:pPr>
              <w:pStyle w:val="null3"/>
              <w:jc w:val="left"/>
            </w:pPr>
            <w:r>
              <w:rPr/>
              <w:t>1.供应商具有五座或以上车辆：1台得1分；2台或以上的得2分； 注：①供应商自有车辆的，提供有效期内的《机动车行驶证》复印件(机动车所有人必须为投标单位)、能同时看清车辆车牌号码的图片，漏提供、未提供或未按要求提供相关资料的不得分；②若为租赁车辆，提供车辆租赁合同复印件(车辆租赁人必须为投标单位)、有效期内的《机动车行驶证》复印件、能同时看清车辆车牌号码的图片，漏提供、未提供或未按要求提供相关资料的不得分。 2.供应商具有背负式超低容量喷雾机：1至4台的得1分；5台或以上的得2分； 注：①设备为自有的，须提供相应的设备购买发票；②设备为租赁的，须提供租赁合同和相关证明文件；③未按要求提供不得分。 3.供应商具有常量喷雾机：1至4台的得1分；5台或以上的得2分； 注：①设备为自有的，须提供相应的设备购买发票；②设备为租赁的，须提供租赁合同和相关证明文件；③未按要求提供不得分。 4.供应商具有热烟雾机：1至4台的得1分；5台或以上的得2分。 注：①设备为自有的，须提供相应的设备购买发票；②设备为租赁的，须提供租赁合同和相关证明文件；③未按要求提供不得分。</w:t>
            </w:r>
          </w:p>
        </w:tc>
      </w:tr>
      <w:tr>
        <w:tc>
          <w:tcPr>
            <w:tcW w:type="dxa" w:w="922"/>
            <w:gridSpan w:val="2"/>
            <w:vMerge w:val="restart"/>
          </w:tcPr>
          <w:p>
            <w:pPr>
              <w:pStyle w:val="null3"/>
              <w:jc w:val="center"/>
            </w:pPr>
            <w:r>
              <w:rPr/>
              <w:t>商务部分</w:t>
            </w:r>
          </w:p>
        </w:tc>
        <w:tc>
          <w:tcPr>
            <w:tcW w:type="dxa" w:w="2307"/>
          </w:tcPr>
          <w:p>
            <w:pPr>
              <w:pStyle w:val="null3"/>
              <w:jc w:val="left"/>
            </w:pPr>
            <w:r>
              <w:rPr/>
              <w:t>商务响应程度 (3.0分)</w:t>
            </w:r>
          </w:p>
        </w:tc>
        <w:tc>
          <w:tcPr>
            <w:tcW w:type="dxa" w:w="5076"/>
          </w:tcPr>
          <w:p>
            <w:pPr>
              <w:pStyle w:val="null3"/>
              <w:jc w:val="left"/>
            </w:pPr>
            <w:r>
              <w:rPr/>
              <w:t>根据投标人对招标文件中项目商务要求的响应程度进行评审，完全满足或优于招标文件要求，得3分，有负偏离招标文件要求，得0分。</w:t>
            </w:r>
          </w:p>
        </w:tc>
      </w:tr>
      <w:tr>
        <w:tc>
          <w:tcPr>
            <w:tcW w:type="dxa" w:w="922"/>
            <w:gridSpan w:val="2"/>
            <w:vMerge/>
          </w:tcPr>
          <w:p/>
        </w:tc>
        <w:tc>
          <w:tcPr>
            <w:tcW w:type="dxa" w:w="2307"/>
          </w:tcPr>
          <w:p>
            <w:pPr>
              <w:pStyle w:val="null3"/>
              <w:jc w:val="left"/>
            </w:pPr>
            <w:r>
              <w:rPr/>
              <w:t>供应商认证情况 (3.0分)</w:t>
            </w:r>
          </w:p>
        </w:tc>
        <w:tc>
          <w:tcPr>
            <w:tcW w:type="dxa" w:w="5076"/>
          </w:tcPr>
          <w:p>
            <w:pPr>
              <w:pStyle w:val="null3"/>
              <w:jc w:val="left"/>
            </w:pPr>
            <w:r>
              <w:rPr/>
              <w:t>供应商具有有效期内的质量管理体系认证、环境管理体系认证、职业健康安全管理体系认证，每个证书1分，最高得3分。 注：提供证书扫描件，不提供不得分。此项评分如因供应商成立时间不足3个月，导致未能取得相关认证且提供书面说明的，对应证书可得分。</w:t>
            </w:r>
          </w:p>
        </w:tc>
      </w:tr>
      <w:tr>
        <w:tc>
          <w:tcPr>
            <w:tcW w:type="dxa" w:w="922"/>
            <w:gridSpan w:val="2"/>
            <w:vMerge/>
          </w:tcPr>
          <w:p/>
        </w:tc>
        <w:tc>
          <w:tcPr>
            <w:tcW w:type="dxa" w:w="2307"/>
          </w:tcPr>
          <w:p>
            <w:pPr>
              <w:pStyle w:val="null3"/>
              <w:jc w:val="left"/>
            </w:pPr>
            <w:r>
              <w:rPr/>
              <w:t>同类项目经验 (8.0分)</w:t>
            </w:r>
          </w:p>
        </w:tc>
        <w:tc>
          <w:tcPr>
            <w:tcW w:type="dxa" w:w="5076"/>
          </w:tcPr>
          <w:p>
            <w:pPr>
              <w:pStyle w:val="null3"/>
              <w:jc w:val="left"/>
            </w:pPr>
            <w:r>
              <w:rPr/>
              <w:t>供应商自2019年1月1日（以合同签订时间为准）至今承担过同类项目业绩，每提供一个得2分，最高得8分。 注：提供合同关键页复印件和中标（成交）通知书复印件作为评审依据，否则不得分。</w:t>
            </w:r>
          </w:p>
        </w:tc>
      </w:tr>
      <w:tr>
        <w:tc>
          <w:tcPr>
            <w:tcW w:type="dxa" w:w="922"/>
            <w:gridSpan w:val="2"/>
            <w:vMerge/>
          </w:tcPr>
          <w:p/>
        </w:tc>
        <w:tc>
          <w:tcPr>
            <w:tcW w:type="dxa" w:w="2307"/>
          </w:tcPr>
          <w:p>
            <w:pPr>
              <w:pStyle w:val="null3"/>
              <w:jc w:val="left"/>
            </w:pPr>
            <w:r>
              <w:rPr/>
              <w:t>用户满意度评价 (6.0分)</w:t>
            </w:r>
          </w:p>
        </w:tc>
        <w:tc>
          <w:tcPr>
            <w:tcW w:type="dxa" w:w="5076"/>
          </w:tcPr>
          <w:p>
            <w:pPr>
              <w:pStyle w:val="null3"/>
              <w:jc w:val="left"/>
            </w:pPr>
            <w:r>
              <w:rPr/>
              <w:t>供应商提供符合要求的同类项目业绩的用户单位出具的满意度评价，评价情况至少为“满意或优秀或90分以上等类似好评的”方可计分，每提供一项得1.5分，最高得6分。 注：评价证明材料须与供应商上述提供的2019年1月1日至今的同类项目业绩的用户单位一致，用户满意度评价须经用户单位盖章。</w:t>
            </w:r>
          </w:p>
        </w:tc>
      </w:tr>
      <w:tr>
        <w:tc>
          <w:tcPr>
            <w:tcW w:type="dxa" w:w="922"/>
            <w:gridSpan w:val="2"/>
            <w:vMerge/>
          </w:tcPr>
          <w:p/>
        </w:tc>
        <w:tc>
          <w:tcPr>
            <w:tcW w:type="dxa" w:w="2307"/>
          </w:tcPr>
          <w:p>
            <w:pPr>
              <w:pStyle w:val="null3"/>
              <w:jc w:val="left"/>
            </w:pPr>
            <w:r>
              <w:rPr/>
              <w:t>项目负责人 (6.0分)</w:t>
            </w:r>
          </w:p>
        </w:tc>
        <w:tc>
          <w:tcPr>
            <w:tcW w:type="dxa" w:w="5076"/>
          </w:tcPr>
          <w:p>
            <w:pPr>
              <w:pStyle w:val="null3"/>
              <w:jc w:val="left"/>
            </w:pPr>
            <w:r>
              <w:rPr/>
              <w:t>投入本项目负责人满足以下条件的： 1.具有5年或以上有害生物防制工作经验； 2.具有病媒生物防制相关专业（医学、药学、公卫、生物技术、植保等）大专或以上学历； 3.具有有害生物防制员四级/中级或以上国家职业技能（资格）证书； 4.具有消毒员四级/中级或以上国家职业技能（资格）证书。 每提供一项得1.5分，最高得6分。 注：提供证书或证明材料复印件及投标截止日前6个月内任意1个月的本单位社保缴纳证明并加盖公章作为评分依据，否则不得分。</w:t>
            </w:r>
          </w:p>
        </w:tc>
      </w:tr>
      <w:tr>
        <w:tc>
          <w:tcPr>
            <w:tcW w:type="dxa" w:w="922"/>
            <w:gridSpan w:val="2"/>
            <w:vMerge/>
          </w:tcPr>
          <w:p/>
        </w:tc>
        <w:tc>
          <w:tcPr>
            <w:tcW w:type="dxa" w:w="2307"/>
          </w:tcPr>
          <w:p>
            <w:pPr>
              <w:pStyle w:val="null3"/>
              <w:jc w:val="left"/>
            </w:pPr>
            <w:r>
              <w:rPr/>
              <w:t>人员配置情况 (9.0分)</w:t>
            </w:r>
          </w:p>
        </w:tc>
        <w:tc>
          <w:tcPr>
            <w:tcW w:type="dxa" w:w="5076"/>
          </w:tcPr>
          <w:p>
            <w:pPr>
              <w:pStyle w:val="null3"/>
              <w:jc w:val="left"/>
            </w:pPr>
            <w:r>
              <w:rPr/>
              <w:t>投入本项目专业服务人员应满足以下条件（不含项目负责人）： 1.具有有害生物防制员五级/初级或以上国家职业技能（资格）证书的，每人0.5分，最高6分； 2.具有消毒员五级/初级或以上国家职业技能（资格）证书的，每人1分，最高3分。 注：提供证书或证明材料复印件及投标截止日前6个月内任意1个月的本单位社保缴纳证明并加盖公章作为评分依据，否则不得分。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6.汇总、排序</w:t>
      </w:r>
    </w:p>
    <w:p>
      <w:pPr>
        <w:pStyle w:val="null3"/>
      </w:pPr>
      <w:r>
        <w:rPr/>
        <w:t>采购包1：</w:t>
      </w:r>
    </w:p>
    <w:p>
      <w:pPr>
        <w:pStyle w:val="null3"/>
      </w:pPr>
      <w:r>
        <w:rPr/>
        <w:t>评审结果按评审后总得分由高到低顺序排列。评审得分相同的，按最终报价由低到高顺序排列。得分且最终报价相同的，由谈判小组采取随机抽取的方式确定。排名第一的谈判供应商为第一成交候选人，排名第二的谈判供应商为第二成交候选人（提供相同品牌产品（非单一产品采购，以核心产品为准。多个核心产品的，有一种产品品牌相同，即视为提供相同品牌产品），评审后得分最高的同品牌谈判供应商获得成交候选人推荐资格；评审得分相同的，由采购人或者采购人委托谈判小组采取随机抽取方式确定，其他同品牌谈判供应商不作为成交候选人）。</w:t>
      </w:r>
    </w:p>
    <w:p>
      <w:pPr>
        <w:pStyle w:val="null3"/>
        <w:outlineLvl w:val="3"/>
      </w:pPr>
      <w:r>
        <w:rPr>
          <w:sz w:val="24"/>
          <w:b/>
        </w:rPr>
        <w:t>7.其他无效响应的情形：</w:t>
      </w:r>
    </w:p>
    <w:p>
      <w:pPr>
        <w:pStyle w:val="null3"/>
        <w:ind w:firstLine="480"/>
      </w:pPr>
      <w:r>
        <w:rPr/>
        <w:t>（1）评审期间，供应商没有按磋商小组的要求提交法定代表人或其委托代理人签字的澄清、说明、补正或改变了响应文件的实质性内容的。</w:t>
      </w:r>
    </w:p>
    <w:p>
      <w:pPr>
        <w:pStyle w:val="null3"/>
        <w:ind w:firstLine="480"/>
      </w:pPr>
      <w:r>
        <w:rPr/>
        <w:t>（2）响应文件提供虚假材料的。</w:t>
      </w:r>
    </w:p>
    <w:p>
      <w:pPr>
        <w:pStyle w:val="null3"/>
        <w:ind w:firstLine="480"/>
      </w:pPr>
      <w:r>
        <w:rPr/>
        <w:t>（3）供应商以他人名义响应、串通响应、以行贿手段谋取成交或者以其他弄虚作假方式响应的。</w:t>
      </w:r>
    </w:p>
    <w:p>
      <w:pPr>
        <w:pStyle w:val="null3"/>
        <w:ind w:firstLine="480"/>
      </w:pPr>
      <w:r>
        <w:rPr/>
        <w:t>（4）供应商对采购人、采购代理机构、磋商小组及其工作人员施加影响，有碍招标公平、公正的。</w:t>
      </w:r>
    </w:p>
    <w:p>
      <w:pPr>
        <w:pStyle w:val="null3"/>
        <w:ind w:firstLine="480"/>
      </w:pPr>
      <w:r>
        <w:rPr/>
        <w:t>（5）响应文件含有采购人不能接受的附加条件的。</w:t>
      </w:r>
    </w:p>
    <w:p>
      <w:pPr>
        <w:pStyle w:val="null3"/>
        <w:ind w:firstLine="480"/>
      </w:pPr>
      <w:r>
        <w:rPr/>
        <w:t>（6）法律、法规和磋商文件规定的其他无效情形。</w:t>
      </w:r>
    </w:p>
    <w:p>
      <w:pPr>
        <w:pStyle w:val="null3"/>
      </w:pPr>
      <w:r>
        <w:rPr/>
        <w:t xml:space="preserve">  </w:t>
      </w:r>
    </w:p>
    <w:p>
      <w:pPr>
        <w:pStyle w:val="null3"/>
        <w:jc w:val="center"/>
        <w:outlineLvl w:val="1"/>
      </w:pPr>
      <w:r>
        <w:rPr>
          <w:sz w:val="36"/>
          <w:b/>
        </w:rPr>
        <w:t>第五章 合同文本</w:t>
      </w:r>
    </w:p>
    <w:p>
      <w:pPr>
        <w:pStyle w:val="null3"/>
      </w:pPr>
      <w:r>
        <w:rPr>
          <w:rFonts w:ascii="宋体" w:hAnsi="宋体" w:cs="宋体" w:eastAsia="宋体"/>
          <w:sz w:val="48"/>
          <w:b/>
          <w:color w:val="222222"/>
        </w:rPr>
        <w:t xml:space="preserve"> </w:t>
      </w:r>
    </w:p>
    <w:p>
      <w:pPr>
        <w:pStyle w:val="null3"/>
        <w:shd w:fill="FFFFFF"/>
        <w:spacing w:before="0" w:after="0"/>
        <w:ind w:left="0" w:right="0"/>
        <w:jc w:val="center"/>
      </w:pPr>
      <w:r>
        <w:rPr>
          <w:rFonts w:ascii="宋体" w:hAnsi="宋体" w:cs="宋体" w:eastAsia="宋体"/>
          <w:sz w:val="48"/>
          <w:b/>
          <w:color w:val="222222"/>
        </w:rPr>
        <w:t xml:space="preserve"> </w:t>
      </w:r>
    </w:p>
    <w:p>
      <w:pPr>
        <w:pStyle w:val="null3"/>
        <w:shd w:fill="FFFFFF"/>
        <w:spacing w:before="0" w:after="0"/>
        <w:ind w:left="0" w:right="0"/>
        <w:jc w:val="center"/>
      </w:pPr>
      <w:r>
        <w:rPr>
          <w:rFonts w:ascii="宋体" w:hAnsi="宋体" w:cs="宋体" w:eastAsia="宋体"/>
          <w:sz w:val="48"/>
          <w:b/>
          <w:color w:val="222222"/>
        </w:rPr>
        <w:t xml:space="preserve"> </w:t>
      </w:r>
    </w:p>
    <w:p>
      <w:pPr>
        <w:pStyle w:val="null3"/>
        <w:shd w:fill="FFFFFF"/>
        <w:spacing w:before="0" w:after="0"/>
        <w:ind w:left="0" w:right="0"/>
        <w:jc w:val="center"/>
      </w:pPr>
      <w:r>
        <w:rPr>
          <w:rFonts w:ascii="宋体" w:hAnsi="宋体" w:cs="宋体" w:eastAsia="宋体"/>
          <w:sz w:val="48"/>
          <w:b/>
          <w:color w:val="222222"/>
        </w:rPr>
        <w:t xml:space="preserve"> </w:t>
      </w:r>
    </w:p>
    <w:p>
      <w:pPr>
        <w:pStyle w:val="null3"/>
        <w:shd w:fill="FFFFFF"/>
        <w:spacing w:before="0" w:after="0"/>
        <w:ind w:left="0" w:right="0"/>
        <w:jc w:val="center"/>
      </w:pPr>
      <w:r>
        <w:rPr>
          <w:rFonts w:ascii="宋体" w:hAnsi="宋体" w:cs="宋体" w:eastAsia="宋体"/>
          <w:sz w:val="48"/>
          <w:b/>
          <w:color w:val="222222"/>
        </w:rPr>
        <w:t>广东省政府采购</w:t>
      </w:r>
    </w:p>
    <w:p>
      <w:pPr>
        <w:pStyle w:val="null3"/>
        <w:shd w:fill="FFFFFF"/>
        <w:spacing w:before="150" w:after="150"/>
        <w:ind w:left="0" w:right="0"/>
        <w:jc w:val="both"/>
      </w:pPr>
      <w:r>
        <w:rPr>
          <w:rFonts w:ascii="helvetica" w:hAnsi="helvetica" w:cs="helvetica" w:eastAsia="helvetica"/>
          <w:sz w:val="27"/>
          <w:color w:val="222222"/>
        </w:rPr>
        <w:t xml:space="preserve"> </w:t>
      </w:r>
    </w:p>
    <w:p>
      <w:pPr>
        <w:pStyle w:val="null3"/>
        <w:shd w:fill="FFFFFF"/>
        <w:spacing w:before="0" w:after="0"/>
        <w:ind w:left="0" w:right="0"/>
        <w:jc w:val="center"/>
      </w:pPr>
      <w:r>
        <w:rPr>
          <w:rFonts w:ascii="宋体" w:hAnsi="宋体" w:cs="宋体" w:eastAsia="宋体"/>
          <w:sz w:val="48"/>
          <w:b/>
          <w:color w:val="222222"/>
        </w:rPr>
        <w:t>合　同　书</w:t>
      </w:r>
    </w:p>
    <w:p>
      <w:pPr>
        <w:pStyle w:val="null3"/>
        <w:shd w:fill="FFFFFF"/>
        <w:spacing w:before="0" w:after="0"/>
        <w:ind w:left="0" w:right="0"/>
        <w:jc w:val="center"/>
      </w:pPr>
      <w:r>
        <w:br/>
      </w:r>
      <w:r>
        <w:br/>
      </w:r>
      <w:r>
        <w:br/>
      </w:r>
      <w:r>
        <w:br/>
      </w:r>
      <w:r>
        <w:br/>
      </w:r>
      <w:r>
        <w:br/>
      </w:r>
      <w:r>
        <w:br/>
      </w:r>
      <w:r>
        <w:br/>
      </w:r>
      <w:r>
        <w:rPr>
          <w:rFonts w:ascii="helvetica" w:hAnsi="helvetica" w:cs="helvetica" w:eastAsia="helvetica"/>
          <w:sz w:val="27"/>
          <w:color w:val="222222"/>
        </w:rPr>
        <w:t xml:space="preserve"> </w:t>
      </w:r>
    </w:p>
    <w:p>
      <w:pPr>
        <w:pStyle w:val="null3"/>
        <w:shd w:fill="FFFFFF"/>
        <w:spacing w:before="0" w:after="0"/>
        <w:ind w:left="0" w:right="0"/>
        <w:jc w:val="center"/>
      </w:pPr>
      <w:r>
        <w:rPr>
          <w:rFonts w:ascii="宋体" w:hAnsi="宋体" w:cs="宋体" w:eastAsia="宋体"/>
          <w:sz w:val="28"/>
          <w:color w:val="222222"/>
        </w:rPr>
        <w:t>采购计划编号：</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p>
    <w:p>
      <w:pPr>
        <w:pStyle w:val="null3"/>
        <w:shd w:fill="FFFFFF"/>
        <w:spacing w:before="150" w:after="150"/>
        <w:ind w:left="0" w:right="0"/>
        <w:jc w:val="both"/>
      </w:pPr>
      <w:r>
        <w:rPr>
          <w:rFonts w:ascii="helvetica" w:hAnsi="helvetica" w:cs="helvetica" w:eastAsia="helvetica"/>
          <w:sz w:val="27"/>
          <w:color w:val="222222"/>
        </w:rPr>
        <w:t xml:space="preserve"> </w:t>
      </w:r>
    </w:p>
    <w:p>
      <w:pPr>
        <w:pStyle w:val="null3"/>
        <w:shd w:fill="FFFFFF"/>
        <w:spacing w:before="0" w:after="0"/>
        <w:ind w:left="0" w:right="0"/>
        <w:jc w:val="center"/>
      </w:pPr>
      <w:r>
        <w:rPr>
          <w:rFonts w:ascii="宋体" w:hAnsi="宋体" w:cs="宋体" w:eastAsia="宋体"/>
          <w:sz w:val="28"/>
          <w:color w:val="222222"/>
        </w:rPr>
        <w:t>项目编号：</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p>
    <w:p>
      <w:pPr>
        <w:pStyle w:val="null3"/>
        <w:shd w:fill="FFFFFF"/>
        <w:spacing w:before="150" w:after="150"/>
        <w:ind w:left="0" w:right="0"/>
        <w:jc w:val="both"/>
      </w:pPr>
      <w:r>
        <w:rPr>
          <w:rFonts w:ascii="helvetica" w:hAnsi="helvetica" w:cs="helvetica" w:eastAsia="helvetica"/>
          <w:sz w:val="27"/>
          <w:color w:val="222222"/>
        </w:rPr>
        <w:t xml:space="preserve"> </w:t>
      </w:r>
    </w:p>
    <w:p>
      <w:pPr>
        <w:pStyle w:val="null3"/>
        <w:shd w:fill="FFFFFF"/>
        <w:spacing w:before="0" w:after="0"/>
        <w:ind w:left="0" w:right="0"/>
        <w:jc w:val="center"/>
      </w:pPr>
      <w:r>
        <w:rPr>
          <w:rFonts w:ascii="宋体" w:hAnsi="宋体" w:cs="宋体" w:eastAsia="宋体"/>
          <w:sz w:val="28"/>
          <w:color w:val="222222"/>
        </w:rPr>
        <w:t>项目名称：</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jc w:val="both"/>
      </w:pPr>
      <w:r>
        <w:br/>
      </w:r>
      <w:r>
        <w:rPr>
          <w:rFonts w:ascii="helvetica" w:hAnsi="helvetica" w:cs="helvetica" w:eastAsia="helvetica"/>
          <w:sz w:val="27"/>
          <w:color w:val="222222"/>
        </w:rPr>
        <w:t xml:space="preserve"> </w:t>
      </w:r>
    </w:p>
    <w:p>
      <w:pPr>
        <w:pStyle w:val="null3"/>
        <w:shd w:fill="FFFFFF"/>
        <w:spacing w:before="0" w:after="0"/>
        <w:ind w:left="0" w:right="0"/>
        <w:jc w:val="both"/>
      </w:pPr>
      <w:r>
        <w:rPr>
          <w:rFonts w:ascii="宋体" w:hAnsi="宋体" w:cs="宋体" w:eastAsia="宋体"/>
          <w:sz w:val="27"/>
          <w:b/>
          <w:color w:val="222222"/>
        </w:rPr>
        <w:t>甲方：</w:t>
      </w:r>
      <w:r>
        <w:rPr>
          <w:rFonts w:ascii="宋体" w:hAnsi="宋体" w:cs="宋体" w:eastAsia="宋体"/>
          <w:sz w:val="27"/>
          <w:b/>
          <w:color w:val="222222"/>
        </w:rPr>
        <w:t xml:space="preserve"> </w:t>
      </w:r>
      <w:r>
        <w:rPr>
          <w:rFonts w:ascii="宋体" w:hAnsi="宋体" w:cs="宋体" w:eastAsia="宋体"/>
          <w:sz w:val="27"/>
          <w:b/>
          <w:color w:val="222222"/>
          <w:u w:val="single"/>
        </w:rPr>
        <w:t>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p>
    <w:p>
      <w:pPr>
        <w:pStyle w:val="null3"/>
        <w:shd w:fill="FFFFFF"/>
        <w:spacing w:before="0" w:after="0"/>
        <w:ind w:left="0" w:right="0"/>
        <w:jc w:val="both"/>
      </w:pPr>
      <w:r>
        <w:rPr>
          <w:rFonts w:ascii="宋体" w:hAnsi="宋体" w:cs="宋体" w:eastAsia="宋体"/>
          <w:sz w:val="27"/>
          <w:color w:val="222222"/>
        </w:rPr>
        <w:t>电话：</w:t>
      </w:r>
      <w:r>
        <w:rPr>
          <w:rFonts w:ascii="宋体" w:hAnsi="宋体" w:cs="宋体" w:eastAsia="宋体"/>
          <w:sz w:val="27"/>
          <w:color w:val="222222"/>
        </w:rPr>
        <w:t xml:space="preserve"> </w:t>
      </w:r>
      <w:r>
        <w:rPr>
          <w:rFonts w:ascii="宋体" w:hAnsi="宋体" w:cs="宋体" w:eastAsia="宋体"/>
          <w:sz w:val="27"/>
          <w:b/>
          <w:color w:val="222222"/>
          <w:u w:val="single"/>
        </w:rPr>
        <w:t>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r>
        <w:rPr>
          <w:rFonts w:ascii="宋体" w:hAnsi="宋体" w:cs="宋体" w:eastAsia="宋体"/>
          <w:sz w:val="27"/>
          <w:color w:val="222222"/>
        </w:rPr>
        <w:t>传真</w:t>
      </w:r>
      <w:r>
        <w:rPr>
          <w:rFonts w:ascii="宋体" w:hAnsi="宋体" w:cs="宋体" w:eastAsia="宋体"/>
          <w:sz w:val="27"/>
          <w:color w:val="222222"/>
        </w:rPr>
        <w:t xml:space="preserve"> </w:t>
      </w:r>
      <w:r>
        <w:rPr>
          <w:rFonts w:ascii="宋体" w:hAnsi="宋体" w:cs="宋体" w:eastAsia="宋体"/>
          <w:sz w:val="27"/>
          <w:color w:val="222222"/>
        </w:rPr>
        <w:t>：</w:t>
      </w:r>
      <w:r>
        <w:rPr>
          <w:rFonts w:ascii="宋体" w:hAnsi="宋体" w:cs="宋体" w:eastAsia="宋体"/>
          <w:sz w:val="27"/>
          <w:color w:val="222222"/>
        </w:rPr>
        <w:t xml:space="preserve"> </w:t>
      </w:r>
      <w:r>
        <w:rPr>
          <w:rFonts w:ascii="宋体" w:hAnsi="宋体" w:cs="宋体" w:eastAsia="宋体"/>
          <w:sz w:val="27"/>
          <w:b/>
          <w:color w:val="222222"/>
          <w:u w:val="single"/>
        </w:rPr>
        <w:t>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r>
        <w:rPr>
          <w:rFonts w:ascii="宋体" w:hAnsi="宋体" w:cs="宋体" w:eastAsia="宋体"/>
          <w:sz w:val="27"/>
          <w:color w:val="222222"/>
        </w:rPr>
        <w:t>地址：</w:t>
      </w:r>
      <w:r>
        <w:rPr>
          <w:rFonts w:ascii="宋体" w:hAnsi="宋体" w:cs="宋体" w:eastAsia="宋体"/>
          <w:sz w:val="27"/>
          <w:color w:val="222222"/>
        </w:rPr>
        <w:t xml:space="preserve"> </w:t>
      </w:r>
      <w:r>
        <w:rPr>
          <w:rFonts w:ascii="宋体" w:hAnsi="宋体" w:cs="宋体" w:eastAsia="宋体"/>
          <w:sz w:val="27"/>
          <w:b/>
          <w:color w:val="222222"/>
          <w:u w:val="single"/>
        </w:rPr>
        <w:t>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p>
    <w:p>
      <w:pPr>
        <w:pStyle w:val="null3"/>
        <w:shd w:fill="FFFFFF"/>
        <w:spacing w:before="0" w:after="0"/>
        <w:ind w:left="0" w:right="0"/>
        <w:jc w:val="both"/>
      </w:pPr>
      <w:r>
        <w:rPr>
          <w:rFonts w:ascii="宋体" w:hAnsi="宋体" w:cs="宋体" w:eastAsia="宋体"/>
          <w:sz w:val="27"/>
          <w:b/>
          <w:color w:val="222222"/>
        </w:rPr>
        <w:t>乙方：</w:t>
      </w:r>
      <w:r>
        <w:rPr>
          <w:rFonts w:ascii="宋体" w:hAnsi="宋体" w:cs="宋体" w:eastAsia="宋体"/>
          <w:sz w:val="27"/>
          <w:b/>
          <w:color w:val="222222"/>
        </w:rPr>
        <w:t xml:space="preserve"> </w:t>
      </w:r>
      <w:r>
        <w:rPr>
          <w:rFonts w:ascii="宋体" w:hAnsi="宋体" w:cs="宋体" w:eastAsia="宋体"/>
          <w:sz w:val="27"/>
          <w:b/>
          <w:color w:val="222222"/>
          <w:u w:val="single"/>
        </w:rPr>
        <w:t>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p>
    <w:p>
      <w:pPr>
        <w:pStyle w:val="null3"/>
        <w:shd w:fill="FFFFFF"/>
        <w:spacing w:before="0" w:after="0"/>
        <w:ind w:left="0" w:right="0"/>
        <w:jc w:val="both"/>
      </w:pPr>
      <w:r>
        <w:rPr>
          <w:rFonts w:ascii="宋体" w:hAnsi="宋体" w:cs="宋体" w:eastAsia="宋体"/>
          <w:sz w:val="27"/>
          <w:color w:val="222222"/>
        </w:rPr>
        <w:t>电话：</w:t>
      </w:r>
      <w:r>
        <w:rPr>
          <w:rFonts w:ascii="宋体" w:hAnsi="宋体" w:cs="宋体" w:eastAsia="宋体"/>
          <w:sz w:val="27"/>
          <w:color w:val="222222"/>
        </w:rPr>
        <w:t xml:space="preserve"> </w:t>
      </w:r>
      <w:r>
        <w:rPr>
          <w:rFonts w:ascii="宋体" w:hAnsi="宋体" w:cs="宋体" w:eastAsia="宋体"/>
          <w:sz w:val="27"/>
          <w:b/>
          <w:color w:val="222222"/>
          <w:u w:val="single"/>
        </w:rPr>
        <w:t>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r>
        <w:rPr>
          <w:rFonts w:ascii="宋体" w:hAnsi="宋体" w:cs="宋体" w:eastAsia="宋体"/>
          <w:sz w:val="27"/>
          <w:color w:val="222222"/>
        </w:rPr>
        <w:t>传真：</w:t>
      </w:r>
      <w:r>
        <w:rPr>
          <w:rFonts w:ascii="宋体" w:hAnsi="宋体" w:cs="宋体" w:eastAsia="宋体"/>
          <w:sz w:val="27"/>
          <w:b/>
          <w:color w:val="222222"/>
          <w:u w:val="single"/>
        </w:rPr>
        <w:t>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r>
        <w:rPr>
          <w:rFonts w:ascii="宋体" w:hAnsi="宋体" w:cs="宋体" w:eastAsia="宋体"/>
          <w:sz w:val="27"/>
          <w:color w:val="222222"/>
        </w:rPr>
        <w:t>地址：</w:t>
      </w:r>
      <w:r>
        <w:rPr>
          <w:rFonts w:ascii="宋体" w:hAnsi="宋体" w:cs="宋体" w:eastAsia="宋体"/>
          <w:sz w:val="27"/>
          <w:color w:val="222222"/>
        </w:rPr>
        <w:t xml:space="preserve"> </w:t>
      </w:r>
      <w:r>
        <w:rPr>
          <w:rFonts w:ascii="宋体" w:hAnsi="宋体" w:cs="宋体" w:eastAsia="宋体"/>
          <w:sz w:val="27"/>
          <w:b/>
          <w:color w:val="222222"/>
          <w:u w:val="single"/>
        </w:rPr>
        <w:t>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p>
    <w:p>
      <w:pPr>
        <w:pStyle w:val="null3"/>
        <w:shd w:fill="FFFFFF"/>
        <w:spacing w:before="150" w:after="150"/>
        <w:ind w:left="0" w:right="0"/>
        <w:jc w:val="both"/>
      </w:pPr>
      <w:r>
        <w:rPr>
          <w:rFonts w:ascii="helvetica" w:hAnsi="helvetica" w:cs="helvetica" w:eastAsia="helvetica"/>
          <w:sz w:val="27"/>
          <w:color w:val="222222"/>
        </w:rPr>
        <w:t xml:space="preserve"> </w:t>
      </w:r>
    </w:p>
    <w:p>
      <w:pPr>
        <w:pStyle w:val="null3"/>
        <w:shd w:fill="FFFFFF"/>
        <w:spacing w:before="0" w:after="0"/>
        <w:ind w:left="0" w:right="0"/>
        <w:jc w:val="both"/>
      </w:pPr>
      <w:r>
        <w:rPr>
          <w:rFonts w:ascii="宋体" w:hAnsi="宋体" w:cs="宋体" w:eastAsia="宋体"/>
          <w:sz w:val="27"/>
          <w:color w:val="222222"/>
        </w:rPr>
        <w:t xml:space="preserve"> </w:t>
      </w:r>
      <w:r>
        <w:rPr>
          <w:rFonts w:ascii="宋体" w:hAnsi="宋体" w:cs="宋体" w:eastAsia="宋体"/>
          <w:sz w:val="27"/>
          <w:color w:val="222222"/>
        </w:rPr>
        <w:t xml:space="preserve"> </w:t>
      </w:r>
      <w:r>
        <w:rPr>
          <w:rFonts w:ascii="宋体" w:hAnsi="宋体" w:cs="宋体" w:eastAsia="宋体"/>
          <w:sz w:val="27"/>
          <w:color w:val="222222"/>
        </w:rPr>
        <w:t>根据</w:t>
      </w:r>
      <w:r>
        <w:rPr>
          <w:rFonts w:ascii="宋体" w:hAnsi="宋体" w:cs="宋体" w:eastAsia="宋体"/>
          <w:sz w:val="27"/>
          <w:color w:val="222222"/>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项目</w:t>
      </w:r>
      <w:r>
        <w:rPr>
          <w:rFonts w:ascii="宋体" w:hAnsi="宋体" w:cs="宋体" w:eastAsia="宋体"/>
          <w:sz w:val="27"/>
          <w:color w:val="222222"/>
          <w:u w:val="single"/>
        </w:rPr>
        <w:t xml:space="preserve"> </w:t>
      </w:r>
      <w:r>
        <w:rPr>
          <w:rFonts w:ascii="宋体" w:hAnsi="宋体" w:cs="宋体" w:eastAsia="宋体"/>
          <w:sz w:val="27"/>
          <w:color w:val="222222"/>
        </w:rPr>
        <w:t>的采购结果，按照《中华人民共和国政府采购法》，《</w:t>
      </w:r>
      <w:r>
        <w:rPr>
          <w:rFonts w:ascii="宋体" w:hAnsi="宋体" w:cs="宋体" w:eastAsia="宋体"/>
          <w:sz w:val="27"/>
          <w:color w:val="222222"/>
        </w:rPr>
        <w:t>中华人民共和国民法典(合同编)</w:t>
      </w:r>
      <w:r>
        <w:rPr>
          <w:rFonts w:ascii="宋体" w:hAnsi="宋体" w:cs="宋体" w:eastAsia="宋体"/>
          <w:sz w:val="27"/>
          <w:color w:val="222222"/>
        </w:rPr>
        <w:t>》的规定，经双方协商，本着平等互利和诚实信用的原则，一致同意遵守本合同如下。</w:t>
      </w:r>
    </w:p>
    <w:p>
      <w:pPr>
        <w:pStyle w:val="null3"/>
        <w:shd w:fill="FFFFFF"/>
        <w:spacing w:before="0" w:after="0"/>
        <w:ind w:left="0" w:right="0"/>
        <w:jc w:val="both"/>
      </w:pPr>
      <w:r>
        <w:rPr>
          <w:rFonts w:ascii="宋体" w:hAnsi="宋体" w:cs="宋体" w:eastAsia="宋体"/>
          <w:sz w:val="27"/>
          <w:b/>
          <w:color w:val="222222"/>
        </w:rPr>
        <w:t>一、合同金额</w:t>
      </w:r>
    </w:p>
    <w:p>
      <w:pPr>
        <w:pStyle w:val="null3"/>
        <w:shd w:fill="FFFFFF"/>
        <w:spacing w:before="0" w:after="0"/>
        <w:ind w:left="0" w:right="0"/>
        <w:jc w:val="both"/>
      </w:pPr>
      <w:r>
        <w:rPr>
          <w:rFonts w:ascii="宋体" w:hAnsi="宋体" w:cs="宋体" w:eastAsia="宋体"/>
          <w:sz w:val="27"/>
          <w:color w:val="222222"/>
        </w:rPr>
        <w:t>　　合同金额为（大写）：_____________元（￥_________元）人民币。</w:t>
      </w:r>
    </w:p>
    <w:p>
      <w:pPr>
        <w:pStyle w:val="null3"/>
        <w:shd w:fill="FFFFFF"/>
        <w:spacing w:before="0" w:after="0"/>
        <w:ind w:left="0" w:right="0"/>
        <w:jc w:val="both"/>
      </w:pPr>
      <w:r>
        <w:rPr>
          <w:rFonts w:ascii="宋体" w:hAnsi="宋体" w:cs="宋体" w:eastAsia="宋体"/>
          <w:sz w:val="27"/>
          <w:b/>
          <w:color w:val="222222"/>
        </w:rPr>
        <w:t>二、服务范围</w:t>
      </w:r>
    </w:p>
    <w:p>
      <w:pPr>
        <w:pStyle w:val="null3"/>
        <w:shd w:fill="FFFFFF"/>
        <w:spacing w:before="0" w:after="0"/>
        <w:ind w:left="0" w:right="0"/>
        <w:jc w:val="both"/>
      </w:pPr>
      <w:r>
        <w:rPr>
          <w:rFonts w:ascii="宋体" w:hAnsi="宋体" w:cs="宋体" w:eastAsia="宋体"/>
          <w:sz w:val="27"/>
          <w:color w:val="222222"/>
        </w:rPr>
        <w:t>　　甲方聘请乙方提供以下服务：</w:t>
      </w:r>
    </w:p>
    <w:p>
      <w:pPr>
        <w:pStyle w:val="null3"/>
        <w:shd w:fill="FFFFFF"/>
        <w:spacing w:before="0" w:after="0"/>
        <w:ind w:left="0" w:right="0"/>
        <w:jc w:val="both"/>
      </w:pPr>
      <w:r>
        <w:rPr>
          <w:rFonts w:ascii="宋体" w:hAnsi="宋体" w:cs="宋体" w:eastAsia="宋体"/>
          <w:sz w:val="27"/>
          <w:color w:val="222222"/>
        </w:rPr>
        <w:t>　　1．</w:t>
      </w:r>
      <w:r>
        <w:rPr>
          <w:rFonts w:ascii="宋体" w:hAnsi="宋体" w:cs="宋体" w:eastAsia="宋体"/>
          <w:sz w:val="27"/>
          <w:color w:val="222222"/>
          <w:u w:val="single"/>
        </w:rPr>
        <w:t>　　　　　　　　　　　</w:t>
      </w:r>
      <w:r>
        <w:rPr>
          <w:rFonts w:ascii="宋体" w:hAnsi="宋体" w:cs="宋体" w:eastAsia="宋体"/>
          <w:sz w:val="27"/>
          <w:color w:val="222222"/>
        </w:rPr>
        <w:t>。</w:t>
      </w:r>
    </w:p>
    <w:p>
      <w:pPr>
        <w:pStyle w:val="null3"/>
        <w:shd w:fill="FFFFFF"/>
        <w:spacing w:before="0" w:after="0"/>
        <w:ind w:left="0" w:right="0"/>
        <w:jc w:val="both"/>
      </w:pPr>
      <w:r>
        <w:rPr>
          <w:rFonts w:ascii="宋体" w:hAnsi="宋体" w:cs="宋体" w:eastAsia="宋体"/>
          <w:sz w:val="27"/>
          <w:color w:val="222222"/>
        </w:rPr>
        <w:t>　　2．</w:t>
      </w:r>
      <w:r>
        <w:rPr>
          <w:rFonts w:ascii="宋体" w:hAnsi="宋体" w:cs="宋体" w:eastAsia="宋体"/>
          <w:sz w:val="27"/>
          <w:color w:val="222222"/>
          <w:u w:val="single"/>
        </w:rPr>
        <w:t>　　　　　　　　　　　</w:t>
      </w:r>
    </w:p>
    <w:p>
      <w:pPr>
        <w:pStyle w:val="null3"/>
        <w:shd w:fill="FFFFFF"/>
        <w:spacing w:before="0" w:after="0"/>
        <w:ind w:left="0" w:right="0"/>
        <w:jc w:val="both"/>
      </w:pPr>
      <w:r>
        <w:rPr>
          <w:rFonts w:ascii="宋体" w:hAnsi="宋体" w:cs="宋体" w:eastAsia="宋体"/>
          <w:sz w:val="27"/>
          <w:color w:val="222222"/>
        </w:rPr>
        <w:t>……</w:t>
      </w:r>
    </w:p>
    <w:p>
      <w:pPr>
        <w:pStyle w:val="null3"/>
        <w:shd w:fill="FFFFFF"/>
        <w:spacing w:before="0" w:after="0"/>
        <w:ind w:left="0" w:right="0"/>
        <w:jc w:val="both"/>
      </w:pPr>
      <w:r>
        <w:rPr>
          <w:rFonts w:ascii="宋体" w:hAnsi="宋体" w:cs="宋体" w:eastAsia="宋体"/>
          <w:sz w:val="27"/>
          <w:b/>
          <w:color w:val="222222"/>
        </w:rPr>
        <w:t>三、甲方乙方的权利和义务</w:t>
      </w:r>
    </w:p>
    <w:p>
      <w:pPr>
        <w:pStyle w:val="null3"/>
        <w:shd w:fill="FFFFFF"/>
        <w:spacing w:before="0" w:after="0"/>
        <w:ind w:left="0" w:right="0"/>
        <w:jc w:val="both"/>
      </w:pPr>
      <w:r>
        <w:rPr>
          <w:rFonts w:ascii="宋体" w:hAnsi="宋体" w:cs="宋体" w:eastAsia="宋体"/>
          <w:sz w:val="27"/>
          <w:color w:val="222222"/>
        </w:rPr>
        <w:t>　　1.甲方的权利和义务</w:t>
      </w:r>
    </w:p>
    <w:p>
      <w:pPr>
        <w:pStyle w:val="null3"/>
        <w:shd w:fill="FFFFFF"/>
        <w:spacing w:before="0" w:after="0"/>
        <w:ind w:left="0" w:right="0"/>
        <w:jc w:val="both"/>
      </w:pPr>
      <w:r>
        <w:rPr>
          <w:rFonts w:ascii="宋体" w:hAnsi="宋体" w:cs="宋体" w:eastAsia="宋体"/>
          <w:sz w:val="27"/>
          <w:color w:val="222222"/>
        </w:rPr>
        <w:t>　　2.乙方的权利和义务</w:t>
      </w:r>
    </w:p>
    <w:p>
      <w:pPr>
        <w:pStyle w:val="null3"/>
        <w:shd w:fill="FFFFFF"/>
        <w:spacing w:before="0" w:after="0"/>
        <w:ind w:left="0" w:right="0"/>
        <w:jc w:val="both"/>
      </w:pPr>
      <w:r>
        <w:rPr>
          <w:rFonts w:ascii="宋体" w:hAnsi="宋体" w:cs="宋体" w:eastAsia="宋体"/>
          <w:sz w:val="27"/>
          <w:b/>
          <w:color w:val="222222"/>
        </w:rPr>
        <w:t>四、服务期间（项目完成期限）</w:t>
      </w:r>
    </w:p>
    <w:p>
      <w:pPr>
        <w:pStyle w:val="null3"/>
        <w:shd w:fill="FFFFFF"/>
        <w:spacing w:before="0" w:after="0"/>
        <w:ind w:left="0" w:right="0"/>
        <w:jc w:val="both"/>
      </w:pPr>
      <w:r>
        <w:rPr>
          <w:rFonts w:ascii="宋体" w:hAnsi="宋体" w:cs="宋体" w:eastAsia="宋体"/>
          <w:sz w:val="27"/>
          <w:color w:val="222222"/>
        </w:rPr>
        <w:t>　　1.委托服务期间自______年______月至______年______月止。</w:t>
      </w:r>
    </w:p>
    <w:p>
      <w:pPr>
        <w:pStyle w:val="null3"/>
        <w:shd w:fill="FFFFFF"/>
        <w:spacing w:before="0" w:after="0"/>
        <w:ind w:left="0" w:right="0"/>
        <w:jc w:val="both"/>
      </w:pPr>
      <w:r>
        <w:rPr>
          <w:rFonts w:ascii="宋体" w:hAnsi="宋体" w:cs="宋体" w:eastAsia="宋体"/>
          <w:sz w:val="27"/>
          <w:b/>
          <w:color w:val="222222"/>
        </w:rPr>
        <w:t>五、付款方式</w:t>
      </w:r>
    </w:p>
    <w:p>
      <w:pPr>
        <w:pStyle w:val="null3"/>
        <w:shd w:fill="FFFFFF"/>
        <w:spacing w:before="0" w:after="0"/>
        <w:ind w:left="0" w:right="0"/>
        <w:jc w:val="both"/>
      </w:pPr>
      <w:r>
        <w:rPr>
          <w:rFonts w:ascii="宋体" w:hAnsi="宋体" w:cs="宋体" w:eastAsia="宋体"/>
          <w:sz w:val="27"/>
          <w:color w:val="222222"/>
        </w:rPr>
        <w:t>　　由甲方按下列程序在</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rPr>
        <w:t xml:space="preserve"> </w:t>
      </w:r>
      <w:r>
        <w:rPr>
          <w:rFonts w:ascii="宋体" w:hAnsi="宋体" w:cs="宋体" w:eastAsia="宋体"/>
          <w:sz w:val="27"/>
          <w:color w:val="222222"/>
        </w:rPr>
        <w:t>内付款：</w:t>
      </w:r>
    </w:p>
    <w:p>
      <w:pPr>
        <w:pStyle w:val="null3"/>
        <w:shd w:fill="FFFFFF"/>
        <w:spacing w:before="0" w:after="0"/>
        <w:ind w:left="0" w:right="0"/>
        <w:jc w:val="both"/>
      </w:pPr>
      <w:r>
        <w:rPr>
          <w:rFonts w:ascii="宋体" w:hAnsi="宋体" w:cs="宋体" w:eastAsia="宋体"/>
          <w:sz w:val="27"/>
          <w:color w:val="222222"/>
        </w:rPr>
        <w:t>　　1.在合同实施及服务人员到达服务地后__天内，甲方应将第一次付　　款总服务费的__(-%)付给乙方。</w:t>
      </w:r>
    </w:p>
    <w:p>
      <w:pPr>
        <w:pStyle w:val="null3"/>
        <w:shd w:fill="FFFFFF"/>
        <w:spacing w:before="0" w:after="0"/>
        <w:ind w:left="0" w:right="0"/>
        <w:jc w:val="both"/>
      </w:pPr>
      <w:r>
        <w:rPr>
          <w:rFonts w:ascii="宋体" w:hAnsi="宋体" w:cs="宋体" w:eastAsia="宋体"/>
          <w:sz w:val="27"/>
          <w:color w:val="222222"/>
        </w:rPr>
        <w:t>　　2.第二次付款额应为总服务费的__(-%)，甲方应在乙方已经准备好，并递交了服务报告及其它相关文件，而这些报告和文件符合合同附件上的要求并被甲方验收后付给乙方。</w:t>
      </w:r>
    </w:p>
    <w:p>
      <w:pPr>
        <w:pStyle w:val="null3"/>
        <w:shd w:fill="FFFFFF"/>
        <w:spacing w:before="0" w:after="0"/>
        <w:ind w:left="0" w:right="0"/>
        <w:jc w:val="both"/>
      </w:pPr>
      <w:r>
        <w:rPr>
          <w:rFonts w:ascii="宋体" w:hAnsi="宋体" w:cs="宋体" w:eastAsia="宋体"/>
          <w:sz w:val="27"/>
          <w:color w:val="222222"/>
        </w:rPr>
        <w:t>　　3.最后一次付款额应为总服务费的__(-%)，甲方应在乙方递交了服务总结报告和说明并完全履行合同完毕_________日内付给乙方。</w:t>
      </w:r>
    </w:p>
    <w:p>
      <w:pPr>
        <w:pStyle w:val="null3"/>
        <w:shd w:fill="FFFFFF"/>
        <w:spacing w:before="0" w:after="0"/>
        <w:ind w:left="0" w:right="0"/>
        <w:jc w:val="both"/>
      </w:pPr>
      <w:r>
        <w:rPr>
          <w:rFonts w:ascii="宋体" w:hAnsi="宋体" w:cs="宋体" w:eastAsia="宋体"/>
          <w:sz w:val="27"/>
          <w:color w:val="222222"/>
        </w:rPr>
        <w:t>　　4.对于满足合同约定支付条件的，甲方应当自收到发票后30日内将资金支付到合同约定的乙方账户，不得以机构变动、人员更替、政策调整等为由延迟付款，不得将采购文件和合同中未规定的义务作为向乙方付款的条件。</w:t>
      </w:r>
    </w:p>
    <w:p>
      <w:pPr>
        <w:pStyle w:val="null3"/>
        <w:shd w:fill="FFFFFF"/>
        <w:spacing w:before="0" w:after="0"/>
        <w:ind w:left="0" w:right="0"/>
        <w:jc w:val="both"/>
      </w:pPr>
      <w:r>
        <w:rPr>
          <w:rFonts w:ascii="宋体" w:hAnsi="宋体" w:cs="宋体" w:eastAsia="宋体"/>
          <w:sz w:val="27"/>
          <w:b/>
          <w:color w:val="222222"/>
        </w:rPr>
        <w:t>六、知识产权归属</w:t>
      </w:r>
    </w:p>
    <w:p>
      <w:pPr>
        <w:pStyle w:val="null3"/>
        <w:shd w:fill="FFFFFF"/>
        <w:spacing w:before="0" w:after="0"/>
        <w:ind w:left="0" w:right="0"/>
        <w:jc w:val="both"/>
      </w:pPr>
      <w:r>
        <w:rPr>
          <w:rFonts w:ascii="宋体" w:hAnsi="宋体" w:cs="宋体" w:eastAsia="宋体"/>
          <w:sz w:val="27"/>
          <w:b/>
          <w:color w:val="222222"/>
        </w:rPr>
        <w:t>七、保密</w:t>
      </w:r>
    </w:p>
    <w:p>
      <w:pPr>
        <w:pStyle w:val="null3"/>
        <w:shd w:fill="FFFFFF"/>
        <w:spacing w:before="0" w:after="0"/>
        <w:ind w:left="0" w:right="0"/>
        <w:jc w:val="both"/>
      </w:pPr>
      <w:r>
        <w:rPr>
          <w:rFonts w:ascii="宋体" w:hAnsi="宋体" w:cs="宋体" w:eastAsia="宋体"/>
          <w:sz w:val="27"/>
          <w:b/>
          <w:color w:val="222222"/>
        </w:rPr>
        <w:t>八、违约责任与赔偿损失</w:t>
      </w:r>
    </w:p>
    <w:p>
      <w:pPr>
        <w:pStyle w:val="null3"/>
        <w:shd w:fill="FFFFFF"/>
        <w:spacing w:before="0" w:after="0"/>
        <w:ind w:left="0" w:right="0"/>
        <w:jc w:val="both"/>
      </w:pPr>
      <w:r>
        <w:rPr>
          <w:rFonts w:ascii="宋体" w:hAnsi="宋体" w:cs="宋体" w:eastAsia="宋体"/>
          <w:sz w:val="27"/>
          <w:color w:val="222222"/>
        </w:rPr>
        <w:t>　　1.乙方提供的服务不符合本合同规定的，甲方有权拒收，并且乙方须向甲方方支付本合同总价5%的违约金。</w:t>
      </w:r>
    </w:p>
    <w:p>
      <w:pPr>
        <w:pStyle w:val="null3"/>
        <w:shd w:fill="FFFFFF"/>
        <w:spacing w:before="0" w:after="0"/>
        <w:ind w:left="0" w:right="0"/>
        <w:jc w:val="both"/>
      </w:pPr>
      <w:r>
        <w:rPr>
          <w:rFonts w:ascii="宋体" w:hAnsi="宋体" w:cs="宋体" w:eastAsia="宋体"/>
          <w:sz w:val="27"/>
          <w:color w:val="222222"/>
        </w:rPr>
        <w:t>　　2.乙方未能按本合同规定的交货时间提供服务，从逾期之日起每日按本合同总价3‰的数额向甲方支付违约金；逾期半个月以上的，甲方有权终止合同，由此造成的甲方经济损失由乙方承担。</w:t>
      </w:r>
    </w:p>
    <w:p>
      <w:pPr>
        <w:pStyle w:val="null3"/>
        <w:shd w:fill="FFFFFF"/>
        <w:spacing w:before="0" w:after="0"/>
        <w:ind w:left="0" w:right="0"/>
        <w:jc w:val="both"/>
      </w:pPr>
      <w:r>
        <w:rPr>
          <w:rFonts w:ascii="宋体" w:hAnsi="宋体" w:cs="宋体" w:eastAsia="宋体"/>
          <w:sz w:val="27"/>
          <w:color w:val="222222"/>
        </w:rPr>
        <w:t>　　3.甲方无正当理由拒收接受服务，到期拒付服务款项的，甲方向乙方偿付本合同总的5%的违约金。甲方人逾期付款，则每日按本合同总价的3‰向乙方偿付违约金。</w:t>
      </w:r>
    </w:p>
    <w:p>
      <w:pPr>
        <w:pStyle w:val="null3"/>
        <w:shd w:fill="FFFFFF"/>
        <w:spacing w:before="0" w:after="0"/>
        <w:ind w:left="0" w:right="0"/>
        <w:jc w:val="both"/>
      </w:pPr>
      <w:r>
        <w:rPr>
          <w:rFonts w:ascii="宋体" w:hAnsi="宋体" w:cs="宋体" w:eastAsia="宋体"/>
          <w:sz w:val="27"/>
          <w:color w:val="222222"/>
        </w:rPr>
        <w:t>　　4.对于因甲方原因导致变更、中止或者终止政府采购合同的，甲方应当依照以下合同约定对供应商受到的损失予以赔偿或者补偿：</w:t>
      </w:r>
    </w:p>
    <w:p>
      <w:pPr>
        <w:pStyle w:val="null3"/>
        <w:shd w:fill="FFFFFF"/>
        <w:spacing w:before="0" w:after="0"/>
        <w:ind w:left="0" w:right="0"/>
        <w:jc w:val="both"/>
      </w:pP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p>
    <w:p>
      <w:pPr>
        <w:pStyle w:val="null3"/>
        <w:shd w:fill="FFFFFF"/>
        <w:spacing w:before="0" w:after="0"/>
        <w:ind w:left="0" w:right="0"/>
        <w:jc w:val="both"/>
      </w:pPr>
      <w:r>
        <w:rPr>
          <w:rFonts w:ascii="宋体" w:hAnsi="宋体" w:cs="宋体" w:eastAsia="宋体"/>
          <w:sz w:val="27"/>
          <w:color w:val="222222"/>
        </w:rPr>
        <w:t>　　5.其它违约责任按《</w:t>
      </w:r>
      <w:r>
        <w:rPr>
          <w:rFonts w:ascii="宋体" w:hAnsi="宋体" w:cs="宋体" w:eastAsia="宋体"/>
          <w:sz w:val="27"/>
          <w:color w:val="222222"/>
        </w:rPr>
        <w:t>中华人民共和国民法典(合同编)</w:t>
      </w:r>
      <w:r>
        <w:rPr>
          <w:rFonts w:ascii="宋体" w:hAnsi="宋体" w:cs="宋体" w:eastAsia="宋体"/>
          <w:sz w:val="27"/>
          <w:color w:val="222222"/>
        </w:rPr>
        <w:t>》处理。</w:t>
      </w:r>
    </w:p>
    <w:p>
      <w:pPr>
        <w:pStyle w:val="null3"/>
        <w:shd w:fill="FFFFFF"/>
        <w:spacing w:before="0" w:after="0"/>
        <w:ind w:left="0" w:right="0"/>
        <w:jc w:val="both"/>
      </w:pPr>
      <w:r>
        <w:rPr>
          <w:rFonts w:ascii="宋体" w:hAnsi="宋体" w:cs="宋体" w:eastAsia="宋体"/>
          <w:sz w:val="27"/>
          <w:b/>
          <w:color w:val="222222"/>
        </w:rPr>
        <w:t>九、争议的解决</w:t>
      </w:r>
    </w:p>
    <w:p>
      <w:pPr>
        <w:pStyle w:val="null3"/>
        <w:shd w:fill="FFFFFF"/>
        <w:spacing w:before="0" w:after="0"/>
        <w:ind w:left="0" w:right="0" w:firstLine="400"/>
        <w:jc w:val="both"/>
      </w:pPr>
      <w:r>
        <w:rPr>
          <w:rFonts w:ascii="宋体" w:hAnsi="宋体" w:cs="宋体" w:eastAsia="宋体"/>
          <w:sz w:val="27"/>
          <w:color w:val="222222"/>
        </w:rPr>
        <w:t>合同执行过程中发生的任何争议，如双方不能通过友好协商解决，按相关法律法规处理。</w:t>
      </w:r>
      <w:r>
        <w:rPr>
          <w:rFonts w:ascii="helvetica" w:hAnsi="helvetica" w:cs="helvetica" w:eastAsia="helvetica"/>
          <w:sz w:val="27"/>
          <w:color w:val="222222"/>
        </w:rPr>
        <w:t xml:space="preserve"> </w:t>
      </w:r>
      <w:r>
        <w:rPr>
          <w:rFonts w:ascii="宋体" w:hAnsi="宋体" w:cs="宋体" w:eastAsia="宋体"/>
          <w:sz w:val="27"/>
          <w:color w:val="222222"/>
        </w:rPr>
        <w:t xml:space="preserve"> </w:t>
      </w:r>
      <w:r>
        <w:rPr>
          <w:rFonts w:ascii="helvetica" w:hAnsi="helvetica" w:cs="helvetica" w:eastAsia="helvetica"/>
          <w:sz w:val="27"/>
          <w:color w:val="222222"/>
        </w:rPr>
        <w:t xml:space="preserve"> </w:t>
      </w:r>
      <w:r>
        <w:rPr>
          <w:rFonts w:ascii="helvetica" w:hAnsi="helvetica" w:cs="helvetica" w:eastAsia="helvetica"/>
          <w:sz w:val="27"/>
          <w:color w:val="222222"/>
        </w:rPr>
        <w:t xml:space="preserve"> </w:t>
      </w:r>
      <w:r>
        <w:rPr>
          <w:rFonts w:ascii="helvetica" w:hAnsi="helvetica" w:cs="helvetica" w:eastAsia="helvetica"/>
          <w:sz w:val="27"/>
          <w:color w:val="222222"/>
        </w:rPr>
        <w:t xml:space="preserve"> </w:t>
      </w:r>
    </w:p>
    <w:p>
      <w:pPr>
        <w:pStyle w:val="null3"/>
        <w:shd w:fill="FFFFFF"/>
        <w:spacing w:before="0" w:after="0"/>
        <w:ind w:left="0" w:right="0"/>
        <w:jc w:val="both"/>
      </w:pPr>
      <w:r>
        <w:rPr>
          <w:rFonts w:ascii="宋体" w:hAnsi="宋体" w:cs="宋体" w:eastAsia="宋体"/>
          <w:sz w:val="27"/>
          <w:b/>
          <w:color w:val="222222"/>
        </w:rPr>
        <w:t>十、不可抗力</w:t>
      </w:r>
    </w:p>
    <w:p>
      <w:pPr>
        <w:pStyle w:val="null3"/>
        <w:shd w:fill="FFFFFF"/>
        <w:spacing w:before="0" w:after="0"/>
        <w:ind w:left="0" w:right="0"/>
        <w:jc w:val="both"/>
      </w:pPr>
      <w:r>
        <w:rPr>
          <w:rFonts w:ascii="宋体" w:hAnsi="宋体" w:cs="宋体" w:eastAsia="宋体"/>
          <w:sz w:val="27"/>
          <w:color w:val="222222"/>
        </w:rPr>
        <w:t>　　任何一方由于不可抗力原因不能履行合同时，应在不可抗力事件结束后1日内向对方通报，以减轻可能给对方造成的损失，在取得有关机构的不可抗力证明或双方谅解确认后，允许延期履行或修订合同，并根据情况可部分或全部免于承担违约责任。</w:t>
      </w:r>
    </w:p>
    <w:p>
      <w:pPr>
        <w:pStyle w:val="null3"/>
        <w:shd w:fill="FFFFFF"/>
        <w:spacing w:before="0" w:after="0"/>
        <w:ind w:left="0" w:right="0"/>
        <w:jc w:val="both"/>
      </w:pPr>
      <w:r>
        <w:rPr>
          <w:rFonts w:ascii="宋体" w:hAnsi="宋体" w:cs="宋体" w:eastAsia="宋体"/>
          <w:sz w:val="27"/>
          <w:b/>
          <w:color w:val="222222"/>
        </w:rPr>
        <w:t>十一、税费</w:t>
      </w:r>
    </w:p>
    <w:p>
      <w:pPr>
        <w:pStyle w:val="null3"/>
        <w:shd w:fill="FFFFFF"/>
        <w:spacing w:before="0" w:after="0"/>
        <w:ind w:left="0" w:right="0"/>
        <w:jc w:val="both"/>
      </w:pPr>
      <w:r>
        <w:rPr>
          <w:rFonts w:ascii="宋体" w:hAnsi="宋体" w:cs="宋体" w:eastAsia="宋体"/>
          <w:sz w:val="27"/>
          <w:color w:val="222222"/>
        </w:rPr>
        <w:t>　　在中国境内、外发生的与本合同执行有关的一切税费均由乙方负担。</w:t>
      </w:r>
    </w:p>
    <w:p>
      <w:pPr>
        <w:pStyle w:val="null3"/>
        <w:shd w:fill="FFFFFF"/>
        <w:spacing w:before="0" w:after="0"/>
        <w:ind w:left="0" w:right="0"/>
        <w:jc w:val="both"/>
      </w:pPr>
      <w:r>
        <w:rPr>
          <w:rFonts w:ascii="宋体" w:hAnsi="宋体" w:cs="宋体" w:eastAsia="宋体"/>
          <w:sz w:val="27"/>
          <w:b/>
          <w:color w:val="222222"/>
        </w:rPr>
        <w:t>十二、其它</w:t>
      </w:r>
    </w:p>
    <w:p>
      <w:pPr>
        <w:pStyle w:val="null3"/>
        <w:shd w:fill="FFFFFF"/>
        <w:spacing w:before="0" w:after="0"/>
        <w:ind w:left="0" w:right="0"/>
        <w:jc w:val="both"/>
      </w:pPr>
      <w:r>
        <w:rPr>
          <w:rFonts w:ascii="宋体" w:hAnsi="宋体" w:cs="宋体" w:eastAsia="宋体"/>
          <w:sz w:val="27"/>
          <w:color w:val="222222"/>
        </w:rPr>
        <w:t>　　1.本合同所有附件、招标文件、投标文件、中标通知书均为合同的有效组成部分，与本合同具有同等法律效力。</w:t>
      </w:r>
    </w:p>
    <w:p>
      <w:pPr>
        <w:pStyle w:val="null3"/>
        <w:shd w:fill="FFFFFF"/>
        <w:spacing w:before="0" w:after="0"/>
        <w:ind w:left="0" w:right="0"/>
        <w:jc w:val="both"/>
      </w:pPr>
      <w:r>
        <w:rPr>
          <w:rFonts w:ascii="宋体" w:hAnsi="宋体" w:cs="宋体" w:eastAsia="宋体"/>
          <w:sz w:val="27"/>
          <w:color w:val="222222"/>
        </w:rPr>
        <w:t>　　2.在执行本合同的过程中，所有经双方签署确认的文件（包括会议纪要、补充协议、往来信函）即成为本合同的有效组成部分。</w:t>
      </w:r>
    </w:p>
    <w:p>
      <w:pPr>
        <w:pStyle w:val="null3"/>
        <w:shd w:fill="FFFFFF"/>
        <w:spacing w:before="0" w:after="0"/>
        <w:ind w:left="0" w:right="0"/>
        <w:jc w:val="both"/>
      </w:pPr>
      <w:r>
        <w:rPr>
          <w:rFonts w:ascii="宋体" w:hAnsi="宋体" w:cs="宋体" w:eastAsia="宋体"/>
          <w:sz w:val="27"/>
          <w:color w:val="222222"/>
        </w:rPr>
        <w:t>　　3.如一方地址、电话、传真号码有变更，应在变更当日内书面通知对方，否则，应承担相应责任。</w:t>
      </w:r>
    </w:p>
    <w:p>
      <w:pPr>
        <w:pStyle w:val="null3"/>
        <w:shd w:fill="FFFFFF"/>
        <w:spacing w:before="0" w:after="0"/>
        <w:ind w:left="0" w:right="0"/>
        <w:jc w:val="both"/>
      </w:pPr>
      <w:r>
        <w:rPr>
          <w:rFonts w:ascii="宋体" w:hAnsi="宋体" w:cs="宋体" w:eastAsia="宋体"/>
          <w:sz w:val="27"/>
          <w:color w:val="222222"/>
        </w:rPr>
        <w:t>　　4.除甲方事先书面同意外，乙方不得部分或全部转让其应履行的合同项下的义务。</w:t>
      </w:r>
    </w:p>
    <w:p>
      <w:pPr>
        <w:pStyle w:val="null3"/>
        <w:shd w:fill="FFFFFF"/>
        <w:spacing w:before="0" w:after="0"/>
        <w:ind w:left="0" w:right="0"/>
        <w:jc w:val="both"/>
      </w:pPr>
      <w:r>
        <w:rPr>
          <w:rFonts w:ascii="宋体" w:hAnsi="宋体" w:cs="宋体" w:eastAsia="宋体"/>
          <w:sz w:val="27"/>
          <w:b/>
          <w:color w:val="222222"/>
        </w:rPr>
        <w:t>十三、合同生效</w:t>
      </w:r>
    </w:p>
    <w:p>
      <w:pPr>
        <w:pStyle w:val="null3"/>
        <w:shd w:fill="FFFFFF"/>
        <w:spacing w:before="0" w:after="0"/>
        <w:ind w:left="0" w:right="0"/>
        <w:jc w:val="both"/>
      </w:pPr>
      <w:r>
        <w:rPr>
          <w:rFonts w:ascii="宋体" w:hAnsi="宋体" w:cs="宋体" w:eastAsia="宋体"/>
          <w:sz w:val="27"/>
          <w:color w:val="222222"/>
        </w:rPr>
        <w:t>　　1.本合同在甲乙双方法人代表或其授权代表签字盖章后生效。</w:t>
      </w:r>
    </w:p>
    <w:p>
      <w:pPr>
        <w:pStyle w:val="null3"/>
        <w:shd w:fill="FFFFFF"/>
        <w:spacing w:before="0" w:after="0"/>
        <w:ind w:left="0" w:right="0"/>
        <w:jc w:val="both"/>
      </w:pPr>
      <w:r>
        <w:rPr>
          <w:rFonts w:ascii="宋体" w:hAnsi="宋体" w:cs="宋体" w:eastAsia="宋体"/>
          <w:sz w:val="27"/>
          <w:color w:val="222222"/>
        </w:rPr>
        <w:t>　　2.合同一式</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rPr>
        <w:t xml:space="preserve"> </w:t>
      </w:r>
      <w:r>
        <w:rPr>
          <w:rFonts w:ascii="宋体" w:hAnsi="宋体" w:cs="宋体" w:eastAsia="宋体"/>
          <w:sz w:val="27"/>
          <w:color w:val="222222"/>
        </w:rPr>
        <w:t>份。</w:t>
      </w:r>
    </w:p>
    <w:p>
      <w:pPr>
        <w:pStyle w:val="null3"/>
        <w:shd w:fill="FFFFFF"/>
        <w:spacing w:before="150" w:after="150"/>
        <w:ind w:left="0" w:right="0"/>
        <w:jc w:val="both"/>
      </w:pPr>
      <w:r>
        <w:rPr>
          <w:rFonts w:ascii="helvetica" w:hAnsi="helvetica" w:cs="helvetica" w:eastAsia="helvetica"/>
          <w:sz w:val="27"/>
          <w:color w:val="222222"/>
        </w:rPr>
        <w:t xml:space="preserve"> </w:t>
      </w:r>
    </w:p>
    <w:p>
      <w:pPr>
        <w:pStyle w:val="null3"/>
        <w:shd w:fill="FFFFFF"/>
        <w:spacing w:before="0" w:after="0"/>
        <w:ind w:left="0" w:right="0"/>
        <w:jc w:val="both"/>
      </w:pPr>
      <w:r>
        <w:rPr>
          <w:rFonts w:ascii="宋体" w:hAnsi="宋体" w:cs="宋体" w:eastAsia="宋体"/>
          <w:sz w:val="27"/>
          <w:b/>
          <w:color w:val="222222"/>
        </w:rPr>
        <w:t>甲方（盖章）：</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乙方（盖章）：</w:t>
      </w:r>
    </w:p>
    <w:p>
      <w:pPr>
        <w:pStyle w:val="null3"/>
        <w:shd w:fill="FFFFFF"/>
        <w:spacing w:before="0" w:after="0"/>
        <w:ind w:left="0" w:right="0"/>
        <w:jc w:val="both"/>
      </w:pPr>
      <w:r>
        <w:rPr>
          <w:rFonts w:ascii="宋体" w:hAnsi="宋体" w:cs="宋体" w:eastAsia="宋体"/>
          <w:sz w:val="27"/>
          <w:b/>
          <w:color w:val="222222"/>
        </w:rPr>
        <w:t>代表：</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代表：</w:t>
      </w:r>
    </w:p>
    <w:p>
      <w:pPr>
        <w:pStyle w:val="null3"/>
        <w:shd w:fill="FFFFFF"/>
        <w:spacing w:before="0" w:after="0"/>
        <w:ind w:left="0" w:right="0"/>
        <w:jc w:val="both"/>
      </w:pPr>
      <w:r>
        <w:rPr>
          <w:rFonts w:ascii="宋体" w:hAnsi="宋体" w:cs="宋体" w:eastAsia="宋体"/>
          <w:sz w:val="27"/>
          <w:color w:val="222222"/>
        </w:rPr>
        <w:t>签订地点：</w:t>
      </w:r>
    </w:p>
    <w:p>
      <w:pPr>
        <w:pStyle w:val="null3"/>
        <w:shd w:fill="FFFFFF"/>
        <w:spacing w:before="0" w:after="0"/>
        <w:ind w:left="0" w:right="0"/>
        <w:jc w:val="both"/>
      </w:pPr>
      <w:r>
        <w:rPr>
          <w:rFonts w:ascii="宋体" w:hAnsi="宋体" w:cs="宋体" w:eastAsia="宋体"/>
          <w:sz w:val="27"/>
          <w:color w:val="222222"/>
        </w:rPr>
        <w:t>签订日期：　　　年　　月　　日</w:t>
      </w:r>
      <w:r>
        <w:rPr>
          <w:rFonts w:ascii="宋体" w:hAnsi="宋体" w:cs="宋体" w:eastAsia="宋体"/>
          <w:sz w:val="27"/>
          <w:color w:val="222222"/>
        </w:rPr>
        <w:t xml:space="preserve"> </w:t>
      </w:r>
      <w:r>
        <w:rPr>
          <w:rFonts w:ascii="宋体" w:hAnsi="宋体" w:cs="宋体" w:eastAsia="宋体"/>
          <w:sz w:val="27"/>
          <w:color w:val="222222"/>
        </w:rPr>
        <w:t xml:space="preserve"> 签订日期：　　　年　　月　　日</w:t>
      </w:r>
    </w:p>
    <w:p>
      <w:pPr>
        <w:pStyle w:val="null3"/>
        <w:shd w:fill="FFFFFF"/>
        <w:spacing w:before="0" w:after="0"/>
        <w:ind w:left="0" w:right="0"/>
        <w:jc w:val="both"/>
      </w:pPr>
      <w:r>
        <w:rPr>
          <w:rFonts w:ascii="宋体" w:hAnsi="宋体" w:cs="宋体" w:eastAsia="宋体"/>
          <w:sz w:val="27"/>
          <w:color w:val="222222"/>
        </w:rPr>
        <w:t>开户名称：</w:t>
      </w:r>
    </w:p>
    <w:p>
      <w:pPr>
        <w:pStyle w:val="null3"/>
        <w:shd w:fill="FFFFFF"/>
        <w:spacing w:before="0" w:after="0"/>
        <w:ind w:left="0" w:right="0"/>
        <w:jc w:val="both"/>
      </w:pPr>
      <w:r>
        <w:rPr>
          <w:rFonts w:ascii="宋体" w:hAnsi="宋体" w:cs="宋体" w:eastAsia="宋体"/>
          <w:sz w:val="27"/>
          <w:color w:val="222222"/>
        </w:rPr>
        <w:t>银行帐号：</w:t>
      </w:r>
    </w:p>
    <w:p>
      <w:pPr>
        <w:pStyle w:val="null3"/>
        <w:shd w:fill="FFFFFF"/>
        <w:spacing w:before="0" w:after="0"/>
        <w:ind w:left="0" w:right="0"/>
        <w:jc w:val="both"/>
      </w:pPr>
      <w:r>
        <w:rPr>
          <w:rFonts w:ascii="宋体" w:hAnsi="宋体" w:cs="宋体" w:eastAsia="宋体"/>
          <w:sz w:val="27"/>
          <w:color w:val="222222"/>
        </w:rPr>
        <w:t>开 户 行：</w:t>
      </w:r>
    </w:p>
    <w:p>
      <w:pPr>
        <w:pStyle w:val="null3"/>
      </w:pPr>
      <w:r>
        <w:rPr/>
        <w:t xml:space="preserve">  </w:t>
      </w:r>
    </w:p>
    <w:p>
      <w:pPr>
        <w:pStyle w:val="null3"/>
        <w:jc w:val="center"/>
        <w:outlineLvl w:val="1"/>
      </w:pPr>
      <w:r>
        <w:rPr>
          <w:sz w:val="36"/>
          <w:b/>
        </w:rPr>
        <w:t>第六章 响应文件格式与要求</w:t>
      </w:r>
    </w:p>
    <w:p>
      <w:pPr>
        <w:pStyle w:val="null3"/>
        <w:ind w:firstLine="480"/>
      </w:pPr>
      <w:r>
        <w:rPr/>
        <w:t>供应商应提交证明其有资格参加磋商和成交后有能力履行合同的相关文件，并作为其响应文件的一部分，所有文件必须真实可靠、不得伪造，否则将按相关规定予以处罚。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供应商是企业（包括合伙企业），要提供在工商部门注册的有效“企业法人营业执照”或“营业执照”；如供应商是事业单位，要提供有效的“事业单位法人证书”；供应商是非企业专业服务机构的，如律师事务所，会计师事务所要提供执业许可证等证明文件；如供应商是个体工商户，要提供有效的“个体工商户营业执照”；如供应商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3.具有履行合同所必须的设备和专业技术能力的声明。</w:t>
      </w:r>
    </w:p>
    <w:p>
      <w:pPr>
        <w:pStyle w:val="null3"/>
        <w:ind w:firstLine="480"/>
      </w:pPr>
      <w:r>
        <w:rPr/>
        <w:t>4.供应商参加政府采购前三年内在经营活动中没有重大违法记录声明函。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（2）查询截止时点：提交响应文件截止日当天；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供应商被列入失信被执行人、重大税收违法案件当事人名单、政府采购严重违法失信行为记录名单的供应商作无效响应处理。</w:t>
      </w:r>
    </w:p>
    <w:p>
      <w:pPr>
        <w:pStyle w:val="null3"/>
        <w:ind w:firstLine="480"/>
      </w:pPr>
      <w:r>
        <w:rPr/>
        <w:t>6. 按照磋商文件要求，供应商应当提交的资格、资信证明文件。</w:t>
      </w:r>
    </w:p>
    <w:p>
      <w:pPr>
        <w:pStyle w:val="null3"/>
      </w:pPr>
      <w:r>
        <w:rPr/>
        <w:t xml:space="preserve">  </w:t>
      </w:r>
    </w:p>
    <w:p>
      <w:pPr>
        <w:pStyle w:val="null3"/>
        <w:jc w:val="center"/>
        <w:outlineLvl w:val="0"/>
      </w:pPr>
      <w:r>
        <w:rPr>
          <w:sz w:val="48"/>
          <w:b/>
        </w:rPr>
        <w:t>响应文件封面</w:t>
      </w:r>
    </w:p>
    <w:p>
      <w:pPr>
        <w:pStyle w:val="null3"/>
        <w:outlineLvl w:val="0"/>
      </w:pPr>
      <w:r>
        <w:rPr>
          <w:sz w:val="48"/>
          <w:b/>
        </w:rPr>
        <w:t>（项目名称）</w:t>
      </w:r>
    </w:p>
    <w:p>
      <w:pPr>
        <w:pStyle w:val="null3"/>
        <w:jc w:val="center"/>
        <w:outlineLvl w:val="0"/>
      </w:pPr>
      <w:r>
        <w:rPr>
          <w:sz w:val="48"/>
          <w:b/>
        </w:rPr>
        <w:t xml:space="preserve"> 响应文件封面</w:t>
      </w:r>
    </w:p>
    <w:p>
      <w:pPr>
        <w:pStyle w:val="null3"/>
        <w:jc w:val="center"/>
        <w:outlineLvl w:val="3"/>
      </w:pPr>
      <w:r>
        <w:rPr>
          <w:sz w:val="24"/>
          <w:b/>
        </w:rPr>
        <w:t xml:space="preserve"> （正本/副本）</w:t>
      </w:r>
    </w:p>
    <w:p>
      <w:pPr>
        <w:pStyle w:val="null3"/>
        <w:outlineLvl w:val="3"/>
      </w:pPr>
      <w:r>
        <w:rPr>
          <w:sz w:val="24"/>
          <w:b/>
        </w:rPr>
        <w:t>采购计划编号：</w:t>
      </w:r>
      <w:r>
        <w:rPr>
          <w:sz w:val="24"/>
          <w:b/>
        </w:rPr>
        <w:t>441781-2024-01785</w:t>
      </w:r>
    </w:p>
    <w:p>
      <w:pPr>
        <w:pStyle w:val="null3"/>
        <w:jc w:val="center"/>
        <w:outlineLvl w:val="3"/>
      </w:pPr>
      <w:r>
        <w:rPr>
          <w:sz w:val="24"/>
          <w:b/>
        </w:rPr>
        <w:t>采购项目编号：</w:t>
      </w:r>
      <w:r>
        <w:rPr>
          <w:sz w:val="24"/>
          <w:b/>
        </w:rPr>
        <w:t>WC-ZFFW-24001</w:t>
      </w:r>
    </w:p>
    <w:p>
      <w:pPr>
        <w:pStyle w:val="null3"/>
        <w:jc w:val="center"/>
        <w:outlineLvl w:val="3"/>
      </w:pPr>
      <w:r>
        <w:rPr>
          <w:sz w:val="24"/>
          <w:b/>
        </w:rPr>
        <w:t>所响应采购包：第 包</w:t>
      </w:r>
    </w:p>
    <w:p>
      <w:pPr>
        <w:pStyle w:val="null3"/>
        <w:outlineLvl w:val="3"/>
      </w:pPr>
      <w:r>
        <w:rPr>
          <w:sz w:val="24"/>
          <w:b/>
        </w:rPr>
        <w:t>（供应商名称）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响应文件目录</w:t>
      </w:r>
    </w:p>
    <w:p>
      <w:pPr>
        <w:pStyle w:val="null3"/>
        <w:ind w:firstLine="480"/>
      </w:pPr>
      <w:r>
        <w:rPr/>
        <w:t>一、响应承诺函</w:t>
      </w:r>
    </w:p>
    <w:p>
      <w:pPr>
        <w:pStyle w:val="null3"/>
        <w:ind w:firstLine="480"/>
      </w:pPr>
      <w:r>
        <w:rPr/>
        <w:t>二、首轮报价表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七、响应保证金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十四、联合体共同响应协议书</w:t>
      </w:r>
    </w:p>
    <w:p>
      <w:pPr>
        <w:pStyle w:val="null3"/>
        <w:ind w:firstLine="480"/>
      </w:pPr>
      <w:r>
        <w:rPr/>
        <w:t>十五、供应商业绩情况表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响 应 承 诺 函</w:t>
      </w:r>
    </w:p>
    <w:p>
      <w:pPr>
        <w:pStyle w:val="null3"/>
        <w:ind w:firstLine="480"/>
      </w:pPr>
      <w:r>
        <w:rPr/>
        <w:t xml:space="preserve"> 致：</w:t>
      </w:r>
      <w:r>
        <w:rPr/>
        <w:t>伟创工程咨询（广州）有限公司</w:t>
      </w:r>
    </w:p>
    <w:p>
      <w:pPr>
        <w:pStyle w:val="null3"/>
        <w:ind w:firstLine="480"/>
      </w:pPr>
      <w:r>
        <w:rPr/>
        <w:t xml:space="preserve"> 你方组织的</w:t>
      </w:r>
      <w:r>
        <w:rPr>
          <w:u w:val="single"/>
        </w:rPr>
        <w:t>“</w:t>
      </w:r>
      <w:r>
        <w:rPr>
          <w:u w:val="single"/>
        </w:rPr>
        <w:t>2024年至2025年阳春市国家卫生城市迎复审公共环境病媒生物防制项目</w:t>
      </w:r>
      <w:r>
        <w:rPr>
          <w:u w:val="single"/>
        </w:rPr>
        <w:t>”</w:t>
      </w:r>
      <w:r>
        <w:rPr/>
        <w:t>项目的竞争性磋商[采购项目编号为：</w:t>
      </w:r>
      <w:r>
        <w:rPr>
          <w:u w:val="single"/>
        </w:rPr>
        <w:t>WC-ZFFW-24001</w:t>
      </w:r>
      <w:r>
        <w:rPr/>
        <w:t>]，我方愿参与响应。</w:t>
      </w:r>
    </w:p>
    <w:p>
      <w:pPr>
        <w:pStyle w:val="null3"/>
        <w:ind w:firstLine="480"/>
      </w:pPr>
      <w:r>
        <w:rPr/>
        <w:t>我方确认收到贵方提供的</w:t>
      </w:r>
      <w:r>
        <w:rPr>
          <w:u w:val="single"/>
        </w:rPr>
        <w:t>“</w:t>
      </w:r>
      <w:r>
        <w:rPr>
          <w:u w:val="single"/>
        </w:rPr>
        <w:t>2024年至2025年阳春市国家卫生城市迎复审公共环境病媒生物防制项目</w:t>
      </w:r>
      <w:r>
        <w:rPr>
          <w:u w:val="single"/>
        </w:rPr>
        <w:t>”</w:t>
      </w:r>
      <w:r>
        <w:rPr/>
        <w:t>项目的磋商文件的全部内容。</w:t>
      </w:r>
    </w:p>
    <w:p>
      <w:pPr>
        <w:pStyle w:val="null3"/>
        <w:ind w:firstLine="480"/>
      </w:pPr>
      <w:r>
        <w:rPr/>
        <w:t xml:space="preserve"> 我方在参与响应前已详细研究了磋商文件的所有内容，包括澄清、修改文件（如果有）和所有已提供的参考资料以及有关附件，我方完全明白并认为此磋商文件没有倾向性，也不存在排斥潜在供应商的内容，我方同意磋商文件的相关条款，放弃对磋商文件提出误解和质疑的一切权力。</w:t>
      </w:r>
    </w:p>
    <w:p>
      <w:pPr>
        <w:pStyle w:val="null3"/>
        <w:ind w:firstLine="480"/>
      </w:pPr>
      <w:r>
        <w:rPr>
          <w:u w:val="single"/>
        </w:rPr>
        <w:t>(供应商名称)</w:t>
      </w:r>
      <w:r>
        <w:rPr/>
        <w:t>作为供应商正式授权</w:t>
      </w:r>
      <w:r>
        <w:rPr>
          <w:u w:val="single"/>
        </w:rPr>
        <w:t>(授权代表全名,职务)</w:t>
      </w:r>
      <w:r>
        <w:rPr/>
        <w:t>代表我方全权处理有关本响应的一切事宜。</w:t>
      </w:r>
    </w:p>
    <w:p>
      <w:pPr>
        <w:pStyle w:val="null3"/>
        <w:ind w:firstLine="480"/>
      </w:pPr>
      <w:r>
        <w:rPr/>
        <w:t>我方已完全明白磋商文件的所有条款要求，并申明如下：</w:t>
      </w:r>
    </w:p>
    <w:p>
      <w:pPr>
        <w:pStyle w:val="null3"/>
        <w:ind w:firstLine="480"/>
      </w:pPr>
      <w:r>
        <w:rPr/>
        <w:t>（一）按磋商文件提供的全部货物（工程、服务）与相关服务的磋商总价详见《首轮报价表》。</w:t>
      </w:r>
    </w:p>
    <w:p>
      <w:pPr>
        <w:pStyle w:val="null3"/>
        <w:ind w:firstLine="480"/>
      </w:pPr>
      <w:r>
        <w:rPr/>
        <w:t xml:space="preserve"> （二）本响应文件的有效期为</w:t>
      </w:r>
      <w:r>
        <w:rPr/>
        <w:t>从提交投标（响应）文件的截止之日起90日历天</w:t>
      </w:r>
      <w:r>
        <w:rPr/>
        <w:t>。如成交，有效期将延至合同终止日为止。在此提交的资格证明文件均至响应截止日有效，如有在响应有效期内失效的，我方承诺在成交后补齐一切手续，保证所有资格证明文件能在签订采购合同时直至采购合同终止日有效。</w:t>
      </w:r>
    </w:p>
    <w:p>
      <w:pPr>
        <w:pStyle w:val="null3"/>
        <w:ind w:firstLine="480"/>
      </w:pPr>
      <w:r>
        <w:rPr/>
        <w:t>（三）我方明白并同意，在规定的开启日之后，响应有效期之内撤回响应或成交后不按规定与采购人签订合同或不提交履约保证金, 则贵方将不予退还响应保证金。</w:t>
      </w:r>
    </w:p>
    <w:p>
      <w:pPr>
        <w:pStyle w:val="null3"/>
        <w:ind w:firstLine="480"/>
      </w:pPr>
      <w:r>
        <w:rPr/>
        <w:t>（四）我方愿意向贵方提供任何与本项报价有关的数据、情况和技术资料。若贵方需要，我方愿意提供我方作出的一切承诺的证明材料。</w:t>
      </w:r>
    </w:p>
    <w:p>
      <w:pPr>
        <w:pStyle w:val="null3"/>
        <w:ind w:firstLine="480"/>
      </w:pPr>
      <w:r>
        <w:rPr/>
        <w:t>（五）我方理解贵方不一定接受最低磋商价或任何贵方可能收到的响应。</w:t>
      </w:r>
    </w:p>
    <w:p>
      <w:pPr>
        <w:pStyle w:val="null3"/>
        <w:ind w:firstLine="480"/>
      </w:pPr>
      <w:r>
        <w:rPr/>
        <w:t>（六）我方如果成交，将保证履行磋商文件及其澄清、修改文件（如果有）中的全部责任和义务，按质、按量、按期完成《采购需求》及《合同书》中的全部任务。</w:t>
      </w:r>
    </w:p>
    <w:p>
      <w:pPr>
        <w:pStyle w:val="null3"/>
        <w:ind w:firstLine="480"/>
      </w:pPr>
      <w:r>
        <w:rPr/>
        <w:t>（七）我方作为法律、财务和运作上独立于采购人、采购代理机构的供应商，在此保证所提交的所有文件和全部说明是真实的和正确的。</w:t>
      </w:r>
    </w:p>
    <w:p>
      <w:pPr>
        <w:pStyle w:val="null3"/>
        <w:ind w:firstLine="480"/>
      </w:pPr>
      <w:r>
        <w:rPr/>
        <w:t>（八）我方磋商报价已包含应向知识产权所有权人支付的所有相关税费，并保证采购人在中国使用我方提供的货物时，如有第三方提出侵犯其知识产权主张的，责任由我方承担。</w:t>
      </w:r>
    </w:p>
    <w:p>
      <w:pPr>
        <w:pStyle w:val="null3"/>
        <w:ind w:firstLine="480"/>
      </w:pPr>
      <w:r>
        <w:rPr/>
        <w:t>（九）我方接受采购人委托向贵方支付代理服务费，项目总报价已包含代理服务费，如果被确定为成交供应商，承诺向贵方足额支付。（若采购人支付代理服务费，则此条不适用）</w:t>
      </w:r>
    </w:p>
    <w:p>
      <w:pPr>
        <w:pStyle w:val="null3"/>
        <w:ind w:firstLine="480"/>
      </w:pPr>
      <w:r>
        <w:rPr/>
        <w:t>（十）我方与其他供应商不存在单位负责人为同一人或者存在直接控股、管理关系。</w:t>
      </w:r>
    </w:p>
    <w:p>
      <w:pPr>
        <w:pStyle w:val="null3"/>
        <w:ind w:firstLine="480"/>
      </w:pPr>
      <w:r>
        <w:rPr/>
        <w:t>（十一）我方承诺未为本项目提供整体设计、规范编制或者项目管理、监理、检测等服务。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以上内容如有虚假或与事实不符的，磋商小组可将我方做无效响应处理，我方愿意承担相应的法律责任。</w:t>
      </w:r>
    </w:p>
    <w:p>
      <w:pPr>
        <w:pStyle w:val="null3"/>
        <w:ind w:firstLine="480"/>
      </w:pPr>
      <w:r>
        <w:rPr/>
        <w:t>（十五）我方对在本函及响应文件中所作的所有承诺承担法律责任。</w:t>
      </w:r>
    </w:p>
    <w:p>
      <w:pPr>
        <w:pStyle w:val="null3"/>
        <w:ind w:firstLine="480"/>
      </w:pPr>
      <w:r>
        <w:rPr/>
        <w:t>（十六）所有与本磋商有关的函件请发往下列地址：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jc w:val="right"/>
      </w:pPr>
      <w:r>
        <w:rPr/>
        <w:t xml:space="preserve"> 法定代表人或授权委托人（签字）：__________________</w:t>
      </w:r>
    </w:p>
    <w:p>
      <w:pPr>
        <w:pStyle w:val="null3"/>
        <w:jc w:val="right"/>
      </w:pPr>
      <w:r>
        <w:rPr/>
        <w:t xml:space="preserve"> 加盖公章：__________________</w:t>
      </w:r>
    </w:p>
    <w:p>
      <w:pPr>
        <w:pStyle w:val="null3"/>
        <w:jc w:val="right"/>
      </w:pPr>
      <w:r>
        <w:rPr/>
        <w:t xml:space="preserve"> 日  期：__________________</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首轮报价表</w:t>
      </w:r>
    </w:p>
    <w:p>
      <w:pPr>
        <w:pStyle w:val="null3"/>
        <w:ind w:firstLine="480"/>
      </w:pPr>
      <w:r>
        <w:rPr/>
        <w:t xml:space="preserve"> 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响应报价（元/%）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jc w:val="center"/>
            </w:pPr>
            <w:r>
              <w:rPr/>
              <w:t xml:space="preserve"> 1</w:t>
            </w:r>
          </w:p>
        </w:tc>
        <w:tc>
          <w:tcPr>
            <w:tcW w:type="dxa" w:w="1661"/>
          </w:tcPr>
          <w:p/>
        </w:tc>
        <w:tc>
          <w:tcPr>
            <w:tcW w:type="dxa" w:w="1661"/>
          </w:tcPr>
          <w:p/>
        </w:tc>
        <w:tc>
          <w:tcPr>
            <w:tcW w:type="dxa" w:w="1661"/>
          </w:tcPr>
          <w:p/>
        </w:tc>
        <w:tc>
          <w:tcPr>
            <w:tcW w:type="dxa" w:w="166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p>
      <w:pPr>
        <w:pStyle w:val="null3"/>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服务期限</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jc w:val="center"/>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w:t>
      </w:r>
    </w:p>
    <w:p>
      <w:pPr>
        <w:pStyle w:val="null3"/>
        <w:ind w:firstLine="480"/>
      </w:pPr>
      <w:r>
        <w:rPr/>
        <w:t>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2.“节能产品、环境标志产品”须填写认证证书编号，并在对应“节能产品”、“环境标志产品”栏中勾选，同时提供有效期内的证书复印件（加盖供应商公章）</w:t>
      </w:r>
    </w:p>
    <w:p>
      <w:pPr>
        <w:pStyle w:val="null3"/>
        <w:jc w:val="right"/>
      </w:pPr>
      <w:r>
        <w:rPr/>
        <w:t xml:space="preserve"> 供应商名称（盖章）：__________________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格式五：</w:t>
      </w:r>
    </w:p>
    <w:p>
      <w:pPr>
        <w:pStyle w:val="null3"/>
        <w:ind w:firstLine="480"/>
      </w:pPr>
      <w:r>
        <w:rPr/>
        <w:t>（供应商可使用下述格式，也可使用广东省工商行政管理局统一印制的法定代表人证明书格式）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经营范围：__________________________________________________________</w:t>
      </w:r>
    </w:p>
    <w:p>
      <w:pPr>
        <w:pStyle w:val="null3"/>
        <w:jc w:val="right"/>
      </w:pPr>
      <w:r>
        <w:rPr/>
        <w:t xml:space="preserve"> 供应商名称（盖章）：__________________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（对于银行、保险、电信、邮政、铁路等行业以及获得总公司响应授权的分公司，可以提供响应分支机构负责人授权书）</w:t>
      </w:r>
    </w:p>
    <w:p>
      <w:pPr>
        <w:pStyle w:val="null3"/>
        <w:jc w:val="center"/>
        <w:outlineLvl w:val="3"/>
      </w:pPr>
      <w:r>
        <w:rPr>
          <w:sz w:val="24"/>
          <w:b/>
        </w:rPr>
        <w:t>法定代表人授权书</w:t>
      </w:r>
    </w:p>
    <w:p>
      <w:pPr>
        <w:pStyle w:val="null3"/>
        <w:ind w:firstLine="480"/>
      </w:pPr>
      <w:r>
        <w:rPr/>
        <w:t>致：</w:t>
      </w:r>
      <w:r>
        <w:rPr/>
        <w:t>伟创工程咨询（广州）有限公司</w:t>
      </w:r>
    </w:p>
    <w:p>
      <w:pPr>
        <w:pStyle w:val="null3"/>
        <w:ind w:firstLine="480"/>
      </w:pPr>
      <w:r>
        <w:rPr/>
        <w:t xml:space="preserve">本授权书声明：________是注册于 </w:t>
      </w:r>
      <w:r>
        <w:rPr>
          <w:u w:val="single"/>
        </w:rPr>
        <w:t>（国家或地区）</w:t>
      </w:r>
      <w:r>
        <w:rPr/>
        <w:t>的</w:t>
      </w:r>
      <w:r>
        <w:rPr>
          <w:u w:val="single"/>
        </w:rPr>
        <w:t>（供应商名称）</w:t>
      </w:r>
      <w:r>
        <w:rPr/>
        <w:t xml:space="preserve">的法定代表人，现任________职务，有效证件号码：________________。现授权 </w:t>
      </w:r>
      <w:r>
        <w:rPr>
          <w:u w:val="single"/>
        </w:rPr>
        <w:t>（姓名、职务）</w:t>
      </w:r>
      <w:r>
        <w:rPr/>
        <w:t xml:space="preserve"> 作为我公司的全权代理人，就“</w:t>
      </w:r>
      <w:r>
        <w:rPr/>
        <w:t>2024年至2025年阳春市国家卫生城市迎复审公共环境病媒生物防制项目</w:t>
      </w:r>
      <w:r>
        <w:rPr/>
        <w:t>”项目采购[采购项目编号为</w:t>
      </w:r>
      <w:r>
        <w:rPr/>
        <w:t>WC-ZFFW-24001</w:t>
      </w:r>
      <w:r>
        <w:rPr/>
        <w:t>]的响应和合同执行，以我方的名义处理一切与之有关的事宜。</w:t>
      </w:r>
    </w:p>
    <w:p>
      <w:pPr>
        <w:pStyle w:val="null3"/>
        <w:ind w:firstLine="480"/>
      </w:pPr>
      <w:r>
        <w:rPr/>
        <w:t>本授权书于________年________月________日签字生效，特此声明。</w:t>
      </w:r>
    </w:p>
    <w:p>
      <w:pPr>
        <w:pStyle w:val="null3"/>
        <w:jc w:val="right"/>
      </w:pPr>
      <w:r>
        <w:rPr/>
        <w:t xml:space="preserve"> 供应商（盖章）：__________________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被授权人（签字或盖章）：__________________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格式七：</w:t>
      </w:r>
    </w:p>
    <w:p>
      <w:pPr>
        <w:pStyle w:val="null3"/>
        <w:jc w:val="center"/>
        <w:outlineLvl w:val="3"/>
      </w:pPr>
      <w:r>
        <w:rPr>
          <w:sz w:val="24"/>
          <w:b/>
        </w:rPr>
        <w:t>响应保证金</w:t>
      </w:r>
    </w:p>
    <w:p>
      <w:pPr>
        <w:pStyle w:val="null3"/>
        <w:ind w:firstLine="480"/>
      </w:pPr>
      <w:r>
        <w:rPr/>
        <w:t>响应文件要求递交响应保证金的，供应商应在此提供保证金的凭证的复印件。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阳春市卫生健康局</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中小企业声明函（所投产品制造商为中小企业时提交本函，所属行业应符合磋商文件中明确的本项目所属行业）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 xml:space="preserve"> 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中小企业声明函（承建本项目工程为中小企业或者承接本项目服务为中小企业时提交本函，所属行业应符合磋商文件中明确的本项目所属行业）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2：供应商应当自行核实是否属于小微企业，并认真填写声明函，若有虚假将追究其责任。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jc w:val="right"/>
      </w:pPr>
      <w:r>
        <w:rPr/>
        <w:t>单位名称（盖章）：__________________</w:t>
      </w:r>
    </w:p>
    <w:p>
      <w:pPr>
        <w:pStyle w:val="null3"/>
        <w:jc w:val="right"/>
      </w:pPr>
      <w:r>
        <w:rPr/>
        <w:t xml:space="preserve"> 日  期：__________________</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联合体共同响应协议书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1.（甲公司全称）作为联合体的牵头单位，代表联合体双方负责响应和合同实施阶段的主办、协调工作。</w:t>
      </w:r>
    </w:p>
    <w:p>
      <w:pPr>
        <w:pStyle w:val="null3"/>
        <w:ind w:firstLine="480"/>
      </w:pPr>
      <w:r>
        <w:rPr/>
        <w:t>2.联合体将严格按照文件的各项要求，递交响应文件，切实执行一切合同文件，共同承担合同规定的一切义务和责任，同时按照内部职责的划分，承担自身所负的责任和风险，在法律上承担连带责任。</w:t>
      </w:r>
    </w:p>
    <w:p>
      <w:pPr>
        <w:pStyle w:val="null3"/>
        <w:ind w:firstLine="480"/>
      </w:pPr>
      <w:r>
        <w:rPr/>
        <w:t>3.如果本联合体成交，（甲公司全称）负责本项目___________部分，（乙公司全称）负责本项目___________部分。</w:t>
      </w:r>
    </w:p>
    <w:p>
      <w:pPr>
        <w:pStyle w:val="null3"/>
        <w:ind w:firstLine="480"/>
      </w:pPr>
      <w:r>
        <w:rPr/>
        <w:t>4.如成交，联合体各方共同与（采购人）签订合同书，并就成交项目向采购人负责有连带的和各自的法律责任；</w:t>
      </w:r>
    </w:p>
    <w:p>
      <w:pPr>
        <w:pStyle w:val="null3"/>
        <w:ind w:firstLine="480"/>
      </w:pPr>
      <w:r>
        <w:rPr/>
        <w:t>5.联合体成员（公司全称）为（请填写：小型、微型）企业，将承担合同总金额____%的工作内容（联合体成员中有小型、微型企业时适用）。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五、本协议在自签署之日起生效，有效期内有效，如获成交资格，合同有效期延续至合同履行完毕之日。</w:t>
      </w:r>
    </w:p>
    <w:p>
      <w:pPr>
        <w:pStyle w:val="null3"/>
        <w:ind w:firstLine="480"/>
      </w:pPr>
      <w:r>
        <w:rPr/>
        <w:t>六、本协议书正本一式____份，随响应文件装订____份，送采购人____份，联合体成员各一份；副本一式____份，联合体成员各执____份。</w:t>
      </w:r>
    </w:p>
    <w:p>
      <w:pPr>
        <w:pStyle w:val="null3"/>
        <w:jc w:val="right"/>
      </w:pPr>
      <w:r>
        <w:rPr/>
        <w:t xml:space="preserve"> 甲公司全称：____（盖章）________，乙公司全称：____（盖章）________，……公司全称：____（盖章）________，</w:t>
      </w:r>
    </w:p>
    <w:p>
      <w:pPr>
        <w:pStyle w:val="null3"/>
        <w:jc w:val="right"/>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根据上述业绩情况，按磋商文件要求附销售或服务合同复印件。</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磋商文件规定的技术和服务要求</w:t>
            </w:r>
          </w:p>
        </w:tc>
        <w:tc>
          <w:tcPr>
            <w:tcW w:type="dxa" w:w="923"/>
          </w:tcPr>
          <w:p>
            <w:pPr>
              <w:pStyle w:val="null3"/>
            </w:pPr>
            <w:r>
              <w:rPr/>
              <w:t>响应文件响应的具体内容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1.“磋商文件规定的技术和服务要求”项下填写的内容应与磋商文件中采购需求的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2.参数性质栏标注“★”、“▲”号条款标志，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3.“是否偏离”项下应按下列规定填写：优于的，填写“正偏离”；符合的，填写“无偏离”；低于的，填写“负偏离”。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磋商文件规定的商务条件</w:t>
            </w:r>
          </w:p>
        </w:tc>
        <w:tc>
          <w:tcPr>
            <w:tcW w:type="dxa" w:w="1187"/>
          </w:tcPr>
          <w:p>
            <w:pPr>
              <w:pStyle w:val="null3"/>
            </w:pPr>
            <w:r>
              <w:rPr/>
              <w:t xml:space="preserve"> 响应文件响应的具体内容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1.“磋商文件规定的商务条件”项下填写的内容应与磋商文件中采购需求的 “商务要求”的内容保持一致。</w:t>
      </w:r>
    </w:p>
    <w:p>
      <w:pPr>
        <w:pStyle w:val="null3"/>
        <w:ind w:firstLine="480"/>
      </w:pPr>
      <w:r>
        <w:rPr/>
        <w:t xml:space="preserve"> 2.供应商应当如实填写上表“响应文件响应的具体内容”处内容，对磋商文件规定的商务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3.参数性质栏标注“★”、“▲”号条款标志，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4.“是否偏离”项下应按下列规定填写：优于的，填写“正偏离”；符合的，填写“无偏离”；低于的，填写“负偏离”。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jc w:val="center"/>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jc w:val="center"/>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1.磋商文件要求提供的其他资料。</w:t>
      </w:r>
    </w:p>
    <w:p>
      <w:pPr>
        <w:pStyle w:val="null3"/>
        <w:ind w:firstLine="480"/>
      </w:pPr>
      <w:r>
        <w:rPr/>
        <w:t>2.供应商认为需提供的其他资料。</w:t>
      </w:r>
    </w:p>
    <w:p>
      <w:pPr>
        <w:pStyle w:val="null3"/>
        <w:ind w:firstLine="480"/>
      </w:pPr>
      <w:r>
        <w:rPr/>
        <w:t xml:space="preserve">  </w:t>
      </w:r>
    </w:p>
    <w:p>
      <w:pPr>
        <w:pStyle w:val="null3"/>
        <w:outlineLvl w:val="2"/>
      </w:pPr>
      <w:r>
        <w:rPr>
          <w:sz w:val="28"/>
          <w:b/>
        </w:rPr>
        <w:t>格式二十：</w:t>
      </w:r>
    </w:p>
    <w:p>
      <w:pPr>
        <w:pStyle w:val="null3"/>
        <w:ind w:firstLine="480"/>
      </w:pPr>
      <w:r>
        <w:rPr/>
        <w:t>（若采购人支付代理服务费，则无需出具此承诺书）</w:t>
      </w:r>
    </w:p>
    <w:p>
      <w:pPr>
        <w:pStyle w:val="null3"/>
        <w:jc w:val="center"/>
        <w:outlineLvl w:val="3"/>
      </w:pPr>
      <w:r>
        <w:rPr>
          <w:sz w:val="24"/>
          <w:b/>
        </w:rPr>
        <w:t>代理服务费缴纳承诺函</w:t>
      </w:r>
    </w:p>
    <w:p>
      <w:pPr>
        <w:pStyle w:val="null3"/>
        <w:ind w:firstLine="480"/>
      </w:pPr>
      <w:r>
        <w:rPr/>
        <w:t>致：</w:t>
      </w:r>
      <w:r>
        <w:rPr/>
        <w:t>伟创工程咨询（广州）有限公司</w:t>
      </w:r>
    </w:p>
    <w:p>
      <w:pPr>
        <w:pStyle w:val="null3"/>
        <w:ind w:firstLine="480"/>
      </w:pPr>
      <w:r>
        <w:rPr/>
        <w:t>我单位参加贵公司组织的</w:t>
      </w:r>
      <w:r>
        <w:rPr/>
        <w:t>2024年至2025年阳春市国家卫生城市迎复审公共环境病媒生物防制项目</w:t>
      </w:r>
      <w:r>
        <w:rPr/>
        <w:t>（采购项目编号：</w:t>
      </w:r>
      <w:r>
        <w:rPr/>
        <w:t>WC-ZFFW-24001</w:t>
      </w:r>
      <w:r>
        <w:rPr/>
        <w:t>），作出如下承诺：</w:t>
      </w:r>
    </w:p>
    <w:p>
      <w:pPr>
        <w:pStyle w:val="null3"/>
        <w:ind w:firstLine="480"/>
      </w:pPr>
      <w:r>
        <w:rPr/>
        <w:t>1、完全响应磋商文件中要求的条款，若提供虚假资料将作为无效响应处理，并接受相关部门的处罚。</w:t>
      </w:r>
    </w:p>
    <w:p>
      <w:pPr>
        <w:pStyle w:val="null3"/>
        <w:ind w:firstLine="480"/>
      </w:pPr>
      <w:r>
        <w:rPr/>
        <w:t xml:space="preserve"> 2、我单位若被选为成交供应商，承诺按照规定缴纳代理服务费。代理服务费包括组织专家对审查供应商资格、答疑、组织磋商、评审、确定成交供应商，以及提供采购前期咨询、协调合同的签订等服务，按______支付。</w:t>
      </w:r>
    </w:p>
    <w:p>
      <w:pPr>
        <w:pStyle w:val="null3"/>
        <w:ind w:firstLine="480"/>
      </w:pPr>
      <w:r>
        <w:rPr/>
        <w:t>3、如我公司被选为成交供应商，在成交结果公示后3日内向采购代理机构指定账户缴付代理服务费。</w:t>
      </w:r>
    </w:p>
    <w:p>
      <w:pPr>
        <w:pStyle w:val="null3"/>
        <w:ind w:firstLine="480"/>
      </w:pPr>
      <w:r>
        <w:rPr/>
        <w:t>特此承诺！</w:t>
      </w:r>
    </w:p>
    <w:p>
      <w:pPr>
        <w:pStyle w:val="null3"/>
        <w:jc w:val="right"/>
      </w:pPr>
      <w:r>
        <w:rPr/>
        <w:t>供应商法定名称（公章）；_____________________</w:t>
      </w:r>
    </w:p>
    <w:p>
      <w:pPr>
        <w:pStyle w:val="null3"/>
        <w:jc w:val="right"/>
      </w:pPr>
      <w:r>
        <w:rPr/>
        <w:t>供应商法定地址：_____________________</w:t>
      </w:r>
    </w:p>
    <w:p>
      <w:pPr>
        <w:pStyle w:val="null3"/>
        <w:jc w:val="right"/>
      </w:pPr>
      <w:r>
        <w:rPr/>
        <w:t>供应商授权代表（签字或盖章）：_____________________</w:t>
      </w:r>
    </w:p>
    <w:p>
      <w:pPr>
        <w:pStyle w:val="null3"/>
        <w:jc w:val="right"/>
      </w:pPr>
      <w:r>
        <w:rPr/>
        <w:t>电 话：_____________________</w:t>
      </w:r>
    </w:p>
    <w:p>
      <w:pPr>
        <w:pStyle w:val="null3"/>
        <w:jc w:val="right"/>
      </w:pPr>
      <w:r>
        <w:rPr/>
        <w:t>传 真：_____________________</w:t>
      </w:r>
    </w:p>
    <w:p>
      <w:pPr>
        <w:pStyle w:val="null3"/>
        <w:jc w:val="right"/>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供应商需要采购人提供的附加条件</w:t>
            </w:r>
          </w:p>
        </w:tc>
      </w:tr>
      <w:tr>
        <w:tc>
          <w:tcPr>
            <w:tcW w:type="dxa" w:w="4153"/>
          </w:tcPr>
          <w:p>
            <w:pPr>
              <w:pStyle w:val="null3"/>
              <w:jc w:val="center"/>
            </w:pPr>
            <w:r>
              <w:rPr/>
              <w:t xml:space="preserve"> 1</w:t>
            </w:r>
          </w:p>
        </w:tc>
        <w:tc>
          <w:tcPr>
            <w:tcW w:type="dxa" w:w="4153"/>
          </w:tcPr>
          <w:p/>
        </w:tc>
      </w:tr>
      <w:tr>
        <w:tc>
          <w:tcPr>
            <w:tcW w:type="dxa" w:w="4153"/>
          </w:tcPr>
          <w:p>
            <w:pPr>
              <w:pStyle w:val="null3"/>
              <w:jc w:val="center"/>
            </w:pPr>
            <w:r>
              <w:rPr/>
              <w:t xml:space="preserve"> 2</w:t>
            </w:r>
          </w:p>
        </w:tc>
        <w:tc>
          <w:tcPr>
            <w:tcW w:type="dxa" w:w="4153"/>
          </w:tcPr>
          <w:p/>
        </w:tc>
      </w:tr>
      <w:tr>
        <w:tc>
          <w:tcPr>
            <w:tcW w:type="dxa" w:w="4153"/>
          </w:tcPr>
          <w:p>
            <w:pPr>
              <w:pStyle w:val="null3"/>
              <w:jc w:val="center"/>
            </w:pPr>
            <w:r>
              <w:rPr/>
              <w:t xml:space="preserve"> 3</w:t>
            </w:r>
          </w:p>
        </w:tc>
        <w:tc>
          <w:tcPr>
            <w:tcW w:type="dxa" w:w="4153"/>
          </w:tcPr>
          <w:p/>
        </w:tc>
      </w:tr>
    </w:tbl>
    <w:p>
      <w:pPr>
        <w:pStyle w:val="null3"/>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说明：本部分格式为供应商提交询问函、质疑函、投诉函时使用，不属于响应文件格式的组成部分。</w:t>
      </w:r>
    </w:p>
    <w:p>
      <w:pPr>
        <w:pStyle w:val="null3"/>
        <w:jc w:val="center"/>
        <w:outlineLvl w:val="3"/>
      </w:pPr>
      <w:r>
        <w:rPr>
          <w:sz w:val="24"/>
          <w:b/>
        </w:rPr>
        <w:t>询问函</w:t>
      </w:r>
    </w:p>
    <w:p>
      <w:pPr>
        <w:pStyle w:val="null3"/>
        <w:ind w:firstLine="480"/>
      </w:pPr>
      <w:r>
        <w:rPr/>
        <w:t>伟创工程咨询（广州）有限公司</w:t>
      </w:r>
    </w:p>
    <w:p>
      <w:pPr>
        <w:pStyle w:val="null3"/>
        <w:ind w:firstLine="480"/>
      </w:pPr>
      <w:r>
        <w:rPr/>
        <w:t>我单位已登记并准备参与“</w:t>
      </w:r>
      <w:r>
        <w:rPr/>
        <w:t>2024年至2025年阳春市国家卫生城市迎复审公共环境病媒生物防制项目</w:t>
      </w:r>
      <w:r>
        <w:rPr/>
        <w:t>”项目（采购项目编号：</w:t>
      </w:r>
      <w:r>
        <w:rPr/>
        <w:t>WC-ZFFW-24001</w:t>
      </w:r>
      <w:r>
        <w:rPr/>
        <w:t xml:space="preserve"> ）的响应活动，现有以下几个内容（或条款）存在疑问（或无法理解），特提出询问。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ind w:firstLine="480"/>
      </w:pPr>
      <w:r>
        <w:rPr/>
        <w:t>询问人：（公章）</w:t>
      </w:r>
    </w:p>
    <w:p>
      <w:pPr>
        <w:pStyle w:val="null3"/>
        <w:ind w:firstLine="480"/>
      </w:pPr>
      <w:r>
        <w:rPr/>
        <w:t>法定代表人（授权代表）：</w:t>
      </w:r>
    </w:p>
    <w:p>
      <w:pPr>
        <w:pStyle w:val="null3"/>
        <w:ind w:firstLine="480"/>
      </w:pPr>
      <w:r>
        <w:rPr/>
        <w:t>地址/邮编：</w:t>
      </w:r>
    </w:p>
    <w:p>
      <w:pPr>
        <w:pStyle w:val="null3"/>
        <w:ind w:firstLine="480"/>
      </w:pPr>
      <w:r>
        <w:rPr/>
        <w:t>电话/传真：</w:t>
      </w:r>
    </w:p>
    <w:p>
      <w:pPr>
        <w:pStyle w:val="null3"/>
        <w:jc w:val="right"/>
      </w:pPr>
      <w:r>
        <w:rPr/>
        <w:t xml:space="preserve"> 日  期：__________________</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质疑供应商：__________________________________________</w:t>
      </w:r>
    </w:p>
    <w:p>
      <w:pPr>
        <w:pStyle w:val="null3"/>
        <w:ind w:firstLine="480"/>
      </w:pPr>
      <w:r>
        <w:rPr/>
        <w:t>地址：_____________________邮编：_____________________</w:t>
      </w:r>
    </w:p>
    <w:p>
      <w:pPr>
        <w:pStyle w:val="null3"/>
        <w:ind w:firstLine="480"/>
      </w:pPr>
      <w:r>
        <w:rPr/>
        <w:t>联系：_____________________联系电话：_________________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磋商文件获取日期：_____________________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w:t>
      </w:r>
    </w:p>
    <w:p>
      <w:pPr>
        <w:pStyle w:val="null3"/>
        <w:ind w:firstLine="480"/>
      </w:pPr>
      <w:r>
        <w:rPr/>
        <w:t>……</w:t>
      </w:r>
    </w:p>
    <w:p>
      <w:pPr>
        <w:pStyle w:val="null3"/>
        <w:ind w:firstLine="480"/>
      </w:pPr>
      <w:r>
        <w:rPr/>
        <w:t>四、与质疑事项相关的质疑请求</w:t>
      </w:r>
    </w:p>
    <w:p>
      <w:pPr>
        <w:pStyle w:val="null3"/>
        <w:ind w:firstLine="480"/>
      </w:pPr>
      <w:r>
        <w:rPr/>
        <w:t>请求：</w:t>
      </w:r>
    </w:p>
    <w:p>
      <w:pPr>
        <w:pStyle w:val="null3"/>
        <w:jc w:val="right"/>
      </w:pPr>
      <w:r>
        <w:rPr/>
        <w:t xml:space="preserve"> 签字(签章)：_____________________ 公章：_____________________</w:t>
      </w:r>
    </w:p>
    <w:p>
      <w:pPr>
        <w:pStyle w:val="null3"/>
        <w:jc w:val="right"/>
      </w:pPr>
      <w:r>
        <w:rPr/>
        <w:t xml:space="preserve"> 日期：_____________________</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3.质疑供应商若对项目的某一采购包进行质疑，质疑函中应列明具体分包号。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磋商文件公告:</w:t>
      </w:r>
      <w:r>
        <w:rPr>
          <w:u w:val="single"/>
        </w:rPr>
        <w:t>是/否</w:t>
      </w:r>
      <w:r>
        <w:rPr/>
        <w:t xml:space="preserve"> 公告期限：</w:t>
      </w:r>
    </w:p>
    <w:p>
      <w:pPr>
        <w:pStyle w:val="null3"/>
        <w:ind w:firstLine="480"/>
      </w:pPr>
      <w:r>
        <w:rPr/>
        <w:t xml:space="preserve"> 采购结果公告:</w:t>
      </w:r>
      <w:r>
        <w:rPr>
          <w:u w:val="single"/>
        </w:rPr>
        <w:t>是/否</w:t>
      </w:r>
      <w:r>
        <w:rPr/>
        <w:t xml:space="preserve"> 公告期限：</w:t>
      </w:r>
    </w:p>
    <w:p>
      <w:pPr>
        <w:pStyle w:val="null3"/>
        <w:ind w:firstLine="480"/>
      </w:pPr>
      <w:r>
        <w:rPr/>
        <w:t xml:space="preserve"> 三、质疑基本情况</w:t>
      </w:r>
    </w:p>
    <w:p>
      <w:pPr>
        <w:pStyle w:val="null3"/>
        <w:ind w:firstLine="480"/>
      </w:pPr>
      <w:r>
        <w:rPr/>
        <w:t xml:space="preserve"> 投诉人于 ____年____月____日,向____________________提出质疑，质疑事项为：________________________________________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投诉事项1：____________________</w:t>
      </w:r>
    </w:p>
    <w:p>
      <w:pPr>
        <w:pStyle w:val="null3"/>
        <w:ind w:firstLine="480"/>
      </w:pPr>
      <w:r>
        <w:rPr/>
        <w:t xml:space="preserve"> 事实依据：____________________</w:t>
      </w:r>
    </w:p>
    <w:p>
      <w:pPr>
        <w:pStyle w:val="null3"/>
        <w:ind w:firstLine="480"/>
      </w:pPr>
      <w:r>
        <w:rPr/>
        <w:t xml:space="preserve"> 法律依据：____________________</w:t>
      </w:r>
    </w:p>
    <w:p>
      <w:pPr>
        <w:pStyle w:val="null3"/>
        <w:ind w:firstLine="480"/>
      </w:pPr>
      <w:r>
        <w:rPr/>
        <w:t xml:space="preserve"> 投诉事项2</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签字(签章)：_________公章________</w:t>
      </w:r>
    </w:p>
    <w:p>
      <w:pPr>
        <w:pStyle w:val="null3"/>
        <w:jc w:val="right"/>
      </w:pPr>
      <w:r>
        <w:rPr/>
        <w:t>日期：_____________________</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jc w:val="right"/>
      </w:pPr>
      <w:r>
        <w:rPr/>
        <w:t>编号：【】号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pStyle w:val="null3"/>
        <w:ind w:firstLine="480"/>
      </w:pPr>
      <w:r>
        <w:rPr/>
        <w:t>一、保证责任的情形及保证金额</w:t>
      </w:r>
    </w:p>
    <w:p>
      <w:pPr>
        <w:pStyle w:val="null3"/>
        <w:ind w:firstLine="480"/>
      </w:pPr>
      <w:r>
        <w:rPr/>
        <w:t>（一）在投标（响应）人出现下列情形之一时，我方承担保证责任：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（二）我方承担保证责任的最高金额为人民币__________元（大写）即本项目的投标（响应）保证金金额。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我方的保证期间为：本保函自__年__月__日起生效，有效期至开标日后的90天内。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因本保函发生的纠纷，由你我双方协商解决，协商不成的，通过诉讼程序解决，诉讼管辖地法院为________法院。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jc w:val="right"/>
      </w:pPr>
      <w:r>
        <w:rPr/>
        <w:t>联系人：________________联系电话：_______________</w:t>
      </w:r>
    </w:p>
    <w:p>
      <w:pPr>
        <w:pStyle w:val="null3"/>
        <w:jc w:val="right"/>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