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04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0"/>
        <w:gridCol w:w="850"/>
        <w:gridCol w:w="6803"/>
        <w:gridCol w:w="1"/>
      </w:tblGrid>
      <w:tr w14:paraId="2713D8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567" w:hRule="atLeast"/>
          <w:tblHeader/>
          <w:jc w:val="center"/>
        </w:trPr>
        <w:tc>
          <w:tcPr>
            <w:tcW w:w="850" w:type="dxa"/>
            <w:vAlign w:val="center"/>
          </w:tcPr>
          <w:p w14:paraId="4ED0CE10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  <w:t>参数</w:t>
            </w:r>
          </w:p>
          <w:p w14:paraId="3C5D62F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  <w:t>性质</w:t>
            </w:r>
          </w:p>
        </w:tc>
        <w:tc>
          <w:tcPr>
            <w:tcW w:w="850" w:type="dxa"/>
            <w:vAlign w:val="center"/>
          </w:tcPr>
          <w:p w14:paraId="413A9F52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6803" w:type="dxa"/>
            <w:vAlign w:val="center"/>
          </w:tcPr>
          <w:p w14:paraId="5032C59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1"/>
                <w:szCs w:val="21"/>
              </w:rPr>
              <w:t>具体技术(参数)要求</w:t>
            </w:r>
          </w:p>
        </w:tc>
      </w:tr>
      <w:tr w14:paraId="5E438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850" w:type="dxa"/>
            <w:vAlign w:val="center"/>
          </w:tcPr>
          <w:p w14:paraId="2C4F03F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46AE8EA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03" w:type="dxa"/>
            <w:vAlign w:val="top"/>
          </w:tcPr>
          <w:p w14:paraId="673846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一、采购项目主要工作及要求</w:t>
            </w:r>
          </w:p>
          <w:p w14:paraId="61ED70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1.阳春市区巩卫区域范围的病媒生物防制；</w:t>
            </w:r>
          </w:p>
          <w:p w14:paraId="6BD4DE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2.在巩卫区域内收集四害（老鼠、蟑螂等）尸体工作，并将尸体做无害化处理；</w:t>
            </w:r>
          </w:p>
          <w:p w14:paraId="6E5553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在巩卫区域消除鼠粪、鼠洞、鼠咬痕等痕迹工作；</w:t>
            </w:r>
          </w:p>
          <w:p w14:paraId="683B39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.在巩卫区域的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病媒生物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防制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设施（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1"/>
                <w:szCs w:val="21"/>
              </w:rPr>
              <w:t>防蚊闸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1"/>
                <w:szCs w:val="21"/>
                <w:lang w:eastAsia="zh-CN"/>
              </w:rPr>
              <w:t>除外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）进行查漏补缺，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缺多少补装多少；</w:t>
            </w:r>
          </w:p>
          <w:p w14:paraId="60EDDF0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巩卫区域内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四害密度达到国家卫生城市验收标准。</w:t>
            </w:r>
          </w:p>
          <w:p w14:paraId="48B380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二、采购项目相关条件配置要求和用药标准要求</w:t>
            </w:r>
          </w:p>
          <w:p w14:paraId="5413FF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1.中标单位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应在进场10天内在采购人所在地设置固定办公室，并设置固定联系电话，建立24小时值班制度，应付项目实施过程中突发事件的发生。</w:t>
            </w:r>
          </w:p>
          <w:p w14:paraId="4E4E8CD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2.人员要求：中标后15天内必须组建一支可完成项目任务的队伍，要求人员配置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人以上，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所有人员均需具备有害生物防制员国家职业技能（资格）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具备消毒员国家职业技能（资格）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人员不少于3人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52ED52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3.设备要求：中标单位应具有或不限于下述要求设备：应急车辆、热烟雾机、背负式超低容量喷雾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机、常量喷雾机等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专业设备。</w:t>
            </w:r>
          </w:p>
          <w:p w14:paraId="388B4A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4.用药标准：中标单位必须注重科学合理用药，不得使用假药、国家禁用的药物，并须确保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药物来源和质量正当可靠。</w:t>
            </w:r>
          </w:p>
          <w:p w14:paraId="122136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附表：为保证用药质量，确保巩卫工作顺利进行，使用药物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按照以下标准和要求执行。</w:t>
            </w:r>
          </w:p>
          <w:tbl>
            <w:tblPr>
              <w:tblStyle w:val="2"/>
              <w:tblW w:w="6520" w:type="dxa"/>
              <w:jc w:val="center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shd w:val="clear" w:color="auto" w:fill="FFFFFF" w:themeFill="background1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</w:tblPr>
            <w:tblGrid>
              <w:gridCol w:w="567"/>
              <w:gridCol w:w="1134"/>
              <w:gridCol w:w="3685"/>
              <w:gridCol w:w="1134"/>
            </w:tblGrid>
            <w:tr w14:paraId="05B310E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shd w:val="clear" w:color="auto" w:fill="FFFFFF" w:themeFill="background1"/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50651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6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C0D4E5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药品名称</w:t>
                  </w:r>
                </w:p>
              </w:tc>
              <w:tc>
                <w:tcPr>
                  <w:tcW w:w="2825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8CF613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有效成分及含量、剂型</w:t>
                  </w:r>
                </w:p>
              </w:tc>
              <w:tc>
                <w:tcPr>
                  <w:tcW w:w="869" w:type="pc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7A4D34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说明</w:t>
                  </w:r>
                </w:p>
              </w:tc>
            </w:tr>
            <w:tr w14:paraId="13A7798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4B9C24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105C98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溴鼠灵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7ADEC0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溴鼠灵≥0.005%，</w:t>
                  </w:r>
                </w:p>
                <w:p w14:paraId="16E5AD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：毒饵或饵剂</w:t>
                  </w:r>
                </w:p>
                <w:p w14:paraId="518654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备注：新鲜稻谷。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0C1AE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化学灭鼠。</w:t>
                  </w:r>
                </w:p>
              </w:tc>
            </w:tr>
            <w:tr w14:paraId="5E56DC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CD85AC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20FA1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敌隆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260C385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溴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敌隆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≥0.005%，</w:t>
                  </w:r>
                </w:p>
                <w:p w14:paraId="6440D6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：毒饵或饵剂</w:t>
                  </w:r>
                </w:p>
                <w:p w14:paraId="0B5DD8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备注：新鲜稻谷。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40D6A0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化学灭鼠。</w:t>
                  </w:r>
                </w:p>
              </w:tc>
            </w:tr>
            <w:tr w14:paraId="31046A0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5DED0D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48395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烯丙•氯菊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B81BF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氯菊酯与烯丙菊酯混配，总含量≥10%</w:t>
                  </w:r>
                </w:p>
                <w:p w14:paraId="375386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乳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油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 w14:paraId="2FFF4C4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空间喷雾灭蚊、蝇。</w:t>
                  </w:r>
                </w:p>
              </w:tc>
            </w:tr>
            <w:tr w14:paraId="5779F5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90ED56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6E1E10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残杀威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67AE158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残杀威与氯氟醚菊酯或四氟苯菊酯混配，总含量≥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  <w:p w14:paraId="10C191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乳油或微乳剂</w:t>
                  </w:r>
                </w:p>
              </w:tc>
              <w:tc>
                <w:tcPr>
                  <w:tcW w:w="869" w:type="pct"/>
                  <w:vMerge w:val="restart"/>
                  <w:tcBorders>
                    <w:top w:val="nil"/>
                    <w:left w:val="nil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6A5BC59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室内外灭成蚊、成蝇、蟑螂轮换使用。</w:t>
                  </w:r>
                </w:p>
              </w:tc>
            </w:tr>
            <w:tr w14:paraId="519C43A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17A0E20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60D76C3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苯氰.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残杀威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5B32A8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右旋苯醚氰菊酯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与残杀威混配，总含量≥10%</w:t>
                  </w:r>
                </w:p>
                <w:p w14:paraId="1DE545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乳油</w:t>
                  </w:r>
                </w:p>
              </w:tc>
              <w:tc>
                <w:tcPr>
                  <w:tcW w:w="869" w:type="pct"/>
                  <w:vMerge w:val="continue"/>
                  <w:tcBorders>
                    <w:left w:val="nil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A3C51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</w:tr>
            <w:tr w14:paraId="76FCABF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C4D66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09139D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氯氰•氯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菊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auto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93C78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氯氰菊酯与氯菊酯混配，总含量≥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  <w:p w14:paraId="364D06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微乳剂</w:t>
                  </w:r>
                </w:p>
              </w:tc>
              <w:tc>
                <w:tcPr>
                  <w:tcW w:w="869" w:type="pct"/>
                  <w:vMerge w:val="continue"/>
                  <w:tcBorders>
                    <w:left w:val="nil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4446407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</w:pPr>
                </w:p>
              </w:tc>
            </w:tr>
            <w:tr w14:paraId="06CAD27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08FEC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1062B48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高效氯氰菊酯</w:t>
                  </w:r>
                </w:p>
              </w:tc>
              <w:tc>
                <w:tcPr>
                  <w:tcW w:w="2825" w:type="pct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FB9369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  <w:lang w:val="en-US" w:eastAsia="zh-CN"/>
                    </w:rPr>
                    <w:t>高效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氯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氰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菊酯≥5%</w:t>
                  </w:r>
                </w:p>
                <w:p w14:paraId="5B3F5A5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悬浮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剂</w:t>
                  </w:r>
                </w:p>
              </w:tc>
              <w:tc>
                <w:tcPr>
                  <w:tcW w:w="869" w:type="pct"/>
                  <w:vMerge w:val="continue"/>
                  <w:tcBorders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22EAB2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</w:pPr>
                </w:p>
              </w:tc>
            </w:tr>
            <w:tr w14:paraId="09E114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23CCDCA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26C9060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杀蟑饵剂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3F93E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残杀威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.5%</w:t>
                  </w:r>
                </w:p>
                <w:p w14:paraId="321EF94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饵剂</w:t>
                  </w:r>
                </w:p>
              </w:tc>
              <w:tc>
                <w:tcPr>
                  <w:tcW w:w="869" w:type="pct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11BED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灭蟑。</w:t>
                  </w:r>
                </w:p>
              </w:tc>
            </w:tr>
            <w:tr w14:paraId="275A3E3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02A9D6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AFBBE6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杀虫热雾剂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781DA3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氯氰菊酯与残杀威混配，总含量≥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2.5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  <w:p w14:paraId="1C9446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热雾剂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697500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烟熏灭杀蟑、蚊。</w:t>
                  </w:r>
                </w:p>
              </w:tc>
            </w:tr>
            <w:tr w14:paraId="7EADC06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70FFAB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5712F5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杀虫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粉剂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40D310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吡虫啉含量≥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%</w:t>
                  </w:r>
                </w:p>
                <w:p w14:paraId="0939AF9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2E935C5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化学灭蚊、蝇幼虫药物。</w:t>
                  </w:r>
                </w:p>
              </w:tc>
            </w:tr>
            <w:tr w14:paraId="725F068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434" w:type="pc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4D0E4B3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884F4C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苏云金杆菌</w:t>
                  </w:r>
                </w:p>
              </w:tc>
              <w:tc>
                <w:tcPr>
                  <w:tcW w:w="2825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36B2F4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有效成分及含量：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苏云金杆菌以色列亚种≥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00ITU/毫克，</w:t>
                  </w:r>
                </w:p>
                <w:p w14:paraId="00319DC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both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剂型：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悬浮剂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或颗粒剂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 w:themeFill="background1"/>
                  <w:vAlign w:val="center"/>
                </w:tcPr>
                <w:p w14:paraId="21CD460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生物灭蚊幼药物。</w:t>
                  </w:r>
                </w:p>
              </w:tc>
            </w:tr>
          </w:tbl>
          <w:p w14:paraId="510939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响应文件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中必须提供上述药品的以下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项资料的扫描件或复印件并加盖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公章：</w:t>
            </w:r>
          </w:p>
          <w:p w14:paraId="3178A7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（1）农业部颁发的农药登记证。</w:t>
            </w:r>
          </w:p>
          <w:p w14:paraId="588544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（2）农业部门颁发的农药生产许可证（生产范围包括投标产品剂型）。</w:t>
            </w:r>
          </w:p>
          <w:p w14:paraId="5266A6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（3）企业标准信息公共服务平台备案的企业标准封面。</w:t>
            </w:r>
          </w:p>
          <w:p w14:paraId="41396B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序号1）-3）资料的备案须在有效期内，续展期顺延三个月。</w:t>
            </w:r>
          </w:p>
          <w:p w14:paraId="44E261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药品化学品安全技术说明书或农药产品安全数据单（MSDS）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05D3C8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（5）生产厂家供货承诺。</w:t>
            </w:r>
          </w:p>
          <w:p w14:paraId="5F4DE3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三、开展除“四害”服务所需的药物投放与喷洒要求：</w:t>
            </w:r>
          </w:p>
          <w:p w14:paraId="1DFED3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1.必须选择国家规定的低毒、低残留的药物。根据巩卫方案的工作内容及防治措施开展除四害工作。</w:t>
            </w:r>
          </w:p>
          <w:p w14:paraId="628130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灭鼠每月进行药物投放1次或以上；灭蚊、灭蝇、灭蟑5月至11月每月进行药物喷洒二次以上，孳生地灭蚊、蝇幼虫药物投放每两周一1次或以上；灭冬蚊、蝇在12月、1月、2月进行药物灭杀1次或以上（以上投放与喷洒需结合实际情况和成效适当增加）。3.该预算金额包括在巩卫区域的防蚊闸和毒鼠屋查漏补缺，缺多少补装多少；</w:t>
            </w:r>
          </w:p>
          <w:p w14:paraId="306724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3.根椐用药标准及要求，做出合理的用药方案。</w:t>
            </w:r>
          </w:p>
          <w:p w14:paraId="211133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.该预算金额包括在巩卫区域的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病媒生物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防制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设施（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防蚊闸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除外）进行查漏补缺，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缺多少补装多少；</w:t>
            </w:r>
          </w:p>
          <w:p w14:paraId="60219F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.确保服务区域内“四害”密度不超标，病媒防制工作达到巩固国家卫生城市验收标准和要求。</w:t>
            </w:r>
          </w:p>
          <w:p w14:paraId="2B1346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附表：</w:t>
            </w:r>
          </w:p>
          <w:tbl>
            <w:tblPr>
              <w:tblStyle w:val="2"/>
              <w:tblW w:w="651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</w:tblPr>
            <w:tblGrid>
              <w:gridCol w:w="852"/>
              <w:gridCol w:w="2547"/>
              <w:gridCol w:w="2268"/>
              <w:gridCol w:w="850"/>
            </w:tblGrid>
            <w:tr w14:paraId="22B913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454" w:hRule="atLeast"/>
                <w:tblHeader/>
                <w:jc w:val="center"/>
              </w:trPr>
              <w:tc>
                <w:tcPr>
                  <w:tcW w:w="653" w:type="pct"/>
                  <w:vAlign w:val="center"/>
                </w:tcPr>
                <w:p w14:paraId="619ABB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954" w:type="pct"/>
                  <w:vAlign w:val="center"/>
                </w:tcPr>
                <w:p w14:paraId="3BB68D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村（居）委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251EB84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总面积(平方米)</w:t>
                  </w:r>
                </w:p>
              </w:tc>
              <w:tc>
                <w:tcPr>
                  <w:tcW w:w="652" w:type="pct"/>
                  <w:vAlign w:val="center"/>
                </w:tcPr>
                <w:p w14:paraId="00AB5C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备注</w:t>
                  </w:r>
                </w:p>
              </w:tc>
            </w:tr>
            <w:tr w14:paraId="49C427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D3D5FD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954" w:type="pct"/>
                  <w:vAlign w:val="center"/>
                </w:tcPr>
                <w:p w14:paraId="3AA4CC3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春江居委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009667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B40BF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BDF97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2536B56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954" w:type="pct"/>
                  <w:vAlign w:val="center"/>
                </w:tcPr>
                <w:p w14:paraId="3B95D17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红旗居委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1ADD952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4C6FEF6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22C5E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44ED9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954" w:type="pct"/>
                  <w:vAlign w:val="center"/>
                </w:tcPr>
                <w:p w14:paraId="461430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县前居委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1482EEF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450000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5E3D8E4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22B0D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388E936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954" w:type="pct"/>
                  <w:vAlign w:val="center"/>
                </w:tcPr>
                <w:p w14:paraId="3B3BB7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前进居委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591187F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0EF14D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85A3D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2D6F79B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954" w:type="pct"/>
                  <w:vAlign w:val="center"/>
                </w:tcPr>
                <w:p w14:paraId="796E96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龙湾居委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4ED505F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049ED04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C322A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35D4BD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954" w:type="pct"/>
                  <w:vAlign w:val="center"/>
                </w:tcPr>
                <w:p w14:paraId="11D01C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东门居委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7CA16C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4889569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5A567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645D53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954" w:type="pct"/>
                  <w:vAlign w:val="center"/>
                </w:tcPr>
                <w:p w14:paraId="5501C08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镇北居委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7C36F9E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00BAEA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481D8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12331E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954" w:type="pct"/>
                  <w:vAlign w:val="center"/>
                </w:tcPr>
                <w:p w14:paraId="1D5C137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城云居委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60B714B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1800000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5691BE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F39B5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2C92692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954" w:type="pct"/>
                  <w:vAlign w:val="center"/>
                </w:tcPr>
                <w:p w14:paraId="0A4FC3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拥军居委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53134C9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80416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61C59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5F6B50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954" w:type="pct"/>
                  <w:vAlign w:val="center"/>
                </w:tcPr>
                <w:p w14:paraId="721A326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东湖居委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066E33D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51641A6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302D5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C424C5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954" w:type="pct"/>
                  <w:vAlign w:val="center"/>
                </w:tcPr>
                <w:p w14:paraId="3DC8806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城东居委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64BF6C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0EB1F1A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8258C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0A84BDA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954" w:type="pct"/>
                  <w:vAlign w:val="center"/>
                </w:tcPr>
                <w:p w14:paraId="2C3D1B8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兴华居委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681988D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1FBA894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3EE2E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3B8EE02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1954" w:type="pct"/>
                  <w:vAlign w:val="center"/>
                </w:tcPr>
                <w:p w14:paraId="5C8B75E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竹园居委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6DD7E58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1500000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60AC53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36B91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395B77A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1954" w:type="pct"/>
                  <w:vAlign w:val="center"/>
                </w:tcPr>
                <w:p w14:paraId="4A044DB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龙脊居委</w:t>
                  </w:r>
                </w:p>
              </w:tc>
              <w:tc>
                <w:tcPr>
                  <w:tcW w:w="1740" w:type="pct"/>
                  <w:vAlign w:val="center"/>
                </w:tcPr>
                <w:p w14:paraId="060136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55E3ECD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6B3CC0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2A4DBC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1954" w:type="pct"/>
                  <w:vAlign w:val="center"/>
                </w:tcPr>
                <w:p w14:paraId="1FC24F1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城南村委会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39BDBE1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420000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068B8E2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413FD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2C9DC56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1954" w:type="pct"/>
                  <w:vAlign w:val="center"/>
                </w:tcPr>
                <w:p w14:paraId="256283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城北村委会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1B6ABF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196D07E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B024D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205758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1954" w:type="pct"/>
                  <w:vAlign w:val="center"/>
                </w:tcPr>
                <w:p w14:paraId="15001B5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城郊村委会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75BCDA3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C69FF0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6A370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2F29E56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1954" w:type="pct"/>
                  <w:vAlign w:val="center"/>
                </w:tcPr>
                <w:p w14:paraId="2F3A078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垌尾村委会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3F01FD83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6BCB51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09D9F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7D1FC67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1954" w:type="pct"/>
                  <w:vAlign w:val="center"/>
                </w:tcPr>
                <w:p w14:paraId="3F20949D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西堤社区</w:t>
                  </w:r>
                </w:p>
              </w:tc>
              <w:tc>
                <w:tcPr>
                  <w:tcW w:w="1740" w:type="pct"/>
                  <w:vAlign w:val="center"/>
                </w:tcPr>
                <w:p w14:paraId="5E49C0B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7B662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15A4A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34973FA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954" w:type="pct"/>
                  <w:vAlign w:val="center"/>
                </w:tcPr>
                <w:p w14:paraId="45387BA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绵登社区</w:t>
                  </w:r>
                </w:p>
              </w:tc>
              <w:tc>
                <w:tcPr>
                  <w:tcW w:w="1740" w:type="pct"/>
                  <w:vAlign w:val="center"/>
                </w:tcPr>
                <w:p w14:paraId="3C272EF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2800000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FE925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4A293A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86B3FB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1954" w:type="pct"/>
                  <w:vAlign w:val="center"/>
                </w:tcPr>
                <w:p w14:paraId="0BEBA44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泰安社区</w:t>
                  </w:r>
                </w:p>
              </w:tc>
              <w:tc>
                <w:tcPr>
                  <w:tcW w:w="1740" w:type="pct"/>
                  <w:vAlign w:val="center"/>
                </w:tcPr>
                <w:p w14:paraId="643B57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1500000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75EFF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B2F8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59D7B9F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1954" w:type="pct"/>
                  <w:vAlign w:val="center"/>
                </w:tcPr>
                <w:p w14:paraId="02F957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站前社区</w:t>
                  </w:r>
                </w:p>
              </w:tc>
              <w:tc>
                <w:tcPr>
                  <w:tcW w:w="1740" w:type="pct"/>
                  <w:vAlign w:val="center"/>
                </w:tcPr>
                <w:p w14:paraId="1A8568A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6EC953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DB4C8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627AA7E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1954" w:type="pct"/>
                  <w:vAlign w:val="center"/>
                </w:tcPr>
                <w:p w14:paraId="220D751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渔业社区</w:t>
                  </w:r>
                </w:p>
              </w:tc>
              <w:tc>
                <w:tcPr>
                  <w:tcW w:w="1740" w:type="pct"/>
                  <w:vAlign w:val="center"/>
                </w:tcPr>
                <w:p w14:paraId="2F78F1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7738588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44298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6CC8F6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1954" w:type="pct"/>
                  <w:vAlign w:val="center"/>
                </w:tcPr>
                <w:p w14:paraId="77E02F5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升平村委会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642E890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730000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CC4713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DDFA1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6B3F2FC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1954" w:type="pct"/>
                  <w:vAlign w:val="center"/>
                </w:tcPr>
                <w:p w14:paraId="3DA8200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龙岩村委会</w:t>
                  </w:r>
                </w:p>
              </w:tc>
              <w:tc>
                <w:tcPr>
                  <w:tcW w:w="1740" w:type="pct"/>
                  <w:vAlign w:val="center"/>
                </w:tcPr>
                <w:p w14:paraId="188863E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FA9FF3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B14BF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653" w:type="pct"/>
                  <w:vAlign w:val="center"/>
                </w:tcPr>
                <w:p w14:paraId="43EC469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1954" w:type="pct"/>
                  <w:vAlign w:val="center"/>
                </w:tcPr>
                <w:p w14:paraId="617CFFE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大安管理处</w:t>
                  </w:r>
                </w:p>
              </w:tc>
              <w:tc>
                <w:tcPr>
                  <w:tcW w:w="1740" w:type="pct"/>
                  <w:vAlign w:val="center"/>
                </w:tcPr>
                <w:p w14:paraId="6F98160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600000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3538C5B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17A7CD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607" w:type="pct"/>
                  <w:gridSpan w:val="2"/>
                  <w:vAlign w:val="center"/>
                </w:tcPr>
                <w:p w14:paraId="30A3E0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小计</w:t>
                  </w:r>
                </w:p>
              </w:tc>
              <w:tc>
                <w:tcPr>
                  <w:tcW w:w="1740" w:type="pct"/>
                  <w:vAlign w:val="center"/>
                </w:tcPr>
                <w:p w14:paraId="6586940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1"/>
                      <w:szCs w:val="21"/>
                    </w:rPr>
                    <w:t>35000000</w:t>
                  </w:r>
                </w:p>
              </w:tc>
              <w:tc>
                <w:tcPr>
                  <w:tcW w:w="652" w:type="pct"/>
                  <w:vAlign w:val="center"/>
                </w:tcPr>
                <w:p w14:paraId="6E1D72C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 w14:paraId="038F8FA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72CA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 w14:paraId="0B988A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说明</w:t>
            </w:r>
          </w:p>
        </w:tc>
        <w:tc>
          <w:tcPr>
            <w:tcW w:w="7654" w:type="dxa"/>
            <w:gridSpan w:val="3"/>
            <w:vAlign w:val="center"/>
          </w:tcPr>
          <w:p w14:paraId="20346C4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打“★”号条款为实质性条款，若有任何一条负偏离或不满足则导致投标（响应）无效。</w:t>
            </w:r>
          </w:p>
          <w:p w14:paraId="22F1DF5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打“▲”号条款为重要参数（如有），若有部分“▲”条款未响应或不满足，将根据评审要求影响其得分，但不作为无效投标（响应）条款。</w:t>
            </w:r>
          </w:p>
        </w:tc>
      </w:tr>
    </w:tbl>
    <w:p w14:paraId="27C5199F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dmZmFjZTcwYTZkNzhmMGQzNWFhNzY3YWQwZjMifQ=="/>
  </w:docVars>
  <w:rsids>
    <w:rsidRoot w:val="00000000"/>
    <w:rsid w:val="19D56A30"/>
    <w:rsid w:val="697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2024-08-15T08:37:55Z</dcterms:created>
  <dc:creator>Administrator</dc:creator>
  <cp:lastModifiedBy>Administrator</cp:lastModifiedBy>
  <dcterms:modified xsi:type="dcterms:W3CDTF">2024-08-15T08:38:15Z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41280AECF73045A2AF6E990CE84D0F48_12</vt:lpwstr>
  </property>
</Properties>
</file>