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2024年诏安县红火蚁疫情专业化防控</w:t>
      </w:r>
    </w:p>
    <w:p>
      <w:pPr>
        <w:pStyle w:val="null3"/>
        <w:jc w:val="center"/>
        <w:outlineLvl w:val="2"/>
      </w:pPr>
      <w:r>
        <w:rPr>
          <w:sz w:val="28"/>
          <w:b/>
        </w:rPr>
        <w:t>备案编号：</w:t>
      </w:r>
      <w:r>
        <w:rPr>
          <w:sz w:val="28"/>
          <w:b/>
        </w:rPr>
        <w:t>CGXM-2024-350624-00315[2024]00213</w:t>
      </w:r>
    </w:p>
    <w:p>
      <w:pPr>
        <w:pStyle w:val="null3"/>
        <w:jc w:val="center"/>
        <w:outlineLvl w:val="2"/>
      </w:pPr>
      <w:r>
        <w:rPr>
          <w:sz w:val="28"/>
          <w:b/>
        </w:rPr>
        <w:t>项目编号：</w:t>
      </w:r>
      <w:r>
        <w:rPr>
          <w:sz w:val="28"/>
          <w:b/>
        </w:rPr>
        <w:t>[350624]LYWH[CS]2024001</w:t>
      </w:r>
    </w:p>
    <w:p>
      <w:pPr>
        <w:pStyle w:val="null3"/>
        <w:jc w:val="center"/>
        <w:outlineLvl w:val="2"/>
      </w:pPr>
      <w:r>
        <w:rPr>
          <w:sz w:val="28"/>
          <w:b/>
        </w:rPr>
        <w:t>采购人：</w:t>
      </w:r>
      <w:r>
        <w:rPr>
          <w:sz w:val="28"/>
          <w:b/>
        </w:rPr>
        <w:t>诏安县农业农村局</w:t>
      </w:r>
    </w:p>
    <w:p>
      <w:pPr>
        <w:pStyle w:val="null3"/>
        <w:jc w:val="center"/>
        <w:outlineLvl w:val="2"/>
      </w:pPr>
      <w:r>
        <w:rPr>
          <w:sz w:val="28"/>
          <w:b/>
        </w:rPr>
        <w:t>代理机构：</w:t>
      </w:r>
      <w:r>
        <w:rPr>
          <w:sz w:val="28"/>
          <w:b/>
        </w:rPr>
        <w:t>万河建木工程管理有限公司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诏安县农业农村局</w:t>
      </w:r>
      <w:r>
        <w:rPr/>
        <w:t xml:space="preserve"> 已根据政府采购相关法律法规，经相应程序确定采用 竞争性磋商 方式组织 </w:t>
      </w:r>
      <w:r>
        <w:rPr/>
        <w:t>2024年诏安县红火蚁疫情专业化防控</w:t>
      </w:r>
      <w:r>
        <w:rPr/>
        <w:t xml:space="preserve"> 项目（以下简称：“本项目”）的政府采购活动， </w:t>
      </w:r>
      <w:r>
        <w:rPr/>
        <w:t>现欢迎国内合格的供应商前来参加。</w:t>
      </w:r>
      <w:r>
        <w:rPr/>
        <w:t xml:space="preserve"> 本项目由采购人委托 </w:t>
      </w:r>
      <w:r>
        <w:rPr/>
        <w:t>万河建木工程管理有限公司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2024年诏安县红火蚁疫情专业化防控</w:t>
      </w:r>
    </w:p>
    <w:p>
      <w:pPr>
        <w:pStyle w:val="null3"/>
        <w:ind w:firstLine="480"/>
        <w:jc w:val="left"/>
        <w:outlineLvl w:val="2"/>
      </w:pPr>
      <w:r>
        <w:rPr>
          <w:sz w:val="28"/>
          <w:b/>
        </w:rPr>
        <w:t>2.备案编号</w:t>
      </w:r>
      <w:r>
        <w:rPr>
          <w:sz w:val="28"/>
          <w:b/>
        </w:rPr>
        <w:t xml:space="preserve">： </w:t>
      </w:r>
      <w:r>
        <w:rPr>
          <w:sz w:val="28"/>
          <w:b/>
        </w:rPr>
        <w:t>CGXM-2024-350624-00315[2024]00213</w:t>
      </w:r>
    </w:p>
    <w:p>
      <w:pPr>
        <w:pStyle w:val="null3"/>
        <w:ind w:firstLine="480"/>
        <w:jc w:val="left"/>
        <w:outlineLvl w:val="2"/>
      </w:pPr>
      <w:r>
        <w:rPr>
          <w:sz w:val="28"/>
          <w:b/>
        </w:rPr>
        <w:t>3.项目编号</w:t>
      </w:r>
      <w:r>
        <w:rPr>
          <w:sz w:val="28"/>
          <w:b/>
        </w:rPr>
        <w:t xml:space="preserve">： </w:t>
      </w:r>
      <w:r>
        <w:rPr>
          <w:sz w:val="28"/>
          <w:b/>
        </w:rPr>
        <w:t>[350624]LYWH[CS]2024001</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940,000.00</w:t>
      </w:r>
    </w:p>
    <w:p>
      <w:pPr>
        <w:pStyle w:val="null3"/>
        <w:jc w:val="left"/>
      </w:pPr>
      <w:r>
        <w:rPr/>
        <w:t>采购包最高限价（元）: 940,000.00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2024年诏安县红火蚁疫情专业化防控</w:t>
            </w:r>
          </w:p>
        </w:tc>
        <w:tc>
          <w:tcPr>
            <w:tcW w:type="dxa" w:w="1187"/>
          </w:tcPr>
          <w:p>
            <w:pPr>
              <w:pStyle w:val="null3"/>
              <w:jc w:val="right"/>
            </w:pPr>
            <w:r>
              <w:rPr/>
              <w:t>1.00</w:t>
            </w:r>
          </w:p>
        </w:tc>
        <w:tc>
          <w:tcPr>
            <w:tcW w:type="dxa" w:w="1187"/>
          </w:tcPr>
          <w:p>
            <w:pPr>
              <w:pStyle w:val="null3"/>
              <w:jc w:val="right"/>
            </w:pPr>
            <w:r>
              <w:rPr/>
              <w:t>940,000.00</w:t>
            </w:r>
          </w:p>
        </w:tc>
        <w:tc>
          <w:tcPr>
            <w:tcW w:type="dxa" w:w="1187"/>
          </w:tcPr>
          <w:p>
            <w:pPr>
              <w:pStyle w:val="null3"/>
              <w:jc w:val="left"/>
            </w:pPr>
            <w:r>
              <w:rPr/>
              <w:t>项</w:t>
            </w:r>
          </w:p>
        </w:tc>
        <w:tc>
          <w:tcPr>
            <w:tcW w:type="dxa" w:w="1187"/>
          </w:tcPr>
          <w:p>
            <w:pPr>
              <w:pStyle w:val="null3"/>
              <w:jc w:val="left"/>
            </w:pPr>
            <w:r>
              <w:rPr/>
              <w:t>农、林、牧、渔业</w:t>
            </w:r>
          </w:p>
        </w:tc>
        <w:tc>
          <w:tcPr>
            <w:tcW w:type="dxa" w:w="1187"/>
          </w:tcPr>
          <w:p>
            <w:pPr>
              <w:pStyle w:val="null3"/>
              <w:jc w:val="left"/>
            </w:pPr>
            <w:r>
              <w:rPr/>
              <w:t>否</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否。</w:t>
      </w:r>
    </w:p>
    <w:p>
      <w:pPr>
        <w:pStyle w:val="null3"/>
        <w:ind w:firstLine="960"/>
        <w:jc w:val="left"/>
      </w:pPr>
      <w:r>
        <w:rPr/>
        <w:t>节能产品：</w:t>
      </w:r>
      <w:r>
        <w:rPr/>
        <w:t>否。</w:t>
      </w:r>
    </w:p>
    <w:p>
      <w:pPr>
        <w:pStyle w:val="null3"/>
        <w:ind w:firstLine="960"/>
        <w:jc w:val="left"/>
      </w:pPr>
      <w:r>
        <w:rPr/>
        <w:t>环境标志产品：</w:t>
      </w:r>
      <w:r>
        <w:rPr/>
        <w:t>否。</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补充说明</w:t>
            </w:r>
          </w:p>
        </w:tc>
        <w:tc>
          <w:tcPr>
            <w:tcW w:type="dxa" w:w="4614"/>
          </w:tcPr>
          <w:p>
            <w:pPr>
              <w:pStyle w:val="null3"/>
              <w:jc w:val="left"/>
            </w:pPr>
            <w:r>
              <w:rPr/>
              <w:t>①、关于提供财务报告或资信证明的补充说明：磋商供应商选择提供资信证明的须附上其开户（基本存款账户）许可证清晰的复印件（或扫描件）或其基本存款账户银行出具的《基本存款账户信息》清晰的复印件（或扫描件）；招标文件有不同表述的以本条为准。 ②、依法缴纳社会保障资金的相关材料：提供投标截止时间前六个月任一个月（不含投标当月）的依法缴纳社会保障资金的凭据(提供依法缴纳社会保障资金的相关凭证。（根据《中华人民共和国社会保险法》第十条、二十三条、三十三条、四十四条、五十三条的规定，职工缴交社会保障资金应当包含基本养老保险、基本医疗保险、工伤保险、失业保险、生育保险。)；磋商供应商提供的依法缴纳社会保障资金的凭据应含缴纳基本养老保险、基本医疗保险、工伤保险、失业保险和生育保险的凭证。因相关政策原因（如相关险种合并等），基本医疗保险和生育保险合并的地区，可以不提供生育保险这项。 ③、注：磋商供应商提供的相应证明材料复印件均应符合：内容完整、清晰、整洁，并由磋商供应商加盖其单位公章。其他资格项下已提供的可不重复提供。材料不全或未提供视为无效投标。本招标文件若有与此处补充说明不同的，以此处的要求为准。</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诏安县农业农村局</w:t>
      </w:r>
    </w:p>
    <w:p>
      <w:pPr>
        <w:pStyle w:val="null3"/>
        <w:ind w:firstLine="960"/>
        <w:jc w:val="left"/>
      </w:pPr>
      <w:r>
        <w:rPr/>
        <w:t xml:space="preserve"> 地址： </w:t>
      </w:r>
      <w:r>
        <w:rPr/>
        <w:t>诏安县南诏镇玉峰路229号</w:t>
      </w:r>
    </w:p>
    <w:p>
      <w:pPr>
        <w:pStyle w:val="null3"/>
        <w:jc w:val="left"/>
      </w:pPr>
      <w:r>
        <w:rPr/>
        <w:t xml:space="preserve"> 邮编： </w:t>
      </w:r>
      <w:r>
        <w:rPr/>
        <w:t>363500</w:t>
      </w:r>
    </w:p>
    <w:p>
      <w:pPr>
        <w:pStyle w:val="null3"/>
        <w:jc w:val="left"/>
      </w:pPr>
      <w:r>
        <w:rPr/>
        <w:t xml:space="preserve"> 联系人： </w:t>
      </w:r>
      <w:r>
        <w:rPr/>
        <w:t>林先生</w:t>
      </w:r>
    </w:p>
    <w:p>
      <w:pPr>
        <w:pStyle w:val="null3"/>
        <w:jc w:val="left"/>
      </w:pPr>
      <w:r>
        <w:rPr/>
        <w:t xml:space="preserve"> 联系电话： </w:t>
      </w:r>
      <w:r>
        <w:rPr/>
        <w:t>13459675899</w:t>
      </w:r>
    </w:p>
    <w:p>
      <w:pPr>
        <w:pStyle w:val="null3"/>
        <w:ind w:firstLine="480"/>
        <w:jc w:val="left"/>
        <w:outlineLvl w:val="2"/>
      </w:pPr>
      <w:r>
        <w:rPr>
          <w:sz w:val="28"/>
          <w:b/>
        </w:rPr>
        <w:t>14、代理机构</w:t>
      </w:r>
      <w:r>
        <w:rPr>
          <w:sz w:val="28"/>
          <w:b/>
        </w:rPr>
        <w:t>：</w:t>
      </w:r>
      <w:r>
        <w:rPr>
          <w:sz w:val="28"/>
          <w:b/>
        </w:rPr>
        <w:t>万河建木工程管理有限公司</w:t>
      </w:r>
    </w:p>
    <w:p>
      <w:pPr>
        <w:pStyle w:val="null3"/>
        <w:ind w:firstLine="960"/>
        <w:jc w:val="left"/>
      </w:pPr>
      <w:r>
        <w:rPr/>
        <w:t xml:space="preserve"> 地址： </w:t>
      </w:r>
      <w:r>
        <w:rPr/>
        <w:t>福建省龙岩市新罗区西陂街道华莲社区龙岩大道中278号E幢1105室</w:t>
      </w:r>
    </w:p>
    <w:p>
      <w:pPr>
        <w:pStyle w:val="null3"/>
        <w:jc w:val="left"/>
      </w:pPr>
      <w:r>
        <w:rPr/>
        <w:t xml:space="preserve"> 邮编： </w:t>
      </w:r>
      <w:r>
        <w:rPr/>
        <w:t>364000</w:t>
      </w:r>
    </w:p>
    <w:p>
      <w:pPr>
        <w:pStyle w:val="null3"/>
        <w:jc w:val="left"/>
      </w:pPr>
      <w:r>
        <w:rPr/>
        <w:t xml:space="preserve"> 联系人： </w:t>
      </w:r>
      <w:r>
        <w:rPr/>
        <w:t>小吴</w:t>
      </w:r>
    </w:p>
    <w:p>
      <w:pPr>
        <w:pStyle w:val="null3"/>
        <w:jc w:val="left"/>
      </w:pPr>
      <w:r>
        <w:rPr/>
        <w:t xml:space="preserve"> 联系电话： </w:t>
      </w:r>
      <w:r>
        <w:rPr/>
        <w:t>19959620443</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万河建木工程管理有限公司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补充说明</w:t>
                  </w:r>
                </w:p>
              </w:tc>
              <w:tc>
                <w:tcPr>
                  <w:tcW w:type="dxa" w:w="1418"/>
                </w:tcPr>
                <w:p>
                  <w:pPr>
                    <w:pStyle w:val="null3"/>
                    <w:jc w:val="left"/>
                  </w:pPr>
                  <w:r>
                    <w:rPr/>
                    <w:t>①、关于提供财务报告或资信证明的补充说明：磋商供应商选择提供资信证明的须附上其开户（基本存款账户）许可证清晰的复印件（或扫描件）或其基本存款账户银行出具的《基本存款账户信息》清晰的复印件（或扫描件）；招标文件有不同表述的以本条为准。 ②、依法缴纳社会保障资金的相关材料：提供投标截止时间前六个月任一个月（不含投标当月）的依法缴纳社会保障资金的凭据(提供依法缴纳社会保障资金的相关凭证。（根据《中华人民共和国社会保险法》第十条、二十三条、三十三条、四十四条、五十三条的规定，职工缴交社会保障资金应当包含基本养老保险、基本医疗保险、工伤保险、失业保险、生育保险。)；磋商供应商提供的依法缴纳社会保障资金的凭据应含缴纳基本养老保险、基本医疗保险、工伤保险、失业保险和生育保险的凭证。因相关政策原因（如相关险种合并等），基本医疗保险和生育保险合并的地区，可以不提供生育保险这项。 ③、注：磋商供应商提供的相应证明材料复印件均应符合：内容完整、清晰、整洁，并由磋商供应商加盖其单位公章。其他资格项下已提供的可不重复提供。材料不全或未提供视为无效投标。本招标文件若有与此处补充说明不同的，以此处的要求为准。</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本项目不收取磋商保证金。</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诏安县政府采购委员会办公室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以差额定率累进法计算，收费标准以单个合同包结算总金额为基数，基数≤100万元部分，按1.5%计取（本项目最终合同结算价为94万元整）。成交供应商在领取中标通知书前，以转账或汇款方式提交至代理机构指定账户，请磋商供应商报价时予以充分考虑。</w:t>
            </w:r>
          </w:p>
          <w:p>
            <w:pPr>
              <w:pStyle w:val="null3"/>
              <w:jc w:val="left"/>
            </w:pPr>
            <w:r>
              <w:rPr/>
              <w:t xml:space="preserve"> (2)其他：</w:t>
            </w:r>
          </w:p>
          <w:p>
            <w:pPr>
              <w:pStyle w:val="null3"/>
              <w:jc w:val="left"/>
            </w:pPr>
            <w:r>
              <w:rPr/>
              <w:t>/</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自中标通知书发出之日起30个日历日内。（中标通知书与结果公告同时发出）</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w:t>
            </w:r>
            <w:r>
              <w:rPr/>
              <w:t>的内容修正为下列内容：</w:t>
            </w:r>
          </w:p>
          <w:p>
            <w:pPr>
              <w:pStyle w:val="null3"/>
              <w:jc w:val="left"/>
            </w:pPr>
            <w:r>
              <w:rPr/>
              <w:t>/</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12.1、开标后，如个别磋商供应商开标报价明显低于其它磋商供应商报价的，评标时，评委会将会对价格合理性进行评估，根据《政府采购货物和服务招标投标管理办法》87号令第六十条的规定要求磋商供应商在评标现场合理的时间内（一般在接到通知的半小时内）提供书面说明，必要时还应要求其一并提交有关证明材料；磋商供应商不能证明其报价合理性的，评标委员会应将其作为投标无效处理。建议磋商供应商提前评估其报价的合理性，提早准备相应材料，以便出现上述情形时能在规定时间内提供。 12.2、质疑受理的其它要求：a、磋商供应商递交质疑函时还应出具磋商供应商已在代理机构对本项目进行报名的证明文件（体现报名时间），否则将不被认定为潜在磋商供应商，其质疑将不予受理。【招标文件首次下载之日为磋商供应商在系统成功报名之日。】b、磋商供应商为法人或其他组织的，质疑函需逐页加盖磋商供应商单位公章；若本项目接受自然人参加投标且质疑人为自然人的，质疑函需质疑人本人逐页签名。否则质疑将不予受理。c、磋商供应商质疑应在法定质疑期内一次性提出针对同一采购程序环节的质疑，同一采购程序环节不接受多次质疑。d、磋商供应商对本项目招标文件有任何疑议或不认同之处，需在法定时间内按规定向采购代理机构以现场方式提出质疑，否则视为磋商供应商接受招标文件的规定。 12.3、磋商供应商须知补充条款（与招标文件其它地方有区别的，以本条为准）：a、解释权：采购代理机构拥有 本项目招标文件的最终解释权。b、所有资格证明文件应是最新、有效、完整、清晰的。有年检要求的应 符合规定。有变更事宜的，变更文件应附齐全。资格审查小组对磋商供应商所提供的资格类文件仅负审核责任。即使 其所提交的资格类文件通过了审核，在评标过程中乃至确定中标人后，如发现所提供的资格类文件不合法或不真 实，仍可废除其中标资格并追 究中标人的法律责任。c、投标文件必须严格按照招标文件格式要求制作 并提供，否则不符合文件将被视为未提供或不满足，资格类证明文件不符的， 投标无效。招标文件有不同表述的以本条为准。 12.4、①、本项目可远程开标（即不见面开标，磋商供应商可自行选择是否到达现场开标），磋商供应商选择到现场的投标单位被授权人应携带CA证书到现场。磋商供应商选择不到场的，需于投标文件递交截止时间，磋商供应商自行登录采购系统（登录后点击“开标大厅”，选择本项目，点击“开标”），线上参与开标流程，并按规定在相应时间段内对投标文件进行远程解密、远程签章，具体操作详见福建省政府采购网相关操作手册。②、磋商供应商应确保自身设施、设备、网络等状况良好，因磋商供应商自身原因造成无法正常观看开标流程、远程解密或签章的，后果由磋商供应商自行承担，未在操作时限内完成投标文件的解密，逾期未解密的，视为自行放弃。③、根据网上开标室解密时间提示，在解密时间明确下达之后30分钟内进行解密，否则视为撤销其投标文件。解密结束后，磋商供应商应当对开标结果进行签章，并在远程签章开放后15分钟内完成，逾期未签章的视为认同开标结果。④、远程解密及远程签章的开放起始时间均在开标过程中临时开启，请磋商供应商务必密切关注实时开标流程，并根据流程在系统内按时操作，否则产生的后果由磋商供应商自行承担。⑤、在开标过程中，因系统故障等导致无法继续进行开标的，磋商供应商须配合等待故障处理，待故障解除后继续开标，否则产生的后果由磋商供应商自行承担。⑥、本项目技术评分项中含有开标现场演示，若因磋商供应商选择远程开标未到开标现场演示的视为放弃演示加分，产生的后果由磋商供应商自行承担。 12.5、在电子投标文件中，须逐页使用磋商供应商的CA证书完成加盖电子印章，否则该投标文件无效，相应磋商供应商的投标文件将被否决。</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满分为70.0000分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技术1</w:t>
            </w:r>
          </w:p>
        </w:tc>
        <w:tc>
          <w:tcPr>
            <w:tcW w:type="dxa" w:w="831"/>
          </w:tcPr>
          <w:p>
            <w:pPr>
              <w:pStyle w:val="null3"/>
              <w:jc w:val="right"/>
            </w:pPr>
            <w:r>
              <w:rPr/>
              <w:t>37.0000</w:t>
            </w:r>
          </w:p>
        </w:tc>
        <w:tc>
          <w:tcPr>
            <w:tcW w:type="dxa" w:w="4153"/>
          </w:tcPr>
          <w:p>
            <w:pPr>
              <w:pStyle w:val="null3"/>
              <w:jc w:val="left"/>
            </w:pPr>
            <w:r>
              <w:rPr/>
              <w:t>根据磋商供应商对招标文件第三章招标内容及要求“二、技术和服务要求”的逐项响应情况由评委进行评分，全部满足招标文件要求的37分，正偏离不加分；每负偏离一项扣2分扣完为止；带“★”的参数不允许任何偏离，否则按照无效投标处理。【注：供应商应在技术和服务要求响应表中对偏离情况做出完整说明，若有缺项、漏项的该缺漏项视为负偏离。招标文件中技术指标若有要求供应商提供相应佐证材料的)，供应商未提供相应佐证材料或者供应商的响应承诺与其佐证材料不一致的，视为负偏离。】</w:t>
            </w:r>
          </w:p>
        </w:tc>
      </w:tr>
      <w:tr>
        <w:tc>
          <w:tcPr>
            <w:tcW w:type="dxa" w:w="3322"/>
          </w:tcPr>
          <w:p>
            <w:pPr>
              <w:pStyle w:val="null3"/>
              <w:jc w:val="left"/>
            </w:pPr>
            <w:r>
              <w:rPr/>
              <w:t>技术2</w:t>
            </w:r>
          </w:p>
        </w:tc>
        <w:tc>
          <w:tcPr>
            <w:tcW w:type="dxa" w:w="831"/>
          </w:tcPr>
          <w:p>
            <w:pPr>
              <w:pStyle w:val="null3"/>
              <w:jc w:val="right"/>
            </w:pPr>
            <w:r>
              <w:rPr/>
              <w:t>3.0000</w:t>
            </w:r>
          </w:p>
        </w:tc>
        <w:tc>
          <w:tcPr>
            <w:tcW w:type="dxa" w:w="4153"/>
          </w:tcPr>
          <w:p>
            <w:pPr>
              <w:pStyle w:val="null3"/>
              <w:jc w:val="left"/>
            </w:pPr>
            <w:r>
              <w:rPr/>
              <w:t>根据磋商供应商针对本项目提供的整体技术服务方案情况进行评审：①方案整体思路清晰、内容描述完整、逻辑性强的得3分；②方案整体思路较清晰、内容描述较完整、逻辑性较强的得2分；③方案整体思路一般、内容描述简短、逻辑性一般但可行的得1分；④方案不合理或未提供方案的本项不得分。</w:t>
            </w:r>
          </w:p>
        </w:tc>
      </w:tr>
      <w:tr>
        <w:tc>
          <w:tcPr>
            <w:tcW w:type="dxa" w:w="3322"/>
          </w:tcPr>
          <w:p>
            <w:pPr>
              <w:pStyle w:val="null3"/>
              <w:jc w:val="left"/>
            </w:pPr>
            <w:r>
              <w:rPr/>
              <w:t>技术3</w:t>
            </w:r>
          </w:p>
        </w:tc>
        <w:tc>
          <w:tcPr>
            <w:tcW w:type="dxa" w:w="831"/>
          </w:tcPr>
          <w:p>
            <w:pPr>
              <w:pStyle w:val="null3"/>
              <w:jc w:val="right"/>
            </w:pPr>
            <w:r>
              <w:rPr/>
              <w:t>3.0000</w:t>
            </w:r>
          </w:p>
        </w:tc>
        <w:tc>
          <w:tcPr>
            <w:tcW w:type="dxa" w:w="4153"/>
          </w:tcPr>
          <w:p>
            <w:pPr>
              <w:pStyle w:val="null3"/>
              <w:jc w:val="left"/>
            </w:pPr>
            <w:r>
              <w:rPr/>
              <w:t>根据磋商供应商通过自行对本项目防治区域的实地考察，根据项目地的本县环境情况，防控区域内农田和其它地的不同防治要求，制定详细的针对性防治措施及图表，根据防治措施及图表制作情况进行评审：①措施及图表描述完整详细，具有针对性，可行性强的得3分；②措施及图表描述较完整，针对性和可行性较强的得2分；③措施及图表描述简短，针对性和可行性一般的得1分；④措施及图表描述不合理或未齐全提供措施及图表描述的本项不得分。</w:t>
            </w:r>
          </w:p>
        </w:tc>
      </w:tr>
      <w:tr>
        <w:tc>
          <w:tcPr>
            <w:tcW w:type="dxa" w:w="3322"/>
          </w:tcPr>
          <w:p>
            <w:pPr>
              <w:pStyle w:val="null3"/>
              <w:jc w:val="left"/>
            </w:pPr>
            <w:r>
              <w:rPr/>
              <w:t>技术4</w:t>
            </w:r>
          </w:p>
        </w:tc>
        <w:tc>
          <w:tcPr>
            <w:tcW w:type="dxa" w:w="831"/>
          </w:tcPr>
          <w:p>
            <w:pPr>
              <w:pStyle w:val="null3"/>
              <w:jc w:val="right"/>
            </w:pPr>
            <w:r>
              <w:rPr/>
              <w:t>3.0000</w:t>
            </w:r>
          </w:p>
        </w:tc>
        <w:tc>
          <w:tcPr>
            <w:tcW w:type="dxa" w:w="4153"/>
          </w:tcPr>
          <w:p>
            <w:pPr>
              <w:pStyle w:val="null3"/>
              <w:jc w:val="left"/>
            </w:pPr>
            <w:r>
              <w:rPr/>
              <w:t>根据磋商供应商针对本项目提供的组织实施作业方案情况进行评审：①方案整体思路清晰、内容描述完整、逻辑性强的得3分；②方案整体思路较清晰、内容描述较完整、逻辑性较强的得2分；③方案整体思路一般、内容描述简短、逻辑性一般但可行的得1分；④方案不合理或未提供方案的本项不得分。</w:t>
            </w:r>
          </w:p>
        </w:tc>
      </w:tr>
      <w:tr>
        <w:tc>
          <w:tcPr>
            <w:tcW w:type="dxa" w:w="3322"/>
          </w:tcPr>
          <w:p>
            <w:pPr>
              <w:pStyle w:val="null3"/>
              <w:jc w:val="left"/>
            </w:pPr>
            <w:r>
              <w:rPr/>
              <w:t>技术5</w:t>
            </w:r>
          </w:p>
        </w:tc>
        <w:tc>
          <w:tcPr>
            <w:tcW w:type="dxa" w:w="831"/>
          </w:tcPr>
          <w:p>
            <w:pPr>
              <w:pStyle w:val="null3"/>
              <w:jc w:val="right"/>
            </w:pPr>
            <w:r>
              <w:rPr/>
              <w:t>3.0000</w:t>
            </w:r>
          </w:p>
        </w:tc>
        <w:tc>
          <w:tcPr>
            <w:tcW w:type="dxa" w:w="4153"/>
          </w:tcPr>
          <w:p>
            <w:pPr>
              <w:pStyle w:val="null3"/>
              <w:jc w:val="left"/>
            </w:pPr>
            <w:r>
              <w:rPr/>
              <w:t>根据磋商供应商针对本项目提供的防治方式、重点与难点分析、合理化建议情况进行评审：①分析到位、内容描述完整、建议可操作性强的得3分；②分析基本到位、内容描述较完整、建议可操作性较强的得2分；③分析不到位、内容描述简短、建议可操作性一般的得1分；④分析不合理、可行性不可行或未齐全提供防治方式、重点与难点分析的本项不得分。</w:t>
            </w:r>
          </w:p>
        </w:tc>
      </w:tr>
      <w:tr>
        <w:tc>
          <w:tcPr>
            <w:tcW w:type="dxa" w:w="3322"/>
          </w:tcPr>
          <w:p>
            <w:pPr>
              <w:pStyle w:val="null3"/>
              <w:jc w:val="left"/>
            </w:pPr>
            <w:r>
              <w:rPr/>
              <w:t>技术6</w:t>
            </w:r>
          </w:p>
        </w:tc>
        <w:tc>
          <w:tcPr>
            <w:tcW w:type="dxa" w:w="831"/>
          </w:tcPr>
          <w:p>
            <w:pPr>
              <w:pStyle w:val="null3"/>
              <w:jc w:val="right"/>
            </w:pPr>
            <w:r>
              <w:rPr/>
              <w:t>3.0000</w:t>
            </w:r>
          </w:p>
        </w:tc>
        <w:tc>
          <w:tcPr>
            <w:tcW w:type="dxa" w:w="4153"/>
          </w:tcPr>
          <w:p>
            <w:pPr>
              <w:pStyle w:val="null3"/>
              <w:jc w:val="left"/>
            </w:pPr>
            <w:r>
              <w:rPr/>
              <w:t>根据磋商供应商针对本项目提供的季节或天气异常等特殊情况的应对方案情况进行评审：①方案整体思路清晰、内容描述完整、逻辑性强的得3分；②方案整体思路较清晰、内容描述较完整、逻辑性较强的得2分；③方案整体思路一般、内容描述简短、逻辑性一般但可行的得1分；④方案不合理或未齐全提供方案的本项不得分。</w:t>
            </w:r>
          </w:p>
        </w:tc>
      </w:tr>
      <w:tr>
        <w:tc>
          <w:tcPr>
            <w:tcW w:type="dxa" w:w="3322"/>
          </w:tcPr>
          <w:p>
            <w:pPr>
              <w:pStyle w:val="null3"/>
              <w:jc w:val="left"/>
            </w:pPr>
            <w:r>
              <w:rPr/>
              <w:t>技术7</w:t>
            </w:r>
          </w:p>
        </w:tc>
        <w:tc>
          <w:tcPr>
            <w:tcW w:type="dxa" w:w="831"/>
          </w:tcPr>
          <w:p>
            <w:pPr>
              <w:pStyle w:val="null3"/>
              <w:jc w:val="right"/>
            </w:pPr>
            <w:r>
              <w:rPr/>
              <w:t>3.0000</w:t>
            </w:r>
          </w:p>
        </w:tc>
        <w:tc>
          <w:tcPr>
            <w:tcW w:type="dxa" w:w="4153"/>
          </w:tcPr>
          <w:p>
            <w:pPr>
              <w:pStyle w:val="null3"/>
              <w:jc w:val="left"/>
            </w:pPr>
            <w:r>
              <w:rPr/>
              <w:t>根据磋商供应商针对本项目提供的疫情监测方案情况进行评审： ①方案整体思路清晰、内容描述完整、逻辑性强的得3分；②方案整体思路较清晰、内容描述较完整、逻辑性较强的得2分；③方案整体思路一般、内容描述简短、逻辑性一般但可行的得1分；④方案不合理或未齐全提供方案的本项不得分。</w:t>
            </w:r>
          </w:p>
        </w:tc>
      </w:tr>
      <w:tr>
        <w:tc>
          <w:tcPr>
            <w:tcW w:type="dxa" w:w="3322"/>
          </w:tcPr>
          <w:p>
            <w:pPr>
              <w:pStyle w:val="null3"/>
              <w:jc w:val="left"/>
            </w:pPr>
            <w:r>
              <w:rPr/>
              <w:t>技术8</w:t>
            </w:r>
          </w:p>
        </w:tc>
        <w:tc>
          <w:tcPr>
            <w:tcW w:type="dxa" w:w="831"/>
          </w:tcPr>
          <w:p>
            <w:pPr>
              <w:pStyle w:val="null3"/>
              <w:jc w:val="right"/>
            </w:pPr>
            <w:r>
              <w:rPr/>
              <w:t>3.0000</w:t>
            </w:r>
          </w:p>
        </w:tc>
        <w:tc>
          <w:tcPr>
            <w:tcW w:type="dxa" w:w="4153"/>
          </w:tcPr>
          <w:p>
            <w:pPr>
              <w:pStyle w:val="null3"/>
              <w:jc w:val="left"/>
            </w:pPr>
            <w:r>
              <w:rPr/>
              <w:t>根据磋商供应商针对本项目提供的药物使用管理方案情况进行评审： ①方案整体思路清晰、内容描述完整、逻辑性强的得3分；②方案整体思路较清晰、内容描述较完整、逻辑性较强的得2分；③方案整体思路一般、内容描述简短、逻辑性一般但可行的得1分；④方案不合理或未齐全提供方案的本项不得分。</w:t>
            </w:r>
          </w:p>
        </w:tc>
      </w:tr>
      <w:tr>
        <w:tc>
          <w:tcPr>
            <w:tcW w:type="dxa" w:w="3322"/>
          </w:tcPr>
          <w:p>
            <w:pPr>
              <w:pStyle w:val="null3"/>
              <w:jc w:val="left"/>
            </w:pPr>
            <w:r>
              <w:rPr/>
              <w:t>技术9</w:t>
            </w:r>
          </w:p>
        </w:tc>
        <w:tc>
          <w:tcPr>
            <w:tcW w:type="dxa" w:w="831"/>
          </w:tcPr>
          <w:p>
            <w:pPr>
              <w:pStyle w:val="null3"/>
              <w:jc w:val="right"/>
            </w:pPr>
            <w:r>
              <w:rPr/>
              <w:t>3.0000</w:t>
            </w:r>
          </w:p>
        </w:tc>
        <w:tc>
          <w:tcPr>
            <w:tcW w:type="dxa" w:w="4153"/>
          </w:tcPr>
          <w:p>
            <w:pPr>
              <w:pStyle w:val="null3"/>
              <w:jc w:val="left"/>
            </w:pPr>
            <w:r>
              <w:rPr/>
              <w:t>根据磋商供应商针对本项目提供的培训及宣传方案情况进行评审： ①方案整体思路清晰、内容描述完整、逻辑性强的得3分；②方案整体思路较清晰、内容描述较完整、逻辑性较强的得2分；③方案整体思路一般、内容描述简短、逻辑性一般但可行的得1分；④方案不合理或未齐全提供方案的本项不得分。</w:t>
            </w:r>
          </w:p>
        </w:tc>
      </w:tr>
      <w:tr>
        <w:tc>
          <w:tcPr>
            <w:tcW w:type="dxa" w:w="3322"/>
          </w:tcPr>
          <w:p>
            <w:pPr>
              <w:pStyle w:val="null3"/>
              <w:jc w:val="left"/>
            </w:pPr>
            <w:r>
              <w:rPr/>
              <w:t>技术10</w:t>
            </w:r>
          </w:p>
        </w:tc>
        <w:tc>
          <w:tcPr>
            <w:tcW w:type="dxa" w:w="831"/>
          </w:tcPr>
          <w:p>
            <w:pPr>
              <w:pStyle w:val="null3"/>
              <w:jc w:val="right"/>
            </w:pPr>
            <w:r>
              <w:rPr/>
              <w:t>3.0000</w:t>
            </w:r>
          </w:p>
        </w:tc>
        <w:tc>
          <w:tcPr>
            <w:tcW w:type="dxa" w:w="4153"/>
          </w:tcPr>
          <w:p>
            <w:pPr>
              <w:pStyle w:val="null3"/>
              <w:jc w:val="left"/>
            </w:pPr>
            <w:r>
              <w:rPr/>
              <w:t>根据磋商供应商针对本项目提供的重大安全或突发事件应急保障方案况进行评审：①方案整体思路清晰、内容描述完整、逻辑性强的得3分；②方案整体思路较清晰、内容描述较完整、逻辑性较强的得2分；③方案整体思路一般、内容描述简短、逻辑性一般但可行的得1分；④方案不合理或未齐全提供方案的本项不得分。</w:t>
            </w:r>
          </w:p>
        </w:tc>
      </w:tr>
      <w:tr>
        <w:tc>
          <w:tcPr>
            <w:tcW w:type="dxa" w:w="3322"/>
          </w:tcPr>
          <w:p>
            <w:pPr>
              <w:pStyle w:val="null3"/>
              <w:jc w:val="left"/>
            </w:pPr>
            <w:r>
              <w:rPr/>
              <w:t>技术11</w:t>
            </w:r>
          </w:p>
        </w:tc>
        <w:tc>
          <w:tcPr>
            <w:tcW w:type="dxa" w:w="831"/>
          </w:tcPr>
          <w:p>
            <w:pPr>
              <w:pStyle w:val="null3"/>
              <w:jc w:val="right"/>
            </w:pPr>
            <w:r>
              <w:rPr/>
              <w:t>3.0000</w:t>
            </w:r>
          </w:p>
        </w:tc>
        <w:tc>
          <w:tcPr>
            <w:tcW w:type="dxa" w:w="4153"/>
          </w:tcPr>
          <w:p>
            <w:pPr>
              <w:pStyle w:val="null3"/>
              <w:jc w:val="left"/>
            </w:pPr>
            <w:r>
              <w:rPr/>
              <w:t>根据磋商供应商针对本项目提供的售后服务方案情况进行评审：①方案整体思路清晰、内容描述完整、逻辑性强的得3分；②方案整体思路较清晰、内容描述较完整、逻辑性较强的得2分；③方案整体思路一般、内容描述简短、逻辑性一般但可行的得1分；④方案不合理或未齐全提供方案的本项不得分。</w:t>
            </w:r>
          </w:p>
        </w:tc>
      </w:tr>
      <w:tr>
        <w:tc>
          <w:tcPr>
            <w:tcW w:type="dxa" w:w="3322"/>
          </w:tcPr>
          <w:p>
            <w:pPr>
              <w:pStyle w:val="null3"/>
              <w:jc w:val="left"/>
            </w:pPr>
            <w:r>
              <w:rPr/>
              <w:t>技术12</w:t>
            </w:r>
          </w:p>
        </w:tc>
        <w:tc>
          <w:tcPr>
            <w:tcW w:type="dxa" w:w="831"/>
          </w:tcPr>
          <w:p>
            <w:pPr>
              <w:pStyle w:val="null3"/>
              <w:jc w:val="right"/>
            </w:pPr>
            <w:r>
              <w:rPr/>
              <w:t>3.0000</w:t>
            </w:r>
          </w:p>
        </w:tc>
        <w:tc>
          <w:tcPr>
            <w:tcW w:type="dxa" w:w="4153"/>
          </w:tcPr>
          <w:p>
            <w:pPr>
              <w:pStyle w:val="null3"/>
              <w:jc w:val="left"/>
            </w:pPr>
            <w:r>
              <w:rPr/>
              <w:t>磋商供应商拟派本项目的项目负责人中，具有病虫害防治相关专业高级及以上职称的，每提供1名得1分；具备中级及以上职称的每提供1名得0.5分，本项满分3分。磋商供应商须提供以下证明材料：①人员名单；②相关人员职称证书清晰复印件（或扫描件）；③磋商供应商为其缴交社保证明材料【投标截止时间前六个月（不含投标当月）中任意一个月,若为退休返聘人员，提供退休证明、聘用证书（或聘用合同）、身份证复印件】。相关证明材料须加盖磋商供应商公章；未提供或材料提供不齐全的不得分。</w:t>
            </w:r>
          </w:p>
        </w:tc>
      </w:tr>
    </w:tbl>
    <w:p>
      <w:pPr>
        <w:pStyle w:val="null3"/>
        <w:jc w:val="left"/>
      </w:pPr>
      <w:r>
        <w:rPr/>
        <w:t>商务部分评分PB 满分为20.0000分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B1</w:t>
            </w:r>
          </w:p>
        </w:tc>
        <w:tc>
          <w:tcPr>
            <w:tcW w:type="dxa" w:w="831"/>
          </w:tcPr>
          <w:p>
            <w:pPr>
              <w:pStyle w:val="null3"/>
              <w:jc w:val="right"/>
            </w:pPr>
            <w:r>
              <w:rPr/>
              <w:t>2.0000</w:t>
            </w:r>
          </w:p>
        </w:tc>
        <w:tc>
          <w:tcPr>
            <w:tcW w:type="dxa" w:w="4153"/>
          </w:tcPr>
          <w:p>
            <w:pPr>
              <w:pStyle w:val="null3"/>
              <w:jc w:val="left"/>
            </w:pPr>
            <w:r>
              <w:rPr/>
              <w:t>磋商供应商获得有害生物防治服务企业资质证书和农药经营许可证的得2分，每缺少一项扣1分，扣完为止。须提供相关证书扫描件（或复印件）并加盖公章，提供不全或未提供不得分。</w:t>
            </w:r>
          </w:p>
        </w:tc>
      </w:tr>
      <w:tr>
        <w:tc>
          <w:tcPr>
            <w:tcW w:type="dxa" w:w="3322"/>
          </w:tcPr>
          <w:p>
            <w:pPr>
              <w:pStyle w:val="null3"/>
              <w:jc w:val="left"/>
            </w:pPr>
            <w:r>
              <w:rPr/>
              <w:t>B2</w:t>
            </w:r>
          </w:p>
        </w:tc>
        <w:tc>
          <w:tcPr>
            <w:tcW w:type="dxa" w:w="831"/>
          </w:tcPr>
          <w:p>
            <w:pPr>
              <w:pStyle w:val="null3"/>
              <w:jc w:val="right"/>
            </w:pPr>
            <w:r>
              <w:rPr/>
              <w:t>3.0000</w:t>
            </w:r>
          </w:p>
        </w:tc>
        <w:tc>
          <w:tcPr>
            <w:tcW w:type="dxa" w:w="4153"/>
          </w:tcPr>
          <w:p>
            <w:pPr>
              <w:pStyle w:val="null3"/>
              <w:jc w:val="left"/>
            </w:pPr>
            <w:r>
              <w:rPr/>
              <w:t>磋商供应商的防治药剂具备：①农药登记证、②生产许可证或生产批准证书、③产品企业标准；每种药剂完整提供以上三项药剂证书的得1分，本项满分3分。须提供每种药剂在中国农药信息网进行有效查询截图及相关证书证明材料清晰有效扫描件（或复印件）并加盖投标供应商公章，未提供或材料不全的不得分。</w:t>
            </w:r>
          </w:p>
        </w:tc>
      </w:tr>
      <w:tr>
        <w:tc>
          <w:tcPr>
            <w:tcW w:type="dxa" w:w="3322"/>
          </w:tcPr>
          <w:p>
            <w:pPr>
              <w:pStyle w:val="null3"/>
              <w:jc w:val="left"/>
            </w:pPr>
            <w:r>
              <w:rPr/>
              <w:t>B3</w:t>
            </w:r>
          </w:p>
        </w:tc>
        <w:tc>
          <w:tcPr>
            <w:tcW w:type="dxa" w:w="831"/>
          </w:tcPr>
          <w:p>
            <w:pPr>
              <w:pStyle w:val="null3"/>
              <w:jc w:val="right"/>
            </w:pPr>
            <w:r>
              <w:rPr/>
              <w:t>3.0000</w:t>
            </w:r>
          </w:p>
        </w:tc>
        <w:tc>
          <w:tcPr>
            <w:tcW w:type="dxa" w:w="4153"/>
          </w:tcPr>
          <w:p>
            <w:pPr>
              <w:pStyle w:val="null3"/>
              <w:jc w:val="left"/>
            </w:pPr>
            <w:r>
              <w:rPr/>
              <w:t>根据投标供应商对红火蚁数据采集系统应用程度进行评价：投标供应商有应用采集系统开展过红火蚁防控服务项目，并验收通过。每提供一份合同（合同中要体现应用采集系统相关表述）及专家验收意见（或业主开具的验收合格证明）的得0.3分，本项满分3分。（须提供合同清晰扫描件（或复印件）及验收证明材料并加盖公章，未提供或材料不全的不得分。）</w:t>
            </w:r>
          </w:p>
        </w:tc>
      </w:tr>
      <w:tr>
        <w:tc>
          <w:tcPr>
            <w:tcW w:type="dxa" w:w="3322"/>
          </w:tcPr>
          <w:p>
            <w:pPr>
              <w:pStyle w:val="null3"/>
              <w:jc w:val="left"/>
            </w:pPr>
            <w:r>
              <w:rPr/>
              <w:t>B4</w:t>
            </w:r>
          </w:p>
        </w:tc>
        <w:tc>
          <w:tcPr>
            <w:tcW w:type="dxa" w:w="831"/>
          </w:tcPr>
          <w:p>
            <w:pPr>
              <w:pStyle w:val="null3"/>
              <w:jc w:val="right"/>
            </w:pPr>
            <w:r>
              <w:rPr/>
              <w:t>3.0000</w:t>
            </w:r>
          </w:p>
        </w:tc>
        <w:tc>
          <w:tcPr>
            <w:tcW w:type="dxa" w:w="4153"/>
          </w:tcPr>
          <w:p>
            <w:pPr>
              <w:pStyle w:val="null3"/>
              <w:jc w:val="left"/>
            </w:pPr>
            <w:r>
              <w:rPr/>
              <w:t>根据磋商供应商提供自 2021 年 1 月 1 日以来（以合同签订日期为准）至投标截止时间前承接过病虫害防治服务项目经验进行评审，每提供一个项目得0.3分，满分3分。注：须提供以下所有材料①项目清单（项目清单须体现项目名称、项目单位名称、联系人、联系方式等信息）；②该项目的中标（成交）公告（提供相关网站中标（成交）公告的下载网页及其网址）；③中标（成交）通知书复印件；④合同文本复印件；⑤能够证明该业绩项目已经采购人验收或考评合格的相关证明文件。相关证明材料须加盖磋商供应商公章；未提供或材料提供不齐全的不得分。本项与B3不重复得分。</w:t>
            </w:r>
          </w:p>
        </w:tc>
      </w:tr>
      <w:tr>
        <w:tc>
          <w:tcPr>
            <w:tcW w:type="dxa" w:w="3322"/>
          </w:tcPr>
          <w:p>
            <w:pPr>
              <w:pStyle w:val="null3"/>
              <w:jc w:val="left"/>
            </w:pPr>
            <w:r>
              <w:rPr/>
              <w:t>B5</w:t>
            </w:r>
          </w:p>
        </w:tc>
        <w:tc>
          <w:tcPr>
            <w:tcW w:type="dxa" w:w="831"/>
          </w:tcPr>
          <w:p>
            <w:pPr>
              <w:pStyle w:val="null3"/>
              <w:jc w:val="right"/>
            </w:pPr>
            <w:r>
              <w:rPr/>
              <w:t>3.0000</w:t>
            </w:r>
          </w:p>
        </w:tc>
        <w:tc>
          <w:tcPr>
            <w:tcW w:type="dxa" w:w="4153"/>
          </w:tcPr>
          <w:p>
            <w:pPr>
              <w:pStyle w:val="null3"/>
              <w:jc w:val="left"/>
            </w:pPr>
            <w:r>
              <w:rPr/>
              <w:t>为了能够对采购人的服务进行及时响应，考虑到本项目要求服务响应时间短，应急处理能力强，及时对突发事件进行应急处理，根据应急服务响应时间，评标委员会结合投标人提供的承诺书进行综合评分：应急时间在2小时内得3分，2小时&lt;到达采购人处&lt;4小时得2分，，到达采购人处&gt;4小时的得1分。须提供承诺函（承诺函自拟）并加盖投标供应商公章，未提供或材料不全的本项不得分。（注：承诺将作为履约合同不可分割的组成部分。）</w:t>
            </w:r>
          </w:p>
        </w:tc>
      </w:tr>
      <w:tr>
        <w:tc>
          <w:tcPr>
            <w:tcW w:type="dxa" w:w="3322"/>
          </w:tcPr>
          <w:p>
            <w:pPr>
              <w:pStyle w:val="null3"/>
              <w:jc w:val="left"/>
            </w:pPr>
            <w:r>
              <w:rPr/>
              <w:t>B6</w:t>
            </w:r>
          </w:p>
        </w:tc>
        <w:tc>
          <w:tcPr>
            <w:tcW w:type="dxa" w:w="831"/>
          </w:tcPr>
          <w:p>
            <w:pPr>
              <w:pStyle w:val="null3"/>
              <w:jc w:val="right"/>
            </w:pPr>
            <w:r>
              <w:rPr/>
              <w:t>3.0000</w:t>
            </w:r>
          </w:p>
        </w:tc>
        <w:tc>
          <w:tcPr>
            <w:tcW w:type="dxa" w:w="4153"/>
          </w:tcPr>
          <w:p>
            <w:pPr>
              <w:pStyle w:val="null3"/>
              <w:jc w:val="left"/>
            </w:pPr>
            <w:r>
              <w:rPr/>
              <w:t>磋商供应商在实施红火蚁防控项目方面有受过政府相关部门（含党群机关）嘉奖或表彰的每提供1个得1分，满分3分。注：须提供相关证明材料清晰复印件（或扫描件）并加盖公章，提供不全或未提供的不得分。</w:t>
            </w:r>
          </w:p>
        </w:tc>
      </w:tr>
      <w:tr>
        <w:tc>
          <w:tcPr>
            <w:tcW w:type="dxa" w:w="3322"/>
          </w:tcPr>
          <w:p>
            <w:pPr>
              <w:pStyle w:val="null3"/>
              <w:jc w:val="left"/>
            </w:pPr>
            <w:r>
              <w:rPr/>
              <w:t>B7</w:t>
            </w:r>
          </w:p>
        </w:tc>
        <w:tc>
          <w:tcPr>
            <w:tcW w:type="dxa" w:w="831"/>
          </w:tcPr>
          <w:p>
            <w:pPr>
              <w:pStyle w:val="null3"/>
              <w:jc w:val="right"/>
            </w:pPr>
            <w:r>
              <w:rPr/>
              <w:t>3.0000</w:t>
            </w:r>
          </w:p>
        </w:tc>
        <w:tc>
          <w:tcPr>
            <w:tcW w:type="dxa" w:w="4153"/>
          </w:tcPr>
          <w:p>
            <w:pPr>
              <w:pStyle w:val="null3"/>
              <w:jc w:val="left"/>
            </w:pPr>
            <w:r>
              <w:rPr/>
              <w:t>投标供应商承诺成交后在合同期间：不得将合同转包、分包其他企业，否则采购人有权终止合同且采购人有权要求成交供应商赔偿因此所造成的经济损失的得3分。须提供承诺函（格式自拟），未提供或承诺内容不全的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投标供应商技术部分的实际得分少于磋商文件设定的技术部分总分50%的，按无效标处理。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符合招标文件第三章招标内容及要求中“三、商务条件”中所有条款。</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rPr>
        <w:t>1、本项目为</w:t>
      </w:r>
      <w:r>
        <w:rPr>
          <w:rFonts w:ascii="宋体" w:hAnsi="宋体" w:cs="宋体" w:eastAsia="宋体"/>
          <w:sz w:val="24"/>
        </w:rPr>
        <w:t>2024年诏安县红火蚁疫情专业化防控</w:t>
      </w:r>
      <w:r>
        <w:rPr>
          <w:rFonts w:ascii="宋体" w:hAnsi="宋体" w:cs="宋体" w:eastAsia="宋体"/>
          <w:sz w:val="24"/>
        </w:rPr>
        <w:t>，预算总价为</w:t>
      </w:r>
      <w:r>
        <w:rPr>
          <w:rFonts w:ascii="宋体" w:hAnsi="宋体" w:cs="宋体" w:eastAsia="宋体"/>
          <w:sz w:val="24"/>
        </w:rPr>
        <w:t>94</w:t>
      </w:r>
      <w:r>
        <w:rPr>
          <w:rFonts w:ascii="宋体" w:hAnsi="宋体" w:cs="宋体" w:eastAsia="宋体"/>
          <w:sz w:val="24"/>
        </w:rPr>
        <w:t>0000.00元，</w:t>
      </w:r>
      <w:r>
        <w:rPr>
          <w:rFonts w:ascii="宋体" w:hAnsi="宋体" w:cs="宋体" w:eastAsia="宋体"/>
          <w:sz w:val="24"/>
          <w:shd w:fill="FFFFFF" w:val="clear"/>
        </w:rPr>
        <w:t>防控预算最高控制单价为</w:t>
      </w:r>
      <w:r>
        <w:rPr>
          <w:rFonts w:ascii="宋体" w:hAnsi="宋体" w:cs="宋体" w:eastAsia="宋体"/>
          <w:sz w:val="24"/>
          <w:shd w:fill="FFFFFF" w:val="clear"/>
        </w:rPr>
        <w:t>7</w:t>
      </w:r>
      <w:r>
        <w:rPr>
          <w:rFonts w:ascii="宋体" w:hAnsi="宋体" w:cs="宋体" w:eastAsia="宋体"/>
          <w:sz w:val="24"/>
          <w:shd w:fill="FFFFFF" w:val="clear"/>
        </w:rPr>
        <w:t>2.00</w:t>
      </w:r>
      <w:r>
        <w:rPr>
          <w:rFonts w:ascii="宋体" w:hAnsi="宋体" w:cs="宋体" w:eastAsia="宋体"/>
          <w:sz w:val="24"/>
          <w:shd w:fill="FFFFFF" w:val="clear"/>
        </w:rPr>
        <w:t>元／亩，报价超过预算总价及最高控制单价的其投标文件将作为无效标处理。本项目在招标时防控面积暂按</w:t>
      </w:r>
      <w:r>
        <w:rPr>
          <w:rFonts w:ascii="宋体" w:hAnsi="宋体" w:cs="宋体" w:eastAsia="宋体"/>
          <w:sz w:val="24"/>
          <w:shd w:fill="FFFFFF" w:val="clear"/>
        </w:rPr>
        <w:t>13000</w:t>
      </w:r>
      <w:r>
        <w:rPr>
          <w:rFonts w:ascii="宋体" w:hAnsi="宋体" w:cs="宋体" w:eastAsia="宋体"/>
          <w:sz w:val="24"/>
          <w:shd w:fill="FFFFFF" w:val="clear"/>
        </w:rPr>
        <w:t>亩计算，鉴于系统固化，各投标供应商</w:t>
      </w:r>
      <w:r>
        <w:rPr>
          <w:rFonts w:ascii="宋体" w:hAnsi="宋体" w:cs="宋体" w:eastAsia="宋体"/>
          <w:sz w:val="24"/>
          <w:shd w:fill="FFFFFF" w:val="clear"/>
        </w:rPr>
        <w:t>在</w:t>
      </w:r>
      <w:r>
        <w:rPr>
          <w:rFonts w:ascii="宋体" w:hAnsi="宋体" w:cs="宋体" w:eastAsia="宋体"/>
          <w:sz w:val="24"/>
          <w:shd w:fill="FFFFFF" w:val="clear"/>
        </w:rPr>
        <w:t>报价时上传系统总报价</w:t>
      </w:r>
      <w:r>
        <w:rPr>
          <w:rFonts w:ascii="宋体" w:hAnsi="宋体" w:cs="宋体" w:eastAsia="宋体"/>
          <w:sz w:val="24"/>
          <w:shd w:fill="FFFFFF" w:val="clear"/>
        </w:rPr>
        <w:t>=</w:t>
      </w:r>
      <w:r>
        <w:rPr>
          <w:rFonts w:ascii="宋体" w:hAnsi="宋体" w:cs="宋体" w:eastAsia="宋体"/>
          <w:sz w:val="24"/>
          <w:shd w:fill="FFFFFF" w:val="clear"/>
        </w:rPr>
        <w:t>13000</w:t>
      </w:r>
      <w:r>
        <w:rPr>
          <w:rFonts w:ascii="宋体" w:hAnsi="宋体" w:cs="宋体" w:eastAsia="宋体"/>
          <w:sz w:val="24"/>
          <w:shd w:fill="FFFFFF" w:val="clear"/>
        </w:rPr>
        <w:t>亩</w:t>
      </w:r>
      <w:r>
        <w:rPr>
          <w:rFonts w:ascii="宋体" w:hAnsi="宋体" w:cs="宋体" w:eastAsia="宋体"/>
          <w:sz w:val="24"/>
          <w:shd w:fill="FFFFFF" w:val="clear"/>
        </w:rPr>
        <w:t>*投标单价（保留两位小数点），最终实际防控面积为：</w:t>
      </w:r>
      <w:r>
        <w:rPr>
          <w:rFonts w:ascii="宋体" w:hAnsi="宋体" w:cs="宋体" w:eastAsia="宋体"/>
          <w:sz w:val="24"/>
          <w:shd w:fill="FFFFFF" w:val="clear"/>
        </w:rPr>
        <w:t>94</w:t>
      </w:r>
      <w:r>
        <w:rPr>
          <w:rFonts w:ascii="宋体" w:hAnsi="宋体" w:cs="宋体" w:eastAsia="宋体"/>
          <w:sz w:val="24"/>
          <w:shd w:fill="FFFFFF" w:val="clear"/>
        </w:rPr>
        <w:t>0000</w:t>
      </w:r>
      <w:r>
        <w:rPr>
          <w:rFonts w:ascii="宋体" w:hAnsi="宋体" w:cs="宋体" w:eastAsia="宋体"/>
          <w:sz w:val="24"/>
          <w:shd w:fill="FFFFFF" w:val="clear"/>
        </w:rPr>
        <w:t>元</w:t>
      </w:r>
      <w:r>
        <w:rPr>
          <w:rFonts w:ascii="宋体" w:hAnsi="宋体" w:cs="宋体" w:eastAsia="宋体"/>
          <w:sz w:val="24"/>
          <w:shd w:fill="FFFFFF" w:val="clear"/>
        </w:rPr>
        <w:t>÷中标单价，最终合同结算总价为</w:t>
      </w:r>
      <w:r>
        <w:rPr>
          <w:rFonts w:ascii="宋体" w:hAnsi="宋体" w:cs="宋体" w:eastAsia="宋体"/>
          <w:sz w:val="24"/>
          <w:shd w:fill="FFFFFF" w:val="clear"/>
        </w:rPr>
        <w:t>940000</w:t>
      </w:r>
      <w:r>
        <w:rPr>
          <w:rFonts w:ascii="宋体" w:hAnsi="宋体" w:cs="宋体" w:eastAsia="宋体"/>
          <w:sz w:val="24"/>
          <w:shd w:fill="FFFFFF" w:val="clear"/>
        </w:rPr>
        <w:t>元整。</w:t>
      </w:r>
    </w:p>
    <w:p>
      <w:pPr>
        <w:pStyle w:val="null3"/>
        <w:ind w:left="225" w:right="330" w:firstLine="480"/>
        <w:jc w:val="left"/>
      </w:pPr>
      <w:r>
        <w:rPr>
          <w:rFonts w:ascii="宋体" w:hAnsi="宋体" w:cs="宋体" w:eastAsia="宋体"/>
          <w:sz w:val="24"/>
        </w:rPr>
        <w:t>2、总体防控目标</w:t>
      </w:r>
    </w:p>
    <w:p>
      <w:pPr>
        <w:pStyle w:val="null3"/>
        <w:ind w:left="225" w:right="330" w:firstLine="480"/>
        <w:jc w:val="left"/>
      </w:pPr>
      <w:r>
        <w:rPr>
          <w:rFonts w:ascii="宋体" w:hAnsi="宋体" w:cs="宋体" w:eastAsia="宋体"/>
          <w:sz w:val="24"/>
        </w:rPr>
        <w:t>防治企业在项目招标防控范围内，采用专业化防控，使红火蚁为害有效降低，将红火蚁发生程度控制在不为害水平。项目综合防治率达</w:t>
      </w:r>
      <w:r>
        <w:rPr>
          <w:rFonts w:ascii="宋体" w:hAnsi="宋体" w:cs="宋体" w:eastAsia="宋体"/>
          <w:sz w:val="24"/>
        </w:rPr>
        <w:t>90%以上。</w:t>
      </w:r>
    </w:p>
    <w:p>
      <w:pPr>
        <w:pStyle w:val="null3"/>
        <w:ind w:left="225" w:right="330" w:firstLine="480"/>
        <w:jc w:val="left"/>
      </w:pPr>
      <w:r>
        <w:rPr>
          <w:rFonts w:ascii="宋体" w:hAnsi="宋体" w:cs="宋体" w:eastAsia="宋体"/>
          <w:sz w:val="24"/>
        </w:rPr>
        <w:t xml:space="preserve"> </w:t>
      </w:r>
      <w:r>
        <w:rPr>
          <w:rFonts w:ascii="宋体" w:hAnsi="宋体" w:cs="宋体" w:eastAsia="宋体"/>
          <w:sz w:val="24"/>
        </w:rPr>
        <w:t>3、项目招标防控范围</w:t>
      </w:r>
    </w:p>
    <w:p>
      <w:pPr>
        <w:pStyle w:val="null3"/>
        <w:ind w:left="225" w:right="330" w:firstLine="480"/>
        <w:jc w:val="left"/>
      </w:pPr>
      <w:r>
        <w:rPr>
          <w:rFonts w:ascii="宋体" w:hAnsi="宋体" w:cs="宋体" w:eastAsia="宋体"/>
          <w:sz w:val="24"/>
        </w:rPr>
        <w:t>本项目招标服务的防控范围从</w:t>
      </w:r>
      <w:r>
        <w:rPr>
          <w:rFonts w:ascii="宋体" w:hAnsi="宋体" w:cs="宋体" w:eastAsia="宋体"/>
          <w:sz w:val="24"/>
          <w:b/>
        </w:rPr>
        <w:t>城楼、马城、四都、外埕、南方肉牛集散中心、金星一部分</w:t>
      </w:r>
      <w:r>
        <w:rPr>
          <w:rFonts w:ascii="宋体" w:hAnsi="宋体" w:cs="宋体" w:eastAsia="宋体"/>
          <w:sz w:val="24"/>
          <w:b/>
        </w:rPr>
        <w:t>农地</w:t>
      </w:r>
      <w:r>
        <w:rPr>
          <w:rFonts w:ascii="宋体" w:hAnsi="宋体" w:cs="宋体" w:eastAsia="宋体"/>
          <w:sz w:val="24"/>
        </w:rPr>
        <w:t>（投标前可咨询业主或到现场实地查看），总防治红火蚁发生量大于</w:t>
      </w:r>
      <w:r>
        <w:rPr>
          <w:rFonts w:ascii="宋体" w:hAnsi="宋体" w:cs="宋体" w:eastAsia="宋体"/>
          <w:sz w:val="24"/>
        </w:rPr>
        <w:t>13000</w:t>
      </w:r>
      <w:r>
        <w:rPr>
          <w:rFonts w:ascii="宋体" w:hAnsi="宋体" w:cs="宋体" w:eastAsia="宋体"/>
          <w:sz w:val="24"/>
        </w:rPr>
        <w:t>亩（包含辖区内所有农田、农村、学校、公共绿地等范围），最终实际防控面积</w:t>
      </w:r>
      <w:r>
        <w:rPr>
          <w:rFonts w:ascii="宋体" w:hAnsi="宋体" w:cs="宋体" w:eastAsia="宋体"/>
          <w:sz w:val="24"/>
        </w:rPr>
        <w:t>=</w:t>
      </w:r>
      <w:r>
        <w:rPr>
          <w:rFonts w:ascii="宋体" w:hAnsi="宋体" w:cs="宋体" w:eastAsia="宋体"/>
          <w:sz w:val="24"/>
        </w:rPr>
        <w:t>940000元</w:t>
      </w:r>
      <w:r>
        <w:rPr>
          <w:rFonts w:ascii="宋体" w:hAnsi="宋体" w:cs="宋体" w:eastAsia="宋体"/>
          <w:sz w:val="24"/>
        </w:rPr>
        <w:t>÷中标单价</w:t>
      </w:r>
      <w:r>
        <w:rPr>
          <w:rFonts w:ascii="宋体" w:hAnsi="宋体" w:cs="宋体" w:eastAsia="宋体"/>
          <w:sz w:val="24"/>
          <w:shd w:fill="FFFFFF" w:val="clear"/>
        </w:rPr>
        <w:t>（保留两位小数点）</w:t>
      </w:r>
      <w:r>
        <w:rPr>
          <w:rFonts w:ascii="宋体" w:hAnsi="宋体" w:cs="宋体" w:eastAsia="宋体"/>
          <w:sz w:val="24"/>
        </w:rPr>
        <w:t>。在防治前中标防治企业需要根据投标供应商划定的范围运用</w:t>
      </w:r>
      <w:r>
        <w:rPr>
          <w:rFonts w:ascii="宋体" w:hAnsi="宋体" w:cs="宋体" w:eastAsia="宋体"/>
          <w:sz w:val="24"/>
        </w:rPr>
        <w:t>“云采集”软件普查红火蚁实际发生面积，与采购人划定具体的防治区域，并形成最终的防控范围红线图。</w:t>
      </w:r>
    </w:p>
    <w:p>
      <w:pPr>
        <w:pStyle w:val="null3"/>
        <w:ind w:left="225" w:right="330" w:firstLine="480"/>
        <w:jc w:val="left"/>
      </w:pPr>
      <w:r>
        <w:rPr>
          <w:rFonts w:ascii="宋体" w:hAnsi="宋体" w:cs="宋体" w:eastAsia="宋体"/>
          <w:sz w:val="24"/>
          <w:b/>
        </w:rPr>
        <w:t>★</w:t>
      </w:r>
      <w:r>
        <w:rPr>
          <w:rFonts w:ascii="宋体" w:hAnsi="宋体" w:cs="宋体" w:eastAsia="宋体"/>
          <w:sz w:val="24"/>
          <w:b/>
        </w:rPr>
        <w:t>各投标供应商应充分评估项目涉及各乡镇村</w:t>
      </w:r>
      <w:r>
        <w:rPr>
          <w:rFonts w:ascii="宋体" w:hAnsi="宋体" w:cs="宋体" w:eastAsia="宋体"/>
          <w:sz w:val="24"/>
          <w:b/>
        </w:rPr>
        <w:t>/社区因红火蚁迁飞或发生面积变化造成的项目实施风险（投标前可咨询业主或到现场实地查看），以及防控范围内地理条件、农业生产、气象条件所需的额外防控成本，提出合理的投标报价。最终的防控范围红线图是根据防治前的调查结果进行划定。具体防控红线图一经划定，投标供应商不得以任何理由追加防控费用、缩小防控范围和降低验收标准。投标供应商需对防控红线图范围内所有区域进行防控处置（投药或诱集监测），即包括调查已探明的红火蚁发生区域和未发生红火蚁的区域。验收时由采购人在防控范围内随机抽检。</w:t>
      </w:r>
    </w:p>
    <w:p>
      <w:pPr>
        <w:pStyle w:val="null3"/>
        <w:jc w:val="left"/>
        <w:outlineLvl w:val="2"/>
      </w:pPr>
      <w:r>
        <w:rPr>
          <w:sz w:val="28"/>
          <w:b/>
        </w:rPr>
        <w:t>二、技术要求</w:t>
      </w:r>
    </w:p>
    <w:p>
      <w:pPr>
        <w:pStyle w:val="null3"/>
        <w:jc w:val="left"/>
      </w:pPr>
      <w:r>
        <w:rPr>
          <w:rFonts w:ascii="宋体" w:hAnsi="宋体" w:cs="宋体" w:eastAsia="宋体"/>
          <w:sz w:val="24"/>
          <w:b/>
        </w:rPr>
        <w:t>（一）防控技术要求</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1】</w:t>
      </w:r>
      <w:r>
        <w:rPr>
          <w:rFonts w:ascii="宋体" w:hAnsi="宋体" w:cs="宋体" w:eastAsia="宋体"/>
          <w:sz w:val="24"/>
        </w:rPr>
        <w:t>1、防治企业应抓住红火蚁防控的最佳时期组织开展集中防控分片、分区开展网格化施药扑杀，防控单位应根据实际情况合理安排防控时间。防控期间防治企业在防控区域内实施的防控施工（投药+监测）不少于2遍，每遍防控范围应做到全覆盖。调查中发现的高等级为害区域防控施工不少于3遍。监测技术服务单位将根据原始调查发生范围和防治企业上传的防控数据评估防控工作量是否达标。</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2</w:t>
      </w:r>
      <w:r>
        <w:rPr>
          <w:rFonts w:ascii="宋体" w:hAnsi="宋体" w:cs="宋体" w:eastAsia="宋体"/>
          <w:sz w:val="24"/>
          <w:b/>
        </w:rPr>
        <w:t>】</w:t>
      </w:r>
      <w:r>
        <w:rPr>
          <w:rFonts w:ascii="宋体" w:hAnsi="宋体" w:cs="宋体" w:eastAsia="宋体"/>
          <w:sz w:val="24"/>
        </w:rPr>
        <w:t>2、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3</w:t>
      </w:r>
      <w:r>
        <w:rPr>
          <w:rFonts w:ascii="宋体" w:hAnsi="宋体" w:cs="宋体" w:eastAsia="宋体"/>
          <w:sz w:val="24"/>
          <w:b/>
        </w:rPr>
        <w:t>】</w:t>
      </w:r>
      <w:r>
        <w:rPr>
          <w:rFonts w:ascii="宋体" w:hAnsi="宋体" w:cs="宋体" w:eastAsia="宋体"/>
          <w:sz w:val="24"/>
        </w:rPr>
        <w:t>3、建立药效检查机制，药剂防治7-10天后采用挖槽或火腿肠诱集的方式检验药效，如果发现未达到防控要求应及时补施药。</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4</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4、防治企业必须积极配合监测技术服务单位要求的技术手段，认真做好防控信息的采集工作，通过“云采集”手机软件准确记录每个施药点的时间、位置、蚁巢大小、扑杀场景图片等数据并及时上传。这些数据将做为药品投入、防控面积估算、防控成效评估与考核的重要依据。由于信息采集不完整或未及时上传数据造成评估不准确，责任由防治企业承担。</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5</w:t>
      </w:r>
      <w:r>
        <w:rPr>
          <w:rFonts w:ascii="宋体" w:hAnsi="宋体" w:cs="宋体" w:eastAsia="宋体"/>
          <w:sz w:val="24"/>
          <w:b/>
        </w:rPr>
        <w:t>】</w:t>
      </w:r>
      <w:r>
        <w:rPr>
          <w:rFonts w:ascii="宋体" w:hAnsi="宋体" w:cs="宋体" w:eastAsia="宋体"/>
          <w:sz w:val="24"/>
        </w:rPr>
        <w:t>5、在防控区域内公布防治企业24小时应急电话，确保在接到红火蚁疫情应急处理通知后，保证24小时内派员到现场进行处理。磋商供应商应购置一定数量防治被红火蚁叮咬的药剂，用于现场应急处理。</w:t>
      </w:r>
    </w:p>
    <w:p>
      <w:pPr>
        <w:pStyle w:val="null3"/>
        <w:ind w:right="330" w:firstLine="482"/>
        <w:jc w:val="left"/>
      </w:pPr>
      <w:r>
        <w:rPr>
          <w:rFonts w:ascii="宋体" w:hAnsi="宋体" w:cs="宋体" w:eastAsia="宋体"/>
          <w:sz w:val="24"/>
          <w:b/>
        </w:rPr>
        <w:t>（二）防控宣传技术培训要求</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6</w:t>
      </w:r>
      <w:r>
        <w:rPr>
          <w:rFonts w:ascii="宋体" w:hAnsi="宋体" w:cs="宋体" w:eastAsia="宋体"/>
          <w:sz w:val="24"/>
          <w:b/>
        </w:rPr>
        <w:t>】</w:t>
      </w:r>
      <w:r>
        <w:rPr>
          <w:rFonts w:ascii="宋体" w:hAnsi="宋体" w:cs="宋体" w:eastAsia="宋体"/>
          <w:sz w:val="24"/>
        </w:rPr>
        <w:t>1、鉴于采购社会化服务开展红火蚁防控属于政府公益性事业，为保证防控区域内民众能够切实得到良好的服务，体现防控的成效，防治企业应做好防控宣传与技术培训。</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7</w:t>
      </w:r>
      <w:r>
        <w:rPr>
          <w:rFonts w:ascii="宋体" w:hAnsi="宋体" w:cs="宋体" w:eastAsia="宋体"/>
          <w:sz w:val="24"/>
          <w:b/>
        </w:rPr>
        <w:t>】</w:t>
      </w:r>
      <w:r>
        <w:rPr>
          <w:rFonts w:ascii="宋体" w:hAnsi="宋体" w:cs="宋体" w:eastAsia="宋体"/>
          <w:sz w:val="24"/>
        </w:rPr>
        <w:t>2、防治企业应与防控区域内的农技干部建立有效的信息沟通机制，及时向其反馈防控进展，了解防控区域民众对防控服务的要求。采用粘贴宣传彩页、分发防控联系小卡片的方式，做好防控区域内各村落红火蚁危害与防范宣传科普。在村落公开宣传栏与人流密集区粘贴宣传彩页，保证宣传到位。防治企业负责防控区域内红火蚁疫情应急处理和技术指导。</w:t>
      </w:r>
    </w:p>
    <w:p>
      <w:pPr>
        <w:pStyle w:val="null3"/>
        <w:ind w:right="330" w:firstLine="482"/>
        <w:jc w:val="left"/>
      </w:pPr>
      <w:r>
        <w:rPr>
          <w:rFonts w:ascii="宋体" w:hAnsi="宋体" w:cs="宋体" w:eastAsia="宋体"/>
          <w:sz w:val="24"/>
          <w:b/>
        </w:rPr>
        <w:t>（三）防治企业人员配备要求</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8</w:t>
      </w:r>
      <w:r>
        <w:rPr>
          <w:rFonts w:ascii="宋体" w:hAnsi="宋体" w:cs="宋体" w:eastAsia="宋体"/>
          <w:sz w:val="24"/>
          <w:b/>
        </w:rPr>
        <w:t>】</w:t>
      </w:r>
      <w:r>
        <w:rPr>
          <w:rFonts w:ascii="微软雅黑" w:hAnsi="微软雅黑" w:cs="微软雅黑" w:eastAsia="微软雅黑"/>
          <w:sz w:val="24"/>
          <w:b/>
        </w:rPr>
        <w:t>▲</w:t>
      </w:r>
      <w:r>
        <w:rPr>
          <w:rFonts w:ascii="宋体" w:hAnsi="宋体" w:cs="宋体" w:eastAsia="宋体"/>
          <w:sz w:val="24"/>
        </w:rPr>
        <w:t>1、为保证防控质量，防治企业需针对本项目成立项目组，并配备项目负责人1名及不少于1名（含1人）的技术负责人（</w:t>
      </w:r>
      <w:r>
        <w:rPr>
          <w:rFonts w:ascii="宋体" w:hAnsi="宋体" w:cs="宋体" w:eastAsia="宋体"/>
          <w:sz w:val="24"/>
          <w:b/>
        </w:rPr>
        <w:t>须提供相关人员投标截止日前在投标人单位近六个月中（不含投标当月）任意一个月的社保缴纳证明</w:t>
      </w:r>
      <w:r>
        <w:rPr>
          <w:rFonts w:ascii="宋体" w:hAnsi="宋体" w:cs="宋体" w:eastAsia="宋体"/>
          <w:sz w:val="24"/>
        </w:rPr>
        <w:t>）。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服务期间若采购人根据项目需要召开会议，项目负责人必须准时参加。</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9</w:t>
      </w:r>
      <w:r>
        <w:rPr>
          <w:rFonts w:ascii="宋体" w:hAnsi="宋体" w:cs="宋体" w:eastAsia="宋体"/>
          <w:sz w:val="24"/>
          <w:b/>
        </w:rPr>
        <w:t>】</w:t>
      </w:r>
      <w:r>
        <w:rPr>
          <w:rFonts w:ascii="宋体" w:hAnsi="宋体" w:cs="宋体" w:eastAsia="宋体"/>
          <w:sz w:val="24"/>
        </w:rPr>
        <w:t>2、防治企业安排的每位员工每周的工作时长、员工薪酬待遇等须符合劳动法等法律法规规定。若防治企业与其雇员产生劳动纠纷或其他不符合劳动法等法律法规规定的，一切责任由防治企业自行承担，造成采购人负面影响的，采购人有权解除合同并追究防治企业的违约责任。</w:t>
      </w:r>
    </w:p>
    <w:p>
      <w:pPr>
        <w:pStyle w:val="null3"/>
        <w:ind w:right="330" w:firstLine="482"/>
        <w:jc w:val="left"/>
      </w:pPr>
      <w:r>
        <w:rPr>
          <w:rFonts w:ascii="宋体" w:hAnsi="宋体" w:cs="宋体" w:eastAsia="宋体"/>
          <w:sz w:val="24"/>
          <w:b/>
        </w:rPr>
        <w:t>（四）过程监理与防效自检</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1</w:t>
      </w:r>
      <w:r>
        <w:rPr>
          <w:rFonts w:ascii="宋体" w:hAnsi="宋体" w:cs="宋体" w:eastAsia="宋体"/>
          <w:sz w:val="24"/>
          <w:b/>
        </w:rPr>
        <w:t>0</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1、由采购人聘请监测技术服务单位对施工单位进行全程数字化监督，防治企业需接受监测技术服务单位的监督。监测技术服务单位负责跟踪检查项目组织管理制度落实情况、项目人员到位情况，以及巡查、监测、防治、应急处理等各项工作实施力度、进度是否符合该合同和实施方案要求；检查该项目各类相关文件档案、数据、资料等是否完整、齐备。</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1</w:t>
      </w:r>
      <w:r>
        <w:rPr>
          <w:rFonts w:ascii="宋体" w:hAnsi="宋体" w:cs="宋体" w:eastAsia="宋体"/>
          <w:sz w:val="24"/>
          <w:b/>
        </w:rPr>
        <w:t>1</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2、每一轮防治结束后，防治企业需进行一次自检，并将自检结果告知业主单位。集中防控结束后，监测技术服务单位、防治企业和业主单位一起进行防效自检，自检点位置由监测技术服务单位和业主根据防治企业防治情况确定，定点定位做好防效自检工作。防效自检采用诱集监测法，自检监测点数量不少于</w:t>
      </w:r>
      <w:r>
        <w:rPr>
          <w:u w:val="single"/>
        </w:rPr>
        <w:t xml:space="preserve">   </w:t>
      </w:r>
      <w:r>
        <w:rPr>
          <w:rFonts w:ascii="宋体" w:hAnsi="宋体" w:cs="宋体" w:eastAsia="宋体"/>
          <w:sz w:val="24"/>
        </w:rPr>
        <w:t>个，每个监测点放置不少于</w:t>
      </w:r>
      <w:r>
        <w:rPr>
          <w:rFonts w:ascii="宋体" w:hAnsi="宋体" w:cs="宋体" w:eastAsia="宋体"/>
          <w:sz w:val="24"/>
        </w:rPr>
        <w:t>30个猪肉火腿肠诱饵，每个诱饵之间距离10米以上，监测时间不少于30分钟，防治企业需用“云采集”软件详细记录防效自检监测数据。监测技术服务单位根据防治企业上传的监测数据测算企业自检防治率。企业自检的防治率须达到90%以上，防治企业才能提请验收申请。如发现防治企业在防效自检中弄虚作假，不按监测规程进行操作，一经核实，采购人有权让防治企业重新进行防效自检，因此造成的项目延期及其他不良后果由防治企业承担。</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1</w:t>
      </w:r>
      <w:r>
        <w:rPr>
          <w:rFonts w:ascii="宋体" w:hAnsi="宋体" w:cs="宋体" w:eastAsia="宋体"/>
          <w:sz w:val="24"/>
          <w:b/>
        </w:rPr>
        <w:t>2</w:t>
      </w:r>
      <w:r>
        <w:rPr>
          <w:rFonts w:ascii="宋体" w:hAnsi="宋体" w:cs="宋体" w:eastAsia="宋体"/>
          <w:sz w:val="24"/>
          <w:b/>
        </w:rPr>
        <w:t>】</w:t>
      </w:r>
      <w:r>
        <w:rPr>
          <w:rFonts w:ascii="宋体" w:hAnsi="宋体" w:cs="宋体" w:eastAsia="宋体"/>
          <w:sz w:val="24"/>
        </w:rPr>
        <w:t>3、项目实施期间，监测技术服务单位将阶段性向采购人汇报防控进展情况。一经发现防治企业所采取的防控措施或防控进度不符合投标文件做出的承诺或不能满足项目实施要求，采购人或监测技术服务单位将向防治企业发出整改通知书，并责令限期整改。限期仍未整改到位的，采购人有权书面约谈防治企业负责人。</w:t>
      </w:r>
    </w:p>
    <w:p>
      <w:pPr>
        <w:pStyle w:val="null3"/>
        <w:ind w:right="330" w:firstLine="482"/>
        <w:jc w:val="left"/>
      </w:pPr>
      <w:r>
        <w:rPr>
          <w:rFonts w:ascii="宋体" w:hAnsi="宋体" w:cs="宋体" w:eastAsia="宋体"/>
          <w:sz w:val="24"/>
          <w:b/>
        </w:rPr>
        <w:t>（五）药剂选用要求</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1</w:t>
      </w:r>
      <w:r>
        <w:rPr>
          <w:rFonts w:ascii="宋体" w:hAnsi="宋体" w:cs="宋体" w:eastAsia="宋体"/>
          <w:sz w:val="24"/>
          <w:b/>
        </w:rPr>
        <w:t>3</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1、防治药剂以饵剂为主，在许可的情况下可使用粉剂进行应急消杀。药剂必须是高效低毒，对人畜、水体、土壤及周边环境无害，符合环境要求，且有效成份不含氟虫腈，大田限用和禁用药物除外（部分区域施药可参照卫生害虫防治方法），防治对象为红火蚁，药剂必须取得农药登记证、生产许可证、农药产品质量标准，能在中国农药信息网进行有效查询。防治企业应根据防治区域的天气、环境、农业耕作等情况，选备2种以上成分的防治饵剂以便更换。</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1</w:t>
      </w:r>
      <w:r>
        <w:rPr>
          <w:rFonts w:ascii="宋体" w:hAnsi="宋体" w:cs="宋体" w:eastAsia="宋体"/>
          <w:sz w:val="24"/>
          <w:b/>
        </w:rPr>
        <w:t>4</w:t>
      </w:r>
      <w:r>
        <w:rPr>
          <w:rFonts w:ascii="宋体" w:hAnsi="宋体" w:cs="宋体" w:eastAsia="宋体"/>
          <w:sz w:val="24"/>
          <w:b/>
        </w:rPr>
        <w:t>】</w:t>
      </w:r>
      <w:r>
        <w:rPr>
          <w:rFonts w:ascii="宋体" w:hAnsi="宋体" w:cs="宋体" w:eastAsia="宋体"/>
          <w:sz w:val="24"/>
        </w:rPr>
        <w:t>2、防治企业应根据药品使用说明书要求，结合防控区域农业生产周期、疫情发生情况、气候条件、环境等因素，合理安排施药间隔期、科学施药，保证防控效果。防治企业应做到精准施药，注意控制药剂的用量，不可盲目的投放药剂造成防控区域的二次污染。如发现违规用药或造成重大安全事故，责任由中标单位承担，采购人有权终止合同。防治企业可根据防控情况添加药品种类，添加的药品必须满足项目招标要求。防治企业经监测技术服务单位同意后向采购人提出申请，由采购人审批后方可使用。</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1</w:t>
      </w:r>
      <w:r>
        <w:rPr>
          <w:rFonts w:ascii="宋体" w:hAnsi="宋体" w:cs="宋体" w:eastAsia="宋体"/>
          <w:sz w:val="24"/>
          <w:b/>
        </w:rPr>
        <w:t>5</w:t>
      </w:r>
      <w:r>
        <w:rPr>
          <w:rFonts w:ascii="宋体" w:hAnsi="宋体" w:cs="宋体" w:eastAsia="宋体"/>
          <w:sz w:val="24"/>
          <w:b/>
        </w:rPr>
        <w:t>】</w:t>
      </w:r>
      <w:r>
        <w:rPr>
          <w:rFonts w:ascii="宋体" w:hAnsi="宋体" w:cs="宋体" w:eastAsia="宋体"/>
          <w:sz w:val="24"/>
        </w:rPr>
        <w:t>3、如遇特殊情况或重大疫情，需要辅助使用粉剂的，防治企业经监测技术服务单位同意后向采购人提出申请，经采购人同意后方可使用。粉剂药剂必须是高效低毒，对人畜、水体、土壤及周边环境无害，符合环境要求，且有效成份不含氟虫腈，大田限用和禁用药物除外（部分区域施药可参照卫生害虫防治方法），防治对象为红火蚁，药剂必须取得农药登记证、生产许可证、农药产品质量标准，能在中国农药信息网进行有效查询。未经批准违规使用粉剂，发生事故责任由中标单位承担，采购人有权终止合同。</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1</w:t>
      </w:r>
      <w:r>
        <w:rPr>
          <w:rFonts w:ascii="宋体" w:hAnsi="宋体" w:cs="宋体" w:eastAsia="宋体"/>
          <w:sz w:val="24"/>
          <w:b/>
        </w:rPr>
        <w:t>6</w:t>
      </w:r>
      <w:r>
        <w:rPr>
          <w:rFonts w:ascii="宋体" w:hAnsi="宋体" w:cs="宋体" w:eastAsia="宋体"/>
          <w:sz w:val="24"/>
          <w:b/>
        </w:rPr>
        <w:t>】</w:t>
      </w:r>
      <w:r>
        <w:rPr>
          <w:rFonts w:ascii="宋体" w:hAnsi="宋体" w:cs="宋体" w:eastAsia="宋体"/>
          <w:sz w:val="24"/>
        </w:rPr>
        <w:t>4、防治企业应建立农药包装废弃物回收机制，保证防治药剂包装袋不被丢弃在防控现场，采用集中回收统一处置的方式，建立完善的药剂包装袋回收处置台账。</w:t>
      </w:r>
    </w:p>
    <w:p>
      <w:pPr>
        <w:pStyle w:val="null3"/>
        <w:ind w:right="330" w:firstLine="482"/>
        <w:jc w:val="left"/>
      </w:pPr>
      <w:r>
        <w:rPr>
          <w:rFonts w:ascii="宋体" w:hAnsi="宋体" w:cs="宋体" w:eastAsia="宋体"/>
          <w:sz w:val="24"/>
          <w:b/>
        </w:rPr>
        <w:t>（六）防治企业组织管理要求</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1</w:t>
      </w:r>
      <w:r>
        <w:rPr>
          <w:rFonts w:ascii="宋体" w:hAnsi="宋体" w:cs="宋体" w:eastAsia="宋体"/>
          <w:sz w:val="24"/>
          <w:b/>
        </w:rPr>
        <w:t>7</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1、鉴于红火蚁在福建省范围内属于非主动公开的疫情，为严防红火蚁的发生、分布等相关资料泄漏，防治企业须签订保密责任书。</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1</w:t>
      </w:r>
      <w:r>
        <w:rPr>
          <w:rFonts w:ascii="宋体" w:hAnsi="宋体" w:cs="宋体" w:eastAsia="宋体"/>
          <w:sz w:val="24"/>
          <w:b/>
        </w:rPr>
        <w:t>8</w:t>
      </w:r>
      <w:r>
        <w:rPr>
          <w:rFonts w:ascii="宋体" w:hAnsi="宋体" w:cs="宋体" w:eastAsia="宋体"/>
          <w:sz w:val="24"/>
          <w:b/>
        </w:rPr>
        <w:t>】</w:t>
      </w:r>
      <w:r>
        <w:rPr>
          <w:rFonts w:ascii="宋体" w:hAnsi="宋体" w:cs="宋体" w:eastAsia="宋体"/>
          <w:sz w:val="24"/>
        </w:rPr>
        <w:t>2、防治企业应提供本项目的防控组织实施方案，包括技术方案说明、组织实施、工作计划安排方案及进度计划，并对本方案中有不完善的地方进行补充和完善，保证防控工作的有序性与科学性。</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1</w:t>
      </w:r>
      <w:r>
        <w:rPr>
          <w:rFonts w:ascii="宋体" w:hAnsi="宋体" w:cs="宋体" w:eastAsia="宋体"/>
          <w:sz w:val="24"/>
          <w:b/>
        </w:rPr>
        <w:t>9</w:t>
      </w:r>
      <w:r>
        <w:rPr>
          <w:rFonts w:ascii="宋体" w:hAnsi="宋体" w:cs="宋体" w:eastAsia="宋体"/>
          <w:sz w:val="24"/>
          <w:b/>
        </w:rPr>
        <w:t>】</w:t>
      </w:r>
      <w:r>
        <w:rPr>
          <w:rFonts w:ascii="宋体" w:hAnsi="宋体" w:cs="宋体" w:eastAsia="宋体"/>
          <w:sz w:val="24"/>
        </w:rPr>
        <w:t>3、防治企业提供的防控工艺、标准及技术规范等必须符合国家和行业规定标准、规范要求，技术指标要求不得低于项目提供的服务内容要求。</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20</w:t>
      </w:r>
      <w:r>
        <w:rPr>
          <w:rFonts w:ascii="宋体" w:hAnsi="宋体" w:cs="宋体" w:eastAsia="宋体"/>
          <w:sz w:val="24"/>
          <w:b/>
        </w:rPr>
        <w:t>】</w:t>
      </w:r>
      <w:r>
        <w:rPr>
          <w:rFonts w:ascii="宋体" w:hAnsi="宋体" w:cs="宋体" w:eastAsia="宋体"/>
          <w:sz w:val="24"/>
        </w:rPr>
        <w:t>4、防治企业应提供内部管理制度情况和安全保障措施。</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2</w:t>
      </w:r>
      <w:r>
        <w:rPr>
          <w:rFonts w:ascii="宋体" w:hAnsi="宋体" w:cs="宋体" w:eastAsia="宋体"/>
          <w:sz w:val="24"/>
          <w:b/>
        </w:rPr>
        <w:t>1】</w:t>
      </w:r>
      <w:r>
        <w:rPr>
          <w:rFonts w:ascii="宋体" w:hAnsi="宋体" w:cs="宋体" w:eastAsia="宋体"/>
          <w:sz w:val="24"/>
        </w:rPr>
        <w:t>5、防治企业应提供拟投入的药物情况，药物使用说明。</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22</w:t>
      </w:r>
      <w:r>
        <w:rPr>
          <w:rFonts w:ascii="宋体" w:hAnsi="宋体" w:cs="宋体" w:eastAsia="宋体"/>
          <w:sz w:val="24"/>
          <w:b/>
        </w:rPr>
        <w:t>】</w:t>
      </w:r>
      <w:r>
        <w:rPr>
          <w:rFonts w:ascii="宋体" w:hAnsi="宋体" w:cs="宋体" w:eastAsia="宋体"/>
          <w:sz w:val="24"/>
        </w:rPr>
        <w:t>6、防治企业须提供拟投入的项目管理班子、相关专业人员名单以及人员排班计划，并附人员的从业经历、职称证书、资质证书等相关证明的有效复印件。</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23</w:t>
      </w:r>
      <w:r>
        <w:rPr>
          <w:rFonts w:ascii="宋体" w:hAnsi="宋体" w:cs="宋体" w:eastAsia="宋体"/>
          <w:sz w:val="24"/>
          <w:b/>
        </w:rPr>
        <w:t>】</w:t>
      </w:r>
      <w:r>
        <w:rPr>
          <w:rFonts w:ascii="宋体" w:hAnsi="宋体" w:cs="宋体" w:eastAsia="宋体"/>
          <w:sz w:val="24"/>
        </w:rPr>
        <w:t>7、</w:t>
      </w:r>
      <w:r>
        <w:rPr>
          <w:rFonts w:ascii="宋体" w:hAnsi="宋体" w:cs="宋体" w:eastAsia="宋体"/>
          <w:sz w:val="24"/>
        </w:rPr>
        <w:t>磋商供应商</w:t>
      </w:r>
      <w:r>
        <w:rPr>
          <w:rFonts w:ascii="宋体" w:hAnsi="宋体" w:cs="宋体" w:eastAsia="宋体"/>
          <w:sz w:val="24"/>
        </w:rPr>
        <w:t>可视自身能力，在投标文件中提供更优、更合理的售后服务承诺。</w:t>
      </w:r>
    </w:p>
    <w:p>
      <w:pPr>
        <w:pStyle w:val="null3"/>
        <w:ind w:right="330" w:firstLine="482"/>
        <w:jc w:val="left"/>
      </w:pPr>
      <w:r>
        <w:rPr>
          <w:rFonts w:ascii="宋体" w:hAnsi="宋体" w:cs="宋体" w:eastAsia="宋体"/>
          <w:sz w:val="24"/>
          <w:b/>
        </w:rPr>
        <w:t>（七）其他要求</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24</w:t>
      </w:r>
      <w:r>
        <w:rPr>
          <w:rFonts w:ascii="宋体" w:hAnsi="宋体" w:cs="宋体" w:eastAsia="宋体"/>
          <w:sz w:val="24"/>
          <w:b/>
        </w:rPr>
        <w:t>】</w:t>
      </w:r>
      <w:r>
        <w:rPr>
          <w:rFonts w:ascii="宋体" w:hAnsi="宋体" w:cs="宋体" w:eastAsia="宋体"/>
          <w:sz w:val="24"/>
        </w:rPr>
        <w:t>1、防治人员须严格按照本招标文件要求、相关规范的规定进行工作，防治企业须对其防治人员的工作负责。由于未遵守本招标文件规定，不服从采购人管理造成项目延误或责任事故，违反相关法律法规及国家规则制度的，所产生的一切法律责任和经济损失均由防治企业承担，造成采购人负面影响的，采购人有权解除合同并追究防治企业的违约责任。</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25</w:t>
      </w:r>
      <w:r>
        <w:rPr>
          <w:rFonts w:ascii="宋体" w:hAnsi="宋体" w:cs="宋体" w:eastAsia="宋体"/>
          <w:sz w:val="24"/>
          <w:b/>
        </w:rPr>
        <w:t>】</w:t>
      </w:r>
      <w:r>
        <w:rPr>
          <w:rFonts w:ascii="宋体" w:hAnsi="宋体" w:cs="宋体" w:eastAsia="宋体"/>
          <w:sz w:val="24"/>
        </w:rPr>
        <w:t>2、防治人员须严格遵守相关的法律法规，若在防控期内发生违法犯罪行为的，或因防治人员的行为给采购人造成负面影响，一切后果均由防治企业承担，采购人均有权解除合同并追究防治企业的违约责任。</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26</w:t>
      </w:r>
      <w:r>
        <w:rPr>
          <w:rFonts w:ascii="宋体" w:hAnsi="宋体" w:cs="宋体" w:eastAsia="宋体"/>
          <w:sz w:val="24"/>
          <w:b/>
        </w:rPr>
        <w:t>】</w:t>
      </w:r>
      <w:r>
        <w:rPr>
          <w:rFonts w:ascii="宋体" w:hAnsi="宋体" w:cs="宋体" w:eastAsia="宋体"/>
          <w:sz w:val="24"/>
        </w:rPr>
        <w:t>3、防治人员在防治过程中要服从采购人的管理，接受采购人的监督。注意施工安全，防止发生火灾和人身意外事故。防治企业必须特别注意在林区施工时的森林防火安全，严禁在林区搭建临时食宿设施，严禁携带火种进入林区；同时不得对水源保护区造成污染，遵守有关安全保护规程，如有违反规定发生安全事故由防治企业负全责。</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27</w:t>
      </w:r>
      <w:r>
        <w:rPr>
          <w:rFonts w:ascii="宋体" w:hAnsi="宋体" w:cs="宋体" w:eastAsia="宋体"/>
          <w:sz w:val="24"/>
          <w:b/>
        </w:rPr>
        <w:t>】</w:t>
      </w:r>
      <w:r>
        <w:rPr>
          <w:rFonts w:ascii="宋体" w:hAnsi="宋体" w:cs="宋体" w:eastAsia="宋体"/>
          <w:sz w:val="24"/>
        </w:rPr>
        <w:t>4、防治企业必须为防治施工人员购买保险，服务期间发生的一切安全责任事故及造成第三者伤害责任的，均由中标人承担相应的责任。提醒防治人员在施工过程中注意自身及周边安全，负责施工过程中所有事故的处理和费用。</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28</w:t>
      </w:r>
      <w:r>
        <w:rPr>
          <w:rFonts w:ascii="宋体" w:hAnsi="宋体" w:cs="宋体" w:eastAsia="宋体"/>
          <w:sz w:val="24"/>
          <w:b/>
        </w:rPr>
        <w:t>】</w:t>
      </w:r>
      <w:r>
        <w:rPr>
          <w:rFonts w:ascii="宋体" w:hAnsi="宋体" w:cs="宋体" w:eastAsia="宋体"/>
          <w:sz w:val="24"/>
          <w:b/>
        </w:rPr>
        <w:t>（八）项目现场勘察</w:t>
      </w:r>
    </w:p>
    <w:p>
      <w:pPr>
        <w:pStyle w:val="null3"/>
        <w:ind w:right="330" w:firstLine="480"/>
        <w:jc w:val="left"/>
      </w:pPr>
      <w:r>
        <w:rPr>
          <w:rFonts w:ascii="宋体" w:hAnsi="宋体" w:cs="宋体" w:eastAsia="宋体"/>
          <w:sz w:val="24"/>
        </w:rPr>
        <w:t>踏勘现场：</w:t>
      </w:r>
      <w:r>
        <w:rPr>
          <w:rFonts w:ascii="宋体" w:hAnsi="宋体" w:cs="宋体" w:eastAsia="宋体"/>
          <w:sz w:val="24"/>
        </w:rPr>
        <w:t>磋商供应商</w:t>
      </w:r>
      <w:r>
        <w:rPr>
          <w:rFonts w:ascii="宋体" w:hAnsi="宋体" w:cs="宋体" w:eastAsia="宋体"/>
          <w:sz w:val="24"/>
        </w:rPr>
        <w:t>应自行对工程现场及周围环境进行踏勘，以便获取有关编制报价文件和签署合同所涉及现场的资料。踏勘现场所发生的费用由</w:t>
      </w:r>
      <w:r>
        <w:rPr>
          <w:rFonts w:ascii="宋体" w:hAnsi="宋体" w:cs="宋体" w:eastAsia="宋体"/>
          <w:sz w:val="24"/>
        </w:rPr>
        <w:t>磋商供应商</w:t>
      </w:r>
      <w:r>
        <w:rPr>
          <w:rFonts w:ascii="宋体" w:hAnsi="宋体" w:cs="宋体" w:eastAsia="宋体"/>
          <w:sz w:val="24"/>
        </w:rPr>
        <w:t>自己承担。采购人对</w:t>
      </w:r>
      <w:r>
        <w:rPr>
          <w:rFonts w:ascii="宋体" w:hAnsi="宋体" w:cs="宋体" w:eastAsia="宋体"/>
          <w:sz w:val="24"/>
        </w:rPr>
        <w:t>磋商供应商</w:t>
      </w:r>
      <w:r>
        <w:rPr>
          <w:rFonts w:ascii="宋体" w:hAnsi="宋体" w:cs="宋体" w:eastAsia="宋体"/>
          <w:sz w:val="24"/>
        </w:rPr>
        <w:t>做出的理解、推论和结论均不负责任。</w:t>
      </w:r>
    </w:p>
    <w:p>
      <w:pPr>
        <w:pStyle w:val="null3"/>
        <w:ind w:right="330" w:firstLine="482"/>
        <w:jc w:val="left"/>
      </w:pPr>
      <w:r>
        <w:rPr>
          <w:rFonts w:ascii="宋体" w:hAnsi="宋体" w:cs="宋体" w:eastAsia="宋体"/>
          <w:sz w:val="24"/>
          <w:b/>
        </w:rPr>
        <w:t>【技术指标评审项</w:t>
      </w:r>
      <w:r>
        <w:rPr>
          <w:rFonts w:ascii="宋体" w:hAnsi="宋体" w:cs="宋体" w:eastAsia="宋体"/>
          <w:sz w:val="24"/>
          <w:b/>
        </w:rPr>
        <w:t>29</w:t>
      </w:r>
      <w:r>
        <w:rPr>
          <w:rFonts w:ascii="宋体" w:hAnsi="宋体" w:cs="宋体" w:eastAsia="宋体"/>
          <w:sz w:val="24"/>
          <w:b/>
        </w:rPr>
        <w:t>】</w:t>
      </w:r>
      <w:r>
        <w:rPr>
          <w:rFonts w:ascii="宋体" w:hAnsi="宋体" w:cs="宋体" w:eastAsia="宋体"/>
          <w:sz w:val="24"/>
          <w:b/>
        </w:rPr>
        <w:t>（九）现场投标报价响应要求</w:t>
      </w:r>
    </w:p>
    <w:p>
      <w:pPr>
        <w:pStyle w:val="null3"/>
        <w:ind w:right="330" w:firstLine="480"/>
        <w:jc w:val="left"/>
      </w:pPr>
      <w:r>
        <w:rPr>
          <w:rFonts w:ascii="微软雅黑" w:hAnsi="微软雅黑" w:cs="微软雅黑" w:eastAsia="微软雅黑"/>
          <w:sz w:val="24"/>
        </w:rPr>
        <w:t>★</w:t>
      </w:r>
      <w:r>
        <w:rPr>
          <w:rFonts w:ascii="宋体" w:hAnsi="宋体" w:cs="宋体" w:eastAsia="宋体"/>
          <w:sz w:val="24"/>
        </w:rPr>
        <w:t>本项目评标时设置投标供应商的现场报价环节，供应商在资格及符合性审查后，将开放系统二次报价，投标供应商须在系统开放二次报价之时起</w:t>
      </w:r>
      <w:r>
        <w:rPr>
          <w:rFonts w:ascii="宋体" w:hAnsi="宋体" w:cs="宋体" w:eastAsia="宋体"/>
          <w:sz w:val="24"/>
        </w:rPr>
        <w:t>30分钟内填写完整报价单并加盖CA章提交，未按时提交二次报价的视为无效投标。开放起始时间均在评标过程中临时开启，请投标供应商务必密切关注实时系统流程，并根据流程在系统内按时操作，否则产生的后果由供应商自行承担。</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tc>
        <w:tc>
          <w:tcPr>
            <w:tcW w:type="dxa" w:w="2076"/>
          </w:tcPr>
          <w:p>
            <w:pPr>
              <w:pStyle w:val="null3"/>
            </w:pPr>
            <w:r>
              <w:rPr/>
              <w:t>交货时间</w:t>
            </w:r>
          </w:p>
        </w:tc>
        <w:tc>
          <w:tcPr>
            <w:tcW w:type="dxa" w:w="2076"/>
          </w:tcPr>
          <w:p>
            <w:pPr>
              <w:pStyle w:val="null3"/>
            </w:pPr>
            <w:r>
              <w:rPr/>
              <w:t>本项目服务期限自合同签订生效之日起180个日历天内完成项目并经验收合格后终止。（其中第一轮防治须在合同签订生效之日起90个日历天内完成）</w:t>
            </w:r>
          </w:p>
        </w:tc>
      </w:tr>
      <w:tr>
        <w:tc>
          <w:tcPr>
            <w:tcW w:type="dxa" w:w="2076"/>
          </w:tcPr>
          <w:p>
            <w:pPr>
              <w:pStyle w:val="null3"/>
            </w:pPr>
            <w:r>
              <w:rPr/>
              <w:t>2</w:t>
            </w:r>
          </w:p>
        </w:tc>
        <w:tc>
          <w:tcPr>
            <w:tcW w:type="dxa" w:w="2076"/>
          </w:tcPr>
          <w:p/>
        </w:tc>
        <w:tc>
          <w:tcPr>
            <w:tcW w:type="dxa" w:w="2076"/>
          </w:tcPr>
          <w:p>
            <w:pPr>
              <w:pStyle w:val="null3"/>
            </w:pPr>
            <w:r>
              <w:rPr/>
              <w:t>交货地点</w:t>
            </w:r>
          </w:p>
        </w:tc>
        <w:tc>
          <w:tcPr>
            <w:tcW w:type="dxa" w:w="2076"/>
          </w:tcPr>
          <w:p>
            <w:pPr>
              <w:pStyle w:val="null3"/>
            </w:pPr>
            <w:r>
              <w:rPr/>
              <w:t>诏安县采购人指定地址</w:t>
            </w:r>
          </w:p>
        </w:tc>
      </w:tr>
      <w:tr>
        <w:tc>
          <w:tcPr>
            <w:tcW w:type="dxa" w:w="2076"/>
          </w:tcPr>
          <w:p>
            <w:pPr>
              <w:pStyle w:val="null3"/>
            </w:pPr>
            <w:r>
              <w:rPr/>
              <w:t>3</w:t>
            </w:r>
          </w:p>
        </w:tc>
        <w:tc>
          <w:tcPr>
            <w:tcW w:type="dxa" w:w="2076"/>
          </w:tcPr>
          <w:p/>
        </w:tc>
        <w:tc>
          <w:tcPr>
            <w:tcW w:type="dxa" w:w="2076"/>
          </w:tcPr>
          <w:p>
            <w:pPr>
              <w:pStyle w:val="null3"/>
            </w:pPr>
            <w:r>
              <w:rPr/>
              <w:t>交货条件</w:t>
            </w:r>
          </w:p>
        </w:tc>
        <w:tc>
          <w:tcPr>
            <w:tcW w:type="dxa" w:w="2076"/>
          </w:tcPr>
          <w:p>
            <w:pPr>
              <w:pStyle w:val="null3"/>
            </w:pPr>
            <w:r>
              <w:rPr/>
              <w:t>验收合格</w:t>
            </w:r>
          </w:p>
        </w:tc>
      </w:tr>
      <w:tr>
        <w:tc>
          <w:tcPr>
            <w:tcW w:type="dxa" w:w="2076"/>
          </w:tcPr>
          <w:p>
            <w:pPr>
              <w:pStyle w:val="null3"/>
            </w:pPr>
            <w:r>
              <w:rPr/>
              <w:t>4</w:t>
            </w:r>
          </w:p>
        </w:tc>
        <w:tc>
          <w:tcPr>
            <w:tcW w:type="dxa" w:w="2076"/>
          </w:tcP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tc>
        <w:tc>
          <w:tcPr>
            <w:tcW w:type="dxa" w:w="2076"/>
          </w:tcPr>
          <w:p>
            <w:pPr>
              <w:pStyle w:val="null3"/>
            </w:pPr>
            <w:r>
              <w:rPr/>
              <w:t>履约验收方式</w:t>
            </w:r>
          </w:p>
        </w:tc>
        <w:tc>
          <w:tcPr>
            <w:tcW w:type="dxa" w:w="2076"/>
          </w:tcPr>
          <w:p>
            <w:pPr>
              <w:pStyle w:val="null3"/>
            </w:pPr>
            <w:r>
              <w:rPr/>
              <w:t>1、期次1，说明：防治工作完成后进行防效自检，防治率达90%后，防治企业向业主提出验收申请，业主单位组织验收专家组进行防效考核，防治率达90%以上为验收合格。</w:t>
            </w:r>
          </w:p>
        </w:tc>
      </w:tr>
      <w:tr>
        <w:tc>
          <w:tcPr>
            <w:tcW w:type="dxa" w:w="2076"/>
          </w:tcPr>
          <w:p>
            <w:pPr>
              <w:pStyle w:val="null3"/>
            </w:pPr>
            <w:r>
              <w:rPr/>
              <w:t>6</w:t>
            </w:r>
          </w:p>
        </w:tc>
        <w:tc>
          <w:tcPr>
            <w:tcW w:type="dxa" w:w="2076"/>
          </w:tcPr>
          <w:p/>
        </w:tc>
        <w:tc>
          <w:tcPr>
            <w:tcW w:type="dxa" w:w="2076"/>
          </w:tcPr>
          <w:p>
            <w:pPr>
              <w:pStyle w:val="null3"/>
            </w:pPr>
            <w:r>
              <w:rPr/>
              <w:t>合同支付方式</w:t>
            </w:r>
          </w:p>
        </w:tc>
        <w:tc>
          <w:tcPr>
            <w:tcW w:type="dxa" w:w="2076"/>
          </w:tcPr>
          <w:p>
            <w:pPr>
              <w:pStyle w:val="null3"/>
            </w:pPr>
            <w:r>
              <w:rPr/>
              <w:t>1、验收小组对防控工作验收合格后，达到付款条件起30日内，支付合同总金额的100.00%</w:t>
            </w:r>
          </w:p>
        </w:tc>
      </w:tr>
      <w:tr>
        <w:tc>
          <w:tcPr>
            <w:tcW w:type="dxa" w:w="2076"/>
          </w:tcPr>
          <w:p>
            <w:pPr>
              <w:pStyle w:val="null3"/>
            </w:pPr>
            <w:r>
              <w:rPr/>
              <w:t>7</w:t>
            </w:r>
          </w:p>
        </w:tc>
        <w:tc>
          <w:tcPr>
            <w:tcW w:type="dxa" w:w="2076"/>
          </w:tcP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4"/>
          <w:b/>
        </w:rPr>
        <w:t>（一）、扣款项目：</w:t>
      </w:r>
    </w:p>
    <w:p>
      <w:pPr>
        <w:pStyle w:val="null3"/>
        <w:ind w:left="420" w:right="330" w:firstLine="480"/>
        <w:jc w:val="left"/>
      </w:pPr>
      <w:r>
        <w:rPr>
          <w:rFonts w:ascii="宋体" w:hAnsi="宋体" w:cs="宋体" w:eastAsia="宋体"/>
          <w:sz w:val="24"/>
        </w:rPr>
        <w:t>1、在抽检或验收过程中，有群众投诉房前屋后不防治的情况，每例扣罚服务费100元。</w:t>
      </w:r>
    </w:p>
    <w:p>
      <w:pPr>
        <w:pStyle w:val="null3"/>
        <w:ind w:left="420" w:right="330" w:firstLine="480"/>
        <w:jc w:val="left"/>
      </w:pPr>
      <w:r>
        <w:rPr>
          <w:rFonts w:ascii="宋体" w:hAnsi="宋体" w:cs="宋体" w:eastAsia="宋体"/>
          <w:sz w:val="24"/>
        </w:rPr>
        <w:t>2、未执行农药包装废弃物回收机制，每发现1个农药包装废弃物扣罚服务费200元。</w:t>
      </w:r>
    </w:p>
    <w:p>
      <w:pPr>
        <w:pStyle w:val="null3"/>
        <w:ind w:left="420" w:right="330" w:firstLine="480"/>
        <w:jc w:val="left"/>
      </w:pPr>
      <w:r>
        <w:rPr>
          <w:rFonts w:ascii="宋体" w:hAnsi="宋体" w:cs="宋体" w:eastAsia="宋体"/>
          <w:sz w:val="24"/>
        </w:rPr>
        <w:t>3、在接到红火蚁疫情应急处理通知后，保证24小时内派员到现场进行处理。超过一天后才到达的，按每超一天扣罚500元进行累加扣罚。</w:t>
      </w:r>
    </w:p>
    <w:p>
      <w:pPr>
        <w:pStyle w:val="null3"/>
        <w:ind w:left="420" w:right="330" w:firstLine="480"/>
        <w:jc w:val="left"/>
      </w:pPr>
      <w:r>
        <w:rPr>
          <w:rFonts w:ascii="宋体" w:hAnsi="宋体" w:cs="宋体" w:eastAsia="宋体"/>
          <w:sz w:val="24"/>
        </w:rPr>
        <w:t>4、项目实施期间，监测技术服务单位将阶段性向采购人汇报防控进展情况。一经发现防治企业所采取的防控措施或防控进度不符合投标文件做出的承诺或不能满足项目实施要求，采购人或监测技术服务单位将向防治企业发出整改通知书，并责令限期整改。限期仍未整改到位的，采购人有权书面约谈防治企业负责人。凡被约谈一次扣罚防治经费的10%。</w:t>
      </w:r>
    </w:p>
    <w:p>
      <w:pPr>
        <w:pStyle w:val="null3"/>
        <w:ind w:left="420" w:right="330" w:firstLine="480"/>
        <w:jc w:val="left"/>
      </w:pPr>
      <w:r>
        <w:rPr>
          <w:rFonts w:ascii="宋体" w:hAnsi="宋体" w:cs="宋体" w:eastAsia="宋体"/>
          <w:sz w:val="24"/>
        </w:rPr>
        <w:t>5、项目实施期间，防治企业需严格按照操作规程进行普查及防治红火蚁，严禁弄虚作假等行为存在。首次发现防治企业存在弄虚作假等行为，采购人或监测技术服务单位将向防治企业发出口头警告，并责令立即整改。如再次发现存在弄虚作假等行为，采购人有权书面约谈防治企业负责人。凡被约谈一次扣罚防治经费的10%。</w:t>
      </w:r>
    </w:p>
    <w:p>
      <w:pPr>
        <w:pStyle w:val="null3"/>
        <w:ind w:left="420" w:right="330" w:firstLine="482"/>
        <w:jc w:val="left"/>
      </w:pPr>
      <w:r>
        <w:rPr>
          <w:rFonts w:ascii="宋体" w:hAnsi="宋体" w:cs="宋体" w:eastAsia="宋体"/>
          <w:sz w:val="24"/>
          <w:b/>
        </w:rPr>
        <w:t>（二）、验收标准</w:t>
      </w:r>
    </w:p>
    <w:p>
      <w:pPr>
        <w:pStyle w:val="null3"/>
        <w:ind w:left="420" w:right="330" w:firstLine="480"/>
        <w:jc w:val="left"/>
      </w:pPr>
      <w:r>
        <w:rPr>
          <w:rFonts w:ascii="宋体" w:hAnsi="宋体" w:cs="宋体" w:eastAsia="宋体"/>
          <w:sz w:val="24"/>
        </w:rPr>
        <w:t>（</w:t>
      </w:r>
      <w:r>
        <w:rPr>
          <w:rFonts w:ascii="宋体" w:hAnsi="宋体" w:cs="宋体" w:eastAsia="宋体"/>
          <w:sz w:val="24"/>
        </w:rPr>
        <w:t>1）防治企业完成项目防控工作后，采购人将组织验收专家组进行防效考核。考核形式包括书面资料审查和实地防效考核。书面资料包括：防控总结、调查监测数据汇总、培训资料汇总等。</w:t>
      </w:r>
    </w:p>
    <w:p>
      <w:pPr>
        <w:pStyle w:val="null3"/>
        <w:ind w:left="420" w:right="330" w:firstLine="480"/>
        <w:jc w:val="left"/>
      </w:pPr>
      <w:r>
        <w:rPr>
          <w:rFonts w:ascii="宋体" w:hAnsi="宋体" w:cs="宋体" w:eastAsia="宋体"/>
          <w:sz w:val="24"/>
        </w:rPr>
        <w:t>（</w:t>
      </w:r>
      <w:r>
        <w:rPr>
          <w:rFonts w:ascii="宋体" w:hAnsi="宋体" w:cs="宋体" w:eastAsia="宋体"/>
          <w:sz w:val="24"/>
        </w:rPr>
        <w:t>2）防效评价方法</w:t>
      </w:r>
    </w:p>
    <w:p>
      <w:pPr>
        <w:pStyle w:val="null3"/>
        <w:ind w:left="420" w:right="330" w:firstLine="480"/>
        <w:jc w:val="left"/>
      </w:pPr>
      <w:r>
        <w:rPr>
          <w:rFonts w:ascii="宋体" w:hAnsi="宋体" w:cs="宋体" w:eastAsia="宋体"/>
          <w:sz w:val="24"/>
        </w:rPr>
        <w:t>通过综合防治率评价专业化防控项目的防效，计算公式如下：</w:t>
      </w:r>
    </w:p>
    <w:p>
      <w:pPr>
        <w:pStyle w:val="null3"/>
        <w:ind w:left="420" w:right="330" w:firstLine="480"/>
        <w:jc w:val="left"/>
      </w:pPr>
      <w:r>
        <w:rPr/>
        <w:t xml:space="preserve"> </w:t>
      </w:r>
      <w:r>
        <w:drawing>
          <wp:inline distT="0" distR="0" distB="0" distL="0">
            <wp:extent cx="1323975" cy="4667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323975" cy="466725"/>
                    </a:xfrm>
                    <a:prstGeom prst="rect">
                      <a:avLst/>
                    </a:prstGeom>
                  </pic:spPr>
                </pic:pic>
              </a:graphicData>
            </a:graphic>
          </wp:inline>
        </w:drawing>
      </w:r>
      <w:r>
        <w:rPr>
          <w:rFonts w:ascii="宋体" w:hAnsi="宋体" w:cs="宋体" w:eastAsia="宋体"/>
          <w:sz w:val="24"/>
        </w:rPr>
        <w:t>式（</w:t>
      </w:r>
      <w:r>
        <w:rPr>
          <w:rFonts w:ascii="宋体" w:hAnsi="宋体" w:cs="宋体" w:eastAsia="宋体"/>
          <w:sz w:val="24"/>
        </w:rPr>
        <w:t>1）</w:t>
      </w:r>
    </w:p>
    <w:p>
      <w:pPr>
        <w:pStyle w:val="null3"/>
        <w:ind w:left="420" w:right="330" w:firstLine="480"/>
        <w:jc w:val="left"/>
      </w:pPr>
      <w:r>
        <w:rPr/>
        <w:t xml:space="preserve"> </w:t>
      </w:r>
      <w:r>
        <w:drawing>
          <wp:inline distT="0" distR="0" distB="0" distL="0">
            <wp:extent cx="2800350" cy="7524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2800350" cy="752475"/>
                    </a:xfrm>
                    <a:prstGeom prst="rect">
                      <a:avLst/>
                    </a:prstGeom>
                  </pic:spPr>
                </pic:pic>
              </a:graphicData>
            </a:graphic>
          </wp:inline>
        </w:drawing>
      </w:r>
      <w:r>
        <w:rPr>
          <w:rFonts w:ascii="宋体" w:hAnsi="宋体" w:cs="宋体" w:eastAsia="宋体"/>
          <w:sz w:val="24"/>
        </w:rPr>
        <w:t>式（</w:t>
      </w:r>
      <w:r>
        <w:rPr>
          <w:rFonts w:ascii="宋体" w:hAnsi="宋体" w:cs="宋体" w:eastAsia="宋体"/>
          <w:sz w:val="24"/>
        </w:rPr>
        <w:t>2）</w:t>
      </w:r>
    </w:p>
    <w:p>
      <w:pPr>
        <w:pStyle w:val="null3"/>
        <w:ind w:left="420" w:right="330" w:firstLine="480"/>
        <w:jc w:val="left"/>
      </w:pPr>
      <w:r>
        <w:rPr>
          <w:rFonts w:ascii="宋体" w:hAnsi="宋体" w:cs="宋体" w:eastAsia="宋体"/>
          <w:sz w:val="24"/>
        </w:rPr>
        <w:t>式（</w:t>
      </w:r>
      <w:r>
        <w:rPr>
          <w:rFonts w:ascii="宋体" w:hAnsi="宋体" w:cs="宋体" w:eastAsia="宋体"/>
          <w:sz w:val="24"/>
        </w:rPr>
        <w:t>1）计算每个验收点的防治率，其中：P 表示验收点防治率，n 表示诱集发生样本数，N 表示验收点诱集样本总数。</w:t>
      </w:r>
    </w:p>
    <w:p>
      <w:pPr>
        <w:pStyle w:val="null3"/>
        <w:ind w:left="420" w:right="330" w:firstLine="480"/>
        <w:jc w:val="left"/>
      </w:pPr>
      <w:r>
        <w:rPr>
          <w:rFonts w:ascii="宋体" w:hAnsi="宋体" w:cs="宋体" w:eastAsia="宋体"/>
          <w:sz w:val="24"/>
        </w:rPr>
        <w:t>式（</w:t>
      </w:r>
      <w:r>
        <w:rPr>
          <w:rFonts w:ascii="宋体" w:hAnsi="宋体" w:cs="宋体" w:eastAsia="宋体"/>
          <w:sz w:val="24"/>
        </w:rPr>
        <w:t>2）计算综合防治率，其中：</w:t>
      </w:r>
      <w:r>
        <w:drawing>
          <wp:inline distT="0" distR="0" distB="0" distL="0">
            <wp:extent cx="247650" cy="33337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247650" cy="333375"/>
                    </a:xfrm>
                    <a:prstGeom prst="rect">
                      <a:avLst/>
                    </a:prstGeom>
                  </pic:spPr>
                </pic:pic>
              </a:graphicData>
            </a:graphic>
          </wp:inline>
        </w:drawing>
      </w:r>
      <w:r>
        <w:rPr>
          <w:rFonts w:ascii="宋体" w:hAnsi="宋体" w:cs="宋体" w:eastAsia="宋体"/>
          <w:sz w:val="24"/>
        </w:rPr>
        <w:t>表示综合防治率，</w:t>
      </w:r>
      <w:r>
        <w:rPr>
          <w:rFonts w:ascii="宋体" w:hAnsi="宋体" w:cs="宋体" w:eastAsia="宋体"/>
          <w:sz w:val="24"/>
        </w:rPr>
        <w:t>∑ 表示验收点调查面积总和，s  表示验收点调查面积，K 表示验收点数量，P 表示验收点防治率。</w:t>
      </w:r>
    </w:p>
    <w:p>
      <w:pPr>
        <w:pStyle w:val="null3"/>
        <w:ind w:left="420" w:right="330" w:firstLine="480"/>
        <w:jc w:val="left"/>
      </w:pPr>
      <w:r>
        <w:rPr>
          <w:rFonts w:ascii="宋体" w:hAnsi="宋体" w:cs="宋体" w:eastAsia="宋体"/>
          <w:sz w:val="24"/>
        </w:rPr>
        <w:t>（</w:t>
      </w:r>
      <w:r>
        <w:rPr>
          <w:rFonts w:ascii="宋体" w:hAnsi="宋体" w:cs="宋体" w:eastAsia="宋体"/>
          <w:sz w:val="24"/>
        </w:rPr>
        <w:t>3）验收点布设综合考虑乡镇生境类型，原始红火蚁发生、施药次数、防效评估等因素，随机抽取不少于</w:t>
      </w:r>
      <w:r>
        <w:rPr>
          <w:rFonts w:ascii="calibri" w:hAnsi="calibri" w:cs="calibri" w:eastAsia="calibri"/>
          <w:sz w:val="21"/>
          <w:u w:val="single"/>
        </w:rPr>
        <w:t>10</w:t>
      </w:r>
      <w:r>
        <w:rPr>
          <w:rFonts w:ascii="宋体" w:hAnsi="宋体" w:cs="宋体" w:eastAsia="宋体"/>
          <w:sz w:val="24"/>
        </w:rPr>
        <w:t>个验收点。验收方法按照福建省植保植检总站印发的《关于印发</w:t>
      </w:r>
      <w:r>
        <w:rPr>
          <w:rFonts w:ascii="宋体" w:hAnsi="宋体" w:cs="宋体" w:eastAsia="宋体"/>
          <w:sz w:val="24"/>
        </w:rPr>
        <w:t>&lt;福建省红火蚁防控社会化服务效果评价规范（试行）&gt;》（闽植保函[2021]12号）规定执行。在每个验收点放置不少于60个猪肉火腿肠诱饵进行诱集，每个诱饵之间距离10米以上，若发现蚁巢直接将诱饵放置于蚁巢上，监测时间不少于30分钟，记录每个诱饵上红火蚁数量。</w:t>
      </w:r>
    </w:p>
    <w:p>
      <w:pPr>
        <w:pStyle w:val="null3"/>
        <w:ind w:left="420" w:right="330" w:firstLine="480"/>
        <w:jc w:val="left"/>
      </w:pPr>
      <w:r>
        <w:rPr>
          <w:rFonts w:ascii="宋体" w:hAnsi="宋体" w:cs="宋体" w:eastAsia="宋体"/>
          <w:sz w:val="24"/>
        </w:rPr>
        <w:t>（</w:t>
      </w:r>
      <w:r>
        <w:rPr>
          <w:rFonts w:ascii="宋体" w:hAnsi="宋体" w:cs="宋体" w:eastAsia="宋体"/>
          <w:sz w:val="24"/>
        </w:rPr>
        <w:t>4）项目采用项目1次总验收的方式。即：集中防控结束，验收前必须防效自检达标后，防治企业才能向采购人提出验收申请。采购人组织</w:t>
      </w:r>
      <w:r>
        <w:rPr>
          <w:rFonts w:ascii="calibri" w:hAnsi="calibri" w:cs="calibri" w:eastAsia="calibri"/>
          <w:sz w:val="21"/>
          <w:u w:val="single"/>
        </w:rPr>
        <w:t>5</w:t>
      </w:r>
      <w:r>
        <w:rPr>
          <w:rFonts w:ascii="宋体" w:hAnsi="宋体" w:cs="宋体" w:eastAsia="宋体"/>
          <w:sz w:val="24"/>
        </w:rPr>
        <w:t>名专家进行材料和现场验收。项目执行期间，验收所需专家费由中标防治企业承担。</w:t>
      </w:r>
    </w:p>
    <w:p>
      <w:pPr>
        <w:pStyle w:val="null3"/>
        <w:ind w:left="420" w:right="330" w:firstLine="480"/>
        <w:jc w:val="left"/>
      </w:pPr>
      <w:r>
        <w:rPr>
          <w:rFonts w:ascii="宋体" w:hAnsi="宋体" w:cs="宋体" w:eastAsia="宋体"/>
          <w:sz w:val="24"/>
        </w:rPr>
        <w:t>（</w:t>
      </w:r>
      <w:r>
        <w:rPr>
          <w:rFonts w:ascii="宋体" w:hAnsi="宋体" w:cs="宋体" w:eastAsia="宋体"/>
          <w:sz w:val="24"/>
        </w:rPr>
        <w:t>5）在验收过程中，如发现防治企业故意干扰验收、弄虚作假、伪造诱集监测结果，一经发现核实，采购人有权终止验收，并判断不合格。</w:t>
      </w:r>
    </w:p>
    <w:p>
      <w:pPr>
        <w:pStyle w:val="null3"/>
        <w:ind w:left="420" w:right="330" w:firstLine="480"/>
        <w:jc w:val="left"/>
      </w:pPr>
      <w:r>
        <w:rPr>
          <w:rFonts w:ascii="宋体" w:hAnsi="宋体" w:cs="宋体" w:eastAsia="宋体"/>
          <w:sz w:val="24"/>
        </w:rPr>
        <w:t>（</w:t>
      </w:r>
      <w:r>
        <w:rPr>
          <w:rFonts w:ascii="宋体" w:hAnsi="宋体" w:cs="宋体" w:eastAsia="宋体"/>
          <w:sz w:val="24"/>
        </w:rPr>
        <w:t>6）项目第一次总验收不合格，采购人有权责令供应商进行整改和补充防治，并根据补防情况再行组织验收。如出现下列情况之一，则判定项目总验收不合格（最终结果），采购人有权终止合同，不支付任何费用，同时要求防治企业在15天内归预付款，也可向供应商追讨相应损失：1、在规定的期限内未能再次组织验收；2、在规定的期限内补防仍未能达到验收要求；3、再行组织验收仍未通过。</w:t>
      </w:r>
    </w:p>
    <w:p>
      <w:pPr>
        <w:pStyle w:val="null3"/>
        <w:ind w:left="420" w:right="330" w:firstLine="482"/>
        <w:jc w:val="left"/>
      </w:pPr>
      <w:r>
        <w:rPr>
          <w:rFonts w:ascii="宋体" w:hAnsi="宋体" w:cs="宋体" w:eastAsia="宋体"/>
          <w:sz w:val="24"/>
          <w:b/>
        </w:rPr>
        <w:t>（三）、报价要求</w:t>
      </w:r>
    </w:p>
    <w:p>
      <w:pPr>
        <w:pStyle w:val="null3"/>
        <w:ind w:left="420" w:right="330" w:firstLine="480"/>
        <w:jc w:val="left"/>
      </w:pPr>
      <w:r>
        <w:rPr>
          <w:rFonts w:ascii="宋体" w:hAnsi="宋体" w:cs="宋体" w:eastAsia="宋体"/>
          <w:sz w:val="24"/>
        </w:rPr>
        <w:t>（</w:t>
      </w:r>
      <w:r>
        <w:rPr>
          <w:rFonts w:ascii="宋体" w:hAnsi="宋体" w:cs="宋体" w:eastAsia="宋体"/>
          <w:sz w:val="24"/>
        </w:rPr>
        <w:t>1）报价为完成本项目涉及的所有工作可能发生的费用，包含人工费、药品、辅助材料费、机械、技术服务、检验检测、劳保、税金、验收专家费、相关伴随服务合同期间所可能发生的一切费用，项目实施过程中，采购人无须再支付任何其他费用。</w:t>
      </w:r>
    </w:p>
    <w:p>
      <w:pPr>
        <w:pStyle w:val="null3"/>
        <w:ind w:left="420" w:right="330" w:firstLine="480"/>
        <w:jc w:val="left"/>
      </w:pPr>
      <w:r>
        <w:rPr>
          <w:rFonts w:ascii="宋体" w:hAnsi="宋体" w:cs="宋体" w:eastAsia="宋体"/>
          <w:sz w:val="24"/>
        </w:rPr>
        <w:t>（</w:t>
      </w:r>
      <w:r>
        <w:rPr>
          <w:rFonts w:ascii="宋体" w:hAnsi="宋体" w:cs="宋体" w:eastAsia="宋体"/>
          <w:sz w:val="24"/>
        </w:rPr>
        <w:t>2）按项目的技术服务要求，供应商根据项目特点和自身条件确定投标报价。投标报价为整个项目的总报价，如有漏项，视同已包含在其它项目中，总报价和单价不做调整。</w:t>
      </w:r>
    </w:p>
    <w:p>
      <w:pPr>
        <w:pStyle w:val="null3"/>
        <w:ind w:left="420" w:right="330" w:firstLine="480"/>
        <w:jc w:val="left"/>
      </w:pPr>
      <w:r>
        <w:rPr>
          <w:rFonts w:ascii="宋体" w:hAnsi="宋体" w:cs="宋体" w:eastAsia="宋体"/>
          <w:sz w:val="24"/>
        </w:rPr>
        <w:t>（</w:t>
      </w:r>
      <w:r>
        <w:rPr>
          <w:rFonts w:ascii="宋体" w:hAnsi="宋体" w:cs="宋体" w:eastAsia="宋体"/>
          <w:sz w:val="24"/>
        </w:rPr>
        <w:t>3）除由于采购人需求变更外，供应商应承担本招标文件规定的所有费用和不可预见费用。</w:t>
      </w:r>
    </w:p>
    <w:p>
      <w:pPr>
        <w:pStyle w:val="null3"/>
        <w:ind w:left="420" w:right="330" w:firstLine="480"/>
        <w:jc w:val="left"/>
      </w:pPr>
      <w:r>
        <w:rPr>
          <w:rFonts w:ascii="宋体" w:hAnsi="宋体" w:cs="宋体" w:eastAsia="宋体"/>
          <w:sz w:val="24"/>
          <w:shd w:fill="FFFFFF" w:val="clear"/>
        </w:rPr>
        <w:t>（</w:t>
      </w:r>
      <w:r>
        <w:rPr>
          <w:rFonts w:ascii="宋体" w:hAnsi="宋体" w:cs="宋体" w:eastAsia="宋体"/>
          <w:sz w:val="24"/>
          <w:shd w:fill="FFFFFF" w:val="clear"/>
        </w:rPr>
        <w:t>4）各</w:t>
      </w:r>
      <w:r>
        <w:rPr>
          <w:rFonts w:ascii="宋体" w:hAnsi="宋体" w:cs="宋体" w:eastAsia="宋体"/>
          <w:sz w:val="24"/>
          <w:shd w:fill="FFFFFF" w:val="clear"/>
        </w:rPr>
        <w:t>磋商供应商</w:t>
      </w:r>
      <w:r>
        <w:rPr>
          <w:rFonts w:ascii="宋体" w:hAnsi="宋体" w:cs="宋体" w:eastAsia="宋体"/>
          <w:sz w:val="24"/>
          <w:shd w:fill="FFFFFF" w:val="clear"/>
        </w:rPr>
        <w:t>报价时应综合考虑日后属政策性调整变动等因素造成的价格变动，上述价格变动不予调整。</w:t>
      </w:r>
    </w:p>
    <w:p>
      <w:pPr>
        <w:pStyle w:val="null3"/>
        <w:ind w:left="420" w:right="330" w:firstLine="480"/>
        <w:jc w:val="left"/>
      </w:pPr>
      <w:r>
        <w:rPr>
          <w:rFonts w:ascii="宋体" w:hAnsi="宋体" w:cs="宋体" w:eastAsia="宋体"/>
          <w:sz w:val="24"/>
        </w:rPr>
        <w:t>（</w:t>
      </w:r>
      <w:r>
        <w:rPr>
          <w:rFonts w:ascii="宋体" w:hAnsi="宋体" w:cs="宋体" w:eastAsia="宋体"/>
          <w:sz w:val="24"/>
        </w:rPr>
        <w:t>5）</w:t>
      </w:r>
      <w:r>
        <w:rPr>
          <w:rFonts w:ascii="宋体" w:hAnsi="宋体" w:cs="宋体" w:eastAsia="宋体"/>
          <w:sz w:val="24"/>
        </w:rPr>
        <w:t>磋商供应商</w:t>
      </w:r>
      <w:r>
        <w:rPr>
          <w:rFonts w:ascii="宋体" w:hAnsi="宋体" w:cs="宋体" w:eastAsia="宋体"/>
          <w:sz w:val="24"/>
        </w:rPr>
        <w:t>对本项目只能有一个报价，采购单位不接受有选择的报价。</w:t>
      </w:r>
    </w:p>
    <w:p>
      <w:pPr>
        <w:pStyle w:val="null3"/>
        <w:ind w:left="420" w:right="330" w:firstLine="480"/>
        <w:jc w:val="left"/>
      </w:pPr>
      <w:r>
        <w:rPr>
          <w:rFonts w:ascii="宋体" w:hAnsi="宋体" w:cs="宋体" w:eastAsia="宋体"/>
          <w:sz w:val="24"/>
        </w:rPr>
        <w:t>（</w:t>
      </w:r>
      <w:r>
        <w:rPr>
          <w:rFonts w:ascii="宋体" w:hAnsi="宋体" w:cs="宋体" w:eastAsia="宋体"/>
          <w:sz w:val="24"/>
        </w:rPr>
        <w:t>6）本项目以人民币为结算货币。</w:t>
      </w:r>
    </w:p>
    <w:p>
      <w:pPr>
        <w:pStyle w:val="null3"/>
        <w:ind w:left="420" w:right="330" w:firstLine="482"/>
        <w:jc w:val="left"/>
      </w:pPr>
      <w:r>
        <w:rPr>
          <w:rFonts w:ascii="宋体" w:hAnsi="宋体" w:cs="宋体" w:eastAsia="宋体"/>
          <w:sz w:val="24"/>
          <w:b/>
        </w:rPr>
        <w:t>（四）、检查考核</w:t>
      </w:r>
    </w:p>
    <w:p>
      <w:pPr>
        <w:pStyle w:val="null3"/>
        <w:ind w:left="420" w:right="330" w:firstLine="480"/>
        <w:jc w:val="left"/>
      </w:pPr>
      <w:r>
        <w:rPr>
          <w:rFonts w:ascii="宋体" w:hAnsi="宋体" w:cs="宋体" w:eastAsia="宋体"/>
          <w:sz w:val="24"/>
        </w:rPr>
        <w:t>1、中标单位防治人员须严格按照相关规范的规定进行工作，中标单位须对其防治人员的工作负责。由于未遵守本招标文件规定，不服从采购人管理造成项目延误或责任事故，违反相关法律法规及规章制度的，所产生的一切法律责任和经济损失均由中标单位承担，造成采购人负面影响的，采购人有权解除合同并追究中标单位的违约责任。</w:t>
      </w:r>
    </w:p>
    <w:p>
      <w:pPr>
        <w:pStyle w:val="null3"/>
        <w:ind w:left="420" w:right="330" w:firstLine="480"/>
        <w:jc w:val="left"/>
      </w:pPr>
      <w:r>
        <w:rPr>
          <w:rFonts w:ascii="宋体" w:hAnsi="宋体" w:cs="宋体" w:eastAsia="宋体"/>
          <w:sz w:val="24"/>
        </w:rPr>
        <w:t>2、中标单位防治人员须严格遵守相关的法律法规，若在防控期内发生违法犯罪行为的，或因防治人员的行为给采购人造成负面影响，一切后果均由中标单位承担，采购人均有权解除合同并追究中标单位的违约责任。</w:t>
      </w:r>
    </w:p>
    <w:p>
      <w:pPr>
        <w:pStyle w:val="null3"/>
        <w:ind w:left="420" w:right="330" w:firstLine="480"/>
        <w:jc w:val="left"/>
      </w:pPr>
      <w:r>
        <w:rPr>
          <w:rFonts w:ascii="宋体" w:hAnsi="宋体" w:cs="宋体" w:eastAsia="宋体"/>
          <w:sz w:val="24"/>
        </w:rPr>
        <w:t>3、中标单位防治人员在防治过程中要服从采购人的管理，接受采购人的监督。注意施工安全，防止发生火灾和人身意外事故。中标单位必须特别注意在林区施工时的森林防火安全，严禁在林区搭建临时食宿设施，严禁携带火种进入林区；同时不得对水源保护区造成污染，遵守有关安全保护规程，如有违反规定发生安全事故由中标单位负全责。</w:t>
      </w:r>
    </w:p>
    <w:p>
      <w:pPr>
        <w:pStyle w:val="null3"/>
        <w:ind w:left="420" w:right="330" w:firstLine="480"/>
        <w:jc w:val="left"/>
      </w:pPr>
      <w:r>
        <w:rPr>
          <w:rFonts w:ascii="宋体" w:hAnsi="宋体" w:cs="宋体" w:eastAsia="宋体"/>
          <w:sz w:val="24"/>
        </w:rPr>
        <w:t>4、中标单位必须为防治施工人员购买保险，服务期间发生的一切安全责任事故及造成第三者伤害责任的，均由中标人承担相应的责任。提醒防治人员在施工过程中注意自身及周边安全，负责施工过程中所有事故的处理和费用。</w:t>
      </w:r>
    </w:p>
    <w:p>
      <w:pPr>
        <w:pStyle w:val="null3"/>
        <w:ind w:left="420" w:right="330" w:firstLine="480"/>
        <w:jc w:val="left"/>
      </w:pPr>
      <w:r>
        <w:rPr>
          <w:rFonts w:ascii="宋体" w:hAnsi="宋体" w:cs="宋体" w:eastAsia="宋体"/>
          <w:sz w:val="24"/>
          <w:b/>
        </w:rPr>
        <w:t>（五）、质量保证期和售后支持服务</w:t>
      </w:r>
    </w:p>
    <w:p>
      <w:pPr>
        <w:pStyle w:val="null3"/>
        <w:ind w:left="420" w:right="330" w:firstLine="480"/>
        <w:jc w:val="left"/>
      </w:pPr>
      <w:r>
        <w:rPr>
          <w:rFonts w:ascii="宋体" w:hAnsi="宋体" w:cs="宋体" w:eastAsia="宋体"/>
          <w:sz w:val="24"/>
        </w:rPr>
        <w:t>服务期内发生问题，中标人应在接到采购人通知后</w:t>
      </w:r>
      <w:r>
        <w:rPr>
          <w:rFonts w:ascii="宋体" w:hAnsi="宋体" w:cs="宋体" w:eastAsia="宋体"/>
          <w:sz w:val="24"/>
        </w:rPr>
        <w:t>1小时内响应并派专业技术人员到达现场免费进行服务，无论工作日或节假日都需到达解决，不得收取加班费用。</w:t>
      </w:r>
    </w:p>
    <w:p>
      <w:pPr>
        <w:pStyle w:val="null3"/>
        <w:jc w:val="left"/>
        <w:outlineLvl w:val="2"/>
      </w:pPr>
      <w:r>
        <w:rPr>
          <w:sz w:val="28"/>
          <w:b/>
        </w:rPr>
        <w:t>四、其他事项</w:t>
      </w:r>
    </w:p>
    <w:p>
      <w:pPr>
        <w:pStyle w:val="null3"/>
        <w:jc w:val="left"/>
      </w:pPr>
      <w:r>
        <w:rPr/>
        <w:t>1、除招标文件另有规定外，若出现有关法律、法规和规章有强制性规定但招标文件未列明的情形，则磋商供应商应按照有关法律、法规和规章强制性规定执行。 2、投标供应商在投标文件中所有承诺将作为履约合同不可分割的组成部分。若中标供应商未按投标文件所承诺执行，视为中标供应商违约，每次违约采购人有权给予处罚人民币伍仟元整的违约金。</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 xml:space="preserve"> 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r>
        <w:br/>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附件2 报价一览表</w:t>
      </w:r>
    </w:p>
    <w:p>
      <w:pPr>
        <w:pStyle w:val="null3"/>
        <w:ind w:firstLine="480"/>
        <w:jc w:val="left"/>
      </w:pPr>
      <w:r>
        <w:rPr/>
        <w:t>供应商名称：</w:t>
      </w:r>
      <w:r>
        <w:rPr>
          <w:u w:val="single"/>
        </w:rPr>
        <w:t>（全称加盖单位公章）</w:t>
      </w:r>
      <w:r>
        <w:rPr/>
        <w:t xml:space="preserve"> 项目编号∶</w:t>
      </w:r>
      <w:r>
        <w:rPr>
          <w:u w:val="single"/>
        </w:rPr>
        <w:t>　　</w:t>
      </w:r>
      <w:r>
        <w:rPr>
          <w:u w:val="single"/>
        </w:rPr>
        <w:t>　　</w:t>
      </w:r>
      <w:r>
        <w:rPr>
          <w:u w:val="single"/>
        </w:rPr>
        <w:t>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磋商保证金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 xml:space="preserve">　　　　 </w:t>
      </w:r>
      <w:r>
        <w:rPr>
          <w:u w:val="single"/>
        </w:rPr>
        <w:t>（签字）</w:t>
      </w:r>
    </w:p>
    <w:p>
      <w:pPr>
        <w:pStyle w:val="null3"/>
        <w:jc w:val="left"/>
      </w:pPr>
      <w:r>
        <w:rPr/>
        <w:t xml:space="preserve"> </w:t>
        <w:br/>
        <w:br w:type="page"/>
      </w:r>
    </w:p>
    <w:p>
      <w:pPr>
        <w:pStyle w:val="null3"/>
        <w:jc w:val="center"/>
        <w:outlineLvl w:val="3"/>
      </w:pPr>
      <w:r>
        <w:rPr>
          <w:sz w:val="24"/>
          <w:b/>
        </w:rPr>
        <w:t>附件2-1 详细报价书</w:t>
      </w:r>
    </w:p>
    <w:p>
      <w:pPr>
        <w:pStyle w:val="null3"/>
        <w:jc w:val="left"/>
      </w:pPr>
      <w:r>
        <w:rPr>
          <w:b/>
        </w:rPr>
        <w:t>说明：</w:t>
      </w:r>
    </w:p>
    <w:p>
      <w:pPr>
        <w:pStyle w:val="null3"/>
        <w:ind w:firstLine="480"/>
        <w:jc w:val="left"/>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 xml:space="preserve">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　　</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tc>
        <w:tc>
          <w:tcPr>
            <w:tcW w:type="dxa" w:w="7476"/>
            <w:gridSpan w:val="6"/>
          </w:tcPr>
          <w:p>
            <w:pPr>
              <w:pStyle w:val="null3"/>
              <w:jc w:val="center"/>
            </w:pPr>
            <w:r>
              <w:rPr/>
              <w:t>本采购包内属于节能、环境标志产品的报价情况</w:t>
            </w:r>
          </w:p>
        </w:tc>
      </w:tr>
      <w:tr>
        <w:tc>
          <w:tcPr>
            <w:tcW w:type="dxa" w:w="831"/>
          </w:tcPr>
          <w:p>
            <w:pPr>
              <w:pStyle w:val="null3"/>
              <w:jc w:val="center"/>
            </w:pPr>
            <w:r>
              <w:rPr/>
              <w:t>采购包</w:t>
            </w:r>
          </w:p>
          <w:p>
            <w:pPr>
              <w:pStyle w:val="null3"/>
              <w:jc w:val="center"/>
            </w:pP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w:t>
            </w:r>
          </w:p>
        </w:tc>
        <w:tc>
          <w:tcPr>
            <w:tcW w:type="dxa" w:w="1661"/>
          </w:tcPr>
          <w:p>
            <w:pPr>
              <w:pStyle w:val="null3"/>
              <w:jc w:val="center"/>
            </w:pPr>
            <w:r>
              <w:rPr/>
              <w:t>数量</w:t>
            </w:r>
          </w:p>
        </w:tc>
        <w:tc>
          <w:tcPr>
            <w:tcW w:type="dxa" w:w="831"/>
          </w:tcPr>
          <w:p>
            <w:pPr>
              <w:pStyle w:val="null3"/>
              <w:jc w:val="center"/>
            </w:pPr>
            <w:r>
              <w:rPr/>
              <w:t>最后报价总价</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vMerge/>
          </w:tcPr>
          <w:p/>
        </w:tc>
        <w:tc>
          <w:tcPr>
            <w:tcW w:type="dxa" w:w="831"/>
          </w:tcPr>
          <w:p>
            <w:pPr>
              <w:pStyle w:val="null3"/>
              <w:jc w:val="center"/>
            </w:pPr>
            <w:r>
              <w:rPr/>
              <w:t>...</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tcPr>
          <w:p>
            <w:pPr>
              <w:pStyle w:val="null3"/>
              <w:jc w:val="center"/>
            </w:pPr>
            <w:r>
              <w:rPr/>
              <w:t>报价</w:t>
            </w:r>
          </w:p>
        </w:tc>
        <w:tc>
          <w:tcPr>
            <w:tcW w:type="dxa" w:w="7476"/>
            <w:gridSpan w:val="6"/>
          </w:tcPr>
          <w:p>
            <w:pPr>
              <w:pStyle w:val="null3"/>
              <w:jc w:val="left"/>
            </w:pPr>
            <w:r>
              <w:rPr/>
              <w:t>采购包内属于节能、环境标志产品的报价总金额：</w:t>
            </w:r>
            <w:r>
              <w:rPr>
                <w:u w:val="single"/>
              </w:rPr>
              <w:t xml:space="preserve">    </w:t>
            </w:r>
            <w:r>
              <w:rPr/>
              <w:t>。</w:t>
            </w:r>
          </w:p>
        </w:tc>
      </w:tr>
    </w:tbl>
    <w:p>
      <w:pPr>
        <w:pStyle w:val="null3"/>
        <w:ind w:firstLine="480"/>
        <w:jc w:val="left"/>
      </w:pPr>
      <w:r>
        <w:rPr/>
        <w:t>※注意：</w:t>
      </w:r>
    </w:p>
    <w:p>
      <w:pPr>
        <w:pStyle w:val="null3"/>
        <w:ind w:firstLine="480"/>
        <w:jc w:val="left"/>
      </w:pPr>
      <w:r>
        <w:rPr/>
        <w:t>1、对“节能、环境标志产品”计算价格扣除时，只依据响应文件提交的材料。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3.3供应商应按照谈判文件上表要求认真统计、计算。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