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441900002-2024-00723</w:t>
      </w:r>
    </w:p>
    <w:p>
      <w:pPr>
        <w:pStyle w:val="null3"/>
        <w:jc w:val="center"/>
        <w:outlineLvl w:val="3"/>
      </w:pPr>
      <w:r>
        <w:rPr>
          <w:sz w:val="24"/>
          <w:b/>
        </w:rPr>
        <w:t>采购项目编号：</w:t>
      </w:r>
      <w:r>
        <w:rPr>
          <w:sz w:val="24"/>
          <w:b/>
        </w:rPr>
        <w:t>DCCG2024071</w:t>
      </w:r>
    </w:p>
    <w:p>
      <w:pPr>
        <w:pStyle w:val="null3"/>
        <w:jc w:val="center"/>
        <w:outlineLvl w:val="3"/>
      </w:pPr>
      <w:r>
        <w:rPr>
          <w:sz w:val="24"/>
          <w:b/>
        </w:rPr>
        <w:t>项目名称：</w:t>
      </w:r>
      <w:r>
        <w:rPr>
          <w:sz w:val="24"/>
          <w:b/>
        </w:rPr>
        <w:t>东城街道除“四害”及白蚁、红火蚁防治服务项目（2024-2027年）</w:t>
      </w:r>
    </w:p>
    <w:p>
      <w:pPr>
        <w:pStyle w:val="null3"/>
        <w:jc w:val="center"/>
        <w:outlineLvl w:val="3"/>
      </w:pPr>
      <w:r>
        <w:rPr>
          <w:sz w:val="24"/>
          <w:b/>
        </w:rPr>
        <w:t>采购人：</w:t>
      </w:r>
      <w:r>
        <w:rPr>
          <w:sz w:val="24"/>
          <w:b/>
        </w:rPr>
        <w:t>东莞市东城公用事业服务中心</w:t>
      </w:r>
    </w:p>
    <w:p>
      <w:pPr>
        <w:pStyle w:val="null3"/>
        <w:jc w:val="center"/>
        <w:outlineLvl w:val="3"/>
      </w:pPr>
      <w:r>
        <w:rPr>
          <w:sz w:val="24"/>
          <w:b/>
        </w:rPr>
        <w:t>采购代理机构：</w:t>
      </w:r>
      <w:r>
        <w:rPr>
          <w:sz w:val="24"/>
          <w:b/>
        </w:rPr>
        <w:t>广东溢盛项目管理有限公司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广东溢盛项目管理有限公司</w:t>
      </w:r>
      <w:r>
        <w:rPr/>
        <w:t>受</w:t>
      </w:r>
      <w:r>
        <w:rPr/>
        <w:t>东莞市东城公用事业服务中心</w:t>
      </w:r>
      <w:r>
        <w:rPr/>
        <w:t>的委托，采用</w:t>
      </w:r>
      <w:r>
        <w:rPr/>
        <w:t>公开招标</w:t>
      </w:r>
      <w:r>
        <w:rPr/>
        <w:t>方式组织采购</w:t>
      </w:r>
      <w:r>
        <w:rPr/>
        <w:t>东城街道除“四害”及白蚁、红火蚁防治服务项目（2024-2027年）</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东城街道除“四害”及白蚁、红火蚁防治服务项目（2024-2027年）</w:t>
      </w:r>
    </w:p>
    <w:p>
      <w:pPr>
        <w:pStyle w:val="null3"/>
        <w:ind w:firstLine="480"/>
      </w:pPr>
      <w:r>
        <w:rPr/>
        <w:t>采购计划编号：</w:t>
      </w:r>
      <w:r>
        <w:rPr/>
        <w:t>441900002-2024-00723</w:t>
      </w:r>
    </w:p>
    <w:p>
      <w:pPr>
        <w:pStyle w:val="null3"/>
        <w:ind w:firstLine="480"/>
      </w:pPr>
      <w:r>
        <w:rPr/>
        <w:t>采购项目编号：</w:t>
      </w:r>
      <w:r>
        <w:rPr/>
        <w:t>DCCG2024071</w:t>
      </w:r>
    </w:p>
    <w:p>
      <w:pPr>
        <w:pStyle w:val="null3"/>
        <w:ind w:firstLine="480"/>
      </w:pPr>
      <w:r>
        <w:rPr/>
        <w:t>采购方式：</w:t>
      </w:r>
      <w:r>
        <w:rPr/>
        <w:t>公开招标</w:t>
      </w:r>
    </w:p>
    <w:p>
      <w:pPr>
        <w:pStyle w:val="null3"/>
        <w:ind w:firstLine="480"/>
      </w:pPr>
      <w:r>
        <w:rPr/>
        <w:t>预算金额：</w:t>
      </w:r>
      <w:r>
        <w:rPr/>
        <w:t>6,798,055.44</w:t>
      </w:r>
      <w:r>
        <w:rPr/>
        <w:t>元</w:t>
      </w:r>
    </w:p>
    <w:p>
      <w:pPr>
        <w:pStyle w:val="null3"/>
        <w:outlineLvl w:val="3"/>
      </w:pPr>
      <w:r>
        <w:rPr>
          <w:sz w:val="24"/>
          <w:b/>
        </w:rPr>
        <w:t>2.项目内容及需求情况（采购项目技术规格、参数及要求）</w:t>
      </w:r>
    </w:p>
    <w:p>
      <w:pPr>
        <w:pStyle w:val="null3"/>
      </w:pPr>
      <w:r>
        <w:rPr/>
        <w:t>采购包1(东城街道除“四害”及白蚁、红火蚁防治服务项目（2024-2027年）（标一）):</w:t>
      </w:r>
    </w:p>
    <w:p>
      <w:pPr>
        <w:pStyle w:val="null3"/>
      </w:pPr>
      <w:r>
        <w:rPr/>
        <w:t>采购包预算金额：3,447,064.29元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其他城镇公共卫生服务</w:t>
            </w:r>
          </w:p>
        </w:tc>
        <w:tc>
          <w:tcPr>
            <w:tcW w:type="dxa" w:w="2136"/>
          </w:tcPr>
          <w:p>
            <w:pPr>
              <w:pStyle w:val="null3"/>
            </w:pPr>
            <w:r>
              <w:rPr/>
              <w:t>东城街道除“四害”及白蚁、红火蚁防治服务项目（2024-2027年）（标一）</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合同履行期限：合同签订之日起3年（具体起始时间以签订合同约定日期为准）</w:t>
      </w:r>
    </w:p>
    <w:p>
      <w:pPr>
        <w:pStyle w:val="null3"/>
      </w:pPr>
      <w:r>
        <w:rPr/>
        <w:t>采购包2(东城街道除“四害”及白蚁、红火蚁防治服务项目（2024-2027年）（标二）):</w:t>
      </w:r>
    </w:p>
    <w:p>
      <w:pPr>
        <w:pStyle w:val="null3"/>
      </w:pPr>
      <w:r>
        <w:rPr/>
        <w:t>采购包预算金额：3,350,991.15元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其他城镇公共卫生服务</w:t>
            </w:r>
          </w:p>
        </w:tc>
        <w:tc>
          <w:tcPr>
            <w:tcW w:type="dxa" w:w="2136"/>
          </w:tcPr>
          <w:p>
            <w:pPr>
              <w:pStyle w:val="null3"/>
            </w:pPr>
            <w:r>
              <w:rPr/>
              <w:t>东城街道除“四害”及白蚁、红火蚁防治服务项目（2024-2027年）（标二）</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合同履行期限：合同签订之日起3年（具体起始时间以签订合同约定日期为准）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投标人以承诺函形式提供（内容自行拟定）。</w:t>
      </w:r>
    </w:p>
    <w:p>
      <w:pPr>
        <w:pStyle w:val="null3"/>
      </w:pPr>
      <w:r>
        <w:rPr/>
        <w:t>3）具有良好的商业信誉和健全的财务会计制度：供应商必须具有良好的商业信誉和健全的财务会计制度（提供2023年度财务状况报告或基本开户行出具的资信证明）。或投标人以承诺函形式提供（内容自行拟定）。</w:t>
      </w:r>
    </w:p>
    <w:p>
      <w:pPr>
        <w:pStyle w:val="null3"/>
      </w:pPr>
      <w:r>
        <w:rPr/>
        <w:t>4）履行合同所必需的设备和专业技术能力：按投标（响应）文件格式填报设备及专业技术能力情况。或投标人以承诺函形式提供（内容自行拟定）。</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采购包1（东城街道除“四害”及白蚁、红火蚁防治服务项目（2024-2027年）（标一））：</w:t>
      </w:r>
      <w:r>
        <w:rPr/>
        <w:t>参与的供应商（联合体）服务全部由符合政策要求的中小企业承接。</w:t>
      </w:r>
    </w:p>
    <w:p>
      <w:pPr>
        <w:pStyle w:val="null3"/>
        <w:jc w:val="left"/>
      </w:pPr>
      <w:r>
        <w:rPr/>
        <w:t>采购包2（东城街道除“四害”及白蚁、红火蚁防治服务项目（2024-2027年）（标二））：</w:t>
      </w:r>
      <w:r>
        <w:rPr/>
        <w:t>参与的供应商（联合体）服务全部由符合政策要求的中小企业承接。</w:t>
      </w:r>
    </w:p>
    <w:p>
      <w:pPr>
        <w:pStyle w:val="null3"/>
        <w:outlineLvl w:val="3"/>
      </w:pPr>
      <w:r>
        <w:rPr>
          <w:sz w:val="24"/>
          <w:b/>
        </w:rPr>
        <w:t>3.本项目特定的资格要求：</w:t>
      </w:r>
    </w:p>
    <w:p>
      <w:pPr>
        <w:pStyle w:val="null3"/>
      </w:pPr>
      <w:r>
        <w:rPr/>
        <w:t>采购包1（东城街道除“四害”及白蚁、红火蚁防治服务项目（2024-2027年）（标一））：</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工作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采购包2（东城街道除“四害”及白蚁、红火蚁防治服务项目（2024-2027年）（标二））：</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工作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东莞市东城公用事业服务中心</w:t>
      </w:r>
    </w:p>
    <w:p>
      <w:pPr>
        <w:pStyle w:val="null3"/>
        <w:ind w:firstLine="480"/>
      </w:pPr>
      <w:r>
        <w:rPr/>
        <w:t xml:space="preserve"> 地址：</w:t>
      </w:r>
      <w:r>
        <w:rPr/>
        <w:t>东莞市东城街道东城路东城段561号东城街道办事处3号楼4楼</w:t>
      </w:r>
    </w:p>
    <w:p>
      <w:pPr>
        <w:pStyle w:val="null3"/>
        <w:ind w:firstLine="480"/>
      </w:pPr>
      <w:r>
        <w:rPr/>
        <w:t xml:space="preserve"> 联系方式：</w:t>
      </w:r>
      <w:r>
        <w:rPr/>
        <w:t>0769-22480400</w:t>
      </w:r>
    </w:p>
    <w:p>
      <w:pPr>
        <w:pStyle w:val="null3"/>
        <w:outlineLvl w:val="3"/>
      </w:pPr>
      <w:r>
        <w:rPr>
          <w:sz w:val="24"/>
          <w:b/>
        </w:rPr>
        <w:t xml:space="preserve"> 2.采购代理机构信息</w:t>
      </w:r>
    </w:p>
    <w:p>
      <w:pPr>
        <w:pStyle w:val="null3"/>
        <w:ind w:firstLine="480"/>
      </w:pPr>
      <w:r>
        <w:rPr/>
        <w:t xml:space="preserve"> 名称：</w:t>
      </w:r>
      <w:r>
        <w:rPr/>
        <w:t>广东溢盛项目管理有限公司</w:t>
      </w:r>
    </w:p>
    <w:p>
      <w:pPr>
        <w:pStyle w:val="null3"/>
        <w:ind w:firstLine="480"/>
      </w:pPr>
      <w:r>
        <w:rPr/>
        <w:t xml:space="preserve"> 地址：</w:t>
      </w:r>
      <w:r>
        <w:rPr/>
        <w:t>东莞市东城街道世博广场J区1301室</w:t>
      </w:r>
    </w:p>
    <w:p>
      <w:pPr>
        <w:pStyle w:val="null3"/>
        <w:ind w:firstLine="480"/>
      </w:pPr>
      <w:r>
        <w:rPr/>
        <w:t xml:space="preserve"> 联系方式：</w:t>
      </w:r>
      <w:r>
        <w:rPr/>
        <w:t>0769-26622145</w:t>
      </w:r>
    </w:p>
    <w:p>
      <w:pPr>
        <w:pStyle w:val="null3"/>
        <w:outlineLvl w:val="3"/>
      </w:pPr>
      <w:r>
        <w:rPr>
          <w:sz w:val="24"/>
          <w:b/>
        </w:rPr>
        <w:t xml:space="preserve"> 3.项目联系方式</w:t>
      </w:r>
    </w:p>
    <w:p>
      <w:pPr>
        <w:pStyle w:val="null3"/>
        <w:ind w:firstLine="480"/>
      </w:pPr>
      <w:r>
        <w:rPr/>
        <w:t xml:space="preserve"> 项目联系人：</w:t>
      </w:r>
      <w:r>
        <w:rPr/>
        <w:t>广东溢盛项目管理有限公司</w:t>
      </w:r>
    </w:p>
    <w:p>
      <w:pPr>
        <w:pStyle w:val="null3"/>
        <w:ind w:firstLine="480"/>
      </w:pPr>
      <w:r>
        <w:rPr/>
        <w:t xml:space="preserve"> 电话：</w:t>
      </w:r>
      <w:r>
        <w:rPr/>
        <w:t>0769-26622145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广东溢盛项目管理有限公司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东城街道办为进一步加强东城街道办的病媒生物防制工作力度，严格控制病媒生物密度</w:t>
      </w:r>
      <w:r>
        <w:rPr>
          <w:sz w:val="21"/>
        </w:rPr>
        <w:t>,保证广大群众的身体健康，东城街道办拟采购除“四害”及白蚁、红火蚁防治服务。</w:t>
      </w:r>
    </w:p>
    <w:p>
      <w:pPr>
        <w:pStyle w:val="null3"/>
      </w:pPr>
      <w:r>
        <w:rPr/>
        <w:t>采购包1（东城街道除“四害”及白蚁、红火蚁防治服务项目（2024-2027年）（标一））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合同签订之日起3年（具体起始时间以签订合同约定日期为准）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自合同签订中标人进场实施项目的第二个月起，每月10日前，采购人与中标人双方对上月进行考核评分；中标人应于每月15日前向采购人提供上月承包费用的结算报告及等额发票；采购人收到中标人提供的结算报告及发票后于每月20日前向中标人支付上月的服务费；因中标人原因或财政请款导致付款迟延的，不以采购人违约。 2、年合同价款=合同总价÷3年，普通月承包服务费=年合同价款÷17，特殊月承包服务费=普通月承包服务费×2。每月的服务费在考核评分达优良的情况下全额支付；否则，只支付被扣除后的余额。 3、本项目的经费由政府拨款，采购人向财政部门提交结算资料即视为完成付款任务，如因政策影响，拨款未能及时到位，不视为采购人违约，中标人不得以此为由而不履行本合同规定的义务或主张解除合同，也不得要求采购人承担违约责任或支付补偿、赔偿。如果中标人怠于或者拒绝提供资料或者办理手续的，则因此产生的付款迟延的责任全部由中标人承担，采购人无需为此承担任何违约责任或支付任何补偿、赔偿，中标人也不得以此为由不履行本合同约定义务或主张解除合同。 4、中标人为增值税一般纳税人/增值税小规模纳税人【请贵单位自行根据中标人纳税人资质进行选择】，本项目发票开票税率采用一般计税法/简易计税法【请贵单位自行根据中标人纳税人资质进行选择】。如遇国家税率政策调整，根据不含税金额按照最新税率开票。若中标人在合同履行过程中纳税人资质发生了变更，中标人须在变更后3个工作日内书面通知采购人。若中标人无法按照预算编制的计税法开出相应税率的发票的，中标人须补回对应差额的费用给采购人或采购人在支付款项时直接将差额扣除。 注：考核满分为100分；评分表共两份，特殊月份一份，普通月份一份（特殊月份是指在蚊子的高发季节即3、4、5月和10、11月共五个月，普通月份是指剩余的七个月）。</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1期：1、验收应在采购人与中标人双方共同参加下进行，依据招标文件及本项目合同的有关规定制定的方案及国家有关规定、规范进行。 2、采购人组织项目验收小组按国家有关规定、规范进行验收，必要时邀请相关专业人员或机构参与验收。 3、对验收不合格的部分，中标人应在采购人规定时间内及时整改完善直至合格。</w:t>
            </w:r>
          </w:p>
        </w:tc>
      </w:tr>
      <w:tr>
        <w:tc>
          <w:tcPr>
            <w:tcW w:type="dxa" w:w="4153"/>
          </w:tcPr>
          <w:p>
            <w:pPr>
              <w:pStyle w:val="null3"/>
            </w:pPr>
            <w:r>
              <w:rPr/>
              <w:t>履约保证金</w:t>
            </w:r>
          </w:p>
        </w:tc>
        <w:tc>
          <w:tcPr>
            <w:tcW w:type="dxa" w:w="4153"/>
          </w:tcPr>
          <w:p>
            <w:pPr>
              <w:pStyle w:val="null3"/>
            </w:pPr>
            <w:r>
              <w:rPr/>
              <w:t>收取比例：5%,说明：（1）履约保证金为成交金额的5%。（2）中标人应当以银行转账或履约保函（履约担保应由银行支行级（含）以上机构或政府性融资担保机构或保险公司出具）的方式缴纳履约保证金。给采购人造成的损失超过履约担保数额的，还应当由其对超过部分予以赔偿，并依法追究其责任。（3）中标人完成其合同义务并经验收合格后，可向采购人提交退回履约保证金的申请。采购人收到中标人的退回履约保证金申请材料并经审核无误后，30天内把履约保证金无息退还中标人。（4）下列任何情况发生时，履约保证金将被没收：①中标人将本项目转包给他人，或者在响应文件中未说明，且未经采购人同意，将中标项目分包给他人的，采购人可依法没收其履约保证金。②中标人在履行采购合同期间，违反有关法律法规的规定及合同约定的条款，损害了采购人利益的，采购人有权依法追究其责任。</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其他，投标人应以包干价进行总价报价，报价包括但不限于“四害”及白蚁、红火蚁防控消杀的药物、器械、人工、税费、检测费等及其他履行本合同义务所需的全部费用。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东城街道除“四害”及白蚁、红火蚁防治服务项目（2024-2027年）（标一）</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3,447,064.29</w:t>
            </w:r>
          </w:p>
        </w:tc>
        <w:tc>
          <w:tcPr>
            <w:tcW w:type="dxa" w:w="933"/>
          </w:tcPr>
          <w:p>
            <w:pPr>
              <w:pStyle w:val="null3"/>
              <w:jc w:val="right"/>
            </w:pPr>
            <w:r>
              <w:rPr/>
              <w:t>3,447,064.29</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东城街道除“四害”及白蚁、红火蚁防治服务项目（2024-2027年）（标一）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1"/>
                <w:b/>
              </w:rPr>
              <w:t>一、</w:t>
            </w:r>
            <w:r>
              <w:rPr>
                <w:sz w:val="21"/>
                <w:b/>
              </w:rPr>
              <w:t>项目</w:t>
            </w:r>
            <w:r>
              <w:rPr>
                <w:sz w:val="21"/>
                <w:b/>
              </w:rPr>
              <w:t>范围</w:t>
            </w:r>
          </w:p>
          <w:tbl>
            <w:tblPr>
              <w:tblInd w:type="dxa" w:w="120"/>
              <w:tblBorders>
                <w:top w:val="none" w:color="000000" w:sz="4"/>
                <w:left w:val="none" w:color="000000" w:sz="4"/>
                <w:bottom w:val="none" w:color="000000" w:sz="4"/>
                <w:right w:val="none" w:color="000000" w:sz="4"/>
                <w:insideH w:val="none"/>
                <w:insideV w:val="none"/>
              </w:tblBorders>
            </w:tblPr>
            <w:tblGrid>
              <w:gridCol w:w="697"/>
              <w:gridCol w:w="2455"/>
              <w:gridCol w:w="1404"/>
              <w:gridCol w:w="1029"/>
            </w:tblGrid>
            <w:tr>
              <w:tc>
                <w:tcPr>
                  <w:tcW w:type="dxa" w:w="5585"/>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东城街道除</w:t>
                  </w:r>
                  <w:r>
                    <w:rPr>
                      <w:sz w:val="21"/>
                      <w:b/>
                    </w:rPr>
                    <w:t>“四害”及白蚁、红火蚁防治服务项目（2024-2027年）标一</w:t>
                  </w:r>
                </w:p>
                <w:p>
                  <w:pPr>
                    <w:pStyle w:val="null3"/>
                    <w:jc w:val="center"/>
                  </w:pPr>
                  <w:r>
                    <w:rPr>
                      <w:sz w:val="21"/>
                      <w:b/>
                    </w:rPr>
                    <w:t>灭杀面积统计表</w:t>
                  </w: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路段</w:t>
                  </w:r>
                </w:p>
              </w:tc>
              <w:tc>
                <w:tcPr>
                  <w:tcW w:type="dxa" w:w="1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消杀面积（平方米）</w:t>
                  </w:r>
                </w:p>
              </w:tc>
              <w:tc>
                <w:tcPr>
                  <w:tcW w:type="dxa" w:w="10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备注</w:t>
                  </w: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纵十二路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12679.01</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纵三路延长线</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16010.30</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纵三路体育学校门前大草地</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5211.00</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纵三路体校道路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3669.26</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钟屋围商业街</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10430.60</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新圣路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7495.10</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新建广场后纵路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6932.20</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象山路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6510.91</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伟兴路（牛山段）</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9018.42</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伟兴路（公用）</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35763.39</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伟祥路（牛山段）</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8321.24</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伟祥路（公用）</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8405.60</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伟仁路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7222.08</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伟民路延长线</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6045.20</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伟民路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12345.41</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伟恒路（牛山段）</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26195.97</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伟恒路（公用）</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6389.48</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伟丰路（牛山段）</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11918.34</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伟丰路（公用）</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17583.74</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水濂景观路东城段</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7041.88</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山湖路（牛山段）</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84682.80</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山湖路（公用）</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5787.66</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三兴路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34818.90</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景怡路（牛山段）</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6109.20</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景怡路（公用）</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15618.44</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景祥路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6589.86</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景顺路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8654.80</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景盛路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25382.70</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景晖路（牛山段）</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4042.29</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景晖路（公用）</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6824.86</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景观路（牛山段）</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9486.36</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景观路（公用）</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13111.15</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景昌路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15104.29</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汇京路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62498.73</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禾坑路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23475.01</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莞长路牛山段人行天桥</w:t>
                  </w:r>
                  <w:r>
                    <w:rPr>
                      <w:sz w:val="21"/>
                      <w:color w:val="000000"/>
                    </w:rPr>
                    <w:t>⑤</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728.02</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莞长路牛山段人行天桥</w:t>
                  </w:r>
                  <w:r>
                    <w:rPr>
                      <w:sz w:val="21"/>
                      <w:color w:val="000000"/>
                    </w:rPr>
                    <w:t>④</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492.97</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莞长路牛山段人行天桥</w:t>
                  </w:r>
                  <w:r>
                    <w:rPr>
                      <w:sz w:val="21"/>
                      <w:color w:val="000000"/>
                    </w:rPr>
                    <w:t>③</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556.59</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莞长路牛山段人行天桥</w:t>
                  </w:r>
                  <w:r>
                    <w:rPr>
                      <w:sz w:val="21"/>
                      <w:color w:val="000000"/>
                    </w:rPr>
                    <w:t>②</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699.05</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莞长路牛山段人行天桥</w:t>
                  </w:r>
                  <w:r>
                    <w:rPr>
                      <w:sz w:val="21"/>
                      <w:color w:val="000000"/>
                    </w:rPr>
                    <w:t>①</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688.12</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水濂路口跨线桥底绿化</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6534.3</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莞长路郊区段</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106908.95</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莞长路（兴华工业区门前）</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680.34</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福和广场后横路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5740.28</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禾坑路绿化带</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739.24</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AB路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13544.54</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春天路</w:t>
                  </w:r>
                  <w:r>
                    <w:rPr>
                      <w:sz w:val="21"/>
                      <w:color w:val="000000"/>
                    </w:rPr>
                    <w:t>(东泰段)</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14894.66</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春天路</w:t>
                  </w:r>
                  <w:r>
                    <w:rPr>
                      <w:sz w:val="21"/>
                      <w:color w:val="000000"/>
                    </w:rPr>
                    <w:t>(立新段)</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6905.75</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东华中学跨线桥</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2681.76</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东骏路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26873.66</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东泰大草皮</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748.00</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东五路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19206.34</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莞长路横岭村段</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66759.47</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莞长路立新路段</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142641.75</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光大路（东泰段）</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18927.31</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光大路（立新段）</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4260.71</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海德城市花园纵一路、纵二路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5640.14</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鸿福东路</w:t>
                  </w:r>
                  <w:r>
                    <w:rPr>
                      <w:sz w:val="21"/>
                      <w:color w:val="000000"/>
                    </w:rPr>
                    <w:t>(臻山境段)</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605.54</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鸿福东路小游园</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11822.13</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将军墓停车场</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10704.35</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金树路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17490.98</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金树路豪园路段</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16826.03</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金树路天马公寓</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3208.10</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金树路小公园</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293.70</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金树路与鸿福东路交通岛</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132.28</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九龙路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12200.12</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旧锡边路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32126.58</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军分区</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30210.74</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旗峰路黄旗公园段</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74633.33</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旗峰路新世纪豪园人行天桥</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595.39</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四环路</w:t>
                  </w:r>
                  <w:r>
                    <w:rPr>
                      <w:sz w:val="21"/>
                      <w:color w:val="000000"/>
                    </w:rPr>
                    <w:t>(长泰路)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108947.59</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四环路八小周边</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11309.24</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台心医院东侧规划路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15371.58</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泰和路</w:t>
                  </w:r>
                  <w:r>
                    <w:rPr>
                      <w:sz w:val="21"/>
                      <w:color w:val="000000"/>
                    </w:rPr>
                    <w:t>(东泰段)</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27425.83</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泰和路</w:t>
                  </w:r>
                  <w:r>
                    <w:rPr>
                      <w:sz w:val="21"/>
                      <w:color w:val="000000"/>
                    </w:rPr>
                    <w:t>(火炼树段)</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20878.03</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体育公园西侧</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14143.81</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新源路（立新段）</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44105.19</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新源路</w:t>
                  </w:r>
                  <w:r>
                    <w:rPr>
                      <w:sz w:val="21"/>
                      <w:color w:val="000000"/>
                    </w:rPr>
                    <w:t>(体育公园段)</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19575.89</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新源南路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63137.19</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雅园二路延长线</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12329.36</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雅园新村一、二路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38464.44</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怡丰路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32773.86</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银树北街</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8410.96</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银树北街支路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4920.15</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银树西街</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7366.08</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长泰路旧锡边人行天桥</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668.00</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长泰路东泰花园天桥</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684.64</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东城科技园</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241764.05</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东科路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129387.99</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光明二路（公用）</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6501.70</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光明二路（光明段）</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19896.59</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光明路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24346.23</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黄沙南路（公用）</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43790.45</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黄沙南路（同沙段）</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18740.32</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黄沙河海绵城市公园（同沙段）</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98745.94</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林政路（公用）</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3309.70</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林政路（光明段）</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835.67</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明新街</w:t>
                  </w:r>
                  <w:r>
                    <w:rPr>
                      <w:sz w:val="21"/>
                      <w:color w:val="000000"/>
                    </w:rPr>
                    <w:t>(明星街)光明段</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14757.64</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明新街</w:t>
                  </w:r>
                  <w:r>
                    <w:rPr>
                      <w:sz w:val="21"/>
                      <w:color w:val="000000"/>
                    </w:rPr>
                    <w:t>(明星街)立新段</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1612.73</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明新街</w:t>
                  </w:r>
                  <w:r>
                    <w:rPr>
                      <w:sz w:val="21"/>
                      <w:color w:val="000000"/>
                    </w:rPr>
                    <w:t>(明星街)牛山段</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13322.71</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沙泉路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5977.65</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同欢路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6551.06</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同康路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5196.55</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同沙路</w:t>
                  </w:r>
                  <w:r>
                    <w:rPr>
                      <w:sz w:val="21"/>
                      <w:color w:val="000000"/>
                    </w:rPr>
                    <w:t>(含跨线桥)</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26728.75</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同振路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3392.59</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光明大道至莞长路口</w:t>
                  </w:r>
                  <w:r>
                    <w:rPr>
                      <w:sz w:val="21"/>
                      <w:color w:val="000000"/>
                    </w:rPr>
                    <w:t>(光明段)</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48908.84</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光明大道至莞长路口</w:t>
                  </w:r>
                  <w:r>
                    <w:rPr>
                      <w:sz w:val="21"/>
                      <w:color w:val="000000"/>
                    </w:rPr>
                    <w:t>(牛山段)</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28993.24</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同沙路跨线桥</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4022.81</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粤华学校周边道路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5443.96</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同顺路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4861.57</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同威路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3418.03</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古村路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11382.72</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同辉路西侧</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5536.42</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白头柱</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16193.53</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翠峰路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60692.93</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东城大道</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76862.55</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117</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东城东路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86230.72</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东城南路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56302.71</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东城文化广场</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32347.61</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东城支路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16338.95</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东城中路（旗峰至埃索加油站段）</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121393.61</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东平街</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16336.05</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东升路（岗贝段）</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33579.69</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东升路（石井段）</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40629.49</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东升路（主山段）</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18016.55</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禾仓岭北路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1512.19</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协和路与东和路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26267.96</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金华路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5291.68</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金牛路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3262.57</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军英路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8369.18</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罗沙路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12102.43</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南城路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16102.68</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旗峰路禾仓岭段</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2463.01</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旗峰路粮所</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811.09</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石井大道</w:t>
                  </w:r>
                  <w:r>
                    <w:rPr>
                      <w:sz w:val="21"/>
                      <w:color w:val="000000"/>
                    </w:rPr>
                    <w:t>(社区门口)</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20886.97</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石井大道（公务员宿舍段）</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33777.46</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石井支路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35603.22</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世博北路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14649.42</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世博支路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7495.69</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东翠路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14150.82</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141</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东辉路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17382.75</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市供电大厦旁小路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2348.65</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涡岭</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101453.57</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涡岭工业路至铂尔曼酒店后门路段</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1293.45</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乌石岗</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52527.60</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乌石岗工业路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16768.11</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147</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乌石岗十三碗后面</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5590.77</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行政路</w:t>
                  </w:r>
                  <w:r>
                    <w:rPr>
                      <w:sz w:val="21"/>
                      <w:color w:val="000000"/>
                    </w:rPr>
                    <w:t>(东源路)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14680.16</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149</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熊猫路</w:t>
                  </w:r>
                  <w:r>
                    <w:rPr>
                      <w:sz w:val="21"/>
                      <w:color w:val="000000"/>
                    </w:rPr>
                    <w:t>(东盛街)</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19266.18</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迎宾路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66749.62</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御景湾</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25749.49</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中心路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2745.04</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153</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八一路内侧复绿</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16662.16</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154</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八一路休闲公园</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257418.67</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155</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东城法庭及派出所</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1188.74</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156</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东城人民欢迎您</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9066.03</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157</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东华医院小公园</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1292.21</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158</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黄旗山城市公园南小公园</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8405.67</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159</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马会家居渠化岛</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713.10</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乌石岗新村</w:t>
                  </w:r>
                  <w:r>
                    <w:rPr>
                      <w:sz w:val="21"/>
                      <w:color w:val="000000"/>
                    </w:rPr>
                    <w:t>(花池)</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151.85</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乌石岗公园</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5309.33</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东城交警大队花池</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68.67</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163</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横盛路</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3027.53</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164</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市公务员宿舍周边</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9526.15</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t xml:space="preserve"> </w:t>
            </w:r>
          </w:p>
          <w:p>
            <w:pPr>
              <w:pStyle w:val="null3"/>
              <w:ind w:firstLine="422"/>
              <w:jc w:val="left"/>
            </w:pPr>
            <w:r>
              <w:rPr>
                <w:sz w:val="21"/>
                <w:b/>
              </w:rPr>
              <w:t>二、</w:t>
            </w:r>
            <w:r>
              <w:rPr>
                <w:sz w:val="21"/>
                <w:b/>
              </w:rPr>
              <w:t>项目</w:t>
            </w:r>
            <w:r>
              <w:rPr>
                <w:sz w:val="21"/>
                <w:b/>
              </w:rPr>
              <w:t>服务</w:t>
            </w:r>
            <w:r>
              <w:rPr>
                <w:sz w:val="21"/>
                <w:b/>
              </w:rPr>
              <w:t>要求</w:t>
            </w:r>
          </w:p>
          <w:p>
            <w:pPr>
              <w:pStyle w:val="null3"/>
              <w:ind w:firstLine="420"/>
              <w:jc w:val="both"/>
            </w:pPr>
            <w:r>
              <w:rPr>
                <w:sz w:val="21"/>
              </w:rPr>
              <w:t xml:space="preserve"> </w:t>
            </w:r>
            <w:r>
              <w:rPr>
                <w:sz w:val="21"/>
              </w:rPr>
              <w:t>1.中标人负责灭鼠、蚊、蝇、蟑螂等病媒生物防制，含各种配套的管、沟渠、槽、井等四害灭杀，确保不低于国家卫生镇标准和要求。其中鼠、蚊、蝇、蟑螂密度必须达到国家标准C级以上。在服务期内按照国家卫生镇有关标准，每个月实施除“四害”消杀作业不少于4次，特殊时期要无条件配合采购人增加服务次数</w:t>
            </w:r>
            <w:r>
              <w:rPr>
                <w:sz w:val="21"/>
              </w:rPr>
              <w:t>，</w:t>
            </w:r>
            <w:r>
              <w:rPr>
                <w:sz w:val="21"/>
              </w:rPr>
              <w:t>相应费用已包含在总价中，采购人无需为此增付任何费用</w:t>
            </w:r>
            <w:r>
              <w:rPr>
                <w:sz w:val="21"/>
              </w:rPr>
              <w:t>。</w:t>
            </w:r>
          </w:p>
          <w:p>
            <w:pPr>
              <w:pStyle w:val="null3"/>
              <w:ind w:firstLine="420"/>
              <w:jc w:val="both"/>
            </w:pPr>
            <w:r>
              <w:rPr>
                <w:sz w:val="21"/>
              </w:rPr>
              <w:t>2.中标人须服从采购人安排，积极参与病媒生物防制的宣传发动工作，讲究工作方法，以质量求信誉。无条件接受采购人对工作的检查、监督、考核和工作指导，发现问题及时改正。</w:t>
            </w:r>
          </w:p>
          <w:p>
            <w:pPr>
              <w:pStyle w:val="null3"/>
              <w:ind w:firstLine="420"/>
              <w:jc w:val="both"/>
            </w:pPr>
            <w:r>
              <w:rPr>
                <w:sz w:val="21"/>
              </w:rPr>
              <w:t>3.中标人须根据国家卫生镇标准，保证病媒生物防制工作措施落实，保证服务质量，保证病媒生物防制各项标准顺利达标。</w:t>
            </w:r>
          </w:p>
          <w:p>
            <w:pPr>
              <w:pStyle w:val="null3"/>
              <w:ind w:firstLine="420"/>
              <w:jc w:val="both"/>
            </w:pPr>
            <w:r>
              <w:rPr>
                <w:sz w:val="21"/>
              </w:rPr>
              <w:t>4.中标人要根据采购人关于病媒生物防制的要求及采购人制定的年度发动全民参与计划，由采购人每月动员群众参与，并在消杀服务范围内配合采购人向居民免费派发病媒生物防制药物。</w:t>
            </w:r>
          </w:p>
          <w:p>
            <w:pPr>
              <w:pStyle w:val="null3"/>
              <w:ind w:firstLine="420"/>
              <w:jc w:val="both"/>
            </w:pPr>
            <w:r>
              <w:rPr>
                <w:sz w:val="21"/>
              </w:rPr>
              <w:t>5.中标人除做好服务范围内地域的孳生源全面巡查和清理工作外，还应及时与采购人反应问题，协商解决孳生源处理等问题。</w:t>
            </w:r>
          </w:p>
          <w:p>
            <w:pPr>
              <w:pStyle w:val="null3"/>
              <w:ind w:firstLine="420"/>
              <w:jc w:val="both"/>
            </w:pPr>
            <w:r>
              <w:rPr>
                <w:sz w:val="21"/>
              </w:rPr>
              <w:t>6.中标人须</w:t>
            </w:r>
            <w:r>
              <w:rPr>
                <w:sz w:val="21"/>
              </w:rPr>
              <w:t>严格按照国家有关规定和</w:t>
            </w:r>
            <w:r>
              <w:rPr>
                <w:sz w:val="21"/>
              </w:rPr>
              <w:t>采购人</w:t>
            </w:r>
            <w:r>
              <w:rPr>
                <w:sz w:val="21"/>
              </w:rPr>
              <w:t>招标文件界定或</w:t>
            </w:r>
            <w:r>
              <w:rPr>
                <w:sz w:val="21"/>
              </w:rPr>
              <w:t>采购人</w:t>
            </w:r>
            <w:r>
              <w:rPr>
                <w:sz w:val="21"/>
              </w:rPr>
              <w:t>重新认定的合法药品投放喷洒药物，科学、安全用药，不得使用国家禁用的药品，严防中毒事故发生。</w:t>
            </w:r>
            <w:r>
              <w:rPr>
                <w:sz w:val="21"/>
              </w:rPr>
              <w:t>采购人</w:t>
            </w:r>
            <w:r>
              <w:rPr>
                <w:sz w:val="21"/>
              </w:rPr>
              <w:t>对药物名称、品牌等的确认不能视为</w:t>
            </w:r>
            <w:r>
              <w:rPr>
                <w:sz w:val="21"/>
              </w:rPr>
              <w:t>采购人</w:t>
            </w:r>
            <w:r>
              <w:rPr>
                <w:sz w:val="21"/>
              </w:rPr>
              <w:t>对药物质量的确认，</w:t>
            </w:r>
            <w:r>
              <w:rPr>
                <w:sz w:val="21"/>
              </w:rPr>
              <w:t>中标人</w:t>
            </w:r>
            <w:r>
              <w:rPr>
                <w:sz w:val="21"/>
              </w:rPr>
              <w:t>对药物的质量承担最终责任，如因使用违规药品或因药物质量问题导致第三人人身或财产损失，由</w:t>
            </w:r>
            <w:r>
              <w:rPr>
                <w:sz w:val="21"/>
              </w:rPr>
              <w:t>中标人</w:t>
            </w:r>
            <w:r>
              <w:rPr>
                <w:sz w:val="21"/>
              </w:rPr>
              <w:t>负担全部责任，</w:t>
            </w:r>
            <w:r>
              <w:rPr>
                <w:sz w:val="21"/>
              </w:rPr>
              <w:t>采购人</w:t>
            </w:r>
            <w:r>
              <w:rPr>
                <w:sz w:val="21"/>
              </w:rPr>
              <w:t>可单方面解除服务</w:t>
            </w:r>
            <w:r>
              <w:rPr>
                <w:sz w:val="21"/>
              </w:rPr>
              <w:t>合同</w:t>
            </w:r>
            <w:r>
              <w:rPr>
                <w:sz w:val="21"/>
              </w:rPr>
              <w:t>，并要求</w:t>
            </w:r>
            <w:r>
              <w:rPr>
                <w:sz w:val="21"/>
              </w:rPr>
              <w:t>中标人</w:t>
            </w:r>
            <w:r>
              <w:rPr>
                <w:sz w:val="21"/>
              </w:rPr>
              <w:t>偿付合同金额</w:t>
            </w:r>
            <w:r>
              <w:rPr>
                <w:sz w:val="21"/>
              </w:rPr>
              <w:t>5%的违约金</w:t>
            </w:r>
            <w:r>
              <w:rPr>
                <w:sz w:val="21"/>
              </w:rPr>
              <w:t>。</w:t>
            </w:r>
          </w:p>
          <w:p>
            <w:pPr>
              <w:pStyle w:val="null3"/>
              <w:ind w:firstLine="420"/>
              <w:jc w:val="both"/>
            </w:pPr>
            <w:r>
              <w:rPr>
                <w:sz w:val="21"/>
              </w:rPr>
              <w:t>7.中标人</w:t>
            </w:r>
            <w:r>
              <w:rPr>
                <w:sz w:val="21"/>
              </w:rPr>
              <w:t>必须确保</w:t>
            </w:r>
            <w:r>
              <w:rPr>
                <w:sz w:val="21"/>
              </w:rPr>
              <w:t>中标人</w:t>
            </w:r>
            <w:r>
              <w:rPr>
                <w:sz w:val="21"/>
              </w:rPr>
              <w:t>及其工人遵守</w:t>
            </w:r>
            <w:r>
              <w:rPr>
                <w:sz w:val="21"/>
              </w:rPr>
              <w:t>采购人</w:t>
            </w:r>
            <w:r>
              <w:rPr>
                <w:sz w:val="21"/>
              </w:rPr>
              <w:t>有关管理规定，并能按有关安全规定安全进行工作。</w:t>
            </w:r>
            <w:r>
              <w:rPr>
                <w:sz w:val="21"/>
              </w:rPr>
              <w:t>中标人</w:t>
            </w:r>
            <w:r>
              <w:rPr>
                <w:sz w:val="21"/>
              </w:rPr>
              <w:t>及其工人如有违纪违法、发生工伤意外事故，</w:t>
            </w:r>
            <w:r>
              <w:rPr>
                <w:sz w:val="21"/>
              </w:rPr>
              <w:t>采购人</w:t>
            </w:r>
            <w:r>
              <w:rPr>
                <w:sz w:val="21"/>
              </w:rPr>
              <w:t>均不负任何责任</w:t>
            </w:r>
            <w:r>
              <w:rPr>
                <w:sz w:val="21"/>
              </w:rPr>
              <w:t>。</w:t>
            </w:r>
          </w:p>
          <w:p>
            <w:pPr>
              <w:pStyle w:val="null3"/>
              <w:ind w:firstLine="420"/>
              <w:jc w:val="both"/>
            </w:pPr>
            <w:r>
              <w:rPr>
                <w:sz w:val="21"/>
              </w:rPr>
              <w:t>8.中标人</w:t>
            </w:r>
            <w:r>
              <w:rPr>
                <w:sz w:val="21"/>
              </w:rPr>
              <w:t>的</w:t>
            </w:r>
            <w:r>
              <w:rPr>
                <w:sz w:val="21"/>
              </w:rPr>
              <w:t>工人</w:t>
            </w:r>
            <w:r>
              <w:rPr>
                <w:sz w:val="21"/>
              </w:rPr>
              <w:t>工资、保险费、药费、工具等一切费用支出，由</w:t>
            </w:r>
            <w:r>
              <w:rPr>
                <w:sz w:val="21"/>
              </w:rPr>
              <w:t>中标人</w:t>
            </w:r>
            <w:r>
              <w:rPr>
                <w:sz w:val="21"/>
              </w:rPr>
              <w:t>负责，盈亏自负，与</w:t>
            </w:r>
            <w:r>
              <w:rPr>
                <w:sz w:val="21"/>
              </w:rPr>
              <w:t>采购人</w:t>
            </w:r>
            <w:r>
              <w:rPr>
                <w:sz w:val="21"/>
              </w:rPr>
              <w:t>无关。另外，</w:t>
            </w:r>
            <w:r>
              <w:rPr>
                <w:sz w:val="21"/>
              </w:rPr>
              <w:t>中标人</w:t>
            </w:r>
            <w:r>
              <w:rPr>
                <w:sz w:val="21"/>
              </w:rPr>
              <w:t>要保证其工人购买工伤保险，并将相关凭证交付</w:t>
            </w:r>
            <w:r>
              <w:rPr>
                <w:sz w:val="21"/>
              </w:rPr>
              <w:t>采购人</w:t>
            </w:r>
            <w:r>
              <w:rPr>
                <w:sz w:val="21"/>
              </w:rPr>
              <w:t>后才能上班。否则，视为非工作人员，不准上班，后果由</w:t>
            </w:r>
            <w:r>
              <w:rPr>
                <w:sz w:val="21"/>
              </w:rPr>
              <w:t>中标人</w:t>
            </w:r>
            <w:r>
              <w:rPr>
                <w:sz w:val="21"/>
              </w:rPr>
              <w:t>负责。工人住宿、水</w:t>
            </w:r>
            <w:r>
              <w:rPr>
                <w:sz w:val="21"/>
              </w:rPr>
              <w:t>电、伙食</w:t>
            </w:r>
            <w:r>
              <w:rPr>
                <w:sz w:val="21"/>
              </w:rPr>
              <w:t>、交通</w:t>
            </w:r>
            <w:r>
              <w:rPr>
                <w:sz w:val="21"/>
              </w:rPr>
              <w:t>问题由</w:t>
            </w:r>
            <w:r>
              <w:rPr>
                <w:sz w:val="21"/>
              </w:rPr>
              <w:t>中标人</w:t>
            </w:r>
            <w:r>
              <w:rPr>
                <w:sz w:val="21"/>
              </w:rPr>
              <w:t>承担</w:t>
            </w:r>
            <w:r>
              <w:rPr>
                <w:sz w:val="21"/>
              </w:rPr>
              <w:t>；</w:t>
            </w:r>
            <w:r>
              <w:rPr>
                <w:sz w:val="21"/>
              </w:rPr>
              <w:t>中标人</w:t>
            </w:r>
            <w:r>
              <w:rPr>
                <w:sz w:val="21"/>
              </w:rPr>
              <w:t>与其</w:t>
            </w:r>
            <w:r>
              <w:rPr>
                <w:sz w:val="21"/>
              </w:rPr>
              <w:t>工人</w:t>
            </w:r>
            <w:r>
              <w:rPr>
                <w:sz w:val="21"/>
              </w:rPr>
              <w:t>之间的劳资纠纷、工伤事故、侵权责任等纠纷，由</w:t>
            </w:r>
            <w:r>
              <w:rPr>
                <w:sz w:val="21"/>
              </w:rPr>
              <w:t>中标人</w:t>
            </w:r>
            <w:r>
              <w:rPr>
                <w:sz w:val="21"/>
              </w:rPr>
              <w:t>自行处理，并自行承担相应的法律责任及赔偿，</w:t>
            </w:r>
            <w:r>
              <w:rPr>
                <w:sz w:val="21"/>
              </w:rPr>
              <w:t>与采购人无关</w:t>
            </w:r>
            <w:r>
              <w:rPr>
                <w:sz w:val="21"/>
              </w:rPr>
              <w:t>。</w:t>
            </w:r>
          </w:p>
          <w:p>
            <w:pPr>
              <w:pStyle w:val="null3"/>
              <w:ind w:firstLine="420"/>
              <w:jc w:val="both"/>
            </w:pPr>
            <w:r>
              <w:rPr>
                <w:sz w:val="21"/>
              </w:rPr>
              <w:t>9.中标人</w:t>
            </w:r>
            <w:r>
              <w:rPr>
                <w:sz w:val="21"/>
              </w:rPr>
              <w:t>根据所承担的工作内容，按实际上岗人数自行到有关部门申办用工手续、员工劳动保险手续和办理暂住证手续，安排好属下人员的住宿和管理工作</w:t>
            </w:r>
            <w:r>
              <w:rPr>
                <w:sz w:val="21"/>
              </w:rPr>
              <w:t>。</w:t>
            </w:r>
          </w:p>
          <w:p>
            <w:pPr>
              <w:pStyle w:val="null3"/>
              <w:ind w:firstLine="420"/>
              <w:jc w:val="both"/>
            </w:pPr>
            <w:r>
              <w:rPr>
                <w:sz w:val="21"/>
              </w:rPr>
              <w:t>10.中标人</w:t>
            </w:r>
            <w:r>
              <w:rPr>
                <w:sz w:val="21"/>
              </w:rPr>
              <w:t>必须落实安全生产和交通安全措施。</w:t>
            </w:r>
            <w:r>
              <w:rPr>
                <w:sz w:val="21"/>
              </w:rPr>
              <w:t>中标人</w:t>
            </w:r>
            <w:r>
              <w:rPr>
                <w:sz w:val="21"/>
              </w:rPr>
              <w:t>应按</w:t>
            </w:r>
            <w:r>
              <w:rPr>
                <w:sz w:val="21"/>
              </w:rPr>
              <w:t>采购人</w:t>
            </w:r>
            <w:r>
              <w:rPr>
                <w:sz w:val="21"/>
              </w:rPr>
              <w:t>要求，为上岗工人购买统一的工作服，佩戴统一的工作牌，自行解决作业安全问题。</w:t>
            </w:r>
            <w:r>
              <w:rPr>
                <w:sz w:val="21"/>
              </w:rPr>
              <w:t>中标人</w:t>
            </w:r>
            <w:r>
              <w:rPr>
                <w:sz w:val="21"/>
              </w:rPr>
              <w:t>在进行病媒生物防制作业时，必须认真负责，并注意用药安全操作，如因</w:t>
            </w:r>
            <w:r>
              <w:rPr>
                <w:sz w:val="21"/>
              </w:rPr>
              <w:t>中标人</w:t>
            </w:r>
            <w:r>
              <w:rPr>
                <w:sz w:val="21"/>
              </w:rPr>
              <w:t>原因导致发生任何意外（包括造成</w:t>
            </w:r>
            <w:r>
              <w:rPr>
                <w:sz w:val="21"/>
              </w:rPr>
              <w:t>采购人</w:t>
            </w:r>
            <w:r>
              <w:rPr>
                <w:sz w:val="21"/>
              </w:rPr>
              <w:t>或第三方人身损害或财产损失），</w:t>
            </w:r>
            <w:r>
              <w:rPr>
                <w:sz w:val="21"/>
              </w:rPr>
              <w:t>中标人</w:t>
            </w:r>
            <w:r>
              <w:rPr>
                <w:sz w:val="21"/>
              </w:rPr>
              <w:t>负责事故处理和一切费用</w:t>
            </w:r>
            <w:r>
              <w:rPr>
                <w:sz w:val="21"/>
              </w:rPr>
              <w:t>。</w:t>
            </w:r>
          </w:p>
          <w:p>
            <w:pPr>
              <w:pStyle w:val="null3"/>
              <w:ind w:firstLine="420"/>
              <w:jc w:val="both"/>
            </w:pPr>
            <w:r>
              <w:rPr>
                <w:sz w:val="21"/>
              </w:rPr>
              <w:t>11.</w:t>
            </w:r>
            <w:r>
              <w:rPr>
                <w:sz w:val="21"/>
              </w:rPr>
              <w:t>发生登革热、基孔肯雅热、寨卡病毒等突发蚊媒传染病以及上级突击检查，</w:t>
            </w:r>
            <w:r>
              <w:rPr>
                <w:sz w:val="21"/>
              </w:rPr>
              <w:t>中标人</w:t>
            </w:r>
            <w:r>
              <w:rPr>
                <w:sz w:val="21"/>
              </w:rPr>
              <w:t>要无条件配合</w:t>
            </w:r>
            <w:r>
              <w:rPr>
                <w:sz w:val="21"/>
              </w:rPr>
              <w:t>采购人</w:t>
            </w:r>
            <w:r>
              <w:rPr>
                <w:sz w:val="21"/>
              </w:rPr>
              <w:t>的工作，优先抽调人员开展全镇的灭蚊工作。</w:t>
            </w:r>
            <w:r>
              <w:rPr>
                <w:sz w:val="21"/>
              </w:rPr>
              <w:t>项目</w:t>
            </w:r>
            <w:r>
              <w:rPr>
                <w:sz w:val="21"/>
              </w:rPr>
              <w:t>服务内容范围内需要增加服务次数及人数的，不增加服务费用；</w:t>
            </w:r>
            <w:r>
              <w:rPr>
                <w:sz w:val="21"/>
              </w:rPr>
              <w:t>项目</w:t>
            </w:r>
            <w:r>
              <w:rPr>
                <w:sz w:val="21"/>
              </w:rPr>
              <w:t>范围外的，可在合理的基础上增加人力物力，原则上增加的人工费用和药物费用不超过</w:t>
            </w:r>
            <w:r>
              <w:rPr>
                <w:sz w:val="21"/>
              </w:rPr>
              <w:t>800元/人/天，包工包料</w:t>
            </w:r>
            <w:r>
              <w:rPr>
                <w:sz w:val="21"/>
              </w:rPr>
              <w:t>。</w:t>
            </w:r>
          </w:p>
          <w:p>
            <w:pPr>
              <w:pStyle w:val="null3"/>
              <w:ind w:firstLine="420"/>
              <w:jc w:val="both"/>
            </w:pPr>
            <w:r>
              <w:rPr>
                <w:sz w:val="21"/>
              </w:rPr>
              <w:t>12.中标人要在蚊虫高发期前一周准备好相关药物，专门应对水体中蚊虫孳生，要专项做好范围内的海仔河等水体各阶段蚊虫防治、灭杀。</w:t>
            </w:r>
          </w:p>
          <w:p>
            <w:pPr>
              <w:pStyle w:val="null3"/>
              <w:ind w:firstLine="420"/>
              <w:jc w:val="both"/>
            </w:pPr>
            <w:r>
              <w:rPr>
                <w:sz w:val="21"/>
              </w:rPr>
              <w:t>13.中标人</w:t>
            </w:r>
            <w:r>
              <w:rPr>
                <w:sz w:val="21"/>
              </w:rPr>
              <w:t>不得以任何形式进行分包、转包给别人，也不得以任何名义收取消杀范围内沿街单位、店铺、工厂的任何费用，否则，一经发现，</w:t>
            </w:r>
            <w:r>
              <w:rPr>
                <w:sz w:val="21"/>
              </w:rPr>
              <w:t>采购人</w:t>
            </w:r>
            <w:r>
              <w:rPr>
                <w:sz w:val="21"/>
              </w:rPr>
              <w:t>有权单方面终止</w:t>
            </w:r>
            <w:r>
              <w:rPr>
                <w:sz w:val="21"/>
              </w:rPr>
              <w:t>合同</w:t>
            </w:r>
            <w:r>
              <w:rPr>
                <w:sz w:val="21"/>
              </w:rPr>
              <w:t>，并要求</w:t>
            </w:r>
            <w:r>
              <w:rPr>
                <w:sz w:val="21"/>
              </w:rPr>
              <w:t>中标人</w:t>
            </w:r>
            <w:r>
              <w:rPr>
                <w:sz w:val="21"/>
              </w:rPr>
              <w:t>偿付合同金额</w:t>
            </w:r>
            <w:r>
              <w:rPr>
                <w:sz w:val="21"/>
              </w:rPr>
              <w:t>10%的违约金</w:t>
            </w:r>
            <w:r>
              <w:rPr>
                <w:sz w:val="21"/>
              </w:rPr>
              <w:t>。</w:t>
            </w:r>
          </w:p>
          <w:p>
            <w:pPr>
              <w:pStyle w:val="null3"/>
              <w:ind w:firstLine="420"/>
              <w:jc w:val="both"/>
            </w:pPr>
            <w:r>
              <w:rPr>
                <w:sz w:val="21"/>
              </w:rPr>
              <w:t>14.中标人</w:t>
            </w:r>
            <w:r>
              <w:rPr>
                <w:sz w:val="21"/>
              </w:rPr>
              <w:t>入场后，要及时补充鼠屋，在原有鼠屋基础上补充</w:t>
            </w:r>
            <w:r>
              <w:rPr>
                <w:sz w:val="21"/>
              </w:rPr>
              <w:t>100个并将补充鼠屋的方案和图纸提交</w:t>
            </w:r>
            <w:r>
              <w:rPr>
                <w:sz w:val="21"/>
              </w:rPr>
              <w:t>采购人</w:t>
            </w:r>
            <w:r>
              <w:rPr>
                <w:sz w:val="21"/>
              </w:rPr>
              <w:t>确认。半年要补充一次鼠屋，国卫复审范围内不能少于</w:t>
            </w:r>
            <w:r>
              <w:rPr>
                <w:sz w:val="21"/>
              </w:rPr>
              <w:t>200个，材质为高强度陶泥，标识要明确，所有补充的鼠屋要经</w:t>
            </w:r>
            <w:r>
              <w:rPr>
                <w:sz w:val="21"/>
              </w:rPr>
              <w:t>采购人</w:t>
            </w:r>
            <w:r>
              <w:rPr>
                <w:sz w:val="21"/>
              </w:rPr>
              <w:t>签名确认。一个月至少补充</w:t>
            </w:r>
            <w:r>
              <w:rPr>
                <w:sz w:val="21"/>
              </w:rPr>
              <w:t>2次药饵，鼠尸要及时清理</w:t>
            </w:r>
            <w:r>
              <w:rPr>
                <w:sz w:val="21"/>
              </w:rPr>
              <w:t>。</w:t>
            </w:r>
          </w:p>
          <w:p>
            <w:pPr>
              <w:pStyle w:val="null3"/>
              <w:ind w:firstLine="420"/>
              <w:jc w:val="both"/>
            </w:pPr>
            <w:r>
              <w:rPr>
                <w:sz w:val="21"/>
              </w:rPr>
              <w:t>15.中标人</w:t>
            </w:r>
            <w:r>
              <w:rPr>
                <w:sz w:val="21"/>
              </w:rPr>
              <w:t>对室内场所进行消杀时，要注意安全，并要有关部门、单位、商铺、饮食、食品行业和居民沟通好，提前告知居民</w:t>
            </w:r>
            <w:r>
              <w:rPr>
                <w:sz w:val="21"/>
              </w:rPr>
              <w:t>。</w:t>
            </w:r>
          </w:p>
          <w:p>
            <w:pPr>
              <w:pStyle w:val="null3"/>
              <w:ind w:firstLine="420"/>
              <w:jc w:val="both"/>
            </w:pPr>
            <w:r>
              <w:rPr>
                <w:sz w:val="21"/>
              </w:rPr>
              <w:t>16.</w:t>
            </w:r>
            <w:r>
              <w:rPr>
                <w:sz w:val="21"/>
              </w:rPr>
              <w:t>若遇上级单位检查评比，</w:t>
            </w:r>
            <w:r>
              <w:rPr>
                <w:sz w:val="21"/>
              </w:rPr>
              <w:t>中标人</w:t>
            </w:r>
            <w:r>
              <w:rPr>
                <w:sz w:val="21"/>
              </w:rPr>
              <w:t>必须无条件积极配合，抽调人员进行病媒生物防制等相关工作</w:t>
            </w:r>
            <w:r>
              <w:rPr>
                <w:sz w:val="21"/>
              </w:rPr>
              <w:t>。</w:t>
            </w:r>
          </w:p>
          <w:p>
            <w:pPr>
              <w:pStyle w:val="null3"/>
              <w:ind w:firstLine="420"/>
              <w:jc w:val="both"/>
            </w:pPr>
            <w:r>
              <w:rPr>
                <w:sz w:val="21"/>
              </w:rPr>
              <w:t>17.中标人每年至少两次邀请广东省有害生物防制协会专家库专家(已具备病媒生物防制高级职称)到东城街道开展培训讲座，所有资料费、专家培训费用、差旅费</w:t>
            </w:r>
            <w:r>
              <w:rPr>
                <w:sz w:val="21"/>
              </w:rPr>
              <w:t>等相关费用</w:t>
            </w:r>
            <w:r>
              <w:rPr>
                <w:sz w:val="21"/>
              </w:rPr>
              <w:t>均由中标人承担，培训时间和内容根据采购人的需求而定。</w:t>
            </w:r>
          </w:p>
          <w:p>
            <w:pPr>
              <w:pStyle w:val="null3"/>
              <w:ind w:firstLine="420"/>
              <w:jc w:val="both"/>
            </w:pPr>
            <w:r>
              <w:rPr>
                <w:sz w:val="21"/>
              </w:rPr>
              <w:t>18.若遇上国卫复审年，中标人要全力配合采购人的工作，配合做好国家卫生镇复审除四害资料的有关工作，对复审范围内的重点单位要免费提供咨询服务，及配合采购人开展督导检查。对于复审路线上的重点单位，如确实要按照省市要求完善有关工作的，要提供免费消杀服务，“四害”硬件设施根据实际情况，可向有关单位收取必要的材料费。除中标人</w:t>
            </w:r>
            <w:r>
              <w:rPr>
                <w:sz w:val="21"/>
              </w:rPr>
              <w:t>经采购人书面同意</w:t>
            </w:r>
            <w:r>
              <w:rPr>
                <w:sz w:val="21"/>
              </w:rPr>
              <w:t>自行与服务对象签订的服务</w:t>
            </w:r>
            <w:r>
              <w:rPr>
                <w:sz w:val="21"/>
              </w:rPr>
              <w:t>合同</w:t>
            </w:r>
            <w:r>
              <w:rPr>
                <w:sz w:val="21"/>
              </w:rPr>
              <w:t>外，未经采购人</w:t>
            </w:r>
            <w:r>
              <w:rPr>
                <w:sz w:val="21"/>
              </w:rPr>
              <w:t>书面</w:t>
            </w:r>
            <w:r>
              <w:rPr>
                <w:sz w:val="21"/>
              </w:rPr>
              <w:t>允许，不可以随便对复审范围内的单位乱收服务费，一经发现，采购人有权解除服务协议，</w:t>
            </w:r>
            <w:r>
              <w:rPr>
                <w:sz w:val="21"/>
              </w:rPr>
              <w:t>该项工作在复审年将纳入月度考核</w:t>
            </w:r>
            <w:r>
              <w:rPr>
                <w:sz w:val="21"/>
              </w:rPr>
              <w:t>。</w:t>
            </w:r>
          </w:p>
          <w:p>
            <w:pPr>
              <w:pStyle w:val="null3"/>
              <w:ind w:firstLine="420"/>
              <w:jc w:val="both"/>
            </w:pPr>
            <w:r>
              <w:rPr>
                <w:sz w:val="21"/>
              </w:rPr>
              <w:t>19.中标人须对服务区域进行全面的检查，发现红火蚁或白蚁害情即施传染性药物或采取其他有效灭杀措施。在绿化带、蚁路及其它红火蚁或白蚁经常活动的地方施具有效预防药物。对建筑物易滋生白蚁的位置（如木门框、木地板及其他木家具等）设置诱杀点及使用预防药物。</w:t>
            </w:r>
          </w:p>
          <w:p>
            <w:pPr>
              <w:pStyle w:val="null3"/>
              <w:ind w:firstLine="420"/>
              <w:jc w:val="both"/>
            </w:pPr>
            <w:r>
              <w:rPr>
                <w:sz w:val="21"/>
              </w:rPr>
              <w:t>20.</w:t>
            </w:r>
            <w:r>
              <w:rPr>
                <w:sz w:val="21"/>
              </w:rPr>
              <w:t>中标人须</w:t>
            </w:r>
            <w:r>
              <w:rPr>
                <w:sz w:val="21"/>
              </w:rPr>
              <w:t>建立服务单位工作卡，每次上门服务后，在工作卡上取得服务对象签名（或单位盖章）</w:t>
            </w:r>
            <w:r>
              <w:rPr>
                <w:sz w:val="21"/>
              </w:rPr>
              <w:t>。</w:t>
            </w:r>
          </w:p>
          <w:p>
            <w:pPr>
              <w:pStyle w:val="null3"/>
              <w:ind w:firstLine="420"/>
              <w:jc w:val="both"/>
            </w:pPr>
            <w:r>
              <w:rPr>
                <w:sz w:val="21"/>
              </w:rPr>
              <w:t>21.</w:t>
            </w:r>
            <w:r>
              <w:rPr>
                <w:sz w:val="21"/>
              </w:rPr>
              <w:t>中标人</w:t>
            </w:r>
            <w:r>
              <w:rPr>
                <w:sz w:val="21"/>
              </w:rPr>
              <w:t>必须坚持</w:t>
            </w:r>
            <w:r>
              <w:rPr>
                <w:sz w:val="21"/>
              </w:rPr>
              <w:t>“预防为主，综合防制”的消杀方针，选择国家规定无害、无残留的药物</w:t>
            </w:r>
            <w:r>
              <w:rPr>
                <w:sz w:val="21"/>
              </w:rPr>
              <w:t>。</w:t>
            </w:r>
          </w:p>
          <w:p>
            <w:pPr>
              <w:pStyle w:val="null3"/>
              <w:ind w:firstLine="420"/>
              <w:jc w:val="both"/>
            </w:pPr>
            <w:r>
              <w:rPr>
                <w:sz w:val="21"/>
              </w:rPr>
              <w:t>22.</w:t>
            </w:r>
            <w:r>
              <w:rPr>
                <w:sz w:val="21"/>
              </w:rPr>
              <w:t>中标人</w:t>
            </w:r>
            <w:r>
              <w:rPr>
                <w:sz w:val="21"/>
              </w:rPr>
              <w:t>在合同签订后</w:t>
            </w:r>
            <w:r>
              <w:rPr>
                <w:sz w:val="21"/>
              </w:rPr>
              <w:t>15日内须在东城自行设立办公场所，供办公及存放药物使用</w:t>
            </w:r>
            <w:r>
              <w:rPr>
                <w:sz w:val="21"/>
              </w:rPr>
              <w:t>，</w:t>
            </w:r>
            <w:r>
              <w:rPr>
                <w:sz w:val="22"/>
              </w:rPr>
              <w:t>费用由</w:t>
            </w:r>
            <w:r>
              <w:rPr>
                <w:sz w:val="21"/>
              </w:rPr>
              <w:t>中标人</w:t>
            </w:r>
            <w:r>
              <w:rPr>
                <w:sz w:val="22"/>
              </w:rPr>
              <w:t>自行承担</w:t>
            </w:r>
            <w:r>
              <w:rPr>
                <w:sz w:val="21"/>
              </w:rPr>
              <w:t>。</w:t>
            </w:r>
          </w:p>
          <w:p>
            <w:pPr>
              <w:pStyle w:val="null3"/>
              <w:ind w:firstLine="420"/>
              <w:jc w:val="both"/>
            </w:pPr>
            <w:r>
              <w:rPr>
                <w:sz w:val="21"/>
              </w:rPr>
              <w:t>23.中标人须建立</w:t>
            </w:r>
            <w:r>
              <w:rPr>
                <w:sz w:val="21"/>
              </w:rPr>
              <w:t>病媒生物防制药物进出登记台帐</w:t>
            </w:r>
            <w:r>
              <w:rPr>
                <w:sz w:val="21"/>
              </w:rPr>
              <w:t>。</w:t>
            </w:r>
          </w:p>
          <w:p>
            <w:pPr>
              <w:pStyle w:val="null3"/>
              <w:ind w:firstLine="420"/>
              <w:jc w:val="both"/>
            </w:pPr>
            <w:r>
              <w:rPr>
                <w:sz w:val="21"/>
              </w:rPr>
              <w:t>24.中标人</w:t>
            </w:r>
            <w:r>
              <w:rPr>
                <w:sz w:val="21"/>
              </w:rPr>
              <w:t>须</w:t>
            </w:r>
            <w:r>
              <w:rPr>
                <w:sz w:val="21"/>
              </w:rPr>
              <w:t>具备处理登革热防控应急灭蚊的方法及措施。</w:t>
            </w:r>
          </w:p>
          <w:p>
            <w:pPr>
              <w:pStyle w:val="null3"/>
              <w:ind w:firstLine="420"/>
            </w:pPr>
            <w:r>
              <w:rPr>
                <w:sz w:val="21"/>
              </w:rPr>
              <w:t>25.中标人</w:t>
            </w:r>
            <w:r>
              <w:rPr>
                <w:sz w:val="21"/>
              </w:rPr>
              <w:t>必须积极响应并接受市领导及广大市民的监督检查，若受到市领导的批评或市民的投诉，经调查认定情况属实的，视情节轻重予以罚款；</w:t>
            </w:r>
            <w:r>
              <w:rPr>
                <w:sz w:val="21"/>
              </w:rPr>
              <w:t>若因用药不当</w:t>
            </w:r>
            <w:r>
              <w:rPr>
                <w:sz w:val="21"/>
              </w:rPr>
              <w:t>造成</w:t>
            </w:r>
            <w:r>
              <w:rPr>
                <w:sz w:val="21"/>
              </w:rPr>
              <w:t>人员伤亡等</w:t>
            </w:r>
            <w:r>
              <w:rPr>
                <w:sz w:val="21"/>
              </w:rPr>
              <w:t>恶劣影响的</w:t>
            </w:r>
            <w:r>
              <w:rPr>
                <w:sz w:val="21"/>
              </w:rPr>
              <w:t>，</w:t>
            </w:r>
            <w:r>
              <w:rPr>
                <w:sz w:val="21"/>
              </w:rPr>
              <w:t>采购人</w:t>
            </w:r>
            <w:r>
              <w:rPr>
                <w:sz w:val="21"/>
              </w:rPr>
              <w:t>有权单方面终止合同。</w:t>
            </w:r>
          </w:p>
          <w:p>
            <w:pPr>
              <w:pStyle w:val="null3"/>
              <w:ind w:firstLine="420"/>
            </w:pPr>
            <w:r>
              <w:rPr>
                <w:sz w:val="21"/>
              </w:rPr>
              <w:t>26.</w:t>
            </w:r>
            <w:r>
              <w:rPr>
                <w:sz w:val="21"/>
              </w:rPr>
              <w:t>中标人</w:t>
            </w:r>
            <w:r>
              <w:rPr>
                <w:sz w:val="21"/>
              </w:rPr>
              <w:t>在合同履行过程中须配合城市管理综合执法部门的行政执法，包括但不限于按照前述执法部门的要求提供相关证据材料和配合执法部门的相关调查。若</w:t>
            </w:r>
            <w:r>
              <w:rPr>
                <w:sz w:val="21"/>
              </w:rPr>
              <w:t>中标人</w:t>
            </w:r>
            <w:r>
              <w:rPr>
                <w:sz w:val="21"/>
              </w:rPr>
              <w:t>不予以配合或者拒绝接受前述执法部门调查的，均视为</w:t>
            </w:r>
            <w:r>
              <w:rPr>
                <w:sz w:val="21"/>
              </w:rPr>
              <w:t>中标人</w:t>
            </w:r>
            <w:r>
              <w:rPr>
                <w:sz w:val="21"/>
              </w:rPr>
              <w:t>违约。</w:t>
            </w:r>
          </w:p>
          <w:p>
            <w:pPr>
              <w:pStyle w:val="null3"/>
              <w:ind w:firstLine="420"/>
            </w:pPr>
            <w:r>
              <w:rPr>
                <w:sz w:val="21"/>
              </w:rPr>
              <w:t>27.</w:t>
            </w:r>
            <w:r>
              <w:rPr>
                <w:sz w:val="21"/>
              </w:rPr>
              <w:t>在合同签署时及合同履行期间，</w:t>
            </w:r>
            <w:r>
              <w:rPr>
                <w:sz w:val="21"/>
              </w:rPr>
              <w:t>中标人</w:t>
            </w:r>
            <w:r>
              <w:rPr>
                <w:sz w:val="21"/>
              </w:rPr>
              <w:t>保证其具有履行本合同的资质及能力。有关项目、工序或相应特种设备需要专业资格人员操作的，必须安排有相应从业资格的专业人员持证上岗。</w:t>
            </w:r>
          </w:p>
          <w:p>
            <w:pPr>
              <w:pStyle w:val="null3"/>
              <w:ind w:firstLine="420"/>
              <w:jc w:val="both"/>
            </w:pPr>
            <w:r>
              <w:rPr>
                <w:sz w:val="21"/>
              </w:rPr>
              <w:t xml:space="preserve"> </w:t>
            </w:r>
          </w:p>
          <w:p>
            <w:pPr>
              <w:pStyle w:val="null3"/>
              <w:ind w:firstLine="422"/>
              <w:jc w:val="left"/>
            </w:pPr>
            <w:r>
              <w:rPr>
                <w:sz w:val="21"/>
                <w:b/>
              </w:rPr>
              <w:t>三、作业质量标准</w:t>
            </w:r>
          </w:p>
          <w:p>
            <w:pPr>
              <w:pStyle w:val="null3"/>
              <w:ind w:firstLine="420"/>
              <w:jc w:val="both"/>
            </w:pPr>
            <w:r>
              <w:rPr>
                <w:sz w:val="21"/>
                <w:b/>
              </w:rPr>
              <w:t>1.灭鼠标准：</w:t>
            </w:r>
            <w:r>
              <w:rPr>
                <w:sz w:val="21"/>
              </w:rPr>
              <w:t>粉迹法（每</w:t>
            </w:r>
            <w:r>
              <w:rPr>
                <w:sz w:val="21"/>
              </w:rPr>
              <w:t>15平方米房间布放20×20厘米粉板两块）监测鼠足印阳性率低于2%；鼠迹（鼠洞、鼠粪、鼠路、鼠咬痕），有鼠迹房间不超过2%；2000米外环境鼠迹不超过5处；重点单位防鼠设施（仓库、厨房等的门窗、出水口等部位有防鼠设施），合格率达95%，现场检查，无可见鼠迹。</w:t>
            </w:r>
          </w:p>
          <w:p>
            <w:pPr>
              <w:pStyle w:val="null3"/>
              <w:ind w:firstLine="420"/>
              <w:jc w:val="both"/>
            </w:pPr>
            <w:r>
              <w:rPr>
                <w:sz w:val="21"/>
                <w:b/>
              </w:rPr>
              <w:t>2.灭蚊标准：</w:t>
            </w:r>
            <w:r>
              <w:rPr>
                <w:sz w:val="21"/>
              </w:rPr>
              <w:t>居民区、单位室内外环境各种存水容器和积水中的幼蚊及蛹，阳性率低于</w:t>
            </w:r>
            <w:r>
              <w:rPr>
                <w:sz w:val="21"/>
              </w:rPr>
              <w:t>3%；用500毫升收集勺采集城区内大中型水体中的蚊幼虫或蛹，阳性率低于1%，阳性勺内幼虫或蛹的平均数不超过3只；在特殊场所（15平方米以下的居民住宅房内、公共场所等）白天人诱蚊60分钟，平均诱获成蚊不超过1只/人次；晚上人诱蚊60分钟，平均诱获成蚊不超过2只/人次。</w:t>
            </w:r>
          </w:p>
          <w:p>
            <w:pPr>
              <w:pStyle w:val="null3"/>
              <w:ind w:firstLine="420"/>
              <w:jc w:val="both"/>
            </w:pPr>
            <w:r>
              <w:rPr>
                <w:sz w:val="21"/>
                <w:b/>
              </w:rPr>
              <w:t>3.灭蝇标准</w:t>
            </w:r>
            <w:r>
              <w:rPr>
                <w:sz w:val="21"/>
              </w:rPr>
              <w:t>：重点单位（如饮食、食品加工、销售业）有蝇房间不超过</w:t>
            </w:r>
            <w:r>
              <w:rPr>
                <w:sz w:val="21"/>
              </w:rPr>
              <w:t>1%；加工、销售、存放直接入口食品的场所，不得有蝇；一般单位（如机关、学校、工厂）有蝇房间不超过3%，平均每阳性房间不超过3只；防蝇设施（查门窗等部位），合格率达95%以上；蝇粪孳生地（外环境、垃圾容器、垃圾存放地等），得到有效治理，幼虫和蛹的检出率不超过3%。</w:t>
            </w:r>
          </w:p>
          <w:p>
            <w:pPr>
              <w:pStyle w:val="null3"/>
              <w:ind w:firstLine="420"/>
              <w:jc w:val="both"/>
            </w:pPr>
            <w:r>
              <w:rPr>
                <w:sz w:val="21"/>
                <w:b/>
              </w:rPr>
              <w:t>4.灭蟑螂标准</w:t>
            </w:r>
            <w:r>
              <w:rPr>
                <w:sz w:val="21"/>
              </w:rPr>
              <w:t>：查室内蟑螂成虫或幼虫，阳性房间不超过</w:t>
            </w:r>
            <w:r>
              <w:rPr>
                <w:sz w:val="21"/>
              </w:rPr>
              <w:t>3%；有活蟑螂卵鞘房间，阳性房间不超过5%；蟑螂孳生栖息场所的清理，查墙的孔洞、缝隙蟑迹：粪便、蜕皮、蟑尸、空卵鞘等，阳性房间不超过5%。</w:t>
            </w:r>
          </w:p>
          <w:p>
            <w:pPr>
              <w:pStyle w:val="null3"/>
              <w:ind w:firstLine="420"/>
              <w:jc w:val="both"/>
            </w:pPr>
            <w:r>
              <w:rPr>
                <w:sz w:val="21"/>
                <w:b/>
              </w:rPr>
              <w:t>5.白蚁、红火蚁防治标准</w:t>
            </w:r>
            <w:r>
              <w:rPr>
                <w:sz w:val="21"/>
              </w:rPr>
              <w:t>：</w:t>
            </w:r>
            <w:r>
              <w:rPr>
                <w:sz w:val="21"/>
              </w:rPr>
              <w:t>①</w:t>
            </w:r>
            <w:r>
              <w:rPr>
                <w:sz w:val="21"/>
              </w:rPr>
              <w:t>室外绿化带有白蚁的树木</w:t>
            </w:r>
            <w:r>
              <w:rPr>
                <w:sz w:val="21"/>
              </w:rPr>
              <w:t>1000米范围不超过5棵、树木白蚁及白蚁巢控制数量不超过3棵</w:t>
            </w:r>
            <w:r>
              <w:rPr>
                <w:sz w:val="21"/>
              </w:rPr>
              <w:t>。</w:t>
            </w:r>
            <w:r>
              <w:rPr>
                <w:sz w:val="21"/>
              </w:rPr>
              <w:t>②</w:t>
            </w:r>
            <w:r>
              <w:rPr>
                <w:sz w:val="21"/>
              </w:rPr>
              <w:t>室外绿化带</w:t>
            </w:r>
            <w:r>
              <w:rPr>
                <w:sz w:val="21"/>
              </w:rPr>
              <w:t>1000米范围内活红火蚁巢数量不超过3个</w:t>
            </w:r>
            <w:r>
              <w:rPr>
                <w:sz w:val="21"/>
              </w:rPr>
              <w:t>。</w:t>
            </w:r>
          </w:p>
        </w:tc>
      </w:tr>
      <w:tr>
        <w:tc>
          <w:tcPr>
            <w:tcW w:type="dxa" w:w="2076"/>
          </w:tcPr>
          <w:p>
            <w:pPr>
              <w:pStyle w:val="null3"/>
            </w:pPr>
            <w:r>
              <w:rPr/>
              <w:t>★</w:t>
            </w:r>
          </w:p>
        </w:tc>
        <w:tc>
          <w:tcPr>
            <w:tcW w:type="dxa" w:w="415"/>
          </w:tcPr>
          <w:p>
            <w:pPr>
              <w:pStyle w:val="null3"/>
            </w:pPr>
            <w:r>
              <w:rPr/>
              <w:t>2</w:t>
            </w:r>
          </w:p>
        </w:tc>
        <w:tc>
          <w:tcPr>
            <w:tcW w:type="dxa" w:w="5814"/>
          </w:tcPr>
          <w:p>
            <w:pPr>
              <w:pStyle w:val="null3"/>
              <w:ind w:firstLine="422"/>
              <w:jc w:val="left"/>
            </w:pPr>
            <w:r>
              <w:rPr/>
              <w:t xml:space="preserve"> </w:t>
            </w:r>
          </w:p>
          <w:p>
            <w:pPr>
              <w:pStyle w:val="null3"/>
              <w:ind w:firstLine="422"/>
              <w:jc w:val="left"/>
            </w:pPr>
            <w:r>
              <w:rPr>
                <w:sz w:val="21"/>
                <w:b/>
              </w:rPr>
              <w:t>四、用药要求</w:t>
            </w:r>
          </w:p>
          <w:p>
            <w:pPr>
              <w:pStyle w:val="null3"/>
              <w:ind w:firstLine="420"/>
              <w:jc w:val="both"/>
            </w:pPr>
            <w:r>
              <w:rPr>
                <w:sz w:val="21"/>
                <w:b/>
              </w:rPr>
              <w:t>★1.中标人必须注重科学合理用药，不能使用假药、国家禁用的药物。使用的药物必须符合《病媒生物控制药物器械安全使用准则》，确保病媒生物控制达到“安全、高效、环保”的要求，用于本服务项目的消杀药物投入不能少于消杀面积的正常用药。若中标人违反本项要求造成他人损害的，由中标人承担一切法律责任。（须提供承诺函，格式自拟）</w:t>
            </w:r>
          </w:p>
          <w:p>
            <w:pPr>
              <w:pStyle w:val="null3"/>
              <w:ind w:firstLine="422"/>
              <w:jc w:val="both"/>
            </w:pPr>
            <w:r>
              <w:rPr>
                <w:sz w:val="21"/>
                <w:b/>
              </w:rPr>
              <w:t>★2投标人投标时，</w:t>
            </w:r>
            <w:r>
              <w:rPr>
                <w:sz w:val="21"/>
                <w:b/>
              </w:rPr>
              <w:t>投标文件必须提供药品的以下资料扫描件或复印件并加盖投标人红色公章</w:t>
            </w:r>
            <w:r>
              <w:rPr>
                <w:sz w:val="21"/>
                <w:b/>
              </w:rPr>
              <w:t>（</w:t>
            </w:r>
            <w:r>
              <w:rPr>
                <w:sz w:val="21"/>
                <w:b/>
              </w:rPr>
              <w:t>①农业部颁发的农药登记证；②省级农业部门颁发的登记证持有人或委托加工企业农药生产许可证（生产范围包括投标产品剂型）；③质量技术监督部门或企业标准信息公共服务平台备案的企业标准封面；④</w:t>
            </w:r>
            <w:r>
              <w:rPr>
                <w:sz w:val="21"/>
                <w:b/>
              </w:rPr>
              <w:t>药品标签</w:t>
            </w:r>
            <w:r>
              <w:rPr>
                <w:sz w:val="21"/>
                <w:b/>
              </w:rPr>
              <w:t>；</w:t>
            </w:r>
            <w:r>
              <w:rPr>
                <w:sz w:val="21"/>
                <w:b/>
              </w:rPr>
              <w:t>⑤</w:t>
            </w:r>
            <w:r>
              <w:rPr>
                <w:sz w:val="21"/>
                <w:b/>
              </w:rPr>
              <w:t>药品第三方检测报告</w:t>
            </w:r>
            <w:r>
              <w:rPr>
                <w:sz w:val="21"/>
                <w:b/>
              </w:rPr>
              <w:t>；</w:t>
            </w:r>
            <w:r>
              <w:rPr>
                <w:sz w:val="21"/>
                <w:b/>
              </w:rPr>
              <w:t>⑥</w:t>
            </w:r>
            <w:r>
              <w:rPr>
                <w:sz w:val="21"/>
                <w:b/>
              </w:rPr>
              <w:t>药品化学品安全技术说明书或农药产品安全数据单（</w:t>
            </w:r>
            <w:r>
              <w:rPr>
                <w:sz w:val="21"/>
                <w:b/>
              </w:rPr>
              <w:t>MSDS）</w:t>
            </w:r>
            <w:r>
              <w:rPr>
                <w:sz w:val="21"/>
                <w:b/>
              </w:rPr>
              <w:t>。注：</w:t>
            </w:r>
            <w:r>
              <w:rPr>
                <w:sz w:val="21"/>
                <w:b/>
              </w:rPr>
              <w:t>序号</w:t>
            </w:r>
            <w:r>
              <w:rPr>
                <w:sz w:val="21"/>
                <w:b/>
              </w:rPr>
              <w:t>①</w:t>
            </w:r>
            <w:r>
              <w:rPr>
                <w:sz w:val="21"/>
                <w:b/>
              </w:rPr>
              <w:t>-</w:t>
            </w:r>
            <w:r>
              <w:rPr>
                <w:sz w:val="21"/>
                <w:b/>
              </w:rPr>
              <w:t>③</w:t>
            </w:r>
            <w:r>
              <w:rPr>
                <w:sz w:val="21"/>
                <w:b/>
              </w:rPr>
              <w:t>资料的备案须在有效期内，续展期顺延三个月</w:t>
            </w:r>
            <w:r>
              <w:rPr>
                <w:sz w:val="21"/>
                <w:b/>
              </w:rPr>
              <w:t>；</w:t>
            </w:r>
            <w:r>
              <w:rPr>
                <w:sz w:val="21"/>
                <w:b/>
              </w:rPr>
              <w:t>药品第三方检测</w:t>
            </w:r>
            <w:r>
              <w:rPr>
                <w:sz w:val="21"/>
                <w:b/>
              </w:rPr>
              <w:t>费用由投标人承担。）</w:t>
            </w:r>
          </w:p>
          <w:p>
            <w:pPr>
              <w:pStyle w:val="null3"/>
              <w:ind w:firstLine="420"/>
              <w:jc w:val="both"/>
            </w:pPr>
            <w:r>
              <w:rPr>
                <w:sz w:val="21"/>
                <w:b/>
              </w:rPr>
              <w:t>★</w:t>
            </w:r>
            <w:r>
              <w:rPr>
                <w:sz w:val="21"/>
                <w:b/>
              </w:rPr>
              <w:t>3</w:t>
            </w:r>
            <w:r>
              <w:rPr>
                <w:sz w:val="21"/>
                <w:b/>
              </w:rPr>
              <w:t>.中标人拟投用药物必须满足本项目需求的用药要求，如使用的药物效果不达标，采购人有权要求中标人更换药物，由此产生额外增加的费用由中标人自行负责，采购人不承担该费用。（投标时需提供承诺函及拟投用药物清单，格式自拟）</w:t>
            </w:r>
          </w:p>
        </w:tc>
      </w:tr>
      <w:tr>
        <w:tc>
          <w:tcPr>
            <w:tcW w:type="dxa" w:w="2076"/>
          </w:tcPr>
          <w:p/>
        </w:tc>
        <w:tc>
          <w:tcPr>
            <w:tcW w:type="dxa" w:w="415"/>
          </w:tcPr>
          <w:p>
            <w:pPr>
              <w:pStyle w:val="null3"/>
            </w:pPr>
            <w:r>
              <w:rPr/>
              <w:t>3</w:t>
            </w:r>
          </w:p>
        </w:tc>
        <w:tc>
          <w:tcPr>
            <w:tcW w:type="dxa" w:w="5814"/>
          </w:tcPr>
          <w:p>
            <w:pPr>
              <w:pStyle w:val="null3"/>
              <w:ind w:firstLine="420"/>
              <w:jc w:val="both"/>
            </w:pPr>
            <w:r>
              <w:rPr>
                <w:sz w:val="21"/>
              </w:rPr>
              <w:t>4</w:t>
            </w:r>
            <w:r>
              <w:rPr>
                <w:sz w:val="21"/>
              </w:rPr>
              <w:t>.如药物使用不当引起人畜中毒或其他责任事故的，一切责任由中标人责任。</w:t>
            </w:r>
          </w:p>
          <w:p>
            <w:pPr>
              <w:pStyle w:val="null3"/>
              <w:ind w:firstLine="420"/>
              <w:jc w:val="both"/>
            </w:pPr>
            <w:r>
              <w:rPr>
                <w:sz w:val="21"/>
              </w:rPr>
              <w:t>5</w:t>
            </w:r>
            <w:r>
              <w:rPr>
                <w:sz w:val="21"/>
              </w:rPr>
              <w:t>.除虫施药时注意个人防护，穿工作服，佩戴专用口罩和手套。</w:t>
            </w:r>
          </w:p>
          <w:p>
            <w:pPr>
              <w:pStyle w:val="null3"/>
              <w:ind w:firstLine="420"/>
              <w:jc w:val="both"/>
            </w:pPr>
            <w:r>
              <w:rPr>
                <w:sz w:val="21"/>
              </w:rPr>
              <w:t>6</w:t>
            </w:r>
            <w:r>
              <w:rPr>
                <w:sz w:val="21"/>
              </w:rPr>
              <w:t>.施药除虫剩余的药物和药物包装、容器等，须回收集中处理，不随地遗弃。</w:t>
            </w:r>
          </w:p>
          <w:p>
            <w:pPr>
              <w:pStyle w:val="null3"/>
              <w:ind w:firstLine="420"/>
              <w:jc w:val="both"/>
            </w:pPr>
            <w:r>
              <w:rPr>
                <w:sz w:val="21"/>
              </w:rPr>
              <w:t>7</w:t>
            </w:r>
            <w:r>
              <w:rPr>
                <w:sz w:val="21"/>
              </w:rPr>
              <w:t>.不得在鱼塘和与养鱼有关水体喷洒、倾倒对鱼类有害的杀虫剂和清洗喷雾工具、用具。中标人违反本项要求造成他人损害的，由中标人承担一切法律责任。</w:t>
            </w:r>
          </w:p>
          <w:p>
            <w:pPr>
              <w:pStyle w:val="null3"/>
              <w:ind w:firstLine="420"/>
              <w:jc w:val="both"/>
            </w:pPr>
            <w:r>
              <w:rPr>
                <w:sz w:val="21"/>
              </w:rPr>
              <w:t>8</w:t>
            </w:r>
            <w:r>
              <w:rPr>
                <w:sz w:val="21"/>
              </w:rPr>
              <w:t>.防治药品及相关器械的使用按国家有关部门指定的最新标准执行，除“四害”，白蚁、红火蚁防治药物的采购凭证要齐全并留存备查。</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sz w:val="21"/>
                <w:b/>
              </w:rPr>
              <w:t xml:space="preserve">    ★</w:t>
            </w:r>
            <w:r>
              <w:rPr>
                <w:sz w:val="21"/>
                <w:b/>
              </w:rPr>
              <w:t>9</w:t>
            </w:r>
            <w:r>
              <w:rPr>
                <w:sz w:val="21"/>
                <w:b/>
              </w:rPr>
              <w:t>.严禁使用假药或国家禁用的药物，一经发现，每次扣除违约金5000元，违反次数达3次以上（含3次）的，采购人有权终止合同</w:t>
            </w:r>
            <w:r>
              <w:rPr>
                <w:sz w:val="21"/>
                <w:b/>
              </w:rPr>
              <w:t>（须提供承诺函，格式自拟）</w:t>
            </w:r>
            <w:r>
              <w:rPr>
                <w:sz w:val="21"/>
                <w:b/>
              </w:rPr>
              <w:t>。</w:t>
            </w:r>
          </w:p>
        </w:tc>
      </w:tr>
      <w:tr>
        <w:tc>
          <w:tcPr>
            <w:tcW w:type="dxa" w:w="2076"/>
          </w:tcPr>
          <w:p/>
        </w:tc>
        <w:tc>
          <w:tcPr>
            <w:tcW w:type="dxa" w:w="415"/>
          </w:tcPr>
          <w:p>
            <w:pPr>
              <w:pStyle w:val="null3"/>
            </w:pPr>
            <w:r>
              <w:rPr/>
              <w:t>5</w:t>
            </w:r>
          </w:p>
        </w:tc>
        <w:tc>
          <w:tcPr>
            <w:tcW w:type="dxa" w:w="5814"/>
          </w:tcPr>
          <w:p>
            <w:pPr>
              <w:pStyle w:val="null3"/>
              <w:ind w:firstLine="422"/>
              <w:jc w:val="left"/>
            </w:pPr>
            <w:r>
              <w:rPr/>
              <w:t xml:space="preserve"> </w:t>
            </w:r>
          </w:p>
          <w:p>
            <w:pPr>
              <w:pStyle w:val="null3"/>
              <w:ind w:firstLine="422"/>
              <w:jc w:val="left"/>
            </w:pPr>
            <w:r>
              <w:rPr>
                <w:sz w:val="21"/>
                <w:b/>
              </w:rPr>
              <w:t>五、工作计划、服务质量汇报要求</w:t>
            </w:r>
          </w:p>
          <w:p>
            <w:pPr>
              <w:pStyle w:val="null3"/>
              <w:ind w:firstLine="420"/>
              <w:jc w:val="both"/>
            </w:pPr>
            <w:r>
              <w:rPr>
                <w:sz w:val="21"/>
              </w:rPr>
              <w:t>1.中标人须制定科学、详细的除四害及白蚁、红火蚁防治工作计划，包括技术方案、工作方法、用药计划、应急措施等，按照采购人要求定期上报给采购人。</w:t>
            </w:r>
          </w:p>
          <w:p>
            <w:pPr>
              <w:pStyle w:val="null3"/>
              <w:ind w:firstLine="420"/>
              <w:jc w:val="both"/>
            </w:pPr>
            <w:r>
              <w:rPr>
                <w:sz w:val="21"/>
              </w:rPr>
              <w:t>2.中标人须按采购人要求做好各种规范的监测记录、工作记录（包括但不限于每天工作人员签到记录、监测记录、带水印相机时间及地点的工作记录照片等）。建立施药服务档案，做好资料收集、整理归档，每季度的后5天内将当季的实施质量、工作情况以及工作照片节选成册向采购人作书面报告。</w:t>
            </w:r>
          </w:p>
          <w:p>
            <w:pPr>
              <w:pStyle w:val="null3"/>
              <w:ind w:firstLine="420"/>
              <w:jc w:val="both"/>
            </w:pPr>
            <w:r>
              <w:rPr/>
              <w:t xml:space="preserve"> </w:t>
            </w:r>
          </w:p>
          <w:p>
            <w:pPr>
              <w:pStyle w:val="null3"/>
              <w:ind w:firstLine="422"/>
              <w:jc w:val="left"/>
            </w:pPr>
            <w:r>
              <w:rPr>
                <w:sz w:val="21"/>
                <w:b/>
              </w:rPr>
              <w:t>六、基本配置要求</w:t>
            </w:r>
          </w:p>
          <w:p>
            <w:pPr>
              <w:pStyle w:val="null3"/>
              <w:ind w:firstLine="420"/>
              <w:jc w:val="both"/>
            </w:pPr>
            <w:r>
              <w:rPr>
                <w:sz w:val="21"/>
              </w:rPr>
              <w:t>1.人员要求</w:t>
            </w:r>
          </w:p>
          <w:p>
            <w:pPr>
              <w:pStyle w:val="null3"/>
              <w:ind w:firstLine="420"/>
              <w:jc w:val="both"/>
            </w:pPr>
            <w:r>
              <w:rPr>
                <w:sz w:val="21"/>
              </w:rPr>
              <w:t>1.1中标人须按不低于以下要求聘请足额的工作人员：</w:t>
            </w:r>
          </w:p>
          <w:tbl>
            <w:tblPr>
              <w:tblInd w:type="dxa" w:w="225"/>
              <w:tblBorders>
                <w:top w:val="none" w:color="000000" w:sz="4"/>
                <w:left w:val="none" w:color="000000" w:sz="4"/>
                <w:bottom w:val="none" w:color="000000" w:sz="4"/>
                <w:right w:val="none" w:color="000000" w:sz="4"/>
                <w:insideH w:val="none"/>
                <w:insideV w:val="none"/>
              </w:tblBorders>
            </w:tblPr>
            <w:tblGrid>
              <w:gridCol w:w="577"/>
              <w:gridCol w:w="1340"/>
              <w:gridCol w:w="1134"/>
              <w:gridCol w:w="2525"/>
            </w:tblGrid>
            <w:tr>
              <w:tc>
                <w:tcPr>
                  <w:tcW w:type="dxa" w:w="5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11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人员</w:t>
                  </w:r>
                  <w:r>
                    <w:rPr>
                      <w:sz w:val="21"/>
                      <w:b/>
                    </w:rPr>
                    <w:t>数量</w:t>
                  </w:r>
                  <w:r>
                    <w:rPr>
                      <w:sz w:val="21"/>
                      <w:b/>
                    </w:rPr>
                    <w:t>配置标准</w:t>
                  </w:r>
                </w:p>
              </w:tc>
              <w:tc>
                <w:tcPr>
                  <w:tcW w:type="dxa" w:w="2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rPr>
                    <w:t>备注</w:t>
                  </w: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项目负责人</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252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均</w:t>
                  </w:r>
                  <w:r>
                    <w:rPr>
                      <w:sz w:val="21"/>
                    </w:rPr>
                    <w:t>应具有病媒生物防制行业</w:t>
                  </w:r>
                  <w:r>
                    <w:rPr>
                      <w:sz w:val="21"/>
                    </w:rPr>
                    <w:t>中</w:t>
                  </w:r>
                  <w:r>
                    <w:rPr>
                      <w:sz w:val="21"/>
                    </w:rPr>
                    <w:t>级（或以上）职称</w:t>
                  </w:r>
                  <w:r>
                    <w:rPr>
                      <w:sz w:val="21"/>
                    </w:rPr>
                    <w:t>，</w:t>
                  </w:r>
                  <w:r>
                    <w:rPr>
                      <w:sz w:val="21"/>
                    </w:rPr>
                    <w:t>或</w:t>
                  </w:r>
                  <w:r>
                    <w:rPr>
                      <w:sz w:val="21"/>
                    </w:rPr>
                    <w:t>相关专业本科（或以上）学历且具有</w:t>
                  </w:r>
                  <w:r>
                    <w:rPr>
                      <w:sz w:val="21"/>
                    </w:rPr>
                    <w:t>5年（或以上）工作经验</w:t>
                  </w:r>
                  <w:r>
                    <w:rPr>
                      <w:sz w:val="21"/>
                    </w:rPr>
                    <w:t>，在防控病媒生物（如登革热、基孔肯亚热）有熟练经验，能熟练完成创建国家卫生镇除</w:t>
                  </w:r>
                  <w:r>
                    <w:rPr>
                      <w:sz w:val="21"/>
                    </w:rPr>
                    <w:t>“四害”相关资料</w:t>
                  </w:r>
                  <w:r>
                    <w:rPr>
                      <w:sz w:val="21"/>
                    </w:rPr>
                    <w:t>。</w:t>
                  </w: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技术负责人</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2525"/>
                  <w:vMerge/>
                  <w:tcBorders>
                    <w:top w:val="none" w:color="000000" w:sz="4"/>
                    <w:left w:val="none" w:color="000000" w:sz="4"/>
                    <w:bottom w:val="none" w:color="000000" w:sz="4"/>
                    <w:right w:val="single" w:color="000000" w:sz="4"/>
                  </w:tcBorders>
                </w:tcP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其他人员（含巡查人员、应急人员）</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不少于</w:t>
                  </w:r>
                  <w:r>
                    <w:rPr>
                      <w:sz w:val="21"/>
                    </w:rPr>
                    <w:t>1</w:t>
                  </w:r>
                  <w:r>
                    <w:rPr>
                      <w:sz w:val="21"/>
                    </w:rPr>
                    <w:t>0</w:t>
                  </w:r>
                  <w:r>
                    <w:rPr>
                      <w:sz w:val="21"/>
                    </w:rPr>
                    <w:t>人</w:t>
                  </w:r>
                </w:p>
              </w:tc>
              <w:tc>
                <w:tcPr>
                  <w:tcW w:type="dxa" w:w="2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rPr>
              <w:t>1.2</w:t>
            </w:r>
            <w:r>
              <w:rPr>
                <w:sz w:val="21"/>
              </w:rPr>
              <w:t>中标人在收到中标通知书之日起</w:t>
            </w:r>
            <w:r>
              <w:rPr>
                <w:sz w:val="21"/>
              </w:rPr>
              <w:t>10个工作日内，须提供上述</w:t>
            </w:r>
            <w:r>
              <w:rPr>
                <w:sz w:val="21"/>
              </w:rPr>
              <w:t>人员资料</w:t>
            </w:r>
            <w:r>
              <w:rPr>
                <w:sz w:val="21"/>
              </w:rPr>
              <w:t>由采购人查验。若中标人未如期提供，或提供的</w:t>
            </w:r>
            <w:r>
              <w:rPr>
                <w:sz w:val="21"/>
              </w:rPr>
              <w:t>人员资料</w:t>
            </w:r>
            <w:r>
              <w:rPr>
                <w:sz w:val="21"/>
              </w:rPr>
              <w:t>与投标文件不符，则按提供虚假材料谋取中标处理。采购人有权取消其中标资格，并按照评审报告推荐的名单顺序，确定下一候选人为中标人。</w:t>
            </w:r>
          </w:p>
          <w:p>
            <w:pPr>
              <w:pStyle w:val="null3"/>
              <w:ind w:firstLine="420"/>
              <w:jc w:val="left"/>
            </w:pPr>
            <w:r>
              <w:rPr>
                <w:sz w:val="21"/>
              </w:rPr>
              <w:t>1.3拟投入本项目的人员上岗前须经过</w:t>
            </w:r>
            <w:r>
              <w:rPr>
                <w:sz w:val="21"/>
              </w:rPr>
              <w:t>职业</w:t>
            </w:r>
            <w:r>
              <w:rPr>
                <w:sz w:val="21"/>
              </w:rPr>
              <w:t>培训，熟悉卫生</w:t>
            </w:r>
            <w:r>
              <w:rPr>
                <w:sz w:val="21"/>
              </w:rPr>
              <w:t>杀虫器械的使用，</w:t>
            </w:r>
            <w:r>
              <w:rPr>
                <w:sz w:val="21"/>
              </w:rPr>
              <w:t>并熟知所用药物说明书上的注意事项和急救措施，且拟投入本项目的人员中取得有害生物防制类相关培训证书的人员不得少于</w:t>
            </w:r>
            <w:r>
              <w:rPr>
                <w:sz w:val="21"/>
              </w:rPr>
              <w:t>10人</w:t>
            </w:r>
            <w:r>
              <w:rPr>
                <w:sz w:val="21"/>
              </w:rPr>
              <w:t>。进行</w:t>
            </w:r>
            <w:r>
              <w:rPr>
                <w:sz w:val="21"/>
              </w:rPr>
              <w:t>作业时必须统一</w:t>
            </w:r>
            <w:r>
              <w:rPr>
                <w:sz w:val="21"/>
              </w:rPr>
              <w:t>服装，佩戴统一的工作牌。</w:t>
            </w:r>
          </w:p>
          <w:p>
            <w:pPr>
              <w:pStyle w:val="null3"/>
              <w:ind w:firstLine="420"/>
              <w:jc w:val="both"/>
            </w:pPr>
            <w:r>
              <w:rPr>
                <w:sz w:val="21"/>
              </w:rPr>
              <w:t>1.4为保障员工人身安全及意外的福利保险，中标人必须依法用工，与作业人员签订劳动合同，并按照相关规定为员工购买社会保险，按时发放工资。</w:t>
            </w:r>
            <w:r>
              <w:rPr>
                <w:sz w:val="21"/>
              </w:rPr>
              <w:t>若中标人存在克扣工人工资，</w:t>
            </w:r>
            <w:r>
              <w:rPr>
                <w:sz w:val="21"/>
              </w:rPr>
              <w:t>未</w:t>
            </w:r>
            <w:r>
              <w:rPr>
                <w:sz w:val="21"/>
              </w:rPr>
              <w:t>按照相关规定为员工购买社会保险</w:t>
            </w:r>
            <w:r>
              <w:rPr>
                <w:sz w:val="21"/>
              </w:rPr>
              <w:t>等违法违规行为的，采购人有权扣减中标人相应承包款，因中标人劳资矛盾并影响作业质量的，采购人有权</w:t>
            </w:r>
            <w:r>
              <w:rPr>
                <w:sz w:val="21"/>
              </w:rPr>
              <w:t>单方面</w:t>
            </w:r>
            <w:r>
              <w:rPr>
                <w:sz w:val="21"/>
              </w:rPr>
              <w:t>终止合同。</w:t>
            </w:r>
          </w:p>
          <w:p>
            <w:pPr>
              <w:pStyle w:val="null3"/>
              <w:ind w:firstLine="420"/>
              <w:jc w:val="both"/>
            </w:pPr>
            <w:r>
              <w:rPr>
                <w:sz w:val="21"/>
              </w:rPr>
              <w:t>1.5项目负责人须24小时保证移动电话畅通，每天做好日常除“四害”、白蚁、红火蚁防治自我监督巡查工作。</w:t>
            </w:r>
          </w:p>
          <w:p>
            <w:pPr>
              <w:pStyle w:val="null3"/>
              <w:ind w:firstLine="420"/>
              <w:jc w:val="both"/>
            </w:pPr>
            <w:r>
              <w:rPr>
                <w:sz w:val="21"/>
              </w:rPr>
              <w:t>1.6中标人须将服务于本项目人员分工方案、工作人员的名单、电话号码、身份证复印件、资格证复印件等资料交采购人备案，需要变更相关人员时须上报采购人并更新备案资料。</w:t>
            </w:r>
          </w:p>
          <w:p>
            <w:pPr>
              <w:pStyle w:val="null3"/>
              <w:ind w:firstLine="420"/>
              <w:jc w:val="both"/>
            </w:pPr>
            <w:r>
              <w:rPr>
                <w:sz w:val="21"/>
              </w:rPr>
              <w:t>1.7中标人拟投入本项目服务人员不得随意更换，如需更换，必须经得采购人书面同意后方可更换，并及时提供更换人员的资料给采购人备案。</w:t>
            </w:r>
          </w:p>
          <w:p>
            <w:pPr>
              <w:pStyle w:val="null3"/>
              <w:ind w:firstLine="420"/>
              <w:jc w:val="both"/>
            </w:pPr>
            <w:r>
              <w:rPr>
                <w:sz w:val="21"/>
              </w:rPr>
              <w:t>1.8</w:t>
            </w:r>
            <w:r>
              <w:rPr>
                <w:sz w:val="21"/>
              </w:rPr>
              <w:t>如中标人按采购人要求的数量下限配置人员，采购人仍认为不足以满足服务本项目需要的，中标人必须第一时间无条件增加人员，确保本项目开展的效率和质量。</w:t>
            </w:r>
          </w:p>
          <w:p>
            <w:pPr>
              <w:pStyle w:val="null3"/>
              <w:ind w:firstLine="420"/>
              <w:jc w:val="both"/>
            </w:pPr>
            <w:r>
              <w:rPr>
                <w:sz w:val="21"/>
              </w:rPr>
              <w:t>1.9实际进场人员(如：项目负责人、技术人员、巡查人员等)必须与采购人要求的人员数量相符，每少1个人当月扣10分。</w:t>
            </w:r>
          </w:p>
          <w:p>
            <w:pPr>
              <w:pStyle w:val="null3"/>
              <w:ind w:firstLine="420"/>
              <w:jc w:val="both"/>
            </w:pPr>
            <w:r>
              <w:rPr>
                <w:sz w:val="21"/>
              </w:rPr>
              <w:t>1.10</w:t>
            </w:r>
            <w:r>
              <w:rPr>
                <w:sz w:val="21"/>
              </w:rPr>
              <w:t>中标人</w:t>
            </w:r>
            <w:r>
              <w:rPr>
                <w:sz w:val="21"/>
              </w:rPr>
              <w:t>应保证服务期间均按上述约定以及招标文件、投标文件的要求提供符合要求的人员，否则，采购人有权要求</w:t>
            </w:r>
            <w:r>
              <w:rPr>
                <w:sz w:val="21"/>
              </w:rPr>
              <w:t>中标人</w:t>
            </w:r>
            <w:r>
              <w:rPr>
                <w:sz w:val="21"/>
              </w:rPr>
              <w:t>更换、补足相应的人员，</w:t>
            </w:r>
            <w:r>
              <w:rPr>
                <w:sz w:val="21"/>
              </w:rPr>
              <w:t>中标人</w:t>
            </w:r>
            <w:r>
              <w:rPr>
                <w:sz w:val="21"/>
              </w:rPr>
              <w:t>应当无条件予以配合，相应费用由</w:t>
            </w:r>
            <w:r>
              <w:rPr>
                <w:sz w:val="21"/>
              </w:rPr>
              <w:t>中标人</w:t>
            </w:r>
            <w:r>
              <w:rPr>
                <w:sz w:val="21"/>
              </w:rPr>
              <w:t>自行承担；若</w:t>
            </w:r>
            <w:r>
              <w:rPr>
                <w:sz w:val="21"/>
              </w:rPr>
              <w:t>中标人</w:t>
            </w:r>
            <w:r>
              <w:rPr>
                <w:sz w:val="21"/>
              </w:rPr>
              <w:t>未在采购人要求的期限内更换、补足符合要求的人员的，视为</w:t>
            </w:r>
            <w:r>
              <w:rPr>
                <w:sz w:val="21"/>
              </w:rPr>
              <w:t>中标人</w:t>
            </w:r>
            <w:r>
              <w:rPr>
                <w:sz w:val="21"/>
              </w:rPr>
              <w:t>违约，采购人有权解除本合同。</w:t>
            </w:r>
          </w:p>
          <w:p>
            <w:pPr>
              <w:pStyle w:val="null3"/>
              <w:ind w:firstLine="420"/>
              <w:jc w:val="both"/>
            </w:pPr>
            <w:r>
              <w:rPr>
                <w:sz w:val="21"/>
              </w:rPr>
              <w:t>2.车辆及设备要求</w:t>
            </w:r>
          </w:p>
          <w:tbl>
            <w:tblPr>
              <w:tblInd w:type="dxa" w:w="135"/>
              <w:tblBorders>
                <w:top w:val="none" w:color="000000" w:sz="4"/>
                <w:left w:val="none" w:color="000000" w:sz="4"/>
                <w:bottom w:val="none" w:color="000000" w:sz="4"/>
                <w:right w:val="none" w:color="000000" w:sz="4"/>
                <w:insideH w:val="none"/>
                <w:insideV w:val="none"/>
              </w:tblBorders>
            </w:tblPr>
            <w:tblGrid>
              <w:gridCol w:w="741"/>
              <w:gridCol w:w="2110"/>
              <w:gridCol w:w="1533"/>
              <w:gridCol w:w="1214"/>
            </w:tblGrid>
            <w:tr>
              <w:tc>
                <w:tcPr>
                  <w:tcW w:type="dxa" w:w="7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1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1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r>
                    <w:rPr>
                      <w:sz w:val="21"/>
                      <w:b/>
                    </w:rPr>
                    <w:t>要求</w:t>
                  </w:r>
                </w:p>
              </w:tc>
              <w:tc>
                <w:tcPr>
                  <w:tcW w:type="dxa" w:w="1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应急车辆</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不少于</w:t>
                  </w:r>
                  <w:r>
                    <w:rPr>
                      <w:sz w:val="21"/>
                    </w:rPr>
                    <w:t>7</w:t>
                  </w:r>
                  <w:r>
                    <w:rPr>
                      <w:sz w:val="21"/>
                    </w:rPr>
                    <w:t>辆</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热烟雾机</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不少于</w:t>
                  </w:r>
                  <w:r>
                    <w:rPr>
                      <w:sz w:val="21"/>
                    </w:rPr>
                    <w:t>20</w:t>
                  </w:r>
                  <w:r>
                    <w:rPr>
                      <w:sz w:val="21"/>
                    </w:rPr>
                    <w:t>台</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背负式超低容量喷雾器</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不少于</w:t>
                  </w:r>
                  <w:r>
                    <w:rPr>
                      <w:sz w:val="21"/>
                    </w:rPr>
                    <w:t>6台</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车载式电动超低容量喷雾机</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不少于</w:t>
                  </w:r>
                  <w:r>
                    <w:rPr>
                      <w:sz w:val="21"/>
                    </w:rPr>
                    <w:t>2台</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手动喷雾器</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不少于</w:t>
                  </w:r>
                  <w:r>
                    <w:rPr>
                      <w:sz w:val="21"/>
                    </w:rPr>
                    <w:t>10台</w:t>
                  </w:r>
                </w:p>
              </w:tc>
            </w:tr>
          </w:tbl>
          <w:p>
            <w:pPr>
              <w:pStyle w:val="null3"/>
              <w:ind w:firstLine="504"/>
              <w:jc w:val="both"/>
            </w:pPr>
            <w:r>
              <w:rPr>
                <w:sz w:val="21"/>
              </w:rPr>
              <w:t>2.1</w:t>
            </w:r>
            <w:r>
              <w:rPr>
                <w:sz w:val="21"/>
              </w:rPr>
              <w:t>中标人在收到中标通知书之日起</w:t>
            </w:r>
            <w:r>
              <w:rPr>
                <w:sz w:val="21"/>
              </w:rPr>
              <w:t>10个工作日内，须提供上述</w:t>
            </w:r>
            <w:r>
              <w:rPr>
                <w:sz w:val="21"/>
              </w:rPr>
              <w:t>车辆及</w:t>
            </w:r>
            <w:r>
              <w:rPr>
                <w:sz w:val="21"/>
              </w:rPr>
              <w:t>设备由采购人查验。若中标人未如期提供，或提供的</w:t>
            </w:r>
            <w:r>
              <w:rPr>
                <w:sz w:val="21"/>
              </w:rPr>
              <w:t>车辆及</w:t>
            </w:r>
            <w:r>
              <w:rPr>
                <w:sz w:val="21"/>
              </w:rPr>
              <w:t>设备与投标文件不符，则按提供虚假材料谋取中标处理。采购人有权取消其中标资格，并按照评审报告推荐的名单顺序，确定下一候选人为中标人。</w:t>
            </w:r>
          </w:p>
          <w:p>
            <w:pPr>
              <w:pStyle w:val="null3"/>
              <w:ind w:firstLine="420"/>
              <w:jc w:val="both"/>
            </w:pPr>
            <w:r>
              <w:rPr>
                <w:sz w:val="21"/>
              </w:rPr>
              <w:t>2.2作业车辆及设备须做好安全检查工作，做到每天作业前、作业中、作业后对车辆及设备进行安全检查，保证作业车辆及设备完好、外观整洁、适合作业。其中，作业车辆必须配备有效的防火设施。</w:t>
            </w:r>
          </w:p>
          <w:p>
            <w:pPr>
              <w:pStyle w:val="null3"/>
              <w:ind w:firstLine="420"/>
              <w:jc w:val="both"/>
            </w:pPr>
            <w:r>
              <w:rPr>
                <w:sz w:val="21"/>
              </w:rPr>
              <w:t>2.3作业车辆必须具备法定有效证照，并购置办理路费、税款、交强险等法定手续，一车一档，由持有相应驾驶证照的驾驶员驾驶。</w:t>
            </w:r>
          </w:p>
          <w:p>
            <w:pPr>
              <w:pStyle w:val="null3"/>
              <w:ind w:firstLine="420"/>
              <w:jc w:val="both"/>
            </w:pPr>
            <w:r>
              <w:rPr>
                <w:sz w:val="21"/>
              </w:rPr>
              <w:t>2.4作业车辆及设备在使用过后必须按规定妥善停放于指定场地内，不得随意停放于道路街道等公共区域阻碍通行。作业车辆必须遵守交通法规行驶。除应急抢修处理需要，并经采购人及交警部门同意外，不得于工作日交通高峰期占道作业，影响交通通行。</w:t>
            </w:r>
          </w:p>
          <w:p>
            <w:pPr>
              <w:pStyle w:val="null3"/>
              <w:ind w:firstLine="420"/>
              <w:jc w:val="both"/>
            </w:pPr>
            <w:r>
              <w:rPr>
                <w:sz w:val="21"/>
              </w:rPr>
              <w:t>2.5</w:t>
            </w:r>
            <w:r>
              <w:rPr>
                <w:sz w:val="21"/>
              </w:rPr>
              <w:t>如中标人按采购人要求的数量下限配置设备，采购人仍认为不足以满足服务本项目需要的，中标人必须第一时间无条件增加设备，确保本项目开展的效率和质量。</w:t>
            </w:r>
          </w:p>
          <w:p>
            <w:pPr>
              <w:pStyle w:val="null3"/>
              <w:ind w:firstLine="420"/>
              <w:jc w:val="both"/>
            </w:pPr>
            <w:r>
              <w:rPr>
                <w:sz w:val="21"/>
              </w:rPr>
              <w:t>2.6</w:t>
            </w:r>
            <w:r>
              <w:rPr>
                <w:sz w:val="21"/>
              </w:rPr>
              <w:t>中标人</w:t>
            </w:r>
            <w:r>
              <w:rPr>
                <w:sz w:val="21"/>
              </w:rPr>
              <w:t>应保证服务期间该些设备及工具均能正常使用，设备的维修、维护费由</w:t>
            </w:r>
            <w:r>
              <w:rPr>
                <w:sz w:val="21"/>
              </w:rPr>
              <w:t>中标人</w:t>
            </w:r>
            <w:r>
              <w:rPr>
                <w:sz w:val="21"/>
              </w:rPr>
              <w:t>自行承担。</w:t>
            </w:r>
          </w:p>
          <w:p>
            <w:pPr>
              <w:pStyle w:val="null3"/>
              <w:ind w:firstLine="420"/>
              <w:jc w:val="both"/>
            </w:pPr>
            <w:r>
              <w:rPr>
                <w:sz w:val="21"/>
              </w:rPr>
              <w:t>2.7</w:t>
            </w:r>
            <w:r>
              <w:rPr>
                <w:sz w:val="21"/>
              </w:rPr>
              <w:t>中标人</w:t>
            </w:r>
            <w:r>
              <w:rPr>
                <w:sz w:val="21"/>
              </w:rPr>
              <w:t>应保证服务期间均按上述约定以及招标文件、投标文件的要求提供符合要求的</w:t>
            </w:r>
            <w:r>
              <w:rPr>
                <w:sz w:val="21"/>
              </w:rPr>
              <w:t>车辆及设备</w:t>
            </w:r>
            <w:r>
              <w:rPr>
                <w:sz w:val="21"/>
              </w:rPr>
              <w:t>，否则，采购人有权要求</w:t>
            </w:r>
            <w:r>
              <w:rPr>
                <w:sz w:val="21"/>
              </w:rPr>
              <w:t>中标人</w:t>
            </w:r>
            <w:r>
              <w:rPr>
                <w:sz w:val="21"/>
              </w:rPr>
              <w:t>更换、补足相应的</w:t>
            </w:r>
            <w:r>
              <w:rPr>
                <w:sz w:val="21"/>
              </w:rPr>
              <w:t>车辆及设备</w:t>
            </w:r>
            <w:r>
              <w:rPr>
                <w:sz w:val="21"/>
              </w:rPr>
              <w:t>，</w:t>
            </w:r>
            <w:r>
              <w:rPr>
                <w:sz w:val="21"/>
              </w:rPr>
              <w:t>中标人</w:t>
            </w:r>
            <w:r>
              <w:rPr>
                <w:sz w:val="21"/>
              </w:rPr>
              <w:t>应当无条件予以配合，相应费用由</w:t>
            </w:r>
            <w:r>
              <w:rPr>
                <w:sz w:val="21"/>
              </w:rPr>
              <w:t>中标人</w:t>
            </w:r>
            <w:r>
              <w:rPr>
                <w:sz w:val="21"/>
              </w:rPr>
              <w:t>自行承担；若</w:t>
            </w:r>
            <w:r>
              <w:rPr>
                <w:sz w:val="21"/>
              </w:rPr>
              <w:t>中标人</w:t>
            </w:r>
            <w:r>
              <w:rPr>
                <w:sz w:val="21"/>
              </w:rPr>
              <w:t>未在采购人要求的期限内更换、补足符合要求的</w:t>
            </w:r>
            <w:r>
              <w:rPr>
                <w:sz w:val="21"/>
              </w:rPr>
              <w:t>车辆及设备</w:t>
            </w:r>
            <w:r>
              <w:rPr>
                <w:sz w:val="21"/>
              </w:rPr>
              <w:t>的，视为</w:t>
            </w:r>
            <w:r>
              <w:rPr>
                <w:sz w:val="21"/>
              </w:rPr>
              <w:t>中标人</w:t>
            </w:r>
            <w:r>
              <w:rPr>
                <w:sz w:val="21"/>
              </w:rPr>
              <w:t>违约，采购人有权解除本合同。</w:t>
            </w:r>
          </w:p>
          <w:p>
            <w:pPr>
              <w:pStyle w:val="null3"/>
              <w:ind w:firstLine="420"/>
              <w:jc w:val="both"/>
            </w:pPr>
            <w:r>
              <w:rPr/>
              <w:t xml:space="preserve"> </w:t>
            </w:r>
          </w:p>
          <w:p>
            <w:pPr>
              <w:pStyle w:val="null3"/>
              <w:ind w:firstLine="422"/>
              <w:jc w:val="left"/>
            </w:pPr>
            <w:r>
              <w:rPr>
                <w:sz w:val="21"/>
                <w:b/>
              </w:rPr>
              <w:t>七、</w:t>
            </w:r>
            <w:r>
              <w:rPr>
                <w:sz w:val="21"/>
                <w:b/>
              </w:rPr>
              <w:t>考核办法</w:t>
            </w:r>
          </w:p>
          <w:p>
            <w:pPr>
              <w:pStyle w:val="null3"/>
              <w:ind w:firstLine="420"/>
              <w:jc w:val="both"/>
            </w:pPr>
            <w:r>
              <w:rPr>
                <w:sz w:val="21"/>
              </w:rPr>
              <w:t>1.</w:t>
            </w:r>
            <w:r>
              <w:rPr>
                <w:sz w:val="21"/>
              </w:rPr>
              <w:t>采购人每月对中标人的服务质量进行检查考核，并根据考核结果核发</w:t>
            </w:r>
            <w:r>
              <w:rPr>
                <w:sz w:val="21"/>
              </w:rPr>
              <w:t>当月</w:t>
            </w:r>
            <w:r>
              <w:rPr>
                <w:sz w:val="21"/>
              </w:rPr>
              <w:t>承包款。</w:t>
            </w:r>
          </w:p>
          <w:p>
            <w:pPr>
              <w:pStyle w:val="null3"/>
              <w:ind w:firstLine="420"/>
              <w:jc w:val="both"/>
            </w:pPr>
            <w:r>
              <w:rPr>
                <w:sz w:val="21"/>
              </w:rPr>
              <w:t>2.</w:t>
            </w:r>
            <w:r>
              <w:rPr>
                <w:sz w:val="21"/>
              </w:rPr>
              <w:t>考核满分为</w:t>
            </w:r>
            <w:r>
              <w:rPr>
                <w:sz w:val="21"/>
              </w:rPr>
              <w:t>100分；评分表共两份，特殊月份一份，普通月份一份（特殊月份是指在蚊子的高发季节即3、4、5月和10、11月</w:t>
            </w:r>
            <w:r>
              <w:rPr>
                <w:sz w:val="21"/>
              </w:rPr>
              <w:t>共</w:t>
            </w:r>
            <w:r>
              <w:rPr>
                <w:sz w:val="21"/>
              </w:rPr>
              <w:t>五个月，普通月份是指剩余的七个月）。在特殊月份的考评中杀灭蚊子工作占考评总分值的</w:t>
            </w:r>
            <w:r>
              <w:rPr>
                <w:sz w:val="21"/>
              </w:rPr>
              <w:t>80%。</w:t>
            </w:r>
          </w:p>
          <w:p>
            <w:pPr>
              <w:pStyle w:val="null3"/>
              <w:ind w:firstLine="420"/>
              <w:jc w:val="both"/>
            </w:pPr>
            <w:r>
              <w:rPr>
                <w:sz w:val="21"/>
              </w:rPr>
              <w:t>3.</w:t>
            </w:r>
            <w:r>
              <w:rPr>
                <w:sz w:val="21"/>
              </w:rPr>
              <w:t>考核分</w:t>
            </w:r>
            <w:r>
              <w:rPr>
                <w:sz w:val="21"/>
              </w:rPr>
              <w:t>= 100</w:t>
            </w:r>
            <w:r>
              <w:rPr>
                <w:sz w:val="21"/>
              </w:rPr>
              <w:t>分</w:t>
            </w:r>
            <w:r>
              <w:rPr>
                <w:sz w:val="21"/>
              </w:rPr>
              <w:t>－合计检查扣分</w:t>
            </w:r>
            <w:r>
              <w:rPr>
                <w:sz w:val="21"/>
              </w:rPr>
              <w:t>。</w:t>
            </w:r>
          </w:p>
          <w:p>
            <w:pPr>
              <w:pStyle w:val="null3"/>
              <w:ind w:firstLine="420"/>
              <w:jc w:val="both"/>
            </w:pPr>
            <w:r>
              <w:rPr>
                <w:sz w:val="21"/>
              </w:rPr>
              <w:t>4.</w:t>
            </w:r>
            <w:r>
              <w:rPr>
                <w:sz w:val="21"/>
              </w:rPr>
              <w:t>扣分、扣</w:t>
            </w:r>
            <w:r>
              <w:rPr>
                <w:sz w:val="21"/>
              </w:rPr>
              <w:t>违约金</w:t>
            </w:r>
            <w:r>
              <w:rPr>
                <w:sz w:val="21"/>
              </w:rPr>
              <w:t>方法按《东城街道除</w:t>
            </w:r>
            <w:r>
              <w:rPr>
                <w:sz w:val="21"/>
              </w:rPr>
              <w:t>“四害”及白蚁、红火蚁防治服务项目（2024-2027年）项目考核评分表》执行，评分采用百分制，90分(含90分)至100分为优良达标，不扣除当月服务费；80分（</w:t>
            </w:r>
            <w:r>
              <w:rPr>
                <w:sz w:val="21"/>
              </w:rPr>
              <w:t>含</w:t>
            </w:r>
            <w:r>
              <w:rPr>
                <w:sz w:val="21"/>
              </w:rPr>
              <w:t>80分）以上至90分（不含90分）以下的部分，实行</w:t>
            </w:r>
            <w:r>
              <w:rPr>
                <w:sz w:val="21"/>
              </w:rPr>
              <w:t>与</w:t>
            </w:r>
            <w:r>
              <w:rPr>
                <w:sz w:val="21"/>
              </w:rPr>
              <w:t>90分相比</w:t>
            </w:r>
            <w:r>
              <w:rPr>
                <w:sz w:val="21"/>
              </w:rPr>
              <w:t>每少</w:t>
            </w:r>
            <w:r>
              <w:rPr>
                <w:sz w:val="21"/>
              </w:rPr>
              <w:t>1分（</w:t>
            </w:r>
            <w:r>
              <w:rPr>
                <w:sz w:val="21"/>
              </w:rPr>
              <w:t>少了</w:t>
            </w:r>
            <w:r>
              <w:rPr>
                <w:sz w:val="21"/>
              </w:rPr>
              <w:t>不足</w:t>
            </w:r>
            <w:r>
              <w:rPr>
                <w:sz w:val="21"/>
              </w:rPr>
              <w:t>1分的部分按1分计算）扣除当月服务费的1</w:t>
            </w:r>
            <w:r>
              <w:rPr>
                <w:sz w:val="21"/>
              </w:rPr>
              <w:t>%</w:t>
            </w:r>
            <w:r>
              <w:rPr>
                <w:sz w:val="21"/>
              </w:rPr>
              <w:t>；低于</w:t>
            </w:r>
            <w:r>
              <w:rPr>
                <w:sz w:val="21"/>
              </w:rPr>
              <w:t>80分以下的部分，</w:t>
            </w:r>
            <w:r>
              <w:rPr>
                <w:sz w:val="21"/>
              </w:rPr>
              <w:t>除依据前述约定扣除当月服务费的</w:t>
            </w:r>
            <w:r>
              <w:rPr>
                <w:sz w:val="21"/>
              </w:rPr>
              <w:t>10%以外，与80分相比</w:t>
            </w:r>
            <w:r>
              <w:rPr>
                <w:sz w:val="21"/>
              </w:rPr>
              <w:t>每少</w:t>
            </w:r>
            <w:r>
              <w:rPr>
                <w:sz w:val="21"/>
              </w:rPr>
              <w:t>1分（</w:t>
            </w:r>
            <w:r>
              <w:rPr>
                <w:sz w:val="21"/>
              </w:rPr>
              <w:t>少了</w:t>
            </w:r>
            <w:r>
              <w:rPr>
                <w:sz w:val="21"/>
              </w:rPr>
              <w:t>不足</w:t>
            </w:r>
            <w:r>
              <w:rPr>
                <w:sz w:val="21"/>
              </w:rPr>
              <w:t>1分的部分按1分计算）</w:t>
            </w:r>
            <w:r>
              <w:rPr>
                <w:sz w:val="21"/>
              </w:rPr>
              <w:t>同时</w:t>
            </w:r>
            <w:r>
              <w:rPr>
                <w:sz w:val="21"/>
              </w:rPr>
              <w:t>扣除当月服务费的</w:t>
            </w:r>
            <w:r>
              <w:rPr>
                <w:sz w:val="21"/>
              </w:rPr>
              <w:t>2</w:t>
            </w:r>
            <w:r>
              <w:rPr>
                <w:sz w:val="21"/>
              </w:rPr>
              <w:t>%</w:t>
            </w:r>
            <w:r>
              <w:rPr>
                <w:sz w:val="21"/>
              </w:rPr>
              <w:t>，</w:t>
            </w:r>
            <w:r>
              <w:rPr>
                <w:sz w:val="21"/>
              </w:rPr>
              <w:t>考核</w:t>
            </w:r>
            <w:r>
              <w:rPr>
                <w:sz w:val="21"/>
              </w:rPr>
              <w:t>分数在</w:t>
            </w:r>
            <w:r>
              <w:rPr>
                <w:sz w:val="21"/>
              </w:rPr>
              <w:t>80分以下</w:t>
            </w:r>
            <w:r>
              <w:rPr>
                <w:sz w:val="21"/>
              </w:rPr>
              <w:t>累计达到</w:t>
            </w:r>
            <w:r>
              <w:rPr>
                <w:sz w:val="21"/>
              </w:rPr>
              <w:t>三次</w:t>
            </w:r>
            <w:r>
              <w:rPr>
                <w:sz w:val="21"/>
              </w:rPr>
              <w:t>或</w:t>
            </w:r>
            <w:r>
              <w:rPr>
                <w:sz w:val="21"/>
              </w:rPr>
              <w:t>以上的，除按规定扣款外，采购人有权终止合同</w:t>
            </w:r>
            <w:r>
              <w:rPr>
                <w:sz w:val="21"/>
              </w:rPr>
              <w:t>，履约保证金不退</w:t>
            </w:r>
            <w:r>
              <w:rPr>
                <w:sz w:val="21"/>
              </w:rPr>
              <w:t>。</w:t>
            </w:r>
          </w:p>
          <w:p>
            <w:pPr>
              <w:pStyle w:val="null3"/>
              <w:ind w:firstLine="420"/>
              <w:jc w:val="both"/>
            </w:pPr>
            <w:r>
              <w:rPr>
                <w:sz w:val="21"/>
              </w:rPr>
              <w:t>东城街道除</w:t>
            </w:r>
            <w:r>
              <w:rPr>
                <w:sz w:val="21"/>
              </w:rPr>
              <w:t>“四害”及白蚁、红火蚁防治服务项目（2024-2027年）项目考核评分表</w:t>
            </w:r>
          </w:p>
          <w:p>
            <w:pPr>
              <w:pStyle w:val="null3"/>
              <w:ind w:firstLine="420"/>
              <w:jc w:val="both"/>
            </w:pPr>
            <w:r>
              <w:rPr>
                <w:sz w:val="21"/>
              </w:rPr>
              <w:t>普通月份考核标准</w:t>
            </w:r>
          </w:p>
          <w:tbl>
            <w:tblPr>
              <w:tblInd w:type="dxa" w:w="120"/>
              <w:tblBorders>
                <w:top w:val="none" w:color="000000" w:sz="4"/>
                <w:left w:val="none" w:color="000000" w:sz="4"/>
                <w:bottom w:val="none" w:color="000000" w:sz="4"/>
                <w:right w:val="none" w:color="000000" w:sz="4"/>
                <w:insideH w:val="none"/>
                <w:insideV w:val="none"/>
              </w:tblBorders>
            </w:tblPr>
            <w:tblGrid>
              <w:gridCol w:w="444"/>
              <w:gridCol w:w="505"/>
              <w:gridCol w:w="2324"/>
              <w:gridCol w:w="1303"/>
              <w:gridCol w:w="586"/>
              <w:gridCol w:w="424"/>
            </w:tblGrid>
            <w:tr>
              <w:tc>
                <w:tcPr>
                  <w:tcW w:type="dxa" w:w="3273"/>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除</w:t>
                  </w:r>
                  <w:r>
                    <w:rPr>
                      <w:sz w:val="20"/>
                      <w:b/>
                    </w:rPr>
                    <w:t>“四害”现场考核</w:t>
                  </w:r>
                </w:p>
              </w:tc>
              <w:tc>
                <w:tcPr>
                  <w:tcW w:type="dxa" w:w="130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扣分方法</w:t>
                  </w:r>
                </w:p>
              </w:tc>
              <w:tc>
                <w:tcPr>
                  <w:tcW w:type="dxa" w:w="58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应得分</w:t>
                  </w:r>
                </w:p>
              </w:tc>
              <w:tc>
                <w:tcPr>
                  <w:tcW w:type="dxa" w:w="42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扣分</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总分</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项目</w:t>
                  </w: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检查方法及评价依据</w:t>
                  </w:r>
                </w:p>
              </w:tc>
              <w:tc>
                <w:tcPr>
                  <w:tcW w:type="dxa" w:w="1303"/>
                  <w:vMerge/>
                  <w:tcBorders>
                    <w:top w:val="single" w:color="000000" w:sz="4"/>
                    <w:left w:val="none" w:color="000000" w:sz="4"/>
                    <w:bottom w:val="single" w:color="000000" w:sz="4"/>
                    <w:right w:val="single" w:color="000000" w:sz="4"/>
                  </w:tcBorders>
                </w:tcPr>
                <w:p/>
              </w:tc>
              <w:tc>
                <w:tcPr>
                  <w:tcW w:type="dxa" w:w="586"/>
                  <w:vMerge/>
                  <w:tcBorders>
                    <w:top w:val="single" w:color="000000" w:sz="4"/>
                    <w:left w:val="none" w:color="000000" w:sz="4"/>
                    <w:bottom w:val="single" w:color="000000" w:sz="4"/>
                    <w:right w:val="single" w:color="000000" w:sz="4"/>
                  </w:tcBorders>
                </w:tcPr>
                <w:p/>
              </w:tc>
              <w:tc>
                <w:tcPr>
                  <w:tcW w:type="dxa" w:w="424"/>
                  <w:vMerge/>
                  <w:tcBorders>
                    <w:top w:val="single" w:color="000000" w:sz="4"/>
                    <w:left w:val="none" w:color="000000" w:sz="4"/>
                    <w:bottom w:val="single" w:color="000000" w:sz="4"/>
                    <w:right w:val="single" w:color="000000" w:sz="4"/>
                  </w:tcBorders>
                </w:tcPr>
                <w:p/>
              </w:tc>
            </w:tr>
            <w:tr>
              <w:tc>
                <w:tcPr>
                  <w:tcW w:type="dxa" w:w="44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100分</w:t>
                  </w:r>
                </w:p>
              </w:tc>
              <w:tc>
                <w:tcPr>
                  <w:tcW w:type="dxa" w:w="5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灭鼠</w:t>
                  </w: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1、粉迹法（每15平方米房间布放20×20厘米粉板两块）监测鼠足印阳性率低于3%</w:t>
                  </w:r>
                  <w:r>
                    <w:rPr>
                      <w:sz w:val="20"/>
                    </w:rPr>
                    <w:t>。</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每超出</w:t>
                  </w:r>
                  <w:r>
                    <w:rPr>
                      <w:sz w:val="20"/>
                    </w:rPr>
                    <w:t>0.1%扣1分，扣完为止</w:t>
                  </w:r>
                  <w:r>
                    <w:rPr>
                      <w:sz w:val="20"/>
                    </w:rPr>
                    <w:t>。</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vMerge/>
                  <w:tcBorders>
                    <w:top w:val="none" w:color="000000" w:sz="4"/>
                    <w:left w:val="single" w:color="000000" w:sz="4"/>
                    <w:bottom w:val="none" w:color="000000" w:sz="4"/>
                    <w:right w:val="single" w:color="000000" w:sz="4"/>
                  </w:tcBorders>
                </w:tcPr>
                <w:p/>
              </w:tc>
              <w:tc>
                <w:tcPr>
                  <w:tcW w:type="dxa" w:w="505"/>
                  <w:vMerge/>
                  <w:tcBorders>
                    <w:top w:val="none" w:color="000000" w:sz="4"/>
                    <w:left w:val="non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2、鼠迹（鼠洞、鼠粪、鼠路、鼠咬痕），有鼠迹房间不超过2%</w:t>
                  </w:r>
                  <w:r>
                    <w:rPr>
                      <w:sz w:val="20"/>
                    </w:rPr>
                    <w:t>。</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每超出</w:t>
                  </w:r>
                  <w:r>
                    <w:rPr>
                      <w:sz w:val="20"/>
                    </w:rPr>
                    <w:t>0.1%扣1分，扣完为止</w:t>
                  </w:r>
                  <w:r>
                    <w:rPr>
                      <w:sz w:val="20"/>
                    </w:rPr>
                    <w:t>。</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vMerge/>
                  <w:tcBorders>
                    <w:top w:val="none" w:color="000000" w:sz="4"/>
                    <w:left w:val="single" w:color="000000" w:sz="4"/>
                    <w:bottom w:val="none" w:color="000000" w:sz="4"/>
                    <w:right w:val="single" w:color="000000" w:sz="4"/>
                  </w:tcBorders>
                </w:tcPr>
                <w:p/>
              </w:tc>
              <w:tc>
                <w:tcPr>
                  <w:tcW w:type="dxa" w:w="505"/>
                  <w:vMerge/>
                  <w:tcBorders>
                    <w:top w:val="none" w:color="000000" w:sz="4"/>
                    <w:left w:val="non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3、2000米外环境鼠迹不超过5处</w:t>
                  </w:r>
                  <w:r>
                    <w:rPr>
                      <w:sz w:val="20"/>
                    </w:rPr>
                    <w:t>。</w:t>
                  </w:r>
                </w:p>
              </w:tc>
              <w:tc>
                <w:tcPr>
                  <w:tcW w:type="dxa" w:w="13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每超过</w:t>
                  </w:r>
                  <w:r>
                    <w:rPr>
                      <w:sz w:val="20"/>
                    </w:rPr>
                    <w:t>1处扣2分，扣完为止</w:t>
                  </w:r>
                  <w:r>
                    <w:rPr>
                      <w:sz w:val="20"/>
                    </w:rPr>
                    <w:t>。</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vMerge/>
                  <w:tcBorders>
                    <w:top w:val="none" w:color="000000" w:sz="4"/>
                    <w:left w:val="single" w:color="000000" w:sz="4"/>
                    <w:bottom w:val="none" w:color="000000" w:sz="4"/>
                    <w:right w:val="single" w:color="000000" w:sz="4"/>
                  </w:tcBorders>
                </w:tcPr>
                <w:p/>
              </w:tc>
              <w:tc>
                <w:tcPr>
                  <w:tcW w:type="dxa" w:w="505"/>
                  <w:vMerge/>
                  <w:tcBorders>
                    <w:top w:val="none" w:color="000000" w:sz="4"/>
                    <w:left w:val="non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4、有灭鼠计划，有方案并有灭鼠成效</w:t>
                  </w:r>
                  <w:r>
                    <w:rPr>
                      <w:sz w:val="20"/>
                    </w:rPr>
                    <w:t>。</w:t>
                  </w:r>
                </w:p>
              </w:tc>
              <w:tc>
                <w:tcPr>
                  <w:tcW w:type="dxa" w:w="13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无灭鼠计划或无按计划实施灭鼠</w:t>
                  </w:r>
                  <w:r>
                    <w:rPr>
                      <w:sz w:val="20"/>
                    </w:rPr>
                    <w:t>不得分。</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vMerge/>
                  <w:tcBorders>
                    <w:top w:val="none" w:color="000000" w:sz="4"/>
                    <w:left w:val="single" w:color="000000" w:sz="4"/>
                    <w:bottom w:val="none" w:color="000000" w:sz="4"/>
                    <w:right w:val="single" w:color="000000" w:sz="4"/>
                  </w:tcBorders>
                </w:tcPr>
                <w:p/>
              </w:tc>
              <w:tc>
                <w:tcPr>
                  <w:tcW w:type="dxa" w:w="505"/>
                  <w:vMerge/>
                  <w:tcBorders>
                    <w:top w:val="none" w:color="000000" w:sz="4"/>
                    <w:left w:val="non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5、随机访问中，群众满意率不低于70%</w:t>
                  </w:r>
                  <w:r>
                    <w:rPr>
                      <w:sz w:val="20"/>
                    </w:rPr>
                    <w:t>。</w:t>
                  </w:r>
                </w:p>
              </w:tc>
              <w:tc>
                <w:tcPr>
                  <w:tcW w:type="dxa" w:w="13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未达</w:t>
                  </w:r>
                  <w:r>
                    <w:rPr>
                      <w:sz w:val="20"/>
                    </w:rPr>
                    <w:t>70%，每低于5%扣1分，此项扣分不设限</w:t>
                  </w:r>
                  <w:r>
                    <w:rPr>
                      <w:sz w:val="20"/>
                    </w:rPr>
                    <w:t>。</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vMerge/>
                  <w:tcBorders>
                    <w:top w:val="none" w:color="000000" w:sz="4"/>
                    <w:left w:val="single" w:color="000000" w:sz="4"/>
                    <w:bottom w:val="none" w:color="000000" w:sz="4"/>
                    <w:right w:val="single" w:color="000000" w:sz="4"/>
                  </w:tcBorders>
                </w:tcPr>
                <w:p/>
              </w:tc>
              <w:tc>
                <w:tcPr>
                  <w:tcW w:type="dxa" w:w="5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灭蚊</w:t>
                  </w: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1、居民区、单位内外环境各种存水容器和积水中的幼蚊及蛹，阳性率低于3%</w:t>
                  </w:r>
                  <w:r>
                    <w:rPr>
                      <w:sz w:val="20"/>
                    </w:rPr>
                    <w:t>。</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每超出</w:t>
                  </w:r>
                  <w:r>
                    <w:rPr>
                      <w:sz w:val="20"/>
                    </w:rPr>
                    <w:t>0.1%扣1分</w:t>
                  </w:r>
                  <w:r>
                    <w:rPr>
                      <w:sz w:val="20"/>
                    </w:rPr>
                    <w:t>。</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vMerge/>
                  <w:tcBorders>
                    <w:top w:val="none" w:color="000000" w:sz="4"/>
                    <w:left w:val="single" w:color="000000" w:sz="4"/>
                    <w:bottom w:val="none" w:color="000000" w:sz="4"/>
                    <w:right w:val="single" w:color="000000" w:sz="4"/>
                  </w:tcBorders>
                </w:tcPr>
                <w:p/>
              </w:tc>
              <w:tc>
                <w:tcPr>
                  <w:tcW w:type="dxa" w:w="505"/>
                  <w:vMerge/>
                  <w:tcBorders>
                    <w:top w:val="none" w:color="000000" w:sz="4"/>
                    <w:left w:val="non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2、用500毫升收集勺采集城区内大中型水体中的蚊幼虫或蛹，阳性率低于3%，阳性勺内幼虫或蛹的平均数不超过3只</w:t>
                  </w:r>
                  <w:r>
                    <w:rPr>
                      <w:sz w:val="20"/>
                    </w:rPr>
                    <w:t>。</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每超出</w:t>
                  </w:r>
                  <w:r>
                    <w:rPr>
                      <w:sz w:val="20"/>
                    </w:rPr>
                    <w:t>1只扣1分，扣完为止</w:t>
                  </w:r>
                  <w:r>
                    <w:rPr>
                      <w:sz w:val="20"/>
                    </w:rPr>
                    <w:t>。</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vMerge/>
                  <w:tcBorders>
                    <w:top w:val="none" w:color="000000" w:sz="4"/>
                    <w:left w:val="single" w:color="000000" w:sz="4"/>
                    <w:bottom w:val="none" w:color="000000" w:sz="4"/>
                    <w:right w:val="single" w:color="000000" w:sz="4"/>
                  </w:tcBorders>
                </w:tcPr>
                <w:p/>
              </w:tc>
              <w:tc>
                <w:tcPr>
                  <w:tcW w:type="dxa" w:w="505"/>
                  <w:vMerge/>
                  <w:tcBorders>
                    <w:top w:val="none" w:color="000000" w:sz="4"/>
                    <w:left w:val="non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3、在特殊场所白天人诱蚊60分钟，平均诱获成蚊不超过1只/人次</w:t>
                  </w:r>
                  <w:r>
                    <w:rPr>
                      <w:sz w:val="20"/>
                    </w:rPr>
                    <w:t>。</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每超过</w:t>
                  </w:r>
                  <w:r>
                    <w:rPr>
                      <w:sz w:val="20"/>
                    </w:rPr>
                    <w:t>1只/人次扣1分，扣完为止</w:t>
                  </w:r>
                  <w:r>
                    <w:rPr>
                      <w:sz w:val="20"/>
                    </w:rPr>
                    <w:t>。</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vMerge/>
                  <w:tcBorders>
                    <w:top w:val="none" w:color="000000" w:sz="4"/>
                    <w:left w:val="single" w:color="000000" w:sz="4"/>
                    <w:bottom w:val="none" w:color="000000" w:sz="4"/>
                    <w:right w:val="single" w:color="000000" w:sz="4"/>
                  </w:tcBorders>
                </w:tcPr>
                <w:p/>
              </w:tc>
              <w:tc>
                <w:tcPr>
                  <w:tcW w:type="dxa" w:w="505"/>
                  <w:vMerge/>
                  <w:tcBorders>
                    <w:top w:val="none" w:color="000000" w:sz="4"/>
                    <w:left w:val="non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4、白天用电动吸蚊器在居民区的住房、杂物房等捕成蚊，每100间房不超过150只</w:t>
                  </w:r>
                  <w:r>
                    <w:rPr>
                      <w:sz w:val="20"/>
                    </w:rPr>
                    <w:t>。</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每超过</w:t>
                  </w:r>
                  <w:r>
                    <w:rPr>
                      <w:sz w:val="20"/>
                    </w:rPr>
                    <w:t>1只扣1分，扣完为止</w:t>
                  </w:r>
                  <w:r>
                    <w:rPr>
                      <w:sz w:val="20"/>
                    </w:rPr>
                    <w:t>。</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vMerge/>
                  <w:tcBorders>
                    <w:top w:val="none" w:color="000000" w:sz="4"/>
                    <w:left w:val="single" w:color="000000" w:sz="4"/>
                    <w:bottom w:val="none" w:color="000000" w:sz="4"/>
                    <w:right w:val="single" w:color="000000" w:sz="4"/>
                  </w:tcBorders>
                </w:tcPr>
                <w:p/>
              </w:tc>
              <w:tc>
                <w:tcPr>
                  <w:tcW w:type="dxa" w:w="505"/>
                  <w:vMerge/>
                  <w:tcBorders>
                    <w:top w:val="none" w:color="000000" w:sz="4"/>
                    <w:left w:val="non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5、有灭蚊计划，有方案并有灭蚊成效</w:t>
                  </w:r>
                  <w:r>
                    <w:rPr>
                      <w:sz w:val="20"/>
                    </w:rPr>
                    <w:t>。</w:t>
                  </w:r>
                </w:p>
              </w:tc>
              <w:tc>
                <w:tcPr>
                  <w:tcW w:type="dxa" w:w="13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无灭蚊计划或无按计划实施灭蚊</w:t>
                  </w:r>
                  <w:r>
                    <w:rPr>
                      <w:sz w:val="20"/>
                    </w:rPr>
                    <w:t>不得分。</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vMerge/>
                  <w:tcBorders>
                    <w:top w:val="none" w:color="000000" w:sz="4"/>
                    <w:left w:val="single" w:color="000000" w:sz="4"/>
                    <w:bottom w:val="none" w:color="000000" w:sz="4"/>
                    <w:right w:val="single" w:color="000000" w:sz="4"/>
                  </w:tcBorders>
                </w:tcPr>
                <w:p/>
              </w:tc>
              <w:tc>
                <w:tcPr>
                  <w:tcW w:type="dxa" w:w="505"/>
                  <w:vMerge/>
                  <w:tcBorders>
                    <w:top w:val="none" w:color="000000" w:sz="4"/>
                    <w:left w:val="non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6、随机访问中，群众满意率不低于80%</w:t>
                  </w:r>
                  <w:r>
                    <w:rPr>
                      <w:sz w:val="20"/>
                    </w:rPr>
                    <w:t>。</w:t>
                  </w:r>
                </w:p>
              </w:tc>
              <w:tc>
                <w:tcPr>
                  <w:tcW w:type="dxa" w:w="13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未达</w:t>
                  </w:r>
                  <w:r>
                    <w:rPr>
                      <w:sz w:val="20"/>
                    </w:rPr>
                    <w:t>70%，每低于5%扣1分，此项扣分不设限</w:t>
                  </w:r>
                  <w:r>
                    <w:rPr>
                      <w:sz w:val="20"/>
                    </w:rPr>
                    <w:t>。</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vMerge/>
                  <w:tcBorders>
                    <w:top w:val="none" w:color="000000" w:sz="4"/>
                    <w:left w:val="single" w:color="000000" w:sz="4"/>
                    <w:bottom w:val="none" w:color="000000" w:sz="4"/>
                    <w:right w:val="single" w:color="000000" w:sz="4"/>
                  </w:tcBorders>
                </w:tcPr>
                <w:p/>
              </w:tc>
              <w:tc>
                <w:tcPr>
                  <w:tcW w:type="dxa" w:w="5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灭蝇</w:t>
                  </w: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1、重点单位（如饮食、食品加工、销售业）有蝇房间不超过1%</w:t>
                  </w:r>
                  <w:r>
                    <w:rPr>
                      <w:sz w:val="20"/>
                    </w:rPr>
                    <w:t>。</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每超过</w:t>
                  </w:r>
                  <w:r>
                    <w:rPr>
                      <w:sz w:val="20"/>
                    </w:rPr>
                    <w:t>0.1%扣1分，扣完为止</w:t>
                  </w:r>
                  <w:r>
                    <w:rPr>
                      <w:sz w:val="20"/>
                    </w:rPr>
                    <w:t>。</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vMerge/>
                  <w:tcBorders>
                    <w:top w:val="none" w:color="000000" w:sz="4"/>
                    <w:left w:val="single" w:color="000000" w:sz="4"/>
                    <w:bottom w:val="none" w:color="000000" w:sz="4"/>
                    <w:right w:val="single" w:color="000000" w:sz="4"/>
                  </w:tcBorders>
                </w:tcPr>
                <w:p/>
              </w:tc>
              <w:tc>
                <w:tcPr>
                  <w:tcW w:type="dxa" w:w="505"/>
                  <w:vMerge/>
                  <w:tcBorders>
                    <w:top w:val="none" w:color="000000" w:sz="4"/>
                    <w:left w:val="non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2、加工、销售、存放直接入口食品的场所，不得有蝇</w:t>
                  </w:r>
                  <w:r>
                    <w:rPr>
                      <w:sz w:val="20"/>
                    </w:rPr>
                    <w:t>。</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每发现</w:t>
                  </w:r>
                  <w:r>
                    <w:rPr>
                      <w:sz w:val="20"/>
                    </w:rPr>
                    <w:t>1只扣0.2分，扣完为止</w:t>
                  </w:r>
                  <w:r>
                    <w:rPr>
                      <w:sz w:val="20"/>
                    </w:rPr>
                    <w:t>。</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vMerge/>
                  <w:tcBorders>
                    <w:top w:val="none" w:color="000000" w:sz="4"/>
                    <w:left w:val="single" w:color="000000" w:sz="4"/>
                    <w:bottom w:val="none" w:color="000000" w:sz="4"/>
                    <w:right w:val="single" w:color="000000" w:sz="4"/>
                  </w:tcBorders>
                </w:tcPr>
                <w:p/>
              </w:tc>
              <w:tc>
                <w:tcPr>
                  <w:tcW w:type="dxa" w:w="505"/>
                  <w:vMerge/>
                  <w:tcBorders>
                    <w:top w:val="none" w:color="000000" w:sz="4"/>
                    <w:left w:val="non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3、一般单位（如机关、学校、工厂）有蝇房间不超过3%</w:t>
                  </w:r>
                  <w:r>
                    <w:rPr>
                      <w:sz w:val="20"/>
                    </w:rPr>
                    <w:t>。</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每超过</w:t>
                  </w:r>
                  <w:r>
                    <w:rPr>
                      <w:sz w:val="20"/>
                    </w:rPr>
                    <w:t>0.1%扣1分，扣完为止</w:t>
                  </w:r>
                  <w:r>
                    <w:rPr>
                      <w:sz w:val="20"/>
                    </w:rPr>
                    <w:t>。</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vMerge/>
                  <w:tcBorders>
                    <w:top w:val="none" w:color="000000" w:sz="4"/>
                    <w:left w:val="single" w:color="000000" w:sz="4"/>
                    <w:bottom w:val="none" w:color="000000" w:sz="4"/>
                    <w:right w:val="single" w:color="000000" w:sz="4"/>
                  </w:tcBorders>
                </w:tcPr>
                <w:p/>
              </w:tc>
              <w:tc>
                <w:tcPr>
                  <w:tcW w:type="dxa" w:w="505"/>
                  <w:vMerge/>
                  <w:tcBorders>
                    <w:top w:val="none" w:color="000000" w:sz="4"/>
                    <w:left w:val="non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4、蝇粪孳生地（外环境、垃圾容器、垃圾存放地等），得到有效治理，幼虫和蛹的检出率不超过5%</w:t>
                  </w:r>
                  <w:r>
                    <w:rPr>
                      <w:sz w:val="20"/>
                    </w:rPr>
                    <w:t>。</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每超过</w:t>
                  </w:r>
                  <w:r>
                    <w:rPr>
                      <w:sz w:val="20"/>
                    </w:rPr>
                    <w:t>0.1%扣1分，扣完为止</w:t>
                  </w:r>
                  <w:r>
                    <w:rPr>
                      <w:sz w:val="20"/>
                    </w:rPr>
                    <w:t>。</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vMerge/>
                  <w:tcBorders>
                    <w:top w:val="none" w:color="000000" w:sz="4"/>
                    <w:left w:val="single" w:color="000000" w:sz="4"/>
                    <w:bottom w:val="none" w:color="000000" w:sz="4"/>
                    <w:right w:val="single" w:color="000000" w:sz="4"/>
                  </w:tcBorders>
                </w:tcPr>
                <w:p/>
              </w:tc>
              <w:tc>
                <w:tcPr>
                  <w:tcW w:type="dxa" w:w="505"/>
                  <w:vMerge/>
                  <w:tcBorders>
                    <w:top w:val="none" w:color="000000" w:sz="4"/>
                    <w:left w:val="non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5、有灭蝇计划，有方案并有灭蝇成效</w:t>
                  </w:r>
                  <w:r>
                    <w:rPr>
                      <w:sz w:val="20"/>
                    </w:rPr>
                    <w:t>。</w:t>
                  </w:r>
                </w:p>
              </w:tc>
              <w:tc>
                <w:tcPr>
                  <w:tcW w:type="dxa" w:w="13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无灭蟑计划或无按计划实施灭蟑不得分</w:t>
                  </w:r>
                  <w:r>
                    <w:rPr>
                      <w:sz w:val="20"/>
                    </w:rPr>
                    <w:t>。</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vMerge/>
                  <w:tcBorders>
                    <w:top w:val="none" w:color="000000" w:sz="4"/>
                    <w:left w:val="single" w:color="000000" w:sz="4"/>
                    <w:bottom w:val="none" w:color="000000" w:sz="4"/>
                    <w:right w:val="single" w:color="000000" w:sz="4"/>
                  </w:tcBorders>
                </w:tcPr>
                <w:p/>
              </w:tc>
              <w:tc>
                <w:tcPr>
                  <w:tcW w:type="dxa" w:w="505"/>
                  <w:vMerge/>
                  <w:tcBorders>
                    <w:top w:val="none" w:color="000000" w:sz="4"/>
                    <w:left w:val="non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6、随机访问中，群众满意率不低于70%</w:t>
                  </w:r>
                  <w:r>
                    <w:rPr>
                      <w:sz w:val="20"/>
                    </w:rPr>
                    <w:t>。</w:t>
                  </w:r>
                </w:p>
              </w:tc>
              <w:tc>
                <w:tcPr>
                  <w:tcW w:type="dxa" w:w="13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未达</w:t>
                  </w:r>
                  <w:r>
                    <w:rPr>
                      <w:sz w:val="20"/>
                    </w:rPr>
                    <w:t>70%，每低于5%扣1分，此项扣分不设限</w:t>
                  </w:r>
                  <w:r>
                    <w:rPr>
                      <w:sz w:val="20"/>
                    </w:rPr>
                    <w:t>。</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vMerge/>
                  <w:tcBorders>
                    <w:top w:val="none" w:color="000000" w:sz="4"/>
                    <w:left w:val="single" w:color="000000" w:sz="4"/>
                    <w:bottom w:val="none" w:color="000000" w:sz="4"/>
                    <w:right w:val="single" w:color="000000" w:sz="4"/>
                  </w:tcBorders>
                </w:tcPr>
                <w:p/>
              </w:tc>
              <w:tc>
                <w:tcPr>
                  <w:tcW w:type="dxa" w:w="50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灭蟑</w:t>
                  </w: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1、查室内蟑螂成虫或幼虫，阳性房间不超过3%</w:t>
                  </w:r>
                  <w:r>
                    <w:rPr>
                      <w:sz w:val="20"/>
                    </w:rPr>
                    <w:t>。</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每超过</w:t>
                  </w:r>
                  <w:r>
                    <w:rPr>
                      <w:sz w:val="20"/>
                    </w:rPr>
                    <w:t>0.1%扣1分，扣完为止</w:t>
                  </w:r>
                  <w:r>
                    <w:rPr>
                      <w:sz w:val="20"/>
                    </w:rPr>
                    <w:t>。</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vMerge/>
                  <w:tcBorders>
                    <w:top w:val="none" w:color="000000" w:sz="4"/>
                    <w:left w:val="single" w:color="000000" w:sz="4"/>
                    <w:bottom w:val="none" w:color="000000" w:sz="4"/>
                    <w:right w:val="single" w:color="000000" w:sz="4"/>
                  </w:tcBorders>
                </w:tcPr>
                <w:p/>
              </w:tc>
              <w:tc>
                <w:tcPr>
                  <w:tcW w:type="dxa" w:w="505"/>
                  <w:vMerge/>
                  <w:tcBorders>
                    <w:top w:val="none" w:color="000000" w:sz="4"/>
                    <w:left w:val="none" w:color="000000" w:sz="4"/>
                    <w:bottom w:val="non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2、有活蟑螂卵鞘房间，阳性房间不超过2%</w:t>
                  </w:r>
                  <w:r>
                    <w:rPr>
                      <w:sz w:val="20"/>
                    </w:rPr>
                    <w:t>。</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每超过</w:t>
                  </w:r>
                  <w:r>
                    <w:rPr>
                      <w:sz w:val="20"/>
                    </w:rPr>
                    <w:t>0.1%扣1分，扣完为止</w:t>
                  </w:r>
                  <w:r>
                    <w:rPr>
                      <w:sz w:val="20"/>
                    </w:rPr>
                    <w:t>。</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vMerge/>
                  <w:tcBorders>
                    <w:top w:val="none" w:color="000000" w:sz="4"/>
                    <w:left w:val="single" w:color="000000" w:sz="4"/>
                    <w:bottom w:val="none" w:color="000000" w:sz="4"/>
                    <w:right w:val="single" w:color="000000" w:sz="4"/>
                  </w:tcBorders>
                </w:tcPr>
                <w:p/>
              </w:tc>
              <w:tc>
                <w:tcPr>
                  <w:tcW w:type="dxa" w:w="505"/>
                  <w:vMerge/>
                  <w:tcBorders>
                    <w:top w:val="none" w:color="000000" w:sz="4"/>
                    <w:left w:val="none" w:color="000000" w:sz="4"/>
                    <w:bottom w:val="non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3、蟑螂孳生栖息场所的清理，查墙的孔洞庭、缝隙蟑迹：粪便、蜕皮、蟑尸、空卵鞘等，阳性房间不超过3%</w:t>
                  </w:r>
                  <w:r>
                    <w:rPr>
                      <w:sz w:val="20"/>
                    </w:rPr>
                    <w:t>。</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每超过</w:t>
                  </w:r>
                  <w:r>
                    <w:rPr>
                      <w:sz w:val="20"/>
                    </w:rPr>
                    <w:t>0.1%扣1分，扣完为止</w:t>
                  </w:r>
                  <w:r>
                    <w:rPr>
                      <w:sz w:val="20"/>
                    </w:rPr>
                    <w:t>。</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vMerge/>
                  <w:tcBorders>
                    <w:top w:val="none" w:color="000000" w:sz="4"/>
                    <w:left w:val="single" w:color="000000" w:sz="4"/>
                    <w:bottom w:val="none" w:color="000000" w:sz="4"/>
                    <w:right w:val="single" w:color="000000" w:sz="4"/>
                  </w:tcBorders>
                </w:tcPr>
                <w:p/>
              </w:tc>
              <w:tc>
                <w:tcPr>
                  <w:tcW w:type="dxa" w:w="505"/>
                  <w:vMerge/>
                  <w:tcBorders>
                    <w:top w:val="none" w:color="000000" w:sz="4"/>
                    <w:left w:val="none" w:color="000000" w:sz="4"/>
                    <w:bottom w:val="non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4、每月至少一次定点向群众派送灭蟑药物</w:t>
                  </w:r>
                  <w:r>
                    <w:rPr>
                      <w:sz w:val="20"/>
                    </w:rPr>
                    <w:t>。</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无通知或记录，此项不得分</w:t>
                  </w:r>
                  <w:r>
                    <w:rPr>
                      <w:sz w:val="20"/>
                    </w:rPr>
                    <w:t>。</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vMerge/>
                  <w:tcBorders>
                    <w:top w:val="none" w:color="000000" w:sz="4"/>
                    <w:left w:val="single" w:color="000000" w:sz="4"/>
                    <w:bottom w:val="none" w:color="000000" w:sz="4"/>
                    <w:right w:val="single" w:color="000000" w:sz="4"/>
                  </w:tcBorders>
                </w:tcPr>
                <w:p/>
              </w:tc>
              <w:tc>
                <w:tcPr>
                  <w:tcW w:type="dxa" w:w="505"/>
                  <w:vMerge/>
                  <w:tcBorders>
                    <w:top w:val="none" w:color="000000" w:sz="4"/>
                    <w:left w:val="none" w:color="000000" w:sz="4"/>
                    <w:bottom w:val="non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5、有灭蟑计划，有方案并有灭蟑成效</w:t>
                  </w:r>
                  <w:r>
                    <w:rPr>
                      <w:sz w:val="20"/>
                    </w:rPr>
                    <w:t>。</w:t>
                  </w:r>
                </w:p>
              </w:tc>
              <w:tc>
                <w:tcPr>
                  <w:tcW w:type="dxa" w:w="13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无灭蟑计划或无按计划实施灭蟑</w:t>
                  </w:r>
                  <w:r>
                    <w:rPr>
                      <w:sz w:val="20"/>
                    </w:rPr>
                    <w:t>不得分。</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vMerge/>
                  <w:tcBorders>
                    <w:top w:val="none" w:color="000000" w:sz="4"/>
                    <w:left w:val="single" w:color="000000" w:sz="4"/>
                    <w:bottom w:val="none" w:color="000000" w:sz="4"/>
                    <w:right w:val="single" w:color="000000" w:sz="4"/>
                  </w:tcBorders>
                </w:tcPr>
                <w:p/>
              </w:tc>
              <w:tc>
                <w:tcPr>
                  <w:tcW w:type="dxa" w:w="505"/>
                  <w:vMerge/>
                  <w:tcBorders>
                    <w:top w:val="none" w:color="000000" w:sz="4"/>
                    <w:left w:val="none" w:color="000000" w:sz="4"/>
                    <w:bottom w:val="non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6、随机访问中，群众满意率不低于70%</w:t>
                  </w:r>
                  <w:r>
                    <w:rPr>
                      <w:sz w:val="20"/>
                    </w:rPr>
                    <w:t>。</w:t>
                  </w:r>
                </w:p>
              </w:tc>
              <w:tc>
                <w:tcPr>
                  <w:tcW w:type="dxa" w:w="13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未达</w:t>
                  </w:r>
                  <w:r>
                    <w:rPr>
                      <w:sz w:val="20"/>
                    </w:rPr>
                    <w:t>70%，每低于5%扣1分，此项扣分不设限</w:t>
                  </w:r>
                  <w:r>
                    <w:rPr>
                      <w:sz w:val="20"/>
                    </w:rPr>
                    <w:t>。</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vMerge/>
                  <w:tcBorders>
                    <w:top w:val="none" w:color="000000" w:sz="4"/>
                    <w:left w:val="single" w:color="000000" w:sz="4"/>
                    <w:bottom w:val="none" w:color="000000" w:sz="4"/>
                    <w:right w:val="single" w:color="000000" w:sz="4"/>
                  </w:tcBorders>
                </w:tcPr>
                <w:p/>
              </w:tc>
              <w:tc>
                <w:tcPr>
                  <w:tcW w:type="dxa" w:w="50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白蚁红火蚁</w:t>
                  </w: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1、室外绿化带有白蚁的树木1000米范围不超过5棵、树木白蚁及白蚁巢控制数量不超过3棵</w:t>
                  </w:r>
                  <w:r>
                    <w:rPr>
                      <w:sz w:val="20"/>
                    </w:rPr>
                    <w:t>。</w:t>
                  </w:r>
                </w:p>
              </w:tc>
              <w:tc>
                <w:tcPr>
                  <w:tcW w:type="dxa" w:w="13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每超出</w:t>
                  </w:r>
                  <w:r>
                    <w:rPr>
                      <w:sz w:val="20"/>
                    </w:rPr>
                    <w:t>1处扣0.5分，扣完为止</w:t>
                  </w:r>
                  <w:r>
                    <w:rPr>
                      <w:sz w:val="20"/>
                    </w:rPr>
                    <w:t>。</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vMerge/>
                  <w:tcBorders>
                    <w:top w:val="none" w:color="000000" w:sz="4"/>
                    <w:left w:val="single" w:color="000000" w:sz="4"/>
                    <w:bottom w:val="none" w:color="000000" w:sz="4"/>
                    <w:right w:val="single" w:color="000000" w:sz="4"/>
                  </w:tcBorders>
                </w:tcPr>
                <w:p/>
              </w:tc>
              <w:tc>
                <w:tcPr>
                  <w:tcW w:type="dxa" w:w="505"/>
                  <w:vMerge/>
                  <w:tcBorders>
                    <w:top w:val="none" w:color="000000" w:sz="4"/>
                    <w:left w:val="none" w:color="000000" w:sz="4"/>
                    <w:bottom w:val="non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2、室外绿化带1000米范围内活红火蚁巢数量不超过3个</w:t>
                  </w:r>
                  <w:r>
                    <w:rPr>
                      <w:sz w:val="20"/>
                    </w:rPr>
                    <w:t>。</w:t>
                  </w:r>
                </w:p>
              </w:tc>
              <w:tc>
                <w:tcPr>
                  <w:tcW w:type="dxa" w:w="13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每超出</w:t>
                  </w:r>
                  <w:r>
                    <w:rPr>
                      <w:sz w:val="20"/>
                    </w:rPr>
                    <w:t>1处扣0.5分，扣完为止</w:t>
                  </w:r>
                  <w:r>
                    <w:rPr>
                      <w:sz w:val="20"/>
                    </w:rPr>
                    <w:t>。</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vMerge/>
                  <w:tcBorders>
                    <w:top w:val="none" w:color="000000" w:sz="4"/>
                    <w:left w:val="single" w:color="000000" w:sz="4"/>
                    <w:bottom w:val="none" w:color="000000" w:sz="4"/>
                    <w:right w:val="single" w:color="000000" w:sz="4"/>
                  </w:tcBorders>
                </w:tcPr>
                <w:p/>
              </w:tc>
              <w:tc>
                <w:tcPr>
                  <w:tcW w:type="dxa" w:w="50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其他</w:t>
                  </w: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1、工作人员要持证上岗，工厂单位签证率不低于95%</w:t>
                  </w:r>
                  <w:r>
                    <w:rPr>
                      <w:sz w:val="20"/>
                    </w:rPr>
                    <w:t>。</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没有持证上岗的，每人次扣</w:t>
                  </w:r>
                  <w:r>
                    <w:rPr>
                      <w:sz w:val="20"/>
                    </w:rPr>
                    <w:t>0.5分，被群众投诉，情况属实的，每次扣1分，扣完为止；每少一个人的，每人次扣1分</w:t>
                  </w:r>
                  <w:r>
                    <w:rPr>
                      <w:sz w:val="20"/>
                    </w:rPr>
                    <w:t>。</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vMerge/>
                  <w:tcBorders>
                    <w:top w:val="none" w:color="000000" w:sz="4"/>
                    <w:left w:val="single" w:color="000000" w:sz="4"/>
                    <w:bottom w:val="none" w:color="000000" w:sz="4"/>
                    <w:right w:val="single" w:color="000000" w:sz="4"/>
                  </w:tcBorders>
                </w:tcPr>
                <w:p/>
              </w:tc>
              <w:tc>
                <w:tcPr>
                  <w:tcW w:type="dxa" w:w="505"/>
                  <w:vMerge/>
                  <w:tcBorders>
                    <w:top w:val="none" w:color="000000" w:sz="4"/>
                    <w:left w:val="none" w:color="000000" w:sz="4"/>
                    <w:bottom w:val="non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2、每月除“四害”消杀行动要达4次或以上</w:t>
                  </w:r>
                  <w:r>
                    <w:rPr>
                      <w:sz w:val="20"/>
                    </w:rPr>
                    <w:t>。</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达不到要求的，每少</w:t>
                  </w:r>
                  <w:r>
                    <w:rPr>
                      <w:sz w:val="20"/>
                    </w:rPr>
                    <w:t>1次扣2分，扣完为止</w:t>
                  </w:r>
                  <w:r>
                    <w:rPr>
                      <w:sz w:val="20"/>
                    </w:rPr>
                    <w:t>。</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vMerge/>
                  <w:tcBorders>
                    <w:top w:val="none" w:color="000000" w:sz="4"/>
                    <w:left w:val="single" w:color="000000" w:sz="4"/>
                    <w:bottom w:val="none" w:color="000000" w:sz="4"/>
                    <w:right w:val="single" w:color="000000" w:sz="4"/>
                  </w:tcBorders>
                </w:tcPr>
                <w:p/>
              </w:tc>
              <w:tc>
                <w:tcPr>
                  <w:tcW w:type="dxa" w:w="505"/>
                  <w:vMerge/>
                  <w:tcBorders>
                    <w:top w:val="none" w:color="000000" w:sz="4"/>
                    <w:left w:val="none" w:color="000000" w:sz="4"/>
                    <w:bottom w:val="non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3、除“四害”工作要以综合防治为主，要确保使用的药物无公害</w:t>
                  </w:r>
                  <w:r>
                    <w:rPr>
                      <w:sz w:val="20"/>
                    </w:rPr>
                    <w:t>。</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达不到要求的，每次扣</w:t>
                  </w:r>
                  <w:r>
                    <w:rPr>
                      <w:sz w:val="20"/>
                    </w:rPr>
                    <w:t>1分，扣完为止</w:t>
                  </w:r>
                  <w:r>
                    <w:rPr>
                      <w:sz w:val="20"/>
                    </w:rPr>
                    <w:t>。</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vMerge/>
                  <w:tcBorders>
                    <w:top w:val="none" w:color="000000" w:sz="4"/>
                    <w:left w:val="single" w:color="000000" w:sz="4"/>
                    <w:bottom w:val="none" w:color="000000" w:sz="4"/>
                    <w:right w:val="single" w:color="000000" w:sz="4"/>
                  </w:tcBorders>
                </w:tcPr>
                <w:p/>
              </w:tc>
              <w:tc>
                <w:tcPr>
                  <w:tcW w:type="dxa" w:w="505"/>
                  <w:vMerge/>
                  <w:tcBorders>
                    <w:top w:val="none" w:color="000000" w:sz="4"/>
                    <w:left w:val="none" w:color="000000" w:sz="4"/>
                    <w:bottom w:val="none" w:color="000000" w:sz="4"/>
                    <w:right w:val="single" w:color="000000" w:sz="4"/>
                  </w:tcBorders>
                </w:tcPr>
                <w:p/>
              </w:tc>
              <w:tc>
                <w:tcPr>
                  <w:tcW w:type="dxa" w:w="23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0"/>
                    </w:rPr>
                    <w:t>4、配合</w:t>
                  </w:r>
                  <w:r>
                    <w:rPr>
                      <w:sz w:val="20"/>
                    </w:rPr>
                    <w:t>采购人</w:t>
                  </w:r>
                  <w:r>
                    <w:rPr>
                      <w:sz w:val="20"/>
                    </w:rPr>
                    <w:t>做好其他相关临时或突击检查工作</w:t>
                  </w:r>
                  <w:r>
                    <w:rPr>
                      <w:sz w:val="20"/>
                    </w:rPr>
                    <w:t>。</w:t>
                  </w:r>
                </w:p>
              </w:tc>
              <w:tc>
                <w:tcPr>
                  <w:tcW w:type="dxa" w:w="130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0"/>
                    </w:rPr>
                    <w:t>未按要求配合的，每次扣</w:t>
                  </w:r>
                  <w:r>
                    <w:rPr>
                      <w:sz w:val="20"/>
                    </w:rPr>
                    <w:t>1分，扣完为止</w:t>
                  </w:r>
                  <w:r>
                    <w:rPr>
                      <w:sz w:val="20"/>
                    </w:rPr>
                    <w:t>。</w:t>
                  </w:r>
                </w:p>
              </w:tc>
              <w:tc>
                <w:tcPr>
                  <w:tcW w:type="dxa" w:w="58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949"/>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特别扣分事项</w:t>
                  </w:r>
                </w:p>
              </w:tc>
              <w:tc>
                <w:tcPr>
                  <w:tcW w:type="dxa" w:w="23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1、群众投诉，经核实存在“四害”泛滥的</w:t>
                  </w:r>
                  <w:r>
                    <w:rPr>
                      <w:sz w:val="20"/>
                    </w:rPr>
                    <w:t>。</w:t>
                  </w:r>
                </w:p>
              </w:tc>
              <w:tc>
                <w:tcPr>
                  <w:tcW w:type="dxa" w:w="13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每次从考评总分中扣</w:t>
                  </w:r>
                  <w:r>
                    <w:rPr>
                      <w:sz w:val="20"/>
                    </w:rPr>
                    <w:t>10分</w:t>
                  </w:r>
                  <w:r>
                    <w:rPr>
                      <w:sz w:val="20"/>
                    </w:rPr>
                    <w:t>。</w:t>
                  </w:r>
                </w:p>
              </w:tc>
              <w:tc>
                <w:tcPr>
                  <w:tcW w:type="dxa" w:w="5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49"/>
                  <w:gridSpan w:val="2"/>
                  <w:vMerge/>
                  <w:tcBorders>
                    <w:top w:val="single" w:color="000000" w:sz="4"/>
                    <w:left w:val="singl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2、镇领导严历批评，存在除“四害”效果差</w:t>
                  </w:r>
                  <w:r>
                    <w:rPr>
                      <w:sz w:val="20"/>
                    </w:rPr>
                    <w:t>。</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每次从考评总分中扣</w:t>
                  </w:r>
                  <w:r>
                    <w:rPr>
                      <w:sz w:val="20"/>
                    </w:rPr>
                    <w:t>20分</w:t>
                  </w:r>
                  <w:r>
                    <w:rPr>
                      <w:sz w:val="20"/>
                    </w:rPr>
                    <w:t>。</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49"/>
                  <w:gridSpan w:val="2"/>
                  <w:vMerge/>
                  <w:tcBorders>
                    <w:top w:val="single" w:color="000000" w:sz="4"/>
                    <w:left w:val="singl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3、工作人数不能少于</w:t>
                  </w:r>
                  <w:r>
                    <w:rPr>
                      <w:sz w:val="20"/>
                    </w:rPr>
                    <w:t>采购人</w:t>
                  </w:r>
                  <w:r>
                    <w:rPr>
                      <w:sz w:val="20"/>
                    </w:rPr>
                    <w:t>要求。</w:t>
                  </w:r>
                  <w:r>
                    <w:rPr>
                      <w:sz w:val="20"/>
                    </w:rPr>
                    <w:t>采购人</w:t>
                  </w:r>
                  <w:r>
                    <w:rPr>
                      <w:sz w:val="20"/>
                    </w:rPr>
                    <w:t>每月定期、不定期抽检人员。</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每少一人扣</w:t>
                  </w:r>
                  <w:r>
                    <w:rPr>
                      <w:sz w:val="20"/>
                    </w:rPr>
                    <w:t>10分，不设限。</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57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合计实得分（）</w:t>
                  </w:r>
                  <w:r>
                    <w:rPr>
                      <w:sz w:val="21"/>
                      <w:b/>
                    </w:rPr>
                    <w:t>=总分（100）—合计检查扣分（）</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100</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 xml:space="preserve">  </w:t>
                  </w:r>
                  <w:r>
                    <w:rPr>
                      <w:sz w:val="21"/>
                      <w:b/>
                    </w:rPr>
                    <w:t>-</w:t>
                  </w:r>
                </w:p>
              </w:tc>
            </w:tr>
            <w:tr>
              <w:tc>
                <w:tcPr>
                  <w:tcW w:type="dxa" w:w="444"/>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center"/>
                  </w:pPr>
                </w:p>
              </w:tc>
              <w:tc>
                <w:tcPr>
                  <w:tcW w:type="dxa" w:w="50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32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30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5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4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3273"/>
                  <w:gridSpan w:val="3"/>
                  <w:tcBorders>
                    <w:top w:val="single" w:color="000000" w:sz="4"/>
                    <w:left w:val="single" w:color="000000" w:sz="4"/>
                    <w:bottom w:val="none" w:color="000000" w:sz="4"/>
                    <w:right w:val="none" w:color="000000" w:sz="4"/>
                  </w:tcBorders>
                  <w:tcMar>
                    <w:top w:type="dxa" w:w="0"/>
                    <w:left w:type="dxa" w:w="105"/>
                    <w:bottom w:type="dxa" w:w="0"/>
                    <w:right w:type="dxa" w:w="105"/>
                  </w:tcMar>
                  <w:vAlign w:val="bottom"/>
                </w:tcPr>
                <w:p>
                  <w:pPr>
                    <w:pStyle w:val="null3"/>
                    <w:jc w:val="both"/>
                  </w:pPr>
                  <w:r>
                    <w:rPr>
                      <w:sz w:val="21"/>
                      <w:b/>
                    </w:rPr>
                    <w:t>采购人考评人员签名：</w:t>
                  </w:r>
                </w:p>
              </w:tc>
              <w:tc>
                <w:tcPr>
                  <w:tcW w:type="dxa" w:w="2313"/>
                  <w:gridSpan w:val="3"/>
                  <w:tcBorders>
                    <w:top w:val="single" w:color="000000" w:sz="4"/>
                    <w:left w:val="single" w:color="000000" w:sz="4"/>
                    <w:bottom w:val="none" w:color="000000" w:sz="4"/>
                    <w:right w:val="single" w:color="000000" w:sz="4"/>
                  </w:tcBorders>
                  <w:tcMar>
                    <w:top w:type="dxa" w:w="0"/>
                    <w:left w:type="dxa" w:w="105"/>
                    <w:bottom w:type="dxa" w:w="0"/>
                    <w:right w:type="dxa" w:w="105"/>
                  </w:tcMar>
                  <w:vAlign w:val="bottom"/>
                </w:tcPr>
                <w:p>
                  <w:pPr>
                    <w:pStyle w:val="null3"/>
                    <w:jc w:val="both"/>
                  </w:pPr>
                  <w:r>
                    <w:rPr>
                      <w:sz w:val="21"/>
                      <w:b/>
                    </w:rPr>
                    <w:t>中标人考评人员签名：</w:t>
                  </w:r>
                </w:p>
              </w:tc>
            </w:tr>
            <w:tr>
              <w:tc>
                <w:tcPr>
                  <w:tcW w:type="dxa" w:w="444"/>
                  <w:tcBorders>
                    <w:top w:val="none" w:color="000000" w:sz="4"/>
                    <w:left w:val="single" w:color="000000" w:sz="4"/>
                    <w:bottom w:val="none" w:color="000000" w:sz="4"/>
                    <w:right w:val="none" w:color="000000" w:sz="4"/>
                  </w:tcBorders>
                  <w:tcMar>
                    <w:top w:type="dxa" w:w="0"/>
                    <w:left w:type="dxa" w:w="105"/>
                    <w:bottom w:type="dxa" w:w="0"/>
                    <w:right w:type="dxa" w:w="105"/>
                  </w:tcMar>
                  <w:vAlign w:val="bottom"/>
                </w:tcPr>
                <w:p>
                  <w:pPr>
                    <w:pStyle w:val="null3"/>
                    <w:jc w:val="both"/>
                  </w:pPr>
                </w:p>
              </w:tc>
              <w:tc>
                <w:tcPr>
                  <w:tcW w:type="dxa" w:w="505"/>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tc>
              <w:tc>
                <w:tcPr>
                  <w:tcW w:type="dxa" w:w="232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tc>
              <w:tc>
                <w:tcPr>
                  <w:tcW w:type="dxa" w:w="1303"/>
                  <w:tcBorders>
                    <w:top w:val="none" w:color="000000" w:sz="4"/>
                    <w:left w:val="single" w:color="000000" w:sz="4"/>
                    <w:bottom w:val="none" w:color="000000" w:sz="4"/>
                    <w:right w:val="none" w:color="000000" w:sz="4"/>
                  </w:tcBorders>
                  <w:tcMar>
                    <w:top w:type="dxa" w:w="0"/>
                    <w:left w:type="dxa" w:w="105"/>
                    <w:bottom w:type="dxa" w:w="0"/>
                    <w:right w:type="dxa" w:w="105"/>
                  </w:tcMar>
                  <w:vAlign w:val="bottom"/>
                </w:tcPr>
                <w:p/>
              </w:tc>
              <w:tc>
                <w:tcPr>
                  <w:tcW w:type="dxa" w:w="586"/>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tc>
              <w:tc>
                <w:tcPr>
                  <w:tcW w:type="dxa" w:w="424"/>
                  <w:tcBorders>
                    <w:top w:val="none" w:color="000000" w:sz="4"/>
                    <w:left w:val="none" w:color="000000" w:sz="4"/>
                    <w:bottom w:val="none" w:color="000000" w:sz="4"/>
                    <w:right w:val="single" w:color="000000" w:sz="4"/>
                  </w:tcBorders>
                  <w:tcMar>
                    <w:top w:type="dxa" w:w="0"/>
                    <w:left w:type="dxa" w:w="105"/>
                    <w:bottom w:type="dxa" w:w="0"/>
                    <w:right w:type="dxa" w:w="105"/>
                  </w:tcMar>
                  <w:vAlign w:val="bottom"/>
                </w:tcPr>
                <w:p/>
              </w:tc>
            </w:tr>
            <w:tr>
              <w:tc>
                <w:tcPr>
                  <w:tcW w:type="dxa" w:w="3273"/>
                  <w:gridSpan w:val="3"/>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采购人项目负责人签名：</w:t>
                  </w:r>
                </w:p>
              </w:tc>
              <w:tc>
                <w:tcPr>
                  <w:tcW w:type="dxa" w:w="2313"/>
                  <w:gridSpan w:val="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b/>
                    </w:rPr>
                    <w:t>中标人项目负责人签名：</w:t>
                  </w:r>
                </w:p>
              </w:tc>
            </w:tr>
            <w:tr>
              <w:tc>
                <w:tcPr>
                  <w:tcW w:type="dxa" w:w="3273"/>
                  <w:gridSpan w:val="3"/>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采购人（盖章）：</w:t>
                  </w:r>
                </w:p>
              </w:tc>
              <w:tc>
                <w:tcPr>
                  <w:tcW w:type="dxa" w:w="2313"/>
                  <w:gridSpan w:val="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b/>
                    </w:rPr>
                    <w:t>中标人（盖章）：</w:t>
                  </w:r>
                </w:p>
              </w:tc>
            </w:tr>
            <w:tr>
              <w:tc>
                <w:tcPr>
                  <w:tcW w:type="dxa" w:w="444"/>
                  <w:tcBorders>
                    <w:top w:val="none" w:color="000000" w:sz="4"/>
                    <w:left w:val="single" w:color="000000" w:sz="4"/>
                    <w:bottom w:val="single" w:color="000000" w:sz="4"/>
                    <w:right w:val="none" w:color="000000" w:sz="4"/>
                  </w:tcBorders>
                  <w:tcMar>
                    <w:top w:type="dxa" w:w="0"/>
                    <w:left w:type="dxa" w:w="105"/>
                    <w:bottom w:type="dxa" w:w="0"/>
                    <w:right w:type="dxa" w:w="105"/>
                  </w:tcMar>
                  <w:vAlign w:val="bottom"/>
                </w:tcPr>
                <w:p>
                  <w:pPr>
                    <w:pStyle w:val="null3"/>
                    <w:jc w:val="both"/>
                  </w:pPr>
                </w:p>
              </w:tc>
              <w:tc>
                <w:tcPr>
                  <w:tcW w:type="dxa" w:w="505"/>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tc>
              <w:tc>
                <w:tcPr>
                  <w:tcW w:type="dxa" w:w="2324"/>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tc>
              <w:tc>
                <w:tcPr>
                  <w:tcW w:type="dxa" w:w="1303"/>
                  <w:tcBorders>
                    <w:top w:val="none" w:color="000000" w:sz="4"/>
                    <w:left w:val="single" w:color="000000" w:sz="4"/>
                    <w:bottom w:val="single" w:color="000000" w:sz="4"/>
                    <w:right w:val="none" w:color="000000" w:sz="4"/>
                  </w:tcBorders>
                  <w:tcMar>
                    <w:top w:type="dxa" w:w="0"/>
                    <w:left w:type="dxa" w:w="105"/>
                    <w:bottom w:type="dxa" w:w="0"/>
                    <w:right w:type="dxa" w:w="105"/>
                  </w:tcMar>
                  <w:vAlign w:val="bottom"/>
                </w:tcPr>
                <w:p/>
              </w:tc>
              <w:tc>
                <w:tcPr>
                  <w:tcW w:type="dxa" w:w="586"/>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bl>
          <w:p>
            <w:pPr>
              <w:pStyle w:val="null3"/>
              <w:jc w:val="both"/>
            </w:pPr>
            <w:r>
              <w:rPr>
                <w:sz w:val="21"/>
              </w:rPr>
              <w:t>东城街道除</w:t>
            </w:r>
            <w:r>
              <w:rPr>
                <w:sz w:val="21"/>
              </w:rPr>
              <w:t>“四害”及白蚁、红火蚁防治服务项目（2024-2027年）项目考核评分表</w:t>
            </w:r>
          </w:p>
          <w:p>
            <w:pPr>
              <w:pStyle w:val="null3"/>
              <w:ind w:firstLine="420"/>
            </w:pPr>
            <w:r>
              <w:rPr>
                <w:sz w:val="21"/>
              </w:rPr>
              <w:t>特殊月份考核标准</w:t>
            </w:r>
          </w:p>
          <w:tbl>
            <w:tblPr>
              <w:tblInd w:type="dxa" w:w="120"/>
              <w:tblBorders>
                <w:top w:val="none" w:color="000000" w:sz="4"/>
                <w:left w:val="none" w:color="000000" w:sz="4"/>
                <w:bottom w:val="none" w:color="000000" w:sz="4"/>
                <w:right w:val="none" w:color="000000" w:sz="4"/>
                <w:insideH w:val="none"/>
                <w:insideV w:val="none"/>
              </w:tblBorders>
            </w:tblPr>
            <w:tblGrid>
              <w:gridCol w:w="464"/>
              <w:gridCol w:w="464"/>
              <w:gridCol w:w="2324"/>
              <w:gridCol w:w="1283"/>
              <w:gridCol w:w="575"/>
              <w:gridCol w:w="464"/>
            </w:tblGrid>
            <w:tr>
              <w:tc>
                <w:tcPr>
                  <w:tcW w:type="dxa" w:w="3252"/>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除</w:t>
                  </w:r>
                  <w:r>
                    <w:rPr>
                      <w:sz w:val="21"/>
                      <w:b/>
                    </w:rPr>
                    <w:t>“四害”现场考核</w:t>
                  </w:r>
                </w:p>
              </w:tc>
              <w:tc>
                <w:tcPr>
                  <w:tcW w:type="dxa" w:w="128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扣分方法</w:t>
                  </w:r>
                </w:p>
              </w:tc>
              <w:tc>
                <w:tcPr>
                  <w:tcW w:type="dxa" w:w="57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应得分</w:t>
                  </w:r>
                </w:p>
              </w:tc>
              <w:tc>
                <w:tcPr>
                  <w:tcW w:type="dxa" w:w="46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总分</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检查方法及评价依据</w:t>
                  </w:r>
                </w:p>
              </w:tc>
              <w:tc>
                <w:tcPr>
                  <w:tcW w:type="dxa" w:w="1283"/>
                  <w:vMerge/>
                  <w:tcBorders>
                    <w:top w:val="single" w:color="000000" w:sz="4"/>
                    <w:left w:val="none" w:color="000000" w:sz="4"/>
                    <w:bottom w:val="single" w:color="000000" w:sz="4"/>
                    <w:right w:val="single" w:color="000000" w:sz="4"/>
                  </w:tcBorders>
                </w:tcPr>
                <w:p/>
              </w:tc>
              <w:tc>
                <w:tcPr>
                  <w:tcW w:type="dxa" w:w="575"/>
                  <w:vMerge/>
                  <w:tcBorders>
                    <w:top w:val="single" w:color="000000" w:sz="4"/>
                    <w:left w:val="none" w:color="000000" w:sz="4"/>
                    <w:bottom w:val="single" w:color="000000" w:sz="4"/>
                    <w:right w:val="single" w:color="000000" w:sz="4"/>
                  </w:tcBorders>
                </w:tcPr>
                <w:p/>
              </w:tc>
              <w:tc>
                <w:tcPr>
                  <w:tcW w:type="dxa" w:w="464"/>
                  <w:vMerge/>
                  <w:tcBorders>
                    <w:top w:val="single" w:color="000000" w:sz="4"/>
                    <w:left w:val="none" w:color="000000" w:sz="4"/>
                    <w:bottom w:val="single" w:color="000000" w:sz="4"/>
                    <w:right w:val="single" w:color="000000" w:sz="4"/>
                  </w:tcBorders>
                </w:tcPr>
                <w:p/>
              </w:tc>
            </w:tr>
            <w:tr>
              <w:tc>
                <w:tcPr>
                  <w:tcW w:type="dxa" w:w="46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100分</w:t>
                  </w:r>
                </w:p>
              </w:tc>
              <w:tc>
                <w:tcPr>
                  <w:tcW w:type="dxa" w:w="4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灭鼠</w:t>
                  </w:r>
                  <w:r>
                    <w:rPr>
                      <w:sz w:val="20"/>
                    </w:rPr>
                    <w:t>(5分)</w:t>
                  </w: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1、粉迹法（每15平方米房间布放20×20厘米粉板两块）监测鼠足印阳性率低于3%</w:t>
                  </w:r>
                  <w:r>
                    <w:rPr>
                      <w:sz w:val="20"/>
                    </w:rPr>
                    <w:t>。</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每超出</w:t>
                  </w:r>
                  <w:r>
                    <w:rPr>
                      <w:sz w:val="20"/>
                    </w:rPr>
                    <w:t>0.1%扣0.1分，扣完为止</w:t>
                  </w:r>
                  <w:r>
                    <w:rPr>
                      <w:sz w:val="20"/>
                    </w:rPr>
                    <w:t>。</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2、鼠迹（鼠洞、鼠粪、鼠路、鼠咬痕），有鼠迹房间不超过2%</w:t>
                  </w:r>
                  <w:r>
                    <w:rPr>
                      <w:sz w:val="20"/>
                    </w:rPr>
                    <w:t>。</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每超出</w:t>
                  </w:r>
                  <w:r>
                    <w:rPr>
                      <w:sz w:val="20"/>
                    </w:rPr>
                    <w:t>0.1%扣0.1分，扣完为止</w:t>
                  </w:r>
                  <w:r>
                    <w:rPr>
                      <w:sz w:val="20"/>
                    </w:rPr>
                    <w:t>。</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3、2000米外环境鼠迹不超过5处</w:t>
                  </w:r>
                  <w:r>
                    <w:rPr>
                      <w:sz w:val="20"/>
                    </w:rPr>
                    <w:t>。</w:t>
                  </w:r>
                </w:p>
              </w:tc>
              <w:tc>
                <w:tcPr>
                  <w:tcW w:type="dxa" w:w="12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每超过</w:t>
                  </w:r>
                  <w:r>
                    <w:rPr>
                      <w:sz w:val="20"/>
                    </w:rPr>
                    <w:t>1处扣0.2分，扣完为止</w:t>
                  </w:r>
                  <w:r>
                    <w:rPr>
                      <w:sz w:val="20"/>
                    </w:rPr>
                    <w:t>。</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4、有灭鼠计划，有方案并有灭鼠成效。</w:t>
                  </w:r>
                </w:p>
              </w:tc>
              <w:tc>
                <w:tcPr>
                  <w:tcW w:type="dxa" w:w="12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无灭鼠计划或无按计划实施灭鼠</w:t>
                  </w:r>
                  <w:r>
                    <w:rPr>
                      <w:sz w:val="20"/>
                    </w:rPr>
                    <w:t>不得分。</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5、随机访问中，群众满意率不低于70%</w:t>
                  </w:r>
                  <w:r>
                    <w:rPr>
                      <w:sz w:val="20"/>
                    </w:rPr>
                    <w:t>。</w:t>
                  </w:r>
                </w:p>
              </w:tc>
              <w:tc>
                <w:tcPr>
                  <w:tcW w:type="dxa" w:w="12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未达</w:t>
                  </w:r>
                  <w:r>
                    <w:rPr>
                      <w:sz w:val="20"/>
                    </w:rPr>
                    <w:t>70%，每低于5%扣0.2分，此项扣分不设限。</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灭蚊</w:t>
                  </w:r>
                  <w:r>
                    <w:rPr>
                      <w:sz w:val="20"/>
                    </w:rPr>
                    <w:t>(70分)</w:t>
                  </w: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1、居民区、单位内外环境各种存水容器和积水中的幼蚊及蛹，阳性率低于3%</w:t>
                  </w:r>
                  <w:r>
                    <w:rPr>
                      <w:sz w:val="20"/>
                    </w:rPr>
                    <w:t>。</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每超出</w:t>
                  </w:r>
                  <w:r>
                    <w:rPr>
                      <w:sz w:val="20"/>
                    </w:rPr>
                    <w:t>0.1%扣2分</w:t>
                  </w:r>
                  <w:r>
                    <w:rPr>
                      <w:sz w:val="20"/>
                    </w:rPr>
                    <w:t>。</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non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2、用500毫升收集勺采集城区内大中型水体中的蚊幼虫或蛹，阳性率低于3%，阳性勺内幼虫或蛹的平均数不超过3只</w:t>
                  </w:r>
                  <w:r>
                    <w:rPr>
                      <w:sz w:val="20"/>
                    </w:rPr>
                    <w:t>。</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每超出</w:t>
                  </w:r>
                  <w:r>
                    <w:rPr>
                      <w:sz w:val="20"/>
                    </w:rPr>
                    <w:t>1只扣2分，扣完为止</w:t>
                  </w:r>
                  <w:r>
                    <w:rPr>
                      <w:sz w:val="20"/>
                    </w:rPr>
                    <w:t>。</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non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3、在特殊场所白天人诱蚊60分钟，平均诱获成蚊不超过1只/人次</w:t>
                  </w:r>
                  <w:r>
                    <w:rPr>
                      <w:sz w:val="20"/>
                    </w:rPr>
                    <w:t>。</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每超过</w:t>
                  </w:r>
                  <w:r>
                    <w:rPr>
                      <w:sz w:val="20"/>
                    </w:rPr>
                    <w:t>1只/人次扣2分，扣完为止</w:t>
                  </w:r>
                  <w:r>
                    <w:rPr>
                      <w:sz w:val="20"/>
                    </w:rPr>
                    <w:t>。</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non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4、晚上在重点部位人诱蚊60分钟，平均诱获成蚊不超过2只/人次</w:t>
                  </w:r>
                  <w:r>
                    <w:rPr>
                      <w:sz w:val="20"/>
                    </w:rPr>
                    <w:t>。</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每超过</w:t>
                  </w:r>
                  <w:r>
                    <w:rPr>
                      <w:sz w:val="20"/>
                    </w:rPr>
                    <w:t>1只/人次扣2分，扣完为止</w:t>
                  </w:r>
                  <w:r>
                    <w:rPr>
                      <w:sz w:val="20"/>
                    </w:rPr>
                    <w:t>。</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non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5、白天用电动吸蚊器在居民区的住房、杂物房等捕成蚊，每100间房不超过150只。</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每超过</w:t>
                  </w:r>
                  <w:r>
                    <w:rPr>
                      <w:sz w:val="20"/>
                    </w:rPr>
                    <w:t>1只扣3分，扣完为止</w:t>
                  </w:r>
                  <w:r>
                    <w:rPr>
                      <w:sz w:val="20"/>
                    </w:rPr>
                    <w:t>。</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non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6、对孳生地的处理每月是否有4次以上的调查和监测报告</w:t>
                  </w:r>
                  <w:r>
                    <w:rPr>
                      <w:sz w:val="20"/>
                    </w:rPr>
                    <w:t>。</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少</w:t>
                  </w:r>
                  <w:r>
                    <w:rPr>
                      <w:sz w:val="20"/>
                    </w:rPr>
                    <w:t>1次调查和监测报告的扣3分，扣完为止</w:t>
                  </w:r>
                  <w:r>
                    <w:rPr>
                      <w:sz w:val="20"/>
                    </w:rPr>
                    <w:t>。</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non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7、有灭蚊计划，有方案并有灭蚊成效。</w:t>
                  </w:r>
                </w:p>
              </w:tc>
              <w:tc>
                <w:tcPr>
                  <w:tcW w:type="dxa" w:w="12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无灭蚊计划或无按计划实施灭蚊</w:t>
                  </w:r>
                  <w:r>
                    <w:rPr>
                      <w:sz w:val="20"/>
                    </w:rPr>
                    <w:t>不得分。</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non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8、随机访问中，群众满意率不低于80%</w:t>
                  </w:r>
                  <w:r>
                    <w:rPr>
                      <w:sz w:val="20"/>
                    </w:rPr>
                    <w:t>。</w:t>
                  </w:r>
                </w:p>
              </w:tc>
              <w:tc>
                <w:tcPr>
                  <w:tcW w:type="dxa" w:w="12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未达</w:t>
                  </w:r>
                  <w:r>
                    <w:rPr>
                      <w:sz w:val="20"/>
                    </w:rPr>
                    <w:t>80%，每低于1%扣1分，此项扣分不设限。</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白蚁红火蚁（</w:t>
                  </w:r>
                  <w:r>
                    <w:rPr>
                      <w:sz w:val="20"/>
                    </w:rPr>
                    <w:t>10分）</w:t>
                  </w: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1、室外绿化带有白蚁的树木1000米范围不超过5棵、树木白蚁及白蚁巢控制数量不超过3棵。</w:t>
                  </w:r>
                </w:p>
              </w:tc>
              <w:tc>
                <w:tcPr>
                  <w:tcW w:type="dxa" w:w="12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每超出</w:t>
                  </w:r>
                  <w:r>
                    <w:rPr>
                      <w:sz w:val="20"/>
                    </w:rPr>
                    <w:t>1处扣0.5分，扣完为止。</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non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2、室外绿化带1000米范围内活红火蚁巢数量不超过3个。</w:t>
                  </w:r>
                </w:p>
              </w:tc>
              <w:tc>
                <w:tcPr>
                  <w:tcW w:type="dxa" w:w="12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每超出</w:t>
                  </w:r>
                  <w:r>
                    <w:rPr>
                      <w:sz w:val="20"/>
                    </w:rPr>
                    <w:t>1处扣0.5分，扣完为止。</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灭蝇</w:t>
                  </w:r>
                  <w:r>
                    <w:rPr>
                      <w:sz w:val="20"/>
                    </w:rPr>
                    <w:t>(5分)</w:t>
                  </w: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1、重点单位（如饮食、食品加工、销售业）有蝇房间不超过1%</w:t>
                  </w:r>
                  <w:r>
                    <w:rPr>
                      <w:sz w:val="20"/>
                    </w:rPr>
                    <w:t>。</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每超过</w:t>
                  </w:r>
                  <w:r>
                    <w:rPr>
                      <w:sz w:val="20"/>
                    </w:rPr>
                    <w:t>0.1%扣1分，扣完为止</w:t>
                  </w:r>
                  <w:r>
                    <w:rPr>
                      <w:sz w:val="20"/>
                    </w:rPr>
                    <w:t>。</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2、加工、销售、存放直接入口食品的场所，不得有蝇</w:t>
                  </w:r>
                  <w:r>
                    <w:rPr>
                      <w:sz w:val="20"/>
                    </w:rPr>
                    <w:t>。</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每发现</w:t>
                  </w:r>
                  <w:r>
                    <w:rPr>
                      <w:sz w:val="20"/>
                    </w:rPr>
                    <w:t>1只扣0.2分，扣完为止</w:t>
                  </w:r>
                  <w:r>
                    <w:rPr>
                      <w:sz w:val="20"/>
                    </w:rPr>
                    <w:t>。</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3、一般单位（如机关、学校、工厂）有蝇房间不超过3%</w:t>
                  </w:r>
                  <w:r>
                    <w:rPr>
                      <w:sz w:val="20"/>
                    </w:rPr>
                    <w:t>。</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每超过</w:t>
                  </w:r>
                  <w:r>
                    <w:rPr>
                      <w:sz w:val="20"/>
                    </w:rPr>
                    <w:t>0.1%扣1分，扣完为止</w:t>
                  </w:r>
                  <w:r>
                    <w:rPr>
                      <w:sz w:val="20"/>
                    </w:rPr>
                    <w:t>。</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4、蝇粪孳生地（外环境、垃圾容器、垃圾存放地等），得到有效治理，幼虫和蛹的检出率不超过5%。</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每超过</w:t>
                  </w:r>
                  <w:r>
                    <w:rPr>
                      <w:sz w:val="20"/>
                    </w:rPr>
                    <w:t>0.1%扣1分，扣完为止。</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5、有灭蝇计划，有方案并有灭蝇成效。</w:t>
                  </w:r>
                </w:p>
              </w:tc>
              <w:tc>
                <w:tcPr>
                  <w:tcW w:type="dxa" w:w="12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无灭蝇计划或无按计划实施灭蝇</w:t>
                  </w:r>
                  <w:r>
                    <w:rPr>
                      <w:sz w:val="20"/>
                    </w:rPr>
                    <w:t>不得分。</w:t>
                  </w:r>
                  <w:r>
                    <w:rPr>
                      <w:sz w:val="21"/>
                    </w:rPr>
                    <w:t xml:space="preserve">                                                                           </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6、随机访问中，群众满意率不低于70%，</w:t>
                  </w:r>
                </w:p>
              </w:tc>
              <w:tc>
                <w:tcPr>
                  <w:tcW w:type="dxa" w:w="12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未达</w:t>
                  </w:r>
                  <w:r>
                    <w:rPr>
                      <w:sz w:val="20"/>
                    </w:rPr>
                    <w:t>70%，每低于5%扣0.1分，此项扣分不设限。</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灭蟑</w:t>
                  </w:r>
                  <w:r>
                    <w:rPr>
                      <w:sz w:val="20"/>
                    </w:rPr>
                    <w:t>(5分)</w:t>
                  </w: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1、查室内蟑螂成虫或幼虫，阳性房间不超过3%</w:t>
                  </w:r>
                  <w:r>
                    <w:rPr>
                      <w:sz w:val="20"/>
                    </w:rPr>
                    <w:t>。</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每超过</w:t>
                  </w:r>
                  <w:r>
                    <w:rPr>
                      <w:sz w:val="20"/>
                    </w:rPr>
                    <w:t>0.1%扣1分，扣完为止</w:t>
                  </w:r>
                  <w:r>
                    <w:rPr>
                      <w:sz w:val="20"/>
                    </w:rPr>
                    <w:t>。</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2、有活蟑螂卵鞘房间，阳性房间不超过2%</w:t>
                  </w:r>
                  <w:r>
                    <w:rPr>
                      <w:sz w:val="20"/>
                    </w:rPr>
                    <w:t>。</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每超过</w:t>
                  </w:r>
                  <w:r>
                    <w:rPr>
                      <w:sz w:val="20"/>
                    </w:rPr>
                    <w:t>0.1%扣1分，扣完为止</w:t>
                  </w:r>
                  <w:r>
                    <w:rPr>
                      <w:sz w:val="20"/>
                    </w:rPr>
                    <w:t>。</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3、蟑螂孳生栖息场所的清理，查墙的孔洞庭、缝隙蟑迹：粪便、蜕皮、蟑尸、空卵鞘等，阳性房间不超过3%</w:t>
                  </w:r>
                  <w:r>
                    <w:rPr>
                      <w:sz w:val="20"/>
                    </w:rPr>
                    <w:t>。</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每超过</w:t>
                  </w:r>
                  <w:r>
                    <w:rPr>
                      <w:sz w:val="20"/>
                    </w:rPr>
                    <w:t>0.1%扣1分，扣完为止。</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4、每月至少一次定点向群众派送灭蟑药物。</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无通知或记录，此项不得分</w:t>
                  </w:r>
                  <w:r>
                    <w:rPr>
                      <w:sz w:val="20"/>
                    </w:rPr>
                    <w:t>。</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5、有灭蟑计划，有方案并有灭蟑成效。</w:t>
                  </w:r>
                </w:p>
              </w:tc>
              <w:tc>
                <w:tcPr>
                  <w:tcW w:type="dxa" w:w="12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无灭蟑计划或无按计划实施灭蟑不得分</w:t>
                  </w:r>
                  <w:r>
                    <w:rPr>
                      <w:sz w:val="20"/>
                    </w:rPr>
                    <w:t>。</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6、随机访问中，群众满意率不低于70%</w:t>
                  </w:r>
                  <w:r>
                    <w:rPr>
                      <w:sz w:val="20"/>
                    </w:rPr>
                    <w:t>。</w:t>
                  </w:r>
                </w:p>
              </w:tc>
              <w:tc>
                <w:tcPr>
                  <w:tcW w:type="dxa" w:w="12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未达</w:t>
                  </w:r>
                  <w:r>
                    <w:rPr>
                      <w:sz w:val="20"/>
                    </w:rPr>
                    <w:t>70%，每低于5%扣0.1分</w:t>
                  </w:r>
                  <w:r>
                    <w:rPr>
                      <w:sz w:val="20"/>
                    </w:rPr>
                    <w:t>。</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其他</w:t>
                  </w:r>
                  <w:r>
                    <w:rPr>
                      <w:sz w:val="20"/>
                    </w:rPr>
                    <w:t>(5分)</w:t>
                  </w: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1、工作人员要持证上岗，工厂单位签证率不低于95%。</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没有持证上岗的，每人次扣</w:t>
                  </w:r>
                  <w:r>
                    <w:rPr>
                      <w:sz w:val="20"/>
                    </w:rPr>
                    <w:t>0.5分，被群众投诉，情况属实的，每次扣1分，扣完为止</w:t>
                  </w:r>
                  <w:r>
                    <w:rPr>
                      <w:sz w:val="20"/>
                    </w:rPr>
                    <w:t>。</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non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2、每月除“四害”消杀行动要达4次或以上</w:t>
                  </w:r>
                  <w:r>
                    <w:rPr>
                      <w:sz w:val="20"/>
                    </w:rPr>
                    <w:t>。</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达不到要求的，每少</w:t>
                  </w:r>
                  <w:r>
                    <w:rPr>
                      <w:sz w:val="20"/>
                    </w:rPr>
                    <w:t>1次扣0.5分，扣完为止</w:t>
                  </w:r>
                  <w:r>
                    <w:rPr>
                      <w:sz w:val="20"/>
                    </w:rPr>
                    <w:t>。</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non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3、除“四害”工作要以综合防治为主，要确保使用的药物无公害</w:t>
                  </w:r>
                  <w:r>
                    <w:rPr>
                      <w:sz w:val="20"/>
                    </w:rPr>
                    <w:t>。</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达不到要求的，每次扣</w:t>
                  </w:r>
                  <w:r>
                    <w:rPr>
                      <w:sz w:val="20"/>
                    </w:rPr>
                    <w:t>1分，扣完为止</w:t>
                  </w:r>
                  <w:r>
                    <w:rPr>
                      <w:sz w:val="20"/>
                    </w:rPr>
                    <w:t>。</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none" w:color="000000" w:sz="4"/>
                    <w:right w:val="single" w:color="000000" w:sz="4"/>
                  </w:tcBorders>
                </w:tcPr>
                <w:p/>
              </w:tc>
              <w:tc>
                <w:tcPr>
                  <w:tcW w:type="dxa" w:w="23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0"/>
                    </w:rPr>
                    <w:t>4、配合</w:t>
                  </w:r>
                  <w:r>
                    <w:rPr>
                      <w:sz w:val="20"/>
                    </w:rPr>
                    <w:t>采购人</w:t>
                  </w:r>
                  <w:r>
                    <w:rPr>
                      <w:sz w:val="20"/>
                    </w:rPr>
                    <w:t>做好其他相关临时或突击检查工作。</w:t>
                  </w:r>
                </w:p>
              </w:tc>
              <w:tc>
                <w:tcPr>
                  <w:tcW w:type="dxa" w:w="128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0"/>
                    </w:rPr>
                    <w:t>未按要求配合的，每次扣</w:t>
                  </w:r>
                  <w:r>
                    <w:rPr>
                      <w:sz w:val="20"/>
                    </w:rPr>
                    <w:t>1分，扣完为止。</w:t>
                  </w:r>
                </w:p>
              </w:tc>
              <w:tc>
                <w:tcPr>
                  <w:tcW w:type="dxa" w:w="5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6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928"/>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特别扣分事项</w:t>
                  </w:r>
                </w:p>
              </w:tc>
              <w:tc>
                <w:tcPr>
                  <w:tcW w:type="dxa" w:w="23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1、群众投诉，经核实存在“四害”泛滥的</w:t>
                  </w:r>
                  <w:r>
                    <w:rPr>
                      <w:sz w:val="20"/>
                    </w:rPr>
                    <w:t>。</w:t>
                  </w:r>
                </w:p>
              </w:tc>
              <w:tc>
                <w:tcPr>
                  <w:tcW w:type="dxa" w:w="1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每次从考评总分中扣</w:t>
                  </w:r>
                  <w:r>
                    <w:rPr>
                      <w:sz w:val="20"/>
                    </w:rPr>
                    <w:t>10分</w:t>
                  </w:r>
                  <w:r>
                    <w:rPr>
                      <w:sz w:val="20"/>
                    </w:rPr>
                    <w:t>。</w:t>
                  </w:r>
                </w:p>
              </w:tc>
              <w:tc>
                <w:tcPr>
                  <w:tcW w:type="dxa" w:w="5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8"/>
                  <w:gridSpan w:val="2"/>
                  <w:vMerge/>
                  <w:tcBorders>
                    <w:top w:val="single" w:color="000000" w:sz="4"/>
                    <w:left w:val="singl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2、镇领导严历批评存在除“四害”效果差</w:t>
                  </w:r>
                  <w:r>
                    <w:rPr>
                      <w:sz w:val="20"/>
                    </w:rPr>
                    <w:t>。</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每次从考评总分中扣</w:t>
                  </w:r>
                  <w:r>
                    <w:rPr>
                      <w:sz w:val="20"/>
                    </w:rPr>
                    <w:t>20分</w:t>
                  </w:r>
                  <w:r>
                    <w:rPr>
                      <w:sz w:val="20"/>
                    </w:rPr>
                    <w:t>。</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8"/>
                  <w:gridSpan w:val="2"/>
                  <w:vMerge/>
                  <w:tcBorders>
                    <w:top w:val="single" w:color="000000" w:sz="4"/>
                    <w:left w:val="singl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3、工作人数不能少于</w:t>
                  </w:r>
                  <w:r>
                    <w:rPr>
                      <w:sz w:val="20"/>
                    </w:rPr>
                    <w:t>采购人</w:t>
                  </w:r>
                  <w:r>
                    <w:rPr>
                      <w:sz w:val="20"/>
                    </w:rPr>
                    <w:t>要求。</w:t>
                  </w:r>
                  <w:r>
                    <w:rPr>
                      <w:sz w:val="20"/>
                    </w:rPr>
                    <w:t>采购人</w:t>
                  </w:r>
                  <w:r>
                    <w:rPr>
                      <w:sz w:val="20"/>
                    </w:rPr>
                    <w:t>每月定期、不定期抽检人员</w:t>
                  </w:r>
                  <w:r>
                    <w:rPr>
                      <w:sz w:val="20"/>
                    </w:rPr>
                    <w:t>。</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每少一人扣</w:t>
                  </w:r>
                  <w:r>
                    <w:rPr>
                      <w:sz w:val="20"/>
                    </w:rPr>
                    <w:t>10分，不设限。</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53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合计实得分（）</w:t>
                  </w:r>
                  <w:r>
                    <w:rPr>
                      <w:sz w:val="21"/>
                      <w:b/>
                    </w:rPr>
                    <w:t>=总分（100）—合计检查扣分（）</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100</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 xml:space="preserve">   </w:t>
                  </w:r>
                  <w:r>
                    <w:rPr>
                      <w:sz w:val="21"/>
                      <w:b/>
                    </w:rPr>
                    <w:t>-</w:t>
                  </w:r>
                </w:p>
              </w:tc>
            </w:tr>
            <w:tr>
              <w:tc>
                <w:tcPr>
                  <w:tcW w:type="dxa" w:w="464"/>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center"/>
                  </w:pPr>
                </w:p>
              </w:tc>
              <w:tc>
                <w:tcPr>
                  <w:tcW w:type="dxa" w:w="4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32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283"/>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tc>
              <w:tc>
                <w:tcPr>
                  <w:tcW w:type="dxa" w:w="57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46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3252"/>
                  <w:gridSpan w:val="3"/>
                  <w:tcBorders>
                    <w:top w:val="single" w:color="000000" w:sz="4"/>
                    <w:left w:val="single" w:color="000000" w:sz="4"/>
                    <w:bottom w:val="none" w:color="000000" w:sz="4"/>
                    <w:right w:val="none" w:color="000000" w:sz="4"/>
                  </w:tcBorders>
                  <w:tcMar>
                    <w:top w:type="dxa" w:w="0"/>
                    <w:left w:type="dxa" w:w="105"/>
                    <w:bottom w:type="dxa" w:w="0"/>
                    <w:right w:type="dxa" w:w="105"/>
                  </w:tcMar>
                  <w:vAlign w:val="bottom"/>
                </w:tcPr>
                <w:p>
                  <w:pPr>
                    <w:pStyle w:val="null3"/>
                    <w:jc w:val="both"/>
                  </w:pPr>
                  <w:r>
                    <w:rPr>
                      <w:sz w:val="21"/>
                      <w:b/>
                    </w:rPr>
                    <w:t>采购人考评人员签名：</w:t>
                  </w:r>
                </w:p>
              </w:tc>
              <w:tc>
                <w:tcPr>
                  <w:tcW w:type="dxa" w:w="2322"/>
                  <w:gridSpan w:val="3"/>
                  <w:tcBorders>
                    <w:top w:val="single" w:color="000000" w:sz="4"/>
                    <w:left w:val="single" w:color="000000" w:sz="4"/>
                    <w:bottom w:val="none" w:color="000000" w:sz="4"/>
                    <w:right w:val="single" w:color="000000" w:sz="4"/>
                  </w:tcBorders>
                  <w:tcMar>
                    <w:top w:type="dxa" w:w="0"/>
                    <w:left w:type="dxa" w:w="105"/>
                    <w:bottom w:type="dxa" w:w="0"/>
                    <w:right w:type="dxa" w:w="105"/>
                  </w:tcMar>
                  <w:vAlign w:val="bottom"/>
                </w:tcPr>
                <w:p>
                  <w:pPr>
                    <w:pStyle w:val="null3"/>
                    <w:jc w:val="both"/>
                  </w:pPr>
                  <w:r>
                    <w:rPr>
                      <w:sz w:val="21"/>
                      <w:b/>
                    </w:rPr>
                    <w:t>中标人考评人员签名：</w:t>
                  </w:r>
                </w:p>
              </w:tc>
            </w:tr>
            <w:tr>
              <w:tc>
                <w:tcPr>
                  <w:tcW w:type="dxa" w:w="464"/>
                  <w:tcBorders>
                    <w:top w:val="none" w:color="000000" w:sz="4"/>
                    <w:left w:val="single" w:color="000000" w:sz="4"/>
                    <w:bottom w:val="none" w:color="000000" w:sz="4"/>
                    <w:right w:val="none" w:color="000000" w:sz="4"/>
                  </w:tcBorders>
                  <w:tcMar>
                    <w:top w:type="dxa" w:w="0"/>
                    <w:left w:type="dxa" w:w="105"/>
                    <w:bottom w:type="dxa" w:w="0"/>
                    <w:right w:type="dxa" w:w="105"/>
                  </w:tcMar>
                  <w:vAlign w:val="bottom"/>
                </w:tcPr>
                <w:p>
                  <w:pPr>
                    <w:pStyle w:val="null3"/>
                    <w:jc w:val="both"/>
                  </w:pPr>
                </w:p>
              </w:tc>
              <w:tc>
                <w:tcPr>
                  <w:tcW w:type="dxa" w:w="46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tc>
              <w:tc>
                <w:tcPr>
                  <w:tcW w:type="dxa" w:w="232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tc>
              <w:tc>
                <w:tcPr>
                  <w:tcW w:type="dxa" w:w="1283"/>
                  <w:tcBorders>
                    <w:top w:val="none" w:color="000000" w:sz="4"/>
                    <w:left w:val="single" w:color="000000" w:sz="4"/>
                    <w:bottom w:val="none" w:color="000000" w:sz="4"/>
                    <w:right w:val="none" w:color="000000" w:sz="4"/>
                  </w:tcBorders>
                  <w:tcMar>
                    <w:top w:type="dxa" w:w="0"/>
                    <w:left w:type="dxa" w:w="105"/>
                    <w:bottom w:type="dxa" w:w="0"/>
                    <w:right w:type="dxa" w:w="105"/>
                  </w:tcMar>
                  <w:vAlign w:val="bottom"/>
                </w:tcPr>
                <w:p/>
              </w:tc>
              <w:tc>
                <w:tcPr>
                  <w:tcW w:type="dxa" w:w="575"/>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tc>
              <w:tc>
                <w:tcPr>
                  <w:tcW w:type="dxa" w:w="464"/>
                  <w:tcBorders>
                    <w:top w:val="none" w:color="000000" w:sz="4"/>
                    <w:left w:val="none" w:color="000000" w:sz="4"/>
                    <w:bottom w:val="none" w:color="000000" w:sz="4"/>
                    <w:right w:val="single" w:color="000000" w:sz="4"/>
                  </w:tcBorders>
                  <w:tcMar>
                    <w:top w:type="dxa" w:w="0"/>
                    <w:left w:type="dxa" w:w="105"/>
                    <w:bottom w:type="dxa" w:w="0"/>
                    <w:right w:type="dxa" w:w="105"/>
                  </w:tcMar>
                  <w:vAlign w:val="bottom"/>
                </w:tcPr>
                <w:p/>
              </w:tc>
            </w:tr>
            <w:tr>
              <w:tc>
                <w:tcPr>
                  <w:tcW w:type="dxa" w:w="3252"/>
                  <w:gridSpan w:val="3"/>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采购人项目负责人签名：</w:t>
                  </w:r>
                </w:p>
              </w:tc>
              <w:tc>
                <w:tcPr>
                  <w:tcW w:type="dxa" w:w="2322"/>
                  <w:gridSpan w:val="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b/>
                    </w:rPr>
                    <w:t>中标人项目负责人签名：</w:t>
                  </w:r>
                </w:p>
              </w:tc>
            </w:tr>
            <w:tr>
              <w:tc>
                <w:tcPr>
                  <w:tcW w:type="dxa" w:w="3252"/>
                  <w:gridSpan w:val="3"/>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采购人（盖章）：</w:t>
                  </w:r>
                </w:p>
              </w:tc>
              <w:tc>
                <w:tcPr>
                  <w:tcW w:type="dxa" w:w="2322"/>
                  <w:gridSpan w:val="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b/>
                    </w:rPr>
                    <w:t>中标人（盖章）：</w:t>
                  </w:r>
                </w:p>
              </w:tc>
            </w:tr>
            <w:tr>
              <w:tc>
                <w:tcPr>
                  <w:tcW w:type="dxa" w:w="464"/>
                  <w:tcBorders>
                    <w:top w:val="none" w:color="000000" w:sz="4"/>
                    <w:left w:val="single" w:color="000000" w:sz="4"/>
                    <w:bottom w:val="single" w:color="000000" w:sz="4"/>
                    <w:right w:val="none" w:color="000000" w:sz="4"/>
                  </w:tcBorders>
                  <w:tcMar>
                    <w:top w:type="dxa" w:w="0"/>
                    <w:left w:type="dxa" w:w="105"/>
                    <w:bottom w:type="dxa" w:w="0"/>
                    <w:right w:type="dxa" w:w="105"/>
                  </w:tcMar>
                  <w:vAlign w:val="bottom"/>
                </w:tcPr>
                <w:p>
                  <w:pPr>
                    <w:pStyle w:val="null3"/>
                    <w:jc w:val="both"/>
                  </w:pPr>
                </w:p>
              </w:tc>
              <w:tc>
                <w:tcPr>
                  <w:tcW w:type="dxa" w:w="464"/>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tc>
              <w:tc>
                <w:tcPr>
                  <w:tcW w:type="dxa" w:w="2324"/>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tc>
              <w:tc>
                <w:tcPr>
                  <w:tcW w:type="dxa" w:w="1283"/>
                  <w:tcBorders>
                    <w:top w:val="none" w:color="000000" w:sz="4"/>
                    <w:left w:val="single" w:color="000000" w:sz="4"/>
                    <w:bottom w:val="single" w:color="000000" w:sz="4"/>
                    <w:right w:val="none" w:color="000000" w:sz="4"/>
                  </w:tcBorders>
                  <w:tcMar>
                    <w:top w:type="dxa" w:w="0"/>
                    <w:left w:type="dxa" w:w="105"/>
                    <w:bottom w:type="dxa" w:w="0"/>
                    <w:right w:type="dxa" w:w="105"/>
                  </w:tcMar>
                  <w:vAlign w:val="bottom"/>
                </w:tcPr>
                <w:p/>
              </w:tc>
              <w:tc>
                <w:tcPr>
                  <w:tcW w:type="dxa" w:w="575"/>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bl>
          <w:p>
            <w:pPr>
              <w:pStyle w:val="null3"/>
            </w:pPr>
            <w:r>
              <w:rPr/>
              <w:t xml:space="preserve"> </w:t>
            </w:r>
          </w:p>
          <w:p>
            <w:pPr>
              <w:pStyle w:val="null3"/>
              <w:ind w:firstLine="420"/>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采购包2（东城街道除“四害”及白蚁、红火蚁防治服务项目（2024-2027年）（标二））</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合同签订之日起3年（具体起始时间以签订合同约定日期为准）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自合同签订中标人进场实施项目的第二个月起，每月10日前，采购人与中标人双方对上月进行考核评分；中标人应于每月15日前向采购人提供上月承包费用的结算报告及等额发票；采购人收到中标人提供的结算报告及发票后于每月20日前向中标人支付上月的服务费；因中标人原因或财政请款导致付款迟延的，不以采购人违约。 2、年合同价款=合同总价÷3年，普通月承包服务费=年合同价款÷17，特殊月承包服务费=普通月承包服务费×2。每月的服务费在考核评分达优良的情况下全额支付；否则，只支付被扣除后的余额。 3、本项目的经费由政府拨款，采购人向财政部门提交结算资料即视为完成付款任务，如因政策影响，拨款未能及时到位，不视为采购人违约，中标人不得以此为由而不履行本合同规定的义务或主张解除合同，也不得要求采购人承担违约责任或支付补偿、赔偿。如果中标人怠于或者拒绝提供资料或者办理手续的，则因此产生的付款迟延的责任全部由中标人承担，采购人无需为此承担任何违约责任或支付任何补偿、赔偿，中标人也不得以此为由不履行本合同约定义务或主张解除合同。 4、中标人为增值税一般纳税人/增值税小规模纳税人【请贵单位自行根据中标人纳税人资质进行选择】，本项目发票开票税率采用一般计税法/简易计税法【请贵单位自行根据中标人纳税人资质进行选择】。如遇国家税率政策调整，根据不含税金额按照最新税率开票。若中标人在合同履行过程中纳税人资质发生了变更，中标人须在变更后3个工作日内书面通知采购人。若中标人无法按照预算编制的计税法开出相应税率的发票的，中标人须补回对应差额的费用给采购人或采购人在支付款项时直接将差额扣除。 注：考核满分为100分；评分表共两份，特殊月份一份，普通月份一份（特殊月份是指在蚊子的高发季节即3、4、5月和10、11月共五个月，普通月份是指剩余的七个月）。</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1期：1、验收应在采购人与中标人双方共同参加下进行，依据招标文件及本项目合同的有关规定制定的方案及国家有关规定、规范进行。 2、采购人组织项目验收小组按国家有关规定、规范进行验收，必要时邀请相关专业人员或机构参与验收。 3、对验收不合格的部分，中标人应在采购人规定时间内及时整改完善直至合格。</w:t>
            </w:r>
          </w:p>
        </w:tc>
      </w:tr>
      <w:tr>
        <w:tc>
          <w:tcPr>
            <w:tcW w:type="dxa" w:w="4153"/>
          </w:tcPr>
          <w:p>
            <w:pPr>
              <w:pStyle w:val="null3"/>
            </w:pPr>
            <w:r>
              <w:rPr/>
              <w:t>履约保证金</w:t>
            </w:r>
          </w:p>
        </w:tc>
        <w:tc>
          <w:tcPr>
            <w:tcW w:type="dxa" w:w="4153"/>
          </w:tcPr>
          <w:p>
            <w:pPr>
              <w:pStyle w:val="null3"/>
            </w:pPr>
            <w:r>
              <w:rPr/>
              <w:t>收取比例：5%,说明：（1）履约保证金为成交金额的5%。（2）中标人应当以银行转账或履约保函（履约担保应由银行支行级（含）以上机构或政府性融资担保机构或保险公司出具）的方式缴纳履约保证金。给采购人造成的损失超过履约担保数额的，还应当由其对超过部分予以赔偿，并依法追究其责任。（3）中标人完成其合同义务并经验收合格后，可向采购人提交退回履约保证金的申请。采购人收到中标人的退回履约保证金申请材料并经审核无误后，30天内把履约保证金无息退还中标人。（4）下列任何情况发生时，履约保证金将被没收：①中标人将本项目转包给他人，或者在响应文件中未说明，且未经采购人同意，将中标项目分包给他人的，采购人可依法没收其履约保证金。②中标人在履行采购合同期间，违反有关法律法规的规定及合同约定的条款，损害了采购人利益的，采购人有权依法追究其责任。</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其他，投标人应以包干价进行总价报价，报价包括但不限于“四害”及白蚁、红火蚁防控消杀的药物、器械、人工、税费、检测费等及其他履行本合同义务所需的全部费用。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东城街道除“四害”及白蚁、红火蚁防治服务项目（2024-2027年）（标二）</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3,350,991.15</w:t>
            </w:r>
          </w:p>
        </w:tc>
        <w:tc>
          <w:tcPr>
            <w:tcW w:type="dxa" w:w="933"/>
          </w:tcPr>
          <w:p>
            <w:pPr>
              <w:pStyle w:val="null3"/>
              <w:jc w:val="right"/>
            </w:pPr>
            <w:r>
              <w:rPr/>
              <w:t>3,350,991.15</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东城街道除“四害”及白蚁、红火蚁防治服务项目（2024-2027年）（标二）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1"/>
                <w:b/>
              </w:rPr>
              <w:t>一、</w:t>
            </w:r>
            <w:r>
              <w:rPr>
                <w:sz w:val="21"/>
                <w:b/>
              </w:rPr>
              <w:t>项目</w:t>
            </w:r>
            <w:r>
              <w:rPr>
                <w:sz w:val="21"/>
                <w:b/>
              </w:rPr>
              <w:t>范围</w:t>
            </w:r>
          </w:p>
          <w:tbl>
            <w:tblPr>
              <w:tblInd w:type="dxa" w:w="120"/>
              <w:tblBorders>
                <w:top w:val="none" w:color="000000" w:sz="4"/>
                <w:left w:val="none" w:color="000000" w:sz="4"/>
                <w:bottom w:val="none" w:color="000000" w:sz="4"/>
                <w:right w:val="none" w:color="000000" w:sz="4"/>
                <w:insideH w:val="none"/>
                <w:insideV w:val="none"/>
              </w:tblBorders>
            </w:tblPr>
            <w:tblGrid>
              <w:gridCol w:w="570"/>
              <w:gridCol w:w="2598"/>
              <w:gridCol w:w="1658"/>
              <w:gridCol w:w="760"/>
            </w:tblGrid>
            <w:tr>
              <w:tc>
                <w:tcPr>
                  <w:tcW w:type="dxa" w:w="5586"/>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东城街道除</w:t>
                  </w:r>
                  <w:r>
                    <w:rPr>
                      <w:sz w:val="21"/>
                      <w:b/>
                    </w:rPr>
                    <w:t>“四害”及白蚁、红火蚁防治服务项目（2024-2027年）标二</w:t>
                  </w:r>
                </w:p>
                <w:p>
                  <w:pPr>
                    <w:pStyle w:val="null3"/>
                    <w:jc w:val="center"/>
                  </w:pPr>
                  <w:r>
                    <w:rPr>
                      <w:sz w:val="21"/>
                      <w:b/>
                    </w:rPr>
                    <w:t>灭杀面积统计表</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路段</w:t>
                  </w:r>
                </w:p>
              </w:tc>
              <w:tc>
                <w:tcPr>
                  <w:tcW w:type="dxa" w:w="16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消杀面积（平方米）</w:t>
                  </w:r>
                </w:p>
              </w:tc>
              <w:tc>
                <w:tcPr>
                  <w:tcW w:type="dxa" w:w="7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备注</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槌子大街</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9576.36</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大塘头东街</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4755.83</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大玉岭路</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9295.11</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东宝路</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129536.19</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东城中路（光辉家具至莞龙路口）</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86342.42</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东兴街横巷</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4835.76</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东兴街实中围墙边（公用）</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3923.06</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东兴街实中围墙边（星城段）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2247.95</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东兴街实中围墙边（主山段）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5256.95</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芳桂路</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7475.74</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福利院</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2193.79</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高田坊商业街</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13519.95</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莞温路</w:t>
                  </w:r>
                  <w:r>
                    <w:rPr>
                      <w:sz w:val="21"/>
                      <w:color w:val="000000"/>
                    </w:rPr>
                    <w:t>(温塘段)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27810.50</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莞温路</w:t>
                  </w:r>
                  <w:r>
                    <w:rPr>
                      <w:sz w:val="21"/>
                      <w:color w:val="000000"/>
                    </w:rPr>
                    <w:t>(主山段)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38001.98</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莞樟路（石井段）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84652.54</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莞樟路（主山段含东纵路）</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114132.66</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莞樟路蓢基湖隧道</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310.30</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金宝路</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6283.49</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金源路</w:t>
                  </w:r>
                  <w:r>
                    <w:rPr>
                      <w:sz w:val="21"/>
                      <w:color w:val="000000"/>
                    </w:rPr>
                    <w:t>(星城段)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5683.69</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金源路</w:t>
                  </w:r>
                  <w:r>
                    <w:rPr>
                      <w:sz w:val="21"/>
                      <w:color w:val="000000"/>
                    </w:rPr>
                    <w:t>(主山段)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18566.39</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蓢基湖路（石井段）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17998.62</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蓢基湖路（主山段）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1061.53</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庆星路</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33820.35</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松毛岭街</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19667.51</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塘边头三街</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25563.75</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塘兴路及桥山路交叉路段（公用）</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4749.13</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万达天桥</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941.72</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温南路</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20097.53</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学前东路</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23161.00</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学前路（星城段）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10006.74</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学前路（主山段）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5070.87</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学前路改造路段（星城段）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4763.11</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学前路改造路段（主山段）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2101.69</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学前路新街</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14286.57</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学星路（温塘段）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2865.90</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学星路（星城段）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21156.80</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学星路（主山段）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2825.56</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银山商业街</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11995.76</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振兴路北段</w:t>
                  </w:r>
                  <w:r>
                    <w:rPr>
                      <w:sz w:val="21"/>
                      <w:color w:val="000000"/>
                    </w:rPr>
                    <w:t>(主山段)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48342.56</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莞樟路下三杞人行天桥</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709.83</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庵元路（桑园段）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4223.49</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庵元路（温塘段）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18874.26</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庵元路（樟村段）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15901.96</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建龙路</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2966.92</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莞龙路</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268669.33</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莞龙路柏洲边人行天桥</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376.52</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龙华路</w:t>
                  </w:r>
                  <w:r>
                    <w:rPr>
                      <w:sz w:val="21"/>
                      <w:color w:val="000000"/>
                    </w:rPr>
                    <w:t>(公用)</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10096.24</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龙华路</w:t>
                  </w:r>
                  <w:r>
                    <w:rPr>
                      <w:sz w:val="21"/>
                      <w:color w:val="000000"/>
                    </w:rPr>
                    <w:t>(温塘段)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4161.96</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龙华路</w:t>
                  </w:r>
                  <w:r>
                    <w:rPr>
                      <w:sz w:val="21"/>
                      <w:color w:val="000000"/>
                    </w:rPr>
                    <w:t>(周屋段)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20387.91</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圃锦北路</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7054.85</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圃锦路</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23817.16</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圃锦南路</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10848.43</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圃园东路</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10603.40</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圃园路连接主山段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13125.01</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圃园西路</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27637.71</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桥山路</w:t>
                  </w:r>
                  <w:r>
                    <w:rPr>
                      <w:sz w:val="21"/>
                      <w:color w:val="000000"/>
                    </w:rPr>
                    <w:t>(公用)</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2802.00</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桥山路</w:t>
                  </w:r>
                  <w:r>
                    <w:rPr>
                      <w:sz w:val="21"/>
                      <w:color w:val="000000"/>
                    </w:rPr>
                    <w:t>(主山段)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29388.89</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桥苑山庄前路</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10754.18</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桑园工业路</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40745.72</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狮环路</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16195.86</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狮龙路</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57811.61</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狮长路（桑园段）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40160.06</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狮长路（温塘段）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2990.68</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狮长路（周屋段）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8755.27</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石羊街（年丰山庄段）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7806.95</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塘兴路及桥山路交叉路段（主山段）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12621.15</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银贵路（桑园段）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43712.01</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银贵路（温塘段）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1737.47</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银珠路</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29888.72</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长恩路</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30354.07</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振兴路北段</w:t>
                  </w:r>
                  <w:r>
                    <w:rPr>
                      <w:sz w:val="21"/>
                      <w:color w:val="000000"/>
                    </w:rPr>
                    <w:t>(桑园段)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4471.62</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振兴路北段</w:t>
                  </w:r>
                  <w:r>
                    <w:rPr>
                      <w:sz w:val="21"/>
                      <w:color w:val="000000"/>
                    </w:rPr>
                    <w:t>(主山段)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29570.16</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狮龙路与莞龙路交接处交通岛</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2258.83</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环城东路小公园</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5173.90</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龙华路（市郊工业园段）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14986.69</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莞龙路柏洲边公交站人行天桥</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608.46</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金龙北路</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5808.14</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东江大堤（鳌峙塘段）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86619.28</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方中路延长线</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49612.74</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榴花桥引桥</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12839.89</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莞龙路榴花段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57627.63</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莞龙路峡口人行天桥</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429.07</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黄沙河温塘段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271786.82</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榴花公园</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54263.62</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榴花路东</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15275.56</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榴花路人行道</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8652.72</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温塘塘边头路</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13263.42</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温周路</w:t>
                  </w:r>
                  <w:r>
                    <w:rPr>
                      <w:sz w:val="21"/>
                      <w:color w:val="000000"/>
                    </w:rPr>
                    <w:t>(桑园段)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14026.56</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温周路</w:t>
                  </w:r>
                  <w:r>
                    <w:rPr>
                      <w:sz w:val="21"/>
                      <w:color w:val="000000"/>
                    </w:rPr>
                    <w:t>(温塘段)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94652.09</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温周路</w:t>
                  </w:r>
                  <w:r>
                    <w:rPr>
                      <w:sz w:val="21"/>
                      <w:color w:val="000000"/>
                    </w:rPr>
                    <w:t>(周屋段)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30758.83</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许仙岩路</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17569.01</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余屋路</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12877.57</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余屋桥</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22737.04</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余屋商业街</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51669.07</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运河路七标段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16068.16</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周屋路</w:t>
                  </w:r>
                  <w:r>
                    <w:rPr>
                      <w:sz w:val="21"/>
                      <w:color w:val="000000"/>
                    </w:rPr>
                    <w:t>(温塘段)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4359.39</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周屋路</w:t>
                  </w:r>
                  <w:r>
                    <w:rPr>
                      <w:sz w:val="21"/>
                      <w:color w:val="000000"/>
                    </w:rPr>
                    <w:t>(周屋段)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41572.51</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周屋路口立交桥</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39575.70</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莞龙路鳌峙塘工业区人行天桥</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590.42</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莞龙路鳌峙塘段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6733.65</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东江大道</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170116.36</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东江大道梨川桥匝道</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3671.71</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东江大堤</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166110.64</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红川路</w:t>
                  </w:r>
                  <w:r>
                    <w:rPr>
                      <w:sz w:val="21"/>
                      <w:color w:val="000000"/>
                    </w:rPr>
                    <w:t>(大桥段)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4010.76</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红川路</w:t>
                  </w:r>
                  <w:r>
                    <w:rPr>
                      <w:sz w:val="21"/>
                      <w:color w:val="000000"/>
                    </w:rPr>
                    <w:t>(花园新村段)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1012.33</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红川路</w:t>
                  </w:r>
                  <w:r>
                    <w:rPr>
                      <w:sz w:val="21"/>
                      <w:color w:val="000000"/>
                    </w:rPr>
                    <w:t>(梨川段)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12297.10</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红荔路</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38215.38</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红荔桥</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2520.09</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花园路</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28915.61</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榴花路西</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16869.25</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堑头路</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16077.39</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桥浪路</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6692.06</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桥石路</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17117.35</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瑞龙路</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12895.51</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松浪街</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17425.64</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文华路</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37271.72</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117</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银岭街</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22495.57</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银竹路</w:t>
                  </w:r>
                  <w:r>
                    <w:rPr>
                      <w:sz w:val="21"/>
                      <w:color w:val="000000"/>
                    </w:rPr>
                    <w:t>(下桥段)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27586.69</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银竹路</w:t>
                  </w:r>
                  <w:r>
                    <w:rPr>
                      <w:sz w:val="21"/>
                      <w:color w:val="000000"/>
                    </w:rPr>
                    <w:t>(樟村段)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14043.41</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育华路</w:t>
                  </w:r>
                  <w:r>
                    <w:rPr>
                      <w:sz w:val="21"/>
                      <w:color w:val="000000"/>
                    </w:rPr>
                    <w:t>(公用)</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1671.88</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育华路</w:t>
                  </w:r>
                  <w:r>
                    <w:rPr>
                      <w:sz w:val="21"/>
                      <w:color w:val="000000"/>
                    </w:rPr>
                    <w:t>(花园新村段)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2932.36</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育华路</w:t>
                  </w:r>
                  <w:r>
                    <w:rPr>
                      <w:sz w:val="21"/>
                      <w:color w:val="000000"/>
                    </w:rPr>
                    <w:t>(堑头段)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19592.43</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育兴路</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39185.63</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运河东路</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47532.65</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运河东一路（公用）</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14472.08</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运河东一路（梨川段）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4576.10</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运河东一路（堑头段）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11994.99</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运河路标二</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63671.27</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运河路三标（下桥段）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129907.27</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运河路三标（樟村段）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16379.79</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运河西一路（公用）</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10463.29</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运河西一路（花园新村</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2343.90</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运河西一路（梨川段）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10324.67</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梨川大桥</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35555.65</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w:t>
                  </w:r>
                </w:p>
              </w:tc>
              <w:tc>
                <w:tcPr>
                  <w:tcW w:type="dxa" w:w="2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运河路八标段</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90879.38</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t xml:space="preserve"> </w:t>
            </w:r>
          </w:p>
          <w:p>
            <w:pPr>
              <w:pStyle w:val="null3"/>
              <w:ind w:firstLine="422"/>
              <w:jc w:val="left"/>
            </w:pPr>
            <w:r>
              <w:rPr>
                <w:sz w:val="21"/>
                <w:b/>
              </w:rPr>
              <w:t>二、</w:t>
            </w:r>
            <w:r>
              <w:rPr>
                <w:sz w:val="21"/>
                <w:b/>
              </w:rPr>
              <w:t>项目</w:t>
            </w:r>
            <w:r>
              <w:rPr>
                <w:sz w:val="21"/>
                <w:b/>
              </w:rPr>
              <w:t>服务</w:t>
            </w:r>
            <w:r>
              <w:rPr>
                <w:sz w:val="21"/>
                <w:b/>
              </w:rPr>
              <w:t>要求</w:t>
            </w:r>
          </w:p>
          <w:p>
            <w:pPr>
              <w:pStyle w:val="null3"/>
              <w:ind w:firstLine="420"/>
              <w:jc w:val="both"/>
            </w:pPr>
            <w:r>
              <w:rPr/>
              <w:t xml:space="preserve"> </w:t>
            </w:r>
            <w:r>
              <w:rPr>
                <w:sz w:val="21"/>
              </w:rPr>
              <w:t>1.中标人负责灭鼠、蚊、蝇、蟑螂等病媒生物防制，含各种配套的管、沟渠、槽、井等四害灭杀，确保不低于国家卫生镇标准和要求。其中鼠、蚊、蝇、蟑螂密度必须达到国家标准C级以上。在服务期内</w:t>
            </w:r>
            <w:r>
              <w:rPr>
                <w:sz w:val="21"/>
              </w:rPr>
              <w:t>按照</w:t>
            </w:r>
            <w:r>
              <w:rPr>
                <w:sz w:val="21"/>
              </w:rPr>
              <w:t>国家卫生镇</w:t>
            </w:r>
            <w:r>
              <w:rPr>
                <w:sz w:val="21"/>
              </w:rPr>
              <w:t>有关标准，每个月实施除</w:t>
            </w:r>
            <w:r>
              <w:rPr>
                <w:sz w:val="21"/>
              </w:rPr>
              <w:t>“四害”消杀作业不少于4次，特殊时期要无条件配合采购人增加服务次数</w:t>
            </w:r>
            <w:r>
              <w:rPr>
                <w:sz w:val="21"/>
              </w:rPr>
              <w:t>，</w:t>
            </w:r>
            <w:r>
              <w:rPr>
                <w:sz w:val="21"/>
              </w:rPr>
              <w:t>相应费用已包含在总价中，采购人无需为此增付任何费用</w:t>
            </w:r>
            <w:r>
              <w:rPr>
                <w:sz w:val="21"/>
              </w:rPr>
              <w:t>。</w:t>
            </w:r>
          </w:p>
          <w:p>
            <w:pPr>
              <w:pStyle w:val="null3"/>
              <w:ind w:firstLine="420"/>
              <w:jc w:val="both"/>
            </w:pPr>
            <w:r>
              <w:rPr>
                <w:sz w:val="21"/>
              </w:rPr>
              <w:t>2.中标人须服从采购人安排，积极参与病媒生物防制的宣传发动工作，讲究工作方法，以质量求信誉。无条件接受采购人对工作的检查、监督、考核和工作指导，发现问题及时改正。</w:t>
            </w:r>
          </w:p>
          <w:p>
            <w:pPr>
              <w:pStyle w:val="null3"/>
              <w:ind w:firstLine="420"/>
              <w:jc w:val="both"/>
            </w:pPr>
            <w:r>
              <w:rPr>
                <w:sz w:val="21"/>
              </w:rPr>
              <w:t>3.中标人须根据国家卫生镇标准，保证病媒生物防制工作措施落实，保证服务质量，保证病媒生物防制各项标准顺利达标。</w:t>
            </w:r>
          </w:p>
          <w:p>
            <w:pPr>
              <w:pStyle w:val="null3"/>
              <w:ind w:firstLine="420"/>
              <w:jc w:val="both"/>
            </w:pPr>
            <w:r>
              <w:rPr>
                <w:sz w:val="21"/>
              </w:rPr>
              <w:t>4.中标人要根据采购人关于病媒生物防制的要求及采购人制定的年度发动全民参与计划，由采购人每月动员群众参与，并在消杀服务范围内配合采购人向居民免费派发病媒生物防制药物。</w:t>
            </w:r>
          </w:p>
          <w:p>
            <w:pPr>
              <w:pStyle w:val="null3"/>
              <w:ind w:firstLine="420"/>
              <w:jc w:val="both"/>
            </w:pPr>
            <w:r>
              <w:rPr>
                <w:sz w:val="21"/>
              </w:rPr>
              <w:t>5.中标人除做好服务范围内地域的孳生源全面巡查和清理工作外，还应及时与采购人反应问题，协商解决孳生源处理等问题。</w:t>
            </w:r>
          </w:p>
          <w:p>
            <w:pPr>
              <w:pStyle w:val="null3"/>
              <w:ind w:firstLine="420"/>
              <w:jc w:val="both"/>
            </w:pPr>
            <w:r>
              <w:rPr>
                <w:sz w:val="21"/>
              </w:rPr>
              <w:t>6.中标人须</w:t>
            </w:r>
            <w:r>
              <w:rPr>
                <w:sz w:val="21"/>
              </w:rPr>
              <w:t>严格按照国家有关规定和</w:t>
            </w:r>
            <w:r>
              <w:rPr>
                <w:sz w:val="21"/>
              </w:rPr>
              <w:t>采购人</w:t>
            </w:r>
            <w:r>
              <w:rPr>
                <w:sz w:val="21"/>
              </w:rPr>
              <w:t>招标文件界定或</w:t>
            </w:r>
            <w:r>
              <w:rPr>
                <w:sz w:val="21"/>
              </w:rPr>
              <w:t>采购人</w:t>
            </w:r>
            <w:r>
              <w:rPr>
                <w:sz w:val="21"/>
              </w:rPr>
              <w:t>重新认定的合法药品投放喷洒药物，科学、安全用药，不得使用国家禁用的药品，严防中毒事故发生。</w:t>
            </w:r>
            <w:r>
              <w:rPr>
                <w:sz w:val="21"/>
              </w:rPr>
              <w:t>采购人</w:t>
            </w:r>
            <w:r>
              <w:rPr>
                <w:sz w:val="21"/>
              </w:rPr>
              <w:t>对药物名称、品牌等的确认不能视为</w:t>
            </w:r>
            <w:r>
              <w:rPr>
                <w:sz w:val="21"/>
              </w:rPr>
              <w:t>采购人</w:t>
            </w:r>
            <w:r>
              <w:rPr>
                <w:sz w:val="21"/>
              </w:rPr>
              <w:t>对药物质量的确认，</w:t>
            </w:r>
            <w:r>
              <w:rPr>
                <w:sz w:val="21"/>
              </w:rPr>
              <w:t>中标人</w:t>
            </w:r>
            <w:r>
              <w:rPr>
                <w:sz w:val="21"/>
              </w:rPr>
              <w:t>对药物的质量承担最终责任，如因使用违规药品或因药物质量问题导致第三人人身或财产损失，由</w:t>
            </w:r>
            <w:r>
              <w:rPr>
                <w:sz w:val="21"/>
              </w:rPr>
              <w:t>中标人</w:t>
            </w:r>
            <w:r>
              <w:rPr>
                <w:sz w:val="21"/>
              </w:rPr>
              <w:t>负担全部责任，</w:t>
            </w:r>
            <w:r>
              <w:rPr>
                <w:sz w:val="21"/>
              </w:rPr>
              <w:t>采购人</w:t>
            </w:r>
            <w:r>
              <w:rPr>
                <w:sz w:val="21"/>
              </w:rPr>
              <w:t>可单方面解除服务</w:t>
            </w:r>
            <w:r>
              <w:rPr>
                <w:sz w:val="21"/>
              </w:rPr>
              <w:t>合同</w:t>
            </w:r>
            <w:r>
              <w:rPr>
                <w:sz w:val="21"/>
              </w:rPr>
              <w:t>，并要求</w:t>
            </w:r>
            <w:r>
              <w:rPr>
                <w:sz w:val="21"/>
              </w:rPr>
              <w:t>中标人</w:t>
            </w:r>
            <w:r>
              <w:rPr>
                <w:sz w:val="21"/>
              </w:rPr>
              <w:t>偿付合同金额</w:t>
            </w:r>
            <w:r>
              <w:rPr>
                <w:sz w:val="21"/>
              </w:rPr>
              <w:t>5%的违约金</w:t>
            </w:r>
            <w:r>
              <w:rPr>
                <w:sz w:val="21"/>
              </w:rPr>
              <w:t>。</w:t>
            </w:r>
          </w:p>
          <w:p>
            <w:pPr>
              <w:pStyle w:val="null3"/>
              <w:ind w:firstLine="420"/>
              <w:jc w:val="both"/>
            </w:pPr>
            <w:r>
              <w:rPr>
                <w:sz w:val="21"/>
              </w:rPr>
              <w:t>7.中标人</w:t>
            </w:r>
            <w:r>
              <w:rPr>
                <w:sz w:val="21"/>
              </w:rPr>
              <w:t>必须确保</w:t>
            </w:r>
            <w:r>
              <w:rPr>
                <w:sz w:val="21"/>
              </w:rPr>
              <w:t>中标人</w:t>
            </w:r>
            <w:r>
              <w:rPr>
                <w:sz w:val="21"/>
              </w:rPr>
              <w:t>及其工人遵守</w:t>
            </w:r>
            <w:r>
              <w:rPr>
                <w:sz w:val="21"/>
              </w:rPr>
              <w:t>采购人</w:t>
            </w:r>
            <w:r>
              <w:rPr>
                <w:sz w:val="21"/>
              </w:rPr>
              <w:t>有关管理规定，并能按有关安全规定安全进行工作。</w:t>
            </w:r>
            <w:r>
              <w:rPr>
                <w:sz w:val="21"/>
              </w:rPr>
              <w:t>中标人</w:t>
            </w:r>
            <w:r>
              <w:rPr>
                <w:sz w:val="21"/>
              </w:rPr>
              <w:t>及其工人如有违纪违法、发生工伤意外事故，</w:t>
            </w:r>
            <w:r>
              <w:rPr>
                <w:sz w:val="21"/>
              </w:rPr>
              <w:t>采购人</w:t>
            </w:r>
            <w:r>
              <w:rPr>
                <w:sz w:val="21"/>
              </w:rPr>
              <w:t>均不负任何责任</w:t>
            </w:r>
            <w:r>
              <w:rPr>
                <w:sz w:val="21"/>
              </w:rPr>
              <w:t>。</w:t>
            </w:r>
          </w:p>
          <w:p>
            <w:pPr>
              <w:pStyle w:val="null3"/>
              <w:ind w:firstLine="420"/>
              <w:jc w:val="both"/>
            </w:pPr>
            <w:r>
              <w:rPr>
                <w:sz w:val="21"/>
              </w:rPr>
              <w:t>8.中标人</w:t>
            </w:r>
            <w:r>
              <w:rPr>
                <w:sz w:val="21"/>
              </w:rPr>
              <w:t>的</w:t>
            </w:r>
            <w:r>
              <w:rPr>
                <w:sz w:val="21"/>
              </w:rPr>
              <w:t>工人</w:t>
            </w:r>
            <w:r>
              <w:rPr>
                <w:sz w:val="21"/>
              </w:rPr>
              <w:t>工资、保险费、药费、工具等一切费用支出，由</w:t>
            </w:r>
            <w:r>
              <w:rPr>
                <w:sz w:val="21"/>
              </w:rPr>
              <w:t>中标人</w:t>
            </w:r>
            <w:r>
              <w:rPr>
                <w:sz w:val="21"/>
              </w:rPr>
              <w:t>负责，盈亏自负，与</w:t>
            </w:r>
            <w:r>
              <w:rPr>
                <w:sz w:val="21"/>
              </w:rPr>
              <w:t>采购人</w:t>
            </w:r>
            <w:r>
              <w:rPr>
                <w:sz w:val="21"/>
              </w:rPr>
              <w:t>无关。另外，</w:t>
            </w:r>
            <w:r>
              <w:rPr>
                <w:sz w:val="21"/>
              </w:rPr>
              <w:t>中标人</w:t>
            </w:r>
            <w:r>
              <w:rPr>
                <w:sz w:val="21"/>
              </w:rPr>
              <w:t>要保证其工人购买工伤保险，并将相关凭证交付</w:t>
            </w:r>
            <w:r>
              <w:rPr>
                <w:sz w:val="21"/>
              </w:rPr>
              <w:t>采购人</w:t>
            </w:r>
            <w:r>
              <w:rPr>
                <w:sz w:val="21"/>
              </w:rPr>
              <w:t>后才能上班。否则，视为非工作人员，不准上班，后果由</w:t>
            </w:r>
            <w:r>
              <w:rPr>
                <w:sz w:val="21"/>
              </w:rPr>
              <w:t>中标人</w:t>
            </w:r>
            <w:r>
              <w:rPr>
                <w:sz w:val="21"/>
              </w:rPr>
              <w:t>负责。工人住宿、水电、伙食</w:t>
            </w:r>
            <w:r>
              <w:rPr>
                <w:sz w:val="21"/>
              </w:rPr>
              <w:t>、交通</w:t>
            </w:r>
            <w:r>
              <w:rPr>
                <w:sz w:val="21"/>
              </w:rPr>
              <w:t>问题由</w:t>
            </w:r>
            <w:r>
              <w:rPr>
                <w:sz w:val="21"/>
              </w:rPr>
              <w:t>中标人</w:t>
            </w:r>
            <w:r>
              <w:rPr>
                <w:sz w:val="21"/>
              </w:rPr>
              <w:t>承担</w:t>
            </w:r>
            <w:r>
              <w:rPr>
                <w:sz w:val="21"/>
              </w:rPr>
              <w:t>；</w:t>
            </w:r>
            <w:r>
              <w:rPr>
                <w:sz w:val="21"/>
              </w:rPr>
              <w:t>中标人</w:t>
            </w:r>
            <w:r>
              <w:rPr>
                <w:sz w:val="21"/>
              </w:rPr>
              <w:t>与其</w:t>
            </w:r>
            <w:r>
              <w:rPr>
                <w:sz w:val="21"/>
              </w:rPr>
              <w:t>工人</w:t>
            </w:r>
            <w:r>
              <w:rPr>
                <w:sz w:val="21"/>
              </w:rPr>
              <w:t>之间的劳资纠纷、工伤事故、侵权责任等纠纷，由</w:t>
            </w:r>
            <w:r>
              <w:rPr>
                <w:sz w:val="21"/>
              </w:rPr>
              <w:t>中标人</w:t>
            </w:r>
            <w:r>
              <w:rPr>
                <w:sz w:val="21"/>
              </w:rPr>
              <w:t>自行处理，并自行承担相应的法律责任及赔偿</w:t>
            </w:r>
            <w:r>
              <w:rPr>
                <w:sz w:val="21"/>
              </w:rPr>
              <w:t>，</w:t>
            </w:r>
            <w:r>
              <w:rPr>
                <w:sz w:val="21"/>
              </w:rPr>
              <w:t>与采购人无关</w:t>
            </w:r>
            <w:r>
              <w:rPr>
                <w:sz w:val="21"/>
              </w:rPr>
              <w:t>。</w:t>
            </w:r>
          </w:p>
          <w:p>
            <w:pPr>
              <w:pStyle w:val="null3"/>
              <w:ind w:firstLine="420"/>
              <w:jc w:val="both"/>
            </w:pPr>
            <w:r>
              <w:rPr>
                <w:sz w:val="21"/>
              </w:rPr>
              <w:t>9.中标人</w:t>
            </w:r>
            <w:r>
              <w:rPr>
                <w:sz w:val="21"/>
              </w:rPr>
              <w:t>根据所承担的工作内容，按实际上岗人数自行到有关部门申办用工手续、员工劳动保险手续和办理暂住证手续，安排好属下人员的住宿和管理工作</w:t>
            </w:r>
            <w:r>
              <w:rPr>
                <w:sz w:val="21"/>
              </w:rPr>
              <w:t>。</w:t>
            </w:r>
          </w:p>
          <w:p>
            <w:pPr>
              <w:pStyle w:val="null3"/>
              <w:ind w:firstLine="420"/>
              <w:jc w:val="both"/>
            </w:pPr>
            <w:r>
              <w:rPr>
                <w:sz w:val="21"/>
              </w:rPr>
              <w:t>10.中标人</w:t>
            </w:r>
            <w:r>
              <w:rPr>
                <w:sz w:val="21"/>
              </w:rPr>
              <w:t>必须落实安全生产和交通安全措施。</w:t>
            </w:r>
            <w:r>
              <w:rPr>
                <w:sz w:val="21"/>
              </w:rPr>
              <w:t>中标人</w:t>
            </w:r>
            <w:r>
              <w:rPr>
                <w:sz w:val="21"/>
              </w:rPr>
              <w:t>应按</w:t>
            </w:r>
            <w:r>
              <w:rPr>
                <w:sz w:val="21"/>
              </w:rPr>
              <w:t>采购人</w:t>
            </w:r>
            <w:r>
              <w:rPr>
                <w:sz w:val="21"/>
              </w:rPr>
              <w:t>要求，为上岗工人购买统一的工作服，佩戴统一的工作牌，自行解决作业安全问题。</w:t>
            </w:r>
            <w:r>
              <w:rPr>
                <w:sz w:val="21"/>
              </w:rPr>
              <w:t>中标人</w:t>
            </w:r>
            <w:r>
              <w:rPr>
                <w:sz w:val="21"/>
              </w:rPr>
              <w:t>在进行病媒生物防制作业时，必须认真负责，并注意用药安全操作，如因</w:t>
            </w:r>
            <w:r>
              <w:rPr>
                <w:sz w:val="21"/>
              </w:rPr>
              <w:t>中标人</w:t>
            </w:r>
            <w:r>
              <w:rPr>
                <w:sz w:val="21"/>
              </w:rPr>
              <w:t>原因导致发生任何意外（包括造成</w:t>
            </w:r>
            <w:r>
              <w:rPr>
                <w:sz w:val="21"/>
              </w:rPr>
              <w:t>采购人</w:t>
            </w:r>
            <w:r>
              <w:rPr>
                <w:sz w:val="21"/>
              </w:rPr>
              <w:t>或第三方人身损害或财产损失），</w:t>
            </w:r>
            <w:r>
              <w:rPr>
                <w:sz w:val="21"/>
              </w:rPr>
              <w:t>中标人</w:t>
            </w:r>
            <w:r>
              <w:rPr>
                <w:sz w:val="21"/>
              </w:rPr>
              <w:t>负责事故处理和一切费用</w:t>
            </w:r>
            <w:r>
              <w:rPr>
                <w:sz w:val="21"/>
              </w:rPr>
              <w:t>。</w:t>
            </w:r>
          </w:p>
          <w:p>
            <w:pPr>
              <w:pStyle w:val="null3"/>
              <w:ind w:firstLine="420"/>
              <w:jc w:val="both"/>
            </w:pPr>
            <w:r>
              <w:rPr>
                <w:sz w:val="21"/>
              </w:rPr>
              <w:t>11.</w:t>
            </w:r>
            <w:r>
              <w:rPr>
                <w:sz w:val="21"/>
              </w:rPr>
              <w:t>发生登革热、基孔肯雅热、寨卡病毒等突发蚊媒传染病以及上级突击检查，</w:t>
            </w:r>
            <w:r>
              <w:rPr>
                <w:sz w:val="21"/>
              </w:rPr>
              <w:t>中标人</w:t>
            </w:r>
            <w:r>
              <w:rPr>
                <w:sz w:val="21"/>
              </w:rPr>
              <w:t>要无条件配合</w:t>
            </w:r>
            <w:r>
              <w:rPr>
                <w:sz w:val="21"/>
              </w:rPr>
              <w:t>采购人</w:t>
            </w:r>
            <w:r>
              <w:rPr>
                <w:sz w:val="21"/>
              </w:rPr>
              <w:t>的工作，优先抽调人员开展全镇的灭蚊工作。</w:t>
            </w:r>
            <w:r>
              <w:rPr>
                <w:sz w:val="21"/>
              </w:rPr>
              <w:t>项目</w:t>
            </w:r>
            <w:r>
              <w:rPr>
                <w:sz w:val="21"/>
              </w:rPr>
              <w:t>服务内容范围内需要增加服务次数及人数的，不增加服务费用；</w:t>
            </w:r>
            <w:r>
              <w:rPr>
                <w:sz w:val="21"/>
              </w:rPr>
              <w:t>项目</w:t>
            </w:r>
            <w:r>
              <w:rPr>
                <w:sz w:val="21"/>
              </w:rPr>
              <w:t>范围外的，可在合理的基础上增加人力物力，原则上增加的人工费用和药物费用不超过</w:t>
            </w:r>
            <w:r>
              <w:rPr>
                <w:sz w:val="21"/>
              </w:rPr>
              <w:t>800元/人/天，包工包料</w:t>
            </w:r>
            <w:r>
              <w:rPr>
                <w:sz w:val="21"/>
              </w:rPr>
              <w:t>。</w:t>
            </w:r>
          </w:p>
          <w:p>
            <w:pPr>
              <w:pStyle w:val="null3"/>
              <w:ind w:firstLine="420"/>
              <w:jc w:val="both"/>
            </w:pPr>
            <w:r>
              <w:rPr>
                <w:sz w:val="21"/>
              </w:rPr>
              <w:t>12.中标人要在蚊虫高发期前一周准备好相关药物，专门应对水体中蚊虫孳生，要专项做好范围内的海仔河等水体各阶段蚊虫防治、灭杀。</w:t>
            </w:r>
          </w:p>
          <w:p>
            <w:pPr>
              <w:pStyle w:val="null3"/>
              <w:ind w:firstLine="420"/>
              <w:jc w:val="both"/>
            </w:pPr>
            <w:r>
              <w:rPr>
                <w:sz w:val="21"/>
              </w:rPr>
              <w:t>13.中标人</w:t>
            </w:r>
            <w:r>
              <w:rPr>
                <w:sz w:val="21"/>
              </w:rPr>
              <w:t>不得以任何形式进行分包、转包给别人，也不得以任何名义收取消杀范围内沿街单位、店铺、工厂的任何费用，否则，一经发现，</w:t>
            </w:r>
            <w:r>
              <w:rPr>
                <w:sz w:val="21"/>
              </w:rPr>
              <w:t>采购人</w:t>
            </w:r>
            <w:r>
              <w:rPr>
                <w:sz w:val="21"/>
              </w:rPr>
              <w:t>有权单方面终止</w:t>
            </w:r>
            <w:r>
              <w:rPr>
                <w:sz w:val="21"/>
              </w:rPr>
              <w:t>合同</w:t>
            </w:r>
            <w:r>
              <w:rPr>
                <w:sz w:val="21"/>
              </w:rPr>
              <w:t>，并要求</w:t>
            </w:r>
            <w:r>
              <w:rPr>
                <w:sz w:val="21"/>
              </w:rPr>
              <w:t>中标人</w:t>
            </w:r>
            <w:r>
              <w:rPr>
                <w:sz w:val="21"/>
              </w:rPr>
              <w:t>偿付合同金额</w:t>
            </w:r>
            <w:r>
              <w:rPr>
                <w:sz w:val="21"/>
              </w:rPr>
              <w:t>10%的违约金</w:t>
            </w:r>
            <w:r>
              <w:rPr>
                <w:sz w:val="21"/>
              </w:rPr>
              <w:t>。</w:t>
            </w:r>
          </w:p>
          <w:p>
            <w:pPr>
              <w:pStyle w:val="null3"/>
              <w:ind w:firstLine="420"/>
              <w:jc w:val="both"/>
            </w:pPr>
            <w:r>
              <w:rPr>
                <w:sz w:val="21"/>
              </w:rPr>
              <w:t>14.中标人</w:t>
            </w:r>
            <w:r>
              <w:rPr>
                <w:sz w:val="21"/>
              </w:rPr>
              <w:t>入场后，要及时补充鼠屋，在原有鼠屋基础上补充</w:t>
            </w:r>
            <w:r>
              <w:rPr>
                <w:sz w:val="21"/>
              </w:rPr>
              <w:t>100个并将补充鼠屋的方案和图纸提交</w:t>
            </w:r>
            <w:r>
              <w:rPr>
                <w:sz w:val="21"/>
              </w:rPr>
              <w:t>采购人</w:t>
            </w:r>
            <w:r>
              <w:rPr>
                <w:sz w:val="21"/>
              </w:rPr>
              <w:t>确认。半年要补充一次鼠屋，国卫复审范围内不能少于</w:t>
            </w:r>
            <w:r>
              <w:rPr>
                <w:sz w:val="21"/>
              </w:rPr>
              <w:t>200个，材质为高强度陶泥，标识要明确，所有补充的鼠屋要经</w:t>
            </w:r>
            <w:r>
              <w:rPr>
                <w:sz w:val="21"/>
              </w:rPr>
              <w:t>采购人</w:t>
            </w:r>
            <w:r>
              <w:rPr>
                <w:sz w:val="21"/>
              </w:rPr>
              <w:t>签名确认。一个月至少补充</w:t>
            </w:r>
            <w:r>
              <w:rPr>
                <w:sz w:val="21"/>
              </w:rPr>
              <w:t>2次药饵，鼠尸要及时清理</w:t>
            </w:r>
            <w:r>
              <w:rPr>
                <w:sz w:val="21"/>
              </w:rPr>
              <w:t>。</w:t>
            </w:r>
          </w:p>
          <w:p>
            <w:pPr>
              <w:pStyle w:val="null3"/>
              <w:ind w:firstLine="420"/>
              <w:jc w:val="both"/>
            </w:pPr>
            <w:r>
              <w:rPr>
                <w:sz w:val="21"/>
              </w:rPr>
              <w:t>15.中标人</w:t>
            </w:r>
            <w:r>
              <w:rPr>
                <w:sz w:val="21"/>
              </w:rPr>
              <w:t>对室内场所进行消杀时，要注意安全，并要有关部门、单位、商铺、饮食、食品行业和居民沟通好，提前告知居民</w:t>
            </w:r>
            <w:r>
              <w:rPr>
                <w:sz w:val="21"/>
              </w:rPr>
              <w:t>。</w:t>
            </w:r>
          </w:p>
          <w:p>
            <w:pPr>
              <w:pStyle w:val="null3"/>
              <w:ind w:firstLine="420"/>
              <w:jc w:val="both"/>
            </w:pPr>
            <w:r>
              <w:rPr>
                <w:sz w:val="21"/>
              </w:rPr>
              <w:t>16.</w:t>
            </w:r>
            <w:r>
              <w:rPr>
                <w:sz w:val="21"/>
              </w:rPr>
              <w:t>若遇上级单位检查评比，</w:t>
            </w:r>
            <w:r>
              <w:rPr>
                <w:sz w:val="21"/>
              </w:rPr>
              <w:t>中标人</w:t>
            </w:r>
            <w:r>
              <w:rPr>
                <w:sz w:val="21"/>
              </w:rPr>
              <w:t>必须无条件积极配合，抽调人员进行病媒生物防制等相关工作</w:t>
            </w:r>
            <w:r>
              <w:rPr>
                <w:sz w:val="21"/>
              </w:rPr>
              <w:t>。</w:t>
            </w:r>
          </w:p>
          <w:p>
            <w:pPr>
              <w:pStyle w:val="null3"/>
              <w:ind w:firstLine="420"/>
              <w:jc w:val="both"/>
            </w:pPr>
            <w:r>
              <w:rPr>
                <w:sz w:val="21"/>
              </w:rPr>
              <w:t>17.中标人每年至少两次邀请广东省有害生物防制协会专家库专家(已具备病媒生物防制高级职称)到东城街道开展培训讲座，所有资料费、专家培训费用、差旅费</w:t>
            </w:r>
            <w:r>
              <w:rPr>
                <w:sz w:val="21"/>
              </w:rPr>
              <w:t>等相关费用</w:t>
            </w:r>
            <w:r>
              <w:rPr>
                <w:sz w:val="21"/>
              </w:rPr>
              <w:t>均由中标人承担，培训时间和内容根据采购人的需求而定。</w:t>
            </w:r>
          </w:p>
          <w:p>
            <w:pPr>
              <w:pStyle w:val="null3"/>
              <w:ind w:firstLine="420"/>
              <w:jc w:val="both"/>
            </w:pPr>
            <w:r>
              <w:rPr>
                <w:sz w:val="21"/>
              </w:rPr>
              <w:t>18.若遇上国卫复审年，中标人要全力配合采购人的工作，配合做好国家卫生镇复审除四害资料的有关工作，对复审范围内的重点单位要免费提供咨询服务，及配合采购人开展督导检查。对于复审路线上的重点单位，如确实要按照省市要求完善有关工作的，要提供免费消杀服务，“四害”硬件设施根据实际情况，</w:t>
            </w:r>
            <w:r>
              <w:rPr>
                <w:sz w:val="21"/>
              </w:rPr>
              <w:t>可向有关单位收取必要的材料费</w:t>
            </w:r>
            <w:r>
              <w:rPr>
                <w:sz w:val="21"/>
              </w:rPr>
              <w:t>。除中标人</w:t>
            </w:r>
            <w:r>
              <w:rPr>
                <w:sz w:val="21"/>
              </w:rPr>
              <w:t>经采购人书面同意</w:t>
            </w:r>
            <w:r>
              <w:rPr>
                <w:sz w:val="21"/>
              </w:rPr>
              <w:t>自行与服务对象签订的服务</w:t>
            </w:r>
            <w:r>
              <w:rPr>
                <w:sz w:val="21"/>
              </w:rPr>
              <w:t>合同</w:t>
            </w:r>
            <w:r>
              <w:rPr>
                <w:sz w:val="21"/>
              </w:rPr>
              <w:t>外，未经采购人</w:t>
            </w:r>
            <w:r>
              <w:rPr>
                <w:sz w:val="21"/>
              </w:rPr>
              <w:t>书面</w:t>
            </w:r>
            <w:r>
              <w:rPr>
                <w:sz w:val="21"/>
              </w:rPr>
              <w:t>允许，不可以随便对复审范围内的单位乱收服务费，一经发现，采购人有权解除服务协议，</w:t>
            </w:r>
            <w:r>
              <w:rPr>
                <w:sz w:val="21"/>
              </w:rPr>
              <w:t>该项工作在复审年将纳入月度考核</w:t>
            </w:r>
            <w:r>
              <w:rPr>
                <w:sz w:val="21"/>
              </w:rPr>
              <w:t>。</w:t>
            </w:r>
          </w:p>
          <w:p>
            <w:pPr>
              <w:pStyle w:val="null3"/>
              <w:ind w:firstLine="420"/>
              <w:jc w:val="both"/>
            </w:pPr>
            <w:r>
              <w:rPr>
                <w:sz w:val="21"/>
              </w:rPr>
              <w:t>19.中标人须对服务区域进行全面的检查，发现红火蚁或白蚁害情即施传染性药物或采取其他有效灭杀措施。在绿化带、蚁路及其它红火蚁或白蚁经常活动的地方施具有效预防药物。对建筑物易滋生白蚁的位置（如木门框、木地板及其他木家具等）设置诱杀点及使用预防药物。</w:t>
            </w:r>
          </w:p>
          <w:p>
            <w:pPr>
              <w:pStyle w:val="null3"/>
              <w:ind w:firstLine="420"/>
              <w:jc w:val="both"/>
            </w:pPr>
            <w:r>
              <w:rPr>
                <w:sz w:val="21"/>
              </w:rPr>
              <w:t>20.</w:t>
            </w:r>
            <w:r>
              <w:rPr>
                <w:sz w:val="21"/>
              </w:rPr>
              <w:t>中标人须</w:t>
            </w:r>
            <w:r>
              <w:rPr>
                <w:sz w:val="21"/>
              </w:rPr>
              <w:t>建立服务单位工作卡，每次上门服务后，在工作卡上取得服务对象签名（或单位盖章）</w:t>
            </w:r>
            <w:r>
              <w:rPr>
                <w:sz w:val="21"/>
              </w:rPr>
              <w:t>。</w:t>
            </w:r>
          </w:p>
          <w:p>
            <w:pPr>
              <w:pStyle w:val="null3"/>
              <w:ind w:firstLine="420"/>
              <w:jc w:val="both"/>
            </w:pPr>
            <w:r>
              <w:rPr>
                <w:sz w:val="21"/>
              </w:rPr>
              <w:t>21.</w:t>
            </w:r>
            <w:r>
              <w:rPr>
                <w:sz w:val="21"/>
              </w:rPr>
              <w:t>中标人</w:t>
            </w:r>
            <w:r>
              <w:rPr>
                <w:sz w:val="21"/>
              </w:rPr>
              <w:t>必须坚持</w:t>
            </w:r>
            <w:r>
              <w:rPr>
                <w:sz w:val="21"/>
              </w:rPr>
              <w:t>“预防为主，综合防制”的消杀方针，选择国家规定无害、无残留的药物</w:t>
            </w:r>
            <w:r>
              <w:rPr>
                <w:sz w:val="21"/>
              </w:rPr>
              <w:t>。</w:t>
            </w:r>
          </w:p>
          <w:p>
            <w:pPr>
              <w:pStyle w:val="null3"/>
              <w:ind w:firstLine="420"/>
              <w:jc w:val="both"/>
            </w:pPr>
            <w:r>
              <w:rPr>
                <w:sz w:val="21"/>
              </w:rPr>
              <w:t>22.</w:t>
            </w:r>
            <w:r>
              <w:rPr>
                <w:sz w:val="21"/>
              </w:rPr>
              <w:t>中标人</w:t>
            </w:r>
            <w:r>
              <w:rPr>
                <w:sz w:val="21"/>
              </w:rPr>
              <w:t>在合同签订后</w:t>
            </w:r>
            <w:r>
              <w:rPr>
                <w:sz w:val="21"/>
              </w:rPr>
              <w:t>15日内须在东城自行设立办公场所，供办公及存放药物使用</w:t>
            </w:r>
            <w:r>
              <w:rPr>
                <w:sz w:val="21"/>
              </w:rPr>
              <w:t>，</w:t>
            </w:r>
            <w:r>
              <w:rPr>
                <w:sz w:val="22"/>
              </w:rPr>
              <w:t>费用由</w:t>
            </w:r>
            <w:r>
              <w:rPr>
                <w:sz w:val="21"/>
              </w:rPr>
              <w:t>中标人</w:t>
            </w:r>
            <w:r>
              <w:rPr>
                <w:sz w:val="22"/>
              </w:rPr>
              <w:t>自行承担</w:t>
            </w:r>
            <w:r>
              <w:rPr>
                <w:sz w:val="21"/>
              </w:rPr>
              <w:t>。</w:t>
            </w:r>
          </w:p>
          <w:p>
            <w:pPr>
              <w:pStyle w:val="null3"/>
              <w:ind w:firstLine="420"/>
              <w:jc w:val="both"/>
            </w:pPr>
            <w:r>
              <w:rPr>
                <w:sz w:val="21"/>
              </w:rPr>
              <w:t>23.中标人须建立</w:t>
            </w:r>
            <w:r>
              <w:rPr>
                <w:sz w:val="21"/>
              </w:rPr>
              <w:t>病媒生物防制药物进出登记台帐</w:t>
            </w:r>
            <w:r>
              <w:rPr>
                <w:sz w:val="21"/>
              </w:rPr>
              <w:t>。</w:t>
            </w:r>
          </w:p>
          <w:p>
            <w:pPr>
              <w:pStyle w:val="null3"/>
              <w:ind w:firstLine="420"/>
              <w:jc w:val="both"/>
            </w:pPr>
            <w:r>
              <w:rPr>
                <w:sz w:val="21"/>
              </w:rPr>
              <w:t>24.中标人</w:t>
            </w:r>
            <w:r>
              <w:rPr>
                <w:sz w:val="21"/>
              </w:rPr>
              <w:t>须</w:t>
            </w:r>
            <w:r>
              <w:rPr>
                <w:sz w:val="21"/>
              </w:rPr>
              <w:t>具备处理登革热防控应急灭蚊的方法及措施。</w:t>
            </w:r>
          </w:p>
          <w:p>
            <w:pPr>
              <w:pStyle w:val="null3"/>
              <w:ind w:firstLine="420"/>
              <w:jc w:val="both"/>
            </w:pPr>
            <w:r>
              <w:rPr>
                <w:sz w:val="21"/>
              </w:rPr>
              <w:t>25.中标人</w:t>
            </w:r>
            <w:r>
              <w:rPr>
                <w:sz w:val="21"/>
              </w:rPr>
              <w:t>必须积极响应并接受市领导及广大市民的监督检查，若受到市领导的批评或市民的投诉，经调查认定情况属实的，视情节轻重予以罚款；</w:t>
            </w:r>
            <w:r>
              <w:rPr>
                <w:sz w:val="21"/>
              </w:rPr>
              <w:t>若因用药不当</w:t>
            </w:r>
            <w:r>
              <w:rPr>
                <w:sz w:val="21"/>
              </w:rPr>
              <w:t>造成</w:t>
            </w:r>
            <w:r>
              <w:rPr>
                <w:sz w:val="21"/>
              </w:rPr>
              <w:t>人员伤亡等</w:t>
            </w:r>
            <w:r>
              <w:rPr>
                <w:sz w:val="21"/>
              </w:rPr>
              <w:t>恶劣影响的</w:t>
            </w:r>
            <w:r>
              <w:rPr>
                <w:sz w:val="21"/>
              </w:rPr>
              <w:t>，</w:t>
            </w:r>
            <w:r>
              <w:rPr>
                <w:sz w:val="21"/>
              </w:rPr>
              <w:t>采购人</w:t>
            </w:r>
            <w:r>
              <w:rPr>
                <w:sz w:val="21"/>
              </w:rPr>
              <w:t>有权单方面终止合同。</w:t>
            </w:r>
          </w:p>
          <w:p>
            <w:pPr>
              <w:pStyle w:val="null3"/>
              <w:ind w:firstLine="420"/>
              <w:jc w:val="both"/>
            </w:pPr>
            <w:r>
              <w:rPr>
                <w:sz w:val="21"/>
              </w:rPr>
              <w:t>26.中标人</w:t>
            </w:r>
            <w:r>
              <w:rPr>
                <w:sz w:val="21"/>
              </w:rPr>
              <w:t>在合同履行过程中须配合城市管理综合执法部门的行政执法，包括但不限于按照前述执法部门的要求提供相关证据材料和配合执法部门的相关调查。若</w:t>
            </w:r>
            <w:r>
              <w:rPr>
                <w:sz w:val="21"/>
              </w:rPr>
              <w:t>中标人</w:t>
            </w:r>
            <w:r>
              <w:rPr>
                <w:sz w:val="21"/>
              </w:rPr>
              <w:t>不予以配合或者拒绝接受前述执法部门调查的，均视为</w:t>
            </w:r>
            <w:r>
              <w:rPr>
                <w:sz w:val="21"/>
              </w:rPr>
              <w:t>中标人</w:t>
            </w:r>
            <w:r>
              <w:rPr>
                <w:sz w:val="21"/>
              </w:rPr>
              <w:t>违约。</w:t>
            </w:r>
          </w:p>
          <w:p>
            <w:pPr>
              <w:pStyle w:val="null3"/>
              <w:ind w:firstLine="420"/>
              <w:jc w:val="both"/>
            </w:pPr>
            <w:r>
              <w:rPr>
                <w:sz w:val="21"/>
              </w:rPr>
              <w:t>27.</w:t>
            </w:r>
            <w:r>
              <w:rPr>
                <w:sz w:val="21"/>
              </w:rPr>
              <w:t>在合同签署时及合同履行期间，</w:t>
            </w:r>
            <w:r>
              <w:rPr>
                <w:sz w:val="21"/>
              </w:rPr>
              <w:t>中标人</w:t>
            </w:r>
            <w:r>
              <w:rPr>
                <w:sz w:val="21"/>
              </w:rPr>
              <w:t>保证其具有履行本合同的资质及能力。有关项目、工序或相应特种设备需要专业资格人员操作的，必须安排有相应从业资格的专业人员持证上岗。</w:t>
            </w:r>
          </w:p>
          <w:p>
            <w:pPr>
              <w:pStyle w:val="null3"/>
              <w:ind w:firstLine="420"/>
              <w:jc w:val="both"/>
            </w:pPr>
            <w:r>
              <w:rPr>
                <w:sz w:val="21"/>
              </w:rPr>
              <w:t xml:space="preserve"> </w:t>
            </w:r>
          </w:p>
          <w:p>
            <w:pPr>
              <w:pStyle w:val="null3"/>
              <w:ind w:firstLine="422"/>
              <w:jc w:val="left"/>
            </w:pPr>
            <w:r>
              <w:rPr>
                <w:sz w:val="21"/>
                <w:b/>
              </w:rPr>
              <w:t>三、作业质量标准</w:t>
            </w:r>
          </w:p>
          <w:p>
            <w:pPr>
              <w:pStyle w:val="null3"/>
              <w:ind w:firstLine="420"/>
              <w:jc w:val="both"/>
            </w:pPr>
            <w:r>
              <w:rPr>
                <w:sz w:val="21"/>
                <w:b/>
              </w:rPr>
              <w:t>1.灭鼠标准：</w:t>
            </w:r>
            <w:r>
              <w:rPr>
                <w:sz w:val="21"/>
              </w:rPr>
              <w:t>粉迹法（每</w:t>
            </w:r>
            <w:r>
              <w:rPr>
                <w:sz w:val="21"/>
              </w:rPr>
              <w:t>15平方米房间布放20×20厘米粉板两块）监测鼠足印阳性率低于2%；鼠迹（鼠洞、鼠粪、鼠路、鼠咬痕），有鼠迹房间不超过2%；2000米外环境鼠迹不超过5处；重点单位防鼠设施（仓库、厨房等的门窗、出水口等部位有防鼠设施），合格率达95%，现场检查，无可见鼠迹。</w:t>
            </w:r>
          </w:p>
          <w:p>
            <w:pPr>
              <w:pStyle w:val="null3"/>
              <w:ind w:firstLine="420"/>
              <w:jc w:val="both"/>
            </w:pPr>
            <w:r>
              <w:rPr>
                <w:sz w:val="21"/>
                <w:b/>
              </w:rPr>
              <w:t>2.灭蚊标准：</w:t>
            </w:r>
            <w:r>
              <w:rPr>
                <w:sz w:val="21"/>
              </w:rPr>
              <w:t>居民区、单位室内外环境各种存水容器和积水中的幼蚊及蛹，阳性率低于</w:t>
            </w:r>
            <w:r>
              <w:rPr>
                <w:sz w:val="21"/>
              </w:rPr>
              <w:t>3%；用500毫升收集勺采集城区内大中型水体中的蚊幼虫或蛹，阳性率低于1%，阳性勺内幼虫或蛹的平均数不超过3只；在特殊场所（15平方米以下的居民住宅房内、公共场所等）白天人诱蚊60分钟，平均诱获成蚊不超过1只/人次；晚上人诱蚊60分钟，平均诱获成蚊不超过2只/人次。</w:t>
            </w:r>
          </w:p>
          <w:p>
            <w:pPr>
              <w:pStyle w:val="null3"/>
              <w:ind w:firstLine="420"/>
              <w:jc w:val="both"/>
            </w:pPr>
            <w:r>
              <w:rPr>
                <w:sz w:val="21"/>
                <w:b/>
              </w:rPr>
              <w:t>3.灭蝇标准</w:t>
            </w:r>
            <w:r>
              <w:rPr>
                <w:sz w:val="21"/>
              </w:rPr>
              <w:t>：重点单位（如饮食、食品加工、销售业）有蝇房间不超过</w:t>
            </w:r>
            <w:r>
              <w:rPr>
                <w:sz w:val="21"/>
              </w:rPr>
              <w:t>1%；加工、销售、存放直接入口食品的场所，不得有蝇；一般单位（如机关、学校、工厂）有蝇房间不超过3%，平均每阳性房间不超过3只；防蝇设施（查门窗等部位），合格率达95%以上；蝇粪孳生地（外环境、垃圾容器、垃圾存放地等），得到有效治理，幼虫和蛹的检出率不超过3%。</w:t>
            </w:r>
          </w:p>
          <w:p>
            <w:pPr>
              <w:pStyle w:val="null3"/>
              <w:ind w:firstLine="420"/>
              <w:jc w:val="both"/>
            </w:pPr>
            <w:r>
              <w:rPr>
                <w:sz w:val="21"/>
                <w:b/>
              </w:rPr>
              <w:t>4.灭蟑螂标准</w:t>
            </w:r>
            <w:r>
              <w:rPr>
                <w:sz w:val="21"/>
              </w:rPr>
              <w:t>：查室内蟑螂成虫或幼虫，阳性房间不超过</w:t>
            </w:r>
            <w:r>
              <w:rPr>
                <w:sz w:val="21"/>
              </w:rPr>
              <w:t>3%；有活蟑螂卵鞘房间，阳性房间不超过5%；蟑螂孳生栖息场所的清理，查墙的孔洞、缝隙蟑迹：粪便、蜕皮、蟑尸、空卵鞘等，阳性房间不超过5%。</w:t>
            </w:r>
          </w:p>
          <w:p>
            <w:pPr>
              <w:pStyle w:val="null3"/>
              <w:ind w:firstLine="424"/>
              <w:jc w:val="both"/>
            </w:pPr>
            <w:r>
              <w:rPr>
                <w:sz w:val="21"/>
                <w:b/>
              </w:rPr>
              <w:t>5.白蚁、红火蚁防治标准</w:t>
            </w:r>
            <w:r>
              <w:rPr>
                <w:sz w:val="21"/>
              </w:rPr>
              <w:t>：</w:t>
            </w:r>
            <w:r>
              <w:rPr>
                <w:sz w:val="21"/>
              </w:rPr>
              <w:t>①</w:t>
            </w:r>
            <w:r>
              <w:rPr>
                <w:sz w:val="21"/>
              </w:rPr>
              <w:t>室外绿化带有白蚁的树木</w:t>
            </w:r>
            <w:r>
              <w:rPr>
                <w:sz w:val="21"/>
              </w:rPr>
              <w:t>1000米范围不超过5棵、树木白蚁及白蚁巢控制数量不超过3棵</w:t>
            </w:r>
            <w:r>
              <w:rPr>
                <w:sz w:val="21"/>
              </w:rPr>
              <w:t>。</w:t>
            </w:r>
            <w:r>
              <w:rPr>
                <w:sz w:val="21"/>
              </w:rPr>
              <w:t>②</w:t>
            </w:r>
            <w:r>
              <w:rPr>
                <w:sz w:val="21"/>
              </w:rPr>
              <w:t>室外绿化带</w:t>
            </w:r>
            <w:r>
              <w:rPr>
                <w:sz w:val="21"/>
              </w:rPr>
              <w:t>1000米范围内活红火蚁巢数量不超过3个</w:t>
            </w:r>
            <w:r>
              <w:rPr>
                <w:sz w:val="21"/>
              </w:rPr>
              <w:t>。</w:t>
            </w:r>
          </w:p>
        </w:tc>
      </w:tr>
      <w:tr>
        <w:tc>
          <w:tcPr>
            <w:tcW w:type="dxa" w:w="2076"/>
          </w:tcPr>
          <w:p>
            <w:pPr>
              <w:pStyle w:val="null3"/>
            </w:pPr>
            <w:r>
              <w:rPr/>
              <w:t>★</w:t>
            </w:r>
          </w:p>
        </w:tc>
        <w:tc>
          <w:tcPr>
            <w:tcW w:type="dxa" w:w="415"/>
          </w:tcPr>
          <w:p>
            <w:pPr>
              <w:pStyle w:val="null3"/>
            </w:pPr>
            <w:r>
              <w:rPr/>
              <w:t>2</w:t>
            </w:r>
          </w:p>
        </w:tc>
        <w:tc>
          <w:tcPr>
            <w:tcW w:type="dxa" w:w="5814"/>
          </w:tcPr>
          <w:p>
            <w:pPr>
              <w:pStyle w:val="null3"/>
              <w:ind w:firstLine="422"/>
              <w:jc w:val="left"/>
            </w:pPr>
            <w:r>
              <w:rPr/>
              <w:t xml:space="preserve"> </w:t>
            </w:r>
          </w:p>
          <w:p>
            <w:pPr>
              <w:pStyle w:val="null3"/>
              <w:ind w:firstLine="422"/>
              <w:jc w:val="left"/>
            </w:pPr>
            <w:r>
              <w:rPr>
                <w:sz w:val="21"/>
                <w:b/>
              </w:rPr>
              <w:t>四、用药要求</w:t>
            </w:r>
          </w:p>
          <w:p>
            <w:pPr>
              <w:pStyle w:val="null3"/>
              <w:ind w:firstLine="420"/>
              <w:jc w:val="both"/>
            </w:pPr>
            <w:r>
              <w:rPr>
                <w:sz w:val="21"/>
                <w:b/>
              </w:rPr>
              <w:t>★1.中标人必须注重科学合理用药，不能使用假药、国家禁用的药物。使用的药物必须符合《病媒生物控制药物器械安全使用准则》，确保病媒生物控制达到“安全、高效、环保”的要求，用于本服务项目的消杀药物投入不能少于消杀面积的正常用药。若中标人违反本项要求造成他人损害的，由中标人承担一切法律责任。</w:t>
            </w:r>
            <w:r>
              <w:rPr>
                <w:sz w:val="21"/>
                <w:b/>
              </w:rPr>
              <w:t>（须提供承诺函，格式自拟）</w:t>
            </w:r>
          </w:p>
          <w:p>
            <w:pPr>
              <w:pStyle w:val="null3"/>
              <w:ind w:firstLine="420"/>
              <w:jc w:val="both"/>
            </w:pPr>
            <w:r>
              <w:rPr>
                <w:sz w:val="21"/>
                <w:b/>
              </w:rPr>
              <w:t>★2.投标人投标时，</w:t>
            </w:r>
            <w:r>
              <w:rPr>
                <w:sz w:val="21"/>
                <w:b/>
              </w:rPr>
              <w:t>投标文件必须提供药品的以下资料扫描件或复印件并加盖投标人红色公章</w:t>
            </w:r>
            <w:r>
              <w:rPr>
                <w:sz w:val="21"/>
                <w:b/>
              </w:rPr>
              <w:t>（</w:t>
            </w:r>
            <w:r>
              <w:rPr>
                <w:sz w:val="21"/>
                <w:b/>
              </w:rPr>
              <w:t>①农业部颁发的农药登记证；②省级农业部门颁发的登记证持有人或委托加工企业农药生产许可证（生产范围包括投标产品剂型）；③质量技术监督部门或企业标准信息公共服务平台备案的企业标准封面；④</w:t>
            </w:r>
            <w:r>
              <w:rPr>
                <w:sz w:val="21"/>
                <w:b/>
              </w:rPr>
              <w:t>药品标签</w:t>
            </w:r>
            <w:r>
              <w:rPr>
                <w:sz w:val="21"/>
                <w:b/>
              </w:rPr>
              <w:t>；</w:t>
            </w:r>
            <w:r>
              <w:rPr>
                <w:sz w:val="21"/>
                <w:b/>
              </w:rPr>
              <w:t>⑤</w:t>
            </w:r>
            <w:r>
              <w:rPr>
                <w:sz w:val="21"/>
                <w:b/>
              </w:rPr>
              <w:t>药品第三方检测报告</w:t>
            </w:r>
            <w:r>
              <w:rPr>
                <w:sz w:val="21"/>
                <w:b/>
              </w:rPr>
              <w:t>；</w:t>
            </w:r>
            <w:r>
              <w:rPr>
                <w:sz w:val="21"/>
                <w:b/>
              </w:rPr>
              <w:t>⑥</w:t>
            </w:r>
            <w:r>
              <w:rPr>
                <w:sz w:val="21"/>
                <w:b/>
              </w:rPr>
              <w:t>药品化学品安全技术说明书或农药产品安全数据单（</w:t>
            </w:r>
            <w:r>
              <w:rPr>
                <w:sz w:val="21"/>
                <w:b/>
              </w:rPr>
              <w:t>MSDS）</w:t>
            </w:r>
            <w:r>
              <w:rPr>
                <w:sz w:val="21"/>
                <w:b/>
              </w:rPr>
              <w:t>。注：</w:t>
            </w:r>
            <w:r>
              <w:rPr>
                <w:sz w:val="21"/>
                <w:b/>
              </w:rPr>
              <w:t>序号</w:t>
            </w:r>
            <w:r>
              <w:rPr>
                <w:sz w:val="21"/>
                <w:b/>
              </w:rPr>
              <w:t>①</w:t>
            </w:r>
            <w:r>
              <w:rPr>
                <w:sz w:val="21"/>
                <w:b/>
              </w:rPr>
              <w:t>-</w:t>
            </w:r>
            <w:r>
              <w:rPr>
                <w:sz w:val="21"/>
                <w:b/>
              </w:rPr>
              <w:t>③</w:t>
            </w:r>
            <w:r>
              <w:rPr>
                <w:sz w:val="21"/>
                <w:b/>
              </w:rPr>
              <w:t>资料的备案须在有效期内，续展期顺延三个月</w:t>
            </w:r>
            <w:r>
              <w:rPr>
                <w:sz w:val="21"/>
                <w:b/>
              </w:rPr>
              <w:t>；</w:t>
            </w:r>
            <w:r>
              <w:rPr>
                <w:sz w:val="21"/>
                <w:b/>
              </w:rPr>
              <w:t>药品第三方检测</w:t>
            </w:r>
            <w:r>
              <w:rPr>
                <w:sz w:val="21"/>
                <w:b/>
              </w:rPr>
              <w:t>费用由投标人承担</w:t>
            </w:r>
            <w:r>
              <w:rPr>
                <w:sz w:val="21"/>
                <w:b/>
              </w:rPr>
              <w:t>。</w:t>
            </w:r>
            <w:r>
              <w:rPr>
                <w:sz w:val="21"/>
                <w:b/>
              </w:rPr>
              <w:t>）</w:t>
            </w:r>
          </w:p>
          <w:p>
            <w:pPr>
              <w:pStyle w:val="null3"/>
              <w:ind w:firstLine="420"/>
              <w:jc w:val="both"/>
            </w:pPr>
            <w:r>
              <w:rPr>
                <w:sz w:val="21"/>
                <w:b/>
              </w:rPr>
              <w:t>★</w:t>
            </w:r>
            <w:r>
              <w:rPr>
                <w:sz w:val="21"/>
                <w:b/>
              </w:rPr>
              <w:t>3</w:t>
            </w:r>
            <w:r>
              <w:rPr>
                <w:sz w:val="21"/>
                <w:b/>
              </w:rPr>
              <w:t>.中标人拟投用药物必须满足本项目需求的用药要求，如使用的药物效果不达标，采购人有权要求中标人更换药物，由此产生额外增加的费用由中标人自行负责，采购人不承担该费用。（投标时需提供承诺函及拟投用药物清单，格式自拟）</w:t>
            </w:r>
          </w:p>
        </w:tc>
      </w:tr>
      <w:tr>
        <w:tc>
          <w:tcPr>
            <w:tcW w:type="dxa" w:w="2076"/>
          </w:tcPr>
          <w:p/>
        </w:tc>
        <w:tc>
          <w:tcPr>
            <w:tcW w:type="dxa" w:w="415"/>
          </w:tcPr>
          <w:p>
            <w:pPr>
              <w:pStyle w:val="null3"/>
            </w:pPr>
            <w:r>
              <w:rPr/>
              <w:t>3</w:t>
            </w:r>
          </w:p>
        </w:tc>
        <w:tc>
          <w:tcPr>
            <w:tcW w:type="dxa" w:w="5814"/>
          </w:tcPr>
          <w:p>
            <w:pPr>
              <w:pStyle w:val="null3"/>
              <w:ind w:firstLine="420"/>
              <w:jc w:val="both"/>
            </w:pPr>
            <w:r>
              <w:rPr>
                <w:sz w:val="21"/>
              </w:rPr>
              <w:t>4</w:t>
            </w:r>
            <w:r>
              <w:rPr>
                <w:sz w:val="21"/>
              </w:rPr>
              <w:t>.如药物使用不当引起人畜中毒或其他责任事故的，一切责任由中标人责任。</w:t>
            </w:r>
          </w:p>
          <w:p>
            <w:pPr>
              <w:pStyle w:val="null3"/>
              <w:ind w:firstLine="420"/>
              <w:jc w:val="both"/>
            </w:pPr>
            <w:r>
              <w:rPr>
                <w:sz w:val="21"/>
              </w:rPr>
              <w:t>5</w:t>
            </w:r>
            <w:r>
              <w:rPr>
                <w:sz w:val="21"/>
              </w:rPr>
              <w:t>.除虫施药时注意个人防护，穿工作服，佩戴专用口罩和手套。</w:t>
            </w:r>
          </w:p>
          <w:p>
            <w:pPr>
              <w:pStyle w:val="null3"/>
              <w:ind w:firstLine="420"/>
              <w:jc w:val="both"/>
            </w:pPr>
            <w:r>
              <w:rPr>
                <w:sz w:val="21"/>
              </w:rPr>
              <w:t>6</w:t>
            </w:r>
            <w:r>
              <w:rPr>
                <w:sz w:val="21"/>
              </w:rPr>
              <w:t>.施药除虫剩余的药物和药物包装、容器等，须回收集中处理，不随地遗弃。</w:t>
            </w:r>
          </w:p>
          <w:p>
            <w:pPr>
              <w:pStyle w:val="null3"/>
              <w:ind w:firstLine="420"/>
              <w:jc w:val="both"/>
            </w:pPr>
            <w:r>
              <w:rPr>
                <w:sz w:val="21"/>
              </w:rPr>
              <w:t>7</w:t>
            </w:r>
            <w:r>
              <w:rPr>
                <w:sz w:val="21"/>
              </w:rPr>
              <w:t>.不得在鱼塘和与养鱼有关水体喷洒、倾倒对鱼类有害的杀虫剂和清洗喷雾工具、用具。中标人违反本项要求造成他人损害的，由中标人承担一切法律责任。</w:t>
            </w:r>
          </w:p>
          <w:p>
            <w:pPr>
              <w:pStyle w:val="null3"/>
              <w:jc w:val="both"/>
            </w:pPr>
            <w:r>
              <w:rPr>
                <w:sz w:val="21"/>
              </w:rPr>
              <w:t xml:space="preserve">      8</w:t>
            </w:r>
            <w:r>
              <w:rPr>
                <w:sz w:val="21"/>
              </w:rPr>
              <w:t>.防治药品及相关器械的使用按国家有关部门指定的最新标准执行，除“四害”，白蚁、红火蚁防治药物的采购凭证要齐全并留存备查。</w:t>
            </w:r>
          </w:p>
        </w:tc>
      </w:tr>
      <w:tr>
        <w:tc>
          <w:tcPr>
            <w:tcW w:type="dxa" w:w="2076"/>
          </w:tcPr>
          <w:p>
            <w:pPr>
              <w:pStyle w:val="null3"/>
            </w:pPr>
            <w:r>
              <w:rPr/>
              <w:t>★</w:t>
            </w:r>
          </w:p>
        </w:tc>
        <w:tc>
          <w:tcPr>
            <w:tcW w:type="dxa" w:w="415"/>
          </w:tcPr>
          <w:p>
            <w:pPr>
              <w:pStyle w:val="null3"/>
            </w:pPr>
            <w:r>
              <w:rPr/>
              <w:t>4</w:t>
            </w:r>
          </w:p>
        </w:tc>
        <w:tc>
          <w:tcPr>
            <w:tcW w:type="dxa" w:w="5814"/>
          </w:tcPr>
          <w:p>
            <w:pPr>
              <w:pStyle w:val="null3"/>
              <w:ind w:firstLine="420"/>
              <w:jc w:val="both"/>
            </w:pPr>
            <w:r>
              <w:rPr>
                <w:sz w:val="21"/>
                <w:b/>
              </w:rPr>
              <w:t>★</w:t>
            </w:r>
            <w:r>
              <w:rPr>
                <w:sz w:val="21"/>
                <w:b/>
              </w:rPr>
              <w:t>9</w:t>
            </w:r>
            <w:r>
              <w:rPr>
                <w:sz w:val="21"/>
                <w:b/>
              </w:rPr>
              <w:t>.严禁使用假药或国家禁用的药物，一经发现，每次扣除违约金5000元，违反次数达3次以上（含3次）的，采购人有权终止合同</w:t>
            </w:r>
            <w:r>
              <w:rPr>
                <w:sz w:val="21"/>
                <w:b/>
              </w:rPr>
              <w:t>（须提供承诺函，格式自拟）</w:t>
            </w:r>
            <w:r>
              <w:rPr>
                <w:sz w:val="21"/>
                <w:b/>
              </w:rPr>
              <w:t>。</w:t>
            </w:r>
          </w:p>
        </w:tc>
      </w:tr>
      <w:tr>
        <w:tc>
          <w:tcPr>
            <w:tcW w:type="dxa" w:w="2076"/>
          </w:tcPr>
          <w:p/>
        </w:tc>
        <w:tc>
          <w:tcPr>
            <w:tcW w:type="dxa" w:w="415"/>
          </w:tcPr>
          <w:p>
            <w:pPr>
              <w:pStyle w:val="null3"/>
            </w:pPr>
            <w:r>
              <w:rPr/>
              <w:t>5</w:t>
            </w:r>
          </w:p>
        </w:tc>
        <w:tc>
          <w:tcPr>
            <w:tcW w:type="dxa" w:w="5814"/>
          </w:tcPr>
          <w:p>
            <w:pPr>
              <w:pStyle w:val="null3"/>
              <w:ind w:firstLine="422"/>
              <w:jc w:val="left"/>
            </w:pPr>
            <w:r>
              <w:rPr/>
              <w:t xml:space="preserve"> </w:t>
            </w:r>
          </w:p>
          <w:p>
            <w:pPr>
              <w:pStyle w:val="null3"/>
              <w:ind w:firstLine="422"/>
              <w:jc w:val="left"/>
            </w:pPr>
            <w:r>
              <w:rPr>
                <w:sz w:val="21"/>
                <w:b/>
              </w:rPr>
              <w:t>五、工作计划、服务质量汇报要求</w:t>
            </w:r>
          </w:p>
          <w:p>
            <w:pPr>
              <w:pStyle w:val="null3"/>
              <w:ind w:firstLine="420"/>
              <w:jc w:val="both"/>
            </w:pPr>
            <w:r>
              <w:rPr>
                <w:sz w:val="21"/>
              </w:rPr>
              <w:t>1.中标人须制定科学、详细的除四害及白蚁、红火蚁防治工作计划，包括技术方案、工作方法、用药计划、应急措施等，按照采购人要求定期上报给采购人。</w:t>
            </w:r>
          </w:p>
          <w:p>
            <w:pPr>
              <w:pStyle w:val="null3"/>
              <w:ind w:firstLine="420"/>
              <w:jc w:val="both"/>
            </w:pPr>
            <w:r>
              <w:rPr>
                <w:sz w:val="21"/>
              </w:rPr>
              <w:t>2.中标人须按采购人要求做好各种规范的监测记录、工作记录（包括但不限于每天工作人员签到记录、监测记录、带水印相机时间及地点的工作记录照片等）。建立施药服务档案，做好</w:t>
            </w:r>
            <w:r>
              <w:rPr>
                <w:sz w:val="21"/>
              </w:rPr>
              <w:t>资料收集、整理归档，每季度的后</w:t>
            </w:r>
            <w:r>
              <w:rPr>
                <w:sz w:val="21"/>
              </w:rPr>
              <w:t>5天内将当季的实施质量、工作情况以及工作照片节选成册向采购人作书面报告。</w:t>
            </w:r>
          </w:p>
          <w:p>
            <w:pPr>
              <w:pStyle w:val="null3"/>
              <w:ind w:firstLine="420"/>
              <w:jc w:val="both"/>
            </w:pPr>
            <w:r>
              <w:rPr/>
              <w:t xml:space="preserve"> </w:t>
            </w:r>
          </w:p>
          <w:p>
            <w:pPr>
              <w:pStyle w:val="null3"/>
              <w:ind w:firstLine="422"/>
              <w:jc w:val="left"/>
            </w:pPr>
            <w:r>
              <w:rPr>
                <w:sz w:val="21"/>
                <w:b/>
              </w:rPr>
              <w:t>六、基本配置要求</w:t>
            </w:r>
          </w:p>
          <w:p>
            <w:pPr>
              <w:pStyle w:val="null3"/>
              <w:ind w:firstLine="420"/>
              <w:jc w:val="both"/>
            </w:pPr>
            <w:r>
              <w:rPr>
                <w:sz w:val="21"/>
              </w:rPr>
              <w:t>1.人员要求</w:t>
            </w:r>
          </w:p>
          <w:p>
            <w:pPr>
              <w:pStyle w:val="null3"/>
              <w:ind w:firstLine="420"/>
              <w:jc w:val="both"/>
            </w:pPr>
            <w:r>
              <w:rPr>
                <w:sz w:val="21"/>
              </w:rPr>
              <w:t>1.1中标人须按不低于以下要求聘请足额的工作人员：</w:t>
            </w:r>
          </w:p>
          <w:tbl>
            <w:tblPr>
              <w:tblInd w:type="dxa" w:w="135"/>
              <w:tblBorders>
                <w:top w:val="none" w:color="000000" w:sz="4"/>
                <w:left w:val="none" w:color="000000" w:sz="4"/>
                <w:bottom w:val="none" w:color="000000" w:sz="4"/>
                <w:right w:val="none" w:color="000000" w:sz="4"/>
                <w:insideH w:val="none"/>
                <w:insideV w:val="none"/>
              </w:tblBorders>
            </w:tblPr>
            <w:tblGrid>
              <w:gridCol w:w="516"/>
              <w:gridCol w:w="1467"/>
              <w:gridCol w:w="1033"/>
              <w:gridCol w:w="2582"/>
            </w:tblGrid>
            <w:tr>
              <w:tc>
                <w:tcPr>
                  <w:tcW w:type="dxa" w:w="5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10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人员</w:t>
                  </w:r>
                  <w:r>
                    <w:rPr>
                      <w:sz w:val="21"/>
                      <w:b/>
                    </w:rPr>
                    <w:t>数量</w:t>
                  </w:r>
                  <w:r>
                    <w:rPr>
                      <w:sz w:val="21"/>
                      <w:b/>
                    </w:rPr>
                    <w:t>配置标准</w:t>
                  </w:r>
                </w:p>
              </w:tc>
              <w:tc>
                <w:tcPr>
                  <w:tcW w:type="dxa" w:w="25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rPr>
                    <w:t>备注</w:t>
                  </w:r>
                </w:p>
              </w:tc>
            </w:tr>
            <w:tr>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项目负责人</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258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均</w:t>
                  </w:r>
                  <w:r>
                    <w:rPr>
                      <w:sz w:val="21"/>
                    </w:rPr>
                    <w:t>应具有病媒生物防制行业</w:t>
                  </w:r>
                  <w:r>
                    <w:rPr>
                      <w:sz w:val="21"/>
                    </w:rPr>
                    <w:t>中</w:t>
                  </w:r>
                  <w:r>
                    <w:rPr>
                      <w:sz w:val="21"/>
                    </w:rPr>
                    <w:t>级（或以上）职称</w:t>
                  </w:r>
                  <w:r>
                    <w:rPr>
                      <w:sz w:val="21"/>
                    </w:rPr>
                    <w:t>，</w:t>
                  </w:r>
                  <w:r>
                    <w:rPr>
                      <w:sz w:val="21"/>
                    </w:rPr>
                    <w:t>或</w:t>
                  </w:r>
                  <w:r>
                    <w:rPr>
                      <w:sz w:val="21"/>
                    </w:rPr>
                    <w:t>相关专业本科（或以上）学历且具有</w:t>
                  </w:r>
                  <w:r>
                    <w:rPr>
                      <w:sz w:val="21"/>
                    </w:rPr>
                    <w:t>5年（或以上）工作经验</w:t>
                  </w:r>
                  <w:r>
                    <w:rPr>
                      <w:sz w:val="21"/>
                    </w:rPr>
                    <w:t>，在防控病媒生物（如登革热、基孔肯亚热）有熟练经验，能熟练完成创建国家卫生镇除</w:t>
                  </w:r>
                  <w:r>
                    <w:rPr>
                      <w:sz w:val="21"/>
                    </w:rPr>
                    <w:t>“四害”相关资料</w:t>
                  </w:r>
                </w:p>
              </w:tc>
            </w:tr>
            <w:tr>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技术负责人</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2582"/>
                  <w:vMerge/>
                  <w:tcBorders>
                    <w:top w:val="none" w:color="000000" w:sz="4"/>
                    <w:left w:val="none" w:color="000000" w:sz="4"/>
                    <w:bottom w:val="none" w:color="000000" w:sz="4"/>
                    <w:right w:val="single" w:color="000000" w:sz="4"/>
                  </w:tcBorders>
                </w:tcPr>
                <w:p/>
              </w:tc>
            </w:tr>
            <w:tr>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其他人员（含巡查人员、应急人员）</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不少于</w:t>
                  </w:r>
                  <w:r>
                    <w:rPr>
                      <w:sz w:val="21"/>
                    </w:rPr>
                    <w:t>1</w:t>
                  </w:r>
                  <w:r>
                    <w:rPr>
                      <w:sz w:val="21"/>
                    </w:rPr>
                    <w:t>0</w:t>
                  </w:r>
                  <w:r>
                    <w:rPr>
                      <w:sz w:val="21"/>
                    </w:rPr>
                    <w:t>人</w:t>
                  </w:r>
                </w:p>
              </w:tc>
              <w:tc>
                <w:tcPr>
                  <w:tcW w:type="dxa" w:w="2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1"/>
              </w:rPr>
              <w:t>1.2</w:t>
            </w:r>
            <w:r>
              <w:rPr>
                <w:sz w:val="21"/>
              </w:rPr>
              <w:t>中标人在收到中标通知书之日起</w:t>
            </w:r>
            <w:r>
              <w:rPr>
                <w:sz w:val="21"/>
              </w:rPr>
              <w:t>10个工作日内，须提供上述</w:t>
            </w:r>
            <w:r>
              <w:rPr>
                <w:sz w:val="21"/>
              </w:rPr>
              <w:t>人员资料</w:t>
            </w:r>
            <w:r>
              <w:rPr>
                <w:sz w:val="21"/>
              </w:rPr>
              <w:t>由采购人查验。若中标人未如期提供，或提供的</w:t>
            </w:r>
            <w:r>
              <w:rPr>
                <w:sz w:val="21"/>
              </w:rPr>
              <w:t>人员资料</w:t>
            </w:r>
            <w:r>
              <w:rPr>
                <w:sz w:val="21"/>
              </w:rPr>
              <w:t>与投标文件不符，则按提供虚假材料谋取中标处理。采购人有权取消其中标资格，并按照评审报告推荐的名单顺序，确定下一候选人为中标人。</w:t>
            </w:r>
          </w:p>
          <w:p>
            <w:pPr>
              <w:pStyle w:val="null3"/>
              <w:ind w:firstLine="420"/>
              <w:jc w:val="left"/>
            </w:pPr>
            <w:r>
              <w:rPr>
                <w:sz w:val="21"/>
              </w:rPr>
              <w:t>1.3拟投入本项目的人员上岗前须经过</w:t>
            </w:r>
            <w:r>
              <w:rPr>
                <w:sz w:val="21"/>
              </w:rPr>
              <w:t>职业</w:t>
            </w:r>
            <w:r>
              <w:rPr>
                <w:sz w:val="21"/>
              </w:rPr>
              <w:t>培训，熟悉卫生</w:t>
            </w:r>
            <w:r>
              <w:rPr>
                <w:sz w:val="21"/>
              </w:rPr>
              <w:t>杀虫器械的使用，</w:t>
            </w:r>
            <w:r>
              <w:rPr>
                <w:sz w:val="21"/>
              </w:rPr>
              <w:t>并熟知所用药物说明书上的注意事项和急救措施，且拟投入本项目的人员中取得有害生物防制类相关培训证书的人员不得少于</w:t>
            </w:r>
            <w:r>
              <w:rPr>
                <w:sz w:val="21"/>
              </w:rPr>
              <w:t>10人</w:t>
            </w:r>
            <w:r>
              <w:rPr>
                <w:sz w:val="21"/>
              </w:rPr>
              <w:t>。进行</w:t>
            </w:r>
            <w:r>
              <w:rPr>
                <w:sz w:val="21"/>
              </w:rPr>
              <w:t>作业时必须统一</w:t>
            </w:r>
            <w:r>
              <w:rPr>
                <w:sz w:val="21"/>
              </w:rPr>
              <w:t>服装，佩戴统一的工作牌。</w:t>
            </w:r>
          </w:p>
          <w:p>
            <w:pPr>
              <w:pStyle w:val="null3"/>
              <w:ind w:firstLine="420"/>
              <w:jc w:val="both"/>
            </w:pPr>
            <w:r>
              <w:rPr>
                <w:sz w:val="21"/>
              </w:rPr>
              <w:t>1.4为保障员工人身安全及意外的福利保险，中标人必须依法用工，与作业人员签订劳动合同，并按照相关规定为员工购买社会保险，按时发放工资。</w:t>
            </w:r>
            <w:r>
              <w:rPr>
                <w:sz w:val="21"/>
              </w:rPr>
              <w:t>若中标人存在克扣工人工资，</w:t>
            </w:r>
            <w:r>
              <w:rPr>
                <w:sz w:val="21"/>
              </w:rPr>
              <w:t>未</w:t>
            </w:r>
            <w:r>
              <w:rPr>
                <w:sz w:val="21"/>
              </w:rPr>
              <w:t>按照相关规定为员工购买社会保险</w:t>
            </w:r>
            <w:r>
              <w:rPr>
                <w:sz w:val="21"/>
              </w:rPr>
              <w:t>等违法违规行为的，采购人有权扣减中标人相应承包款，因中标人劳资矛盾并影响作业质量的，采购人有权</w:t>
            </w:r>
            <w:r>
              <w:rPr>
                <w:sz w:val="21"/>
              </w:rPr>
              <w:t>单方面</w:t>
            </w:r>
            <w:r>
              <w:rPr>
                <w:sz w:val="21"/>
              </w:rPr>
              <w:t>终止合同。</w:t>
            </w:r>
          </w:p>
          <w:p>
            <w:pPr>
              <w:pStyle w:val="null3"/>
              <w:ind w:firstLine="420"/>
              <w:jc w:val="both"/>
            </w:pPr>
            <w:r>
              <w:rPr>
                <w:sz w:val="21"/>
              </w:rPr>
              <w:t>1.5项目负责人须24小时保证移动电话畅通，每天做好日常除“四害”、白蚁、红火蚁防治自我监督巡查工作。</w:t>
            </w:r>
          </w:p>
          <w:p>
            <w:pPr>
              <w:pStyle w:val="null3"/>
              <w:ind w:firstLine="420"/>
              <w:jc w:val="both"/>
            </w:pPr>
            <w:r>
              <w:rPr>
                <w:sz w:val="21"/>
              </w:rPr>
              <w:t>1.6中标人须将服务于本项目人员分工方案、工作人员的名单、电话号码、身份证复印件、资格证复印件等资料交采购人备案，需要变更相关人员时须上报采购人并更新备案资料。</w:t>
            </w:r>
          </w:p>
          <w:p>
            <w:pPr>
              <w:pStyle w:val="null3"/>
              <w:ind w:firstLine="420"/>
              <w:jc w:val="both"/>
            </w:pPr>
            <w:r>
              <w:rPr>
                <w:sz w:val="21"/>
              </w:rPr>
              <w:t>1.7中标人拟投入本项目服务人员不得随意更换，如需更换，必须经得采购人书面同意后方可更换，并及时提供更换人员的资料给采购人备案。</w:t>
            </w:r>
          </w:p>
          <w:p>
            <w:pPr>
              <w:pStyle w:val="null3"/>
              <w:ind w:firstLine="420"/>
              <w:jc w:val="both"/>
            </w:pPr>
            <w:r>
              <w:rPr>
                <w:sz w:val="21"/>
              </w:rPr>
              <w:t>1.8</w:t>
            </w:r>
            <w:r>
              <w:rPr>
                <w:sz w:val="21"/>
              </w:rPr>
              <w:t>如中标人按采购人要求的数量下限配置人员，采购人仍认为不足以满足服务本项目需要的，中标人必须第一时间无条件增加人员，确保本项目开展的效率和质量。</w:t>
            </w:r>
          </w:p>
          <w:p>
            <w:pPr>
              <w:pStyle w:val="null3"/>
              <w:ind w:firstLine="420"/>
              <w:jc w:val="both"/>
            </w:pPr>
            <w:r>
              <w:rPr>
                <w:sz w:val="21"/>
              </w:rPr>
              <w:t>1.9实际进场人员(如：项目负责人、技术人员、巡查人员等)必须与采购人要求的人员数量相符，每少1个人当月扣10分。</w:t>
            </w:r>
          </w:p>
          <w:p>
            <w:pPr>
              <w:pStyle w:val="null3"/>
              <w:ind w:firstLine="420"/>
              <w:jc w:val="both"/>
            </w:pPr>
            <w:r>
              <w:rPr>
                <w:sz w:val="21"/>
              </w:rPr>
              <w:t>1.10</w:t>
            </w:r>
            <w:r>
              <w:rPr>
                <w:sz w:val="21"/>
              </w:rPr>
              <w:t>中标人</w:t>
            </w:r>
            <w:r>
              <w:rPr>
                <w:sz w:val="21"/>
              </w:rPr>
              <w:t>应保证服务期间均按上述约定以及招标文件、投标文件的要求提供符合要求的人员，否则，采购人有权要求</w:t>
            </w:r>
            <w:r>
              <w:rPr>
                <w:sz w:val="21"/>
              </w:rPr>
              <w:t>中标人</w:t>
            </w:r>
            <w:r>
              <w:rPr>
                <w:sz w:val="21"/>
              </w:rPr>
              <w:t>更换、补足相应的人员，</w:t>
            </w:r>
            <w:r>
              <w:rPr>
                <w:sz w:val="21"/>
              </w:rPr>
              <w:t>中标人</w:t>
            </w:r>
            <w:r>
              <w:rPr>
                <w:sz w:val="21"/>
              </w:rPr>
              <w:t>应当无条件予以配合，相应费用由</w:t>
            </w:r>
            <w:r>
              <w:rPr>
                <w:sz w:val="21"/>
              </w:rPr>
              <w:t>中标人</w:t>
            </w:r>
            <w:r>
              <w:rPr>
                <w:sz w:val="21"/>
              </w:rPr>
              <w:t>自行承担；若</w:t>
            </w:r>
            <w:r>
              <w:rPr>
                <w:sz w:val="21"/>
              </w:rPr>
              <w:t>中标人</w:t>
            </w:r>
            <w:r>
              <w:rPr>
                <w:sz w:val="21"/>
              </w:rPr>
              <w:t>未在采购人要求的期限内更换、补足符合要求的人员的，视为</w:t>
            </w:r>
            <w:r>
              <w:rPr>
                <w:sz w:val="21"/>
              </w:rPr>
              <w:t>中标人</w:t>
            </w:r>
            <w:r>
              <w:rPr>
                <w:sz w:val="21"/>
              </w:rPr>
              <w:t>违约，采购人有权解除本合同。</w:t>
            </w:r>
          </w:p>
          <w:p>
            <w:pPr>
              <w:pStyle w:val="null3"/>
              <w:ind w:firstLine="420"/>
              <w:jc w:val="both"/>
            </w:pPr>
            <w:r>
              <w:rPr>
                <w:sz w:val="21"/>
              </w:rPr>
              <w:t>2.车辆及设备要求</w:t>
            </w:r>
          </w:p>
          <w:tbl>
            <w:tblPr>
              <w:tblInd w:type="dxa" w:w="135"/>
              <w:tblBorders>
                <w:top w:val="none" w:color="000000" w:sz="4"/>
                <w:left w:val="none" w:color="000000" w:sz="4"/>
                <w:bottom w:val="none" w:color="000000" w:sz="4"/>
                <w:right w:val="none" w:color="000000" w:sz="4"/>
                <w:insideH w:val="none"/>
                <w:insideV w:val="none"/>
              </w:tblBorders>
            </w:tblPr>
            <w:tblGrid>
              <w:gridCol w:w="753"/>
              <w:gridCol w:w="2145"/>
              <w:gridCol w:w="1172"/>
              <w:gridCol w:w="1528"/>
            </w:tblGrid>
            <w:tr>
              <w:tc>
                <w:tcPr>
                  <w:tcW w:type="dxa" w:w="7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1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1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r>
                    <w:rPr>
                      <w:sz w:val="21"/>
                      <w:b/>
                    </w:rPr>
                    <w:t>要求</w:t>
                  </w:r>
                </w:p>
              </w:tc>
              <w:tc>
                <w:tcPr>
                  <w:tcW w:type="dxa" w:w="15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应急车辆</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不少于</w:t>
                  </w:r>
                  <w:r>
                    <w:rPr>
                      <w:sz w:val="21"/>
                    </w:rPr>
                    <w:t>7</w:t>
                  </w:r>
                  <w:r>
                    <w:rPr>
                      <w:sz w:val="21"/>
                    </w:rPr>
                    <w:t>辆</w:t>
                  </w: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热烟雾机</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不少于</w:t>
                  </w:r>
                  <w:r>
                    <w:rPr>
                      <w:sz w:val="21"/>
                    </w:rPr>
                    <w:t>20</w:t>
                  </w:r>
                  <w:r>
                    <w:rPr>
                      <w:sz w:val="21"/>
                    </w:rPr>
                    <w:t>台</w:t>
                  </w: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背负式超低容量喷雾器</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不少于</w:t>
                  </w:r>
                  <w:r>
                    <w:rPr>
                      <w:sz w:val="21"/>
                    </w:rPr>
                    <w:t>6台</w:t>
                  </w: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车载式电动超低容量喷雾机</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不少于</w:t>
                  </w:r>
                  <w:r>
                    <w:rPr>
                      <w:sz w:val="21"/>
                    </w:rPr>
                    <w:t>2台</w:t>
                  </w: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手动喷雾器</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不少于</w:t>
                  </w:r>
                  <w:r>
                    <w:rPr>
                      <w:sz w:val="21"/>
                    </w:rPr>
                    <w:t>10台</w:t>
                  </w:r>
                </w:p>
              </w:tc>
            </w:tr>
          </w:tbl>
          <w:p>
            <w:pPr>
              <w:pStyle w:val="null3"/>
              <w:ind w:left="420"/>
              <w:jc w:val="both"/>
            </w:pPr>
            <w:r>
              <w:rPr>
                <w:sz w:val="21"/>
              </w:rPr>
              <w:t>2.1</w:t>
            </w:r>
            <w:r>
              <w:rPr>
                <w:sz w:val="21"/>
              </w:rPr>
              <w:t>中标人在收到中标通知书之日起</w:t>
            </w:r>
            <w:r>
              <w:rPr>
                <w:sz w:val="21"/>
              </w:rPr>
              <w:t>10个工作日内，须提供上述</w:t>
            </w:r>
            <w:r>
              <w:rPr>
                <w:sz w:val="21"/>
              </w:rPr>
              <w:t>车辆及</w:t>
            </w:r>
            <w:r>
              <w:rPr>
                <w:sz w:val="21"/>
              </w:rPr>
              <w:t>设备由采购人查验。若中标人未如期提供，或提供的</w:t>
            </w:r>
            <w:r>
              <w:rPr>
                <w:sz w:val="21"/>
              </w:rPr>
              <w:t>车辆及</w:t>
            </w:r>
            <w:r>
              <w:rPr>
                <w:sz w:val="21"/>
              </w:rPr>
              <w:t>设备与投标文件不符，则按提供虚假材料谋取中标处理。采购人有权取消其中标资格，并按照评审报告推荐的名单顺序，确定下一候选人为中标人。</w:t>
            </w:r>
          </w:p>
          <w:p>
            <w:pPr>
              <w:pStyle w:val="null3"/>
              <w:ind w:firstLine="420"/>
              <w:jc w:val="both"/>
            </w:pPr>
            <w:r>
              <w:rPr>
                <w:sz w:val="21"/>
              </w:rPr>
              <w:t>2.2作业车辆及设备须做好安全检查工作，做到每天作业前、作业中、作业后对车辆及设备进行安全检查，保证作业车辆及设备完好、外观整洁、适合作业。其中，作业车辆必须配备有效的防火设施。</w:t>
            </w:r>
          </w:p>
          <w:p>
            <w:pPr>
              <w:pStyle w:val="null3"/>
              <w:ind w:firstLine="420"/>
              <w:jc w:val="both"/>
            </w:pPr>
            <w:r>
              <w:rPr>
                <w:sz w:val="21"/>
              </w:rPr>
              <w:t>2.3作业车辆必须具备法定有效证照，并购置办理路费、税款、交强险等法定手续，一车一档，由持有相应驾驶证照的驾驶员驾驶。</w:t>
            </w:r>
          </w:p>
          <w:p>
            <w:pPr>
              <w:pStyle w:val="null3"/>
              <w:ind w:firstLine="420"/>
              <w:jc w:val="both"/>
            </w:pPr>
            <w:r>
              <w:rPr>
                <w:sz w:val="21"/>
              </w:rPr>
              <w:t>2.4作业车辆及设备在使用过后必须按规定妥善停放于指定场地内，不得随意停放于道路街道等公共区域阻碍通行。作业车辆必须遵守交通法规行驶。除应急抢修处理需要，并经采购人及交警部门同意外，不得于工作日交通高峰期占道作业，影响交通通行。</w:t>
            </w:r>
          </w:p>
          <w:p>
            <w:pPr>
              <w:pStyle w:val="null3"/>
              <w:ind w:firstLine="420"/>
              <w:jc w:val="both"/>
            </w:pPr>
            <w:r>
              <w:rPr>
                <w:sz w:val="21"/>
              </w:rPr>
              <w:t>2.5</w:t>
            </w:r>
            <w:r>
              <w:rPr>
                <w:sz w:val="21"/>
              </w:rPr>
              <w:t>如中标人按采购人要求的数量下限配置设备，采购人仍认为不足以满足服务本项目需要的，中标人必须第一时间无条件增加设备，确保本项目开展的效率和质量。</w:t>
            </w:r>
          </w:p>
          <w:p>
            <w:pPr>
              <w:pStyle w:val="null3"/>
              <w:ind w:firstLine="420"/>
              <w:jc w:val="both"/>
            </w:pPr>
            <w:r>
              <w:rPr>
                <w:sz w:val="21"/>
              </w:rPr>
              <w:t>2.6</w:t>
            </w:r>
            <w:r>
              <w:rPr>
                <w:sz w:val="21"/>
              </w:rPr>
              <w:t>中标人</w:t>
            </w:r>
            <w:r>
              <w:rPr>
                <w:sz w:val="21"/>
              </w:rPr>
              <w:t>应保证服务期间该些设备及工具均能正常使用，设备的维修、维护费由</w:t>
            </w:r>
            <w:r>
              <w:rPr>
                <w:sz w:val="21"/>
              </w:rPr>
              <w:t>中标人</w:t>
            </w:r>
            <w:r>
              <w:rPr>
                <w:sz w:val="21"/>
              </w:rPr>
              <w:t>自行承担。</w:t>
            </w:r>
          </w:p>
          <w:p>
            <w:pPr>
              <w:pStyle w:val="null3"/>
              <w:ind w:firstLine="420"/>
              <w:jc w:val="both"/>
            </w:pPr>
            <w:r>
              <w:rPr>
                <w:sz w:val="21"/>
              </w:rPr>
              <w:t>2.7</w:t>
            </w:r>
            <w:r>
              <w:rPr>
                <w:sz w:val="21"/>
              </w:rPr>
              <w:t>中标人</w:t>
            </w:r>
            <w:r>
              <w:rPr>
                <w:sz w:val="21"/>
              </w:rPr>
              <w:t>应保证服务期间均按上述约定以及招标文件、投标文件的要求提供符合要求的</w:t>
            </w:r>
            <w:r>
              <w:rPr>
                <w:sz w:val="21"/>
              </w:rPr>
              <w:t>车辆及设备</w:t>
            </w:r>
            <w:r>
              <w:rPr>
                <w:sz w:val="21"/>
              </w:rPr>
              <w:t>，否则，采购人有权要求</w:t>
            </w:r>
            <w:r>
              <w:rPr>
                <w:sz w:val="21"/>
              </w:rPr>
              <w:t>中标人</w:t>
            </w:r>
            <w:r>
              <w:rPr>
                <w:sz w:val="21"/>
              </w:rPr>
              <w:t>更换、补足相应的</w:t>
            </w:r>
            <w:r>
              <w:rPr>
                <w:sz w:val="21"/>
              </w:rPr>
              <w:t>车辆及设备</w:t>
            </w:r>
            <w:r>
              <w:rPr>
                <w:sz w:val="21"/>
              </w:rPr>
              <w:t>，</w:t>
            </w:r>
            <w:r>
              <w:rPr>
                <w:sz w:val="21"/>
              </w:rPr>
              <w:t>中标人</w:t>
            </w:r>
            <w:r>
              <w:rPr>
                <w:sz w:val="21"/>
              </w:rPr>
              <w:t>应当无条件予以配合，相应费用由</w:t>
            </w:r>
            <w:r>
              <w:rPr>
                <w:sz w:val="21"/>
              </w:rPr>
              <w:t>中标人</w:t>
            </w:r>
            <w:r>
              <w:rPr>
                <w:sz w:val="21"/>
              </w:rPr>
              <w:t>自行承担；若</w:t>
            </w:r>
            <w:r>
              <w:rPr>
                <w:sz w:val="21"/>
              </w:rPr>
              <w:t>中标人</w:t>
            </w:r>
            <w:r>
              <w:rPr>
                <w:sz w:val="21"/>
              </w:rPr>
              <w:t>未在采购人要求的期限内更换、补足符合要求的</w:t>
            </w:r>
            <w:r>
              <w:rPr>
                <w:sz w:val="21"/>
              </w:rPr>
              <w:t>车辆及设备</w:t>
            </w:r>
            <w:r>
              <w:rPr>
                <w:sz w:val="21"/>
              </w:rPr>
              <w:t>的，视为</w:t>
            </w:r>
            <w:r>
              <w:rPr>
                <w:sz w:val="21"/>
              </w:rPr>
              <w:t>中标人</w:t>
            </w:r>
            <w:r>
              <w:rPr>
                <w:sz w:val="21"/>
              </w:rPr>
              <w:t>违约，采购人有权解除本合同。</w:t>
            </w:r>
          </w:p>
          <w:p>
            <w:pPr>
              <w:pStyle w:val="null3"/>
              <w:ind w:firstLine="420"/>
              <w:jc w:val="both"/>
            </w:pPr>
            <w:r>
              <w:rPr/>
              <w:t xml:space="preserve"> </w:t>
            </w:r>
          </w:p>
          <w:p>
            <w:pPr>
              <w:pStyle w:val="null3"/>
              <w:ind w:firstLine="422"/>
              <w:jc w:val="left"/>
            </w:pPr>
            <w:r>
              <w:rPr>
                <w:sz w:val="21"/>
                <w:b/>
              </w:rPr>
              <w:t>七、</w:t>
            </w:r>
            <w:r>
              <w:rPr>
                <w:sz w:val="21"/>
                <w:b/>
              </w:rPr>
              <w:t>考核办法</w:t>
            </w:r>
          </w:p>
          <w:p>
            <w:pPr>
              <w:pStyle w:val="null3"/>
              <w:ind w:firstLine="420"/>
              <w:jc w:val="both"/>
            </w:pPr>
            <w:r>
              <w:rPr>
                <w:sz w:val="21"/>
              </w:rPr>
              <w:t>1.</w:t>
            </w:r>
            <w:r>
              <w:rPr>
                <w:sz w:val="21"/>
              </w:rPr>
              <w:t>采购人每月对中标人的服务质量进行检查考核，并根据考核结果核发</w:t>
            </w:r>
            <w:r>
              <w:rPr>
                <w:sz w:val="21"/>
              </w:rPr>
              <w:t>当月</w:t>
            </w:r>
            <w:r>
              <w:rPr>
                <w:sz w:val="21"/>
              </w:rPr>
              <w:t>承包款。</w:t>
            </w:r>
          </w:p>
          <w:p>
            <w:pPr>
              <w:pStyle w:val="null3"/>
              <w:ind w:firstLine="420"/>
              <w:jc w:val="both"/>
            </w:pPr>
            <w:r>
              <w:rPr>
                <w:sz w:val="21"/>
              </w:rPr>
              <w:t>2.</w:t>
            </w:r>
            <w:r>
              <w:rPr>
                <w:sz w:val="21"/>
              </w:rPr>
              <w:t>考核满分为</w:t>
            </w:r>
            <w:r>
              <w:rPr>
                <w:sz w:val="21"/>
              </w:rPr>
              <w:t>100分；评分表共两份，特殊月份一份，普通月份一份（特殊月份是指在蚊子的高发季节即3、4、5月和10、11月</w:t>
            </w:r>
            <w:r>
              <w:rPr>
                <w:sz w:val="21"/>
              </w:rPr>
              <w:t>共</w:t>
            </w:r>
            <w:r>
              <w:rPr>
                <w:sz w:val="21"/>
              </w:rPr>
              <w:t>五个月，普通月份是指剩余的七个月）。在特殊月份的考评中杀灭蚊子工作占考评总分值的</w:t>
            </w:r>
            <w:r>
              <w:rPr>
                <w:sz w:val="21"/>
              </w:rPr>
              <w:t>80%。</w:t>
            </w:r>
          </w:p>
          <w:p>
            <w:pPr>
              <w:pStyle w:val="null3"/>
              <w:ind w:firstLine="420"/>
              <w:jc w:val="both"/>
            </w:pPr>
            <w:r>
              <w:rPr>
                <w:sz w:val="21"/>
              </w:rPr>
              <w:t>3.</w:t>
            </w:r>
            <w:r>
              <w:rPr>
                <w:sz w:val="21"/>
              </w:rPr>
              <w:t>考核分</w:t>
            </w:r>
            <w:r>
              <w:rPr>
                <w:sz w:val="21"/>
              </w:rPr>
              <w:t>= 100</w:t>
            </w:r>
            <w:r>
              <w:rPr>
                <w:sz w:val="21"/>
              </w:rPr>
              <w:t>分</w:t>
            </w:r>
            <w:r>
              <w:rPr>
                <w:sz w:val="21"/>
              </w:rPr>
              <w:t>－合计检查扣分</w:t>
            </w:r>
            <w:r>
              <w:rPr>
                <w:sz w:val="21"/>
              </w:rPr>
              <w:t>。</w:t>
            </w:r>
          </w:p>
          <w:p>
            <w:pPr>
              <w:pStyle w:val="null3"/>
              <w:ind w:firstLine="420"/>
              <w:jc w:val="both"/>
            </w:pPr>
            <w:r>
              <w:rPr>
                <w:sz w:val="21"/>
              </w:rPr>
              <w:t>4.</w:t>
            </w:r>
            <w:r>
              <w:rPr>
                <w:sz w:val="21"/>
              </w:rPr>
              <w:t>扣分、扣</w:t>
            </w:r>
            <w:r>
              <w:rPr>
                <w:sz w:val="21"/>
              </w:rPr>
              <w:t>违约金</w:t>
            </w:r>
            <w:r>
              <w:rPr>
                <w:sz w:val="21"/>
              </w:rPr>
              <w:t>方法按《东城街道除</w:t>
            </w:r>
            <w:r>
              <w:rPr>
                <w:sz w:val="21"/>
              </w:rPr>
              <w:t>“四害”及白蚁、红火蚁防治服务项目（2024-2027年）项目考核评分表》执行，评分采用百分制，90分(含90分)至100分为优良达标，不扣除当月服务费；80分（含80分）以上至90分</w:t>
            </w:r>
            <w:r>
              <w:rPr>
                <w:sz w:val="21"/>
              </w:rPr>
              <w:t>（不含</w:t>
            </w:r>
            <w:r>
              <w:rPr>
                <w:sz w:val="21"/>
              </w:rPr>
              <w:t>90分）以下的部分，实行</w:t>
            </w:r>
            <w:r>
              <w:rPr>
                <w:sz w:val="21"/>
              </w:rPr>
              <w:t>与</w:t>
            </w:r>
            <w:r>
              <w:rPr>
                <w:sz w:val="21"/>
              </w:rPr>
              <w:t>90分相比</w:t>
            </w:r>
            <w:r>
              <w:rPr>
                <w:sz w:val="21"/>
              </w:rPr>
              <w:t>每少</w:t>
            </w:r>
            <w:r>
              <w:rPr>
                <w:sz w:val="21"/>
              </w:rPr>
              <w:t>1分（</w:t>
            </w:r>
            <w:r>
              <w:rPr>
                <w:sz w:val="21"/>
              </w:rPr>
              <w:t>少了</w:t>
            </w:r>
            <w:r>
              <w:rPr>
                <w:sz w:val="21"/>
              </w:rPr>
              <w:t>不足</w:t>
            </w:r>
            <w:r>
              <w:rPr>
                <w:sz w:val="21"/>
              </w:rPr>
              <w:t>1分的部分按1分计算）扣除当月服务费的1</w:t>
            </w:r>
            <w:r>
              <w:rPr>
                <w:sz w:val="21"/>
              </w:rPr>
              <w:t>%</w:t>
            </w:r>
            <w:r>
              <w:rPr>
                <w:sz w:val="21"/>
              </w:rPr>
              <w:t>；低于</w:t>
            </w:r>
            <w:r>
              <w:rPr>
                <w:sz w:val="21"/>
              </w:rPr>
              <w:t>80分以下的部分，</w:t>
            </w:r>
            <w:r>
              <w:rPr>
                <w:sz w:val="21"/>
              </w:rPr>
              <w:t>除依据前述约定扣除当月服务费的</w:t>
            </w:r>
            <w:r>
              <w:rPr>
                <w:sz w:val="21"/>
              </w:rPr>
              <w:t>10%以外，与80分相比</w:t>
            </w:r>
            <w:r>
              <w:rPr>
                <w:sz w:val="21"/>
              </w:rPr>
              <w:t>每少</w:t>
            </w:r>
            <w:r>
              <w:rPr>
                <w:sz w:val="21"/>
              </w:rPr>
              <w:t>1分（</w:t>
            </w:r>
            <w:r>
              <w:rPr>
                <w:sz w:val="21"/>
              </w:rPr>
              <w:t>少了</w:t>
            </w:r>
            <w:r>
              <w:rPr>
                <w:sz w:val="21"/>
              </w:rPr>
              <w:t>不足</w:t>
            </w:r>
            <w:r>
              <w:rPr>
                <w:sz w:val="21"/>
              </w:rPr>
              <w:t>1分的部分按1分计算）</w:t>
            </w:r>
            <w:r>
              <w:rPr>
                <w:sz w:val="21"/>
              </w:rPr>
              <w:t>同时</w:t>
            </w:r>
            <w:r>
              <w:rPr>
                <w:sz w:val="21"/>
              </w:rPr>
              <w:t>扣除当月服务费的</w:t>
            </w:r>
            <w:r>
              <w:rPr>
                <w:sz w:val="21"/>
              </w:rPr>
              <w:t>2</w:t>
            </w:r>
            <w:r>
              <w:rPr>
                <w:sz w:val="21"/>
              </w:rPr>
              <w:t>%</w:t>
            </w:r>
            <w:r>
              <w:rPr>
                <w:sz w:val="21"/>
              </w:rPr>
              <w:t>，</w:t>
            </w:r>
            <w:r>
              <w:rPr>
                <w:sz w:val="21"/>
              </w:rPr>
              <w:t>考核</w:t>
            </w:r>
            <w:r>
              <w:rPr>
                <w:sz w:val="21"/>
              </w:rPr>
              <w:t>分数在</w:t>
            </w:r>
            <w:r>
              <w:rPr>
                <w:sz w:val="21"/>
              </w:rPr>
              <w:t>80分以下</w:t>
            </w:r>
            <w:r>
              <w:rPr>
                <w:sz w:val="21"/>
              </w:rPr>
              <w:t>累计达到</w:t>
            </w:r>
            <w:r>
              <w:rPr>
                <w:sz w:val="21"/>
              </w:rPr>
              <w:t>三次</w:t>
            </w:r>
            <w:r>
              <w:rPr>
                <w:sz w:val="21"/>
              </w:rPr>
              <w:t>或</w:t>
            </w:r>
            <w:r>
              <w:rPr>
                <w:sz w:val="21"/>
              </w:rPr>
              <w:t>以上的，除按规定扣款外，采购人有权终止合同</w:t>
            </w:r>
            <w:r>
              <w:rPr>
                <w:sz w:val="21"/>
              </w:rPr>
              <w:t>，履约保证金不退</w:t>
            </w:r>
            <w:r>
              <w:rPr>
                <w:sz w:val="21"/>
              </w:rPr>
              <w:t>。</w:t>
            </w:r>
          </w:p>
          <w:p>
            <w:pPr>
              <w:pStyle w:val="null3"/>
              <w:ind w:firstLine="420"/>
              <w:jc w:val="both"/>
            </w:pPr>
            <w:r>
              <w:rPr>
                <w:sz w:val="21"/>
              </w:rPr>
              <w:t>东城街道除</w:t>
            </w:r>
            <w:r>
              <w:rPr>
                <w:sz w:val="21"/>
              </w:rPr>
              <w:t>“四害”及白蚁、红火蚁防治服务项目（2024-2027年）项目考核评分表</w:t>
            </w:r>
          </w:p>
          <w:p>
            <w:pPr>
              <w:pStyle w:val="null3"/>
              <w:ind w:firstLine="420"/>
              <w:jc w:val="both"/>
            </w:pPr>
            <w:r>
              <w:rPr>
                <w:sz w:val="21"/>
              </w:rPr>
              <w:t>普通月份考核标准</w:t>
            </w:r>
          </w:p>
          <w:tbl>
            <w:tblPr>
              <w:tblInd w:type="dxa" w:w="120"/>
              <w:tblBorders>
                <w:top w:val="none" w:color="000000" w:sz="4"/>
                <w:left w:val="none" w:color="000000" w:sz="4"/>
                <w:bottom w:val="none" w:color="000000" w:sz="4"/>
                <w:right w:val="none" w:color="000000" w:sz="4"/>
                <w:insideH w:val="none"/>
                <w:insideV w:val="none"/>
              </w:tblBorders>
            </w:tblPr>
            <w:tblGrid>
              <w:gridCol w:w="445"/>
              <w:gridCol w:w="506"/>
              <w:gridCol w:w="2328"/>
              <w:gridCol w:w="1407"/>
              <w:gridCol w:w="485"/>
              <w:gridCol w:w="415"/>
            </w:tblGrid>
            <w:tr>
              <w:tc>
                <w:tcPr>
                  <w:tcW w:type="dxa" w:w="3279"/>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除</w:t>
                  </w:r>
                  <w:r>
                    <w:rPr>
                      <w:sz w:val="20"/>
                      <w:b/>
                    </w:rPr>
                    <w:t>“四害”现场考核</w:t>
                  </w:r>
                </w:p>
              </w:tc>
              <w:tc>
                <w:tcPr>
                  <w:tcW w:type="dxa" w:w="140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扣分方法</w:t>
                  </w:r>
                </w:p>
              </w:tc>
              <w:tc>
                <w:tcPr>
                  <w:tcW w:type="dxa" w:w="48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应得分</w:t>
                  </w:r>
                </w:p>
              </w:tc>
              <w:tc>
                <w:tcPr>
                  <w:tcW w:type="dxa" w:w="41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扣分</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总分</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项目</w:t>
                  </w: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检查方法及评价依据</w:t>
                  </w:r>
                </w:p>
              </w:tc>
              <w:tc>
                <w:tcPr>
                  <w:tcW w:type="dxa" w:w="1407"/>
                  <w:vMerge/>
                  <w:tcBorders>
                    <w:top w:val="single" w:color="000000" w:sz="4"/>
                    <w:left w:val="none" w:color="000000" w:sz="4"/>
                    <w:bottom w:val="single" w:color="000000" w:sz="4"/>
                    <w:right w:val="single" w:color="000000" w:sz="4"/>
                  </w:tcBorders>
                </w:tcPr>
                <w:p/>
              </w:tc>
              <w:tc>
                <w:tcPr>
                  <w:tcW w:type="dxa" w:w="485"/>
                  <w:vMerge/>
                  <w:tcBorders>
                    <w:top w:val="single" w:color="000000" w:sz="4"/>
                    <w:left w:val="none" w:color="000000" w:sz="4"/>
                    <w:bottom w:val="single" w:color="000000" w:sz="4"/>
                    <w:right w:val="single" w:color="000000" w:sz="4"/>
                  </w:tcBorders>
                </w:tcPr>
                <w:p/>
              </w:tc>
              <w:tc>
                <w:tcPr>
                  <w:tcW w:type="dxa" w:w="415"/>
                  <w:vMerge/>
                  <w:tcBorders>
                    <w:top w:val="single" w:color="000000" w:sz="4"/>
                    <w:left w:val="none" w:color="000000" w:sz="4"/>
                    <w:bottom w:val="single" w:color="000000" w:sz="4"/>
                    <w:right w:val="single" w:color="000000" w:sz="4"/>
                  </w:tcBorders>
                </w:tcPr>
                <w:p/>
              </w:tc>
            </w:tr>
            <w:tr>
              <w:tc>
                <w:tcPr>
                  <w:tcW w:type="dxa" w:w="44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100分</w:t>
                  </w:r>
                </w:p>
              </w:tc>
              <w:tc>
                <w:tcPr>
                  <w:tcW w:type="dxa" w:w="5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灭鼠</w:t>
                  </w: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1、粉迹法（每15平方米房间布放20×20厘米粉板两块）监测鼠足印阳性率低于3%</w:t>
                  </w:r>
                  <w:r>
                    <w:rPr>
                      <w:sz w:val="20"/>
                    </w:rPr>
                    <w:t>。</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每超出</w:t>
                  </w:r>
                  <w:r>
                    <w:rPr>
                      <w:sz w:val="20"/>
                    </w:rPr>
                    <w:t>0.1%扣1分，扣完为止</w:t>
                  </w:r>
                  <w:r>
                    <w:rPr>
                      <w:sz w:val="20"/>
                    </w:rPr>
                    <w:t>。</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5"/>
                  <w:vMerge/>
                  <w:tcBorders>
                    <w:top w:val="none" w:color="000000" w:sz="4"/>
                    <w:left w:val="single" w:color="000000" w:sz="4"/>
                    <w:bottom w:val="non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2、鼠迹（鼠洞、鼠粪、鼠路、鼠咬痕），有鼠迹房间不超过2%</w:t>
                  </w:r>
                  <w:r>
                    <w:rPr>
                      <w:sz w:val="20"/>
                    </w:rPr>
                    <w:t>。</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每超出</w:t>
                  </w:r>
                  <w:r>
                    <w:rPr>
                      <w:sz w:val="20"/>
                    </w:rPr>
                    <w:t>0.1%扣1分，扣完为止</w:t>
                  </w:r>
                  <w:r>
                    <w:rPr>
                      <w:sz w:val="20"/>
                    </w:rPr>
                    <w:t>。</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5"/>
                  <w:vMerge/>
                  <w:tcBorders>
                    <w:top w:val="none" w:color="000000" w:sz="4"/>
                    <w:left w:val="single" w:color="000000" w:sz="4"/>
                    <w:bottom w:val="non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3、2000米外环境鼠迹不超过5处</w:t>
                  </w:r>
                  <w:r>
                    <w:rPr>
                      <w:sz w:val="20"/>
                    </w:rPr>
                    <w:t>。</w:t>
                  </w:r>
                </w:p>
              </w:tc>
              <w:tc>
                <w:tcPr>
                  <w:tcW w:type="dxa" w:w="14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每超过</w:t>
                  </w:r>
                  <w:r>
                    <w:rPr>
                      <w:sz w:val="20"/>
                    </w:rPr>
                    <w:t>1处扣2分，扣完为止</w:t>
                  </w:r>
                  <w:r>
                    <w:rPr>
                      <w:sz w:val="20"/>
                    </w:rPr>
                    <w:t>。</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5"/>
                  <w:vMerge/>
                  <w:tcBorders>
                    <w:top w:val="none" w:color="000000" w:sz="4"/>
                    <w:left w:val="single" w:color="000000" w:sz="4"/>
                    <w:bottom w:val="non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4、有灭鼠计划，有方案并有灭鼠成效</w:t>
                  </w:r>
                  <w:r>
                    <w:rPr>
                      <w:sz w:val="20"/>
                    </w:rPr>
                    <w:t>。</w:t>
                  </w:r>
                </w:p>
              </w:tc>
              <w:tc>
                <w:tcPr>
                  <w:tcW w:type="dxa" w:w="14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无灭鼠计划或无按计划实施灭鼠</w:t>
                  </w:r>
                  <w:r>
                    <w:rPr>
                      <w:sz w:val="20"/>
                    </w:rPr>
                    <w:t>不得分</w:t>
                  </w:r>
                  <w:r>
                    <w:rPr>
                      <w:sz w:val="20"/>
                    </w:rPr>
                    <w:t>。</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5"/>
                  <w:vMerge/>
                  <w:tcBorders>
                    <w:top w:val="none" w:color="000000" w:sz="4"/>
                    <w:left w:val="single" w:color="000000" w:sz="4"/>
                    <w:bottom w:val="non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5、随机访问中，群众满意率不低于70%</w:t>
                  </w:r>
                  <w:r>
                    <w:rPr>
                      <w:sz w:val="20"/>
                    </w:rPr>
                    <w:t>。</w:t>
                  </w:r>
                </w:p>
              </w:tc>
              <w:tc>
                <w:tcPr>
                  <w:tcW w:type="dxa" w:w="14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未达</w:t>
                  </w:r>
                  <w:r>
                    <w:rPr>
                      <w:sz w:val="20"/>
                    </w:rPr>
                    <w:t>70%，每低于5%扣1分，此项扣分不设限</w:t>
                  </w:r>
                  <w:r>
                    <w:rPr>
                      <w:sz w:val="20"/>
                    </w:rPr>
                    <w:t>。</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5"/>
                  <w:vMerge/>
                  <w:tcBorders>
                    <w:top w:val="none" w:color="000000" w:sz="4"/>
                    <w:left w:val="single" w:color="000000" w:sz="4"/>
                    <w:bottom w:val="none" w:color="000000" w:sz="4"/>
                    <w:right w:val="single" w:color="000000" w:sz="4"/>
                  </w:tcBorders>
                </w:tcPr>
                <w:p/>
              </w:tc>
              <w:tc>
                <w:tcPr>
                  <w:tcW w:type="dxa" w:w="5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灭蚊</w:t>
                  </w: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1、居民区、单位内外环境各种存水容器和积水中的幼蚊及蛹，阳性率低于3%</w:t>
                  </w:r>
                  <w:r>
                    <w:rPr>
                      <w:sz w:val="20"/>
                    </w:rPr>
                    <w:t>。</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每超出</w:t>
                  </w:r>
                  <w:r>
                    <w:rPr>
                      <w:sz w:val="20"/>
                    </w:rPr>
                    <w:t>0.1%扣1分</w:t>
                  </w:r>
                  <w:r>
                    <w:rPr>
                      <w:sz w:val="20"/>
                    </w:rPr>
                    <w:t>。</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5"/>
                  <w:vMerge/>
                  <w:tcBorders>
                    <w:top w:val="none" w:color="000000" w:sz="4"/>
                    <w:left w:val="single" w:color="000000" w:sz="4"/>
                    <w:bottom w:val="non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2、用500毫升收集勺采集城区内大中型水体中的蚊幼虫或蛹，阳性率低于3%，阳性勺内幼虫或蛹的平均数不超过3只</w:t>
                  </w:r>
                  <w:r>
                    <w:rPr>
                      <w:sz w:val="20"/>
                    </w:rPr>
                    <w:t>。</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每超出</w:t>
                  </w:r>
                  <w:r>
                    <w:rPr>
                      <w:sz w:val="20"/>
                    </w:rPr>
                    <w:t>1只扣1分，扣完为止</w:t>
                  </w:r>
                  <w:r>
                    <w:rPr>
                      <w:sz w:val="20"/>
                    </w:rPr>
                    <w:t>。</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5"/>
                  <w:vMerge/>
                  <w:tcBorders>
                    <w:top w:val="none" w:color="000000" w:sz="4"/>
                    <w:left w:val="single" w:color="000000" w:sz="4"/>
                    <w:bottom w:val="non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3、在特殊场所白天人诱蚊60分钟，平均诱获成蚊不超过1只/人次</w:t>
                  </w:r>
                  <w:r>
                    <w:rPr>
                      <w:sz w:val="20"/>
                    </w:rPr>
                    <w:t>。</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每超过</w:t>
                  </w:r>
                  <w:r>
                    <w:rPr>
                      <w:sz w:val="20"/>
                    </w:rPr>
                    <w:t>1只/人次扣1分，扣完为止</w:t>
                  </w:r>
                  <w:r>
                    <w:rPr>
                      <w:sz w:val="20"/>
                    </w:rPr>
                    <w:t>。</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5"/>
                  <w:vMerge/>
                  <w:tcBorders>
                    <w:top w:val="none" w:color="000000" w:sz="4"/>
                    <w:left w:val="single" w:color="000000" w:sz="4"/>
                    <w:bottom w:val="non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4、白天用电动吸蚊器在居民区的住房、杂物房等捕成蚊，每100间房不超过150只</w:t>
                  </w:r>
                  <w:r>
                    <w:rPr>
                      <w:sz w:val="20"/>
                    </w:rPr>
                    <w:t>。</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每超过</w:t>
                  </w:r>
                  <w:r>
                    <w:rPr>
                      <w:sz w:val="20"/>
                    </w:rPr>
                    <w:t>1只扣1分，扣完为止</w:t>
                  </w:r>
                  <w:r>
                    <w:rPr>
                      <w:sz w:val="20"/>
                    </w:rPr>
                    <w:t>。</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5"/>
                  <w:vMerge/>
                  <w:tcBorders>
                    <w:top w:val="none" w:color="000000" w:sz="4"/>
                    <w:left w:val="single" w:color="000000" w:sz="4"/>
                    <w:bottom w:val="non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5、有灭蚊计划，有方案并有灭蚊成效</w:t>
                  </w:r>
                  <w:r>
                    <w:rPr>
                      <w:sz w:val="20"/>
                    </w:rPr>
                    <w:t>。</w:t>
                  </w:r>
                </w:p>
              </w:tc>
              <w:tc>
                <w:tcPr>
                  <w:tcW w:type="dxa" w:w="14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无灭蚊计划或无按计划实施灭蚊</w:t>
                  </w:r>
                  <w:r>
                    <w:rPr>
                      <w:sz w:val="20"/>
                    </w:rPr>
                    <w:t>不得分</w:t>
                  </w:r>
                  <w:r>
                    <w:rPr>
                      <w:sz w:val="20"/>
                    </w:rPr>
                    <w:t>。</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5"/>
                  <w:vMerge/>
                  <w:tcBorders>
                    <w:top w:val="none" w:color="000000" w:sz="4"/>
                    <w:left w:val="single" w:color="000000" w:sz="4"/>
                    <w:bottom w:val="non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6、随机访问中，群众满意率不低于80%</w:t>
                  </w:r>
                  <w:r>
                    <w:rPr>
                      <w:sz w:val="20"/>
                    </w:rPr>
                    <w:t>。</w:t>
                  </w:r>
                </w:p>
              </w:tc>
              <w:tc>
                <w:tcPr>
                  <w:tcW w:type="dxa" w:w="14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未达</w:t>
                  </w:r>
                  <w:r>
                    <w:rPr>
                      <w:sz w:val="20"/>
                    </w:rPr>
                    <w:t>70%，每低于5%扣1分，此项扣分不设限</w:t>
                  </w:r>
                  <w:r>
                    <w:rPr>
                      <w:sz w:val="20"/>
                    </w:rPr>
                    <w:t>。</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5"/>
                  <w:vMerge/>
                  <w:tcBorders>
                    <w:top w:val="none" w:color="000000" w:sz="4"/>
                    <w:left w:val="single" w:color="000000" w:sz="4"/>
                    <w:bottom w:val="none" w:color="000000" w:sz="4"/>
                    <w:right w:val="single" w:color="000000" w:sz="4"/>
                  </w:tcBorders>
                </w:tcPr>
                <w:p/>
              </w:tc>
              <w:tc>
                <w:tcPr>
                  <w:tcW w:type="dxa" w:w="5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灭蝇</w:t>
                  </w: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1、重点单位（如饮食、食品加工、销售业）有蝇房间不超过1%</w:t>
                  </w:r>
                  <w:r>
                    <w:rPr>
                      <w:sz w:val="20"/>
                    </w:rPr>
                    <w:t>。</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每超过</w:t>
                  </w:r>
                  <w:r>
                    <w:rPr>
                      <w:sz w:val="20"/>
                    </w:rPr>
                    <w:t>0.1%扣1分，扣完为止</w:t>
                  </w:r>
                  <w:r>
                    <w:rPr>
                      <w:sz w:val="20"/>
                    </w:rPr>
                    <w:t>。</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5"/>
                  <w:vMerge/>
                  <w:tcBorders>
                    <w:top w:val="none" w:color="000000" w:sz="4"/>
                    <w:left w:val="single" w:color="000000" w:sz="4"/>
                    <w:bottom w:val="non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2、加工、销售、存放直接入口食品的场所，不得有蝇</w:t>
                  </w:r>
                  <w:r>
                    <w:rPr>
                      <w:sz w:val="20"/>
                    </w:rPr>
                    <w:t>。</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每发现</w:t>
                  </w:r>
                  <w:r>
                    <w:rPr>
                      <w:sz w:val="20"/>
                    </w:rPr>
                    <w:t>1只扣0.2分，扣完为止</w:t>
                  </w:r>
                  <w:r>
                    <w:rPr>
                      <w:sz w:val="20"/>
                    </w:rPr>
                    <w:t>。</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5"/>
                  <w:vMerge/>
                  <w:tcBorders>
                    <w:top w:val="none" w:color="000000" w:sz="4"/>
                    <w:left w:val="single" w:color="000000" w:sz="4"/>
                    <w:bottom w:val="non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3、一般单位（如机关、学校、工厂）有蝇房间不超过3%</w:t>
                  </w:r>
                  <w:r>
                    <w:rPr>
                      <w:sz w:val="20"/>
                    </w:rPr>
                    <w:t>。</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每超过</w:t>
                  </w:r>
                  <w:r>
                    <w:rPr>
                      <w:sz w:val="20"/>
                    </w:rPr>
                    <w:t>0.1%扣1分，扣完为止</w:t>
                  </w:r>
                  <w:r>
                    <w:rPr>
                      <w:sz w:val="20"/>
                    </w:rPr>
                    <w:t>。</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5"/>
                  <w:vMerge/>
                  <w:tcBorders>
                    <w:top w:val="none" w:color="000000" w:sz="4"/>
                    <w:left w:val="single" w:color="000000" w:sz="4"/>
                    <w:bottom w:val="non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4、蝇粪孳生地（外环境、垃圾容器、垃圾存放地等），得到有效治理，幼虫和蛹的检出率不超过5%</w:t>
                  </w:r>
                  <w:r>
                    <w:rPr>
                      <w:sz w:val="20"/>
                    </w:rPr>
                    <w:t>。</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每超过</w:t>
                  </w:r>
                  <w:r>
                    <w:rPr>
                      <w:sz w:val="20"/>
                    </w:rPr>
                    <w:t>0.1%扣1分，扣完为止</w:t>
                  </w:r>
                  <w:r>
                    <w:rPr>
                      <w:sz w:val="20"/>
                    </w:rPr>
                    <w:t>。</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5"/>
                  <w:vMerge/>
                  <w:tcBorders>
                    <w:top w:val="none" w:color="000000" w:sz="4"/>
                    <w:left w:val="single" w:color="000000" w:sz="4"/>
                    <w:bottom w:val="non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5、有灭蝇计划，有方案并有灭蝇成效</w:t>
                  </w:r>
                  <w:r>
                    <w:rPr>
                      <w:sz w:val="20"/>
                    </w:rPr>
                    <w:t>。</w:t>
                  </w:r>
                </w:p>
              </w:tc>
              <w:tc>
                <w:tcPr>
                  <w:tcW w:type="dxa" w:w="14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无灭蟑计划或无按计划实施灭蟑不得分</w:t>
                  </w:r>
                  <w:r>
                    <w:rPr>
                      <w:sz w:val="20"/>
                    </w:rPr>
                    <w:t>。</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5"/>
                  <w:vMerge/>
                  <w:tcBorders>
                    <w:top w:val="none" w:color="000000" w:sz="4"/>
                    <w:left w:val="single" w:color="000000" w:sz="4"/>
                    <w:bottom w:val="non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6、随机访问中，群众满意率不低于70%</w:t>
                  </w:r>
                  <w:r>
                    <w:rPr>
                      <w:sz w:val="20"/>
                    </w:rPr>
                    <w:t>。</w:t>
                  </w:r>
                </w:p>
              </w:tc>
              <w:tc>
                <w:tcPr>
                  <w:tcW w:type="dxa" w:w="14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未达</w:t>
                  </w:r>
                  <w:r>
                    <w:rPr>
                      <w:sz w:val="20"/>
                    </w:rPr>
                    <w:t>70%，每低于5%扣1分，此项扣分不设限</w:t>
                  </w:r>
                  <w:r>
                    <w:rPr>
                      <w:sz w:val="20"/>
                    </w:rPr>
                    <w:t>。</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5"/>
                  <w:vMerge/>
                  <w:tcBorders>
                    <w:top w:val="none" w:color="000000" w:sz="4"/>
                    <w:left w:val="single" w:color="000000" w:sz="4"/>
                    <w:bottom w:val="none" w:color="000000" w:sz="4"/>
                    <w:right w:val="single" w:color="000000" w:sz="4"/>
                  </w:tcBorders>
                </w:tcPr>
                <w:p/>
              </w:tc>
              <w:tc>
                <w:tcPr>
                  <w:tcW w:type="dxa" w:w="50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灭蟑</w:t>
                  </w: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1、查室内蟑螂成虫或幼虫，阳性房间不超过3%</w:t>
                  </w:r>
                  <w:r>
                    <w:rPr>
                      <w:sz w:val="20"/>
                    </w:rPr>
                    <w:t>。</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每超过</w:t>
                  </w:r>
                  <w:r>
                    <w:rPr>
                      <w:sz w:val="20"/>
                    </w:rPr>
                    <w:t>0.1%扣1分，扣完为止</w:t>
                  </w:r>
                  <w:r>
                    <w:rPr>
                      <w:sz w:val="20"/>
                    </w:rPr>
                    <w:t>。</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5"/>
                  <w:vMerge/>
                  <w:tcBorders>
                    <w:top w:val="none" w:color="000000" w:sz="4"/>
                    <w:left w:val="single" w:color="000000" w:sz="4"/>
                    <w:bottom w:val="none" w:color="000000" w:sz="4"/>
                    <w:right w:val="single" w:color="000000" w:sz="4"/>
                  </w:tcBorders>
                </w:tcPr>
                <w:p/>
              </w:tc>
              <w:tc>
                <w:tcPr>
                  <w:tcW w:type="dxa" w:w="506"/>
                  <w:vMerge/>
                  <w:tcBorders>
                    <w:top w:val="none" w:color="000000" w:sz="4"/>
                    <w:left w:val="none" w:color="000000" w:sz="4"/>
                    <w:bottom w:val="none" w:color="000000" w:sz="4"/>
                    <w:right w:val="single" w:color="000000" w:sz="4"/>
                  </w:tcBorders>
                </w:tcP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2、有活蟑螂卵鞘房间，阳性房间不超过2%</w:t>
                  </w:r>
                  <w:r>
                    <w:rPr>
                      <w:sz w:val="20"/>
                    </w:rPr>
                    <w:t>。</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每超过</w:t>
                  </w:r>
                  <w:r>
                    <w:rPr>
                      <w:sz w:val="20"/>
                    </w:rPr>
                    <w:t>0.1%扣1分，扣完为止</w:t>
                  </w:r>
                  <w:r>
                    <w:rPr>
                      <w:sz w:val="20"/>
                    </w:rPr>
                    <w:t>。</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5"/>
                  <w:vMerge/>
                  <w:tcBorders>
                    <w:top w:val="none" w:color="000000" w:sz="4"/>
                    <w:left w:val="single" w:color="000000" w:sz="4"/>
                    <w:bottom w:val="none" w:color="000000" w:sz="4"/>
                    <w:right w:val="single" w:color="000000" w:sz="4"/>
                  </w:tcBorders>
                </w:tcPr>
                <w:p/>
              </w:tc>
              <w:tc>
                <w:tcPr>
                  <w:tcW w:type="dxa" w:w="506"/>
                  <w:vMerge/>
                  <w:tcBorders>
                    <w:top w:val="none" w:color="000000" w:sz="4"/>
                    <w:left w:val="none" w:color="000000" w:sz="4"/>
                    <w:bottom w:val="none" w:color="000000" w:sz="4"/>
                    <w:right w:val="single" w:color="000000" w:sz="4"/>
                  </w:tcBorders>
                </w:tcP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3、蟑螂孳生栖息场所的清理，查墙的孔洞庭、缝隙蟑迹：粪便、蜕皮、蟑尸、空卵鞘等，阳性房间不超过3%</w:t>
                  </w:r>
                  <w:r>
                    <w:rPr>
                      <w:sz w:val="20"/>
                    </w:rPr>
                    <w:t>。</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每超过</w:t>
                  </w:r>
                  <w:r>
                    <w:rPr>
                      <w:sz w:val="20"/>
                    </w:rPr>
                    <w:t>0.1%扣1分，扣完为止</w:t>
                  </w:r>
                  <w:r>
                    <w:rPr>
                      <w:sz w:val="20"/>
                    </w:rPr>
                    <w:t>。</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5"/>
                  <w:vMerge/>
                  <w:tcBorders>
                    <w:top w:val="none" w:color="000000" w:sz="4"/>
                    <w:left w:val="single" w:color="000000" w:sz="4"/>
                    <w:bottom w:val="none" w:color="000000" w:sz="4"/>
                    <w:right w:val="single" w:color="000000" w:sz="4"/>
                  </w:tcBorders>
                </w:tcPr>
                <w:p/>
              </w:tc>
              <w:tc>
                <w:tcPr>
                  <w:tcW w:type="dxa" w:w="506"/>
                  <w:vMerge/>
                  <w:tcBorders>
                    <w:top w:val="none" w:color="000000" w:sz="4"/>
                    <w:left w:val="none" w:color="000000" w:sz="4"/>
                    <w:bottom w:val="none" w:color="000000" w:sz="4"/>
                    <w:right w:val="single" w:color="000000" w:sz="4"/>
                  </w:tcBorders>
                </w:tcP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4、每月至少一次定点向群众派送灭蟑药物</w:t>
                  </w:r>
                  <w:r>
                    <w:rPr>
                      <w:sz w:val="20"/>
                    </w:rPr>
                    <w:t>。</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无通知或记录，此项不得分</w:t>
                  </w:r>
                  <w:r>
                    <w:rPr>
                      <w:sz w:val="20"/>
                    </w:rPr>
                    <w:t>。</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5"/>
                  <w:vMerge/>
                  <w:tcBorders>
                    <w:top w:val="none" w:color="000000" w:sz="4"/>
                    <w:left w:val="single" w:color="000000" w:sz="4"/>
                    <w:bottom w:val="none" w:color="000000" w:sz="4"/>
                    <w:right w:val="single" w:color="000000" w:sz="4"/>
                  </w:tcBorders>
                </w:tcPr>
                <w:p/>
              </w:tc>
              <w:tc>
                <w:tcPr>
                  <w:tcW w:type="dxa" w:w="506"/>
                  <w:vMerge/>
                  <w:tcBorders>
                    <w:top w:val="none" w:color="000000" w:sz="4"/>
                    <w:left w:val="none" w:color="000000" w:sz="4"/>
                    <w:bottom w:val="none" w:color="000000" w:sz="4"/>
                    <w:right w:val="single" w:color="000000" w:sz="4"/>
                  </w:tcBorders>
                </w:tcP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5、有灭蟑计划，有方案并有灭蟑成效</w:t>
                  </w:r>
                  <w:r>
                    <w:rPr>
                      <w:sz w:val="20"/>
                    </w:rPr>
                    <w:t>。</w:t>
                  </w:r>
                </w:p>
              </w:tc>
              <w:tc>
                <w:tcPr>
                  <w:tcW w:type="dxa" w:w="14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无灭蟑计划或无按计划实施灭蟑</w:t>
                  </w:r>
                  <w:r>
                    <w:rPr>
                      <w:sz w:val="20"/>
                    </w:rPr>
                    <w:t>不得分</w:t>
                  </w:r>
                  <w:r>
                    <w:rPr>
                      <w:sz w:val="20"/>
                    </w:rPr>
                    <w:t>。</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5"/>
                  <w:vMerge/>
                  <w:tcBorders>
                    <w:top w:val="none" w:color="000000" w:sz="4"/>
                    <w:left w:val="single" w:color="000000" w:sz="4"/>
                    <w:bottom w:val="none" w:color="000000" w:sz="4"/>
                    <w:right w:val="single" w:color="000000" w:sz="4"/>
                  </w:tcBorders>
                </w:tcPr>
                <w:p/>
              </w:tc>
              <w:tc>
                <w:tcPr>
                  <w:tcW w:type="dxa" w:w="506"/>
                  <w:vMerge/>
                  <w:tcBorders>
                    <w:top w:val="none" w:color="000000" w:sz="4"/>
                    <w:left w:val="none" w:color="000000" w:sz="4"/>
                    <w:bottom w:val="none" w:color="000000" w:sz="4"/>
                    <w:right w:val="single" w:color="000000" w:sz="4"/>
                  </w:tcBorders>
                </w:tcP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6、随机访问中，群众满意率不低于70%</w:t>
                  </w:r>
                  <w:r>
                    <w:rPr>
                      <w:sz w:val="20"/>
                    </w:rPr>
                    <w:t>。</w:t>
                  </w:r>
                </w:p>
              </w:tc>
              <w:tc>
                <w:tcPr>
                  <w:tcW w:type="dxa" w:w="14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未达</w:t>
                  </w:r>
                  <w:r>
                    <w:rPr>
                      <w:sz w:val="20"/>
                    </w:rPr>
                    <w:t>70%，每低于5%扣1分，此项扣分不设限</w:t>
                  </w:r>
                  <w:r>
                    <w:rPr>
                      <w:sz w:val="20"/>
                    </w:rPr>
                    <w:t>。</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5"/>
                  <w:vMerge/>
                  <w:tcBorders>
                    <w:top w:val="none" w:color="000000" w:sz="4"/>
                    <w:left w:val="single" w:color="000000" w:sz="4"/>
                    <w:bottom w:val="none" w:color="000000" w:sz="4"/>
                    <w:right w:val="single" w:color="000000" w:sz="4"/>
                  </w:tcBorders>
                </w:tcPr>
                <w:p/>
              </w:tc>
              <w:tc>
                <w:tcPr>
                  <w:tcW w:type="dxa" w:w="50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白蚁红火蚁</w:t>
                  </w: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1、室外绿化带有白蚁的树木1000米范围不超过5棵、树木白蚁及白蚁巢控制数量不超过3棵</w:t>
                  </w:r>
                  <w:r>
                    <w:rPr>
                      <w:sz w:val="20"/>
                    </w:rPr>
                    <w:t>。</w:t>
                  </w:r>
                </w:p>
              </w:tc>
              <w:tc>
                <w:tcPr>
                  <w:tcW w:type="dxa" w:w="14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每超出</w:t>
                  </w:r>
                  <w:r>
                    <w:rPr>
                      <w:sz w:val="20"/>
                    </w:rPr>
                    <w:t>1处扣0.5分，扣完为止</w:t>
                  </w:r>
                  <w:r>
                    <w:rPr>
                      <w:sz w:val="20"/>
                    </w:rPr>
                    <w:t>。</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5"/>
                  <w:vMerge/>
                  <w:tcBorders>
                    <w:top w:val="none" w:color="000000" w:sz="4"/>
                    <w:left w:val="single" w:color="000000" w:sz="4"/>
                    <w:bottom w:val="none" w:color="000000" w:sz="4"/>
                    <w:right w:val="single" w:color="000000" w:sz="4"/>
                  </w:tcBorders>
                </w:tcPr>
                <w:p/>
              </w:tc>
              <w:tc>
                <w:tcPr>
                  <w:tcW w:type="dxa" w:w="506"/>
                  <w:vMerge/>
                  <w:tcBorders>
                    <w:top w:val="none" w:color="000000" w:sz="4"/>
                    <w:left w:val="none" w:color="000000" w:sz="4"/>
                    <w:bottom w:val="none" w:color="000000" w:sz="4"/>
                    <w:right w:val="single" w:color="000000" w:sz="4"/>
                  </w:tcBorders>
                </w:tcP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2、室外绿化带1000米范围内活红火蚁巢数量不超过3个</w:t>
                  </w:r>
                  <w:r>
                    <w:rPr>
                      <w:sz w:val="20"/>
                    </w:rPr>
                    <w:t>。</w:t>
                  </w:r>
                </w:p>
              </w:tc>
              <w:tc>
                <w:tcPr>
                  <w:tcW w:type="dxa" w:w="14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每超出</w:t>
                  </w:r>
                  <w:r>
                    <w:rPr>
                      <w:sz w:val="20"/>
                    </w:rPr>
                    <w:t>1处扣0.5分，扣完为止</w:t>
                  </w:r>
                  <w:r>
                    <w:rPr>
                      <w:sz w:val="20"/>
                    </w:rPr>
                    <w:t>。</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5"/>
                  <w:vMerge/>
                  <w:tcBorders>
                    <w:top w:val="none" w:color="000000" w:sz="4"/>
                    <w:left w:val="single" w:color="000000" w:sz="4"/>
                    <w:bottom w:val="none" w:color="000000" w:sz="4"/>
                    <w:right w:val="single" w:color="000000" w:sz="4"/>
                  </w:tcBorders>
                </w:tcPr>
                <w:p/>
              </w:tc>
              <w:tc>
                <w:tcPr>
                  <w:tcW w:type="dxa" w:w="50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其他</w:t>
                  </w: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1、工作人员要持证上岗，工厂单位签证率不低于95%</w:t>
                  </w:r>
                  <w:r>
                    <w:rPr>
                      <w:sz w:val="20"/>
                    </w:rPr>
                    <w:t>。</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没有持证上岗的，每人次扣</w:t>
                  </w:r>
                  <w:r>
                    <w:rPr>
                      <w:sz w:val="20"/>
                    </w:rPr>
                    <w:t>0.5分，被群众投诉，情况属实的，每次扣1分，扣完为止；每少一个人的，每人次扣1分</w:t>
                  </w:r>
                  <w:r>
                    <w:rPr>
                      <w:sz w:val="20"/>
                    </w:rPr>
                    <w:t>。</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5"/>
                  <w:vMerge/>
                  <w:tcBorders>
                    <w:top w:val="none" w:color="000000" w:sz="4"/>
                    <w:left w:val="single" w:color="000000" w:sz="4"/>
                    <w:bottom w:val="none" w:color="000000" w:sz="4"/>
                    <w:right w:val="single" w:color="000000" w:sz="4"/>
                  </w:tcBorders>
                </w:tcPr>
                <w:p/>
              </w:tc>
              <w:tc>
                <w:tcPr>
                  <w:tcW w:type="dxa" w:w="506"/>
                  <w:vMerge/>
                  <w:tcBorders>
                    <w:top w:val="none" w:color="000000" w:sz="4"/>
                    <w:left w:val="none" w:color="000000" w:sz="4"/>
                    <w:bottom w:val="none" w:color="000000" w:sz="4"/>
                    <w:right w:val="single" w:color="000000" w:sz="4"/>
                  </w:tcBorders>
                </w:tcP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2、每月除“四害”消杀行动要达4次或以上</w:t>
                  </w:r>
                  <w:r>
                    <w:rPr>
                      <w:sz w:val="20"/>
                    </w:rPr>
                    <w:t>。</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达不到要求的，每少</w:t>
                  </w:r>
                  <w:r>
                    <w:rPr>
                      <w:sz w:val="20"/>
                    </w:rPr>
                    <w:t>1次扣2分，扣完为止</w:t>
                  </w:r>
                  <w:r>
                    <w:rPr>
                      <w:sz w:val="20"/>
                    </w:rPr>
                    <w:t>。</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5"/>
                  <w:vMerge/>
                  <w:tcBorders>
                    <w:top w:val="none" w:color="000000" w:sz="4"/>
                    <w:left w:val="single" w:color="000000" w:sz="4"/>
                    <w:bottom w:val="none" w:color="000000" w:sz="4"/>
                    <w:right w:val="single" w:color="000000" w:sz="4"/>
                  </w:tcBorders>
                </w:tcPr>
                <w:p/>
              </w:tc>
              <w:tc>
                <w:tcPr>
                  <w:tcW w:type="dxa" w:w="506"/>
                  <w:vMerge/>
                  <w:tcBorders>
                    <w:top w:val="none" w:color="000000" w:sz="4"/>
                    <w:left w:val="none" w:color="000000" w:sz="4"/>
                    <w:bottom w:val="none" w:color="000000" w:sz="4"/>
                    <w:right w:val="single" w:color="000000" w:sz="4"/>
                  </w:tcBorders>
                </w:tcP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3、除“四害”工作要以综合防治为主，要确保使用的药物无公害</w:t>
                  </w:r>
                  <w:r>
                    <w:rPr>
                      <w:sz w:val="20"/>
                    </w:rPr>
                    <w:t>。</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达不到要求的，每次扣</w:t>
                  </w:r>
                  <w:r>
                    <w:rPr>
                      <w:sz w:val="20"/>
                    </w:rPr>
                    <w:t>1分，扣完为止</w:t>
                  </w:r>
                  <w:r>
                    <w:rPr>
                      <w:sz w:val="20"/>
                    </w:rPr>
                    <w:t>。</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5"/>
                  <w:vMerge/>
                  <w:tcBorders>
                    <w:top w:val="none" w:color="000000" w:sz="4"/>
                    <w:left w:val="single" w:color="000000" w:sz="4"/>
                    <w:bottom w:val="none" w:color="000000" w:sz="4"/>
                    <w:right w:val="single" w:color="000000" w:sz="4"/>
                  </w:tcBorders>
                </w:tcPr>
                <w:p/>
              </w:tc>
              <w:tc>
                <w:tcPr>
                  <w:tcW w:type="dxa" w:w="506"/>
                  <w:vMerge/>
                  <w:tcBorders>
                    <w:top w:val="none" w:color="000000" w:sz="4"/>
                    <w:left w:val="none" w:color="000000" w:sz="4"/>
                    <w:bottom w:val="none" w:color="000000" w:sz="4"/>
                    <w:right w:val="single" w:color="000000" w:sz="4"/>
                  </w:tcBorders>
                </w:tcPr>
                <w:p/>
              </w:tc>
              <w:tc>
                <w:tcPr>
                  <w:tcW w:type="dxa" w:w="232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0"/>
                    </w:rPr>
                    <w:t>4、配合</w:t>
                  </w:r>
                  <w:r>
                    <w:rPr>
                      <w:sz w:val="20"/>
                    </w:rPr>
                    <w:t>采购人</w:t>
                  </w:r>
                  <w:r>
                    <w:rPr>
                      <w:sz w:val="20"/>
                    </w:rPr>
                    <w:t>做好其他相关临时或突击检查工作</w:t>
                  </w:r>
                  <w:r>
                    <w:rPr>
                      <w:sz w:val="20"/>
                    </w:rPr>
                    <w:t>。</w:t>
                  </w:r>
                </w:p>
              </w:tc>
              <w:tc>
                <w:tcPr>
                  <w:tcW w:type="dxa" w:w="140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0"/>
                    </w:rPr>
                    <w:t>未按要求配合的，每次扣</w:t>
                  </w:r>
                  <w:r>
                    <w:rPr>
                      <w:sz w:val="20"/>
                    </w:rPr>
                    <w:t>1分，扣完为止</w:t>
                  </w:r>
                  <w:r>
                    <w:rPr>
                      <w:sz w:val="20"/>
                    </w:rPr>
                    <w:t>。</w:t>
                  </w:r>
                </w:p>
              </w:tc>
              <w:tc>
                <w:tcPr>
                  <w:tcW w:type="dxa" w:w="48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951"/>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特别扣分事项</w:t>
                  </w:r>
                </w:p>
              </w:tc>
              <w:tc>
                <w:tcPr>
                  <w:tcW w:type="dxa" w:w="2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1、群众投诉，经核实存在“四害”泛滥的</w:t>
                  </w:r>
                  <w:r>
                    <w:rPr>
                      <w:sz w:val="20"/>
                    </w:rPr>
                    <w:t>。</w:t>
                  </w:r>
                </w:p>
              </w:tc>
              <w:tc>
                <w:tcPr>
                  <w:tcW w:type="dxa" w:w="1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每次从考评总分中扣</w:t>
                  </w:r>
                  <w:r>
                    <w:rPr>
                      <w:sz w:val="20"/>
                    </w:rPr>
                    <w:t>10分</w:t>
                  </w:r>
                  <w:r>
                    <w:rPr>
                      <w:sz w:val="20"/>
                    </w:rPr>
                    <w:t>。</w:t>
                  </w:r>
                </w:p>
              </w:tc>
              <w:tc>
                <w:tcPr>
                  <w:tcW w:type="dxa" w:w="4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51"/>
                  <w:gridSpan w:val="2"/>
                  <w:vMerge/>
                  <w:tcBorders>
                    <w:top w:val="single" w:color="000000" w:sz="4"/>
                    <w:left w:val="single" w:color="000000" w:sz="4"/>
                    <w:bottom w:val="single" w:color="000000" w:sz="4"/>
                    <w:right w:val="single" w:color="000000" w:sz="4"/>
                  </w:tcBorders>
                </w:tcP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2、镇领导严历批评，存在除“四害”效果差</w:t>
                  </w:r>
                  <w:r>
                    <w:rPr>
                      <w:sz w:val="20"/>
                    </w:rPr>
                    <w:t>。</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每次从考评总分中扣</w:t>
                  </w:r>
                  <w:r>
                    <w:rPr>
                      <w:sz w:val="20"/>
                    </w:rPr>
                    <w:t>20分</w:t>
                  </w:r>
                  <w:r>
                    <w:rPr>
                      <w:sz w:val="20"/>
                    </w:rPr>
                    <w:t>。</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51"/>
                  <w:gridSpan w:val="2"/>
                  <w:vMerge/>
                  <w:tcBorders>
                    <w:top w:val="single" w:color="000000" w:sz="4"/>
                    <w:left w:val="single" w:color="000000" w:sz="4"/>
                    <w:bottom w:val="single" w:color="000000" w:sz="4"/>
                    <w:right w:val="single" w:color="000000" w:sz="4"/>
                  </w:tcBorders>
                </w:tcP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3、工作人数不能少于</w:t>
                  </w:r>
                  <w:r>
                    <w:rPr>
                      <w:sz w:val="20"/>
                    </w:rPr>
                    <w:t>采购人</w:t>
                  </w:r>
                  <w:r>
                    <w:rPr>
                      <w:sz w:val="20"/>
                    </w:rPr>
                    <w:t>要求。</w:t>
                  </w:r>
                  <w:r>
                    <w:rPr>
                      <w:sz w:val="20"/>
                    </w:rPr>
                    <w:t>采购人</w:t>
                  </w:r>
                  <w:r>
                    <w:rPr>
                      <w:sz w:val="20"/>
                    </w:rPr>
                    <w:t>每月定期、不定期抽检人员。</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每少一人扣</w:t>
                  </w:r>
                  <w:r>
                    <w:rPr>
                      <w:sz w:val="20"/>
                    </w:rPr>
                    <w:t>10分，不设限。</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8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合计实得分（）</w:t>
                  </w:r>
                  <w:r>
                    <w:rPr>
                      <w:sz w:val="21"/>
                      <w:b/>
                    </w:rPr>
                    <w:t>=总分（100）—合计检查扣分（）</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 xml:space="preserve">  </w:t>
                  </w:r>
                  <w:r>
                    <w:rPr>
                      <w:sz w:val="21"/>
                      <w:b/>
                    </w:rPr>
                    <w:t>-</w:t>
                  </w:r>
                </w:p>
              </w:tc>
            </w:tr>
            <w:tr>
              <w:tc>
                <w:tcPr>
                  <w:tcW w:type="dxa" w:w="445"/>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center"/>
                  </w:pPr>
                </w:p>
              </w:tc>
              <w:tc>
                <w:tcPr>
                  <w:tcW w:type="dxa" w:w="5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3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4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4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41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3279"/>
                  <w:gridSpan w:val="3"/>
                  <w:tcBorders>
                    <w:top w:val="single" w:color="000000" w:sz="4"/>
                    <w:left w:val="single" w:color="000000" w:sz="4"/>
                    <w:bottom w:val="none" w:color="000000" w:sz="4"/>
                    <w:right w:val="none" w:color="000000" w:sz="4"/>
                  </w:tcBorders>
                  <w:tcMar>
                    <w:top w:type="dxa" w:w="0"/>
                    <w:left w:type="dxa" w:w="105"/>
                    <w:bottom w:type="dxa" w:w="0"/>
                    <w:right w:type="dxa" w:w="105"/>
                  </w:tcMar>
                  <w:vAlign w:val="bottom"/>
                </w:tcPr>
                <w:p>
                  <w:pPr>
                    <w:pStyle w:val="null3"/>
                    <w:jc w:val="both"/>
                  </w:pPr>
                  <w:r>
                    <w:rPr>
                      <w:sz w:val="21"/>
                      <w:b/>
                    </w:rPr>
                    <w:t>采购人考评人员签名：</w:t>
                  </w:r>
                </w:p>
              </w:tc>
              <w:tc>
                <w:tcPr>
                  <w:tcW w:type="dxa" w:w="2307"/>
                  <w:gridSpan w:val="3"/>
                  <w:tcBorders>
                    <w:top w:val="single" w:color="000000" w:sz="4"/>
                    <w:left w:val="single" w:color="000000" w:sz="4"/>
                    <w:bottom w:val="none" w:color="000000" w:sz="4"/>
                    <w:right w:val="single" w:color="000000" w:sz="4"/>
                  </w:tcBorders>
                  <w:tcMar>
                    <w:top w:type="dxa" w:w="0"/>
                    <w:left w:type="dxa" w:w="105"/>
                    <w:bottom w:type="dxa" w:w="0"/>
                    <w:right w:type="dxa" w:w="105"/>
                  </w:tcMar>
                  <w:vAlign w:val="bottom"/>
                </w:tcPr>
                <w:p>
                  <w:pPr>
                    <w:pStyle w:val="null3"/>
                    <w:jc w:val="both"/>
                  </w:pPr>
                  <w:r>
                    <w:rPr>
                      <w:sz w:val="21"/>
                      <w:b/>
                    </w:rPr>
                    <w:t>中标人考评人员签名：</w:t>
                  </w:r>
                </w:p>
              </w:tc>
            </w:tr>
            <w:tr>
              <w:tc>
                <w:tcPr>
                  <w:tcW w:type="dxa" w:w="445"/>
                  <w:tcBorders>
                    <w:top w:val="none" w:color="000000" w:sz="4"/>
                    <w:left w:val="single" w:color="000000" w:sz="4"/>
                    <w:bottom w:val="none" w:color="000000" w:sz="4"/>
                    <w:right w:val="none" w:color="000000" w:sz="4"/>
                  </w:tcBorders>
                  <w:tcMar>
                    <w:top w:type="dxa" w:w="0"/>
                    <w:left w:type="dxa" w:w="105"/>
                    <w:bottom w:type="dxa" w:w="0"/>
                    <w:right w:type="dxa" w:w="105"/>
                  </w:tcMar>
                  <w:vAlign w:val="bottom"/>
                </w:tcPr>
                <w:p>
                  <w:pPr>
                    <w:pStyle w:val="null3"/>
                    <w:jc w:val="both"/>
                  </w:pPr>
                </w:p>
              </w:tc>
              <w:tc>
                <w:tcPr>
                  <w:tcW w:type="dxa" w:w="506"/>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tc>
              <w:tc>
                <w:tcPr>
                  <w:tcW w:type="dxa" w:w="2328"/>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tc>
              <w:tc>
                <w:tcPr>
                  <w:tcW w:type="dxa" w:w="1407"/>
                  <w:tcBorders>
                    <w:top w:val="none" w:color="000000" w:sz="4"/>
                    <w:left w:val="single" w:color="000000" w:sz="4"/>
                    <w:bottom w:val="none" w:color="000000" w:sz="4"/>
                    <w:right w:val="none" w:color="000000" w:sz="4"/>
                  </w:tcBorders>
                  <w:tcMar>
                    <w:top w:type="dxa" w:w="0"/>
                    <w:left w:type="dxa" w:w="105"/>
                    <w:bottom w:type="dxa" w:w="0"/>
                    <w:right w:type="dxa" w:w="105"/>
                  </w:tcMar>
                  <w:vAlign w:val="bottom"/>
                </w:tcPr>
                <w:p/>
              </w:tc>
              <w:tc>
                <w:tcPr>
                  <w:tcW w:type="dxa" w:w="485"/>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tc>
              <w:tc>
                <w:tcPr>
                  <w:tcW w:type="dxa" w:w="415"/>
                  <w:tcBorders>
                    <w:top w:val="none" w:color="000000" w:sz="4"/>
                    <w:left w:val="none" w:color="000000" w:sz="4"/>
                    <w:bottom w:val="none" w:color="000000" w:sz="4"/>
                    <w:right w:val="single" w:color="000000" w:sz="4"/>
                  </w:tcBorders>
                  <w:tcMar>
                    <w:top w:type="dxa" w:w="0"/>
                    <w:left w:type="dxa" w:w="105"/>
                    <w:bottom w:type="dxa" w:w="0"/>
                    <w:right w:type="dxa" w:w="105"/>
                  </w:tcMar>
                  <w:vAlign w:val="bottom"/>
                </w:tcPr>
                <w:p/>
              </w:tc>
            </w:tr>
            <w:tr>
              <w:tc>
                <w:tcPr>
                  <w:tcW w:type="dxa" w:w="3279"/>
                  <w:gridSpan w:val="3"/>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采购人项目负责人签名：</w:t>
                  </w:r>
                </w:p>
              </w:tc>
              <w:tc>
                <w:tcPr>
                  <w:tcW w:type="dxa" w:w="2307"/>
                  <w:gridSpan w:val="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b/>
                    </w:rPr>
                    <w:t>中标人项目负责人签名：</w:t>
                  </w:r>
                </w:p>
              </w:tc>
            </w:tr>
            <w:tr>
              <w:tc>
                <w:tcPr>
                  <w:tcW w:type="dxa" w:w="3279"/>
                  <w:gridSpan w:val="3"/>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采购人（盖章）：</w:t>
                  </w:r>
                </w:p>
              </w:tc>
              <w:tc>
                <w:tcPr>
                  <w:tcW w:type="dxa" w:w="2307"/>
                  <w:gridSpan w:val="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b/>
                    </w:rPr>
                    <w:t>中标人（盖章）：</w:t>
                  </w:r>
                </w:p>
              </w:tc>
            </w:tr>
            <w:tr>
              <w:tc>
                <w:tcPr>
                  <w:tcW w:type="dxa" w:w="445"/>
                  <w:tcBorders>
                    <w:top w:val="none" w:color="000000" w:sz="4"/>
                    <w:left w:val="single" w:color="000000" w:sz="4"/>
                    <w:bottom w:val="single" w:color="000000" w:sz="4"/>
                    <w:right w:val="none" w:color="000000" w:sz="4"/>
                  </w:tcBorders>
                  <w:tcMar>
                    <w:top w:type="dxa" w:w="0"/>
                    <w:left w:type="dxa" w:w="105"/>
                    <w:bottom w:type="dxa" w:w="0"/>
                    <w:right w:type="dxa" w:w="105"/>
                  </w:tcMar>
                  <w:vAlign w:val="bottom"/>
                </w:tcPr>
                <w:p>
                  <w:pPr>
                    <w:pStyle w:val="null3"/>
                    <w:jc w:val="both"/>
                  </w:pPr>
                </w:p>
              </w:tc>
              <w:tc>
                <w:tcPr>
                  <w:tcW w:type="dxa" w:w="506"/>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tc>
              <w:tc>
                <w:tcPr>
                  <w:tcW w:type="dxa" w:w="2328"/>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tc>
              <w:tc>
                <w:tcPr>
                  <w:tcW w:type="dxa" w:w="1407"/>
                  <w:tcBorders>
                    <w:top w:val="none" w:color="000000" w:sz="4"/>
                    <w:left w:val="single" w:color="000000" w:sz="4"/>
                    <w:bottom w:val="single" w:color="000000" w:sz="4"/>
                    <w:right w:val="none" w:color="000000" w:sz="4"/>
                  </w:tcBorders>
                  <w:tcMar>
                    <w:top w:type="dxa" w:w="0"/>
                    <w:left w:type="dxa" w:w="105"/>
                    <w:bottom w:type="dxa" w:w="0"/>
                    <w:right w:type="dxa" w:w="105"/>
                  </w:tcMar>
                  <w:vAlign w:val="bottom"/>
                </w:tcPr>
                <w:p/>
              </w:tc>
              <w:tc>
                <w:tcPr>
                  <w:tcW w:type="dxa" w:w="485"/>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bl>
          <w:p>
            <w:pPr>
              <w:pStyle w:val="null3"/>
              <w:jc w:val="both"/>
            </w:pPr>
            <w:r>
              <w:rPr>
                <w:sz w:val="21"/>
              </w:rPr>
              <w:t>东城街道除</w:t>
            </w:r>
            <w:r>
              <w:rPr>
                <w:sz w:val="21"/>
              </w:rPr>
              <w:t>“四害”及白蚁、红火蚁防治服务项目（2024-2027年）项目考核评分表</w:t>
            </w:r>
          </w:p>
          <w:p>
            <w:pPr>
              <w:pStyle w:val="null3"/>
              <w:ind w:firstLine="420"/>
            </w:pPr>
            <w:r>
              <w:rPr>
                <w:sz w:val="21"/>
              </w:rPr>
              <w:t>特殊月份考核标准</w:t>
            </w:r>
          </w:p>
          <w:tbl>
            <w:tblPr>
              <w:tblInd w:type="dxa" w:w="120"/>
              <w:tblBorders>
                <w:top w:val="none" w:color="000000" w:sz="4"/>
                <w:left w:val="none" w:color="000000" w:sz="4"/>
                <w:bottom w:val="none" w:color="000000" w:sz="4"/>
                <w:right w:val="none" w:color="000000" w:sz="4"/>
                <w:insideH w:val="none"/>
                <w:insideV w:val="none"/>
              </w:tblBorders>
            </w:tblPr>
            <w:tblGrid>
              <w:gridCol w:w="464"/>
              <w:gridCol w:w="464"/>
              <w:gridCol w:w="2324"/>
              <w:gridCol w:w="1384"/>
              <w:gridCol w:w="505"/>
              <w:gridCol w:w="424"/>
            </w:tblGrid>
            <w:tr>
              <w:tc>
                <w:tcPr>
                  <w:tcW w:type="dxa" w:w="3252"/>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除</w:t>
                  </w:r>
                  <w:r>
                    <w:rPr>
                      <w:sz w:val="21"/>
                      <w:b/>
                    </w:rPr>
                    <w:t>“四害”现场考核</w:t>
                  </w:r>
                </w:p>
              </w:tc>
              <w:tc>
                <w:tcPr>
                  <w:tcW w:type="dxa" w:w="138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扣分方法</w:t>
                  </w:r>
                </w:p>
              </w:tc>
              <w:tc>
                <w:tcPr>
                  <w:tcW w:type="dxa" w:w="50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应得分</w:t>
                  </w:r>
                </w:p>
              </w:tc>
              <w:tc>
                <w:tcPr>
                  <w:tcW w:type="dxa" w:w="42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总分</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检查方法及评价依据</w:t>
                  </w:r>
                </w:p>
              </w:tc>
              <w:tc>
                <w:tcPr>
                  <w:tcW w:type="dxa" w:w="1384"/>
                  <w:vMerge/>
                  <w:tcBorders>
                    <w:top w:val="single" w:color="000000" w:sz="4"/>
                    <w:left w:val="none" w:color="000000" w:sz="4"/>
                    <w:bottom w:val="single" w:color="000000" w:sz="4"/>
                    <w:right w:val="single" w:color="000000" w:sz="4"/>
                  </w:tcBorders>
                </w:tcPr>
                <w:p/>
              </w:tc>
              <w:tc>
                <w:tcPr>
                  <w:tcW w:type="dxa" w:w="505"/>
                  <w:vMerge/>
                  <w:tcBorders>
                    <w:top w:val="single" w:color="000000" w:sz="4"/>
                    <w:left w:val="none" w:color="000000" w:sz="4"/>
                    <w:bottom w:val="single" w:color="000000" w:sz="4"/>
                    <w:right w:val="single" w:color="000000" w:sz="4"/>
                  </w:tcBorders>
                </w:tcPr>
                <w:p/>
              </w:tc>
              <w:tc>
                <w:tcPr>
                  <w:tcW w:type="dxa" w:w="424"/>
                  <w:vMerge/>
                  <w:tcBorders>
                    <w:top w:val="single" w:color="000000" w:sz="4"/>
                    <w:left w:val="none" w:color="000000" w:sz="4"/>
                    <w:bottom w:val="single" w:color="000000" w:sz="4"/>
                    <w:right w:val="single" w:color="000000" w:sz="4"/>
                  </w:tcBorders>
                </w:tcPr>
                <w:p/>
              </w:tc>
            </w:tr>
            <w:tr>
              <w:tc>
                <w:tcPr>
                  <w:tcW w:type="dxa" w:w="46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100分</w:t>
                  </w:r>
                </w:p>
              </w:tc>
              <w:tc>
                <w:tcPr>
                  <w:tcW w:type="dxa" w:w="4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灭鼠</w:t>
                  </w:r>
                  <w:r>
                    <w:rPr>
                      <w:sz w:val="20"/>
                    </w:rPr>
                    <w:t>(5分)</w:t>
                  </w: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1、粉迹法（每15平方米房间布放20×20厘米粉板两块）监测鼠足印阳性率低于3%</w:t>
                  </w:r>
                  <w:r>
                    <w:rPr>
                      <w:sz w:val="20"/>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每超出</w:t>
                  </w:r>
                  <w:r>
                    <w:rPr>
                      <w:sz w:val="20"/>
                    </w:rPr>
                    <w:t>0.1%扣0.1分，扣完为止</w:t>
                  </w:r>
                  <w:r>
                    <w:rPr>
                      <w:sz w:val="20"/>
                    </w:rPr>
                    <w:t>。</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2、鼠迹（鼠洞、鼠粪、鼠路、鼠咬痕），有鼠迹房间不超过2%</w:t>
                  </w:r>
                  <w:r>
                    <w:rPr>
                      <w:sz w:val="20"/>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每超出</w:t>
                  </w:r>
                  <w:r>
                    <w:rPr>
                      <w:sz w:val="20"/>
                    </w:rPr>
                    <w:t>0.1%扣0.1分，扣完为止</w:t>
                  </w:r>
                  <w:r>
                    <w:rPr>
                      <w:sz w:val="20"/>
                    </w:rPr>
                    <w:t>。</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3、2000米外环境鼠迹不超过5处</w:t>
                  </w:r>
                  <w:r>
                    <w:rPr>
                      <w:sz w:val="20"/>
                    </w:rPr>
                    <w:t>。</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每超过</w:t>
                  </w:r>
                  <w:r>
                    <w:rPr>
                      <w:sz w:val="20"/>
                    </w:rPr>
                    <w:t>1处扣0.2分，扣完为止</w:t>
                  </w:r>
                  <w:r>
                    <w:rPr>
                      <w:sz w:val="20"/>
                    </w:rPr>
                    <w:t>。</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4、有灭鼠计划，有方案并有灭鼠成效。</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无灭鼠计划或无按计划实施灭鼠</w:t>
                  </w:r>
                  <w:r>
                    <w:rPr>
                      <w:sz w:val="20"/>
                    </w:rPr>
                    <w:t>不得分</w:t>
                  </w:r>
                  <w:r>
                    <w:rPr>
                      <w:sz w:val="20"/>
                    </w:rPr>
                    <w:t>。</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5、随机访问中，群众满意率不低于70%</w:t>
                  </w:r>
                  <w:r>
                    <w:rPr>
                      <w:sz w:val="20"/>
                    </w:rPr>
                    <w:t>。</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未达</w:t>
                  </w:r>
                  <w:r>
                    <w:rPr>
                      <w:sz w:val="20"/>
                    </w:rPr>
                    <w:t>70%，每低于5%扣0.2分，此项扣分不设限。</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灭蚊</w:t>
                  </w:r>
                  <w:r>
                    <w:rPr>
                      <w:sz w:val="20"/>
                    </w:rPr>
                    <w:t>(70分)</w:t>
                  </w: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1、居民区、单位内外环境各种存水容器和积水中的幼蚊及蛹，阳性率低于3%</w:t>
                  </w:r>
                  <w:r>
                    <w:rPr>
                      <w:sz w:val="20"/>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每超出</w:t>
                  </w:r>
                  <w:r>
                    <w:rPr>
                      <w:sz w:val="20"/>
                    </w:rPr>
                    <w:t>0.1%扣2分</w:t>
                  </w:r>
                  <w:r>
                    <w:rPr>
                      <w:sz w:val="20"/>
                    </w:rPr>
                    <w:t>。</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non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2、用500毫升收集勺采集城区内大中型水体中的蚊幼虫或蛹，阳性率低于3%，阳性勺内幼虫或蛹的平均数不超过3只</w:t>
                  </w:r>
                  <w:r>
                    <w:rPr>
                      <w:sz w:val="20"/>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每超出</w:t>
                  </w:r>
                  <w:r>
                    <w:rPr>
                      <w:sz w:val="20"/>
                    </w:rPr>
                    <w:t>1只扣2分，扣完为止</w:t>
                  </w:r>
                  <w:r>
                    <w:rPr>
                      <w:sz w:val="20"/>
                    </w:rPr>
                    <w:t>。</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non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3、在特殊场所白天人诱蚊60分钟，平均诱获成蚊不超过1只/人次</w:t>
                  </w:r>
                  <w:r>
                    <w:rPr>
                      <w:sz w:val="20"/>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每超过</w:t>
                  </w:r>
                  <w:r>
                    <w:rPr>
                      <w:sz w:val="20"/>
                    </w:rPr>
                    <w:t>1只/人次扣2分，扣完为止</w:t>
                  </w:r>
                  <w:r>
                    <w:rPr>
                      <w:sz w:val="20"/>
                    </w:rPr>
                    <w:t>。</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non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4、晚上在重点部位人诱蚊60分钟，平均诱获成蚊不超过2只/人次</w:t>
                  </w:r>
                  <w:r>
                    <w:rPr>
                      <w:sz w:val="20"/>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每超过</w:t>
                  </w:r>
                  <w:r>
                    <w:rPr>
                      <w:sz w:val="20"/>
                    </w:rPr>
                    <w:t>1只/人次扣2分，扣完为止</w:t>
                  </w:r>
                  <w:r>
                    <w:rPr>
                      <w:sz w:val="20"/>
                    </w:rPr>
                    <w:t>。</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non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5、白天用电动吸蚊器在居民区的住房、杂物房等捕成蚊，每100间房不超过150只。</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每超过</w:t>
                  </w:r>
                  <w:r>
                    <w:rPr>
                      <w:sz w:val="20"/>
                    </w:rPr>
                    <w:t>1只扣3分，扣完为止</w:t>
                  </w:r>
                  <w:r>
                    <w:rPr>
                      <w:sz w:val="20"/>
                    </w:rPr>
                    <w:t>。</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non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6、对孳生地的处理每月是否有4次以上的调查和监测报告</w:t>
                  </w:r>
                  <w:r>
                    <w:rPr>
                      <w:sz w:val="20"/>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少</w:t>
                  </w:r>
                  <w:r>
                    <w:rPr>
                      <w:sz w:val="20"/>
                    </w:rPr>
                    <w:t>1次调查和监测报告的扣3分，扣完为止</w:t>
                  </w:r>
                  <w:r>
                    <w:rPr>
                      <w:sz w:val="20"/>
                    </w:rPr>
                    <w:t>。</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non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7、有灭蚊计划，有方案并有灭蚊成效。</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无灭蚊计划或无按计划实施灭蚊</w:t>
                  </w:r>
                  <w:r>
                    <w:rPr>
                      <w:sz w:val="20"/>
                    </w:rPr>
                    <w:t>不得分</w:t>
                  </w:r>
                  <w:r>
                    <w:rPr>
                      <w:sz w:val="20"/>
                    </w:rPr>
                    <w:t>。</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non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8、随机访问中，群众满意率不低于80%</w:t>
                  </w:r>
                  <w:r>
                    <w:rPr>
                      <w:sz w:val="20"/>
                    </w:rPr>
                    <w:t>。</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未达</w:t>
                  </w:r>
                  <w:r>
                    <w:rPr>
                      <w:sz w:val="20"/>
                    </w:rPr>
                    <w:t>80%，每低于1%扣1分，此项扣分不设限。</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白蚁红火蚁（</w:t>
                  </w:r>
                  <w:r>
                    <w:rPr>
                      <w:sz w:val="20"/>
                    </w:rPr>
                    <w:t>10分）</w:t>
                  </w: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1、室外绿化带有白蚁的树木1000米范围不超过5棵、树木白蚁及白蚁巢控制数量不超过3棵。</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每超出</w:t>
                  </w:r>
                  <w:r>
                    <w:rPr>
                      <w:sz w:val="20"/>
                    </w:rPr>
                    <w:t>1处扣0.5分，扣完为止。</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non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2、室外绿化带1000米范围内活红火蚁巢数量不超过3个。</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每超出</w:t>
                  </w:r>
                  <w:r>
                    <w:rPr>
                      <w:sz w:val="20"/>
                    </w:rPr>
                    <w:t>1处扣0.5分，扣完为止。</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灭蝇</w:t>
                  </w:r>
                  <w:r>
                    <w:rPr>
                      <w:sz w:val="20"/>
                    </w:rPr>
                    <w:t>(5分)</w:t>
                  </w: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1、重点单位（如饮食、食品加工、销售业）有蝇房间不超过1%</w:t>
                  </w:r>
                  <w:r>
                    <w:rPr>
                      <w:sz w:val="20"/>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每超过</w:t>
                  </w:r>
                  <w:r>
                    <w:rPr>
                      <w:sz w:val="20"/>
                    </w:rPr>
                    <w:t>0.1%扣1分，扣完为止</w:t>
                  </w:r>
                  <w:r>
                    <w:rPr>
                      <w:sz w:val="20"/>
                    </w:rPr>
                    <w:t>。</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2、加工、销售、存放直接入口食品的场所，不得有蝇</w:t>
                  </w:r>
                  <w:r>
                    <w:rPr>
                      <w:sz w:val="20"/>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每发现</w:t>
                  </w:r>
                  <w:r>
                    <w:rPr>
                      <w:sz w:val="20"/>
                    </w:rPr>
                    <w:t>1只扣0.2分，扣完为止</w:t>
                  </w:r>
                  <w:r>
                    <w:rPr>
                      <w:sz w:val="20"/>
                    </w:rPr>
                    <w:t>。</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3、一般单位（如机关、学校、工厂）有蝇房间不超过3%</w:t>
                  </w:r>
                  <w:r>
                    <w:rPr>
                      <w:sz w:val="20"/>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每超过</w:t>
                  </w:r>
                  <w:r>
                    <w:rPr>
                      <w:sz w:val="20"/>
                    </w:rPr>
                    <w:t>0.1%扣1分，扣完为止</w:t>
                  </w:r>
                  <w:r>
                    <w:rPr>
                      <w:sz w:val="20"/>
                    </w:rPr>
                    <w:t>。</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4、蝇粪孳生地（外环境、垃圾容器、垃圾存放地等），得到有效治理，幼虫和蛹的检出率不超过5%。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每超过</w:t>
                  </w:r>
                  <w:r>
                    <w:rPr>
                      <w:sz w:val="20"/>
                    </w:rPr>
                    <w:t>0.1%扣1分，扣完为止。</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5、有灭蝇计划，有方案并有灭蝇成效。</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无灭蝇计划或无按计划实施灭蝇</w:t>
                  </w:r>
                  <w:r>
                    <w:rPr>
                      <w:sz w:val="20"/>
                    </w:rPr>
                    <w:t>不得分。</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6、随机访问中，群众满意率不低于70%，</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未达</w:t>
                  </w:r>
                  <w:r>
                    <w:rPr>
                      <w:sz w:val="20"/>
                    </w:rPr>
                    <w:t>70%，每低于5%扣0.1分，此项扣分不设限。</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灭蟑</w:t>
                  </w:r>
                  <w:r>
                    <w:rPr>
                      <w:sz w:val="20"/>
                    </w:rPr>
                    <w:t>(5分)</w:t>
                  </w: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1、查室内蟑螂成虫或幼虫，阳性房间不超过3%</w:t>
                  </w:r>
                  <w:r>
                    <w:rPr>
                      <w:sz w:val="20"/>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每超过</w:t>
                  </w:r>
                  <w:r>
                    <w:rPr>
                      <w:sz w:val="20"/>
                    </w:rPr>
                    <w:t>0.1%扣1分，扣完为止</w:t>
                  </w:r>
                  <w:r>
                    <w:rPr>
                      <w:sz w:val="20"/>
                    </w:rPr>
                    <w:t>。</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2、有活蟑螂卵鞘房间，阳性房间不超过2%</w:t>
                  </w:r>
                  <w:r>
                    <w:rPr>
                      <w:sz w:val="20"/>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每超过</w:t>
                  </w:r>
                  <w:r>
                    <w:rPr>
                      <w:sz w:val="20"/>
                    </w:rPr>
                    <w:t>0.1%扣1分，扣完为止</w:t>
                  </w:r>
                  <w:r>
                    <w:rPr>
                      <w:sz w:val="20"/>
                    </w:rPr>
                    <w:t>。</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3、蟑螂孳生栖息场所的清理，查墙的孔洞庭、缝隙蟑迹：粪便、蜕皮、蟑尸、空卵鞘等，阳性房间不超过3%</w:t>
                  </w:r>
                  <w:r>
                    <w:rPr>
                      <w:sz w:val="20"/>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每超过</w:t>
                  </w:r>
                  <w:r>
                    <w:rPr>
                      <w:sz w:val="20"/>
                    </w:rPr>
                    <w:t>0.1%扣1分，扣完为止。</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4、每月至少一次定点向群众派送灭蟑药物。</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无通知或记录，此项不得分</w:t>
                  </w:r>
                  <w:r>
                    <w:rPr>
                      <w:sz w:val="20"/>
                    </w:rPr>
                    <w:t>。</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5、有灭蟑计划，有方案并有灭蟑成效。</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无灭蟑计划或无按计划实施灭蟑不得分</w:t>
                  </w:r>
                  <w:r>
                    <w:rPr>
                      <w:sz w:val="20"/>
                    </w:rPr>
                    <w:t>。</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6、随机访问中，群众满意率不低于70%</w:t>
                  </w:r>
                  <w:r>
                    <w:rPr>
                      <w:sz w:val="20"/>
                    </w:rPr>
                    <w:t>。</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未达</w:t>
                  </w:r>
                  <w:r>
                    <w:rPr>
                      <w:sz w:val="20"/>
                    </w:rPr>
                    <w:t>70%，每低于5%扣0.1分</w:t>
                  </w:r>
                  <w:r>
                    <w:rPr>
                      <w:sz w:val="20"/>
                    </w:rPr>
                    <w:t>。</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其他</w:t>
                  </w:r>
                  <w:r>
                    <w:rPr>
                      <w:sz w:val="20"/>
                    </w:rPr>
                    <w:t>(5分)</w:t>
                  </w: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1、工作人员要持证上岗，工厂单位签证率不低于95%。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没有持证上岗的，每人次扣</w:t>
                  </w:r>
                  <w:r>
                    <w:rPr>
                      <w:sz w:val="20"/>
                    </w:rPr>
                    <w:t>0.5分，被群众投诉，情况属实的，每次扣1分，扣完为止</w:t>
                  </w:r>
                  <w:r>
                    <w:rPr>
                      <w:sz w:val="20"/>
                    </w:rPr>
                    <w:t>。</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non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2、每月除“四害”消杀行动要达4次或以上</w:t>
                  </w:r>
                  <w:r>
                    <w:rPr>
                      <w:sz w:val="20"/>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达不到要求的，每少</w:t>
                  </w:r>
                  <w:r>
                    <w:rPr>
                      <w:sz w:val="20"/>
                    </w:rPr>
                    <w:t>1次扣0.5分，扣完为止</w:t>
                  </w:r>
                  <w:r>
                    <w:rPr>
                      <w:sz w:val="20"/>
                    </w:rPr>
                    <w:t>。</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non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3、除“四害”工作要以综合防治为主，要确保使用的药物无公害</w:t>
                  </w:r>
                  <w:r>
                    <w:rPr>
                      <w:sz w:val="20"/>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达不到要求的，每次扣</w:t>
                  </w:r>
                  <w:r>
                    <w:rPr>
                      <w:sz w:val="20"/>
                    </w:rPr>
                    <w:t>1分，扣完为止</w:t>
                  </w:r>
                  <w:r>
                    <w:rPr>
                      <w:sz w:val="20"/>
                    </w:rPr>
                    <w:t>。</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vMerge/>
                  <w:tcBorders>
                    <w:top w:val="none" w:color="000000" w:sz="4"/>
                    <w:left w:val="single" w:color="000000" w:sz="4"/>
                    <w:bottom w:val="none" w:color="000000" w:sz="4"/>
                    <w:right w:val="single" w:color="000000" w:sz="4"/>
                  </w:tcBorders>
                </w:tcPr>
                <w:p/>
              </w:tc>
              <w:tc>
                <w:tcPr>
                  <w:tcW w:type="dxa" w:w="464"/>
                  <w:vMerge/>
                  <w:tcBorders>
                    <w:top w:val="none" w:color="000000" w:sz="4"/>
                    <w:left w:val="none" w:color="000000" w:sz="4"/>
                    <w:bottom w:val="none" w:color="000000" w:sz="4"/>
                    <w:right w:val="single" w:color="000000" w:sz="4"/>
                  </w:tcBorders>
                </w:tcPr>
                <w:p/>
              </w:tc>
              <w:tc>
                <w:tcPr>
                  <w:tcW w:type="dxa" w:w="23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0"/>
                    </w:rPr>
                    <w:t>4、配合</w:t>
                  </w:r>
                  <w:r>
                    <w:rPr>
                      <w:sz w:val="20"/>
                    </w:rPr>
                    <w:t>采购人</w:t>
                  </w:r>
                  <w:r>
                    <w:rPr>
                      <w:sz w:val="20"/>
                    </w:rPr>
                    <w:t>做好其他相关临时或突击检查工作。</w:t>
                  </w:r>
                </w:p>
              </w:tc>
              <w:tc>
                <w:tcPr>
                  <w:tcW w:type="dxa" w:w="138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0"/>
                    </w:rPr>
                    <w:t>未按要求配合的，每次扣</w:t>
                  </w:r>
                  <w:r>
                    <w:rPr>
                      <w:sz w:val="20"/>
                    </w:rPr>
                    <w:t>1分，扣完为止。</w:t>
                  </w:r>
                </w:p>
              </w:tc>
              <w:tc>
                <w:tcPr>
                  <w:tcW w:type="dxa" w:w="50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928"/>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特别扣分事项</w:t>
                  </w:r>
                </w:p>
              </w:tc>
              <w:tc>
                <w:tcPr>
                  <w:tcW w:type="dxa" w:w="23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1、群众投诉，经核实存在“四害”泛滥的</w:t>
                  </w:r>
                  <w:r>
                    <w:rPr>
                      <w:sz w:val="20"/>
                    </w:rPr>
                    <w:t>。</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每次从考评总分中扣</w:t>
                  </w:r>
                  <w:r>
                    <w:rPr>
                      <w:sz w:val="20"/>
                    </w:rPr>
                    <w:t>10分</w:t>
                  </w:r>
                  <w:r>
                    <w:rPr>
                      <w:sz w:val="20"/>
                    </w:rPr>
                    <w:t>。</w:t>
                  </w:r>
                </w:p>
              </w:tc>
              <w:tc>
                <w:tcPr>
                  <w:tcW w:type="dxa" w:w="5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8"/>
                  <w:gridSpan w:val="2"/>
                  <w:vMerge/>
                  <w:tcBorders>
                    <w:top w:val="single" w:color="000000" w:sz="4"/>
                    <w:left w:val="singl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2、镇领导严历批评存在除“四害”效果差</w:t>
                  </w:r>
                  <w:r>
                    <w:rPr>
                      <w:sz w:val="20"/>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每次从考评总分中扣</w:t>
                  </w:r>
                  <w:r>
                    <w:rPr>
                      <w:sz w:val="20"/>
                    </w:rPr>
                    <w:t>20分</w:t>
                  </w:r>
                  <w:r>
                    <w:rPr>
                      <w:sz w:val="20"/>
                    </w:rPr>
                    <w:t>。</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28"/>
                  <w:gridSpan w:val="2"/>
                  <w:vMerge/>
                  <w:tcBorders>
                    <w:top w:val="single" w:color="000000" w:sz="4"/>
                    <w:left w:val="single" w:color="000000" w:sz="4"/>
                    <w:bottom w:val="single" w:color="000000" w:sz="4"/>
                    <w:right w:val="single" w:color="000000" w:sz="4"/>
                  </w:tcBorders>
                </w:tcP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3、工作人数不能少于</w:t>
                  </w:r>
                  <w:r>
                    <w:rPr>
                      <w:sz w:val="20"/>
                    </w:rPr>
                    <w:t>采购人</w:t>
                  </w:r>
                  <w:r>
                    <w:rPr>
                      <w:sz w:val="20"/>
                    </w:rPr>
                    <w:t>要求。</w:t>
                  </w:r>
                  <w:r>
                    <w:rPr>
                      <w:sz w:val="20"/>
                    </w:rPr>
                    <w:t>采购人</w:t>
                  </w:r>
                  <w:r>
                    <w:rPr>
                      <w:sz w:val="20"/>
                    </w:rPr>
                    <w:t>每月定期、不定期抽检人员</w:t>
                  </w:r>
                  <w:r>
                    <w:rPr>
                      <w:sz w:val="20"/>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每少一人扣</w:t>
                  </w:r>
                  <w:r>
                    <w:rPr>
                      <w:sz w:val="20"/>
                    </w:rPr>
                    <w:t>10分，不设限。</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3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合计实得分（）</w:t>
                  </w:r>
                  <w:r>
                    <w:rPr>
                      <w:sz w:val="21"/>
                      <w:b/>
                    </w:rPr>
                    <w:t>=总分（100）—合计检查扣分（）</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100</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 xml:space="preserve">   </w:t>
                  </w:r>
                  <w:r>
                    <w:rPr>
                      <w:sz w:val="21"/>
                      <w:b/>
                    </w:rPr>
                    <w:t>-</w:t>
                  </w:r>
                </w:p>
              </w:tc>
            </w:tr>
            <w:tr>
              <w:tc>
                <w:tcPr>
                  <w:tcW w:type="dxa" w:w="464"/>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center"/>
                  </w:pPr>
                </w:p>
              </w:tc>
              <w:tc>
                <w:tcPr>
                  <w:tcW w:type="dxa" w:w="4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32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384"/>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tc>
              <w:tc>
                <w:tcPr>
                  <w:tcW w:type="dxa" w:w="50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4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3252"/>
                  <w:gridSpan w:val="3"/>
                  <w:tcBorders>
                    <w:top w:val="single" w:color="000000" w:sz="4"/>
                    <w:left w:val="single" w:color="000000" w:sz="4"/>
                    <w:bottom w:val="none" w:color="000000" w:sz="4"/>
                    <w:right w:val="none" w:color="000000" w:sz="4"/>
                  </w:tcBorders>
                  <w:tcMar>
                    <w:top w:type="dxa" w:w="0"/>
                    <w:left w:type="dxa" w:w="105"/>
                    <w:bottom w:type="dxa" w:w="0"/>
                    <w:right w:type="dxa" w:w="105"/>
                  </w:tcMar>
                  <w:vAlign w:val="bottom"/>
                </w:tcPr>
                <w:p>
                  <w:pPr>
                    <w:pStyle w:val="null3"/>
                    <w:jc w:val="both"/>
                  </w:pPr>
                  <w:r>
                    <w:rPr>
                      <w:sz w:val="21"/>
                      <w:b/>
                    </w:rPr>
                    <w:t>采购人考评人员签名：</w:t>
                  </w:r>
                </w:p>
              </w:tc>
              <w:tc>
                <w:tcPr>
                  <w:tcW w:type="dxa" w:w="2313"/>
                  <w:gridSpan w:val="3"/>
                  <w:tcBorders>
                    <w:top w:val="single" w:color="000000" w:sz="4"/>
                    <w:left w:val="single" w:color="000000" w:sz="4"/>
                    <w:bottom w:val="none" w:color="000000" w:sz="4"/>
                    <w:right w:val="single" w:color="000000" w:sz="4"/>
                  </w:tcBorders>
                  <w:tcMar>
                    <w:top w:type="dxa" w:w="0"/>
                    <w:left w:type="dxa" w:w="105"/>
                    <w:bottom w:type="dxa" w:w="0"/>
                    <w:right w:type="dxa" w:w="105"/>
                  </w:tcMar>
                  <w:vAlign w:val="bottom"/>
                </w:tcPr>
                <w:p>
                  <w:pPr>
                    <w:pStyle w:val="null3"/>
                    <w:jc w:val="both"/>
                  </w:pPr>
                  <w:r>
                    <w:rPr>
                      <w:sz w:val="21"/>
                      <w:b/>
                    </w:rPr>
                    <w:t>中标人考评人员签名：</w:t>
                  </w:r>
                </w:p>
              </w:tc>
            </w:tr>
            <w:tr>
              <w:tc>
                <w:tcPr>
                  <w:tcW w:type="dxa" w:w="464"/>
                  <w:tcBorders>
                    <w:top w:val="none" w:color="000000" w:sz="4"/>
                    <w:left w:val="single" w:color="000000" w:sz="4"/>
                    <w:bottom w:val="none" w:color="000000" w:sz="4"/>
                    <w:right w:val="none" w:color="000000" w:sz="4"/>
                  </w:tcBorders>
                  <w:tcMar>
                    <w:top w:type="dxa" w:w="0"/>
                    <w:left w:type="dxa" w:w="105"/>
                    <w:bottom w:type="dxa" w:w="0"/>
                    <w:right w:type="dxa" w:w="105"/>
                  </w:tcMar>
                  <w:vAlign w:val="bottom"/>
                </w:tcPr>
                <w:p>
                  <w:pPr>
                    <w:pStyle w:val="null3"/>
                    <w:jc w:val="both"/>
                  </w:pPr>
                </w:p>
              </w:tc>
              <w:tc>
                <w:tcPr>
                  <w:tcW w:type="dxa" w:w="46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tc>
              <w:tc>
                <w:tcPr>
                  <w:tcW w:type="dxa" w:w="232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tc>
              <w:tc>
                <w:tcPr>
                  <w:tcW w:type="dxa" w:w="1384"/>
                  <w:tcBorders>
                    <w:top w:val="none" w:color="000000" w:sz="4"/>
                    <w:left w:val="single" w:color="000000" w:sz="4"/>
                    <w:bottom w:val="none" w:color="000000" w:sz="4"/>
                    <w:right w:val="none" w:color="000000" w:sz="4"/>
                  </w:tcBorders>
                  <w:tcMar>
                    <w:top w:type="dxa" w:w="0"/>
                    <w:left w:type="dxa" w:w="105"/>
                    <w:bottom w:type="dxa" w:w="0"/>
                    <w:right w:type="dxa" w:w="105"/>
                  </w:tcMar>
                  <w:vAlign w:val="bottom"/>
                </w:tcPr>
                <w:p/>
              </w:tc>
              <w:tc>
                <w:tcPr>
                  <w:tcW w:type="dxa" w:w="505"/>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tc>
              <w:tc>
                <w:tcPr>
                  <w:tcW w:type="dxa" w:w="424"/>
                  <w:tcBorders>
                    <w:top w:val="none" w:color="000000" w:sz="4"/>
                    <w:left w:val="none" w:color="000000" w:sz="4"/>
                    <w:bottom w:val="none" w:color="000000" w:sz="4"/>
                    <w:right w:val="single" w:color="000000" w:sz="4"/>
                  </w:tcBorders>
                  <w:tcMar>
                    <w:top w:type="dxa" w:w="0"/>
                    <w:left w:type="dxa" w:w="105"/>
                    <w:bottom w:type="dxa" w:w="0"/>
                    <w:right w:type="dxa" w:w="105"/>
                  </w:tcMar>
                  <w:vAlign w:val="bottom"/>
                </w:tcPr>
                <w:p/>
              </w:tc>
            </w:tr>
            <w:tr>
              <w:tc>
                <w:tcPr>
                  <w:tcW w:type="dxa" w:w="3252"/>
                  <w:gridSpan w:val="3"/>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采购人项目负责人签名：</w:t>
                  </w:r>
                </w:p>
              </w:tc>
              <w:tc>
                <w:tcPr>
                  <w:tcW w:type="dxa" w:w="2313"/>
                  <w:gridSpan w:val="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b/>
                    </w:rPr>
                    <w:t>中标人项目负责人签名：</w:t>
                  </w:r>
                </w:p>
              </w:tc>
            </w:tr>
            <w:tr>
              <w:tc>
                <w:tcPr>
                  <w:tcW w:type="dxa" w:w="3252"/>
                  <w:gridSpan w:val="3"/>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采购人（盖章）：</w:t>
                  </w:r>
                </w:p>
              </w:tc>
              <w:tc>
                <w:tcPr>
                  <w:tcW w:type="dxa" w:w="2313"/>
                  <w:gridSpan w:val="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b/>
                    </w:rPr>
                    <w:t>中标人（盖章）：</w:t>
                  </w:r>
                </w:p>
              </w:tc>
            </w:tr>
            <w:tr>
              <w:tc>
                <w:tcPr>
                  <w:tcW w:type="dxa" w:w="464"/>
                  <w:tcBorders>
                    <w:top w:val="none" w:color="000000" w:sz="4"/>
                    <w:left w:val="single" w:color="000000" w:sz="4"/>
                    <w:bottom w:val="single" w:color="000000" w:sz="4"/>
                    <w:right w:val="none" w:color="000000" w:sz="4"/>
                  </w:tcBorders>
                  <w:tcMar>
                    <w:top w:type="dxa" w:w="0"/>
                    <w:left w:type="dxa" w:w="105"/>
                    <w:bottom w:type="dxa" w:w="0"/>
                    <w:right w:type="dxa" w:w="105"/>
                  </w:tcMar>
                  <w:vAlign w:val="bottom"/>
                </w:tcPr>
                <w:p>
                  <w:pPr>
                    <w:pStyle w:val="null3"/>
                    <w:jc w:val="both"/>
                  </w:pPr>
                </w:p>
              </w:tc>
              <w:tc>
                <w:tcPr>
                  <w:tcW w:type="dxa" w:w="464"/>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tc>
              <w:tc>
                <w:tcPr>
                  <w:tcW w:type="dxa" w:w="2324"/>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tc>
              <w:tc>
                <w:tcPr>
                  <w:tcW w:type="dxa" w:w="1384"/>
                  <w:tcBorders>
                    <w:top w:val="none" w:color="000000" w:sz="4"/>
                    <w:left w:val="single" w:color="000000" w:sz="4"/>
                    <w:bottom w:val="single" w:color="000000" w:sz="4"/>
                    <w:right w:val="none" w:color="000000" w:sz="4"/>
                  </w:tcBorders>
                  <w:tcMar>
                    <w:top w:type="dxa" w:w="0"/>
                    <w:left w:type="dxa" w:w="105"/>
                    <w:bottom w:type="dxa" w:w="0"/>
                    <w:right w:type="dxa" w:w="105"/>
                  </w:tcMar>
                  <w:vAlign w:val="bottom"/>
                </w:tcPr>
                <w:p/>
              </w:tc>
              <w:tc>
                <w:tcPr>
                  <w:tcW w:type="dxa" w:w="505"/>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1.采购代理机构：本项目是指广东溢盛项目管理有限公司，负责整个采购活动的组织，依法负责编制和发布招标文件，对招标文件拥有最终的解释权，不以任何身份出任评标委员会成员。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东莞市东城公用事业服务中心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采购包1：保证金人民币：60,000.00元整。</w:t>
            </w:r>
            <w:r>
              <w:rPr/>
              <w:t>采购包2：保证金人民币：60,000.00元整。</w:t>
            </w:r>
          </w:p>
          <w:p>
            <w:pPr>
              <w:pStyle w:val="null3"/>
            </w:pPr>
            <w:r>
              <w:rPr/>
              <w:t xml:space="preserve">开户单位： </w:t>
            </w:r>
            <w:r>
              <w:rPr/>
              <w:t>广东溢盛项目管理有限公司</w:t>
            </w:r>
          </w:p>
          <w:p>
            <w:pPr>
              <w:pStyle w:val="null3"/>
            </w:pPr>
            <w:r>
              <w:rPr/>
              <w:t xml:space="preserve">开户账号： </w:t>
            </w:r>
            <w:r>
              <w:rPr/>
              <w:t>9550880216962300246</w:t>
            </w:r>
          </w:p>
          <w:p>
            <w:pPr>
              <w:pStyle w:val="null3"/>
            </w:pPr>
            <w:r>
              <w:rPr/>
              <w:t xml:space="preserve">开户银行： </w:t>
            </w:r>
            <w:r>
              <w:rPr/>
              <w:t>广发银行股份有限公司东莞愉景支行</w:t>
            </w:r>
          </w:p>
          <w:p>
            <w:pPr>
              <w:pStyle w:val="null3"/>
            </w:pPr>
            <w:r>
              <w:rPr/>
              <w:t xml:space="preserve">支票提交方式： </w:t>
            </w:r>
            <w:r>
              <w:rPr/>
              <w:t>不支持支票</w:t>
            </w:r>
          </w:p>
          <w:p>
            <w:pPr>
              <w:pStyle w:val="null3"/>
            </w:pPr>
            <w:r>
              <w:rPr/>
              <w:t xml:space="preserve">汇票、本票提交方式： </w:t>
            </w:r>
            <w:r>
              <w:rPr/>
              <w:t>不支持汇票、本票</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投标人最多只能被确定为1个子包的第一中标候选人。本项目按子包的顺序进行评审，依次按照评标总得分由高到低的顺序，每包组推荐三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采购机构代理服务收费标准：中标服务费参照国家计委[计价格[2002]1980号]文和国家发改委[发改价格[2011]534号]文及相关规定收取，按差额定率累进法计算，以中标金额作为收费的计算依据。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其他，1、线下方式开具的纸质投标保函原件须在开标前交至代理机构。供应商可送达或者邮寄至东莞市东城街道世博广场J区1301室。 2、所属行业对应中小企业划分标准，中小企业划分标准所属行业：其他未列明行业。从业人员300人以下的为中小微型企业。其中，从业人员100人及以上的为中型企业；从业人员10人及以上的为小型企业；从业人员10人以下的为微型企业。</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广东溢盛项目管理有限公司</w:t>
      </w:r>
      <w:r>
        <w:rPr/>
        <w:t>代收。具体操作要求详见</w:t>
      </w:r>
      <w:r>
        <w:rPr/>
        <w:t>广东溢盛项目管理有限公司</w:t>
      </w:r>
      <w:r>
        <w:rPr/>
        <w:t>有关指引，递交事宜请自行咨询</w:t>
      </w:r>
      <w:r>
        <w:rPr/>
        <w:t>广东溢盛项目管理有限公司</w:t>
      </w:r>
      <w:r>
        <w:rPr/>
        <w:t>；请各投标人在投标文件递交截止时间前按须知前附表规定的金额递交至</w:t>
      </w:r>
      <w:r>
        <w:rPr/>
        <w:t>广东溢盛项目管理有限公司</w:t>
      </w:r>
      <w:r>
        <w:rPr/>
        <w:t>，到账情况以开标时</w:t>
      </w:r>
      <w:r>
        <w:rPr/>
        <w:t>广东溢盛项目管理有限公司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黄瑞田</w:t>
      </w:r>
    </w:p>
    <w:p>
      <w:pPr>
        <w:pStyle w:val="null3"/>
        <w:ind w:firstLine="480"/>
      </w:pPr>
      <w:r>
        <w:rPr/>
        <w:t>电话：</w:t>
      </w:r>
      <w:r>
        <w:rPr/>
        <w:t>0769-26622145</w:t>
      </w:r>
    </w:p>
    <w:p>
      <w:pPr>
        <w:pStyle w:val="null3"/>
        <w:ind w:firstLine="480"/>
      </w:pPr>
      <w:r>
        <w:rPr/>
        <w:t>传真：</w:t>
      </w:r>
      <w:r>
        <w:rPr/>
        <w:t>/</w:t>
      </w:r>
    </w:p>
    <w:p>
      <w:pPr>
        <w:pStyle w:val="null3"/>
        <w:ind w:firstLine="480"/>
      </w:pPr>
      <w:r>
        <w:rPr/>
        <w:t>邮箱：</w:t>
      </w:r>
      <w:r>
        <w:rPr/>
        <w:t>yisheng_gdmail@163.com</w:t>
      </w:r>
    </w:p>
    <w:p>
      <w:pPr>
        <w:pStyle w:val="null3"/>
        <w:ind w:firstLine="480"/>
      </w:pPr>
      <w:r>
        <w:rPr/>
        <w:t>地址：</w:t>
      </w:r>
      <w:r>
        <w:rPr/>
        <w:t>东莞市东城街道世博广场J区1301室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东城街道除“四害”及白蚁、红火蚁防治服务项目（2024-2027年）（标一）)：综合评分法,是指投标文件满足招标文件全部实质性要求，且按照评审因素的量化指标评审得分最高的投标人为中标候选人的评标方法。（最低报价不是中标的唯一依据。）</w:t>
      </w:r>
    </w:p>
    <w:p>
      <w:pPr>
        <w:pStyle w:val="null3"/>
      </w:pPr>
      <w:r>
        <w:rPr/>
        <w:t>采购包2(东城街道除“四害”及白蚁、红火蚁防治服务项目（2024-2027年）（标二）)：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广东溢盛项目管理有限公司</w:t>
      </w:r>
      <w:r>
        <w:rPr/>
        <w:t>统一对外发布。</w:t>
      </w:r>
    </w:p>
    <w:p>
      <w:pPr>
        <w:pStyle w:val="null3"/>
        <w:ind w:firstLine="480"/>
      </w:pPr>
      <w:r>
        <w:rPr/>
        <w:t>（2）对</w:t>
      </w:r>
      <w:r>
        <w:rPr/>
        <w:t>广东溢盛项目管理有限公司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采购包1（东城街道除“四害”及白蚁、红火蚁防治服务项目（2024-2027年）（标一））：</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采购包2（东城街道除“四害”及白蚁、红火蚁防治服务项目（2024-2027年）（标二））：</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采购包1（东城街道除“四害”及白蚁、红火蚁防治服务项目（2024-2027年）（标一））：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提供投标截止日前6个月内任意1个月依法缴纳税收和社会保障资金的相关材料。如依法免税或不需要缴纳社会保障资金的，提供相应证明材料。或投标人以承诺函形式提供（内容自行拟定）。</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供应商必须具有良好的商业信誉和健全的财务会计制度（提供2023年度财务状况报告或基本开户行出具的资信证明）。或投标人以承诺函形式提供（内容自行拟定）。</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按投标（响应）文件格式填报设备及专业技术能力情况。或投标人以承诺函形式提供（内容自行拟定）。</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工作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pPr>
      <w:r>
        <w:rPr/>
        <w:t>采购包2（东城街道除“四害”及白蚁、红火蚁防治服务项目（2024-2027年）（标二））：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提供投标截止日前6个月内任意1个月依法缴纳税收和社会保障资金的相关材料。如依法免税或不需要缴纳社会保障资金的，提供相应证明材料。或投标人以承诺函形式提供（内容自行拟定）。</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供应商必须具有良好的商业信誉和健全的财务会计制度（提供2023年度财务状况报告或基本开户行出具的资信证明）。或投标人以承诺函形式提供（内容自行拟定）。</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按投标（响应）文件格式填报设备及专业技术能力情况。或投标人以承诺函形式提供（内容自行拟定）。</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工作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促进中小企业发展</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采购包1（东城街道除“四害”及白蚁、红火蚁防治服务项目（2024-2027年）（标一））：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投标保证金</w:t>
            </w:r>
          </w:p>
        </w:tc>
        <w:tc>
          <w:tcPr>
            <w:tcW w:type="dxa" w:w="4238"/>
          </w:tcPr>
          <w:p>
            <w:pPr>
              <w:pStyle w:val="null3"/>
            </w:pPr>
            <w:r>
              <w:rPr/>
              <w:t>供应商按招标文件要求提交投标保证金。</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投标文件应当按照招标文件要求签署、盖章。</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投标报价不得超过招标文件中规定的预算金额或最高限价。</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投标文件应当对招标文件采购需求中的“★”号条款作出实质性响应。</w:t>
            </w:r>
          </w:p>
        </w:tc>
      </w:tr>
      <w:tr>
        <w:tc>
          <w:tcPr>
            <w:tcW w:type="dxa" w:w="890"/>
          </w:tcPr>
          <w:p>
            <w:pPr>
              <w:pStyle w:val="null3"/>
            </w:pPr>
            <w:r>
              <w:rPr/>
              <w:t>5</w:t>
            </w:r>
          </w:p>
        </w:tc>
        <w:tc>
          <w:tcPr>
            <w:tcW w:type="dxa" w:w="3178"/>
          </w:tcPr>
          <w:p>
            <w:pPr>
              <w:pStyle w:val="null3"/>
            </w:pPr>
            <w:r>
              <w:rPr/>
              <w:t>文件有效期及服务期</w:t>
            </w:r>
          </w:p>
        </w:tc>
        <w:tc>
          <w:tcPr>
            <w:tcW w:type="dxa" w:w="4238"/>
          </w:tcPr>
          <w:p>
            <w:pPr>
              <w:pStyle w:val="null3"/>
            </w:pPr>
            <w:r>
              <w:rPr/>
              <w:t>投标有效期及服务期（或完工期）符合要求。</w:t>
            </w:r>
          </w:p>
        </w:tc>
      </w:tr>
      <w:tr>
        <w:tc>
          <w:tcPr>
            <w:tcW w:type="dxa" w:w="890"/>
          </w:tcPr>
          <w:p>
            <w:pPr>
              <w:pStyle w:val="null3"/>
            </w:pPr>
            <w:r>
              <w:rPr/>
              <w:t>6</w:t>
            </w:r>
          </w:p>
        </w:tc>
        <w:tc>
          <w:tcPr>
            <w:tcW w:type="dxa" w:w="3178"/>
          </w:tcPr>
          <w:p>
            <w:pPr>
              <w:pStyle w:val="null3"/>
            </w:pPr>
            <w:r>
              <w:rPr/>
              <w:t>投标文件的完整性</w:t>
            </w:r>
          </w:p>
        </w:tc>
        <w:tc>
          <w:tcPr>
            <w:tcW w:type="dxa" w:w="4238"/>
          </w:tcPr>
          <w:p>
            <w:pPr>
              <w:pStyle w:val="null3"/>
            </w:pPr>
            <w:r>
              <w:rPr/>
              <w:t>主要内容满足招标文件用户需求中要求，重要指标没有重大偏离或保留。</w:t>
            </w:r>
          </w:p>
        </w:tc>
      </w:tr>
      <w:tr>
        <w:tc>
          <w:tcPr>
            <w:tcW w:type="dxa" w:w="890"/>
          </w:tcPr>
          <w:p>
            <w:pPr>
              <w:pStyle w:val="null3"/>
            </w:pPr>
            <w:r>
              <w:rPr/>
              <w:t>7</w:t>
            </w:r>
          </w:p>
        </w:tc>
        <w:tc>
          <w:tcPr>
            <w:tcW w:type="dxa" w:w="3178"/>
          </w:tcPr>
          <w:p>
            <w:pPr>
              <w:pStyle w:val="null3"/>
            </w:pPr>
            <w:r>
              <w:rPr/>
              <w:t>报价及方案</w:t>
            </w:r>
          </w:p>
        </w:tc>
        <w:tc>
          <w:tcPr>
            <w:tcW w:type="dxa" w:w="4238"/>
          </w:tcPr>
          <w:p>
            <w:pPr>
              <w:pStyle w:val="null3"/>
            </w:pPr>
            <w:r>
              <w:rPr/>
              <w:t>投标报价是固定价且投标方案是唯一的。</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供应商不存在法律、法规和招标文件规定的其他无效情形。</w:t>
            </w:r>
          </w:p>
        </w:tc>
      </w:tr>
    </w:tbl>
    <w:p>
      <w:pPr>
        <w:pStyle w:val="null3"/>
      </w:pPr>
      <w:r>
        <w:rPr/>
        <w:t>采购包2（东城街道除“四害”及白蚁、红火蚁防治服务项目（2024-2027年）（标二））：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投标保证金</w:t>
            </w:r>
          </w:p>
        </w:tc>
        <w:tc>
          <w:tcPr>
            <w:tcW w:type="dxa" w:w="4238"/>
          </w:tcPr>
          <w:p>
            <w:pPr>
              <w:pStyle w:val="null3"/>
            </w:pPr>
            <w:r>
              <w:rPr/>
              <w:t>供应商按招标文件要求提交投标保证金。</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投标文件应当按照招标文件要求签署、盖章。</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投标报价不得超过招标文件中规定的预算金额或最高限价。</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投标文件应当对招标文件采购需求中的“★”号条款作出实质性响应。</w:t>
            </w:r>
          </w:p>
        </w:tc>
      </w:tr>
      <w:tr>
        <w:tc>
          <w:tcPr>
            <w:tcW w:type="dxa" w:w="890"/>
          </w:tcPr>
          <w:p>
            <w:pPr>
              <w:pStyle w:val="null3"/>
            </w:pPr>
            <w:r>
              <w:rPr/>
              <w:t>5</w:t>
            </w:r>
          </w:p>
        </w:tc>
        <w:tc>
          <w:tcPr>
            <w:tcW w:type="dxa" w:w="3178"/>
          </w:tcPr>
          <w:p>
            <w:pPr>
              <w:pStyle w:val="null3"/>
            </w:pPr>
            <w:r>
              <w:rPr/>
              <w:t>文件有效期及服务期</w:t>
            </w:r>
          </w:p>
        </w:tc>
        <w:tc>
          <w:tcPr>
            <w:tcW w:type="dxa" w:w="4238"/>
          </w:tcPr>
          <w:p>
            <w:pPr>
              <w:pStyle w:val="null3"/>
            </w:pPr>
            <w:r>
              <w:rPr/>
              <w:t>投标有效期及服务期（或完工期）符合要求。</w:t>
            </w:r>
          </w:p>
        </w:tc>
      </w:tr>
      <w:tr>
        <w:tc>
          <w:tcPr>
            <w:tcW w:type="dxa" w:w="890"/>
          </w:tcPr>
          <w:p>
            <w:pPr>
              <w:pStyle w:val="null3"/>
            </w:pPr>
            <w:r>
              <w:rPr/>
              <w:t>6</w:t>
            </w:r>
          </w:p>
        </w:tc>
        <w:tc>
          <w:tcPr>
            <w:tcW w:type="dxa" w:w="3178"/>
          </w:tcPr>
          <w:p>
            <w:pPr>
              <w:pStyle w:val="null3"/>
            </w:pPr>
            <w:r>
              <w:rPr/>
              <w:t>投标文件的完整性</w:t>
            </w:r>
          </w:p>
        </w:tc>
        <w:tc>
          <w:tcPr>
            <w:tcW w:type="dxa" w:w="4238"/>
          </w:tcPr>
          <w:p>
            <w:pPr>
              <w:pStyle w:val="null3"/>
            </w:pPr>
            <w:r>
              <w:rPr/>
              <w:t>主要内容满足招标文件用户需求中要求，重要指标没有重大偏离或保留。</w:t>
            </w:r>
          </w:p>
        </w:tc>
      </w:tr>
      <w:tr>
        <w:tc>
          <w:tcPr>
            <w:tcW w:type="dxa" w:w="890"/>
          </w:tcPr>
          <w:p>
            <w:pPr>
              <w:pStyle w:val="null3"/>
            </w:pPr>
            <w:r>
              <w:rPr/>
              <w:t>7</w:t>
            </w:r>
          </w:p>
        </w:tc>
        <w:tc>
          <w:tcPr>
            <w:tcW w:type="dxa" w:w="3178"/>
          </w:tcPr>
          <w:p>
            <w:pPr>
              <w:pStyle w:val="null3"/>
            </w:pPr>
            <w:r>
              <w:rPr/>
              <w:t>报价及方案</w:t>
            </w:r>
          </w:p>
        </w:tc>
        <w:tc>
          <w:tcPr>
            <w:tcW w:type="dxa" w:w="4238"/>
          </w:tcPr>
          <w:p>
            <w:pPr>
              <w:pStyle w:val="null3"/>
            </w:pPr>
            <w:r>
              <w:rPr/>
              <w:t>投标报价是固定价且投标方案是唯一的。</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供应商不存在法律、法规和招标文件规定的其他无效情形。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采购包1(东城街道除“四害”及白蚁、红火蚁防治服务项目（2024-2027年）（标一）):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对项目的理解、重点难点分析 (10.0分)</w:t>
            </w:r>
            <w:r>
              <w:rPr/>
              <w:t>，（等次分值选择：</w:t>
            </w:r>
            <w:r>
              <w:rPr/>
              <w:t>0.0;</w:t>
            </w:r>
            <w:r>
              <w:rPr/>
              <w:t>1.0;</w:t>
            </w:r>
            <w:r>
              <w:rPr/>
              <w:t>4.0;</w:t>
            </w:r>
            <w:r>
              <w:rPr/>
              <w:t>7.0;</w:t>
            </w:r>
            <w:r>
              <w:rPr/>
              <w:t>10.0;</w:t>
            </w:r>
            <w:r>
              <w:rPr/>
              <w:t>）</w:t>
            </w:r>
          </w:p>
        </w:tc>
        <w:tc>
          <w:tcPr>
            <w:tcW w:type="dxa" w:w="5076"/>
          </w:tcPr>
          <w:p>
            <w:pPr>
              <w:pStyle w:val="null3"/>
              <w:jc w:val="left"/>
            </w:pPr>
            <w:r>
              <w:rPr/>
              <w:t>根据各投标人对本项目的理解、重点难点分析及解决方案等内容进行综合评审： 1.非常熟悉本次采购项目实施区域的环境现状及服务内容，对项目工作的重点、难点分析完整、严谨，并对项目的重点难点有科学、完整详细的解决方案，得10分； 2.较熟悉本次采购项目实施区域的环境现状及服务内容，对项目工作的难点、重点分析较完整、严谨，并对项目的重点难点有较完整详细的解决方案，得7分； 3.能了解本次采购项目实施区域环境的环境现状及服务内容，有对项目工作的难点、重点的分析，有简单的对项目重点难点的解决方案，得4分； 4.不了解本次采购项目实施区域的环境现状及服务内容，对项目工作的难点、重点分析不完整，没有对项目重点难点的解决方案或方案不完整，得1分； 5.未提供对应方案的不得分。</w:t>
            </w:r>
          </w:p>
        </w:tc>
      </w:tr>
      <w:tr>
        <w:tc>
          <w:tcPr>
            <w:tcW w:type="dxa" w:w="922"/>
            <w:gridSpan w:val="2"/>
            <w:vMerge/>
          </w:tcPr>
          <w:p/>
        </w:tc>
        <w:tc>
          <w:tcPr>
            <w:tcW w:type="dxa" w:w="2307"/>
          </w:tcPr>
          <w:p>
            <w:pPr>
              <w:pStyle w:val="null3"/>
              <w:jc w:val="left"/>
            </w:pPr>
            <w:r>
              <w:rPr/>
              <w:t>项目实施方案 (10.0分)</w:t>
            </w:r>
            <w:r>
              <w:rPr/>
              <w:t>，（等次分值选择：</w:t>
            </w:r>
            <w:r>
              <w:rPr/>
              <w:t>0.0;</w:t>
            </w:r>
            <w:r>
              <w:rPr/>
              <w:t>1.0;</w:t>
            </w:r>
            <w:r>
              <w:rPr/>
              <w:t>4.0;</w:t>
            </w:r>
            <w:r>
              <w:rPr/>
              <w:t>7.0;</w:t>
            </w:r>
            <w:r>
              <w:rPr/>
              <w:t>10.0;</w:t>
            </w:r>
            <w:r>
              <w:rPr/>
              <w:t>）</w:t>
            </w:r>
          </w:p>
        </w:tc>
        <w:tc>
          <w:tcPr>
            <w:tcW w:type="dxa" w:w="5076"/>
          </w:tcPr>
          <w:p>
            <w:pPr>
              <w:pStyle w:val="null3"/>
              <w:jc w:val="left"/>
            </w:pPr>
            <w:r>
              <w:rPr/>
              <w:t>根据各投标人提供的项目实施方案（包括但不限于：实施工作计划、实施流程、除“四害”方案、白蚁（红火蚁）防治方案等内容）进行综合评审： 1.实施方案科学可行，思路清晰，目标明确，措施到位，针对性强，完全满足或优于用户需求的得10分； 2.实施方案较科学，思路较清晰，目标较明确，措施较到位，针对性较强，完全满足用户需求的得7分； 3.实施方案基本科学，思路较清晰，目标基本明确，措施基本到位，针对性较强，基本满足用户需求的得4分； 4.实施方案不够科学，思路不够清晰，目标不够明确，措施不够到位，针对不够强，不能完全满足用户需求的得1分； 5.未提供对应方案的不得分。</w:t>
            </w:r>
          </w:p>
        </w:tc>
      </w:tr>
      <w:tr>
        <w:tc>
          <w:tcPr>
            <w:tcW w:type="dxa" w:w="922"/>
            <w:gridSpan w:val="2"/>
            <w:vMerge/>
          </w:tcPr>
          <w:p/>
        </w:tc>
        <w:tc>
          <w:tcPr>
            <w:tcW w:type="dxa" w:w="2307"/>
          </w:tcPr>
          <w:p>
            <w:pPr>
              <w:pStyle w:val="null3"/>
              <w:jc w:val="left"/>
            </w:pPr>
            <w:r>
              <w:rPr/>
              <w:t>药物投入计划及安全保证措施 (10.0分)</w:t>
            </w:r>
            <w:r>
              <w:rPr/>
              <w:t>，（等次分值选择：</w:t>
            </w:r>
            <w:r>
              <w:rPr/>
              <w:t>0.0;</w:t>
            </w:r>
            <w:r>
              <w:rPr/>
              <w:t>1.0;</w:t>
            </w:r>
            <w:r>
              <w:rPr/>
              <w:t>4.0;</w:t>
            </w:r>
            <w:r>
              <w:rPr/>
              <w:t>7.0;</w:t>
            </w:r>
            <w:r>
              <w:rPr/>
              <w:t>10.0;</w:t>
            </w:r>
            <w:r>
              <w:rPr/>
              <w:t>）</w:t>
            </w:r>
          </w:p>
        </w:tc>
        <w:tc>
          <w:tcPr>
            <w:tcW w:type="dxa" w:w="5076"/>
          </w:tcPr>
          <w:p>
            <w:pPr>
              <w:pStyle w:val="null3"/>
              <w:jc w:val="left"/>
            </w:pPr>
            <w:r>
              <w:rPr/>
              <w:t>根据各投标人提供的药物投入计划及安全保证措施（包括但不限于：药物供应渠道、保管规范、配备的药物是否适用、使用安全保证措施等内容）进行综合评审： 1.药物投入计划及安全保证措施全面完善、非常详细、表述非常清晰、合理性高，完全满足并优于采购需求要求，得10分； 2.药物投入计划及安全保证措施全面、比较详细、表述清晰、合理，满足并部分优于采购需求要求的，得7分； 3.药物投入计划及安全保证措施比较具体、内容简单，满足采购需求要求的，得4分； 4.药物投入计划及安全保证措施部分具体、不够清晰，部分满足采购需求要求的，得1分； 5.未提供对应方案的不得分。</w:t>
            </w:r>
          </w:p>
        </w:tc>
      </w:tr>
      <w:tr>
        <w:tc>
          <w:tcPr>
            <w:tcW w:type="dxa" w:w="922"/>
            <w:gridSpan w:val="2"/>
            <w:vMerge/>
          </w:tcPr>
          <w:p/>
        </w:tc>
        <w:tc>
          <w:tcPr>
            <w:tcW w:type="dxa" w:w="2307"/>
          </w:tcPr>
          <w:p>
            <w:pPr>
              <w:pStyle w:val="null3"/>
              <w:jc w:val="left"/>
            </w:pPr>
            <w:r>
              <w:rPr/>
              <w:t>质量保证措施 (10.0分)</w:t>
            </w:r>
            <w:r>
              <w:rPr/>
              <w:t>，（等次分值选择：</w:t>
            </w:r>
            <w:r>
              <w:rPr/>
              <w:t>0.0;</w:t>
            </w:r>
            <w:r>
              <w:rPr/>
              <w:t>1.0;</w:t>
            </w:r>
            <w:r>
              <w:rPr/>
              <w:t>4.0;</w:t>
            </w:r>
            <w:r>
              <w:rPr/>
              <w:t>7.0;</w:t>
            </w:r>
            <w:r>
              <w:rPr/>
              <w:t>10.0;</w:t>
            </w:r>
            <w:r>
              <w:rPr/>
              <w:t>）</w:t>
            </w:r>
          </w:p>
        </w:tc>
        <w:tc>
          <w:tcPr>
            <w:tcW w:type="dxa" w:w="5076"/>
          </w:tcPr>
          <w:p>
            <w:pPr>
              <w:pStyle w:val="null3"/>
              <w:jc w:val="left"/>
            </w:pPr>
            <w:r>
              <w:rPr/>
              <w:t>根据各投标人提供的质量保证措施（包括但不限于质量目标、质量保证体系、质量控制措施等内容）进行综合评审： 1.质量目标清晰、明确，质量保证体系完整、规范，质量控制措施合理、可行，得10分； 2.质量目标较清晰、明确，质量保证体系较完整、规范，质量控制措施较合理、可行，得7分； 3.质量目标基本清晰、明确，质量保证体系基本完整、规范，质量控制措施基本合理、可行，得4分； 4.质量目标不够清晰、不够明确，质量保证体系不够完整、不够规范，质量管理措施不够合理，得1分； 5.未提供对应方案的不得分。</w:t>
            </w:r>
          </w:p>
        </w:tc>
      </w:tr>
      <w:tr>
        <w:tc>
          <w:tcPr>
            <w:tcW w:type="dxa" w:w="922"/>
            <w:gridSpan w:val="2"/>
            <w:vMerge/>
          </w:tcPr>
          <w:p/>
        </w:tc>
        <w:tc>
          <w:tcPr>
            <w:tcW w:type="dxa" w:w="2307"/>
          </w:tcPr>
          <w:p>
            <w:pPr>
              <w:pStyle w:val="null3"/>
              <w:jc w:val="left"/>
            </w:pPr>
            <w:r>
              <w:rPr/>
              <w:t>应急方案 (10.0分)</w:t>
            </w:r>
            <w:r>
              <w:rPr/>
              <w:t>，（等次分值选择：</w:t>
            </w:r>
            <w:r>
              <w:rPr/>
              <w:t>0.0;</w:t>
            </w:r>
            <w:r>
              <w:rPr/>
              <w:t>1.0;</w:t>
            </w:r>
            <w:r>
              <w:rPr/>
              <w:t>4.0;</w:t>
            </w:r>
            <w:r>
              <w:rPr/>
              <w:t>7.0;</w:t>
            </w:r>
            <w:r>
              <w:rPr/>
              <w:t>10.0;</w:t>
            </w:r>
            <w:r>
              <w:rPr/>
              <w:t>）</w:t>
            </w:r>
          </w:p>
        </w:tc>
        <w:tc>
          <w:tcPr>
            <w:tcW w:type="dxa" w:w="5076"/>
          </w:tcPr>
          <w:p>
            <w:pPr>
              <w:pStyle w:val="null3"/>
              <w:jc w:val="left"/>
            </w:pPr>
            <w:r>
              <w:rPr/>
              <w:t>根据各投标人提供的应急方案（包括但不限于：突发状况、应急响应流程、应急处理措施、应急人员和设备调配等内容）进行综合评审： 1.应急方案全面完善、非常详细、表述非常清晰、合理性高，完全满足并优于采购需求要求，得10分； 2.应急方案全面、比较详细、表述清晰、合理，满足并部分优于采购需求要求的，得7分； 3.应急方案比较具体、内容简单，满足采购需求要求的，得4分； 4.应急方案部分具体、不够清晰，部分满足采购需求要求的，得1分； 5.未提供对应方案的不得分。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(15.0分)</w:t>
            </w:r>
          </w:p>
        </w:tc>
        <w:tc>
          <w:tcPr>
            <w:tcW w:type="dxa" w:w="5076"/>
          </w:tcPr>
          <w:p>
            <w:pPr>
              <w:pStyle w:val="null3"/>
              <w:jc w:val="left"/>
            </w:pPr>
            <w:r>
              <w:rPr/>
              <w:t>投标人具有除“四害”服务或病媒生物防制服务或白蚁、红火蚁防治服务业绩，每提供一个得3分，最高得15分。 注：须提供合同关键页复印件并加盖投标人公章。</w:t>
            </w:r>
          </w:p>
        </w:tc>
      </w:tr>
      <w:tr>
        <w:tc>
          <w:tcPr>
            <w:tcW w:type="dxa" w:w="922"/>
            <w:gridSpan w:val="2"/>
            <w:vMerge/>
          </w:tcPr>
          <w:p/>
        </w:tc>
        <w:tc>
          <w:tcPr>
            <w:tcW w:type="dxa" w:w="2307"/>
          </w:tcPr>
          <w:p>
            <w:pPr>
              <w:pStyle w:val="null3"/>
              <w:jc w:val="left"/>
            </w:pPr>
            <w:r>
              <w:rPr/>
              <w:t>管理体系认证 (3.0分)</w:t>
            </w:r>
          </w:p>
        </w:tc>
        <w:tc>
          <w:tcPr>
            <w:tcW w:type="dxa" w:w="5076"/>
          </w:tcPr>
          <w:p>
            <w:pPr>
              <w:pStyle w:val="null3"/>
              <w:jc w:val="left"/>
            </w:pPr>
            <w:r>
              <w:rPr/>
              <w:t>投标人具有有效期内的:①质量管理体系认证证书，②环境管理体系认证证书，③职业健康安全管理体系认证证书，每个得1分，本项最高得3分。 注:提供认证证书复印件并加盖投标人公章。</w:t>
            </w:r>
          </w:p>
        </w:tc>
      </w:tr>
      <w:tr>
        <w:tc>
          <w:tcPr>
            <w:tcW w:type="dxa" w:w="922"/>
            <w:gridSpan w:val="2"/>
            <w:vMerge/>
          </w:tcPr>
          <w:p/>
        </w:tc>
        <w:tc>
          <w:tcPr>
            <w:tcW w:type="dxa" w:w="2307"/>
          </w:tcPr>
          <w:p>
            <w:pPr>
              <w:pStyle w:val="null3"/>
              <w:jc w:val="left"/>
            </w:pPr>
            <w:r>
              <w:rPr/>
              <w:t>服务响应时间 (2.0分)</w:t>
            </w:r>
          </w:p>
        </w:tc>
        <w:tc>
          <w:tcPr>
            <w:tcW w:type="dxa" w:w="5076"/>
          </w:tcPr>
          <w:p>
            <w:pPr>
              <w:pStyle w:val="null3"/>
              <w:jc w:val="left"/>
            </w:pPr>
            <w:r>
              <w:rPr/>
              <w:t>根据投标人的服务响应时间进行评分： 1.投标人承诺接到采购人通知后1小时内（含）响应并到达采购人指定地点，得2分； 2.投标人承诺接到采购人通知后1小时（不含）～2小时内（含）响应并到达采购人指定地点，得1分； 3.投标人承诺接到采购人通知后2小时（不含）～3小时内（含）响应并到达采购人指定地点，得0.5分； 4.其他不得分。 注：须提供单独的承诺函加盖投标人公章。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采购包2(东城街道除“四害”及白蚁、红火蚁防治服务项目（2024-2027年）（标二）):</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对项目的理解、重点难点分析 (10.0分)</w:t>
            </w:r>
            <w:r>
              <w:rPr/>
              <w:t>，（等次分值选择：</w:t>
            </w:r>
            <w:r>
              <w:rPr/>
              <w:t>0.0;</w:t>
            </w:r>
            <w:r>
              <w:rPr/>
              <w:t>1.0;</w:t>
            </w:r>
            <w:r>
              <w:rPr/>
              <w:t>4.0;</w:t>
            </w:r>
            <w:r>
              <w:rPr/>
              <w:t>7.0;</w:t>
            </w:r>
            <w:r>
              <w:rPr/>
              <w:t>10.0;</w:t>
            </w:r>
            <w:r>
              <w:rPr/>
              <w:t>）</w:t>
            </w:r>
          </w:p>
        </w:tc>
        <w:tc>
          <w:tcPr>
            <w:tcW w:type="dxa" w:w="5076"/>
          </w:tcPr>
          <w:p>
            <w:pPr>
              <w:pStyle w:val="null3"/>
              <w:jc w:val="left"/>
            </w:pPr>
            <w:r>
              <w:rPr/>
              <w:t>根据各投标人对本项目的理解、重点难点分析及解决方案等内容进行综合评审： 1.非常熟悉本次采购项目实施区域的环境现状及服务内容，对项目工作的重点、难点分析完整、严谨，并对项目的重点难点有科学、完整详细的解决方案，得10分； 2.较熟悉本次采购项目实施区域的环境现状及服务内容，对项目工作的难点、重点分析较完整、严谨，并对项目的重点难点有较完整详细的解决方案，得7分； 3.能了解本次采购项目实施区域环境的环境现状及服务内容，有对项目工作的难点、重点的分析，有简单的对项目重点难点的解决方案，得4分； 4.不了解本次采购项目实施区域的环境现状及服务内容，对项目工作的难点、重点分析不完整，没有对项目重点难点的解决方案或方案不完整，得1分； 5.未提供对应方案的不得分。</w:t>
            </w:r>
          </w:p>
        </w:tc>
      </w:tr>
      <w:tr>
        <w:tc>
          <w:tcPr>
            <w:tcW w:type="dxa" w:w="922"/>
            <w:gridSpan w:val="2"/>
            <w:vMerge/>
          </w:tcPr>
          <w:p/>
        </w:tc>
        <w:tc>
          <w:tcPr>
            <w:tcW w:type="dxa" w:w="2307"/>
          </w:tcPr>
          <w:p>
            <w:pPr>
              <w:pStyle w:val="null3"/>
              <w:jc w:val="left"/>
            </w:pPr>
            <w:r>
              <w:rPr/>
              <w:t>项目实施方案 (10.0分)</w:t>
            </w:r>
            <w:r>
              <w:rPr/>
              <w:t>，（等次分值选择：</w:t>
            </w:r>
            <w:r>
              <w:rPr/>
              <w:t>0.0;</w:t>
            </w:r>
            <w:r>
              <w:rPr/>
              <w:t>1.0;</w:t>
            </w:r>
            <w:r>
              <w:rPr/>
              <w:t>4.0;</w:t>
            </w:r>
            <w:r>
              <w:rPr/>
              <w:t>7.0;</w:t>
            </w:r>
            <w:r>
              <w:rPr/>
              <w:t>10.0;</w:t>
            </w:r>
            <w:r>
              <w:rPr/>
              <w:t>）</w:t>
            </w:r>
          </w:p>
        </w:tc>
        <w:tc>
          <w:tcPr>
            <w:tcW w:type="dxa" w:w="5076"/>
          </w:tcPr>
          <w:p>
            <w:pPr>
              <w:pStyle w:val="null3"/>
              <w:jc w:val="left"/>
            </w:pPr>
            <w:r>
              <w:rPr/>
              <w:t>根据各投标人提供的项目实施方案（包括但不限于：实施工作计划、实施流程、除“四害”方案、白蚁（红火蚁）防治方案等内容）进行综合评审： 1.实施方案科学可行，思路清晰，目标明确，措施到位，针对性强，完全满足或优于用户需求的得10分； 2.实施方案较科学，思路较清晰，目标较明确，措施较到位，针对性较强，完全满足用户需求的得7分； 3.实施方案基本科学，思路较清晰，目标基本明确，措施基本到位，针对性较强，基本满足用户需求的得4分； 4.实施方案不够科学，思路不够清晰，目标不够明确，措施不够到位，针对不够强，不能完全满足用户需求的得1分； 5.未提供对应方案的不得分。</w:t>
            </w:r>
          </w:p>
        </w:tc>
      </w:tr>
      <w:tr>
        <w:tc>
          <w:tcPr>
            <w:tcW w:type="dxa" w:w="922"/>
            <w:gridSpan w:val="2"/>
            <w:vMerge/>
          </w:tcPr>
          <w:p/>
        </w:tc>
        <w:tc>
          <w:tcPr>
            <w:tcW w:type="dxa" w:w="2307"/>
          </w:tcPr>
          <w:p>
            <w:pPr>
              <w:pStyle w:val="null3"/>
              <w:jc w:val="left"/>
            </w:pPr>
            <w:r>
              <w:rPr/>
              <w:t>药物投入计划及安全保证措施 (10.0分)</w:t>
            </w:r>
            <w:r>
              <w:rPr/>
              <w:t>，（等次分值选择：</w:t>
            </w:r>
            <w:r>
              <w:rPr/>
              <w:t>0.0;</w:t>
            </w:r>
            <w:r>
              <w:rPr/>
              <w:t>1.0;</w:t>
            </w:r>
            <w:r>
              <w:rPr/>
              <w:t>4.0;</w:t>
            </w:r>
            <w:r>
              <w:rPr/>
              <w:t>7.0;</w:t>
            </w:r>
            <w:r>
              <w:rPr/>
              <w:t>10.0;</w:t>
            </w:r>
            <w:r>
              <w:rPr/>
              <w:t>）</w:t>
            </w:r>
          </w:p>
        </w:tc>
        <w:tc>
          <w:tcPr>
            <w:tcW w:type="dxa" w:w="5076"/>
          </w:tcPr>
          <w:p>
            <w:pPr>
              <w:pStyle w:val="null3"/>
              <w:jc w:val="left"/>
            </w:pPr>
            <w:r>
              <w:rPr/>
              <w:t>根据各投标人提供的药物投入计划及安全保证措施（包括但不限于：药物供应渠道、保管规范、配备的药物是否适用、使用安全保证措施等内容）进行综合评审： 1.药物投入计划及安全保证措施全面完善、非常详细、表述非常清晰、合理性高，完全满足并优于采购需求要求，得10分； 2.药物投入计划及安全保证措施全面、比较详细、表述清晰、合理，满足并部分优于采购需求要求的，得7分； 3.药物投入计划及安全保证措施比较具体、内容简单，满足采购需求要求的，得4分； 4.药物投入计划及安全保证措施部分具体、不够清晰，部分满足采购需求要求的，得1分； 5.未提供对应方案的不得分。</w:t>
            </w:r>
          </w:p>
        </w:tc>
      </w:tr>
      <w:tr>
        <w:tc>
          <w:tcPr>
            <w:tcW w:type="dxa" w:w="922"/>
            <w:gridSpan w:val="2"/>
            <w:vMerge/>
          </w:tcPr>
          <w:p/>
        </w:tc>
        <w:tc>
          <w:tcPr>
            <w:tcW w:type="dxa" w:w="2307"/>
          </w:tcPr>
          <w:p>
            <w:pPr>
              <w:pStyle w:val="null3"/>
              <w:jc w:val="left"/>
            </w:pPr>
            <w:r>
              <w:rPr/>
              <w:t>质量保证措施 (10.0分)</w:t>
            </w:r>
            <w:r>
              <w:rPr/>
              <w:t>，（等次分值选择：</w:t>
            </w:r>
            <w:r>
              <w:rPr/>
              <w:t>0.0;</w:t>
            </w:r>
            <w:r>
              <w:rPr/>
              <w:t>1.0;</w:t>
            </w:r>
            <w:r>
              <w:rPr/>
              <w:t>4.0;</w:t>
            </w:r>
            <w:r>
              <w:rPr/>
              <w:t>7.0;</w:t>
            </w:r>
            <w:r>
              <w:rPr/>
              <w:t>10.0;</w:t>
            </w:r>
            <w:r>
              <w:rPr/>
              <w:t>）</w:t>
            </w:r>
          </w:p>
        </w:tc>
        <w:tc>
          <w:tcPr>
            <w:tcW w:type="dxa" w:w="5076"/>
          </w:tcPr>
          <w:p>
            <w:pPr>
              <w:pStyle w:val="null3"/>
              <w:jc w:val="left"/>
            </w:pPr>
            <w:r>
              <w:rPr/>
              <w:t>根据各投标人提供的质量保证措施（包括但不限于质量目标、质量保证体系、质量控制措施等内容）进行综合评审： 1.质量目标清晰、明确，质量保证体系完整、规范，质量控制措施合理、可行，得10分； 2.质量目标较清晰、明确，质量保证体系较完整、规范，质量控制措施较合理、可行，得7分； 3.质量目标基本清晰、明确，质量保证体系基本完整、规范，质量控制措施基本合理、可行，得4分； 4.质量目标不够清晰、不够明确，质量保证体系不够完整、不够规范，质量管理措施不够合理，得1分； 5.未提供对应方案的不得分。</w:t>
            </w:r>
          </w:p>
        </w:tc>
      </w:tr>
      <w:tr>
        <w:tc>
          <w:tcPr>
            <w:tcW w:type="dxa" w:w="922"/>
            <w:gridSpan w:val="2"/>
            <w:vMerge/>
          </w:tcPr>
          <w:p/>
        </w:tc>
        <w:tc>
          <w:tcPr>
            <w:tcW w:type="dxa" w:w="2307"/>
          </w:tcPr>
          <w:p>
            <w:pPr>
              <w:pStyle w:val="null3"/>
              <w:jc w:val="left"/>
            </w:pPr>
            <w:r>
              <w:rPr/>
              <w:t>应急方案 (10.0分)</w:t>
            </w:r>
            <w:r>
              <w:rPr/>
              <w:t>，（等次分值选择：</w:t>
            </w:r>
            <w:r>
              <w:rPr/>
              <w:t>0.0;</w:t>
            </w:r>
            <w:r>
              <w:rPr/>
              <w:t>1.0;</w:t>
            </w:r>
            <w:r>
              <w:rPr/>
              <w:t>4.0;</w:t>
            </w:r>
            <w:r>
              <w:rPr/>
              <w:t>7.0;</w:t>
            </w:r>
            <w:r>
              <w:rPr/>
              <w:t>10.0;</w:t>
            </w:r>
            <w:r>
              <w:rPr/>
              <w:t>）</w:t>
            </w:r>
          </w:p>
        </w:tc>
        <w:tc>
          <w:tcPr>
            <w:tcW w:type="dxa" w:w="5076"/>
          </w:tcPr>
          <w:p>
            <w:pPr>
              <w:pStyle w:val="null3"/>
              <w:jc w:val="left"/>
            </w:pPr>
            <w:r>
              <w:rPr/>
              <w:t>根据各投标人提供的应急方案（包括但不限于：突发状况、应急响应流程、应急处理措施、应急人员和设备调配等内容）进行综合评审： 1.应急方案全面完善、非常详细、表述非常清晰、合理性高，完全满足并优于采购需求要求，得10分； 2.应急方案全面、比较详细、表述清晰、合理，满足并部分优于采购需求要求的，得7分； 3.应急方案比较具体、内容简单，满足采购需求要求的，得4分； 4.应急方案部分具体、不够清晰，部分满足采购需求要求的，得1分； 5.未提供对应方案的不得分。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(15.0分)</w:t>
            </w:r>
          </w:p>
        </w:tc>
        <w:tc>
          <w:tcPr>
            <w:tcW w:type="dxa" w:w="5076"/>
          </w:tcPr>
          <w:p>
            <w:pPr>
              <w:pStyle w:val="null3"/>
              <w:jc w:val="left"/>
            </w:pPr>
            <w:r>
              <w:rPr/>
              <w:t>投标人具有除“四害”服务或病媒生物防制服务或白蚁、红火蚁防治服务业绩，每提供一个得3分，最高得15分。 注：须提供合同关键页复印件并加盖投标人公章。</w:t>
            </w:r>
          </w:p>
        </w:tc>
      </w:tr>
      <w:tr>
        <w:tc>
          <w:tcPr>
            <w:tcW w:type="dxa" w:w="922"/>
            <w:gridSpan w:val="2"/>
            <w:vMerge/>
          </w:tcPr>
          <w:p/>
        </w:tc>
        <w:tc>
          <w:tcPr>
            <w:tcW w:type="dxa" w:w="2307"/>
          </w:tcPr>
          <w:p>
            <w:pPr>
              <w:pStyle w:val="null3"/>
              <w:jc w:val="left"/>
            </w:pPr>
            <w:r>
              <w:rPr/>
              <w:t>管理体系认证 (3.0分)</w:t>
            </w:r>
          </w:p>
        </w:tc>
        <w:tc>
          <w:tcPr>
            <w:tcW w:type="dxa" w:w="5076"/>
          </w:tcPr>
          <w:p>
            <w:pPr>
              <w:pStyle w:val="null3"/>
              <w:jc w:val="left"/>
            </w:pPr>
            <w:r>
              <w:rPr/>
              <w:t>投标人具有有效期内的:①质量管理体系认证证书，②环境管理体系认证证书，③职业健康安全管理体系认证证书，每个得1分，本项最高得3分。 注:提供认证证书复印件并加盖投标人公章。</w:t>
            </w:r>
          </w:p>
        </w:tc>
      </w:tr>
      <w:tr>
        <w:tc>
          <w:tcPr>
            <w:tcW w:type="dxa" w:w="922"/>
            <w:gridSpan w:val="2"/>
            <w:vMerge/>
          </w:tcPr>
          <w:p/>
        </w:tc>
        <w:tc>
          <w:tcPr>
            <w:tcW w:type="dxa" w:w="2307"/>
          </w:tcPr>
          <w:p>
            <w:pPr>
              <w:pStyle w:val="null3"/>
              <w:jc w:val="left"/>
            </w:pPr>
            <w:r>
              <w:rPr/>
              <w:t>服务响应时间 (2.0分)</w:t>
            </w:r>
          </w:p>
        </w:tc>
        <w:tc>
          <w:tcPr>
            <w:tcW w:type="dxa" w:w="5076"/>
          </w:tcPr>
          <w:p>
            <w:pPr>
              <w:pStyle w:val="null3"/>
              <w:jc w:val="left"/>
            </w:pPr>
            <w:r>
              <w:rPr/>
              <w:t>根据投标人的服务响应时间进行评分： 1.投标人承诺接到采购人通知后1小时内（含）响应并到达采购人指定地点，得2分； 2.投标人承诺接到采购人通知后1小时（不含）～2小时内（含）响应并到达采购人指定地点，得1分； 3.投标人承诺接到采购人通知后2小时（不含）～3小时内（含）响应并到达采购人指定地点，得0.5分； 4.其他不得分。 注：须提供单独的承诺函加盖投标人公章。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采购合同详见附件</w:t>
      </w:r>
    </w:p>
    <w:p>
      <w:pPr>
        <w:pStyle w:val="null3"/>
        <w:spacing w:before="0" w:after="0"/>
        <w:ind w:left="0" w:right="0"/>
        <w:jc w:val="center"/>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441900002-2024-00723</w:t>
      </w:r>
    </w:p>
    <w:p>
      <w:pPr>
        <w:pStyle w:val="null3"/>
        <w:jc w:val="center"/>
        <w:outlineLvl w:val="3"/>
      </w:pPr>
      <w:r>
        <w:rPr>
          <w:sz w:val="24"/>
          <w:b/>
        </w:rPr>
        <w:t>采购项目编号：</w:t>
      </w:r>
      <w:r>
        <w:rPr>
          <w:sz w:val="24"/>
          <w:b/>
        </w:rPr>
        <w:t>DCCG2024071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广东溢盛项目管理有限公司</w:t>
      </w:r>
    </w:p>
    <w:p>
      <w:pPr>
        <w:pStyle w:val="null3"/>
        <w:ind w:firstLine="480"/>
      </w:pPr>
      <w:r>
        <w:rPr/>
        <w:t xml:space="preserve"> 你方组织的</w:t>
      </w:r>
      <w:r>
        <w:rPr>
          <w:u w:val="single"/>
        </w:rPr>
        <w:t>“</w:t>
      </w:r>
      <w:r>
        <w:rPr>
          <w:u w:val="single"/>
        </w:rPr>
        <w:t>东城街道除“四害”及白蚁、红火蚁防治服务项目（2024-2027年）</w:t>
      </w:r>
      <w:r>
        <w:rPr>
          <w:u w:val="single"/>
        </w:rPr>
        <w:t>”</w:t>
      </w:r>
      <w:r>
        <w:rPr/>
        <w:t>项目的招标[采购项目编号为：</w:t>
      </w:r>
      <w:r>
        <w:rPr>
          <w:u w:val="single"/>
        </w:rPr>
        <w:t>DCCG2024071</w:t>
      </w:r>
      <w:r>
        <w:rPr/>
        <w:t>]，我方愿参与投标。</w:t>
      </w:r>
    </w:p>
    <w:p>
      <w:pPr>
        <w:pStyle w:val="null3"/>
        <w:ind w:firstLine="480"/>
      </w:pPr>
      <w:r>
        <w:rPr/>
        <w:t>我方确认收到贵方提供的</w:t>
      </w:r>
      <w:r>
        <w:rPr>
          <w:u w:val="single"/>
        </w:rPr>
        <w:t>“</w:t>
      </w:r>
      <w:r>
        <w:rPr>
          <w:u w:val="single"/>
        </w:rPr>
        <w:t>东城街道除“四害”及白蚁、红火蚁防治服务项目（2024-2027年）</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广东溢盛项目管理有限公司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东城街道除“四害”及白蚁、红火蚁防治服务项目（2024-2027年）</w:t>
      </w:r>
      <w:r>
        <w:rPr/>
        <w:t>”项目采购[采购项目编号为</w:t>
      </w:r>
      <w:r>
        <w:rPr/>
        <w:t>DCCG2024071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东莞市东城公用事业服务中心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广东溢盛项目管理有限公司</w:t>
      </w:r>
    </w:p>
    <w:p>
      <w:pPr>
        <w:pStyle w:val="null3"/>
        <w:ind w:firstLine="480"/>
      </w:pPr>
      <w:r>
        <w:rPr/>
        <w:t xml:space="preserve"> 如果我方在贵采购代理机构组织的</w:t>
      </w:r>
      <w:r>
        <w:rPr/>
        <w:t>东城街道除“四害”及白蚁、红火蚁防治服务项目（2024-2027年）</w:t>
      </w:r>
      <w:r>
        <w:rPr/>
        <w:t>招标中获中标（采购项目编号：</w:t>
      </w:r>
      <w:r>
        <w:rPr/>
        <w:t>DCCG2024071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广东溢盛项目管理有限公司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广东溢盛项目管理有限公司</w:t>
      </w:r>
    </w:p>
    <w:p>
      <w:pPr>
        <w:pStyle w:val="null3"/>
        <w:ind w:firstLine="480"/>
      </w:pPr>
      <w:r>
        <w:rPr/>
        <w:t>我单位已登记并准备参与“</w:t>
      </w:r>
      <w:r>
        <w:rPr/>
        <w:t>东城街道除“四害”及白蚁、红火蚁防治服务项目（2024-2027年）</w:t>
      </w:r>
      <w:r>
        <w:rPr/>
        <w:t>”项目（采购项目编号：</w:t>
      </w:r>
      <w:r>
        <w:rPr/>
        <w:t>DCCG2024071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