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政府采购</w:t>
      </w:r>
    </w:p>
    <w:p>
      <w:pPr>
        <w:pStyle w:val="null3"/>
        <w:jc w:val="center"/>
        <w:outlineLvl w:val="0"/>
      </w:pPr>
      <w:r>
        <w:rPr>
          <w:sz w:val="48"/>
          <w:b/>
        </w:rPr>
        <w:t>招 标 文 件</w:t>
      </w:r>
    </w:p>
    <w:p>
      <w:pPr>
        <w:pStyle w:val="null3"/>
        <w:jc w:val="center"/>
        <w:outlineLvl w:val="2"/>
      </w:pPr>
      <w:r>
        <w:rPr>
          <w:sz w:val="28"/>
          <w:b/>
        </w:rPr>
        <w:t>（服务类）</w:t>
      </w:r>
    </w:p>
    <w:p>
      <w:pPr>
        <w:pStyle w:val="null3"/>
        <w:jc w:val="center"/>
      </w:pPr>
      <w:r>
        <w:rPr/>
        <w:t>本项目采用线上电子化交易模式</w:t>
      </w:r>
    </w:p>
    <w:p>
      <w:pPr>
        <w:pStyle w:val="null3"/>
        <w:jc w:val="center"/>
        <w:outlineLvl w:val="2"/>
      </w:pPr>
      <w:r>
        <w:rPr>
          <w:sz w:val="28"/>
          <w:b/>
        </w:rPr>
        <w:t>采购项目名称：</w:t>
      </w:r>
      <w:r>
        <w:rPr>
          <w:sz w:val="28"/>
          <w:b/>
        </w:rPr>
        <w:t>望城区公共绿地白蚁防治项目一标（河东片区）</w:t>
      </w:r>
    </w:p>
    <w:p>
      <w:pPr>
        <w:pStyle w:val="null3"/>
        <w:jc w:val="center"/>
        <w:outlineLvl w:val="2"/>
      </w:pPr>
      <w:r>
        <w:rPr>
          <w:sz w:val="28"/>
          <w:b/>
        </w:rPr>
        <w:t>采购项目编号：</w:t>
      </w:r>
      <w:r>
        <w:rPr>
          <w:sz w:val="28"/>
          <w:b/>
        </w:rPr>
        <w:t>WCCG-202407030039</w:t>
      </w:r>
    </w:p>
    <w:p>
      <w:pPr>
        <w:pStyle w:val="null3"/>
        <w:jc w:val="center"/>
        <w:outlineLvl w:val="2"/>
      </w:pPr>
      <w:r>
        <w:rPr>
          <w:sz w:val="28"/>
          <w:b/>
        </w:rPr>
        <w:t>长沙市望城区园林绿化维护中心</w:t>
      </w:r>
    </w:p>
    <w:p>
      <w:pPr>
        <w:pStyle w:val="null3"/>
        <w:jc w:val="center"/>
        <w:outlineLvl w:val="2"/>
      </w:pPr>
      <w:r>
        <w:rPr>
          <w:sz w:val="28"/>
          <w:b/>
        </w:rPr>
        <w:t>湖南邦邦项目管理有限公司</w:t>
      </w:r>
      <w:r>
        <w:rPr>
          <w:sz w:val="28"/>
          <w:b/>
        </w:rPr>
        <w:t>共同编制</w:t>
      </w:r>
    </w:p>
    <w:p>
      <w:pPr>
        <w:pStyle w:val="null3"/>
        <w:jc w:val="center"/>
        <w:outlineLvl w:val="2"/>
      </w:pPr>
      <w:r>
        <w:rPr>
          <w:sz w:val="28"/>
          <w:b/>
        </w:rPr>
        <w:t>编制时间</w:t>
      </w:r>
      <w:r>
        <w:rPr>
          <w:sz w:val="28"/>
          <w:b/>
        </w:rPr>
        <w:t>：</w:t>
      </w:r>
      <w:r>
        <w:rPr>
          <w:sz w:val="28"/>
          <w:b/>
        </w:rPr>
        <w:t>2024年07月12日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湖南邦邦项目管理有限公司</w:t>
      </w:r>
      <w:r>
        <w:rPr/>
        <w:t xml:space="preserve"> (以下简称“代理机构”)受 </w:t>
      </w:r>
      <w:r>
        <w:rPr/>
        <w:t>长沙市望城区园林绿化维护中心</w:t>
      </w:r>
      <w:r>
        <w:rPr/>
        <w:t xml:space="preserve"> 委托，拟对 </w:t>
      </w:r>
      <w:r>
        <w:rPr/>
        <w:t>望城区公共绿地白蚁防治项目一标（河东片区）</w:t>
      </w:r>
      <w:r>
        <w:rPr/>
        <w:t xml:space="preserve"> 进行国内公开招标，兹邀请符合本次招标要求的供应商参加投标。</w:t>
      </w:r>
    </w:p>
    <w:p>
      <w:pPr>
        <w:pStyle w:val="null3"/>
        <w:ind w:firstLine="480"/>
        <w:jc w:val="left"/>
        <w:outlineLvl w:val="2"/>
      </w:pPr>
      <w:r>
        <w:rPr>
          <w:sz w:val="28"/>
          <w:b/>
        </w:rPr>
        <w:t>一、采购项目编号</w:t>
      </w:r>
      <w:r>
        <w:rPr>
          <w:sz w:val="28"/>
          <w:b/>
        </w:rPr>
        <w:t xml:space="preserve">： </w:t>
      </w:r>
      <w:r>
        <w:rPr>
          <w:sz w:val="28"/>
          <w:b/>
        </w:rPr>
        <w:t>WCCG-202407030039</w:t>
      </w:r>
    </w:p>
    <w:p>
      <w:pPr>
        <w:pStyle w:val="null3"/>
        <w:ind w:firstLine="480"/>
        <w:jc w:val="left"/>
        <w:outlineLvl w:val="2"/>
      </w:pPr>
      <w:r>
        <w:rPr>
          <w:sz w:val="28"/>
          <w:b/>
        </w:rPr>
        <w:t>二、采购项目名称</w:t>
      </w:r>
      <w:r>
        <w:rPr>
          <w:sz w:val="28"/>
          <w:b/>
        </w:rPr>
        <w:t xml:space="preserve">： </w:t>
      </w:r>
      <w:r>
        <w:rPr>
          <w:sz w:val="28"/>
          <w:b/>
        </w:rPr>
        <w:t>望城区公共绿地白蚁防治项目一标（河东片区）</w:t>
      </w:r>
    </w:p>
    <w:p>
      <w:pPr>
        <w:pStyle w:val="null3"/>
        <w:ind w:firstLine="480"/>
        <w:jc w:val="left"/>
        <w:outlineLvl w:val="2"/>
      </w:pPr>
      <w:r>
        <w:rPr>
          <w:sz w:val="28"/>
          <w:b/>
        </w:rPr>
        <w:t>三、招标项目简介</w:t>
      </w:r>
    </w:p>
    <w:p>
      <w:pPr>
        <w:pStyle w:val="null3"/>
        <w:ind w:firstLine="480"/>
        <w:jc w:val="left"/>
      </w:pPr>
      <w:r>
        <w:rPr/>
        <w:t>长沙市望城区园林绿化维护中心望城区公共绿地白蚁防治项目一标（河东片区）</w:t>
      </w:r>
    </w:p>
    <w:p>
      <w:pPr>
        <w:pStyle w:val="null3"/>
        <w:ind w:firstLine="480"/>
        <w:jc w:val="left"/>
        <w:outlineLvl w:val="2"/>
      </w:pPr>
      <w:r>
        <w:rPr>
          <w:sz w:val="28"/>
          <w:b/>
        </w:rPr>
        <w:t>四、供应商参加本次政府采购活动应具备的条件</w:t>
      </w:r>
    </w:p>
    <w:p>
      <w:pPr>
        <w:pStyle w:val="null3"/>
        <w:ind w:firstLine="480"/>
      </w:pPr>
      <w:r>
        <w:rPr/>
        <w:t>1.满足《中华人民共和国政府采购法》第二十二条规定；</w:t>
      </w:r>
    </w:p>
    <w:p>
      <w:pPr>
        <w:pStyle w:val="null3"/>
        <w:ind w:firstLine="480"/>
      </w:pPr>
      <w:r>
        <w:rPr/>
        <w:t>2.落实政府采购政策需满足的资格要求：详见第四章</w:t>
      </w:r>
    </w:p>
    <w:p>
      <w:pPr>
        <w:pStyle w:val="null3"/>
        <w:ind w:firstLine="480"/>
      </w:pPr>
      <w:r>
        <w:rPr/>
        <w:t>3.本项目的特定资格要求：详见第四章</w:t>
      </w:r>
    </w:p>
    <w:p>
      <w:pPr>
        <w:pStyle w:val="null3"/>
        <w:ind w:firstLine="480"/>
        <w:jc w:val="left"/>
        <w:outlineLvl w:val="2"/>
      </w:pPr>
      <w:r>
        <w:rPr>
          <w:sz w:val="28"/>
          <w:b/>
        </w:rPr>
        <w:t>五、电子化采购相关事项</w:t>
      </w:r>
    </w:p>
    <w:p>
      <w:pPr>
        <w:pStyle w:val="null3"/>
        <w:ind w:firstLine="480"/>
        <w:jc w:val="left"/>
      </w:pPr>
      <w:r>
        <w:rPr/>
        <w:t>本项目采购过程中需要使用项目电子化交易系统，登录方式及地址：通过长沙市政府采购网（http://changs.ccgp-hunan.gov.cn/）首页项目电子化交易系统登录，供应商应当按照以下要求进行系统操作。</w:t>
      </w:r>
    </w:p>
    <w:p>
      <w:pPr>
        <w:pStyle w:val="null3"/>
        <w:ind w:firstLine="480"/>
      </w:pPr>
      <w:r>
        <w:rPr/>
        <w:t>(一)供应商应当自行在长沙市政府采购网-供应商服务-下载中心查看相应的系统操作指南，并按照操作指南要求进行系统操作。在登录、使用项目电子化交易系统前，应当按照要求在长沙市政府采购网-供应商服务-供应商登记处完成供应商注册和信息完善。</w:t>
      </w:r>
    </w:p>
    <w:p>
      <w:pPr>
        <w:pStyle w:val="null3"/>
        <w:ind w:firstLine="480"/>
      </w:pPr>
      <w:r>
        <w:rPr/>
        <w:t>(二) 因电子投标需要，供应商应当使用数字证书及电子签章（以下简称“证书及签章”）进行系统操作。供应商使用证书及签章登录项目电子化交易系统进行的一切操作和资料传递，以及加盖电子签章确认采购过程中制作、交换的电子数据，均属于供应商真实意思表示，由供应商对其操作行为和确认的事项承担法律责任。</w:t>
      </w:r>
    </w:p>
    <w:p>
      <w:pPr>
        <w:pStyle w:val="null3"/>
        <w:ind w:firstLine="480"/>
      </w:pPr>
      <w:r>
        <w:rPr/>
        <w:t>已办理证书及签章的供应商，校验证书及签章有效性后，即可按照系统操作要求进行身份信息绑定、权限设置和系统操作；未办理证书及签章的供应商，按要求办理证书及签章并校验有效性后，按照系统操作要求进行身份信息绑定、权限设置和系统操作。数字证书及签章具体办理及使用问题请联系湖南省数字认证服务中心有限公司（http://www.hunca.com.cn）。企业数字证书（含电子签章）现场办理地址：长沙市政府政务服务中心二楼北厅D10至D12窗口，咨询电话：4006682666。</w:t>
      </w:r>
    </w:p>
    <w:p>
      <w:pPr>
        <w:pStyle w:val="null3"/>
        <w:ind w:firstLine="480"/>
      </w:pPr>
      <w:r>
        <w:rPr/>
        <w:t>供应商应当加强证书及签章日常校验和妥善保管，确保在参加采购活动期间证书及签章能够正常使用；供应商应当做好证书及签章的内部授权管理，防止非授权操作。否则，产生的不利后果与法律责任由供应商自行承担。</w:t>
      </w:r>
    </w:p>
    <w:p>
      <w:pPr>
        <w:pStyle w:val="null3"/>
        <w:ind w:firstLine="480"/>
      </w:pPr>
      <w:r>
        <w:rPr/>
        <w:t>(三)供应商应当自行准备电子化采购所需的计算机终端、外设设备、软硬件及网络环境，及时下载安装用于电子投标的工具、驱动及相关软件，对所适应的软硬件及网络环境做好日常检查维护，在参与电子化政府采购活动时保障好软硬件及网络环境的正常运行，并承担因准备不足或保障不到位产生的不利后果。</w:t>
      </w:r>
    </w:p>
    <w:p>
      <w:pPr>
        <w:pStyle w:val="null3"/>
        <w:ind w:firstLine="480"/>
      </w:pPr>
      <w:r>
        <w:rPr/>
        <w:t>（四）供应商应合理规划获取电子招标文件及上传电子投标文件的时间，因上传时间不足等导致的不利后果由供应商自行承担。</w:t>
      </w:r>
    </w:p>
    <w:p>
      <w:pPr>
        <w:pStyle w:val="null3"/>
        <w:ind w:firstLine="480"/>
      </w:pPr>
      <w:r>
        <w:rPr/>
        <w:t>（五）本项目提供游客方式无需登录或注册即可获取采购需求用于了解本项目，对参与本项目的可通过潜在供应商方式登录项目电子化交易系统获取电子招标文件。通过潜在供应商方式获取了招标文件的视为投标人，方可对本项目进行质疑投诉。</w:t>
      </w:r>
    </w:p>
    <w:p>
      <w:pPr>
        <w:pStyle w:val="null3"/>
        <w:ind w:firstLine="480"/>
      </w:pPr>
      <w:r>
        <w:rPr/>
        <w:t>（六）本项目公告在长沙市政府采购网 （http://changs.ccgp-hunan.gov.cn/）发布，其他媒体发布如有与本项目公告不一致的，以长沙市政府采购网发布的为准。</w:t>
      </w:r>
    </w:p>
    <w:p>
      <w:pPr>
        <w:pStyle w:val="null3"/>
        <w:ind w:firstLine="480"/>
      </w:pPr>
      <w:r>
        <w:rPr/>
        <w:t>（七）项目电子化交易系统技术支持：</w:t>
      </w:r>
    </w:p>
    <w:p>
      <w:pPr>
        <w:pStyle w:val="null3"/>
        <w:ind w:firstLine="480"/>
      </w:pPr>
      <w:r>
        <w:rPr/>
        <w:t>在线客服：通过长沙政府采购网-在线客服进行咨询</w:t>
      </w:r>
    </w:p>
    <w:p>
      <w:pPr>
        <w:pStyle w:val="null3"/>
        <w:ind w:firstLine="480"/>
      </w:pPr>
      <w:r>
        <w:rPr/>
        <w:t>服务电话：0731-85910818</w:t>
      </w:r>
    </w:p>
    <w:p>
      <w:pPr>
        <w:pStyle w:val="null3"/>
        <w:ind w:firstLine="480"/>
      </w:pPr>
      <w:r>
        <w:rPr/>
        <w:t>证书及签章服务：通过4006682666查询</w:t>
      </w:r>
    </w:p>
    <w:p>
      <w:pPr>
        <w:pStyle w:val="null3"/>
        <w:ind w:firstLine="480"/>
      </w:pPr>
      <w:r>
        <w:rPr/>
        <w:t>（八）本公告按照政府采购有关法律法规要求由代理机构发布，长沙市政府采购网对其内容概不负责，亦不承担任何法律责任。</w:t>
      </w:r>
    </w:p>
    <w:p>
      <w:pPr>
        <w:pStyle w:val="null3"/>
        <w:ind w:firstLine="480"/>
        <w:jc w:val="left"/>
        <w:outlineLvl w:val="2"/>
      </w:pPr>
      <w:r>
        <w:rPr>
          <w:sz w:val="28"/>
          <w:b/>
        </w:rPr>
        <w:t>六、获取招标文件</w:t>
      </w:r>
    </w:p>
    <w:p>
      <w:pPr>
        <w:pStyle w:val="null3"/>
        <w:ind w:firstLine="480"/>
      </w:pPr>
      <w:r>
        <w:rPr/>
        <w:t>时间：详见采购公告或邀请书</w:t>
      </w:r>
    </w:p>
    <w:p>
      <w:pPr>
        <w:pStyle w:val="null3"/>
        <w:ind w:firstLine="480"/>
      </w:pPr>
      <w:r>
        <w:rPr/>
        <w:t>地点：项目电子化交易系统-投标（响应）管理-未获取采购文件中选择本项目获取采购文件</w:t>
      </w:r>
    </w:p>
    <w:p>
      <w:pPr>
        <w:pStyle w:val="null3"/>
        <w:ind w:firstLine="480"/>
      </w:pPr>
      <w:r>
        <w:rPr/>
        <w:t>方式：在线获取</w:t>
      </w:r>
    </w:p>
    <w:p>
      <w:pPr>
        <w:pStyle w:val="null3"/>
        <w:ind w:firstLine="480"/>
      </w:pPr>
      <w:r>
        <w:rPr/>
        <w:t>售价：0元</w:t>
      </w:r>
    </w:p>
    <w:p>
      <w:pPr>
        <w:pStyle w:val="null3"/>
        <w:ind w:firstLine="480"/>
        <w:jc w:val="left"/>
        <w:outlineLvl w:val="2"/>
      </w:pPr>
      <w:r>
        <w:rPr>
          <w:sz w:val="28"/>
          <w:b/>
        </w:rPr>
        <w:t>七、提交投标文件截止时间、开标时间和地点</w:t>
      </w:r>
    </w:p>
    <w:p>
      <w:pPr>
        <w:pStyle w:val="null3"/>
        <w:ind w:firstLine="480"/>
      </w:pPr>
      <w:r>
        <w:rPr/>
        <w:t>时间：详见采购公告或邀请书</w:t>
      </w:r>
    </w:p>
    <w:p>
      <w:pPr>
        <w:pStyle w:val="null3"/>
        <w:ind w:firstLine="480"/>
      </w:pPr>
      <w:r>
        <w:rPr/>
        <w:t>地点：通过项目电子化交易系统-投标（响应）管理在线提交投标文件；通过项目电子化交易系统-开标/开启大厅参与开标</w:t>
      </w:r>
    </w:p>
    <w:p>
      <w:pPr>
        <w:pStyle w:val="null3"/>
        <w:ind w:firstLine="480"/>
        <w:jc w:val="left"/>
        <w:outlineLvl w:val="2"/>
      </w:pPr>
      <w:r>
        <w:rPr>
          <w:sz w:val="28"/>
          <w:b/>
        </w:rPr>
        <w:t>八、联系方式</w:t>
      </w:r>
    </w:p>
    <w:p>
      <w:pPr>
        <w:pStyle w:val="null3"/>
        <w:ind w:firstLine="480"/>
        <w:jc w:val="left"/>
      </w:pPr>
      <w:r>
        <w:rPr/>
        <w:t>1.采购人信息</w:t>
      </w:r>
    </w:p>
    <w:p>
      <w:pPr>
        <w:pStyle w:val="null3"/>
        <w:ind w:firstLine="480"/>
        <w:jc w:val="left"/>
      </w:pPr>
      <w:r>
        <w:rPr/>
        <w:t xml:space="preserve"> 地址： </w:t>
      </w:r>
      <w:r>
        <w:rPr/>
        <w:t>长沙市望城区高塘岭街道玉龙街150号</w:t>
      </w:r>
    </w:p>
    <w:p>
      <w:pPr>
        <w:pStyle w:val="null3"/>
      </w:pPr>
      <w:r>
        <w:rPr/>
        <w:t xml:space="preserve"> 邮编： </w:t>
      </w:r>
      <w:r>
        <w:rPr/>
        <w:t>410200</w:t>
      </w:r>
    </w:p>
    <w:p>
      <w:pPr>
        <w:pStyle w:val="null3"/>
      </w:pPr>
      <w:r>
        <w:rPr/>
        <w:t xml:space="preserve"> 联系人： </w:t>
      </w:r>
      <w:r>
        <w:rPr/>
        <w:t>张亮</w:t>
      </w:r>
    </w:p>
    <w:p>
      <w:pPr>
        <w:pStyle w:val="null3"/>
      </w:pPr>
      <w:r>
        <w:rPr/>
        <w:t xml:space="preserve"> 联系电话： </w:t>
      </w:r>
      <w:r>
        <w:rPr/>
        <w:t>0731-81827997</w:t>
      </w:r>
    </w:p>
    <w:p>
      <w:pPr>
        <w:pStyle w:val="null3"/>
        <w:ind w:firstLine="480"/>
      </w:pPr>
      <w:r>
        <w:rPr/>
        <w:t>2.采购代理机构信息</w:t>
      </w:r>
    </w:p>
    <w:p>
      <w:pPr>
        <w:pStyle w:val="null3"/>
        <w:ind w:firstLine="480"/>
        <w:jc w:val="left"/>
      </w:pPr>
      <w:r>
        <w:rPr/>
        <w:t xml:space="preserve"> 地址： </w:t>
      </w:r>
      <w:r>
        <w:rPr/>
        <w:t>湖南省长沙市望城区红家坡路金桥国际未来城七栋1106</w:t>
      </w:r>
    </w:p>
    <w:p>
      <w:pPr>
        <w:pStyle w:val="null3"/>
      </w:pPr>
      <w:r>
        <w:rPr/>
        <w:t xml:space="preserve"> 邮编： </w:t>
      </w:r>
      <w:r>
        <w:rPr/>
        <w:t>410200</w:t>
      </w:r>
    </w:p>
    <w:p>
      <w:pPr>
        <w:pStyle w:val="null3"/>
      </w:pPr>
      <w:r>
        <w:rPr/>
        <w:t xml:space="preserve"> 联系人： </w:t>
      </w:r>
      <w:r>
        <w:rPr/>
        <w:t>李昊明、童锦波</w:t>
      </w:r>
    </w:p>
    <w:p>
      <w:pPr>
        <w:pStyle w:val="null3"/>
      </w:pPr>
      <w:r>
        <w:rPr/>
        <w:t xml:space="preserve"> 联系电话： </w:t>
      </w:r>
      <w:r>
        <w:rPr/>
        <w:t>0731-88058807</w:t>
      </w:r>
    </w:p>
    <w:p>
      <w:pPr>
        <w:pStyle w:val="null3"/>
      </w:pPr>
      <w:r>
        <w:rPr/>
        <w:t xml:space="preserve"> </w:t>
        <w:br/>
        <w:br w:type="page"/>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 目</w:t>
            </w:r>
          </w:p>
        </w:tc>
        <w:tc>
          <w:tcPr>
            <w:tcW w:type="dxa" w:w="2769"/>
          </w:tcPr>
          <w:p>
            <w:pPr>
              <w:pStyle w:val="null3"/>
            </w:pPr>
            <w:r>
              <w:rPr/>
              <w:t>内 容</w:t>
            </w:r>
          </w:p>
        </w:tc>
      </w:tr>
      <w:tr>
        <w:tc>
          <w:tcPr>
            <w:tcW w:type="dxa" w:w="2769"/>
          </w:tcPr>
          <w:p>
            <w:pPr>
              <w:pStyle w:val="null3"/>
            </w:pPr>
            <w:r>
              <w:rPr/>
              <w:t>1</w:t>
            </w:r>
          </w:p>
        </w:tc>
        <w:tc>
          <w:tcPr>
            <w:tcW w:type="dxa" w:w="2769"/>
          </w:tcPr>
          <w:p>
            <w:pPr>
              <w:pStyle w:val="null3"/>
            </w:pPr>
            <w:r>
              <w:rPr/>
              <w:t>采购预算</w:t>
            </w:r>
          </w:p>
        </w:tc>
        <w:tc>
          <w:tcPr>
            <w:tcW w:type="dxa" w:w="2769"/>
          </w:tcPr>
          <w:p>
            <w:pPr>
              <w:pStyle w:val="null3"/>
            </w:pPr>
            <w:r>
              <w:rPr/>
              <w:t xml:space="preserve">本项目采购预算为人民币 </w:t>
            </w:r>
            <w:r>
              <w:rPr/>
              <w:t>叁拾壹万零陆佰贰拾元整</w:t>
            </w:r>
            <w:r>
              <w:rPr/>
              <w:t>。</w:t>
            </w:r>
          </w:p>
          <w:p>
            <w:pPr>
              <w:pStyle w:val="null3"/>
            </w:pPr>
            <w:r>
              <w:rPr/>
              <w:t xml:space="preserve"> 超过采购预算与最高限价的报价将作无效投标处理。</w:t>
            </w:r>
          </w:p>
        </w:tc>
      </w:tr>
      <w:tr>
        <w:tc>
          <w:tcPr>
            <w:tcW w:type="dxa" w:w="2769"/>
          </w:tcPr>
          <w:p>
            <w:pPr>
              <w:pStyle w:val="null3"/>
            </w:pPr>
            <w:r>
              <w:rPr/>
              <w:t>2</w:t>
            </w:r>
          </w:p>
        </w:tc>
        <w:tc>
          <w:tcPr>
            <w:tcW w:type="dxa" w:w="2769"/>
          </w:tcPr>
          <w:p>
            <w:pPr>
              <w:pStyle w:val="null3"/>
            </w:pPr>
            <w:r>
              <w:rPr/>
              <w:t>项目总投资额</w:t>
            </w:r>
          </w:p>
        </w:tc>
        <w:tc>
          <w:tcPr>
            <w:tcW w:type="dxa" w:w="2769"/>
          </w:tcPr>
          <w:p>
            <w:pPr>
              <w:pStyle w:val="null3"/>
            </w:pPr>
            <w:r>
              <w:rPr/>
              <w:t>本项目为多年度延续性项目，共2年。</w:t>
            </w:r>
            <w:r>
              <w:rPr/>
              <w:t>项目总投资额为陆拾贰万壹仟贰佰肆拾元整人民币。</w:t>
            </w:r>
          </w:p>
          <w:p>
            <w:pPr>
              <w:pStyle w:val="null3"/>
            </w:pPr>
            <w:r>
              <w:rPr/>
              <w:t>项目总投资额仅作为供应商综合评估本项目预期收益并做出合理报价的参考，本项目总报价仍按照不超过采购预算进行报价</w:t>
            </w:r>
          </w:p>
        </w:tc>
      </w:tr>
      <w:tr>
        <w:tc>
          <w:tcPr>
            <w:tcW w:type="dxa" w:w="2769"/>
          </w:tcPr>
          <w:p>
            <w:pPr>
              <w:pStyle w:val="null3"/>
            </w:pPr>
            <w:r>
              <w:rPr/>
              <w:t>3</w:t>
            </w:r>
          </w:p>
        </w:tc>
        <w:tc>
          <w:tcPr>
            <w:tcW w:type="dxa" w:w="2769"/>
          </w:tcPr>
          <w:p>
            <w:pPr>
              <w:pStyle w:val="null3"/>
            </w:pPr>
            <w:r>
              <w:rPr/>
              <w:t>评标办法</w:t>
            </w:r>
          </w:p>
        </w:tc>
        <w:tc>
          <w:tcPr>
            <w:tcW w:type="dxa" w:w="2769"/>
          </w:tcPr>
          <w:p>
            <w:pPr>
              <w:pStyle w:val="null3"/>
            </w:pPr>
            <w:r>
              <w:rPr/>
              <w:t>采购包1：综合评分法</w:t>
            </w:r>
          </w:p>
        </w:tc>
      </w:tr>
      <w:tr>
        <w:tc>
          <w:tcPr>
            <w:tcW w:type="dxa" w:w="2769"/>
          </w:tcPr>
          <w:p>
            <w:pPr>
              <w:pStyle w:val="null3"/>
            </w:pPr>
            <w:r>
              <w:rPr/>
              <w:t>4</w:t>
            </w:r>
          </w:p>
        </w:tc>
        <w:tc>
          <w:tcPr>
            <w:tcW w:type="dxa" w:w="2769"/>
          </w:tcPr>
          <w:p>
            <w:pPr>
              <w:pStyle w:val="null3"/>
            </w:pPr>
            <w:r>
              <w:rPr/>
              <w:t>是否接受联合体</w:t>
            </w:r>
          </w:p>
        </w:tc>
        <w:tc>
          <w:tcPr>
            <w:tcW w:type="dxa" w:w="2769"/>
          </w:tcPr>
          <w:p>
            <w:pPr>
              <w:pStyle w:val="null3"/>
            </w:pPr>
            <w:r>
              <w:rPr/>
              <w:t>采购包1：不接受</w:t>
            </w:r>
          </w:p>
          <w:p>
            <w:pPr>
              <w:pStyle w:val="null3"/>
            </w:pP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p>
            <w:pPr>
              <w:pStyle w:val="null3"/>
            </w:pPr>
            <w:r>
              <w:rPr/>
              <w:t xml:space="preserve"> （4）以联合体形式参加政府采购活动的，联合体各方不得再单独参加或者与其他供应商另外组成联合体参加同一合同项下的政府采购活动。</w:t>
            </w:r>
          </w:p>
        </w:tc>
      </w:tr>
      <w:tr>
        <w:tc>
          <w:tcPr>
            <w:tcW w:type="dxa" w:w="2769"/>
          </w:tcPr>
          <w:p>
            <w:pPr>
              <w:pStyle w:val="null3"/>
            </w:pPr>
            <w:r>
              <w:rPr/>
              <w:t>5</w:t>
            </w:r>
          </w:p>
        </w:tc>
        <w:tc>
          <w:tcPr>
            <w:tcW w:type="dxa" w:w="2769"/>
          </w:tcPr>
          <w:p>
            <w:pPr>
              <w:pStyle w:val="null3"/>
            </w:pPr>
            <w:r>
              <w:rPr/>
              <w:t>采购人是否允许合同分包</w:t>
            </w:r>
          </w:p>
        </w:tc>
        <w:tc>
          <w:tcPr>
            <w:tcW w:type="dxa" w:w="2769"/>
          </w:tcPr>
          <w:p>
            <w:pPr>
              <w:pStyle w:val="null3"/>
            </w:pPr>
            <w:r>
              <w:rPr/>
              <w:t>采购包1：不同意分包。</w:t>
            </w:r>
          </w:p>
        </w:tc>
      </w:tr>
      <w:tr>
        <w:tc>
          <w:tcPr>
            <w:tcW w:type="dxa" w:w="2769"/>
          </w:tcPr>
          <w:p>
            <w:pPr>
              <w:pStyle w:val="null3"/>
            </w:pPr>
            <w:r>
              <w:rPr/>
              <w:t>6</w:t>
            </w:r>
          </w:p>
        </w:tc>
        <w:tc>
          <w:tcPr>
            <w:tcW w:type="dxa" w:w="2769"/>
          </w:tcPr>
          <w:p>
            <w:pPr>
              <w:pStyle w:val="null3"/>
            </w:pPr>
            <w:r>
              <w:rPr/>
              <w:t>中小企业政策要求</w:t>
            </w:r>
          </w:p>
        </w:tc>
        <w:tc>
          <w:tcPr>
            <w:tcW w:type="dxa" w:w="2769"/>
          </w:tcPr>
          <w:p>
            <w:pPr>
              <w:pStyle w:val="null3"/>
            </w:pPr>
            <w:r>
              <w:rPr/>
              <w:t>采购包1：面向中小企业,采购包专门预留</w:t>
            </w:r>
          </w:p>
        </w:tc>
      </w:tr>
      <w:tr>
        <w:tc>
          <w:tcPr>
            <w:tcW w:type="dxa" w:w="2769"/>
          </w:tcPr>
          <w:p>
            <w:pPr>
              <w:pStyle w:val="null3"/>
            </w:pPr>
            <w:r>
              <w:rPr/>
              <w:t>7</w:t>
            </w:r>
          </w:p>
        </w:tc>
        <w:tc>
          <w:tcPr>
            <w:tcW w:type="dxa" w:w="2769"/>
          </w:tcPr>
          <w:p>
            <w:pPr>
              <w:pStyle w:val="null3"/>
            </w:pPr>
            <w:r>
              <w:rPr/>
              <w:t>落实节能、环保政策要求</w:t>
            </w:r>
          </w:p>
          <w:p>
            <w:pPr>
              <w:pStyle w:val="null3"/>
            </w:pPr>
            <w:r>
              <w:rPr/>
              <w:t xml:space="preserve"> （实质性要求）</w:t>
            </w:r>
          </w:p>
        </w:tc>
        <w:tc>
          <w:tcPr>
            <w:tcW w:type="dxa" w:w="2769"/>
          </w:tcPr>
          <w:p>
            <w:pPr>
              <w:pStyle w:val="null3"/>
            </w:pPr>
            <w:r>
              <w:rPr/>
              <w:t xml:space="preserve"> 本项目不执行该政策。</w:t>
            </w:r>
          </w:p>
          <w:p>
            <w:pPr>
              <w:pStyle w:val="null3"/>
            </w:pPr>
          </w:p>
        </w:tc>
      </w:tr>
      <w:tr>
        <w:tc>
          <w:tcPr>
            <w:tcW w:type="dxa" w:w="2769"/>
          </w:tcPr>
          <w:p>
            <w:pPr>
              <w:pStyle w:val="null3"/>
            </w:pPr>
            <w:r>
              <w:rPr/>
              <w:t>8</w:t>
            </w:r>
          </w:p>
        </w:tc>
        <w:tc>
          <w:tcPr>
            <w:tcW w:type="dxa" w:w="2769"/>
          </w:tcPr>
          <w:p>
            <w:pPr>
              <w:pStyle w:val="null3"/>
            </w:pPr>
            <w:r>
              <w:rPr/>
              <w:t>落实无线局域网、信息安全产品政策要求</w:t>
            </w:r>
          </w:p>
          <w:p>
            <w:pPr>
              <w:pStyle w:val="null3"/>
            </w:pPr>
            <w:r>
              <w:rPr/>
              <w:t xml:space="preserve"> （实质性要求）</w:t>
            </w:r>
          </w:p>
        </w:tc>
        <w:tc>
          <w:tcPr>
            <w:tcW w:type="dxa" w:w="2769"/>
          </w:tcPr>
          <w:p>
            <w:pPr>
              <w:pStyle w:val="null3"/>
            </w:pPr>
            <w:r>
              <w:rPr/>
              <w:t xml:space="preserve"> 本项目不执行该政策。</w:t>
            </w:r>
          </w:p>
        </w:tc>
      </w:tr>
      <w:tr>
        <w:tc>
          <w:tcPr>
            <w:tcW w:type="dxa" w:w="2769"/>
          </w:tcPr>
          <w:p>
            <w:pPr>
              <w:pStyle w:val="null3"/>
            </w:pPr>
            <w:r>
              <w:rPr/>
              <w:t>9</w:t>
            </w:r>
          </w:p>
        </w:tc>
        <w:tc>
          <w:tcPr>
            <w:tcW w:type="dxa" w:w="2769"/>
          </w:tcPr>
          <w:p>
            <w:pPr>
              <w:pStyle w:val="null3"/>
            </w:pPr>
            <w:r>
              <w:rPr/>
              <w:t>两型（绿色）产品政策要求</w:t>
            </w:r>
          </w:p>
          <w:p>
            <w:pPr>
              <w:pStyle w:val="null3"/>
            </w:pPr>
            <w:r>
              <w:rPr/>
              <w:t xml:space="preserve"> （实质性要求）</w:t>
            </w:r>
          </w:p>
        </w:tc>
        <w:tc>
          <w:tcPr>
            <w:tcW w:type="dxa" w:w="2769"/>
          </w:tcPr>
          <w:p>
            <w:pPr>
              <w:pStyle w:val="null3"/>
            </w:pPr>
            <w:r>
              <w:rPr/>
              <w:t xml:space="preserve"> 本项目不执行该政策。</w:t>
            </w:r>
          </w:p>
        </w:tc>
      </w:tr>
      <w:tr>
        <w:tc>
          <w:tcPr>
            <w:tcW w:type="dxa" w:w="2769"/>
          </w:tcPr>
          <w:p>
            <w:pPr>
              <w:pStyle w:val="null3"/>
            </w:pPr>
            <w:r>
              <w:rPr/>
              <w:t>10</w:t>
            </w:r>
          </w:p>
        </w:tc>
        <w:tc>
          <w:tcPr>
            <w:tcW w:type="dxa" w:w="2769"/>
          </w:tcPr>
          <w:p>
            <w:pPr>
              <w:pStyle w:val="null3"/>
            </w:pPr>
            <w:r>
              <w:rPr/>
              <w:t>是否允许采购进口产品</w:t>
            </w:r>
          </w:p>
          <w:p>
            <w:pPr>
              <w:pStyle w:val="null3"/>
            </w:pPr>
            <w:r>
              <w:rPr/>
              <w:t xml:space="preserve"> （实质性要求）</w:t>
            </w:r>
          </w:p>
        </w:tc>
        <w:tc>
          <w:tcPr>
            <w:tcW w:type="dxa" w:w="2769"/>
          </w:tcPr>
          <w:p>
            <w:pPr>
              <w:pStyle w:val="null3"/>
            </w:pPr>
            <w:r>
              <w:rPr/>
              <w:t>不允许。本项目拒绝进口产品参加投标，有进口产品的，其投标文件将被视为无效投标处理。</w:t>
            </w:r>
          </w:p>
        </w:tc>
      </w:tr>
      <w:tr>
        <w:tc>
          <w:tcPr>
            <w:tcW w:type="dxa" w:w="2769"/>
          </w:tcPr>
          <w:p>
            <w:pPr>
              <w:pStyle w:val="null3"/>
            </w:pPr>
            <w:r>
              <w:rPr/>
              <w:t>11</w:t>
            </w:r>
          </w:p>
        </w:tc>
        <w:tc>
          <w:tcPr>
            <w:tcW w:type="dxa" w:w="2769"/>
          </w:tcPr>
          <w:p>
            <w:pPr>
              <w:pStyle w:val="null3"/>
            </w:pPr>
            <w:r>
              <w:rPr/>
              <w:t>充分、公平竞争保障措施</w:t>
            </w:r>
          </w:p>
        </w:tc>
        <w:tc>
          <w:tcPr>
            <w:tcW w:type="dxa" w:w="2769"/>
          </w:tcPr>
          <w:p>
            <w:pPr>
              <w:pStyle w:val="null3"/>
            </w:pPr>
            <w:r>
              <w:rPr/>
              <w:t>1、采购标的若存在核心产品，则核心产品允许有多个，不同投标人在本项目投标过程中提供了任意一个相同品牌的核心产品，即视为提供相同品牌的投标人。</w:t>
            </w:r>
          </w:p>
          <w:p>
            <w:pPr>
              <w:pStyle w:val="null3"/>
            </w:pPr>
            <w:r>
              <w:rPr/>
              <w:t xml:space="preserve"> 采用综合评分法的采购项目，提供相同品牌产品且通过资格审查、符合性审查的不同投标人参加同一合同项下投标的，按一家投标人计算。评审后得分最高的同品牌投标人获得中标供应商推荐资格；评审得分相同的，由采购人或者采购人委托评标委员会采取随机抽取方式确定一个投标人获得中标供应商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 xml:space="preserve"> 在符合性审查环节提供核心产品品牌不足3个的，视为有效投标人不足3家。</w:t>
            </w:r>
          </w:p>
          <w:p>
            <w:pPr>
              <w:pStyle w:val="null3"/>
            </w:pPr>
            <w:r>
              <w:rPr/>
              <w:t xml:space="preserve"> 2、不同投标人的投标文件的机器码一致的，视为无效投标处理。</w:t>
            </w:r>
          </w:p>
        </w:tc>
      </w:tr>
      <w:tr>
        <w:tc>
          <w:tcPr>
            <w:tcW w:type="dxa" w:w="2769"/>
          </w:tcPr>
          <w:p>
            <w:pPr>
              <w:pStyle w:val="null3"/>
            </w:pPr>
            <w:r>
              <w:rPr/>
              <w:t>12</w:t>
            </w:r>
          </w:p>
        </w:tc>
        <w:tc>
          <w:tcPr>
            <w:tcW w:type="dxa" w:w="2769"/>
          </w:tcPr>
          <w:p>
            <w:pPr>
              <w:pStyle w:val="null3"/>
            </w:pPr>
            <w:r>
              <w:rPr/>
              <w:t>不正当竞争预防措施</w:t>
            </w:r>
          </w:p>
        </w:tc>
        <w:tc>
          <w:tcPr>
            <w:tcW w:type="dxa" w:w="2769"/>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提交的说明，应当加盖电子签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2769"/>
          </w:tcPr>
          <w:p>
            <w:pPr>
              <w:pStyle w:val="null3"/>
            </w:pPr>
            <w:r>
              <w:rPr/>
              <w:t>13</w:t>
            </w:r>
          </w:p>
        </w:tc>
        <w:tc>
          <w:tcPr>
            <w:tcW w:type="dxa" w:w="2769"/>
          </w:tcPr>
          <w:p>
            <w:pPr>
              <w:pStyle w:val="null3"/>
            </w:pPr>
            <w:r>
              <w:rPr/>
              <w:t>投标保证金</w:t>
            </w:r>
          </w:p>
        </w:tc>
        <w:tc>
          <w:tcPr>
            <w:tcW w:type="dxa" w:w="2769"/>
          </w:tcPr>
          <w:p>
            <w:pPr>
              <w:pStyle w:val="null3"/>
            </w:pPr>
            <w:r>
              <w:rPr/>
              <w:t>本项目是否收取投标保证金：不收取</w:t>
            </w:r>
          </w:p>
          <w:p>
            <w:pPr>
              <w:pStyle w:val="null3"/>
            </w:pPr>
            <w:r>
              <w:rPr/>
              <w:t xml:space="preserve"> 违反政府采购相关规定给采购人造成损失的投标人应当承担赔偿责任。赔偿金额为项目预算金额的2%。</w:t>
            </w:r>
          </w:p>
          <w:p>
            <w:pPr>
              <w:pStyle w:val="null3"/>
            </w:pPr>
            <w:r>
              <w:rPr/>
              <w:t xml:space="preserve"> 具体赔偿情形： </w:t>
            </w:r>
            <w:r>
              <w:rPr/>
              <w:t>/</w:t>
            </w:r>
          </w:p>
        </w:tc>
      </w:tr>
      <w:tr>
        <w:tc>
          <w:tcPr>
            <w:tcW w:type="dxa" w:w="2769"/>
          </w:tcPr>
          <w:p>
            <w:pPr>
              <w:pStyle w:val="null3"/>
            </w:pPr>
            <w:r>
              <w:rPr/>
              <w:t>14</w:t>
            </w:r>
          </w:p>
        </w:tc>
        <w:tc>
          <w:tcPr>
            <w:tcW w:type="dxa" w:w="2769"/>
          </w:tcPr>
          <w:p>
            <w:pPr>
              <w:pStyle w:val="null3"/>
            </w:pPr>
            <w:r>
              <w:rPr/>
              <w:t>履约保证金</w:t>
            </w:r>
          </w:p>
        </w:tc>
        <w:tc>
          <w:tcPr>
            <w:tcW w:type="dxa" w:w="2769"/>
          </w:tcPr>
          <w:p>
            <w:pPr>
              <w:pStyle w:val="null3"/>
            </w:pPr>
            <w:r>
              <w:rPr/>
              <w:t>采购包1：不缴纳</w:t>
            </w:r>
          </w:p>
        </w:tc>
      </w:tr>
      <w:tr>
        <w:tc>
          <w:tcPr>
            <w:tcW w:type="dxa" w:w="2769"/>
          </w:tcPr>
          <w:p>
            <w:pPr>
              <w:pStyle w:val="null3"/>
            </w:pPr>
            <w:r>
              <w:rPr/>
              <w:t>15</w:t>
            </w:r>
          </w:p>
        </w:tc>
        <w:tc>
          <w:tcPr>
            <w:tcW w:type="dxa" w:w="2769"/>
          </w:tcPr>
          <w:p>
            <w:pPr>
              <w:pStyle w:val="null3"/>
            </w:pPr>
            <w:r>
              <w:rPr/>
              <w:t>预付款保函</w:t>
            </w:r>
          </w:p>
          <w:p>
            <w:pPr>
              <w:pStyle w:val="null3"/>
            </w:pPr>
            <w:r>
              <w:rPr/>
              <w:t xml:space="preserve"> （实质性要求）</w:t>
            </w:r>
          </w:p>
        </w:tc>
        <w:tc>
          <w:tcPr>
            <w:tcW w:type="dxa" w:w="2769"/>
          </w:tcPr>
          <w:p>
            <w:pPr>
              <w:pStyle w:val="null3"/>
            </w:pPr>
            <w:r>
              <w:rPr/>
              <w:t>不收取</w:t>
            </w:r>
          </w:p>
        </w:tc>
      </w:tr>
      <w:tr>
        <w:tc>
          <w:tcPr>
            <w:tcW w:type="dxa" w:w="2769"/>
          </w:tcPr>
          <w:p>
            <w:pPr>
              <w:pStyle w:val="null3"/>
            </w:pPr>
            <w:r>
              <w:rPr/>
              <w:t>16</w:t>
            </w:r>
          </w:p>
        </w:tc>
        <w:tc>
          <w:tcPr>
            <w:tcW w:type="dxa" w:w="2769"/>
          </w:tcPr>
          <w:p>
            <w:pPr>
              <w:pStyle w:val="null3"/>
            </w:pPr>
            <w:r>
              <w:rPr/>
              <w:t>是否要求提供样品</w:t>
            </w:r>
          </w:p>
        </w:tc>
        <w:tc>
          <w:tcPr>
            <w:tcW w:type="dxa" w:w="2769"/>
          </w:tcPr>
          <w:p>
            <w:pPr>
              <w:pStyle w:val="null3"/>
            </w:pPr>
            <w:r>
              <w:rPr/>
              <w:t>本项目无需提供样品。</w:t>
            </w:r>
          </w:p>
        </w:tc>
      </w:tr>
      <w:tr>
        <w:tc>
          <w:tcPr>
            <w:tcW w:type="dxa" w:w="2769"/>
          </w:tcPr>
          <w:p>
            <w:pPr>
              <w:pStyle w:val="null3"/>
            </w:pPr>
            <w:r>
              <w:rPr/>
              <w:t>17</w:t>
            </w:r>
          </w:p>
        </w:tc>
        <w:tc>
          <w:tcPr>
            <w:tcW w:type="dxa" w:w="2769"/>
          </w:tcPr>
          <w:p>
            <w:pPr>
              <w:pStyle w:val="null3"/>
            </w:pPr>
            <w:r>
              <w:rPr/>
              <w:t>踏勘现场</w:t>
            </w:r>
          </w:p>
        </w:tc>
        <w:tc>
          <w:tcPr>
            <w:tcW w:type="dxa" w:w="2769"/>
          </w:tcPr>
          <w:p>
            <w:pPr>
              <w:pStyle w:val="null3"/>
            </w:pPr>
            <w:r>
              <w:rPr/>
              <w:t>本项目不组织踏勘。</w:t>
            </w:r>
          </w:p>
        </w:tc>
      </w:tr>
      <w:tr>
        <w:tc>
          <w:tcPr>
            <w:tcW w:type="dxa" w:w="2769"/>
          </w:tcPr>
          <w:p>
            <w:pPr>
              <w:pStyle w:val="null3"/>
            </w:pPr>
            <w:r>
              <w:rPr/>
              <w:t>18</w:t>
            </w:r>
          </w:p>
        </w:tc>
        <w:tc>
          <w:tcPr>
            <w:tcW w:type="dxa" w:w="2769"/>
          </w:tcPr>
          <w:p>
            <w:pPr>
              <w:pStyle w:val="null3"/>
            </w:pPr>
            <w:r>
              <w:rPr/>
              <w:t>答疑会</w:t>
            </w:r>
          </w:p>
        </w:tc>
        <w:tc>
          <w:tcPr>
            <w:tcW w:type="dxa" w:w="2769"/>
          </w:tcPr>
          <w:p>
            <w:pPr>
              <w:pStyle w:val="null3"/>
            </w:pPr>
            <w:r>
              <w:rPr/>
              <w:t>本项目不组织答疑会。</w:t>
            </w:r>
          </w:p>
        </w:tc>
      </w:tr>
      <w:tr>
        <w:tc>
          <w:tcPr>
            <w:tcW w:type="dxa" w:w="2769"/>
          </w:tcPr>
          <w:p>
            <w:pPr>
              <w:pStyle w:val="null3"/>
            </w:pPr>
            <w:r>
              <w:rPr/>
              <w:t>19</w:t>
            </w:r>
          </w:p>
        </w:tc>
        <w:tc>
          <w:tcPr>
            <w:tcW w:type="dxa" w:w="2769"/>
          </w:tcPr>
          <w:p>
            <w:pPr>
              <w:pStyle w:val="null3"/>
            </w:pPr>
            <w:r>
              <w:rPr/>
              <w:t>投标有效期</w:t>
            </w:r>
          </w:p>
          <w:p>
            <w:pPr>
              <w:pStyle w:val="null3"/>
            </w:pPr>
            <w:r>
              <w:rPr/>
              <w:t xml:space="preserve"> （实质性要求）</w:t>
            </w:r>
          </w:p>
        </w:tc>
        <w:tc>
          <w:tcPr>
            <w:tcW w:type="dxa" w:w="2769"/>
          </w:tcPr>
          <w:p>
            <w:pPr>
              <w:pStyle w:val="null3"/>
            </w:pPr>
            <w:r>
              <w:rPr/>
              <w:t xml:space="preserve">投标截止日后 </w:t>
            </w:r>
            <w:r>
              <w:rPr/>
              <w:t>90</w:t>
            </w:r>
            <w:r>
              <w:rPr/>
              <w:t xml:space="preserve"> 天内有效，不足有效期的，其投标视为无效标。</w:t>
            </w:r>
          </w:p>
        </w:tc>
      </w:tr>
      <w:tr>
        <w:tc>
          <w:tcPr>
            <w:tcW w:type="dxa" w:w="2769"/>
          </w:tcPr>
          <w:p>
            <w:pPr>
              <w:pStyle w:val="null3"/>
            </w:pPr>
            <w:r>
              <w:rPr/>
              <w:t>20</w:t>
            </w:r>
          </w:p>
        </w:tc>
        <w:tc>
          <w:tcPr>
            <w:tcW w:type="dxa" w:w="2769"/>
          </w:tcPr>
          <w:p>
            <w:pPr>
              <w:pStyle w:val="null3"/>
            </w:pPr>
            <w:r>
              <w:rPr/>
              <w:t>代理服务费</w:t>
            </w:r>
          </w:p>
        </w:tc>
        <w:tc>
          <w:tcPr>
            <w:tcW w:type="dxa" w:w="2769"/>
          </w:tcPr>
          <w:p>
            <w:pPr>
              <w:pStyle w:val="null3"/>
            </w:pPr>
            <w:r>
              <w:rPr/>
              <w:t>本项目的代理服务费由采购人支付。</w:t>
            </w:r>
          </w:p>
        </w:tc>
      </w:tr>
      <w:tr>
        <w:tc>
          <w:tcPr>
            <w:tcW w:type="dxa" w:w="2769"/>
          </w:tcPr>
          <w:p>
            <w:pPr>
              <w:pStyle w:val="null3"/>
            </w:pPr>
            <w:r>
              <w:rPr/>
              <w:t>21</w:t>
            </w:r>
          </w:p>
        </w:tc>
        <w:tc>
          <w:tcPr>
            <w:tcW w:type="dxa" w:w="2769"/>
          </w:tcPr>
          <w:p>
            <w:pPr>
              <w:pStyle w:val="null3"/>
            </w:pPr>
            <w:r>
              <w:rPr/>
              <w:t>非实质性要求条款允许负偏离的最多项数</w:t>
            </w:r>
          </w:p>
          <w:p>
            <w:pPr>
              <w:pStyle w:val="null3"/>
            </w:pPr>
            <w:r>
              <w:rPr/>
              <w:t>（实质性要求）</w:t>
            </w:r>
          </w:p>
        </w:tc>
        <w:tc>
          <w:tcPr>
            <w:tcW w:type="dxa" w:w="2769"/>
          </w:tcPr>
          <w:p>
            <w:pPr>
              <w:pStyle w:val="null3"/>
            </w:pPr>
            <w:r>
              <w:rPr/>
              <w:t xml:space="preserve">非实质性要求条款偏离的项数≥ </w:t>
            </w:r>
            <w:r>
              <w:rPr/>
              <w:t>10</w:t>
            </w:r>
            <w:r>
              <w:rPr/>
              <w:t xml:space="preserve"> 项时，投标文件将做无效投标处理。</w:t>
            </w:r>
          </w:p>
          <w:p>
            <w:pPr>
              <w:pStyle w:val="null3"/>
            </w:pPr>
            <w:r>
              <w:rPr/>
              <w:t>非实质性要求条款偏离以技术响应/偏离表、商务响应/偏离表、合同响应/偏离表为准</w:t>
            </w:r>
          </w:p>
        </w:tc>
      </w:tr>
      <w:tr>
        <w:tc>
          <w:tcPr>
            <w:tcW w:type="dxa" w:w="2769"/>
          </w:tcPr>
          <w:p>
            <w:pPr>
              <w:pStyle w:val="null3"/>
            </w:pPr>
            <w:r>
              <w:rPr/>
              <w:t>22</w:t>
            </w:r>
          </w:p>
        </w:tc>
        <w:tc>
          <w:tcPr>
            <w:tcW w:type="dxa" w:w="2769"/>
          </w:tcPr>
          <w:p>
            <w:pPr>
              <w:pStyle w:val="null3"/>
            </w:pPr>
            <w:r>
              <w:rPr/>
              <w:t>公示公告发布</w:t>
            </w:r>
          </w:p>
          <w:p>
            <w:pPr>
              <w:pStyle w:val="null3"/>
            </w:pPr>
            <w:r>
              <w:rPr/>
              <w:t xml:space="preserve"> 媒体</w:t>
            </w:r>
          </w:p>
        </w:tc>
        <w:tc>
          <w:tcPr>
            <w:tcW w:type="dxa" w:w="2769"/>
          </w:tcPr>
          <w:p>
            <w:pPr>
              <w:pStyle w:val="null3"/>
            </w:pPr>
            <w:r>
              <w:rPr/>
              <w:t>公示公告等信息在长沙政府采购网（http://changs.ccgp-hunan.gov.cn/）发布，其他媒体发布与长沙政府采购网发布公告不一致的，以长沙政府采购网发布为准。</w:t>
            </w:r>
          </w:p>
        </w:tc>
      </w:tr>
      <w:tr>
        <w:tc>
          <w:tcPr>
            <w:tcW w:type="dxa" w:w="2769"/>
          </w:tcPr>
          <w:p>
            <w:pPr>
              <w:pStyle w:val="null3"/>
            </w:pPr>
            <w:r>
              <w:rPr/>
              <w:t>23</w:t>
            </w:r>
          </w:p>
        </w:tc>
        <w:tc>
          <w:tcPr>
            <w:tcW w:type="dxa" w:w="2769"/>
          </w:tcPr>
          <w:p>
            <w:pPr>
              <w:pStyle w:val="null3"/>
            </w:pPr>
            <w:r>
              <w:rPr/>
              <w:t>中标通知书</w:t>
            </w:r>
          </w:p>
        </w:tc>
        <w:tc>
          <w:tcPr>
            <w:tcW w:type="dxa" w:w="2769"/>
          </w:tcPr>
          <w:p>
            <w:pPr>
              <w:pStyle w:val="null3"/>
            </w:pPr>
            <w:r>
              <w:rPr/>
              <w:t>采购结果公告时，采购人、代理机构通过项目电子化交易系统向中标供应商发出中标通知书，中标供应商通过项目电子化交易系统获取中标通知书。</w:t>
            </w:r>
          </w:p>
        </w:tc>
      </w:tr>
      <w:tr>
        <w:tc>
          <w:tcPr>
            <w:tcW w:type="dxa" w:w="2769"/>
          </w:tcPr>
          <w:p>
            <w:pPr>
              <w:pStyle w:val="null3"/>
            </w:pPr>
            <w:r>
              <w:rPr/>
              <w:t>24</w:t>
            </w:r>
          </w:p>
        </w:tc>
        <w:tc>
          <w:tcPr>
            <w:tcW w:type="dxa" w:w="2769"/>
          </w:tcPr>
          <w:p>
            <w:pPr>
              <w:pStyle w:val="null3"/>
            </w:pPr>
            <w:r>
              <w:rPr/>
              <w:t>政府采购合同签订、备案、公告</w:t>
            </w:r>
          </w:p>
        </w:tc>
        <w:tc>
          <w:tcPr>
            <w:tcW w:type="dxa" w:w="2769"/>
          </w:tcPr>
          <w:p>
            <w:pPr>
              <w:pStyle w:val="null3"/>
            </w:pPr>
            <w:r>
              <w:rPr/>
              <w:t>中标供应商应在收到中标通知书后，三十日（鼓励二十日）内通过长沙市政府采购项目电子化交易系统与采购人签订政府采购电子合同，政府采购项目以签订的政府采购电子合同为准。合同签订后，政府采购电子合同将自动在长沙市政府采购网公告，合同内容存在涉及国家秘密、商业秘密的部分可不公告，采购人、中标供应商应向同级财政部门报告，在脱敏后公告。</w:t>
            </w:r>
          </w:p>
        </w:tc>
      </w:tr>
      <w:tr>
        <w:tc>
          <w:tcPr>
            <w:tcW w:type="dxa" w:w="2769"/>
          </w:tcPr>
          <w:p>
            <w:pPr>
              <w:pStyle w:val="null3"/>
            </w:pPr>
            <w:r>
              <w:rPr/>
              <w:t>25</w:t>
            </w:r>
          </w:p>
        </w:tc>
        <w:tc>
          <w:tcPr>
            <w:tcW w:type="dxa" w:w="2769"/>
          </w:tcPr>
          <w:p>
            <w:pPr>
              <w:pStyle w:val="null3"/>
            </w:pPr>
            <w:r>
              <w:rPr/>
              <w:t>政府采购合同融资</w:t>
            </w:r>
          </w:p>
        </w:tc>
        <w:tc>
          <w:tcPr>
            <w:tcW w:type="dxa" w:w="2769"/>
          </w:tcPr>
          <w:p>
            <w:pPr>
              <w:pStyle w:val="null3"/>
            </w:pPr>
            <w:r>
              <w:rPr/>
              <w:t>中标供应商可通过政府采购合同办理融资贷款，具体请通过长沙市政府采购网-融资平台（http://changs.ccgp-hunan.gov.cn/gp/finaceDetail.html）了解详情。</w:t>
            </w:r>
          </w:p>
        </w:tc>
      </w:tr>
      <w:tr>
        <w:tc>
          <w:tcPr>
            <w:tcW w:type="dxa" w:w="2769"/>
          </w:tcPr>
          <w:p>
            <w:pPr>
              <w:pStyle w:val="null3"/>
            </w:pPr>
            <w:r>
              <w:rPr/>
              <w:t>26</w:t>
            </w:r>
          </w:p>
        </w:tc>
        <w:tc>
          <w:tcPr>
            <w:tcW w:type="dxa" w:w="2769"/>
          </w:tcPr>
          <w:p>
            <w:pPr>
              <w:pStyle w:val="null3"/>
            </w:pPr>
            <w:r>
              <w:rPr/>
              <w:t>特别说明</w:t>
            </w:r>
          </w:p>
        </w:tc>
        <w:tc>
          <w:tcPr>
            <w:tcW w:type="dxa" w:w="2769"/>
          </w:tcPr>
          <w:p>
            <w:pPr>
              <w:pStyle w:val="null3"/>
            </w:pPr>
            <w:r>
              <w:rPr/>
              <w:t>（1）投标人应认真仔细的阅读本采购文件及其澄清答疑、修改答复的补充文件，严格按照采购文件及补充文件的规定和要求编制投标文件。在编制投标文件过程中，应严格遵循实事求是、诚信投标的原则，针对采购文件中采购需求、合同条款等各项内容进行确认，如有偏离，应如实填写响应/偏离表。</w:t>
            </w:r>
          </w:p>
          <w:p>
            <w:pPr>
              <w:pStyle w:val="null3"/>
            </w:pPr>
            <w:r>
              <w:rPr/>
              <w:t xml:space="preserve"> （2）本项目中标结果公告期间，投标人不得通过非正当途径、更不得通过非正当手段获取法律法规规定评标委员会（包括其他相关人员）应当保密的相关内容。即便由此获得资料并作为向采购人或代理机构或政府采购监督管理部门提出质疑或投诉或法院起诉的理由，均属于非法手段取得的依据。</w:t>
            </w:r>
          </w:p>
          <w:p>
            <w:pPr>
              <w:pStyle w:val="null3"/>
            </w:pPr>
            <w:r>
              <w:rPr/>
              <w:t xml:space="preserve"> （3）供应商未按规定进行质疑、投诉、举报等，均属于扰乱政府采购市场不良行为。</w:t>
            </w:r>
          </w:p>
          <w:p>
            <w:pPr>
              <w:pStyle w:val="null3"/>
            </w:pPr>
            <w:r>
              <w:rPr/>
              <w:t xml:space="preserve"> （4）采购文件中凡标注为实质性要求，不响应的投标文件将作无效投标处理。</w:t>
            </w:r>
          </w:p>
          <w:p>
            <w:pPr>
              <w:pStyle w:val="null3"/>
            </w:pPr>
            <w:r>
              <w:rPr/>
              <w:t xml:space="preserve"> （5）出现下列情形之一的，采购人或者代理机构应当中止电子化采购活动，并保留相关证明材料备查：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（6）报价/分值精确度：所有数据项默认最多可输入/展示至小数点后2位，超出小数点位的数值采用四舍五入的方式进行精确。</w:t>
            </w:r>
          </w:p>
        </w:tc>
      </w:tr>
      <w:tr>
        <w:tc>
          <w:tcPr>
            <w:tcW w:type="dxa" w:w="2769"/>
          </w:tcPr>
          <w:p>
            <w:pPr>
              <w:pStyle w:val="null3"/>
            </w:pPr>
            <w:r>
              <w:rPr/>
              <w:t>27</w:t>
            </w:r>
          </w:p>
        </w:tc>
        <w:tc>
          <w:tcPr>
            <w:tcW w:type="dxa" w:w="2769"/>
          </w:tcPr>
          <w:p>
            <w:pPr>
              <w:pStyle w:val="null3"/>
            </w:pPr>
            <w:r>
              <w:rPr/>
              <w:t>其他事项</w:t>
            </w:r>
          </w:p>
        </w:tc>
        <w:tc>
          <w:tcPr>
            <w:tcW w:type="dxa" w:w="2769"/>
          </w:tcPr>
          <w:p>
            <w:pPr>
              <w:pStyle w:val="null3"/>
            </w:pPr>
            <w:r>
              <w:rPr/>
              <w:t>1、至投标截止时间止，采购人及代理机构将对供应商信用记录进行甄别，对列入 失信被执行人、重大税收违法案件当事人名单、政府采购严重违法失信行为记录名 单及其他不符合《中华人民共和国政府采购法》第二十二条规定条件的供应商，将 被拒绝其参与政府采购活动。信用信息查询的查询渠道为“信用中国”网站（www. creditchina.gov.cn）、中国政府采购网（www.ccgp.gov.cn）；信用信息查询的 截止时点为至投标截止时间止；信用信息查询记录的具体方式为采购人及代理机构在规定的查询渠道进行查询；信用信息查询记录证据留存的具体方式为查询记录的网上打印件。2、代理委托内容：至本项目结束。 3、根据《关于政府采购促进中小企业发展若干措施的通知》（长财采购【2022】10号）相关规定，供应商凭《湖南省政府采购供应商资格承诺函》（格式详见附件）参与政府采购活动，无需提供财务状况、缴纳税收和社会保障资金等资格证明材料、参加政府采购活动前3年内在经营活动中没有重大违法记录的声明。</w:t>
            </w:r>
          </w:p>
        </w:tc>
      </w:tr>
    </w:tbl>
    <w:p>
      <w:pPr>
        <w:pStyle w:val="null3"/>
        <w:jc w:val="left"/>
        <w:outlineLvl w:val="2"/>
      </w:pPr>
      <w:r>
        <w:rPr>
          <w:sz w:val="28"/>
          <w:b/>
        </w:rPr>
        <w:t>2.2 总则</w:t>
      </w:r>
    </w:p>
    <w:p>
      <w:pPr>
        <w:pStyle w:val="null3"/>
        <w:ind w:firstLine="480"/>
      </w:pPr>
      <w:r>
        <w:rPr/>
        <w:t>本次招标工作是按照《中华人民共和国政府采购法》、《中华人民共和国政府采购法实施条例》等相关法律法规组织和实施，并接受政府采购监督管理部门的监督。</w:t>
      </w:r>
    </w:p>
    <w:p>
      <w:pPr>
        <w:pStyle w:val="null3"/>
        <w:jc w:val="left"/>
        <w:outlineLvl w:val="3"/>
      </w:pPr>
      <w:r>
        <w:rPr>
          <w:sz w:val="24"/>
          <w:b/>
        </w:rPr>
        <w:t>2.2.1 适用范围</w:t>
      </w:r>
    </w:p>
    <w:p>
      <w:pPr>
        <w:pStyle w:val="null3"/>
        <w:ind w:firstLine="480"/>
      </w:pPr>
      <w:r>
        <w:rPr/>
        <w:t>本招标文件仅适用于本项目本次采购活动。</w:t>
      </w:r>
    </w:p>
    <w:p>
      <w:pPr>
        <w:pStyle w:val="null3"/>
        <w:jc w:val="left"/>
        <w:outlineLvl w:val="3"/>
      </w:pPr>
      <w:r>
        <w:rPr>
          <w:sz w:val="24"/>
          <w:b/>
        </w:rPr>
        <w:t>2.2.2 有关定义</w:t>
      </w:r>
    </w:p>
    <w:p>
      <w:pPr>
        <w:pStyle w:val="null3"/>
        <w:ind w:firstLine="480"/>
      </w:pPr>
      <w:r>
        <w:rPr/>
        <w:t xml:space="preserve">一、“采购人”是指依法进行政府采购的各级国家机关、事业单位、团体组织。本次招标的采购人是 </w:t>
      </w:r>
      <w:r>
        <w:rPr/>
        <w:t>长沙市望城区园林绿化维护中心</w:t>
      </w:r>
      <w:r>
        <w:rPr/>
        <w:t xml:space="preserve"> 。</w:t>
      </w:r>
    </w:p>
    <w:p>
      <w:pPr>
        <w:pStyle w:val="null3"/>
        <w:ind w:firstLine="480"/>
      </w:pPr>
      <w:r>
        <w:rPr/>
        <w:t>二、“投标人”是指按照采购公告规定获取了招标文件，拟参加投标和向采购人提供货物及相应服务的法人、其他组织或者自然人。</w:t>
      </w:r>
    </w:p>
    <w:p>
      <w:pPr>
        <w:pStyle w:val="null3"/>
        <w:ind w:firstLine="480"/>
      </w:pPr>
      <w:r>
        <w:rPr/>
        <w:t xml:space="preserve">三、“代理机构”是指政府采购集中采购机构或从事政府采购代理业务的社会中介机构。本项目的代理机构是 </w:t>
      </w:r>
      <w:r>
        <w:rPr/>
        <w:t>湖南邦邦项目管理有限公司</w:t>
      </w:r>
      <w:r>
        <w:rPr/>
        <w:t xml:space="preserve"> 。</w:t>
      </w:r>
    </w:p>
    <w:p>
      <w:pPr>
        <w:pStyle w:val="null3"/>
        <w:ind w:firstLine="480"/>
      </w:pPr>
      <w:r>
        <w:rPr/>
        <w:t>四、“网上开标”是指代理机构通过项目电子化交易系统在线完成签到、开标、唱标和记录等活动，投标人通过项目电子化交易系统在线完成投标文件解密、参与开标活动等。</w:t>
      </w:r>
    </w:p>
    <w:p>
      <w:pPr>
        <w:pStyle w:val="null3"/>
        <w:ind w:firstLine="480"/>
      </w:pPr>
      <w:r>
        <w:rPr/>
        <w:t>五、“电子评标”是指通过项目电子化交易系统在线完成评标委员会组建，开展资格和符合性审查、比较与评价、出具评标报告、推荐中标候选人等活动。</w:t>
      </w:r>
    </w:p>
    <w:p>
      <w:pPr>
        <w:pStyle w:val="null3"/>
        <w:ind w:firstLine="480"/>
        <w:jc w:val="left"/>
      </w:pPr>
      <w:r>
        <w:rPr/>
        <w:t>六、“潜在供应商”是指通过项目电子化交易系统获取招标文件的供应商。</w:t>
      </w:r>
    </w:p>
    <w:p>
      <w:pPr>
        <w:pStyle w:val="null3"/>
        <w:jc w:val="left"/>
        <w:outlineLvl w:val="2"/>
      </w:pPr>
      <w:r>
        <w:rPr>
          <w:sz w:val="28"/>
          <w:b/>
        </w:rPr>
        <w:t>2.3 招标文件</w:t>
      </w:r>
    </w:p>
    <w:p>
      <w:pPr>
        <w:pStyle w:val="null3"/>
        <w:jc w:val="left"/>
        <w:outlineLvl w:val="3"/>
      </w:pPr>
      <w:r>
        <w:rPr>
          <w:sz w:val="24"/>
          <w:b/>
        </w:rPr>
        <w:t>2.3.1 招标文件的构成</w:t>
      </w:r>
    </w:p>
    <w:p>
      <w:pPr>
        <w:pStyle w:val="null3"/>
        <w:ind w:firstLine="480"/>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 投标邀请；</w:t>
      </w:r>
    </w:p>
    <w:p>
      <w:pPr>
        <w:pStyle w:val="null3"/>
        <w:ind w:firstLine="480"/>
      </w:pPr>
      <w:r>
        <w:rPr/>
        <w:t>(二) 投标人须知；</w:t>
      </w:r>
    </w:p>
    <w:p>
      <w:pPr>
        <w:pStyle w:val="null3"/>
        <w:ind w:firstLine="480"/>
      </w:pPr>
      <w:r>
        <w:rPr/>
        <w:t>(三) 招标项目技术、服务、商务及其他要求、拟签订采购合同文本；</w:t>
      </w:r>
    </w:p>
    <w:p>
      <w:pPr>
        <w:pStyle w:val="null3"/>
        <w:ind w:firstLine="480"/>
      </w:pPr>
      <w:r>
        <w:rPr/>
        <w:t>(四) 资格审查；</w:t>
      </w:r>
    </w:p>
    <w:p>
      <w:pPr>
        <w:pStyle w:val="null3"/>
        <w:ind w:firstLine="480"/>
      </w:pPr>
      <w:r>
        <w:rPr/>
        <w:t>(五) 评标办法；</w:t>
      </w:r>
    </w:p>
    <w:p>
      <w:pPr>
        <w:pStyle w:val="null3"/>
        <w:ind w:firstLine="480"/>
      </w:pPr>
      <w:r>
        <w:rPr/>
        <w:t>(六) 投标文件格式；</w:t>
      </w:r>
    </w:p>
    <w:p>
      <w:pPr>
        <w:pStyle w:val="null3"/>
        <w:ind w:firstLine="480"/>
        <w:jc w:val="left"/>
      </w:pPr>
      <w:r>
        <w:rPr/>
        <w:t>(七) 质疑、投诉文本。</w:t>
      </w:r>
    </w:p>
    <w:p>
      <w:pPr>
        <w:pStyle w:val="null3"/>
        <w:ind w:firstLine="480"/>
      </w:pPr>
      <w:r>
        <w:rPr/>
        <w:t>二、 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 偏离与实质性响应</w:t>
      </w:r>
    </w:p>
    <w:p>
      <w:pPr>
        <w:pStyle w:val="null3"/>
        <w:ind w:firstLine="480"/>
      </w:pPr>
      <w:r>
        <w:rPr/>
        <w:t>一、投标人应当按照招标文件的要求编制投标文件。投标文件应当对招标文件提出的要求和条件作出明确响应。</w:t>
      </w:r>
    </w:p>
    <w:p>
      <w:pPr>
        <w:pStyle w:val="null3"/>
        <w:ind w:firstLine="480"/>
      </w:pPr>
      <w:r>
        <w:rPr/>
        <w:t>二、偏离分为实质性偏离和非实质性偏离。</w:t>
      </w:r>
    </w:p>
    <w:p>
      <w:pPr>
        <w:pStyle w:val="null3"/>
        <w:ind w:firstLine="480"/>
      </w:pPr>
      <w:r>
        <w:rPr/>
        <w:t>三、除法律、法规和招标文件规定的其他投标无效情形外，招标文件中标明的“实质性要求”或“★”条款为实质性要求和条件，对其中任何一条的偏离，为实质性偏离，其投标无效。</w:t>
      </w:r>
    </w:p>
    <w:p>
      <w:pPr>
        <w:pStyle w:val="null3"/>
        <w:ind w:firstLine="480"/>
      </w:pPr>
      <w:r>
        <w:rPr/>
        <w:t>四、投标文件偏离招标文件的非实质性要求和条件，为非实质性偏离。非实质性偏离分为正偏离(优于招标文件提出的要求和条件)与负偏离（不满足或不响应招标文件提出的要求和条件）。负偏离的范围和幅度应当符合【投标须知前附表】的规定，否则投标无效。</w:t>
      </w:r>
    </w:p>
    <w:p>
      <w:pPr>
        <w:pStyle w:val="null3"/>
        <w:jc w:val="left"/>
        <w:outlineLvl w:val="3"/>
      </w:pPr>
      <w:r>
        <w:rPr>
          <w:sz w:val="24"/>
          <w:b/>
        </w:rPr>
        <w:t>2.3.3 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二、澄清或者修改的内容为招标文件的组成部分，采购人将在长沙市政府采购网发布更正或澄清公告，投标人应及时关注本项目更正或澄清公告信息，按更正或澄清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ind w:firstLine="480"/>
      </w:pPr>
      <w:r>
        <w:rPr/>
        <w:t>三、澄清或者修改的内容可能影响投标文件编制的，采购人将在提交投标文件截止时间15日前，在长沙市政府采购网发布公告通知所有获取招标文件的潜在供应商；不足15日的，将相应延长提交投标文件的截止时间。通过项目电子化交易系统获取招标文件的，请获取招标文件的潜在供应商及时关注长沙市政府采购网发布的澄清或者更正公告，采购人、代理机构不再书面通知。</w:t>
      </w:r>
    </w:p>
    <w:p>
      <w:pPr>
        <w:pStyle w:val="null3"/>
        <w:ind w:firstLine="480"/>
      </w:pPr>
      <w:r>
        <w:rPr/>
        <w:t>四、招标文件的提供期限届满后，获取招标文件的潜在供应商不足3家的，可以顺延提供期限，并在指定媒体上发布更正公告。</w:t>
      </w:r>
    </w:p>
    <w:p>
      <w:pPr>
        <w:pStyle w:val="null3"/>
        <w:jc w:val="left"/>
        <w:outlineLvl w:val="2"/>
      </w:pPr>
      <w:r>
        <w:rPr>
          <w:sz w:val="28"/>
          <w:b/>
        </w:rPr>
        <w:t>2.4 投标文件</w:t>
      </w:r>
    </w:p>
    <w:p>
      <w:pPr>
        <w:pStyle w:val="null3"/>
        <w:jc w:val="left"/>
        <w:outlineLvl w:val="3"/>
      </w:pPr>
      <w:r>
        <w:rPr>
          <w:sz w:val="24"/>
          <w:b/>
        </w:rPr>
        <w:t>2.4.1 投标文件的语言（实质性要求）</w:t>
      </w:r>
    </w:p>
    <w:p>
      <w:pPr>
        <w:pStyle w:val="null3"/>
        <w:ind w:firstLine="480"/>
      </w:pPr>
      <w:r>
        <w:rPr/>
        <w:t>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视其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jc w:val="left"/>
        <w:outlineLvl w:val="3"/>
      </w:pPr>
      <w:r>
        <w:rPr>
          <w:sz w:val="24"/>
          <w:b/>
        </w:rPr>
        <w:t>2.4.2 计量单位（实质性要求）</w:t>
      </w:r>
    </w:p>
    <w:p>
      <w:pPr>
        <w:pStyle w:val="null3"/>
        <w:ind w:firstLine="480"/>
      </w:pPr>
      <w:r>
        <w:rPr/>
        <w:t>本项目均采用国家法定及本招标文件约定的计量单位。</w:t>
      </w:r>
    </w:p>
    <w:p>
      <w:pPr>
        <w:pStyle w:val="null3"/>
        <w:jc w:val="left"/>
        <w:outlineLvl w:val="3"/>
      </w:pPr>
      <w:r>
        <w:rPr>
          <w:sz w:val="24"/>
          <w:b/>
        </w:rPr>
        <w:t>2.4.3 投标货币（实质性要求）</w:t>
      </w:r>
    </w:p>
    <w:p>
      <w:pPr>
        <w:pStyle w:val="null3"/>
        <w:ind w:firstLine="480"/>
      </w:pPr>
      <w:r>
        <w:rPr/>
        <w:t>本项目均以人民币报价。</w:t>
      </w:r>
    </w:p>
    <w:p>
      <w:pPr>
        <w:pStyle w:val="null3"/>
        <w:jc w:val="left"/>
        <w:outlineLvl w:val="3"/>
      </w:pPr>
      <w:r>
        <w:rPr>
          <w:sz w:val="24"/>
          <w:b/>
        </w:rPr>
        <w:t>2.4.4 知识产权（实质性要求）</w:t>
      </w:r>
    </w:p>
    <w:p>
      <w:pPr>
        <w:pStyle w:val="null3"/>
        <w:ind w:firstLine="480"/>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二、投标人将在采购项目实施过程中采用自有或者第三方知识成果的，使用该知识成果后，投标人需提供开发接口和开发手册等技术资料，采购人享有使用权（含采购人委托第三方在该项目后续开发的使用权）。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ind w:firstLine="480"/>
      </w:pPr>
      <w:r>
        <w:rPr/>
        <w:t>四、知识产权其他要求在政府采购合同中约定。</w:t>
      </w:r>
    </w:p>
    <w:p>
      <w:pPr>
        <w:pStyle w:val="null3"/>
        <w:jc w:val="left"/>
        <w:outlineLvl w:val="3"/>
      </w:pPr>
      <w:r>
        <w:rPr>
          <w:sz w:val="24"/>
          <w:b/>
        </w:rPr>
        <w:t>2.4.5 投标文件的组成</w:t>
      </w:r>
    </w:p>
    <w:p>
      <w:pPr>
        <w:pStyle w:val="null3"/>
        <w:ind w:firstLine="480"/>
      </w:pPr>
      <w:r>
        <w:rPr/>
        <w:t>投标文件具体内容详见第六章。</w:t>
      </w:r>
    </w:p>
    <w:p>
      <w:pPr>
        <w:pStyle w:val="null3"/>
        <w:jc w:val="left"/>
        <w:outlineLvl w:val="3"/>
      </w:pPr>
      <w:r>
        <w:rPr>
          <w:sz w:val="24"/>
          <w:b/>
        </w:rPr>
        <w:t>2.4.6 投标文件格式（实质性要求）</w:t>
      </w:r>
    </w:p>
    <w:p>
      <w:pPr>
        <w:pStyle w:val="null3"/>
        <w:ind w:firstLine="480"/>
      </w:pPr>
      <w:r>
        <w:rPr/>
        <w:t>一、 投标人应按照招标文件第六章中提供的“投标文件格式”填写相关内容。</w:t>
      </w:r>
    </w:p>
    <w:p>
      <w:pPr>
        <w:pStyle w:val="null3"/>
        <w:ind w:firstLine="480"/>
      </w:pPr>
      <w:r>
        <w:rPr/>
        <w:t>二、投标文件对于没有格式要求的部分由投标人自行编写，对于有格式要求的部分，应按照格式要求编写，投标人对格式要求存在疑问的，应在编制投标文件前与采购人或代理机构沟通确认，否则视为完全理解格式要求，投标人由于自身原因对格式要求理解造成的不利后果承担责任。</w:t>
      </w:r>
    </w:p>
    <w:p>
      <w:pPr>
        <w:pStyle w:val="null3"/>
        <w:jc w:val="left"/>
        <w:outlineLvl w:val="3"/>
      </w:pPr>
      <w:r>
        <w:rPr>
          <w:sz w:val="24"/>
          <w:b/>
        </w:rPr>
        <w:t>2.4.7 投标报价（实质性要求）</w:t>
      </w:r>
    </w:p>
    <w:p>
      <w:pPr>
        <w:pStyle w:val="null3"/>
        <w:ind w:firstLine="480"/>
      </w:pPr>
      <w:r>
        <w:rPr/>
        <w:t>一、 投标人应以招标文件规定的供货及服务要求、责任范围和合同条件为基础，按招标文件的有关约定进行报价。投标人的报价应包括为完成本项目所要求的全部内容可能发生的全部费用和税费、规费、保险费（如果有）等，采购人将不再支付报价以外的任何费用。</w:t>
      </w:r>
    </w:p>
    <w:p>
      <w:pPr>
        <w:pStyle w:val="null3"/>
        <w:ind w:firstLine="480"/>
      </w:pPr>
      <w:r>
        <w:rPr/>
        <w:t>二、投标人的投标报价不得超过采购预算，也不得超过最高限价，否则其投标无效。采购预算、最高限价见【投标须知前附表】。</w:t>
      </w:r>
    </w:p>
    <w:p>
      <w:pPr>
        <w:pStyle w:val="null3"/>
        <w:ind w:firstLine="480"/>
      </w:pPr>
      <w:r>
        <w:rPr/>
        <w:t>三、投标人每种货物及服务内容只允许有一个报价，否则其投标无效。</w:t>
      </w:r>
    </w:p>
    <w:p>
      <w:pPr>
        <w:pStyle w:val="null3"/>
        <w:ind w:firstLine="480"/>
      </w:pPr>
      <w:r>
        <w:rPr/>
        <w:t>四、采用固定价格定价方式的采购项目，投标文件中标明的价格在合同执行过程中是固定不变的，不得以任何理由予以变更。任何包含价格调整要求和条件的投标，其投标无效。</w:t>
      </w:r>
    </w:p>
    <w:p>
      <w:pPr>
        <w:pStyle w:val="null3"/>
        <w:ind w:firstLine="480"/>
      </w:pPr>
      <w:r>
        <w:rPr/>
        <w:t>五、投标人应在分项报价明细表中按照采购标的逐项对应报价。分项报价项不得为空，不得出现“赠与”，不得超过分项的预算，否则其投标无效。</w:t>
      </w:r>
    </w:p>
    <w:p>
      <w:pPr>
        <w:pStyle w:val="null3"/>
        <w:ind w:firstLine="480"/>
      </w:pPr>
      <w:r>
        <w:rPr/>
        <w:t>六、 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ind w:firstLine="480"/>
      </w:pPr>
      <w:r>
        <w:rPr/>
        <w:t>七、采购人不得接受投标人给予的赠品、回扣或者与采购无关的其他商品、服务。如有相关行为，其投标无效。</w:t>
      </w:r>
    </w:p>
    <w:p>
      <w:pPr>
        <w:pStyle w:val="null3"/>
        <w:ind w:firstLine="480"/>
      </w:pPr>
      <w:r>
        <w:rPr/>
        <w:t>八、投标人在投标截止时间前修改“开标一览表”中的投标报价的，应同时修改投标文件“分项报价明细表”“享受政府采购政策优惠的证明资料”以及“联合体协议书”（如果影响）等相关内容，如因修改不到位导致的不利后果由投标人承担。</w:t>
      </w:r>
    </w:p>
    <w:p>
      <w:pPr>
        <w:pStyle w:val="null3"/>
        <w:ind w:firstLine="480"/>
      </w:pPr>
      <w:r>
        <w:rPr/>
        <w:t>九、 投标报价的其他要求见【投标须知前附表】。</w:t>
      </w:r>
    </w:p>
    <w:p>
      <w:pPr>
        <w:pStyle w:val="null3"/>
        <w:jc w:val="left"/>
        <w:outlineLvl w:val="3"/>
      </w:pPr>
      <w:r>
        <w:rPr>
          <w:sz w:val="24"/>
          <w:b/>
        </w:rPr>
        <w:t>2.4.8 投标有效期（实质性要求）</w:t>
      </w:r>
    </w:p>
    <w:p>
      <w:pPr>
        <w:pStyle w:val="null3"/>
        <w:ind w:firstLine="480"/>
      </w:pPr>
      <w:r>
        <w:rPr/>
        <w:t>投标有效期详见第二章“投标人须知前附表”，投标文件未明确投标有效期或者投标有效期小于“投标人须知前附表”中投标有效期要求的，其投标无效。</w:t>
      </w:r>
    </w:p>
    <w:p>
      <w:pPr>
        <w:pStyle w:val="null3"/>
        <w:ind w:firstLine="480"/>
      </w:pPr>
      <w:r>
        <w:rPr/>
        <w:t>投标有效期内投标人撤销投标文件的，投标人应承担招标文件和法律规定的责任。</w:t>
      </w:r>
    </w:p>
    <w:p>
      <w:pPr>
        <w:pStyle w:val="null3"/>
        <w:jc w:val="left"/>
        <w:outlineLvl w:val="3"/>
      </w:pPr>
      <w:r>
        <w:rPr>
          <w:sz w:val="24"/>
          <w:b/>
        </w:rPr>
        <w:t>2.4.9 投标文件的制作、签章和加密（实质性要求）</w:t>
      </w:r>
    </w:p>
    <w:p>
      <w:pPr>
        <w:pStyle w:val="null3"/>
        <w:ind w:firstLine="480"/>
      </w:pPr>
      <w:r>
        <w:rPr/>
        <w:t>一、投标文件应当根据招标文件的规定进行编制，投标人应通过长沙市政府采购网下载投标（响应）客户端，按照客户端操作要求编制投标文件。</w:t>
      </w:r>
    </w:p>
    <w:p>
      <w:pPr>
        <w:pStyle w:val="null3"/>
        <w:ind w:firstLine="480"/>
      </w:pPr>
      <w:r>
        <w:rPr/>
        <w:t>二 、投标人完成投标文件编制后，应按照招标文件第一章明确的签章要求，使用数字证书及电子签章对投标文件进行电子签章和加密。</w:t>
      </w:r>
    </w:p>
    <w:p>
      <w:pPr>
        <w:pStyle w:val="null3"/>
        <w:ind w:firstLine="480"/>
      </w:pPr>
      <w:r>
        <w:rPr/>
        <w:t>三、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jc w:val="left"/>
        <w:outlineLvl w:val="3"/>
      </w:pPr>
      <w:r>
        <w:rPr>
          <w:sz w:val="24"/>
          <w:b/>
        </w:rPr>
        <w:t>2.4.10 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二、在投标文件提交截止时间后，采购人或者代理机构不再接受投标人提交投标文件。投标人应充分考虑影响投标文件提交的各种因素，预留足够的处理可能产生提交问题的时间，确保在投标文件提交截止时间前完成提交。</w:t>
      </w:r>
    </w:p>
    <w:p>
      <w:pPr>
        <w:pStyle w:val="null3"/>
        <w:jc w:val="left"/>
        <w:outlineLvl w:val="3"/>
      </w:pPr>
      <w:r>
        <w:rPr>
          <w:sz w:val="24"/>
          <w:b/>
        </w:rPr>
        <w:t>2.4.11 投标文件的补充、修改、撤回（实质性要求）</w:t>
      </w:r>
    </w:p>
    <w:p>
      <w:pPr>
        <w:pStyle w:val="null3"/>
        <w:ind w:firstLine="480"/>
      </w:pPr>
      <w:r>
        <w:rPr/>
        <w:t>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jc w:val="left"/>
        <w:outlineLvl w:val="2"/>
      </w:pPr>
      <w:r>
        <w:rPr>
          <w:sz w:val="28"/>
          <w:b/>
        </w:rPr>
        <w:t>2.5 开标、资格审查、评标和中标</w:t>
      </w:r>
    </w:p>
    <w:p>
      <w:pPr>
        <w:pStyle w:val="null3"/>
        <w:jc w:val="left"/>
        <w:outlineLvl w:val="3"/>
      </w:pPr>
      <w:r>
        <w:rPr>
          <w:sz w:val="24"/>
          <w:b/>
        </w:rPr>
        <w:t>2.5.1 开标及开标程序</w:t>
      </w:r>
    </w:p>
    <w:p>
      <w:pPr>
        <w:pStyle w:val="null3"/>
        <w:ind w:firstLine="480"/>
      </w:pPr>
      <w:r>
        <w:rPr/>
        <w:t>一、本项目为网上开标项目。网上开标的开始时间为投标文件提交截止时间。成功提交或成功提交和解密电子投标文件的投标人不足3家的，不予开标，采购人或代理机构将本项目作废标处理。</w:t>
      </w:r>
    </w:p>
    <w:p>
      <w:pPr>
        <w:pStyle w:val="null3"/>
        <w:ind w:firstLine="480"/>
        <w:jc w:val="left"/>
      </w:pPr>
      <w:r>
        <w:rPr>
          <w:b/>
        </w:rPr>
        <w:t>二、开标准备工作</w:t>
      </w:r>
    </w:p>
    <w:p>
      <w:pPr>
        <w:pStyle w:val="null3"/>
        <w:ind w:firstLine="480"/>
      </w:pPr>
      <w:r>
        <w:rPr/>
        <w:t>开标开始时间前，投标人登录项目电子化交易系统-“开标/开启大厅”参与开标。</w:t>
      </w:r>
    </w:p>
    <w:p>
      <w:pPr>
        <w:pStyle w:val="null3"/>
        <w:ind w:firstLine="480"/>
      </w:pPr>
      <w:r>
        <w:rPr/>
        <w:t>投标人的法定代表人或其授权代表应当按照本招标公告载明的时间和模式等要求参加开标。在投标截止时间前，应当提早30分钟登录项目电子化交易系统开标大厅进行签到，并且检查确认授权代表的姓名与手机号码。若因签到时填写的授权代表信息有误而导致的不良后果，由投标人自行承担。</w:t>
      </w:r>
    </w:p>
    <w:p>
      <w:pPr>
        <w:pStyle w:val="null3"/>
        <w:ind w:firstLine="480"/>
        <w:jc w:val="left"/>
      </w:pPr>
      <w:r>
        <w:rPr>
          <w:b/>
        </w:rPr>
        <w:t>三、解密投标文件（实质性要求）</w:t>
      </w:r>
    </w:p>
    <w:p>
      <w:pPr>
        <w:pStyle w:val="null3"/>
        <w:ind w:firstLine="480"/>
        <w:jc w:val="left"/>
      </w:pPr>
      <w:r>
        <w:rPr/>
        <w:t xml:space="preserve">投标文件提交截止时间后，成功提交投标文件的投标人符合招标文件规定数量的，代理机构将启动投标文件解密程序，解密时间为 </w:t>
      </w:r>
      <w:r>
        <w:rPr/>
        <w:t>30</w:t>
      </w:r>
      <w:r>
        <w:rPr/>
        <w:t xml:space="preserve"> 分钟；投标人应在规定的解密时间内，使用数字证书及电子签章通过项目电子化交易系统进行投标文件解密。投标人未在规定的解密时间内完成解密的，按无效投标处理。</w:t>
      </w:r>
    </w:p>
    <w:p>
      <w:pPr>
        <w:pStyle w:val="null3"/>
        <w:ind w:firstLine="480"/>
      </w:pPr>
      <w:r>
        <w:rPr/>
        <w:t>投标人在参加开标以前须自行对使用电脑的网络环境、驱动安装、浏览器设置、客户端安装、数字证书与电子签章等的有效性等进行检测，确保可以正常使用。</w:t>
      </w:r>
    </w:p>
    <w:p>
      <w:pPr>
        <w:pStyle w:val="null3"/>
        <w:ind w:firstLine="480"/>
      </w:pPr>
      <w:r>
        <w:rPr/>
        <w:t>※备用电子投标文件使用情形：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投标人无法在代理规定的时间内完成备用电子投标文件的上传，投标将被拒绝，作无效投标处理。</w:t>
      </w:r>
    </w:p>
    <w:p>
      <w:pPr>
        <w:pStyle w:val="null3"/>
        <w:ind w:firstLine="480"/>
        <w:jc w:val="left"/>
      </w:pPr>
      <w:r>
        <w:rPr>
          <w:b/>
        </w:rPr>
        <w:t>四、开标</w:t>
      </w:r>
    </w:p>
    <w:p>
      <w:pPr>
        <w:pStyle w:val="null3"/>
        <w:ind w:firstLine="480"/>
      </w:pPr>
      <w:r>
        <w:rPr/>
        <w:t>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jc w:val="left"/>
        <w:outlineLvl w:val="3"/>
      </w:pPr>
      <w:r>
        <w:rPr>
          <w:sz w:val="24"/>
          <w:b/>
        </w:rPr>
        <w:t>2.5.2 查询及使用信用记录</w:t>
      </w:r>
    </w:p>
    <w:p>
      <w:pPr>
        <w:pStyle w:val="null3"/>
        <w:ind w:firstLine="480"/>
      </w:pPr>
      <w:r>
        <w:rPr/>
        <w:t>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 资格审查</w:t>
      </w:r>
    </w:p>
    <w:p>
      <w:pPr>
        <w:pStyle w:val="null3"/>
        <w:ind w:firstLine="480"/>
      </w:pPr>
      <w:r>
        <w:rPr/>
        <w:t>详见招标文件第四章。</w:t>
      </w:r>
    </w:p>
    <w:p>
      <w:pPr>
        <w:pStyle w:val="null3"/>
        <w:jc w:val="left"/>
        <w:outlineLvl w:val="3"/>
      </w:pPr>
      <w:r>
        <w:rPr>
          <w:sz w:val="24"/>
          <w:b/>
        </w:rPr>
        <w:t>2.5.4 评标</w:t>
      </w:r>
    </w:p>
    <w:p>
      <w:pPr>
        <w:pStyle w:val="null3"/>
        <w:ind w:firstLine="480"/>
      </w:pPr>
      <w:r>
        <w:rPr/>
        <w:t>详见招标文件第五章。</w:t>
      </w:r>
    </w:p>
    <w:p>
      <w:pPr>
        <w:pStyle w:val="null3"/>
        <w:jc w:val="left"/>
        <w:outlineLvl w:val="3"/>
      </w:pPr>
      <w:r>
        <w:rPr>
          <w:sz w:val="24"/>
          <w:b/>
        </w:rPr>
        <w:t>2.5.5 中标通知书</w:t>
      </w:r>
    </w:p>
    <w:p>
      <w:pPr>
        <w:pStyle w:val="null3"/>
        <w:ind w:firstLine="480"/>
      </w:pPr>
      <w:r>
        <w:rPr/>
        <w:t>一、采购人或者评标委员会确认中标供应商后，采购人在长沙市政府采购网发布中标结果公告、通过项目电子化交易系统发出中标通知书，中标供应商通过项目电子化交易系统获取中标通知书。</w:t>
      </w:r>
    </w:p>
    <w:p>
      <w:pPr>
        <w:pStyle w:val="null3"/>
        <w:ind w:firstLine="480"/>
      </w:pPr>
      <w:r>
        <w:rPr/>
        <w:t>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jc w:val="left"/>
        <w:outlineLvl w:val="2"/>
      </w:pPr>
      <w:r>
        <w:rPr>
          <w:sz w:val="28"/>
          <w:b/>
        </w:rPr>
        <w:t>2.6 签订及履行合同和验收</w:t>
      </w:r>
    </w:p>
    <w:p>
      <w:pPr>
        <w:pStyle w:val="null3"/>
        <w:jc w:val="left"/>
        <w:outlineLvl w:val="3"/>
      </w:pPr>
      <w:r>
        <w:rPr>
          <w:sz w:val="24"/>
          <w:b/>
        </w:rPr>
        <w:t>2.6.1 签订合同</w:t>
      </w:r>
    </w:p>
    <w:p>
      <w:pPr>
        <w:pStyle w:val="null3"/>
        <w:ind w:firstLine="480"/>
      </w:pPr>
      <w:r>
        <w:rPr/>
        <w:t>一、采购人、中标供应商应在中标通知书发出之日起三十日（鼓励二十日）内签订政府采购合同。</w:t>
      </w:r>
    </w:p>
    <w:p>
      <w:pPr>
        <w:pStyle w:val="null3"/>
        <w:ind w:firstLine="480"/>
      </w:pPr>
      <w:r>
        <w:rPr/>
        <w:t>二、采购人、中标供应商签订的政府采购合同不得对招标文件以及中标供应商的投标文件中确定的事项作实质性修改。</w:t>
      </w:r>
    </w:p>
    <w:p>
      <w:pPr>
        <w:pStyle w:val="null3"/>
        <w:ind w:firstLine="480"/>
      </w:pPr>
      <w:r>
        <w:rPr/>
        <w:t>三、招标文件、中标人的投标文件均为签订政府采购合同的依据。</w:t>
      </w:r>
    </w:p>
    <w:p>
      <w:pPr>
        <w:pStyle w:val="null3"/>
        <w:ind w:firstLine="480"/>
      </w:pPr>
      <w:r>
        <w:rPr/>
        <w:t>四、联合体中标的，联合体各方应当共同确定合同主要内容的情况下，由联合体牵头方负责与采购人签订合同，联合体各方就中标项目向采购人承担连带责任。</w:t>
      </w:r>
    </w:p>
    <w:p>
      <w:pPr>
        <w:pStyle w:val="null3"/>
        <w:ind w:firstLine="480"/>
      </w:pPr>
      <w:r>
        <w:rPr/>
        <w:t>五、中标合同将在招标公告指定媒体上公告，合同中涉及国家秘密、商业秘密的部分，中标供应商应在中标合同公告前告知采购人或代理机构，脱敏后公告。</w:t>
      </w:r>
    </w:p>
    <w:p>
      <w:pPr>
        <w:pStyle w:val="null3"/>
        <w:jc w:val="left"/>
        <w:outlineLvl w:val="3"/>
      </w:pPr>
      <w:r>
        <w:rPr>
          <w:sz w:val="24"/>
          <w:b/>
        </w:rPr>
        <w:t>2.6.2 合同分包和转包（实质性要求）</w:t>
      </w:r>
    </w:p>
    <w:p>
      <w:pPr>
        <w:pStyle w:val="null3"/>
        <w:jc w:val="left"/>
      </w:pPr>
      <w:r>
        <w:rPr>
          <w:b/>
        </w:rPr>
        <w:t>2.6.2.1合同分包</w:t>
      </w:r>
    </w:p>
    <w:p>
      <w:pPr>
        <w:pStyle w:val="null3"/>
        <w:ind w:firstLine="480"/>
      </w:pPr>
      <w:r>
        <w:rPr/>
        <w:t>一、【投标须知前附表】规定投标人可分包的，投标人方可对合同进行分包，投标人分包承诺不符合招标文件中有关分包规定的，其投标无效。</w:t>
      </w:r>
    </w:p>
    <w:p>
      <w:pPr>
        <w:pStyle w:val="null3"/>
        <w:ind w:firstLine="480"/>
      </w:pPr>
      <w:r>
        <w:rPr/>
        <w:t>二、投标人根据招标文件的规定和采购项目的实际情况，拟在中标后将中标项目的非主体、非关键性工作分包的，应当在投标文件中载明分包承担主体，分包承担主体应当具备相应资质条件且不得再次分包。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三、分包履行合同的部分应当为采购项目的非主体、非关键性工作，不属于中标供应商的主要合同义务。</w:t>
      </w:r>
    </w:p>
    <w:p>
      <w:pPr>
        <w:pStyle w:val="null3"/>
        <w:ind w:firstLine="480"/>
      </w:pPr>
      <w:r>
        <w:rPr/>
        <w:t>四、中标供应商应在签订政府采购合同规定的时间内向采购人提供分包合同，否则，采购人有权拒绝签订政府采购合同，中标供应商承担由此产生的违约责任。政府采购合同实行分包履行的，中标供应商就采购项目和分包项目向采购人负责，分包供应商就分包项目承担责任。</w:t>
      </w:r>
    </w:p>
    <w:p>
      <w:pPr>
        <w:pStyle w:val="null3"/>
        <w:ind w:firstLine="480"/>
      </w:pPr>
      <w:r>
        <w:rPr/>
        <w:t>五、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jc w:val="left"/>
      </w:pPr>
      <w:r>
        <w:rPr/>
        <w:t>采购包1：不允许合同分包；</w:t>
      </w:r>
    </w:p>
    <w:p>
      <w:pPr>
        <w:pStyle w:val="null3"/>
        <w:jc w:val="left"/>
      </w:pPr>
      <w:r>
        <w:rPr>
          <w:b/>
        </w:rPr>
        <w:t>2.6.2.2合同转包</w:t>
      </w:r>
    </w:p>
    <w:p>
      <w:pPr>
        <w:pStyle w:val="null3"/>
        <w:ind w:firstLine="480"/>
      </w:pPr>
      <w:r>
        <w:rPr/>
        <w:t>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jc w:val="left"/>
        <w:outlineLvl w:val="3"/>
      </w:pPr>
      <w:r>
        <w:rPr>
          <w:sz w:val="24"/>
          <w:b/>
        </w:rPr>
        <w:t>2.6.3 采购人增加合同标的的权利</w:t>
      </w:r>
    </w:p>
    <w:p>
      <w:pPr>
        <w:pStyle w:val="null3"/>
        <w:ind w:firstLine="480"/>
      </w:pPr>
      <w:r>
        <w:rPr/>
        <w:t>政府采购合同履行过程中，采购人需要追加与合同标的相同的货物或者服务的，在不改变合同其他条款的前提下，可以与中标供应商协商签订补充合同，但所有补充合同的采购金额不得超过原合同采购金额的百分之十。</w:t>
      </w:r>
    </w:p>
    <w:p>
      <w:pPr>
        <w:pStyle w:val="null3"/>
        <w:jc w:val="left"/>
        <w:outlineLvl w:val="3"/>
      </w:pPr>
      <w:r>
        <w:rPr>
          <w:sz w:val="24"/>
          <w:b/>
        </w:rPr>
        <w:t>2.6.4 履行合同</w:t>
      </w:r>
    </w:p>
    <w:p>
      <w:pPr>
        <w:pStyle w:val="null3"/>
        <w:ind w:firstLine="480"/>
      </w:pPr>
      <w:r>
        <w:rPr/>
        <w:t>一、合同一经签订，双方应严格履行合同规定的义务。</w:t>
      </w:r>
    </w:p>
    <w:p>
      <w:pPr>
        <w:pStyle w:val="null3"/>
        <w:ind w:firstLine="480"/>
      </w:pPr>
      <w:r>
        <w:rPr/>
        <w:t>二、政府采购项目以在项目电子化交易系统签订的电子合同为准。合同双方可以根据项目电子化交易系统的合同模板，依据招标文件及投标文件关于合同的内容签订政府采购合同。</w:t>
      </w:r>
    </w:p>
    <w:p>
      <w:pPr>
        <w:pStyle w:val="null3"/>
        <w:ind w:firstLine="480"/>
      </w:pPr>
      <w:r>
        <w:rPr/>
        <w:t>三、在合同履行过程中，如发生合同纠纷，合同双方应按照《中华人民共和国民法典》规定及合同条款约定进行处理。</w:t>
      </w:r>
    </w:p>
    <w:p>
      <w:pPr>
        <w:pStyle w:val="null3"/>
        <w:ind w:firstLine="480"/>
        <w:jc w:val="left"/>
      </w:pPr>
      <w:r>
        <w:rPr/>
        <w:t>四、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3"/>
      </w:pPr>
      <w:r>
        <w:rPr>
          <w:sz w:val="24"/>
          <w:b/>
        </w:rPr>
        <w:t>2.6.5 履约验收方案</w:t>
      </w:r>
    </w:p>
    <w:p>
      <w:pPr>
        <w:pStyle w:val="null3"/>
        <w:ind w:firstLine="480"/>
        <w:jc w:val="left"/>
      </w:pPr>
      <w:r>
        <w:rPr/>
        <w:t>履约验收方案见合同文本。</w:t>
      </w:r>
    </w:p>
    <w:p>
      <w:pPr>
        <w:pStyle w:val="null3"/>
        <w:jc w:val="left"/>
        <w:outlineLvl w:val="3"/>
      </w:pPr>
      <w:r>
        <w:rPr>
          <w:sz w:val="24"/>
          <w:b/>
        </w:rPr>
        <w:t>2.6.6 资金支付</w:t>
      </w:r>
    </w:p>
    <w:p>
      <w:pPr>
        <w:pStyle w:val="null3"/>
        <w:ind w:firstLine="480"/>
      </w:pPr>
      <w:r>
        <w:rPr/>
        <w:t>资金支付要求见合同文本。</w:t>
      </w:r>
    </w:p>
    <w:p>
      <w:pPr>
        <w:pStyle w:val="null3"/>
        <w:jc w:val="left"/>
        <w:outlineLvl w:val="2"/>
      </w:pPr>
      <w:r>
        <w:rPr>
          <w:sz w:val="28"/>
          <w:b/>
        </w:rPr>
        <w:t>2.7 纪律要求</w:t>
      </w:r>
    </w:p>
    <w:p>
      <w:pPr>
        <w:pStyle w:val="null3"/>
        <w:jc w:val="left"/>
        <w:outlineLvl w:val="3"/>
      </w:pPr>
      <w:r>
        <w:rPr>
          <w:sz w:val="24"/>
          <w:b/>
        </w:rPr>
        <w:t>2.7.1 评标活动纪律要求</w:t>
      </w:r>
    </w:p>
    <w:p>
      <w:pPr>
        <w:pStyle w:val="null3"/>
        <w:ind w:firstLine="480"/>
      </w:pPr>
      <w:r>
        <w:rPr/>
        <w:t>采购人、代理机构应保证评标活动在严格保密的情况下进行，采购人、代理机构、投标人和评标委员会成员等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w:t>
      </w:r>
    </w:p>
    <w:p>
      <w:pPr>
        <w:pStyle w:val="null3"/>
        <w:jc w:val="left"/>
        <w:outlineLvl w:val="3"/>
      </w:pPr>
      <w:r>
        <w:rPr>
          <w:sz w:val="24"/>
          <w:b/>
        </w:rPr>
        <w:t>2.7.2 投标人不得具有的情形（实质性要求）</w:t>
      </w:r>
    </w:p>
    <w:p>
      <w:pPr>
        <w:pStyle w:val="null3"/>
        <w:ind w:firstLine="480"/>
      </w:pPr>
      <w:r>
        <w:rPr/>
        <w:t>投标人参加投标不得有下列情形：</w:t>
      </w:r>
    </w:p>
    <w:p>
      <w:pPr>
        <w:pStyle w:val="null3"/>
        <w:ind w:firstLine="480"/>
      </w:pPr>
      <w:r>
        <w:rPr/>
        <w:t>一、 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（六）不同投标人的投标保证金从同一单位或者个人的账户转出。</w:t>
      </w:r>
    </w:p>
    <w:p>
      <w:pPr>
        <w:pStyle w:val="null3"/>
        <w:ind w:firstLine="480"/>
      </w:pPr>
      <w:r>
        <w:rPr/>
        <w:t>二、 有下列情形之一的，属于恶意串通，对投标人依照政府采购法第七十七条第一款的规定追究法律责任：</w:t>
      </w:r>
    </w:p>
    <w:p>
      <w:pPr>
        <w:pStyle w:val="null3"/>
        <w:ind w:firstLine="480"/>
      </w:pPr>
      <w:r>
        <w:rPr/>
        <w:t>（1）投标人直接或者间接从采购人或者代理机构处获得其他投标人的相关情况并修改其投标文件；</w:t>
      </w:r>
    </w:p>
    <w:p>
      <w:pPr>
        <w:pStyle w:val="null3"/>
        <w:ind w:firstLine="480"/>
      </w:pPr>
      <w:r>
        <w:rPr/>
        <w:t>（2）投标人按照采购人或者代理机构的授意撤换、修改投标文件；</w:t>
      </w:r>
    </w:p>
    <w:p>
      <w:pPr>
        <w:pStyle w:val="null3"/>
        <w:ind w:firstLine="480"/>
      </w:pPr>
      <w:r>
        <w:rPr/>
        <w:t>（3）投标人之间协商报价、技术方案等投标文件的实质性内容；</w:t>
      </w:r>
    </w:p>
    <w:p>
      <w:pPr>
        <w:pStyle w:val="null3"/>
        <w:ind w:firstLine="480"/>
      </w:pPr>
      <w:r>
        <w:rPr/>
        <w:t>（4）属于同一集团、协会、商会等组织成员的投标人按照该组织要求协同参加政府采购活动；</w:t>
      </w:r>
    </w:p>
    <w:p>
      <w:pPr>
        <w:pStyle w:val="null3"/>
        <w:ind w:firstLine="480"/>
      </w:pPr>
      <w:r>
        <w:rPr/>
        <w:t>（5）投标人之间事先约定由某一特定投标人中标；</w:t>
      </w:r>
    </w:p>
    <w:p>
      <w:pPr>
        <w:pStyle w:val="null3"/>
        <w:ind w:firstLine="480"/>
      </w:pPr>
      <w:r>
        <w:rPr/>
        <w:t>（6）投标人之间商定部分投标人放弃参加政府采购活动或者放弃中标；</w:t>
      </w:r>
    </w:p>
    <w:p>
      <w:pPr>
        <w:pStyle w:val="null3"/>
        <w:ind w:firstLine="480"/>
      </w:pPr>
      <w:r>
        <w:rPr/>
        <w:t>（7）投标人与采购人或者采购代理机构之间、投标人相互之间，为谋求特定投标人中标或者排斥其他投标人的其他串通行为。</w:t>
      </w:r>
    </w:p>
    <w:p>
      <w:pPr>
        <w:pStyle w:val="null3"/>
        <w:ind w:firstLine="480"/>
      </w:pPr>
      <w:r>
        <w:rPr/>
        <w:t>三、 提供虚假材料谋取中标；</w:t>
      </w:r>
    </w:p>
    <w:p>
      <w:pPr>
        <w:pStyle w:val="null3"/>
        <w:ind w:firstLine="480"/>
      </w:pPr>
      <w:r>
        <w:rPr/>
        <w:t>四、 采取不正当手段诋毁、排挤其他投标人；</w:t>
      </w:r>
    </w:p>
    <w:p>
      <w:pPr>
        <w:pStyle w:val="null3"/>
        <w:ind w:firstLine="480"/>
      </w:pPr>
      <w:r>
        <w:rPr/>
        <w:t>五、 与采购人或代理机构、其他投标人恶意串通；</w:t>
      </w:r>
    </w:p>
    <w:p>
      <w:pPr>
        <w:pStyle w:val="null3"/>
        <w:ind w:firstLine="480"/>
      </w:pPr>
      <w:r>
        <w:rPr/>
        <w:t>六、 向采购人或代理机构、评标委员会成员行贿或者提供其他不正当利益；</w:t>
      </w:r>
    </w:p>
    <w:p>
      <w:pPr>
        <w:pStyle w:val="null3"/>
        <w:ind w:firstLine="480"/>
      </w:pPr>
      <w:r>
        <w:rPr/>
        <w:t>七、 在招标过程中与采购人或代理机构进行协商谈判；</w:t>
      </w:r>
    </w:p>
    <w:p>
      <w:pPr>
        <w:pStyle w:val="null3"/>
        <w:ind w:firstLine="480"/>
      </w:pPr>
      <w:r>
        <w:rPr/>
        <w:t>八、 中标后无正当理由拒不与采购人签订政府采购合同；</w:t>
      </w:r>
    </w:p>
    <w:p>
      <w:pPr>
        <w:pStyle w:val="null3"/>
        <w:ind w:firstLine="480"/>
      </w:pPr>
      <w:r>
        <w:rPr/>
        <w:t>九、 未按照招标文件确定的事项签订政府采购合同；</w:t>
      </w:r>
    </w:p>
    <w:p>
      <w:pPr>
        <w:pStyle w:val="null3"/>
        <w:ind w:firstLine="480"/>
      </w:pPr>
      <w:r>
        <w:rPr/>
        <w:t>十、 将政府采购合同转包或者违规分包；</w:t>
      </w:r>
    </w:p>
    <w:p>
      <w:pPr>
        <w:pStyle w:val="null3"/>
        <w:ind w:firstLine="480"/>
      </w:pPr>
      <w:r>
        <w:rPr/>
        <w:t>十一、 提供假冒伪劣产品；</w:t>
      </w:r>
    </w:p>
    <w:p>
      <w:pPr>
        <w:pStyle w:val="null3"/>
        <w:ind w:firstLine="480"/>
      </w:pPr>
      <w:r>
        <w:rPr/>
        <w:t>十二、 擅自变更、中止或者终止政府采购合同；</w:t>
      </w:r>
    </w:p>
    <w:p>
      <w:pPr>
        <w:pStyle w:val="null3"/>
        <w:ind w:firstLine="480"/>
      </w:pPr>
      <w:r>
        <w:rPr/>
        <w:t>十三、 拒绝有关部门的监督检查或者向监督检查部门提供虚假情况；</w:t>
      </w:r>
    </w:p>
    <w:p>
      <w:pPr>
        <w:pStyle w:val="null3"/>
        <w:ind w:firstLine="480"/>
      </w:pPr>
      <w:r>
        <w:rPr/>
        <w:t>十四、 法律法规规定的其他禁止情形。</w:t>
      </w:r>
    </w:p>
    <w:p>
      <w:pPr>
        <w:pStyle w:val="null3"/>
        <w:ind w:firstLine="480"/>
      </w:pPr>
      <w:r>
        <w:rPr/>
        <w:t>投标人有上述情形的，按照规定追究法律责任，具有前述一至七条情形之一的，其投标文件无效，或取消被确认为中标供应商的资格或认定中标无效。</w:t>
      </w:r>
    </w:p>
    <w:p>
      <w:pPr>
        <w:pStyle w:val="null3"/>
        <w:jc w:val="left"/>
        <w:outlineLvl w:val="3"/>
      </w:pPr>
      <w:r>
        <w:rPr>
          <w:sz w:val="24"/>
          <w:b/>
        </w:rPr>
        <w:t>2.7.3 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sz w:val="28"/>
          <w:b/>
        </w:rPr>
        <w:t>2.8 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jc w:val="left"/>
      </w:pPr>
      <w:r>
        <w:rPr/>
        <w:t>根据委托代理协议约定，供应商对招标文件中采购需求的询问、质疑由</w:t>
      </w:r>
      <w:r>
        <w:rPr/>
        <w:t>湖南邦邦项目管理有限公司</w:t>
      </w:r>
      <w:r>
        <w:rPr/>
        <w:t>负责答复；供应商对除采购需求外的采购文件的询问、质疑由</w:t>
      </w:r>
      <w:r>
        <w:rPr/>
        <w:t>湖南邦邦项目管理有限公司</w:t>
      </w:r>
      <w:r>
        <w:rPr/>
        <w:t>负责答复；供应商对采购过程、采购结果的询问、质疑由</w:t>
      </w:r>
      <w:r>
        <w:rPr/>
        <w:t>湖南邦邦项目管理有限公司</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潜在供应商或投标人认为采购文件、采购过程、中标或者成交结果使自己的权益受到损害的，可以在知道或者应知其权益受到损害之日起7个工作日内，以书面形式向采购人、代理机构提出质疑。潜在供应商或投标人应在法定质疑期内一次性提出针对同一采购程序环节的质疑。潜在供应商或投标人应知其权益受到损害之日，是指：</w:t>
      </w:r>
      <w:r>
        <w:br/>
      </w:r>
      <w:r>
        <w:rPr/>
        <w:t>　　（一）对可以质疑的采购文件提出质疑的，为收到采购文件之日或者采购文件公告期限届满之日；</w:t>
      </w:r>
      <w:r>
        <w:br/>
      </w:r>
      <w:r>
        <w:rPr/>
        <w:t>　　（二）对采购过程提出质疑的，为各采购程序环节结束之日；</w:t>
      </w:r>
      <w:r>
        <w:br/>
      </w:r>
      <w:r>
        <w:rPr/>
        <w:t>　　（三）对中标或者成交结果提出质疑的，为中标或者成交结果公告期限届满之日。</w:t>
      </w:r>
    </w:p>
    <w:p>
      <w:pPr>
        <w:pStyle w:val="null3"/>
        <w:ind w:firstLine="480"/>
      </w:pPr>
      <w:r>
        <w:rPr/>
        <w:t>五、潜在供应商或投标人提出质疑时应当准备的资料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（五）针对质疑事项必要的证明材料（针对招标文件提出的质疑，需提交从项目电子化交易系统获取的招标文件回执函）。</w:t>
      </w:r>
    </w:p>
    <w:p>
      <w:pPr>
        <w:pStyle w:val="null3"/>
        <w:ind w:firstLine="480"/>
      </w:pPr>
      <w:r>
        <w:rPr/>
        <w:t>注：根据《中华人民共和国政府采购法》的规定，供应商质疑不得超出采购文件、采购过程、采购结果的范围。</w:t>
      </w:r>
    </w:p>
    <w:p>
      <w:pPr>
        <w:pStyle w:val="null3"/>
        <w:ind w:firstLine="480"/>
      </w:pPr>
      <w:r>
        <w:rPr/>
        <w:t>六、潜在供应商或投标人对采购人或代理机构的质疑答复不满意，或者采购人或代理机构未在规定期限内作出答复的，供应商可以在答复期满后15个工作日内向同级财政部门提起投诉。投诉受理单位：本采购项目同级财政部门。（政府采购供应商投诉函范本详见附件二）</w:t>
      </w:r>
    </w:p>
    <w:p>
      <w:pPr>
        <w:pStyle w:val="null3"/>
        <w:ind w:firstLine="480"/>
      </w:pPr>
      <w:r>
        <w:rPr/>
        <w:t>七、投诉人在全国范围12个月内3次以上投诉查无实据的，由财政部门列入不良行为记录名单。投诉人有下列行为之一的，属于虚假、恶意投诉，由财政部门列入不良行为记录名单，禁止其1至3年内参加政府采购活动：</w:t>
      </w:r>
    </w:p>
    <w:p>
      <w:pPr>
        <w:pStyle w:val="null3"/>
        <w:ind w:firstLine="480"/>
      </w:pPr>
      <w:r>
        <w:rPr/>
        <w:t>（一）捏造事实。</w:t>
      </w:r>
    </w:p>
    <w:p>
      <w:pPr>
        <w:pStyle w:val="null3"/>
        <w:ind w:firstLine="480"/>
      </w:pPr>
      <w:r>
        <w:rPr/>
        <w:t>（二）提供虚假材料。</w:t>
      </w:r>
    </w:p>
    <w:p>
      <w:pPr>
        <w:pStyle w:val="null3"/>
        <w:ind w:firstLine="480"/>
      </w:pPr>
      <w:r>
        <w:rPr/>
        <w:t>（三）以非法手段取得证明材料。证据来源的合法性存在明显疑问，投诉人无法证明其取得方式合法的，视为以非法手段取得证明材料。</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jc w:val="left"/>
      </w:pPr>
      <w:r>
        <w:rPr/>
        <w:t>注：带“★”的参数需求为实质性要求，供应商必须响应并满足的参数需求，采购人、采购代理机构应当根据项目实际需求合理设定，并明确具体要求。</w:t>
      </w:r>
    </w:p>
    <w:p>
      <w:pPr>
        <w:pStyle w:val="null3"/>
        <w:jc w:val="left"/>
        <w:outlineLvl w:val="2"/>
      </w:pPr>
      <w:r>
        <w:rPr>
          <w:sz w:val="28"/>
          <w:b/>
        </w:rPr>
        <w:t>3.1 采购项目概况</w:t>
      </w:r>
    </w:p>
    <w:p>
      <w:pPr>
        <w:pStyle w:val="null3"/>
        <w:jc w:val="left"/>
      </w:pPr>
      <w:r>
        <w:rPr>
          <w:rFonts w:ascii="宋体" w:hAnsi="宋体" w:cs="宋体" w:eastAsia="宋体"/>
          <w:sz w:val="24"/>
          <w:color w:val="000000"/>
        </w:rPr>
        <w:t>长沙市望城区园林绿化维护中心望城区公共绿地白蚁防治项目一标（河东片区）</w:t>
      </w:r>
    </w:p>
    <w:p>
      <w:pPr>
        <w:pStyle w:val="null3"/>
        <w:jc w:val="left"/>
        <w:outlineLvl w:val="2"/>
      </w:pPr>
      <w:r>
        <w:rPr>
          <w:sz w:val="28"/>
          <w:b/>
        </w:rPr>
        <w:t>3.2 服务内容</w:t>
      </w:r>
    </w:p>
    <w:p>
      <w:pPr>
        <w:pStyle w:val="null3"/>
        <w:jc w:val="left"/>
      </w:pPr>
      <w:r>
        <w:rPr/>
        <w:t>采购包1：</w:t>
      </w:r>
    </w:p>
    <w:p>
      <w:pPr>
        <w:pStyle w:val="null3"/>
      </w:pPr>
      <w:r>
        <w:rPr/>
        <w:t>采购包预算金额（元）: 310,620.00</w:t>
      </w:r>
    </w:p>
    <w:p>
      <w:pPr>
        <w:pStyle w:val="null3"/>
      </w:pPr>
      <w:r>
        <w:rPr/>
        <w:t>采购包最高限价（元）: 310,620.00</w:t>
      </w:r>
    </w:p>
    <w:p>
      <w:pPr>
        <w:pStyle w:val="null3"/>
      </w:pPr>
      <w:r>
        <w:rPr/>
        <w:t>供应商报价不允许超过标的限价</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664"/>
        <w:gridCol w:w="1329"/>
        <w:gridCol w:w="581"/>
        <w:gridCol w:w="1080"/>
        <w:gridCol w:w="831"/>
        <w:gridCol w:w="831"/>
        <w:gridCol w:w="498"/>
        <w:gridCol w:w="498"/>
        <w:gridCol w:w="498"/>
        <w:gridCol w:w="498"/>
        <w:gridCol w:w="498"/>
        <w:gridCol w:w="498"/>
      </w:tblGrid>
      <w:tr>
        <w:tc>
          <w:tcPr>
            <w:tcW w:type="dxa" w:w="664"/>
          </w:tcPr>
          <w:p>
            <w:pPr>
              <w:pStyle w:val="null3"/>
            </w:pPr>
            <w:r>
              <w:rPr/>
              <w:t>序号</w:t>
            </w:r>
          </w:p>
        </w:tc>
        <w:tc>
          <w:tcPr>
            <w:tcW w:type="dxa" w:w="1329"/>
          </w:tcPr>
          <w:p>
            <w:pPr>
              <w:pStyle w:val="null3"/>
            </w:pPr>
            <w:r>
              <w:rPr/>
              <w:t>标的名称</w:t>
            </w:r>
          </w:p>
        </w:tc>
        <w:tc>
          <w:tcPr>
            <w:tcW w:type="dxa" w:w="581"/>
          </w:tcPr>
          <w:p>
            <w:pPr>
              <w:pStyle w:val="null3"/>
              <w:jc w:val="right"/>
            </w:pPr>
            <w:r>
              <w:rPr/>
              <w:t>数量</w:t>
            </w:r>
          </w:p>
        </w:tc>
        <w:tc>
          <w:tcPr>
            <w:tcW w:type="dxa" w:w="1080"/>
          </w:tcPr>
          <w:p>
            <w:pPr>
              <w:pStyle w:val="null3"/>
              <w:jc w:val="right"/>
            </w:pPr>
            <w:r>
              <w:rPr/>
              <w:t>标的预算 （元）</w:t>
            </w:r>
          </w:p>
        </w:tc>
        <w:tc>
          <w:tcPr>
            <w:tcW w:type="dxa" w:w="831"/>
          </w:tcPr>
          <w:p>
            <w:pPr>
              <w:pStyle w:val="null3"/>
            </w:pPr>
            <w:r>
              <w:rPr/>
              <w:t>计量单位</w:t>
            </w:r>
          </w:p>
        </w:tc>
        <w:tc>
          <w:tcPr>
            <w:tcW w:type="dxa" w:w="831"/>
          </w:tcPr>
          <w:p>
            <w:pPr>
              <w:pStyle w:val="null3"/>
            </w:pPr>
            <w:r>
              <w:rPr/>
              <w:t>所属行业</w:t>
            </w:r>
          </w:p>
        </w:tc>
        <w:tc>
          <w:tcPr>
            <w:tcW w:type="dxa" w:w="498"/>
          </w:tcPr>
          <w:p>
            <w:pPr>
              <w:pStyle w:val="null3"/>
            </w:pPr>
            <w:r>
              <w:rPr/>
              <w:t>是否核心产品</w:t>
            </w:r>
          </w:p>
        </w:tc>
        <w:tc>
          <w:tcPr>
            <w:tcW w:type="dxa" w:w="498"/>
          </w:tcPr>
          <w:p>
            <w:pPr>
              <w:pStyle w:val="null3"/>
            </w:pPr>
            <w:r>
              <w:rPr/>
              <w:t>是否允许进口产品</w:t>
            </w:r>
          </w:p>
        </w:tc>
        <w:tc>
          <w:tcPr>
            <w:tcW w:type="dxa" w:w="498"/>
          </w:tcPr>
          <w:p>
            <w:pPr>
              <w:pStyle w:val="null3"/>
            </w:pPr>
            <w:r>
              <w:rPr/>
              <w:t>是否属于节能产品</w:t>
            </w:r>
          </w:p>
        </w:tc>
        <w:tc>
          <w:tcPr>
            <w:tcW w:type="dxa" w:w="498"/>
          </w:tcPr>
          <w:p>
            <w:pPr>
              <w:pStyle w:val="null3"/>
            </w:pPr>
            <w:r>
              <w:rPr/>
              <w:t>是否属于环境标志产品</w:t>
            </w:r>
          </w:p>
        </w:tc>
        <w:tc>
          <w:tcPr>
            <w:tcW w:type="dxa" w:w="498"/>
          </w:tcPr>
          <w:p>
            <w:pPr>
              <w:pStyle w:val="null3"/>
            </w:pPr>
            <w:r>
              <w:rPr/>
              <w:t>是否两型产品</w:t>
            </w:r>
          </w:p>
        </w:tc>
        <w:tc>
          <w:tcPr>
            <w:tcW w:type="dxa" w:w="498"/>
          </w:tcPr>
          <w:p>
            <w:pPr>
              <w:pStyle w:val="null3"/>
            </w:pPr>
            <w:r>
              <w:rPr/>
              <w:t>是否首购产品</w:t>
            </w:r>
          </w:p>
        </w:tc>
      </w:tr>
      <w:tr>
        <w:tc>
          <w:tcPr>
            <w:tcW w:type="dxa" w:w="664"/>
          </w:tcPr>
          <w:p>
            <w:pPr>
              <w:pStyle w:val="null3"/>
            </w:pPr>
            <w:r>
              <w:rPr/>
              <w:t>1</w:t>
            </w:r>
          </w:p>
        </w:tc>
        <w:tc>
          <w:tcPr>
            <w:tcW w:type="dxa" w:w="1329"/>
          </w:tcPr>
          <w:p>
            <w:pPr>
              <w:pStyle w:val="null3"/>
            </w:pPr>
            <w:r>
              <w:rPr/>
              <w:t>望城区公共绿地白蚁防治项目一标（河东片区）</w:t>
            </w:r>
          </w:p>
        </w:tc>
        <w:tc>
          <w:tcPr>
            <w:tcW w:type="dxa" w:w="581"/>
          </w:tcPr>
          <w:p>
            <w:pPr>
              <w:pStyle w:val="null3"/>
            </w:pPr>
            <w:r>
              <w:rPr/>
              <w:t>1,553,100.00</w:t>
            </w:r>
          </w:p>
        </w:tc>
        <w:tc>
          <w:tcPr>
            <w:tcW w:type="dxa" w:w="1080"/>
          </w:tcPr>
          <w:p>
            <w:pPr>
              <w:pStyle w:val="null3"/>
            </w:pPr>
            <w:r>
              <w:rPr/>
              <w:t>310,620.00</w:t>
            </w:r>
          </w:p>
        </w:tc>
        <w:tc>
          <w:tcPr>
            <w:tcW w:type="dxa" w:w="831"/>
          </w:tcPr>
          <w:p>
            <w:pPr>
              <w:pStyle w:val="null3"/>
            </w:pPr>
            <w:r>
              <w:rPr/>
              <w:t>平方米</w:t>
            </w:r>
          </w:p>
        </w:tc>
        <w:tc>
          <w:tcPr>
            <w:tcW w:type="dxa" w:w="831"/>
          </w:tcPr>
          <w:p>
            <w:pPr>
              <w:pStyle w:val="null3"/>
            </w:pPr>
            <w:r>
              <w:rPr/>
              <w:t>其他未列明行业</w:t>
            </w:r>
          </w:p>
        </w:tc>
        <w:tc>
          <w:tcPr>
            <w:tcW w:type="dxa" w:w="498"/>
          </w:tcPr>
          <w:p>
            <w:pPr>
              <w:pStyle w:val="null3"/>
            </w:pPr>
            <w:r>
              <w:rPr/>
              <w:t>否</w:t>
            </w:r>
          </w:p>
        </w:tc>
        <w:tc>
          <w:tcPr>
            <w:tcW w:type="dxa" w:w="498"/>
          </w:tcPr>
          <w:p>
            <w:pPr>
              <w:pStyle w:val="null3"/>
            </w:pPr>
            <w:r>
              <w:rPr/>
              <w:t>否</w:t>
            </w:r>
          </w:p>
        </w:tc>
        <w:tc>
          <w:tcPr>
            <w:tcW w:type="dxa" w:w="498"/>
          </w:tcPr>
          <w:p>
            <w:pPr>
              <w:pStyle w:val="null3"/>
            </w:pPr>
            <w:r>
              <w:rPr/>
              <w:t>否</w:t>
            </w:r>
          </w:p>
        </w:tc>
        <w:tc>
          <w:tcPr>
            <w:tcW w:type="dxa" w:w="498"/>
          </w:tcPr>
          <w:p>
            <w:pPr>
              <w:pStyle w:val="null3"/>
            </w:pPr>
            <w:r>
              <w:rPr/>
              <w:t>否</w:t>
            </w:r>
          </w:p>
        </w:tc>
        <w:tc>
          <w:tcPr>
            <w:tcW w:type="dxa" w:w="498"/>
          </w:tcPr>
          <w:p>
            <w:pPr>
              <w:pStyle w:val="null3"/>
            </w:pPr>
            <w:r>
              <w:rPr/>
              <w:t>否</w:t>
            </w:r>
          </w:p>
        </w:tc>
        <w:tc>
          <w:tcPr>
            <w:tcW w:type="dxa" w:w="498"/>
          </w:tcPr>
          <w:p>
            <w:pPr>
              <w:pStyle w:val="null3"/>
            </w:pPr>
            <w:r>
              <w:rPr/>
              <w:t>否</w:t>
            </w:r>
          </w:p>
        </w:tc>
      </w:tr>
    </w:tbl>
    <w:p>
      <w:pPr>
        <w:pStyle w:val="null3"/>
        <w:jc w:val="left"/>
        <w:outlineLvl w:val="2"/>
      </w:pPr>
      <w:r>
        <w:rPr>
          <w:sz w:val="28"/>
          <w:b/>
        </w:rPr>
        <w:t>3.3 服务要求</w:t>
      </w:r>
    </w:p>
    <w:p>
      <w:pPr>
        <w:pStyle w:val="null3"/>
        <w:jc w:val="left"/>
      </w:pPr>
      <w:r>
        <w:rPr/>
        <w:t>采购包1：</w:t>
      </w:r>
    </w:p>
    <w:p>
      <w:pPr>
        <w:pStyle w:val="null3"/>
      </w:pPr>
      <w:r>
        <w:rPr/>
        <w:t>供应商报价不允许超过标的预算</w:t>
      </w:r>
    </w:p>
    <w:p>
      <w:pPr>
        <w:pStyle w:val="null3"/>
      </w:pPr>
      <w:r>
        <w:rPr/>
        <w:t>（招单价的）供应商报价不允许超过标的单价</w:t>
      </w:r>
    </w:p>
    <w:p>
      <w:pPr>
        <w:pStyle w:val="null3"/>
      </w:pPr>
      <w:r>
        <w:rPr/>
        <w:t>标的名称：望城区公共绿地白蚁防治项目一标（河东片区）</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pPr>
            <w:r>
              <w:rPr/>
              <w:t xml:space="preserve"> 参数性质</w:t>
            </w:r>
          </w:p>
        </w:tc>
        <w:tc>
          <w:tcPr>
            <w:tcW w:type="dxa" w:w="581"/>
          </w:tcPr>
          <w:p>
            <w:pPr>
              <w:pStyle w:val="null3"/>
            </w:pPr>
            <w:r>
              <w:rPr/>
              <w:t xml:space="preserve"> 序号</w:t>
            </w:r>
          </w:p>
        </w:tc>
        <w:tc>
          <w:tcPr>
            <w:tcW w:type="dxa" w:w="6894"/>
          </w:tcPr>
          <w:p>
            <w:pPr>
              <w:pStyle w:val="null3"/>
            </w:pPr>
            <w:r>
              <w:rPr/>
              <w:t xml:space="preserve"> 技术参数与性能指标</w:t>
            </w:r>
          </w:p>
        </w:tc>
      </w:tr>
      <w:tr>
        <w:tc>
          <w:tcPr>
            <w:tcW w:type="dxa" w:w="831"/>
          </w:tcPr>
          <w:p>
            <w:pPr>
              <w:pStyle w:val="null3"/>
            </w:pPr>
            <w:r>
              <w:rPr/>
              <w:t>★</w:t>
            </w:r>
          </w:p>
        </w:tc>
        <w:tc>
          <w:tcPr>
            <w:tcW w:type="dxa" w:w="581"/>
          </w:tcPr>
          <w:p>
            <w:pPr>
              <w:pStyle w:val="null3"/>
            </w:pPr>
            <w:r>
              <w:rPr/>
              <w:t>1</w:t>
            </w:r>
          </w:p>
        </w:tc>
        <w:tc>
          <w:tcPr>
            <w:tcW w:type="dxa" w:w="6894"/>
          </w:tcPr>
          <w:p>
            <w:pPr>
              <w:pStyle w:val="null3"/>
              <w:jc w:val="both"/>
            </w:pPr>
            <w:r>
              <w:rPr>
                <w:rFonts w:ascii="宋体" w:hAnsi="宋体" w:cs="宋体" w:eastAsia="宋体"/>
                <w:sz w:val="21"/>
                <w:b/>
              </w:rPr>
              <w:t>2</w:t>
            </w:r>
            <w:r>
              <w:rPr>
                <w:rFonts w:ascii="宋体" w:hAnsi="宋体" w:cs="宋体" w:eastAsia="宋体"/>
                <w:sz w:val="21"/>
                <w:b/>
              </w:rPr>
              <w:t>、</w:t>
            </w:r>
            <w:r>
              <w:rPr>
                <w:rFonts w:ascii="宋体" w:hAnsi="宋体" w:cs="宋体" w:eastAsia="宋体"/>
                <w:sz w:val="21"/>
              </w:rPr>
              <w:t>★投标人可同时投标“一标”、“二标”、“三标”等三个政府采购项目，但投标人只可中标其中一个项目。若投标人同时中标两个或以上项目，选取金额最大的标段确定为中标标段，中标的其他项目由排名第二的中标候选人递补，以此类推</w:t>
            </w:r>
            <w:r>
              <w:rPr>
                <w:rFonts w:ascii="宋体" w:hAnsi="宋体" w:cs="宋体" w:eastAsia="宋体"/>
                <w:sz w:val="21"/>
              </w:rPr>
              <w:t>。</w:t>
            </w:r>
          </w:p>
        </w:tc>
      </w:tr>
      <w:tr>
        <w:tc>
          <w:tcPr>
            <w:tcW w:type="dxa" w:w="831"/>
          </w:tcPr>
          <w:p/>
        </w:tc>
        <w:tc>
          <w:tcPr>
            <w:tcW w:type="dxa" w:w="581"/>
          </w:tcPr>
          <w:p>
            <w:pPr>
              <w:pStyle w:val="null3"/>
            </w:pPr>
            <w:r>
              <w:rPr/>
              <w:t>2</w:t>
            </w:r>
          </w:p>
        </w:tc>
        <w:tc>
          <w:tcPr>
            <w:tcW w:type="dxa" w:w="6894"/>
          </w:tcPr>
          <w:p>
            <w:pPr>
              <w:pStyle w:val="null3"/>
              <w:jc w:val="both"/>
            </w:pPr>
            <w:r>
              <w:rPr>
                <w:rFonts w:ascii="宋体" w:hAnsi="宋体" w:cs="宋体" w:eastAsia="宋体"/>
                <w:sz w:val="21"/>
                <w:b/>
              </w:rPr>
              <w:t>一、采购项目名称：</w:t>
            </w:r>
            <w:r>
              <w:rPr>
                <w:rFonts w:ascii="宋体" w:hAnsi="宋体" w:cs="宋体" w:eastAsia="宋体"/>
                <w:sz w:val="21"/>
              </w:rPr>
              <w:t>望城区公共绿地白蚁防治项目一标（河东片区）</w:t>
            </w:r>
          </w:p>
          <w:p>
            <w:pPr>
              <w:pStyle w:val="null3"/>
              <w:jc w:val="both"/>
            </w:pPr>
            <w:r>
              <w:rPr>
                <w:rFonts w:ascii="宋体" w:hAnsi="宋体" w:cs="宋体" w:eastAsia="宋体"/>
                <w:sz w:val="21"/>
                <w:b/>
              </w:rPr>
              <w:t>二、采购项目</w:t>
            </w:r>
            <w:r>
              <w:rPr>
                <w:rFonts w:ascii="宋体" w:hAnsi="宋体" w:cs="宋体" w:eastAsia="宋体"/>
                <w:sz w:val="21"/>
                <w:b/>
              </w:rPr>
              <w:t>预算</w:t>
            </w:r>
          </w:p>
          <w:p>
            <w:pPr>
              <w:pStyle w:val="null3"/>
              <w:ind w:firstLine="420"/>
              <w:jc w:val="both"/>
            </w:pPr>
            <w:r>
              <w:rPr>
                <w:rFonts w:ascii="宋体" w:hAnsi="宋体" w:cs="宋体" w:eastAsia="宋体"/>
                <w:sz w:val="21"/>
              </w:rPr>
              <w:t>1、</w:t>
            </w:r>
            <w:r>
              <w:rPr>
                <w:rFonts w:ascii="宋体" w:hAnsi="宋体" w:cs="宋体" w:eastAsia="宋体"/>
                <w:sz w:val="21"/>
              </w:rPr>
              <w:t>预算：</w:t>
            </w:r>
            <w:r>
              <w:rPr>
                <w:rFonts w:ascii="宋体" w:hAnsi="宋体" w:cs="宋体" w:eastAsia="宋体"/>
                <w:sz w:val="21"/>
              </w:rPr>
              <w:t>根据绿化区域白蚁危害的情况，结合防治手段复杂程度等情况，考虑施工所需人工、药物、器具、技术、税金等因素，</w:t>
            </w:r>
            <w:r>
              <w:rPr>
                <w:rFonts w:ascii="宋体" w:hAnsi="宋体" w:cs="宋体" w:eastAsia="宋体"/>
                <w:sz w:val="21"/>
              </w:rPr>
              <w:t>本项目</w:t>
            </w:r>
            <w:r>
              <w:rPr>
                <w:rFonts w:ascii="宋体" w:hAnsi="宋体" w:cs="宋体" w:eastAsia="宋体"/>
                <w:sz w:val="21"/>
              </w:rPr>
              <w:t>总预算</w:t>
            </w:r>
            <w:r>
              <w:rPr>
                <w:rFonts w:ascii="宋体" w:hAnsi="宋体" w:cs="宋体" w:eastAsia="宋体"/>
                <w:sz w:val="21"/>
              </w:rPr>
              <w:t>为</w:t>
            </w:r>
            <w:r>
              <w:rPr>
                <w:rFonts w:ascii="宋体" w:hAnsi="宋体" w:cs="宋体" w:eastAsia="宋体"/>
                <w:sz w:val="21"/>
              </w:rPr>
              <w:t>264.35</w:t>
            </w:r>
            <w:r>
              <w:rPr>
                <w:rFonts w:ascii="宋体" w:hAnsi="宋体" w:cs="宋体" w:eastAsia="宋体"/>
                <w:sz w:val="21"/>
              </w:rPr>
              <w:t>万</w:t>
            </w:r>
            <w:r>
              <w:rPr>
                <w:rFonts w:ascii="宋体" w:hAnsi="宋体" w:cs="宋体" w:eastAsia="宋体"/>
                <w:sz w:val="21"/>
              </w:rPr>
              <w:t>元</w:t>
            </w:r>
            <w:r>
              <w:rPr>
                <w:rFonts w:ascii="宋体" w:hAnsi="宋体" w:cs="宋体" w:eastAsia="宋体"/>
                <w:sz w:val="21"/>
              </w:rPr>
              <w:t>，其中本标段预算为</w:t>
            </w:r>
            <w:r>
              <w:rPr>
                <w:rFonts w:ascii="宋体" w:hAnsi="宋体" w:cs="宋体" w:eastAsia="宋体"/>
                <w:sz w:val="21"/>
              </w:rPr>
              <w:t>62.12</w:t>
            </w:r>
            <w:r>
              <w:rPr>
                <w:rFonts w:ascii="宋体" w:hAnsi="宋体" w:cs="宋体" w:eastAsia="宋体"/>
                <w:sz w:val="21"/>
              </w:rPr>
              <w:t>4</w:t>
            </w:r>
            <w:r>
              <w:rPr>
                <w:rFonts w:ascii="宋体" w:hAnsi="宋体" w:cs="宋体" w:eastAsia="宋体"/>
                <w:sz w:val="21"/>
              </w:rPr>
              <w:t>万元（</w:t>
            </w:r>
            <w:r>
              <w:rPr>
                <w:rFonts w:ascii="宋体" w:hAnsi="宋体" w:cs="宋体" w:eastAsia="宋体"/>
                <w:sz w:val="21"/>
              </w:rPr>
              <w:t>31.062</w:t>
            </w:r>
            <w:r>
              <w:rPr>
                <w:rFonts w:ascii="宋体" w:hAnsi="宋体" w:cs="宋体" w:eastAsia="宋体"/>
                <w:sz w:val="21"/>
              </w:rPr>
              <w:t>万元</w:t>
            </w:r>
            <w:r>
              <w:rPr>
                <w:rFonts w:ascii="宋体" w:hAnsi="宋体" w:cs="宋体" w:eastAsia="宋体"/>
                <w:sz w:val="21"/>
              </w:rPr>
              <w:t>/年，服务期</w:t>
            </w:r>
            <w:r>
              <w:rPr>
                <w:rFonts w:ascii="宋体" w:hAnsi="宋体" w:cs="宋体" w:eastAsia="宋体"/>
                <w:sz w:val="21"/>
              </w:rPr>
              <w:t>2</w:t>
            </w:r>
            <w:r>
              <w:rPr>
                <w:rFonts w:ascii="宋体" w:hAnsi="宋体" w:cs="宋体" w:eastAsia="宋体"/>
                <w:sz w:val="21"/>
              </w:rPr>
              <w:t>年，合同一年一签）</w:t>
            </w:r>
            <w:r>
              <w:rPr>
                <w:rFonts w:ascii="宋体" w:hAnsi="宋体" w:cs="宋体" w:eastAsia="宋体"/>
                <w:sz w:val="21"/>
              </w:rPr>
              <w:t>；以上预算包含绿化区域白蚁防治施工的人工、药物、器具、车辆、伙食、技术、保险、税金等全部费用，此外无其他任何收费。</w:t>
            </w:r>
          </w:p>
          <w:tbl>
            <w:tblPr>
              <w:tblBorders>
                <w:top w:val="none" w:color="000000" w:sz="4"/>
                <w:left w:val="none" w:color="000000" w:sz="4"/>
                <w:bottom w:val="none" w:color="000000" w:sz="4"/>
                <w:right w:val="none" w:color="000000" w:sz="4"/>
                <w:insideH w:val="none"/>
                <w:insideV w:val="none"/>
              </w:tblBorders>
            </w:tblPr>
            <w:tblGrid>
              <w:gridCol w:w="845"/>
              <w:gridCol w:w="845"/>
              <w:gridCol w:w="2384"/>
              <w:gridCol w:w="810"/>
              <w:gridCol w:w="845"/>
              <w:gridCol w:w="949"/>
            </w:tblGrid>
            <w:tr>
              <w:tc>
                <w:tcPr>
                  <w:tcW w:type="dxa" w:w="8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序号</w:t>
                  </w:r>
                </w:p>
              </w:tc>
              <w:tc>
                <w:tcPr>
                  <w:tcW w:type="dxa" w:w="8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品目分类</w:t>
                  </w:r>
                </w:p>
              </w:tc>
              <w:tc>
                <w:tcPr>
                  <w:tcW w:type="dxa" w:w="23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标的名称</w:t>
                  </w:r>
                </w:p>
              </w:tc>
              <w:tc>
                <w:tcPr>
                  <w:tcW w:type="dxa" w:w="8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数量</w:t>
                  </w:r>
                </w:p>
              </w:tc>
              <w:tc>
                <w:tcPr>
                  <w:tcW w:type="dxa" w:w="8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单价</w:t>
                  </w:r>
                </w:p>
              </w:tc>
              <w:tc>
                <w:tcPr>
                  <w:tcW w:type="dxa" w:w="9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总价</w:t>
                  </w:r>
                </w:p>
              </w:tc>
            </w:tr>
            <w:tr>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1</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林业有害生物防治服务</w:t>
                  </w:r>
                </w:p>
              </w:tc>
              <w:tc>
                <w:tcPr>
                  <w:tcW w:type="dxa" w:w="2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望城区公共绿地白蚁防治项目一标（河东片区）</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15531</w:t>
                  </w:r>
                  <w:r>
                    <w:rPr>
                      <w:rFonts w:ascii="宋体" w:hAnsi="宋体" w:cs="宋体" w:eastAsia="宋体"/>
                      <w:sz w:val="21"/>
                    </w:rPr>
                    <w:t>00</w:t>
                  </w:r>
                  <w:r>
                    <w:rPr>
                      <w:rFonts w:ascii="宋体" w:hAnsi="宋体" w:cs="宋体" w:eastAsia="宋体"/>
                      <w:sz w:val="21"/>
                    </w:rPr>
                    <w:t>㎡</w:t>
                  </w:r>
                </w:p>
              </w:tc>
              <w:tc>
                <w:tcPr>
                  <w:tcW w:type="dxa" w:w="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0.</w:t>
                  </w:r>
                  <w:r>
                    <w:rPr>
                      <w:rFonts w:ascii="宋体" w:hAnsi="宋体" w:cs="宋体" w:eastAsia="宋体"/>
                      <w:sz w:val="21"/>
                    </w:rPr>
                    <w:t>2</w:t>
                  </w:r>
                  <w:r>
                    <w:rPr>
                      <w:rFonts w:ascii="宋体" w:hAnsi="宋体" w:cs="宋体" w:eastAsia="宋体"/>
                      <w:sz w:val="21"/>
                    </w:rPr>
                    <w:t>元</w:t>
                  </w:r>
                  <w:r>
                    <w:rPr>
                      <w:rFonts w:ascii="宋体" w:hAnsi="宋体" w:cs="宋体" w:eastAsia="宋体"/>
                      <w:sz w:val="21"/>
                    </w:rPr>
                    <w:t>/</w:t>
                  </w:r>
                  <w:r>
                    <w:rPr>
                      <w:rFonts w:ascii="宋体" w:hAnsi="宋体" w:cs="宋体" w:eastAsia="宋体"/>
                      <w:sz w:val="21"/>
                    </w:rPr>
                    <w:t>m</w:t>
                  </w:r>
                  <w:r>
                    <w:rPr>
                      <w:rFonts w:ascii="宋体" w:hAnsi="宋体" w:cs="宋体" w:eastAsia="宋体"/>
                      <w:sz w:val="21"/>
                      <w:vertAlign w:val="superscript"/>
                    </w:rPr>
                    <w:t>2</w:t>
                  </w:r>
                  <w:r>
                    <w:rPr>
                      <w:rFonts w:ascii="宋体" w:hAnsi="宋体" w:cs="宋体" w:eastAsia="宋体"/>
                      <w:sz w:val="21"/>
                    </w:rPr>
                    <w:t>·</w:t>
                  </w:r>
                  <w:r>
                    <w:rPr>
                      <w:rFonts w:ascii="宋体" w:hAnsi="宋体" w:cs="宋体" w:eastAsia="宋体"/>
                      <w:sz w:val="21"/>
                    </w:rPr>
                    <w:t>1</w:t>
                  </w:r>
                  <w:r>
                    <w:rPr>
                      <w:rFonts w:ascii="宋体" w:hAnsi="宋体" w:cs="宋体" w:eastAsia="宋体"/>
                      <w:sz w:val="21"/>
                    </w:rPr>
                    <w:t>年</w:t>
                  </w: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310620</w:t>
                  </w:r>
                  <w:r>
                    <w:rPr>
                      <w:rFonts w:ascii="宋体" w:hAnsi="宋体" w:cs="宋体" w:eastAsia="宋体"/>
                      <w:sz w:val="21"/>
                    </w:rPr>
                    <w:t>元</w:t>
                  </w:r>
                </w:p>
              </w:tc>
            </w:tr>
          </w:tbl>
          <w:p>
            <w:pPr>
              <w:pStyle w:val="null3"/>
              <w:ind w:firstLine="422"/>
              <w:jc w:val="both"/>
            </w:pPr>
            <w:r>
              <w:rPr>
                <w:rFonts w:ascii="宋体" w:hAnsi="宋体" w:cs="宋体" w:eastAsia="宋体"/>
                <w:sz w:val="21"/>
                <w:b/>
              </w:rPr>
              <w:t>2</w:t>
            </w:r>
            <w:r>
              <w:rPr>
                <w:rFonts w:ascii="宋体" w:hAnsi="宋体" w:cs="宋体" w:eastAsia="宋体"/>
                <w:sz w:val="21"/>
                <w:b/>
              </w:rPr>
              <w:t>、</w:t>
            </w:r>
            <w:r>
              <w:rPr>
                <w:rFonts w:ascii="宋体" w:hAnsi="宋体" w:cs="宋体" w:eastAsia="宋体"/>
                <w:sz w:val="21"/>
              </w:rPr>
              <w:t>★投标人可同时投标“一标”、“二标”、“三标”等三个政府采购项目，但投标人只可中标其中一个项目。若投标人同时中标两个或以上项目，选取金额最大的标段确定为中标标段，中标的其他项目由排名第二的中标候选人递补，以此类推</w:t>
            </w:r>
            <w:r>
              <w:rPr>
                <w:rFonts w:ascii="宋体" w:hAnsi="宋体" w:cs="宋体" w:eastAsia="宋体"/>
                <w:sz w:val="21"/>
              </w:rPr>
              <w:t>。</w:t>
            </w:r>
          </w:p>
          <w:p>
            <w:pPr>
              <w:pStyle w:val="null3"/>
              <w:jc w:val="both"/>
            </w:pPr>
            <w:r>
              <w:rPr>
                <w:rFonts w:ascii="宋体" w:hAnsi="宋体" w:cs="宋体" w:eastAsia="宋体"/>
                <w:sz w:val="21"/>
                <w:b/>
              </w:rPr>
              <w:t>三、项目概况</w:t>
            </w:r>
          </w:p>
          <w:p>
            <w:pPr>
              <w:pStyle w:val="null3"/>
              <w:ind w:firstLine="420"/>
              <w:jc w:val="both"/>
            </w:pPr>
            <w:r>
              <w:rPr>
                <w:rFonts w:ascii="宋体" w:hAnsi="宋体" w:cs="宋体" w:eastAsia="宋体"/>
                <w:sz w:val="21"/>
              </w:rPr>
              <w:t>白蚁是一种较为原始的社会性昆虫，距今约有</w:t>
            </w:r>
            <w:r>
              <w:rPr>
                <w:rFonts w:ascii="宋体" w:hAnsi="宋体" w:cs="宋体" w:eastAsia="宋体"/>
                <w:sz w:val="21"/>
              </w:rPr>
              <w:t>2.5亿年的历史。白蚁是热带、亚热带地区的重要害虫之一。它在世界五大洲均有分布和危害，其分布约占全球陆地总面积的50%；我国白蚁分布和危害面积约占全国陆地总面积的40%，长江以南各省受到的危害尤为严重。望城区城区范围绿化面积广，因地处温暖潮湿的典型的亚热带气候十分适宜白蚁繁殖生存，受白蚁危害较为严重。</w:t>
            </w:r>
          </w:p>
          <w:p>
            <w:pPr>
              <w:pStyle w:val="null3"/>
              <w:numPr>
                <w:ilvl w:val="0"/>
                <w:numId w:val="1"/>
              </w:numPr>
              <w:jc w:val="both"/>
            </w:pPr>
            <w:r>
              <w:rPr>
                <w:rFonts w:ascii="宋体" w:hAnsi="宋体" w:cs="宋体" w:eastAsia="宋体"/>
                <w:sz w:val="21"/>
                <w:b/>
              </w:rPr>
              <w:t>防治范围</w:t>
            </w:r>
          </w:p>
          <w:p>
            <w:pPr>
              <w:pStyle w:val="null3"/>
              <w:ind w:firstLine="420"/>
              <w:jc w:val="both"/>
            </w:pPr>
            <w:r>
              <w:rPr>
                <w:rFonts w:ascii="宋体" w:hAnsi="宋体" w:cs="宋体" w:eastAsia="宋体"/>
                <w:sz w:val="21"/>
              </w:rPr>
              <w:t>望城区公共绿地白蚁防治项目一标（河东片区）（绿化面积</w:t>
            </w:r>
            <w:r>
              <w:rPr>
                <w:rFonts w:ascii="宋体" w:hAnsi="宋体" w:cs="宋体" w:eastAsia="宋体"/>
                <w:sz w:val="21"/>
              </w:rPr>
              <w:t>155.31万㎡，行道树7421株</w:t>
            </w:r>
            <w:r>
              <w:rPr>
                <w:rFonts w:ascii="宋体" w:hAnsi="宋体" w:cs="宋体" w:eastAsia="宋体"/>
                <w:sz w:val="21"/>
              </w:rPr>
              <w:t>,</w:t>
            </w:r>
            <w:r>
              <w:rPr>
                <w:rFonts w:ascii="宋体" w:hAnsi="宋体" w:cs="宋体" w:eastAsia="宋体"/>
                <w:sz w:val="21"/>
                <w:color w:val="000000"/>
              </w:rPr>
              <w:t>挖巢数量</w:t>
            </w:r>
            <w:r>
              <w:rPr>
                <w:rFonts w:ascii="宋体" w:hAnsi="宋体" w:cs="宋体" w:eastAsia="宋体"/>
                <w:sz w:val="21"/>
                <w:color w:val="000000"/>
              </w:rPr>
              <w:t>75个</w:t>
            </w:r>
            <w:r>
              <w:rPr>
                <w:rFonts w:ascii="宋体" w:hAnsi="宋体" w:cs="宋体" w:eastAsia="宋体"/>
                <w:sz w:val="21"/>
              </w:rPr>
              <w:t>）</w:t>
            </w:r>
            <w:r>
              <w:rPr>
                <w:rFonts w:ascii="宋体" w:hAnsi="宋体" w:cs="宋体" w:eastAsia="宋体"/>
                <w:sz w:val="21"/>
              </w:rPr>
              <w:t>，具体详见下列清单</w:t>
            </w:r>
          </w:p>
          <w:tbl>
            <w:tblPr>
              <w:tblInd w:type="dxa" w:w="375"/>
              <w:tblBorders>
                <w:top w:val="none" w:color="000000" w:sz="4"/>
                <w:left w:val="none" w:color="000000" w:sz="4"/>
                <w:bottom w:val="none" w:color="000000" w:sz="4"/>
                <w:right w:val="none" w:color="000000" w:sz="4"/>
                <w:insideH w:val="none"/>
                <w:insideV w:val="none"/>
              </w:tblBorders>
            </w:tblPr>
            <w:tblGrid>
              <w:gridCol w:w="660"/>
              <w:gridCol w:w="1007"/>
              <w:gridCol w:w="2095"/>
              <w:gridCol w:w="1123"/>
              <w:gridCol w:w="683"/>
              <w:gridCol w:w="671"/>
              <w:gridCol w:w="440"/>
            </w:tblGrid>
            <w:tr>
              <w:tc>
                <w:tcPr>
                  <w:tcW w:type="dxa" w:w="667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望城区公共绿地白蚁防治项目一标（河东片区）</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序号</w:t>
                  </w:r>
                </w:p>
              </w:tc>
              <w:tc>
                <w:tcPr>
                  <w:tcW w:type="dxa" w:w="10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道路名称</w:t>
                  </w:r>
                </w:p>
              </w:tc>
              <w:tc>
                <w:tcPr>
                  <w:tcW w:type="dxa" w:w="20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地点及名称</w:t>
                  </w:r>
                </w:p>
              </w:tc>
              <w:tc>
                <w:tcPr>
                  <w:tcW w:type="dxa" w:w="11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面积（㎡）</w:t>
                  </w:r>
                </w:p>
              </w:tc>
              <w:tc>
                <w:tcPr>
                  <w:tcW w:type="dxa" w:w="6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行道树数量</w:t>
                  </w:r>
                </w:p>
              </w:tc>
              <w:tc>
                <w:tcPr>
                  <w:tcW w:type="dxa" w:w="67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挖巢数量（个）</w:t>
                  </w:r>
                </w:p>
              </w:tc>
              <w:tc>
                <w:tcPr>
                  <w:tcW w:type="dxa" w:w="4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备注</w:t>
                  </w:r>
                </w:p>
              </w:tc>
            </w:tr>
            <w:tr>
              <w:tc>
                <w:tcPr>
                  <w:tcW w:type="dxa" w:w="660"/>
                  <w:vMerge/>
                  <w:tcBorders>
                    <w:top w:val="none" w:color="000000" w:sz="4"/>
                    <w:left w:val="single" w:color="000000" w:sz="4"/>
                    <w:bottom w:val="single" w:color="000000" w:sz="4"/>
                    <w:right w:val="single" w:color="000000" w:sz="4"/>
                  </w:tcBorders>
                </w:tcPr>
                <w:p/>
              </w:tc>
              <w:tc>
                <w:tcPr>
                  <w:tcW w:type="dxa" w:w="1007"/>
                  <w:vMerge/>
                  <w:tcBorders>
                    <w:top w:val="single" w:color="000000" w:sz="4"/>
                    <w:left w:val="none" w:color="000000" w:sz="4"/>
                    <w:bottom w:val="single" w:color="000000" w:sz="4"/>
                    <w:right w:val="single" w:color="000000" w:sz="4"/>
                  </w:tcBorders>
                </w:tcPr>
                <w:p/>
              </w:tc>
              <w:tc>
                <w:tcPr>
                  <w:tcW w:type="dxa" w:w="2095"/>
                  <w:vMerge/>
                  <w:tcBorders>
                    <w:top w:val="single" w:color="000000" w:sz="4"/>
                    <w:left w:val="none" w:color="000000" w:sz="4"/>
                    <w:bottom w:val="single" w:color="000000" w:sz="4"/>
                    <w:right w:val="single" w:color="000000" w:sz="4"/>
                  </w:tcBorders>
                </w:tcPr>
                <w:p/>
              </w:tc>
              <w:tc>
                <w:tcPr>
                  <w:tcW w:type="dxa" w:w="1123"/>
                  <w:vMerge/>
                  <w:tcBorders>
                    <w:top w:val="single" w:color="000000" w:sz="4"/>
                    <w:left w:val="none" w:color="000000" w:sz="4"/>
                    <w:bottom w:val="single" w:color="000000" w:sz="4"/>
                    <w:right w:val="single" w:color="000000" w:sz="4"/>
                  </w:tcBorders>
                </w:tcPr>
                <w:p/>
              </w:tc>
              <w:tc>
                <w:tcPr>
                  <w:tcW w:type="dxa" w:w="683"/>
                  <w:vMerge/>
                  <w:tcBorders>
                    <w:top w:val="single" w:color="000000" w:sz="4"/>
                    <w:left w:val="none" w:color="000000" w:sz="4"/>
                    <w:bottom w:val="single" w:color="000000" w:sz="4"/>
                    <w:right w:val="single" w:color="000000" w:sz="4"/>
                  </w:tcBorders>
                </w:tcPr>
                <w:p/>
              </w:tc>
              <w:tc>
                <w:tcPr>
                  <w:tcW w:type="dxa" w:w="671"/>
                  <w:vMerge/>
                  <w:tcBorders>
                    <w:top w:val="single" w:color="000000" w:sz="4"/>
                    <w:left w:val="none" w:color="000000" w:sz="4"/>
                    <w:bottom w:val="single" w:color="000000" w:sz="4"/>
                    <w:right w:val="single" w:color="000000" w:sz="4"/>
                  </w:tcBorders>
                </w:tcPr>
                <w:p/>
              </w:tc>
              <w:tc>
                <w:tcPr>
                  <w:tcW w:type="dxa" w:w="440"/>
                  <w:vMerge/>
                  <w:tcBorders>
                    <w:top w:val="single" w:color="000000" w:sz="4"/>
                    <w:left w:val="none" w:color="000000" w:sz="4"/>
                    <w:bottom w:val="single" w:color="000000" w:sz="4"/>
                    <w:right w:val="single" w:color="000000" w:sz="4"/>
                  </w:tcBorders>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芙蓉北大道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梅花岭区界至沙河大桥区界</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191013.00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1560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湘江长沙综合枢纽至景观道红绿灯</w:t>
                  </w:r>
                  <w:r>
                    <w:rPr>
                      <w:rFonts w:ascii="宋体" w:hAnsi="宋体" w:cs="宋体" w:eastAsia="宋体"/>
                      <w:sz w:val="21"/>
                      <w:color w:val="000000"/>
                    </w:rPr>
                    <w:t>470米）</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2006.50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湘江大道景观道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铜官集镇至古城桥段</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57934.00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湘江大道景观道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湘江大道东绿灯拐景观道起至古城桥段（游客中心广场）</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39332.00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88</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黄桥大道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蔡家冲公交站</w:t>
                  </w:r>
                  <w:r>
                    <w:rPr>
                      <w:rFonts w:ascii="宋体" w:hAnsi="宋体" w:cs="宋体" w:eastAsia="宋体"/>
                      <w:sz w:val="21"/>
                      <w:color w:val="000000"/>
                    </w:rPr>
                    <w:t>-芙蓉北路(含边坡)</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182107.00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丁字联络线</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湘江北路西中石油</w:t>
                  </w:r>
                  <w:r>
                    <w:rPr>
                      <w:rFonts w:ascii="宋体" w:hAnsi="宋体" w:cs="宋体" w:eastAsia="宋体"/>
                      <w:sz w:val="21"/>
                      <w:color w:val="000000"/>
                    </w:rPr>
                    <w:t>-芙蓉北路（含与湘江大道交叉口四角节点、与园区路交叉口四角节点、毛主席像周边的铺装）</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37331.00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108</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湖外路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柏强创业园</w:t>
                  </w:r>
                  <w:r>
                    <w:rPr>
                      <w:rFonts w:ascii="宋体" w:hAnsi="宋体" w:cs="宋体" w:eastAsia="宋体"/>
                      <w:sz w:val="21"/>
                      <w:color w:val="000000"/>
                    </w:rPr>
                    <w:t>-芙蓉北路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6628.00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241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园区路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w:t>
                  </w:r>
                  <w:r>
                    <w:rPr>
                      <w:rFonts w:ascii="宋体" w:hAnsi="宋体" w:cs="宋体" w:eastAsia="宋体"/>
                      <w:sz w:val="21"/>
                      <w:color w:val="000000"/>
                    </w:rPr>
                    <w:t>-书堂大道</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104260.00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861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腊树塘路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仓储中心</w:t>
                  </w:r>
                  <w:r>
                    <w:rPr>
                      <w:rFonts w:ascii="宋体" w:hAnsi="宋体" w:cs="宋体" w:eastAsia="宋体"/>
                      <w:sz w:val="21"/>
                      <w:color w:val="000000"/>
                    </w:rPr>
                    <w:t>-汤家湖路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31493.00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466</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书堂大道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丁字湾街道文化站</w:t>
                  </w:r>
                  <w:r>
                    <w:rPr>
                      <w:rFonts w:ascii="宋体" w:hAnsi="宋体" w:cs="宋体" w:eastAsia="宋体"/>
                      <w:sz w:val="21"/>
                      <w:color w:val="000000"/>
                    </w:rPr>
                    <w:t>-银龄苑老年公寓（含丁字大道至老年公寓道路两侧街头绿地内铺装）</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781.00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太阳山路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驼峰桥</w:t>
                  </w:r>
                  <w:r>
                    <w:rPr>
                      <w:rFonts w:ascii="宋体" w:hAnsi="宋体" w:cs="宋体" w:eastAsia="宋体"/>
                      <w:sz w:val="21"/>
                      <w:color w:val="000000"/>
                    </w:rPr>
                    <w:t>-开福区界</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44057.00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69</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汤家湖路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石长铁路跨线桥西</w:t>
                  </w:r>
                  <w:r>
                    <w:rPr>
                      <w:rFonts w:ascii="宋体" w:hAnsi="宋体" w:cs="宋体" w:eastAsia="宋体"/>
                      <w:sz w:val="21"/>
                      <w:color w:val="000000"/>
                    </w:rPr>
                    <w:t>-双桂路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31918.00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211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外贸路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学府星城</w:t>
                  </w:r>
                  <w:r>
                    <w:rPr>
                      <w:rFonts w:ascii="宋体" w:hAnsi="宋体" w:cs="宋体" w:eastAsia="宋体"/>
                      <w:sz w:val="21"/>
                      <w:color w:val="000000"/>
                    </w:rPr>
                    <w:t>-芙蓉北路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16758.00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144</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湾田路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腊树塘路</w:t>
                  </w:r>
                  <w:r>
                    <w:rPr>
                      <w:rFonts w:ascii="宋体" w:hAnsi="宋体" w:cs="宋体" w:eastAsia="宋体"/>
                      <w:sz w:val="21"/>
                      <w:color w:val="000000"/>
                    </w:rPr>
                    <w:t>-双桂路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12755.00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向东路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园区路</w:t>
                  </w:r>
                  <w:r>
                    <w:rPr>
                      <w:rFonts w:ascii="宋体" w:hAnsi="宋体" w:cs="宋体" w:eastAsia="宋体"/>
                      <w:sz w:val="21"/>
                      <w:color w:val="000000"/>
                    </w:rPr>
                    <w:t>-外贸路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36429.00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236</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丁字大道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芙蓉北路至岳寺路</w:t>
                  </w:r>
                  <w:r>
                    <w:rPr>
                      <w:rFonts w:ascii="宋体" w:hAnsi="宋体" w:cs="宋体" w:eastAsia="宋体"/>
                      <w:sz w:val="21"/>
                      <w:color w:val="000000"/>
                    </w:rPr>
                    <w:t>299米）</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3789.00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68</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17</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游园路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芙蓉大道至岳寺路</w:t>
                  </w:r>
                  <w:r>
                    <w:rPr>
                      <w:rFonts w:ascii="宋体" w:hAnsi="宋体" w:cs="宋体" w:eastAsia="宋体"/>
                      <w:sz w:val="21"/>
                      <w:color w:val="000000"/>
                    </w:rPr>
                    <w:t>370米)</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14369.00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74</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桃花路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北环园路至园区大道</w:t>
                  </w:r>
                  <w:r>
                    <w:rPr>
                      <w:rFonts w:ascii="宋体" w:hAnsi="宋体" w:cs="宋体" w:eastAsia="宋体"/>
                      <w:sz w:val="21"/>
                      <w:color w:val="000000"/>
                    </w:rPr>
                    <w:t>475米）</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2766.70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187</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枫林路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园区大道至枫树路</w:t>
                  </w:r>
                  <w:r>
                    <w:rPr>
                      <w:rFonts w:ascii="宋体" w:hAnsi="宋体" w:cs="宋体" w:eastAsia="宋体"/>
                      <w:sz w:val="21"/>
                      <w:color w:val="000000"/>
                    </w:rPr>
                    <w:t>616米）</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1487.00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66</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枫树路一期</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游园路至向东路</w:t>
                  </w:r>
                  <w:r>
                    <w:rPr>
                      <w:rFonts w:ascii="宋体" w:hAnsi="宋体" w:cs="宋体" w:eastAsia="宋体"/>
                      <w:sz w:val="21"/>
                      <w:color w:val="000000"/>
                    </w:rPr>
                    <w:t>1675米）</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2946.00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58</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双湖路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丁字联络线</w:t>
                  </w:r>
                  <w:r>
                    <w:rPr>
                      <w:rFonts w:ascii="宋体" w:hAnsi="宋体" w:cs="宋体" w:eastAsia="宋体"/>
                      <w:sz w:val="21"/>
                      <w:color w:val="000000"/>
                    </w:rPr>
                    <w:t>-湘江北路）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1946.00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湘江大道（含沙河桥周边绿化、北部湾）</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沙河桥至航电大道（含北部湾前及沙河桥下两侧）</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113055.00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丁江路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湘江路</w:t>
                  </w:r>
                  <w:r>
                    <w:rPr>
                      <w:rFonts w:ascii="宋体" w:hAnsi="宋体" w:cs="宋体" w:eastAsia="宋体"/>
                      <w:sz w:val="21"/>
                      <w:color w:val="000000"/>
                    </w:rPr>
                    <w:t>-桃花路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1319.73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双桂路一期</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汤家湖</w:t>
                  </w:r>
                  <w:r>
                    <w:rPr>
                      <w:rFonts w:ascii="宋体" w:hAnsi="宋体" w:cs="宋体" w:eastAsia="宋体"/>
                      <w:sz w:val="21"/>
                      <w:color w:val="000000"/>
                    </w:rPr>
                    <w:t>-景秀北路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双桂路二期</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秀北路</w:t>
                  </w:r>
                  <w:r>
                    <w:rPr>
                      <w:rFonts w:ascii="宋体" w:hAnsi="宋体" w:cs="宋体" w:eastAsia="宋体"/>
                      <w:sz w:val="21"/>
                      <w:color w:val="000000"/>
                    </w:rPr>
                    <w:t>-湾田路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115</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汤家湖路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双桂路</w:t>
                  </w:r>
                  <w:r>
                    <w:rPr>
                      <w:rFonts w:ascii="宋体" w:hAnsi="宋体" w:cs="宋体" w:eastAsia="宋体"/>
                      <w:sz w:val="21"/>
                      <w:color w:val="000000"/>
                    </w:rPr>
                    <w:t>-龙垸路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990.84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135</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27</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岳峙公园</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芙蓉北路与青石路交叉口东南角</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16069.70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412</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彩虹路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w:t>
                  </w:r>
                  <w:r>
                    <w:rPr>
                      <w:rFonts w:ascii="宋体" w:hAnsi="宋体" w:cs="宋体" w:eastAsia="宋体"/>
                      <w:sz w:val="21"/>
                      <w:color w:val="000000"/>
                    </w:rPr>
                    <w:t>-铜官大道</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22934.00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城湘路</w:t>
                  </w:r>
                  <w:r>
                    <w:rPr>
                      <w:rFonts w:ascii="宋体" w:hAnsi="宋体" w:cs="宋体" w:eastAsia="宋体"/>
                      <w:sz w:val="21"/>
                      <w:color w:val="000000"/>
                    </w:rPr>
                    <w:t>-灰场路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82711.00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花果路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w:t>
                  </w:r>
                  <w:r>
                    <w:rPr>
                      <w:rFonts w:ascii="宋体" w:hAnsi="宋体" w:cs="宋体" w:eastAsia="宋体"/>
                      <w:sz w:val="21"/>
                      <w:color w:val="000000"/>
                    </w:rPr>
                    <w:t>-黄龙路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95745.00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花果路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（花实路</w:t>
                  </w:r>
                  <w:r>
                    <w:rPr>
                      <w:rFonts w:ascii="宋体" w:hAnsi="宋体" w:cs="宋体" w:eastAsia="宋体"/>
                      <w:sz w:val="21"/>
                      <w:color w:val="000000"/>
                    </w:rPr>
                    <w:t>-黄龙路）公共绿化带绿化提质</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37980.00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1490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白杨路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花果路</w:t>
                  </w:r>
                  <w:r>
                    <w:rPr>
                      <w:rFonts w:ascii="宋体" w:hAnsi="宋体" w:cs="宋体" w:eastAsia="宋体"/>
                      <w:sz w:val="21"/>
                      <w:color w:val="000000"/>
                    </w:rPr>
                    <w:t>-黄龙路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36508.00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白杨路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石龙路</w:t>
                  </w:r>
                  <w:r>
                    <w:rPr>
                      <w:rFonts w:ascii="宋体" w:hAnsi="宋体" w:cs="宋体" w:eastAsia="宋体"/>
                      <w:sz w:val="21"/>
                      <w:color w:val="000000"/>
                    </w:rPr>
                    <w:t>-五杉塘堤</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10125.00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264</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白杨路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五杉大塘</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花实路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铜官大道</w:t>
                  </w:r>
                  <w:r>
                    <w:rPr>
                      <w:rFonts w:ascii="宋体" w:hAnsi="宋体" w:cs="宋体" w:eastAsia="宋体"/>
                      <w:sz w:val="21"/>
                      <w:color w:val="000000"/>
                    </w:rPr>
                    <w:t>-花果路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41477.00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华城路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花果路</w:t>
                  </w:r>
                  <w:r>
                    <w:rPr>
                      <w:rFonts w:ascii="宋体" w:hAnsi="宋体" w:cs="宋体" w:eastAsia="宋体"/>
                      <w:sz w:val="21"/>
                      <w:color w:val="000000"/>
                    </w:rPr>
                    <w:t>-黄龙路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13026.00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37</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石龙路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白杨路</w:t>
                  </w:r>
                  <w:r>
                    <w:rPr>
                      <w:rFonts w:ascii="宋体" w:hAnsi="宋体" w:cs="宋体" w:eastAsia="宋体"/>
                      <w:sz w:val="21"/>
                      <w:color w:val="000000"/>
                    </w:rPr>
                    <w:t>-黄龙路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5344.00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五杉路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五杉塘堤</w:t>
                  </w:r>
                  <w:r>
                    <w:rPr>
                      <w:rFonts w:ascii="宋体" w:hAnsi="宋体" w:cs="宋体" w:eastAsia="宋体"/>
                      <w:sz w:val="21"/>
                      <w:color w:val="000000"/>
                    </w:rPr>
                    <w:t>-黄龙路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10955.00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铜官大道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黄龙路</w:t>
                  </w:r>
                  <w:r>
                    <w:rPr>
                      <w:rFonts w:ascii="宋体" w:hAnsi="宋体" w:cs="宋体" w:eastAsia="宋体"/>
                      <w:sz w:val="21"/>
                      <w:color w:val="000000"/>
                    </w:rPr>
                    <w:t>-城湘路（含容昌包装企业段街头绿地内铺装）</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114190.00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铜官大道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园区标志塔广场（铜官大道与城乡路交汇处）及园区办公大楼绿化区域和游园小路的铺装</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7500.00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铜官大道</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雨水花园</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连心路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华城路</w:t>
                  </w:r>
                  <w:r>
                    <w:rPr>
                      <w:rFonts w:ascii="宋体" w:hAnsi="宋体" w:cs="宋体" w:eastAsia="宋体"/>
                      <w:sz w:val="21"/>
                      <w:color w:val="000000"/>
                    </w:rPr>
                    <w:t>-花实路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7305.00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黄龙路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灰场路</w:t>
                  </w:r>
                  <w:r>
                    <w:rPr>
                      <w:rFonts w:ascii="宋体" w:hAnsi="宋体" w:cs="宋体" w:eastAsia="宋体"/>
                      <w:sz w:val="21"/>
                      <w:color w:val="000000"/>
                    </w:rPr>
                    <w:t>-花果路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87446.00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黄龙路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花果路</w:t>
                  </w:r>
                  <w:r>
                    <w:rPr>
                      <w:rFonts w:ascii="宋体" w:hAnsi="宋体" w:cs="宋体" w:eastAsia="宋体"/>
                      <w:sz w:val="21"/>
                      <w:color w:val="000000"/>
                    </w:rPr>
                    <w:t>-连心路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18292.00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174</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天合嘉能西侧地块复绿</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湘江大道与城乡大道交叉口东北角</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8000.00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斑竹山路</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龙垸路</w:t>
                  </w:r>
                  <w:r>
                    <w:rPr>
                      <w:rFonts w:ascii="宋体" w:hAnsi="宋体" w:cs="宋体" w:eastAsia="宋体"/>
                      <w:sz w:val="21"/>
                      <w:color w:val="000000"/>
                    </w:rPr>
                    <w:t>-太阳山路</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0.00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21"/>
                <w:b/>
              </w:rPr>
              <w:t>五</w:t>
            </w:r>
            <w:r>
              <w:rPr>
                <w:rFonts w:ascii="宋体" w:hAnsi="宋体" w:cs="宋体" w:eastAsia="宋体"/>
                <w:sz w:val="21"/>
                <w:b/>
              </w:rPr>
              <w:t>、防治方案</w:t>
            </w:r>
          </w:p>
          <w:p>
            <w:pPr>
              <w:pStyle w:val="null3"/>
              <w:ind w:firstLine="420"/>
              <w:jc w:val="both"/>
            </w:pPr>
            <w:r>
              <w:rPr>
                <w:rFonts w:ascii="宋体" w:hAnsi="宋体" w:cs="宋体" w:eastAsia="宋体"/>
                <w:sz w:val="21"/>
              </w:rPr>
              <w:t>根据对土栖白蚁综合治理的理解，结合园林白蚁危害严重、绿化完整不适宜大规模动土挖掘的特殊性，以</w:t>
            </w:r>
            <w:r>
              <w:rPr>
                <w:rFonts w:ascii="宋体" w:hAnsi="宋体" w:cs="宋体" w:eastAsia="宋体"/>
                <w:sz w:val="21"/>
              </w:rPr>
              <w:t>IPM 理念为指导，考虑到各绿化维护管理单位对白蚁虫害简单预防的基本职能，认真贯彻“防治结合、治理为主、全区域覆盖”的工作方针，推广应用新技术、新工艺、新材料 ；运用区域白蚁治理的技术，综合应用多种技术措施有效控制园林区域的白蚁危害 ；根据蚁情合理区分不同的治理区域，采用适宜的方法，达到最佳的社会、经济、生态效果，确保区域内人员、设备、生态环境的安全。</w:t>
            </w:r>
          </w:p>
          <w:p>
            <w:pPr>
              <w:pStyle w:val="null3"/>
              <w:ind w:firstLine="422"/>
              <w:jc w:val="both"/>
            </w:pPr>
            <w:r>
              <w:rPr>
                <w:rFonts w:ascii="宋体" w:hAnsi="宋体" w:cs="宋体" w:eastAsia="宋体"/>
                <w:sz w:val="21"/>
                <w:b/>
              </w:rPr>
              <w:t>1、挖巢法</w:t>
            </w:r>
          </w:p>
          <w:p>
            <w:pPr>
              <w:pStyle w:val="null3"/>
              <w:ind w:firstLine="420"/>
              <w:jc w:val="both"/>
            </w:pPr>
            <w:r>
              <w:rPr>
                <w:rFonts w:ascii="宋体" w:hAnsi="宋体" w:cs="宋体" w:eastAsia="宋体"/>
                <w:sz w:val="21"/>
              </w:rPr>
              <w:t>白蚁巢穴是白蚁生活的大本营和繁殖中心，挖出白蚁巢穴并使用专业药物处理，可以形成彻底灭杀，达到除根治本的目的。挖巢法是目前认为最直接的虫害防治方法，不过，由于地理位置限制等原因，往往不能得到全面推广。首先根据各绿化区域白蚁危害勘查结果，重点检查部分危害严重区域，尤其是望城大道、腾飞路、赤岗路等重点区域。利用各种白蚁危害外漏特征，准确的找出白蚁巢穴位置，不论大小一并清除；其次在白蚁窝巢内用专业药剂进行处理，以达到彻底根治的效果，回填时在已挖出白蚁巢穴周边，喷洒长效预防药剂，预防与外部接壤部位的白蚁进入造成再生危害。</w:t>
            </w:r>
          </w:p>
          <w:p>
            <w:pPr>
              <w:pStyle w:val="null3"/>
              <w:ind w:firstLine="422"/>
              <w:jc w:val="both"/>
            </w:pPr>
            <w:r>
              <w:rPr>
                <w:rFonts w:ascii="宋体" w:hAnsi="宋体" w:cs="宋体" w:eastAsia="宋体"/>
                <w:sz w:val="21"/>
                <w:b/>
              </w:rPr>
              <w:t>2、监测诱杀法</w:t>
            </w:r>
          </w:p>
          <w:p>
            <w:pPr>
              <w:pStyle w:val="null3"/>
              <w:ind w:firstLine="420"/>
              <w:jc w:val="both"/>
            </w:pPr>
            <w:r>
              <w:rPr>
                <w:rFonts w:ascii="宋体" w:hAnsi="宋体" w:cs="宋体" w:eastAsia="宋体"/>
                <w:sz w:val="21"/>
              </w:rPr>
              <w:t>利用白蚁对食物趋向性的特点，通过提供给蚁群含有药物的毒饵，蚁群取食毒饵后，使药物在蚁群内传播，从而达到杀灭整巢白蚁的灭治方法。运用该方法进行白蚁治理时，应注意不同白蚁种类的适口性及施药的季节和部位。诱杀法主要针对绿化区域的家白蚁，这类白蚁群体很大，没有固定的栖息巢穴，杀灭整个群体所需药量也较大，诱杀包的投放量可控性较强，且不需后续任何处理，诱杀法是治理白蚁的理想方法。</w:t>
            </w:r>
          </w:p>
          <w:p>
            <w:pPr>
              <w:pStyle w:val="null3"/>
              <w:ind w:firstLine="420"/>
              <w:jc w:val="both"/>
            </w:pPr>
            <w:r>
              <w:rPr>
                <w:rFonts w:ascii="宋体" w:hAnsi="宋体" w:cs="宋体" w:eastAsia="宋体"/>
                <w:sz w:val="21"/>
              </w:rPr>
              <w:t>白蚁监测控制系统是一种以监测诱集</w:t>
            </w:r>
            <w:r>
              <w:rPr>
                <w:rFonts w:ascii="宋体" w:hAnsi="宋体" w:cs="宋体" w:eastAsia="宋体"/>
                <w:sz w:val="21"/>
              </w:rPr>
              <w:t>—杀灭 ( 控制 )—监测的循环作用方式，实现对目标区域的持续保护。白蚁监测控制系统主要包括 ：第一，监测诱集，即在白蚁活动区域或潜在的活动区域安装监测装置，对白蚁进行监测诱集。第二，杀灭 ( 控制 )，一旦监测到白蚁，投放带有药剂的饵剂或采用喷粉方式，白蚁取食饵站中的饵剂或接触喷粉。在饵站中带有药剂的白蚁将把药剂有效成分带回蚁巢，在蚁巢内它们通过营养交换和相互的舐吮等抚育行为传递药效给群体内的其他个体。第三，继续监测诱集。待监测到的白蚁群体被消灭后，重新在监测装置中放入监测诱集材料对白蚁活动进行监测。监测控制系统主要针对绿化区域的散白蚁属白蚁，试验表明，监测控制系统对散白蚁的监测十分灵敏，能够及时发现区域内的散白蚁活动。白蚁治理应实行动态的监测控制，才能确保白蚁治理效果的长久性。在白蚁综合治理工作完成后，管理部门仍需要制定长远的定期检查和维护计划，对周边环境侵入的白蚁予以及时处理，并对埋设的监测控制装置进安全管理。</w:t>
            </w:r>
          </w:p>
          <w:p>
            <w:pPr>
              <w:pStyle w:val="null3"/>
              <w:ind w:firstLine="422"/>
              <w:jc w:val="both"/>
            </w:pPr>
            <w:r>
              <w:rPr>
                <w:rFonts w:ascii="宋体" w:hAnsi="宋体" w:cs="宋体" w:eastAsia="宋体"/>
                <w:sz w:val="21"/>
                <w:b/>
              </w:rPr>
              <w:t>3、根部涂药法</w:t>
            </w:r>
          </w:p>
          <w:p>
            <w:pPr>
              <w:pStyle w:val="null3"/>
              <w:ind w:firstLine="420"/>
              <w:jc w:val="both"/>
            </w:pPr>
            <w:r>
              <w:rPr>
                <w:rFonts w:ascii="宋体" w:hAnsi="宋体" w:cs="宋体" w:eastAsia="宋体"/>
                <w:sz w:val="21"/>
              </w:rPr>
              <w:t>使用联苯菊酯、氰戊菊酯等专业药物，结合触杀剂和专业方法，将树木根部全方位涂抹，对樟树、桂花树、水杉等</w:t>
            </w:r>
            <w:r>
              <w:rPr>
                <w:rFonts w:ascii="宋体" w:hAnsi="宋体" w:cs="宋体" w:eastAsia="宋体"/>
                <w:sz w:val="21"/>
              </w:rPr>
              <w:t>易</w:t>
            </w:r>
            <w:r>
              <w:rPr>
                <w:rFonts w:ascii="宋体" w:hAnsi="宋体" w:cs="宋体" w:eastAsia="宋体"/>
                <w:sz w:val="21"/>
              </w:rPr>
              <w:t>受损树木进行一年多次的药物防治，重点治理已构成严重危害或存在潜在危害的树木，毒化白蚁活动区域的环境，当白蚁再次活动或危害时，由于接触到或吸收到毒物或毒素，引起中毒而死亡或回避转移。通过药物防治形成对白蚁危害的预防，在防治期内彻底隔绝白蚁等有害生物对树木的危害，减少因此带来的损失。</w:t>
            </w:r>
          </w:p>
          <w:p>
            <w:pPr>
              <w:pStyle w:val="null3"/>
              <w:ind w:firstLine="422"/>
              <w:jc w:val="both"/>
            </w:pPr>
            <w:r>
              <w:rPr>
                <w:rFonts w:ascii="宋体" w:hAnsi="宋体" w:cs="宋体" w:eastAsia="宋体"/>
                <w:sz w:val="21"/>
                <w:b/>
              </w:rPr>
              <w:t>4、粉剂药杀法</w:t>
            </w:r>
          </w:p>
          <w:p>
            <w:pPr>
              <w:pStyle w:val="null3"/>
              <w:ind w:firstLine="420"/>
              <w:jc w:val="both"/>
            </w:pPr>
            <w:r>
              <w:rPr>
                <w:rFonts w:ascii="宋体" w:hAnsi="宋体" w:cs="宋体" w:eastAsia="宋体"/>
                <w:sz w:val="21"/>
              </w:rPr>
              <w:t>粉剂药杀法是具有中国特色的新技术，它的优点是药剂使用量少、治理效果显著</w:t>
            </w:r>
            <w:r>
              <w:rPr>
                <w:rFonts w:ascii="宋体" w:hAnsi="宋体" w:cs="宋体" w:eastAsia="宋体"/>
                <w:sz w:val="21"/>
              </w:rPr>
              <w:t>；不足之处在于使用的条件比较严格，必须在发现大量白蚁活体的情况下施药，该方法也是目前国内使用最广泛的一种白蚁治理方法。一般使用的药剂是慢性胃毒剂，直接将药粉喷到白蚁的个体体表上，通过白蚁相互间的交哺、清洁等行为传递，可以达到整个群体的白蚁中毒死亡。该方法大多用在灭治乳白蚁属、散白蚁属和土白蚁属的种类上，在实际应用中应注意施药的方法、季节、部位、药量及效果的检查。</w:t>
            </w:r>
          </w:p>
          <w:p>
            <w:pPr>
              <w:pStyle w:val="null3"/>
              <w:ind w:firstLine="422"/>
              <w:jc w:val="both"/>
            </w:pPr>
            <w:r>
              <w:rPr>
                <w:rFonts w:ascii="宋体" w:hAnsi="宋体" w:cs="宋体" w:eastAsia="宋体"/>
                <w:sz w:val="21"/>
                <w:b/>
              </w:rPr>
              <w:t>5、隔离沟控制法</w:t>
            </w:r>
          </w:p>
          <w:p>
            <w:pPr>
              <w:pStyle w:val="null3"/>
              <w:ind w:firstLine="420"/>
              <w:jc w:val="both"/>
            </w:pPr>
            <w:r>
              <w:rPr>
                <w:rFonts w:ascii="宋体" w:hAnsi="宋体" w:cs="宋体" w:eastAsia="宋体"/>
                <w:sz w:val="21"/>
              </w:rPr>
              <w:t>在蚁害严重的外界与绿化区域交接处，开挖</w:t>
            </w:r>
            <w:r>
              <w:rPr>
                <w:rFonts w:ascii="宋体" w:hAnsi="宋体" w:cs="宋体" w:eastAsia="宋体"/>
                <w:sz w:val="21"/>
              </w:rPr>
              <w:t>30cm*30cm的隔离沟，然后放药回填，阻止外部的白蚁侵蚀到建筑物内，达到隔绝蚁害的目的。</w:t>
            </w:r>
          </w:p>
          <w:p>
            <w:pPr>
              <w:pStyle w:val="null3"/>
              <w:ind w:firstLine="422"/>
              <w:jc w:val="both"/>
            </w:pPr>
            <w:r>
              <w:rPr>
                <w:rFonts w:ascii="宋体" w:hAnsi="宋体" w:cs="宋体" w:eastAsia="宋体"/>
                <w:sz w:val="21"/>
                <w:b/>
              </w:rPr>
              <w:t>6、打孔灌药法</w:t>
            </w:r>
          </w:p>
          <w:p>
            <w:pPr>
              <w:pStyle w:val="null3"/>
              <w:ind w:firstLine="420"/>
              <w:jc w:val="both"/>
            </w:pPr>
            <w:r>
              <w:rPr>
                <w:rFonts w:ascii="宋体" w:hAnsi="宋体" w:cs="宋体" w:eastAsia="宋体"/>
                <w:sz w:val="21"/>
              </w:rPr>
              <w:t>在白蚁危害严重区域，不适宜开挖隔离沟以及需要重点防控的地方，按</w:t>
            </w:r>
            <w:r>
              <w:rPr>
                <w:rFonts w:ascii="宋体" w:hAnsi="宋体" w:cs="宋体" w:eastAsia="宋体"/>
                <w:sz w:val="21"/>
              </w:rPr>
              <w:t>80cm*80cm的间距，用汽油打孔机或钢钎打深0.6m-1m的孔，灌施专用白蚁防控药物，每孔30-50克，形成点状隔离带，确保绿化苗木安全。</w:t>
            </w:r>
          </w:p>
          <w:p>
            <w:pPr>
              <w:pStyle w:val="null3"/>
              <w:jc w:val="both"/>
            </w:pPr>
            <w:r>
              <w:rPr>
                <w:rFonts w:ascii="宋体" w:hAnsi="宋体" w:cs="宋体" w:eastAsia="宋体"/>
                <w:sz w:val="21"/>
                <w:b/>
              </w:rPr>
              <w:t>六</w:t>
            </w:r>
            <w:r>
              <w:rPr>
                <w:rFonts w:ascii="宋体" w:hAnsi="宋体" w:cs="宋体" w:eastAsia="宋体"/>
                <w:sz w:val="21"/>
                <w:b/>
              </w:rPr>
              <w:t>、防治及管护</w:t>
            </w:r>
          </w:p>
          <w:p>
            <w:pPr>
              <w:pStyle w:val="null3"/>
              <w:ind w:firstLine="420"/>
              <w:jc w:val="both"/>
            </w:pPr>
            <w:r>
              <w:rPr>
                <w:rFonts w:ascii="宋体" w:hAnsi="宋体" w:cs="宋体" w:eastAsia="宋体"/>
                <w:sz w:val="21"/>
              </w:rPr>
              <w:t>1、政府采购确定中标单位后，中标方对甲方采购确定的区域范围，实施全面的白蚁虫害治理工作（包括全面清理、全范围施药，具备条件地点的挖槽、隔离沟），每次施药后认真检查白蚁啃食药剂情况、施药效果。</w:t>
            </w:r>
          </w:p>
          <w:p>
            <w:pPr>
              <w:pStyle w:val="null3"/>
              <w:ind w:firstLine="420"/>
              <w:jc w:val="both"/>
            </w:pPr>
            <w:r>
              <w:rPr>
                <w:rFonts w:ascii="宋体" w:hAnsi="宋体" w:cs="宋体" w:eastAsia="宋体"/>
                <w:sz w:val="21"/>
              </w:rPr>
              <w:t>2、严格按照防治结合、治理为主的方针，对防治范围内所有树木绿化带每半年进行1次预防处理。</w:t>
            </w:r>
          </w:p>
          <w:p>
            <w:pPr>
              <w:pStyle w:val="null3"/>
              <w:ind w:firstLine="420"/>
              <w:jc w:val="both"/>
            </w:pPr>
            <w:r>
              <w:rPr>
                <w:rFonts w:ascii="宋体" w:hAnsi="宋体" w:cs="宋体" w:eastAsia="宋体"/>
                <w:sz w:val="21"/>
              </w:rPr>
              <w:t>3、中标方在服务期间对防治范围内的所有区域定期进行巡察，发现虫害及时处理，并及时处理甲方发现的蚁情。如处理不及时造成损害的，按养护维护考核办法进行处理。</w:t>
            </w:r>
          </w:p>
          <w:p>
            <w:pPr>
              <w:pStyle w:val="null3"/>
              <w:ind w:firstLine="420"/>
              <w:jc w:val="both"/>
            </w:pPr>
            <w:r>
              <w:rPr>
                <w:rFonts w:ascii="宋体" w:hAnsi="宋体" w:cs="宋体" w:eastAsia="宋体"/>
                <w:sz w:val="21"/>
              </w:rPr>
              <w:t>4、出具防治总结报告（具体时间以业主单位通知为准）。</w:t>
            </w:r>
          </w:p>
          <w:p>
            <w:pPr>
              <w:pStyle w:val="null3"/>
              <w:jc w:val="both"/>
            </w:pPr>
            <w:r>
              <w:rPr>
                <w:rFonts w:ascii="宋体" w:hAnsi="宋体" w:cs="宋体" w:eastAsia="宋体"/>
                <w:sz w:val="21"/>
                <w:b/>
              </w:rPr>
              <w:t>七</w:t>
            </w:r>
            <w:r>
              <w:rPr>
                <w:rFonts w:ascii="宋体" w:hAnsi="宋体" w:cs="宋体" w:eastAsia="宋体"/>
                <w:sz w:val="21"/>
                <w:b/>
              </w:rPr>
              <w:t>、</w:t>
            </w:r>
            <w:r>
              <w:rPr>
                <w:rFonts w:ascii="宋体" w:hAnsi="宋体" w:cs="宋体" w:eastAsia="宋体"/>
                <w:sz w:val="21"/>
                <w:b/>
              </w:rPr>
              <w:t>验收方法</w:t>
            </w:r>
          </w:p>
          <w:p>
            <w:pPr>
              <w:pStyle w:val="null3"/>
              <w:ind w:firstLine="420"/>
              <w:jc w:val="both"/>
            </w:pPr>
            <w:r>
              <w:rPr>
                <w:rFonts w:ascii="宋体" w:hAnsi="宋体" w:cs="宋体" w:eastAsia="宋体"/>
                <w:sz w:val="21"/>
              </w:rPr>
              <w:t>1、</w:t>
            </w:r>
            <w:r>
              <w:rPr>
                <w:rFonts w:ascii="宋体" w:hAnsi="宋体" w:cs="宋体" w:eastAsia="宋体"/>
                <w:sz w:val="21"/>
              </w:rPr>
              <w:t>验收标准为：有效遏制防治范围内的白蚁蔓延，基本无白蚁虫害，同时出具防治总结报告，分析白蚁防控形势。</w:t>
            </w:r>
          </w:p>
          <w:p>
            <w:pPr>
              <w:pStyle w:val="null3"/>
              <w:ind w:firstLine="420"/>
              <w:jc w:val="both"/>
            </w:pPr>
            <w:r>
              <w:rPr>
                <w:rFonts w:ascii="calibri" w:hAnsi="calibri" w:cs="calibri" w:eastAsia="calibri"/>
                <w:sz w:val="21"/>
              </w:rPr>
              <w:t>2</w:t>
            </w:r>
            <w:r>
              <w:rPr>
                <w:rFonts w:ascii="宋体" w:hAnsi="宋体" w:cs="宋体" w:eastAsia="宋体"/>
                <w:sz w:val="21"/>
              </w:rPr>
              <w:t>、</w:t>
            </w:r>
            <w:r>
              <w:rPr>
                <w:rFonts w:ascii="宋体" w:hAnsi="宋体" w:cs="宋体" w:eastAsia="宋体"/>
                <w:sz w:val="21"/>
              </w:rPr>
              <w:t>项目验收国家有强制性规定的，按国家规定执行，验收费用由成交供应商承担，验收报告作为申请付款的凭证之一。</w:t>
            </w:r>
          </w:p>
          <w:p>
            <w:pPr>
              <w:pStyle w:val="null3"/>
              <w:ind w:firstLine="420"/>
              <w:jc w:val="both"/>
            </w:pPr>
            <w:r>
              <w:rPr>
                <w:rFonts w:ascii="calibri" w:hAnsi="calibri" w:cs="calibri" w:eastAsia="calibri"/>
                <w:sz w:val="21"/>
              </w:rPr>
              <w:t>3</w:t>
            </w:r>
            <w:r>
              <w:rPr>
                <w:rFonts w:ascii="宋体" w:hAnsi="宋体" w:cs="宋体" w:eastAsia="宋体"/>
                <w:sz w:val="21"/>
              </w:rPr>
              <w:t>、</w:t>
            </w:r>
            <w:r>
              <w:rPr>
                <w:rFonts w:ascii="宋体" w:hAnsi="宋体" w:cs="宋体" w:eastAsia="宋体"/>
                <w:sz w:val="21"/>
              </w:rPr>
              <w:t>验收过程中产生纠纷的，由质量技术监督部门认定的检测机构检测</w:t>
            </w:r>
            <w:r>
              <w:rPr>
                <w:rFonts w:ascii="calibri" w:hAnsi="calibri" w:cs="calibri" w:eastAsia="calibri"/>
                <w:sz w:val="21"/>
              </w:rPr>
              <w:t>,</w:t>
            </w:r>
            <w:r>
              <w:rPr>
                <w:rFonts w:ascii="宋体" w:hAnsi="宋体" w:cs="宋体" w:eastAsia="宋体"/>
                <w:sz w:val="21"/>
              </w:rPr>
              <w:t>如为成交供应商原因造成的，由成交供应商承担检测费用；否则，由采购人承担。</w:t>
            </w:r>
          </w:p>
          <w:p>
            <w:pPr>
              <w:pStyle w:val="null3"/>
              <w:ind w:firstLine="420"/>
              <w:jc w:val="both"/>
            </w:pPr>
            <w:r>
              <w:rPr>
                <w:rFonts w:ascii="calibri" w:hAnsi="calibri" w:cs="calibri" w:eastAsia="calibri"/>
                <w:sz w:val="21"/>
              </w:rPr>
              <w:t>4</w:t>
            </w:r>
            <w:r>
              <w:rPr>
                <w:rFonts w:ascii="宋体" w:hAnsi="宋体" w:cs="宋体" w:eastAsia="宋体"/>
                <w:sz w:val="21"/>
              </w:rPr>
              <w:t>、</w:t>
            </w:r>
            <w:r>
              <w:rPr>
                <w:rFonts w:ascii="宋体" w:hAnsi="宋体" w:cs="宋体" w:eastAsia="宋体"/>
                <w:sz w:val="21"/>
              </w:rPr>
              <w:t>项目验收不合格，由成交供应商返工直至合格，有关返工、再行验收，以及给采购人造成的损失等费用由成交供应商承担。连续两次项目验收不合格的，采购人可终止合同，另行按规定选择其他供应商采购，由此带来的一切损失由成交供应商承担。</w:t>
            </w:r>
          </w:p>
          <w:p>
            <w:pPr>
              <w:pStyle w:val="null3"/>
              <w:jc w:val="both"/>
            </w:pPr>
            <w:r>
              <w:rPr>
                <w:rFonts w:ascii="宋体" w:hAnsi="宋体" w:cs="宋体" w:eastAsia="宋体"/>
                <w:sz w:val="21"/>
                <w:b/>
              </w:rPr>
              <w:t>八、白蚁防治督查与考核</w:t>
            </w:r>
          </w:p>
          <w:p>
            <w:pPr>
              <w:pStyle w:val="null3"/>
              <w:ind w:firstLine="420"/>
              <w:jc w:val="both"/>
            </w:pPr>
            <w:r>
              <w:rPr>
                <w:rFonts w:ascii="宋体" w:hAnsi="宋体" w:cs="宋体" w:eastAsia="宋体"/>
                <w:sz w:val="21"/>
              </w:rPr>
              <w:t>按照《长沙市望城区园林绿化维护中心公共绿地养护维护考核办法》实施。</w:t>
            </w:r>
          </w:p>
          <w:p>
            <w:pPr>
              <w:pStyle w:val="null3"/>
              <w:jc w:val="both"/>
            </w:pPr>
            <w:r>
              <w:rPr>
                <w:rFonts w:ascii="宋体" w:hAnsi="宋体" w:cs="宋体" w:eastAsia="宋体"/>
                <w:sz w:val="21"/>
                <w:b/>
              </w:rPr>
              <w:t>九</w:t>
            </w:r>
            <w:r>
              <w:rPr>
                <w:rFonts w:ascii="宋体" w:hAnsi="宋体" w:cs="宋体" w:eastAsia="宋体"/>
                <w:sz w:val="21"/>
                <w:b/>
              </w:rPr>
              <w:t>、</w:t>
            </w:r>
            <w:r>
              <w:rPr>
                <w:rFonts w:ascii="宋体" w:hAnsi="宋体" w:cs="宋体" w:eastAsia="宋体"/>
                <w:sz w:val="21"/>
                <w:b/>
              </w:rPr>
              <w:t>服务效果、安全承诺的保障措施</w:t>
            </w:r>
          </w:p>
          <w:p>
            <w:pPr>
              <w:pStyle w:val="null3"/>
              <w:ind w:firstLine="420"/>
              <w:jc w:val="both"/>
            </w:pPr>
            <w:r>
              <w:rPr>
                <w:rFonts w:ascii="宋体" w:hAnsi="宋体" w:cs="宋体" w:eastAsia="宋体"/>
                <w:sz w:val="21"/>
              </w:rPr>
              <w:t>（一）服务效果的保证措施：</w:t>
            </w:r>
          </w:p>
          <w:p>
            <w:pPr>
              <w:pStyle w:val="null3"/>
              <w:ind w:firstLine="420"/>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将认真履行所有与</w:t>
            </w:r>
            <w:r>
              <w:rPr>
                <w:rFonts w:ascii="宋体" w:hAnsi="宋体" w:cs="宋体" w:eastAsia="宋体"/>
                <w:sz w:val="21"/>
              </w:rPr>
              <w:t>甲方</w:t>
            </w:r>
            <w:r>
              <w:rPr>
                <w:rFonts w:ascii="宋体" w:hAnsi="宋体" w:cs="宋体" w:eastAsia="宋体"/>
                <w:sz w:val="21"/>
              </w:rPr>
              <w:t>达成的协议约定。</w:t>
            </w:r>
          </w:p>
          <w:p>
            <w:pPr>
              <w:pStyle w:val="null3"/>
              <w:ind w:firstLine="420"/>
              <w:jc w:val="both"/>
            </w:pPr>
            <w:r>
              <w:rPr>
                <w:rFonts w:ascii="宋体" w:hAnsi="宋体" w:cs="宋体" w:eastAsia="宋体"/>
                <w:sz w:val="21"/>
              </w:rPr>
              <w:t>2</w:t>
            </w:r>
            <w:r>
              <w:rPr>
                <w:rFonts w:ascii="宋体" w:hAnsi="宋体" w:cs="宋体" w:eastAsia="宋体"/>
                <w:sz w:val="21"/>
              </w:rPr>
              <w:t>、</w:t>
            </w:r>
            <w:r>
              <w:rPr>
                <w:rFonts w:ascii="宋体" w:hAnsi="宋体" w:cs="宋体" w:eastAsia="宋体"/>
                <w:sz w:val="21"/>
              </w:rPr>
              <w:t>以表格制实施管理，所有服务工作流程、计划都将进行详细分类记录，双方留底备查。</w:t>
            </w:r>
          </w:p>
          <w:p>
            <w:pPr>
              <w:pStyle w:val="null3"/>
              <w:ind w:firstLine="420"/>
              <w:jc w:val="both"/>
            </w:pPr>
            <w:r>
              <w:rPr>
                <w:rFonts w:ascii="宋体" w:hAnsi="宋体" w:cs="宋体" w:eastAsia="宋体"/>
                <w:sz w:val="21"/>
              </w:rPr>
              <w:t>（二）安全承诺的保障措施：</w:t>
            </w:r>
          </w:p>
          <w:p>
            <w:pPr>
              <w:pStyle w:val="null3"/>
              <w:ind w:firstLine="420"/>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在提供服务时愿意接受长沙市望城区园林</w:t>
            </w:r>
            <w:r>
              <w:rPr>
                <w:rFonts w:ascii="宋体" w:hAnsi="宋体" w:cs="宋体" w:eastAsia="宋体"/>
                <w:sz w:val="21"/>
              </w:rPr>
              <w:t>绿化维护中心</w:t>
            </w:r>
            <w:r>
              <w:rPr>
                <w:rFonts w:ascii="宋体" w:hAnsi="宋体" w:cs="宋体" w:eastAsia="宋体"/>
                <w:sz w:val="21"/>
              </w:rPr>
              <w:t>全方位的监督。</w:t>
            </w:r>
          </w:p>
          <w:p>
            <w:pPr>
              <w:pStyle w:val="null3"/>
              <w:ind w:firstLine="420"/>
              <w:jc w:val="both"/>
            </w:pPr>
            <w:r>
              <w:rPr>
                <w:rFonts w:ascii="宋体" w:hAnsi="宋体" w:cs="宋体" w:eastAsia="宋体"/>
                <w:sz w:val="21"/>
              </w:rPr>
              <w:t>2</w:t>
            </w:r>
            <w:r>
              <w:rPr>
                <w:rFonts w:ascii="宋体" w:hAnsi="宋体" w:cs="宋体" w:eastAsia="宋体"/>
                <w:sz w:val="21"/>
              </w:rPr>
              <w:t>、</w:t>
            </w:r>
            <w:r>
              <w:rPr>
                <w:rFonts w:ascii="宋体" w:hAnsi="宋体" w:cs="宋体" w:eastAsia="宋体"/>
                <w:sz w:val="21"/>
              </w:rPr>
              <w:t>严格按照药品使用方法使用杀虫剂，报长沙市望城区园林</w:t>
            </w:r>
            <w:r>
              <w:rPr>
                <w:rFonts w:ascii="宋体" w:hAnsi="宋体" w:cs="宋体" w:eastAsia="宋体"/>
                <w:sz w:val="21"/>
              </w:rPr>
              <w:t>绿化维护中心</w:t>
            </w:r>
            <w:r>
              <w:rPr>
                <w:rFonts w:ascii="宋体" w:hAnsi="宋体" w:cs="宋体" w:eastAsia="宋体"/>
                <w:sz w:val="21"/>
              </w:rPr>
              <w:t>确认。</w:t>
            </w:r>
          </w:p>
          <w:p>
            <w:pPr>
              <w:pStyle w:val="null3"/>
              <w:ind w:firstLine="420"/>
              <w:jc w:val="both"/>
            </w:pPr>
            <w:r>
              <w:rPr>
                <w:rFonts w:ascii="宋体" w:hAnsi="宋体" w:cs="宋体" w:eastAsia="宋体"/>
                <w:sz w:val="21"/>
              </w:rPr>
              <w:t>3</w:t>
            </w:r>
            <w:r>
              <w:rPr>
                <w:rFonts w:ascii="宋体" w:hAnsi="宋体" w:cs="宋体" w:eastAsia="宋体"/>
                <w:sz w:val="21"/>
              </w:rPr>
              <w:t>、</w:t>
            </w:r>
            <w:r>
              <w:rPr>
                <w:rFonts w:ascii="宋体" w:hAnsi="宋体" w:cs="宋体" w:eastAsia="宋体"/>
                <w:sz w:val="21"/>
              </w:rPr>
              <w:t>施工员均已经过专业培训，并有</w:t>
            </w:r>
            <w:r>
              <w:rPr>
                <w:rFonts w:ascii="宋体" w:hAnsi="宋体" w:cs="宋体" w:eastAsia="宋体"/>
                <w:sz w:val="21"/>
              </w:rPr>
              <w:t>资质证书和</w:t>
            </w:r>
            <w:r>
              <w:rPr>
                <w:rFonts w:ascii="宋体" w:hAnsi="宋体" w:cs="宋体" w:eastAsia="宋体"/>
                <w:sz w:val="21"/>
              </w:rPr>
              <w:t>丰富的施工经验。</w:t>
            </w:r>
          </w:p>
          <w:p>
            <w:pPr>
              <w:pStyle w:val="null3"/>
              <w:ind w:firstLine="420"/>
              <w:jc w:val="both"/>
            </w:pPr>
            <w:r>
              <w:rPr>
                <w:rFonts w:ascii="宋体" w:hAnsi="宋体" w:cs="宋体" w:eastAsia="宋体"/>
                <w:sz w:val="21"/>
              </w:rPr>
              <w:t>4</w:t>
            </w:r>
            <w:r>
              <w:rPr>
                <w:rFonts w:ascii="宋体" w:hAnsi="宋体" w:cs="宋体" w:eastAsia="宋体"/>
                <w:sz w:val="21"/>
              </w:rPr>
              <w:t>、</w:t>
            </w:r>
            <w:r>
              <w:rPr>
                <w:rFonts w:ascii="宋体" w:hAnsi="宋体" w:cs="宋体" w:eastAsia="宋体"/>
                <w:sz w:val="21"/>
              </w:rPr>
              <w:t>白蚁防治应充分考虑生态环境保护因素，确保安全。</w:t>
            </w:r>
          </w:p>
          <w:p>
            <w:pPr>
              <w:pStyle w:val="null3"/>
              <w:jc w:val="both"/>
            </w:pPr>
            <w:r>
              <w:rPr>
                <w:rFonts w:ascii="宋体" w:hAnsi="宋体" w:cs="宋体" w:eastAsia="宋体"/>
                <w:sz w:val="21"/>
                <w:b/>
              </w:rPr>
              <w:t>十</w:t>
            </w:r>
            <w:r>
              <w:rPr>
                <w:rFonts w:ascii="宋体" w:hAnsi="宋体" w:cs="宋体" w:eastAsia="宋体"/>
                <w:sz w:val="21"/>
                <w:b/>
              </w:rPr>
              <w:t>、其它要求及说明</w:t>
            </w:r>
          </w:p>
          <w:p>
            <w:pPr>
              <w:pStyle w:val="null3"/>
              <w:ind w:firstLine="422"/>
              <w:jc w:val="both"/>
            </w:pPr>
            <w:r>
              <w:rPr>
                <w:rFonts w:ascii="宋体" w:hAnsi="宋体" w:cs="宋体" w:eastAsia="宋体"/>
                <w:sz w:val="21"/>
                <w:b/>
              </w:rPr>
              <w:t>1、</w:t>
            </w:r>
            <w:r>
              <w:rPr>
                <w:rFonts w:ascii="宋体" w:hAnsi="宋体" w:cs="宋体" w:eastAsia="宋体"/>
                <w:sz w:val="21"/>
                <w:b/>
              </w:rPr>
              <w:t>服务时间及地点</w:t>
            </w:r>
          </w:p>
          <w:p>
            <w:pPr>
              <w:pStyle w:val="null3"/>
              <w:ind w:firstLine="420"/>
              <w:jc w:val="both"/>
            </w:pPr>
            <w:r>
              <w:rPr>
                <w:rFonts w:ascii="宋体" w:hAnsi="宋体" w:cs="宋体" w:eastAsia="宋体"/>
                <w:sz w:val="21"/>
              </w:rPr>
              <w:t>1.1</w:t>
            </w:r>
            <w:r>
              <w:rPr>
                <w:rFonts w:ascii="宋体" w:hAnsi="宋体" w:cs="宋体" w:eastAsia="宋体"/>
                <w:sz w:val="21"/>
              </w:rPr>
              <w:t>服务期：二年，</w:t>
            </w:r>
            <w:r>
              <w:rPr>
                <w:rFonts w:ascii="宋体" w:hAnsi="宋体" w:cs="宋体" w:eastAsia="宋体"/>
                <w:sz w:val="21"/>
              </w:rPr>
              <w:t>合同一年一签（自合同签订之日起）</w:t>
            </w:r>
            <w:r>
              <w:rPr>
                <w:rFonts w:ascii="宋体" w:hAnsi="宋体" w:cs="宋体" w:eastAsia="宋体"/>
                <w:sz w:val="21"/>
              </w:rPr>
              <w:t>。</w:t>
            </w:r>
          </w:p>
          <w:p>
            <w:pPr>
              <w:pStyle w:val="null3"/>
              <w:ind w:firstLine="420"/>
              <w:jc w:val="both"/>
            </w:pPr>
            <w:r>
              <w:rPr>
                <w:rFonts w:ascii="宋体" w:hAnsi="宋体" w:cs="宋体" w:eastAsia="宋体"/>
                <w:sz w:val="21"/>
              </w:rPr>
              <w:t>1.2</w:t>
            </w:r>
            <w:r>
              <w:rPr>
                <w:rFonts w:ascii="宋体" w:hAnsi="宋体" w:cs="宋体" w:eastAsia="宋体"/>
                <w:sz w:val="21"/>
              </w:rPr>
              <w:t>服务地点：望城区范围内</w:t>
            </w:r>
            <w:r>
              <w:rPr>
                <w:rFonts w:ascii="宋体" w:hAnsi="宋体" w:cs="宋体" w:eastAsia="宋体"/>
                <w:sz w:val="21"/>
              </w:rPr>
              <w:t>。</w:t>
            </w:r>
          </w:p>
          <w:p>
            <w:pPr>
              <w:pStyle w:val="null3"/>
              <w:ind w:firstLine="422"/>
              <w:jc w:val="both"/>
            </w:pPr>
            <w:r>
              <w:rPr>
                <w:rFonts w:ascii="宋体" w:hAnsi="宋体" w:cs="宋体" w:eastAsia="宋体"/>
                <w:sz w:val="21"/>
                <w:b/>
              </w:rPr>
              <w:t>2、结算方法</w:t>
            </w:r>
          </w:p>
          <w:p>
            <w:pPr>
              <w:pStyle w:val="null3"/>
              <w:ind w:firstLine="420"/>
              <w:jc w:val="both"/>
            </w:pPr>
            <w:r>
              <w:rPr>
                <w:rFonts w:ascii="宋体" w:hAnsi="宋体" w:cs="宋体" w:eastAsia="宋体"/>
                <w:sz w:val="21"/>
              </w:rPr>
              <w:t>2</w:t>
            </w:r>
            <w:r>
              <w:rPr>
                <w:rFonts w:ascii="宋体" w:hAnsi="宋体" w:cs="宋体" w:eastAsia="宋体"/>
                <w:sz w:val="21"/>
              </w:rPr>
              <w:t>.1</w:t>
            </w:r>
            <w:r>
              <w:rPr>
                <w:rFonts w:ascii="宋体" w:hAnsi="宋体" w:cs="宋体" w:eastAsia="宋体"/>
                <w:sz w:val="21"/>
              </w:rPr>
              <w:t>付款人：长沙市望城区园林绿化维护中心（</w:t>
            </w:r>
            <w:r>
              <w:rPr>
                <w:rFonts w:ascii="宋体" w:hAnsi="宋体" w:cs="宋体" w:eastAsia="宋体"/>
                <w:sz w:val="21"/>
              </w:rPr>
              <w:t>通过</w:t>
            </w:r>
            <w:r>
              <w:rPr>
                <w:rFonts w:ascii="宋体" w:hAnsi="宋体" w:cs="宋体" w:eastAsia="宋体"/>
                <w:sz w:val="21"/>
              </w:rPr>
              <w:t>国库集中支付）</w:t>
            </w:r>
          </w:p>
          <w:p>
            <w:pPr>
              <w:pStyle w:val="null3"/>
              <w:ind w:firstLine="420"/>
              <w:jc w:val="both"/>
            </w:pPr>
            <w:r>
              <w:rPr>
                <w:rFonts w:ascii="宋体" w:hAnsi="宋体" w:cs="宋体" w:eastAsia="宋体"/>
                <w:sz w:val="21"/>
              </w:rPr>
              <w:t>2</w:t>
            </w:r>
            <w:r>
              <w:rPr>
                <w:rFonts w:ascii="宋体" w:hAnsi="宋体" w:cs="宋体" w:eastAsia="宋体"/>
                <w:sz w:val="21"/>
              </w:rPr>
              <w:t>.2</w:t>
            </w:r>
            <w:r>
              <w:rPr>
                <w:rFonts w:ascii="宋体" w:hAnsi="宋体" w:cs="宋体" w:eastAsia="宋体"/>
                <w:sz w:val="21"/>
              </w:rPr>
              <w:t>付款方式：</w:t>
            </w:r>
            <w:r>
              <w:rPr>
                <w:rFonts w:ascii="宋体" w:hAnsi="宋体" w:cs="宋体" w:eastAsia="宋体"/>
                <w:sz w:val="21"/>
              </w:rPr>
              <w:t>服务费用支付与服务质量考核结果挂钩，具体服务费用以当月督查通报计扣分扣款表（即维护服务履约验收资料）考核结果为准。按季度支付（具体以区财政拨款等时间为准）</w:t>
            </w:r>
            <w:r>
              <w:rPr>
                <w:rFonts w:ascii="宋体" w:hAnsi="宋体" w:cs="宋体" w:eastAsia="宋体"/>
                <w:sz w:val="21"/>
              </w:rPr>
              <w:t>。</w:t>
            </w:r>
          </w:p>
          <w:p>
            <w:pPr>
              <w:pStyle w:val="null3"/>
              <w:ind w:firstLine="420"/>
              <w:jc w:val="both"/>
            </w:pPr>
            <w:r>
              <w:rPr>
                <w:rFonts w:ascii="宋体" w:hAnsi="宋体" w:cs="宋体" w:eastAsia="宋体"/>
                <w:sz w:val="21"/>
              </w:rPr>
              <w:t>3、</w:t>
            </w:r>
            <w:r>
              <w:rPr>
                <w:rFonts w:ascii="宋体" w:hAnsi="宋体" w:cs="宋体" w:eastAsia="宋体"/>
                <w:sz w:val="21"/>
              </w:rPr>
              <w:t>本项目采用费用包干方式实施，投标人应根据项目要求和现场情况，详细列明项目所需的设备及材料购置，以及产品运输保险保管、所有人工、管理、财务等所有费用，如一旦中标，在项目实施中出现任何遗漏，按《长沙市望城区园林绿化维护中心政府采购内部控制制度》文件执行</w:t>
            </w:r>
            <w:r>
              <w:rPr>
                <w:rFonts w:ascii="宋体" w:hAnsi="宋体" w:cs="宋体" w:eastAsia="宋体"/>
                <w:sz w:val="21"/>
              </w:rPr>
              <w:t>。</w:t>
            </w:r>
            <w:r>
              <w:rPr>
                <w:rFonts w:ascii="calibri" w:hAnsi="calibri" w:cs="calibri" w:eastAsia="calibri"/>
                <w:sz w:val="21"/>
              </w:rPr>
              <w:t xml:space="preserve"> </w:t>
            </w:r>
          </w:p>
          <w:p>
            <w:pPr>
              <w:pStyle w:val="null3"/>
              <w:jc w:val="both"/>
            </w:pPr>
            <w:r>
              <w:rPr>
                <w:rFonts w:ascii="宋体" w:hAnsi="宋体" w:cs="宋体" w:eastAsia="宋体"/>
                <w:sz w:val="21"/>
              </w:rPr>
              <w:t>4、</w:t>
            </w:r>
            <w:r>
              <w:rPr>
                <w:rFonts w:ascii="宋体" w:hAnsi="宋体" w:cs="宋体" w:eastAsia="宋体"/>
                <w:sz w:val="21"/>
              </w:rPr>
              <w:t>投标人在投标前，须踏勘现场，有关费用自理，踏勘期间发生的意外自负</w:t>
            </w:r>
            <w:r>
              <w:rPr>
                <w:rFonts w:ascii="宋体" w:hAnsi="宋体" w:cs="宋体" w:eastAsia="宋体"/>
                <w:sz w:val="21"/>
              </w:rPr>
              <w:t>。</w:t>
            </w:r>
          </w:p>
        </w:tc>
      </w:tr>
    </w:tbl>
    <w:p>
      <w:pPr>
        <w:pStyle w:val="null3"/>
        <w:jc w:val="left"/>
        <w:outlineLvl w:val="2"/>
      </w:pPr>
      <w:r>
        <w:rPr>
          <w:sz w:val="28"/>
          <w:b/>
        </w:rPr>
        <w:t>3.4 商务要求</w:t>
      </w:r>
    </w:p>
    <w:p>
      <w:pPr>
        <w:pStyle w:val="null3"/>
        <w:jc w:val="left"/>
      </w:pPr>
      <w:r>
        <w:rPr/>
        <w:t>详见技术参数与性能指标</w:t>
      </w:r>
    </w:p>
    <w:p>
      <w:pPr>
        <w:pStyle w:val="null3"/>
        <w:jc w:val="left"/>
        <w:outlineLvl w:val="2"/>
      </w:pPr>
      <w:r>
        <w:rPr>
          <w:sz w:val="28"/>
          <w:b/>
        </w:rPr>
        <w:t>3.5 其他要求</w:t>
      </w:r>
    </w:p>
    <w:p>
      <w:pPr>
        <w:pStyle w:val="null3"/>
        <w:jc w:val="left"/>
      </w:pPr>
      <w:r>
        <w:rPr/>
        <w:t>本项目考核办法详见附件“长沙市望城区园林绿化维护中心公共绿地养护维护考核办法”</w:t>
      </w:r>
    </w:p>
    <w:p>
      <w:pPr>
        <w:pStyle w:val="null3"/>
        <w:jc w:val="left"/>
        <w:outlineLvl w:val="2"/>
      </w:pPr>
      <w:r>
        <w:rPr>
          <w:sz w:val="28"/>
          <w:b/>
        </w:rPr>
        <w:t>3.6 合同文本</w:t>
      </w:r>
    </w:p>
    <w:p>
      <w:pPr>
        <w:pStyle w:val="null3"/>
        <w:jc w:val="left"/>
      </w:pPr>
      <w:r>
        <w:rPr>
          <w:sz w:val="36"/>
          <w:b/>
        </w:rPr>
        <w:t xml:space="preserve"> 政府采购合同</w:t>
      </w:r>
    </w:p>
    <w:p>
      <w:pPr>
        <w:pStyle w:val="null3"/>
        <w:jc w:val="center"/>
      </w:pPr>
      <w:r>
        <w:rPr>
          <w:sz w:val="36"/>
          <w:b/>
        </w:rPr>
        <w:t xml:space="preserve"> （服务类）</w:t>
      </w:r>
      <w:r>
        <w:br/>
      </w:r>
      <w:r>
        <w:br/>
      </w:r>
      <w:r>
        <w:br/>
      </w:r>
    </w:p>
    <w:p>
      <w:pPr>
        <w:pStyle w:val="null3"/>
      </w:pPr>
      <w:r>
        <w:rPr>
          <w:sz w:val="27"/>
        </w:rPr>
        <w:t xml:space="preserve"> 政府采购合同编号：</w:t>
      </w:r>
    </w:p>
    <w:p>
      <w:pPr>
        <w:pStyle w:val="null3"/>
        <w:spacing w:lineRule="auto" w:line="600"/>
      </w:pPr>
      <w:r>
        <w:rPr>
          <w:sz w:val="27"/>
        </w:rPr>
        <w:t xml:space="preserve"> 采购方式：</w:t>
      </w:r>
    </w:p>
    <w:p>
      <w:pPr>
        <w:pStyle w:val="null3"/>
        <w:spacing w:lineRule="auto" w:line="600"/>
      </w:pPr>
      <w:r>
        <w:rPr>
          <w:sz w:val="27"/>
        </w:rPr>
        <w:t xml:space="preserve"> 合同类型：</w:t>
      </w:r>
    </w:p>
    <w:p>
      <w:pPr>
        <w:pStyle w:val="null3"/>
        <w:spacing w:lineRule="auto" w:line="600"/>
      </w:pPr>
      <w:r>
        <w:rPr>
          <w:sz w:val="27"/>
        </w:rPr>
        <w:t xml:space="preserve"> 签订时间：</w:t>
      </w:r>
    </w:p>
    <w:p>
      <w:pPr>
        <w:pStyle w:val="null3"/>
        <w:ind w:left="0"/>
      </w:pPr>
      <w:r>
        <w:rPr>
          <w:sz w:val="27"/>
        </w:rPr>
        <w:t>采购人（甲方）：</w:t>
      </w:r>
    </w:p>
    <w:p>
      <w:pPr>
        <w:pStyle w:val="null3"/>
      </w:pPr>
      <w:r>
        <w:rPr>
          <w:sz w:val="27"/>
        </w:rPr>
        <w:t>采购人地址：</w:t>
      </w:r>
    </w:p>
    <w:p>
      <w:pPr>
        <w:pStyle w:val="null3"/>
        <w:ind w:left="0"/>
      </w:pPr>
      <w:r>
        <w:rPr>
          <w:sz w:val="27"/>
        </w:rPr>
        <w:t xml:space="preserve"> 供应商（乙方）：</w:t>
      </w:r>
    </w:p>
    <w:p>
      <w:pPr>
        <w:pStyle w:val="null3"/>
      </w:pPr>
      <w:r>
        <w:rPr>
          <w:sz w:val="27"/>
        </w:rPr>
        <w:t xml:space="preserve"> 供应商地址：</w:t>
      </w:r>
    </w:p>
    <w:p>
      <w:pPr>
        <w:pStyle w:val="null3"/>
      </w:pPr>
      <w:r>
        <w:rPr/>
        <w:t>依据《中华人民共和国政府采购法》《中华人民共和国民法典》与项目有关的法律法规，以及______的《采购文件》，乙方的《投标（响应）文件》及《中标（成交）通知书》，甲乙双方同意签订本合同。具体情况及要求如下：</w:t>
      </w:r>
    </w:p>
    <w:p>
      <w:pPr>
        <w:pStyle w:val="null3"/>
        <w:outlineLvl w:val="3"/>
      </w:pPr>
      <w:r>
        <w:rPr>
          <w:sz w:val="24"/>
          <w:b/>
        </w:rPr>
        <w:t xml:space="preserve"> 一、标的信息</w:t>
      </w:r>
    </w:p>
    <w:p>
      <w:pPr>
        <w:pStyle w:val="null3"/>
        <w:outlineLvl w:val="3"/>
      </w:pPr>
      <w:r>
        <w:rPr>
          <w:sz w:val="24"/>
          <w:b/>
        </w:rPr>
        <w:t xml:space="preserve"> 二、服务要求</w:t>
      </w:r>
    </w:p>
    <w:p>
      <w:pPr>
        <w:pStyle w:val="null3"/>
      </w:pPr>
      <w:r>
        <w:rPr/>
        <w:t>1.服务要求</w:t>
      </w:r>
    </w:p>
    <w:p>
      <w:pPr>
        <w:pStyle w:val="null3"/>
      </w:pPr>
      <w:r>
        <w:rPr/>
        <w:t>2.人员配置要求</w:t>
      </w:r>
    </w:p>
    <w:p>
      <w:pPr>
        <w:pStyle w:val="null3"/>
      </w:pPr>
      <w:r>
        <w:rPr/>
        <w:t>3.设施设备配置要求</w:t>
      </w:r>
    </w:p>
    <w:p>
      <w:pPr>
        <w:pStyle w:val="null3"/>
      </w:pPr>
      <w:r>
        <w:rPr/>
        <w:t>4.其他要求</w:t>
      </w:r>
    </w:p>
    <w:p>
      <w:pPr>
        <w:pStyle w:val="null3"/>
        <w:outlineLvl w:val="3"/>
      </w:pPr>
      <w:r>
        <w:rPr>
          <w:sz w:val="24"/>
          <w:b/>
        </w:rPr>
        <w:t xml:space="preserve"> 三、合同定价方式、付款进度和支付方式</w:t>
      </w:r>
    </w:p>
    <w:p>
      <w:pPr>
        <w:pStyle w:val="null3"/>
      </w:pPr>
      <w:r>
        <w:rPr/>
        <w:t xml:space="preserve"> 1.合同定价方式：</w:t>
      </w:r>
    </w:p>
    <w:p>
      <w:pPr>
        <w:pStyle w:val="null3"/>
      </w:pPr>
      <w:r>
        <w:rPr/>
        <w:t xml:space="preserve"> 2.付款方式：</w:t>
      </w:r>
    </w:p>
    <w:p>
      <w:pPr>
        <w:pStyle w:val="null3"/>
      </w:pPr>
      <w:r>
        <w:rPr/>
        <w:t xml:space="preserve"> 3.预付款保函：</w:t>
      </w:r>
    </w:p>
    <w:p>
      <w:pPr>
        <w:pStyle w:val="null3"/>
      </w:pPr>
      <w:r>
        <w:rPr/>
        <w:t xml:space="preserve"> 4.支付形式：</w:t>
      </w:r>
    </w:p>
    <w:p>
      <w:pPr>
        <w:pStyle w:val="null3"/>
        <w:outlineLvl w:val="3"/>
      </w:pPr>
      <w:r>
        <w:rPr>
          <w:sz w:val="24"/>
          <w:b/>
        </w:rPr>
        <w:t xml:space="preserve"> 四、合同服务期限</w:t>
      </w:r>
    </w:p>
    <w:p>
      <w:pPr>
        <w:pStyle w:val="null3"/>
        <w:outlineLvl w:val="3"/>
      </w:pPr>
      <w:r>
        <w:rPr>
          <w:sz w:val="24"/>
          <w:b/>
        </w:rPr>
        <w:t xml:space="preserve"> 五、服务地点</w:t>
      </w:r>
    </w:p>
    <w:p>
      <w:pPr>
        <w:pStyle w:val="null3"/>
        <w:outlineLvl w:val="3"/>
      </w:pPr>
      <w:r>
        <w:rPr>
          <w:sz w:val="24"/>
          <w:b/>
        </w:rPr>
        <w:t xml:space="preserve"> 六、验收标准和方法</w:t>
      </w:r>
    </w:p>
    <w:p>
      <w:pPr>
        <w:pStyle w:val="null3"/>
      </w:pPr>
      <w:r>
        <w:rPr/>
        <w:t xml:space="preserve"> 1）验收组织方式：</w:t>
      </w:r>
    </w:p>
    <w:p>
      <w:pPr>
        <w:pStyle w:val="null3"/>
      </w:pPr>
      <w:r>
        <w:rPr/>
        <w:t xml:space="preserve"> 2）是否邀请本项目的其他供应商：</w:t>
      </w:r>
    </w:p>
    <w:p>
      <w:pPr>
        <w:pStyle w:val="null3"/>
      </w:pPr>
      <w:r>
        <w:rPr/>
        <w:t xml:space="preserve"> 3）是否邀请专家：</w:t>
      </w:r>
    </w:p>
    <w:p>
      <w:pPr>
        <w:pStyle w:val="null3"/>
      </w:pPr>
      <w:r>
        <w:rPr/>
        <w:t xml:space="preserve"> 4）是否邀请服务对象：</w:t>
      </w:r>
    </w:p>
    <w:p>
      <w:pPr>
        <w:pStyle w:val="null3"/>
      </w:pPr>
      <w:r>
        <w:rPr/>
        <w:t xml:space="preserve"> 5）是否邀请第三方检测机构：</w:t>
      </w:r>
    </w:p>
    <w:p>
      <w:pPr>
        <w:pStyle w:val="null3"/>
      </w:pPr>
      <w:r>
        <w:rPr/>
        <w:t xml:space="preserve"> 6）履约验收程序：</w:t>
      </w:r>
    </w:p>
    <w:p>
      <w:pPr>
        <w:pStyle w:val="null3"/>
      </w:pPr>
      <w:r>
        <w:rPr/>
        <w:t xml:space="preserve"> 7）履约验收时间：计划于何时验收/供应商提出验收申请之日起</w:t>
      </w:r>
      <w:r>
        <w:rPr/>
        <w:t>日内组织验收</w:t>
      </w:r>
    </w:p>
    <w:p>
      <w:pPr>
        <w:pStyle w:val="null3"/>
      </w:pPr>
      <w:r>
        <w:rPr/>
        <w:t xml:space="preserve"> 8）验收组织的其他事项：</w:t>
      </w:r>
    </w:p>
    <w:p>
      <w:pPr>
        <w:pStyle w:val="null3"/>
      </w:pPr>
      <w:r>
        <w:rPr/>
        <w:t xml:space="preserve"> 9）技术履约验收内容：</w:t>
      </w:r>
    </w:p>
    <w:p>
      <w:pPr>
        <w:pStyle w:val="null3"/>
      </w:pPr>
      <w:r>
        <w:rPr/>
        <w:t xml:space="preserve"> 10）商务履约验收内容：</w:t>
      </w:r>
    </w:p>
    <w:p>
      <w:pPr>
        <w:pStyle w:val="null3"/>
      </w:pPr>
      <w:r>
        <w:rPr/>
        <w:t xml:space="preserve"> 11）履约验收标准：</w:t>
      </w:r>
    </w:p>
    <w:p>
      <w:pPr>
        <w:pStyle w:val="null3"/>
      </w:pPr>
      <w:r>
        <w:rPr/>
        <w:t xml:space="preserve"> 12）履约验收其他事项：</w:t>
      </w:r>
    </w:p>
    <w:p>
      <w:pPr>
        <w:pStyle w:val="null3"/>
        <w:outlineLvl w:val="3"/>
      </w:pPr>
      <w:r>
        <w:rPr>
          <w:sz w:val="24"/>
          <w:b/>
        </w:rPr>
        <w:t xml:space="preserve"> 七、知识产权归属和处理方式</w:t>
      </w:r>
    </w:p>
    <w:p>
      <w:pPr>
        <w:pStyle w:val="null3"/>
        <w:outlineLvl w:val="3"/>
      </w:pPr>
      <w:r>
        <w:rPr>
          <w:sz w:val="24"/>
          <w:b/>
        </w:rPr>
        <w:t xml:space="preserve"> 八、甲方的权利和义务</w:t>
      </w:r>
    </w:p>
    <w:p>
      <w:pPr>
        <w:pStyle w:val="null3"/>
        <w:outlineLvl w:val="3"/>
      </w:pPr>
      <w:r>
        <w:rPr>
          <w:sz w:val="24"/>
          <w:b/>
        </w:rPr>
        <w:t xml:space="preserve"> 九、乙方的权利和义务</w:t>
      </w:r>
    </w:p>
    <w:p>
      <w:pPr>
        <w:pStyle w:val="null3"/>
        <w:outlineLvl w:val="3"/>
      </w:pPr>
      <w:r>
        <w:rPr>
          <w:sz w:val="24"/>
          <w:b/>
        </w:rPr>
        <w:t xml:space="preserve"> 十、违约责任</w:t>
      </w:r>
    </w:p>
    <w:p>
      <w:pPr>
        <w:pStyle w:val="null3"/>
      </w:pPr>
      <w:r>
        <w:rPr/>
        <w:t>1. 甲方自交付之日起30日内支付款项；另有约定的，付款期限最长不得超过60日。约定采取履行进度结算、定期结算等结算方式的，付款期限应当自双方确认结算金额之日起算。合同明确需检验或验收的，应明确检验或验收期间，约定交付后经检验或者验收合格作为支付条件的，付款期限应当自检验或者验收合格之日起算；采购人拖延检验或者验收的，付款期限自约定的检验或者验收期限届满之日起算。甲方不得以法定代表人或者主要负责人变更，履行内部付款流程，或者在合同未作约定的情况下以等待竣工验收批复、决算审计等为由，拒绝或者迟延支付中小微企业款项。甲方存在迟延支付乙方合同款项的，应当承担付款逾期利息。双方对逾期利息的利率约定为年息X%（约定利率不得低于合同订立时1年期贷款市场报价利率），未做约定的，按照每日利率万分之五的标准支付逾期利息。</w:t>
      </w:r>
    </w:p>
    <w:p>
      <w:pPr>
        <w:pStyle w:val="null3"/>
      </w:pPr>
      <w:r>
        <w:rPr/>
        <w:t>2. 甲方不得以行政区划调整、政府换届、机构或者职能调整以及相关责任人更替等为由违约毁约。因国家利益、社会公共利益需要改变政策承诺、合同约定的，应当依照法定权限和程序进行，并依法对乙方因此受到的损失予以补偿。</w:t>
      </w:r>
    </w:p>
    <w:p>
      <w:pPr>
        <w:pStyle w:val="null3"/>
        <w:outlineLvl w:val="3"/>
      </w:pPr>
      <w:r>
        <w:rPr>
          <w:sz w:val="24"/>
          <w:b/>
        </w:rPr>
        <w:t xml:space="preserve"> 十一、成本补偿和风险分担约定</w:t>
      </w:r>
    </w:p>
    <w:p>
      <w:pPr>
        <w:pStyle w:val="null3"/>
        <w:outlineLvl w:val="3"/>
      </w:pPr>
      <w:r>
        <w:rPr>
          <w:sz w:val="24"/>
          <w:b/>
        </w:rPr>
        <w:t xml:space="preserve"> 十二、不可抗力事件处理</w:t>
      </w:r>
    </w:p>
    <w:p>
      <w:pPr>
        <w:pStyle w:val="null3"/>
        <w:outlineLvl w:val="3"/>
      </w:pPr>
      <w:r>
        <w:rPr>
          <w:sz w:val="24"/>
          <w:b/>
        </w:rPr>
        <w:t xml:space="preserve"> 十三、合同变更、中止或者终止合同</w:t>
      </w:r>
    </w:p>
    <w:p>
      <w:pPr>
        <w:pStyle w:val="null3"/>
        <w:outlineLvl w:val="3"/>
      </w:pPr>
      <w:r>
        <w:rPr>
          <w:sz w:val="24"/>
          <w:b/>
        </w:rPr>
        <w:t xml:space="preserve"> 十四、解决合同纠纷的方式</w:t>
      </w:r>
    </w:p>
    <w:p>
      <w:pPr>
        <w:pStyle w:val="null3"/>
      </w:pPr>
      <w:r>
        <w:rPr/>
        <w:t>因本合同引起的争议，甲乙双方应友好协商解决。若甲乙双方不能解决争议，可通过以下途径之一解决：</w:t>
      </w:r>
    </w:p>
    <w:p>
      <w:pPr>
        <w:pStyle w:val="null3"/>
        <w:outlineLvl w:val="3"/>
      </w:pPr>
      <w:r>
        <w:rPr>
          <w:sz w:val="24"/>
          <w:b/>
        </w:rPr>
        <w:t xml:space="preserve"> 十五、合同生效及其他事宜</w:t>
      </w:r>
    </w:p>
    <w:p>
      <w:pPr>
        <w:pStyle w:val="null3"/>
      </w:pPr>
      <w:r>
        <w:rPr/>
        <w:t>1.合同经双方法定代表人（或主要负责人）或授权委托代理人签字并加盖电子签章后生效。</w:t>
      </w:r>
    </w:p>
    <w:p>
      <w:pPr>
        <w:pStyle w:val="null3"/>
      </w:pPr>
      <w:r>
        <w:rPr/>
        <w:t>2.政府采购合同履行中，甲方需追加与合同标的相同的服务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3．本项目联合体/合同分包形式中标（成交），联合体成员/合同分包方为：</w:t>
      </w:r>
    </w:p>
    <w:p>
      <w:pPr>
        <w:pStyle w:val="null3"/>
        <w:outlineLvl w:val="3"/>
      </w:pPr>
      <w:r>
        <w:rPr>
          <w:sz w:val="24"/>
          <w:b/>
        </w:rPr>
        <w:t xml:space="preserve"> 十六、合同文件构成</w:t>
      </w:r>
    </w:p>
    <w:p>
      <w:pPr>
        <w:pStyle w:val="null3"/>
      </w:pPr>
      <w:r>
        <w:rPr/>
        <w:t>本协议书与下列文件一起构成合同文件：</w:t>
      </w:r>
    </w:p>
    <w:p>
      <w:pPr>
        <w:pStyle w:val="null3"/>
      </w:pPr>
      <w:r>
        <w:rPr/>
        <w:t>（1）中标(成交)通知书；</w:t>
      </w:r>
    </w:p>
    <w:p>
      <w:pPr>
        <w:pStyle w:val="null3"/>
      </w:pPr>
      <w:r>
        <w:rPr/>
        <w:t xml:space="preserve"> （2）专用合同条款及其附件；</w:t>
      </w:r>
    </w:p>
    <w:p>
      <w:pPr>
        <w:pStyle w:val="null3"/>
      </w:pPr>
      <w:r>
        <w:rPr/>
        <w:t xml:space="preserve"> （3）通用合同条款；</w:t>
      </w:r>
    </w:p>
    <w:p>
      <w:pPr>
        <w:pStyle w:val="null3"/>
      </w:pPr>
      <w:r>
        <w:rPr/>
        <w:t xml:space="preserve"> （4）采购文件；</w:t>
      </w:r>
    </w:p>
    <w:p>
      <w:pPr>
        <w:pStyle w:val="null3"/>
      </w:pPr>
      <w:r>
        <w:rPr/>
        <w:t xml:space="preserve"> （5）投标(响应)文件：</w:t>
      </w:r>
    </w:p>
    <w:p>
      <w:pPr>
        <w:pStyle w:val="null3"/>
      </w:pPr>
      <w:r>
        <w:rPr/>
        <w:t>在合同订立及履行过程中形成的与合同有关的文件均构成合同文件组成部分。</w:t>
      </w:r>
      <w:r>
        <w:br/>
      </w:r>
    </w:p>
    <w:p>
      <w:pPr>
        <w:pStyle w:val="null3"/>
      </w:pPr>
      <w:r>
        <w:rPr/>
        <w:t xml:space="preserve"> 甲方： </w:t>
      </w:r>
      <w:r>
        <w:rPr/>
        <w:t>（盖章）</w:t>
      </w:r>
    </w:p>
    <w:p>
      <w:pPr>
        <w:pStyle w:val="null3"/>
      </w:pPr>
      <w:r>
        <w:rPr/>
        <w:t xml:space="preserve"> 法定（授权）代表人：</w:t>
      </w:r>
    </w:p>
    <w:p>
      <w:pPr>
        <w:pStyle w:val="null3"/>
      </w:pPr>
      <w:r>
        <w:rPr/>
        <w:t xml:space="preserve"> 乙方： </w:t>
      </w:r>
      <w:r>
        <w:rPr/>
        <w:t>(盖章）</w:t>
      </w:r>
    </w:p>
    <w:p>
      <w:pPr>
        <w:pStyle w:val="null3"/>
      </w:pPr>
      <w:r>
        <w:rPr/>
        <w:t xml:space="preserve"> 法定（授权）代表人：</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资格审查由 </w:t>
      </w:r>
      <w:r>
        <w:rPr/>
        <w:t>长沙市望城区园林绿化维护中心</w:t>
      </w:r>
      <w:r>
        <w:rPr/>
        <w:t xml:space="preserve"> 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jc w:val="left"/>
        <w:outlineLvl w:val="2"/>
      </w:pPr>
      <w:r>
        <w:rPr>
          <w:sz w:val="28"/>
          <w:b/>
        </w:rPr>
        <w:t>4.1 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供应商需在项目电子化交易系统中按要求填写《投标（响应）函》完成承诺并进行电子签章。（1）提交《湖南省政府采购供应商资格承诺函》原件（格式见附件） （2）法人或负责人提交法定代表人身份证明原件（格式见附件）或者法定代表人授权委托书（附近三个月内任意一个月社保）并附法定代表人身份证明原件；自然人提交身份证明复印件；（3）法人或负责人提交企业法人营业执照副本(或者法人登记证书)副本复印件。</w:t>
            </w:r>
          </w:p>
        </w:tc>
        <w:tc>
          <w:tcPr>
            <w:tcW w:type="dxa" w:w="1661"/>
          </w:tcPr>
          <w:p>
            <w:pPr>
              <w:pStyle w:val="null3"/>
            </w:pPr>
            <w:r>
              <w:rPr/>
              <w:t>投标（响应）函</w:t>
            </w:r>
          </w:p>
          <w:p>
            <w:pPr>
              <w:pStyle w:val="null3"/>
            </w:pPr>
            <w:r>
              <w:rPr/>
              <w:t>投标文件封面格式</w:t>
            </w:r>
          </w:p>
          <w:p>
            <w:pPr>
              <w:pStyle w:val="null3"/>
            </w:pPr>
            <w:r>
              <w:rPr/>
              <w:t>其他相关证明材料</w:t>
            </w:r>
          </w:p>
          <w:p>
            <w:pPr>
              <w:pStyle w:val="null3"/>
            </w:pPr>
            <w:r>
              <w:rPr/>
              <w:t>投标人应提交的相关资格证明材料</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jc w:val="left"/>
        <w:outlineLvl w:val="2"/>
      </w:pPr>
      <w:r>
        <w:rPr>
          <w:sz w:val="28"/>
          <w:b/>
        </w:rPr>
        <w:t>4.2 特殊资格审查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jc w:val="left"/>
        <w:outlineLvl w:val="2"/>
      </w:pPr>
      <w:r>
        <w:rPr>
          <w:sz w:val="28"/>
          <w:b/>
        </w:rPr>
        <w:t>4.3 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供应商结合自身实际，按照采购文件要求和关联格式要求，提供《中小企业声明函》、《残疾人福利性单位声明函》或者《监狱企业证明文件》进行响应。</w:t>
            </w:r>
          </w:p>
        </w:tc>
        <w:tc>
          <w:tcPr>
            <w:tcW w:type="dxa" w:w="1661"/>
          </w:tcPr>
          <w:p>
            <w:pPr>
              <w:pStyle w:val="null3"/>
            </w:pPr>
            <w:r>
              <w:rPr/>
              <w:t>中小企业声明函</w:t>
            </w:r>
          </w:p>
          <w:p>
            <w:pPr>
              <w:pStyle w:val="null3"/>
            </w:pPr>
            <w:r>
              <w:rPr/>
              <w:t>残疾人福利性单位声明函</w:t>
            </w:r>
          </w:p>
          <w:p>
            <w:pPr>
              <w:pStyle w:val="null3"/>
            </w:pPr>
            <w:r>
              <w:rPr/>
              <w:t>监狱企业的证明文件</w:t>
            </w:r>
          </w:p>
        </w:tc>
      </w:tr>
    </w:tbl>
    <w:p>
      <w:pPr>
        <w:pStyle w:val="null3"/>
        <w:jc w:val="left"/>
        <w:outlineLvl w:val="2"/>
      </w:pPr>
      <w:r>
        <w:rPr>
          <w:sz w:val="28"/>
          <w:b/>
        </w:rPr>
        <w:t>4.4 在资格审查时，投标人存在下列情况之一的，资格审查不合格，其投标无效：</w:t>
      </w:r>
    </w:p>
    <w:p>
      <w:pPr>
        <w:pStyle w:val="null3"/>
        <w:ind w:firstLine="480"/>
      </w:pPr>
      <w:r>
        <w:rPr/>
        <w:t>（1）不具备招标文件中规定的资格审查标准及要求的，或提交的资格证明文件不符合招标文件要求的；</w:t>
      </w:r>
    </w:p>
    <w:p>
      <w:pPr>
        <w:pStyle w:val="null3"/>
        <w:ind w:firstLine="480"/>
      </w:pPr>
      <w:r>
        <w:rPr/>
        <w:t>（2）联合体投标未提交联合体协议书，或未提交联合体各方资格证明文件的；</w:t>
      </w:r>
    </w:p>
    <w:p>
      <w:pPr>
        <w:pStyle w:val="null3"/>
        <w:ind w:firstLine="480"/>
      </w:pPr>
      <w:r>
        <w:rPr/>
        <w:t>（3）投标文件的资格证明文件未按照招标文件要求签署、盖章的；</w:t>
      </w:r>
    </w:p>
    <w:p>
      <w:pPr>
        <w:pStyle w:val="null3"/>
        <w:ind w:firstLine="480"/>
      </w:pPr>
      <w:r>
        <w:rPr/>
        <w:t>（4）未按照招标文件的规定提交投标保证金的；</w:t>
      </w:r>
    </w:p>
    <w:p>
      <w:pPr>
        <w:pStyle w:val="null3"/>
        <w:ind w:firstLine="480"/>
      </w:pPr>
      <w:r>
        <w:rPr/>
        <w:t>（5）投标报价超过招标文件中规定的预算金额或者最高限价的；</w:t>
      </w:r>
    </w:p>
    <w:p>
      <w:pPr>
        <w:pStyle w:val="null3"/>
        <w:ind w:firstLine="480"/>
      </w:pPr>
      <w:r>
        <w:rPr/>
        <w:t>（6）法律、法规和招标文件规定的其他投标无效情形的。</w:t>
      </w:r>
    </w:p>
    <w:p>
      <w:pPr>
        <w:pStyle w:val="null3"/>
        <w:jc w:val="left"/>
        <w:outlineLvl w:val="2"/>
      </w:pPr>
      <w:r>
        <w:rPr>
          <w:sz w:val="28"/>
          <w:b/>
        </w:rPr>
        <w:t>4.5 信用记录。开标结束后资格审查时，采购人、采购代理机构将对投标人信用记录进行甄别。</w:t>
      </w:r>
    </w:p>
    <w:p>
      <w:pPr>
        <w:pStyle w:val="null3"/>
        <w:ind w:firstLine="480"/>
      </w:pPr>
      <w:r>
        <w:rPr/>
        <w:t>（1）信用信息查询的查询渠道：信用中国网（www.creditchina.gov.cn）、中国政府采购网（www.ccgp.gov.cn）；</w:t>
      </w:r>
    </w:p>
    <w:p>
      <w:pPr>
        <w:pStyle w:val="null3"/>
        <w:ind w:firstLine="480"/>
      </w:pPr>
      <w:r>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pPr>
        <w:pStyle w:val="null3"/>
        <w:ind w:firstLine="480"/>
      </w:pPr>
      <w:r>
        <w:rPr/>
        <w:t>（3）联合体形式投标的，联合体成员存在不良信用记录的，视同联合体存在不良信用记录。</w:t>
      </w:r>
    </w:p>
    <w:p>
      <w:pPr>
        <w:pStyle w:val="null3"/>
        <w:ind w:firstLine="480"/>
      </w:pPr>
      <w:r>
        <w:rPr/>
        <w:t>（4）信用信息查询记录和证据留存具体方式：采购人、采购代理机构经办人将查询网页截图、打印、签字，作为查询记录和证据，与其他采购文件一并保存。投标人不良信用记录以采购人、采购代理机构查询结果为准。</w:t>
      </w:r>
    </w:p>
    <w:p>
      <w:pPr>
        <w:pStyle w:val="null3"/>
        <w:jc w:val="left"/>
        <w:outlineLvl w:val="2"/>
      </w:pPr>
      <w:r>
        <w:rPr>
          <w:sz w:val="28"/>
          <w:b/>
        </w:rPr>
        <w:t>4.6 未通过资格审查的投标人，采购人、采购代理机构应当告知其未通过的原因。</w:t>
      </w:r>
    </w:p>
    <w:p>
      <w:pPr>
        <w:pStyle w:val="null3"/>
        <w:jc w:val="left"/>
        <w:outlineLvl w:val="2"/>
      </w:pPr>
      <w:r>
        <w:rPr>
          <w:sz w:val="28"/>
          <w:b/>
        </w:rPr>
        <w:t>4.7 资格审查结束后，采购人、采购代理机构应将资格审查结果告知评标委员会。</w:t>
      </w:r>
    </w:p>
    <w:p>
      <w:pPr>
        <w:pStyle w:val="null3"/>
      </w:pPr>
      <w:r>
        <w:rPr/>
        <w:t xml:space="preserve"> </w:t>
        <w:br/>
        <w:br w:type="page"/>
      </w:r>
    </w:p>
    <w:p>
      <w:pPr>
        <w:pStyle w:val="null3"/>
        <w:jc w:val="left"/>
        <w:outlineLvl w:val="1"/>
      </w:pPr>
      <w:r>
        <w:rPr>
          <w:sz w:val="36"/>
          <w:b/>
        </w:rPr>
        <w:t>第五章 评标办法</w:t>
      </w:r>
    </w:p>
    <w:p>
      <w:pPr>
        <w:pStyle w:val="null3"/>
        <w:jc w:val="left"/>
        <w:outlineLvl w:val="2"/>
      </w:pPr>
      <w:r>
        <w:rPr>
          <w:sz w:val="28"/>
          <w:b/>
        </w:rPr>
        <w:t>5.1 总则</w:t>
      </w:r>
    </w:p>
    <w:p>
      <w:pPr>
        <w:pStyle w:val="null3"/>
        <w:ind w:firstLine="480"/>
      </w:pPr>
      <w:r>
        <w:rPr/>
        <w:t>一、根据《中华人民共和国政府采购法》《中华人民共和国政府采购法实施条例》《政府采购货物和服务招标投标管理办法》等法律规章，结合采购项目特点制定本评标办法。</w:t>
      </w:r>
    </w:p>
    <w:p>
      <w:pPr>
        <w:pStyle w:val="null3"/>
        <w:ind w:firstLine="480"/>
      </w:pPr>
      <w:r>
        <w:rPr/>
        <w:t>二、评标工作由代理机构负责组织或采购人自行组织（采购人未委托代理机构的），具体评标事务由依法组建的评标委员会负责。评标委员会由采购人代表和评审专家组成。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五、评标过程中的书面材料往来原则上通过项目电子化交易系统传递，投标人通过数字证书及电子签章加盖其电子签章后生效。出现无法在线签章的特殊情况，评标委员会成员可以线下签署评标报告，由代理机构对原件扫描后以附件形式上传。</w:t>
      </w:r>
    </w:p>
    <w:p>
      <w:pPr>
        <w:pStyle w:val="null3"/>
        <w:ind w:firstLine="480"/>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ind w:firstLine="480"/>
      </w:pPr>
      <w:r>
        <w:rPr/>
        <w:t>一、本项目评标委员会成员人数应当为五人以上单数，其中评审专家不得少于成员总数的三分之二。技术复杂、专业性较强的采购项目，评审专家中应当包含1名法律专家。</w:t>
      </w:r>
    </w:p>
    <w:p>
      <w:pPr>
        <w:pStyle w:val="null3"/>
        <w:ind w:firstLine="480"/>
      </w:pPr>
      <w:r>
        <w:rPr/>
        <w:t>二、评标委员会成员应当满足并适应电子化采购评审的工作需要，登录项目电子化交易系统进入项目评审功能模块确认身份、签到、推荐评标委员会组长等。</w:t>
      </w:r>
    </w:p>
    <w:p>
      <w:pPr>
        <w:pStyle w:val="null3"/>
        <w:ind w:firstLine="480"/>
      </w:pPr>
      <w:r>
        <w:rPr/>
        <w:t>三、评标委员会成员获取解密后的投标文件，开展评标活动。出现应当回避的情形时，评标委员会成员应当主动回避；代理机构按规定申请补充抽取评审专家；无法及时补充抽取的，采购人或者代理机构应当封存投标人投标文件，按规定重新组建评标委员会，解封投标文件后，开展评标活动。</w:t>
      </w:r>
    </w:p>
    <w:p>
      <w:pPr>
        <w:pStyle w:val="null3"/>
        <w:ind w:firstLine="480"/>
      </w:pPr>
      <w:r>
        <w:rPr/>
        <w:t>四、评标委员会按照招标文件规定的评标程序、评标方法和标准进行评标。</w:t>
      </w:r>
    </w:p>
    <w:p>
      <w:pPr>
        <w:pStyle w:val="null3"/>
        <w:jc w:val="left"/>
        <w:outlineLvl w:val="2"/>
      </w:pPr>
      <w:r>
        <w:rPr>
          <w:sz w:val="28"/>
          <w:b/>
        </w:rPr>
        <w:t>5.3 评标方法</w:t>
      </w:r>
    </w:p>
    <w:p>
      <w:pPr>
        <w:pStyle w:val="null3"/>
        <w:ind w:firstLine="480"/>
        <w:jc w:val="left"/>
      </w:pPr>
      <w:r>
        <w:rPr/>
        <w:t>采购包1：综合评分法</w:t>
      </w:r>
    </w:p>
    <w:p>
      <w:pPr>
        <w:pStyle w:val="null3"/>
        <w:jc w:val="left"/>
        <w:outlineLvl w:val="2"/>
      </w:pPr>
      <w:r>
        <w:rPr>
          <w:sz w:val="28"/>
          <w:b/>
        </w:rPr>
        <w:t>5.4 评标程序</w:t>
      </w:r>
    </w:p>
    <w:p>
      <w:pPr>
        <w:pStyle w:val="null3"/>
        <w:jc w:val="left"/>
        <w:outlineLvl w:val="3"/>
      </w:pPr>
      <w:r>
        <w:rPr>
          <w:sz w:val="24"/>
          <w:b/>
        </w:rPr>
        <w:t>5.4.1 熟悉和理解招标文件和停止评标</w:t>
      </w:r>
    </w:p>
    <w:p>
      <w:pPr>
        <w:pStyle w:val="null3"/>
        <w:ind w:firstLine="480"/>
      </w:pPr>
      <w:r>
        <w:rPr/>
        <w:t>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（1）招标文件的规定存在歧义、重大缺陷的；</w:t>
      </w:r>
    </w:p>
    <w:p>
      <w:pPr>
        <w:pStyle w:val="null3"/>
        <w:ind w:firstLine="480"/>
      </w:pPr>
      <w:r>
        <w:rPr/>
        <w:t>（2）招标文件明显以不合理条件对供应商实行差别待遇或者歧视待遇的；</w:t>
      </w:r>
    </w:p>
    <w:p>
      <w:pPr>
        <w:pStyle w:val="null3"/>
        <w:ind w:firstLine="480"/>
      </w:pPr>
      <w:r>
        <w:rPr/>
        <w:t>（3）采购项目属于国家规定的优先、强制采购范围，但是招标文件未依法体现优先、强制采购相关规定的；</w:t>
      </w:r>
    </w:p>
    <w:p>
      <w:pPr>
        <w:pStyle w:val="null3"/>
        <w:ind w:firstLine="480"/>
      </w:pPr>
      <w:r>
        <w:rPr/>
        <w:t>（4）采购项目属于政府采购促进中小企业发展的范围，但是招标文件未依法体现促进中小企业发展相关规定的；</w:t>
      </w:r>
    </w:p>
    <w:p>
      <w:pPr>
        <w:pStyle w:val="null3"/>
        <w:ind w:firstLine="480"/>
      </w:pPr>
      <w:r>
        <w:rPr/>
        <w:t>（5）招标文件规定的评标方法是综合评分法、最低评标价法之外的评标方法，或者虽然名称为综合评分法、最低评标价法，但实际上不符合国家规定；</w:t>
      </w:r>
    </w:p>
    <w:p>
      <w:pPr>
        <w:pStyle w:val="null3"/>
        <w:ind w:firstLine="480"/>
      </w:pPr>
      <w:r>
        <w:rPr/>
        <w:t>（6）招标文件将投标人的资格条件列为评分因素的；</w:t>
      </w:r>
    </w:p>
    <w:p>
      <w:pPr>
        <w:pStyle w:val="null3"/>
        <w:ind w:firstLine="480"/>
      </w:pPr>
      <w:r>
        <w:rPr/>
        <w:t>（7）招标文件有违反国家其他有关强制性规定的情形。</w:t>
      </w:r>
    </w:p>
    <w:p>
      <w:pPr>
        <w:pStyle w:val="null3"/>
        <w:ind w:firstLine="480"/>
      </w:pPr>
      <w:r>
        <w:rPr/>
        <w:t>出现上述应当停止评标情形的，评标委员会应当通过项目电子化交易系统向采购人或代理机构提交相关说明材料，说明停止评审的情形和具体理由。除上述情形外，评标委员会不得以任何方式和理由停止评标。</w:t>
      </w:r>
    </w:p>
    <w:p>
      <w:pPr>
        <w:pStyle w:val="null3"/>
        <w:ind w:firstLine="480"/>
      </w:pPr>
      <w:r>
        <w:rPr/>
        <w:t>出现上述应当停止评标情形的，采购人或代理机构应当通过项目电子化交易系统书面告知参加采购活动的供应商，并说明具体原因，同时在长沙市政府采购网公告。采购人或代理机构认为评标委员会不应当停止评标的，可以书面报告采购项目同级财政部门依法处理，并提供相关证明材料。</w:t>
      </w:r>
    </w:p>
    <w:p>
      <w:pPr>
        <w:pStyle w:val="null3"/>
        <w:jc w:val="left"/>
        <w:outlineLvl w:val="3"/>
      </w:pPr>
      <w:r>
        <w:rPr>
          <w:sz w:val="24"/>
          <w:b/>
        </w:rPr>
        <w:t>5.4.2 符合性审查</w:t>
      </w:r>
    </w:p>
    <w:p>
      <w:pPr>
        <w:pStyle w:val="null3"/>
        <w:ind w:firstLine="480"/>
      </w:pPr>
      <w:r>
        <w:rPr/>
        <w:t>评标委员会依据本招标文件的实质性要求，对符合资格条件的供应商的投标文件进行审查，以确定其是否满足本招标文件的实质性要求。本项目符合性审查事项，必须以本招标文件的明确规定的实质性要求作为依据。</w:t>
      </w:r>
    </w:p>
    <w:p>
      <w:pPr>
        <w:pStyle w:val="null3"/>
        <w:ind w:firstLine="480"/>
      </w:pPr>
      <w:r>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pPr>
        <w:pStyle w:val="null3"/>
        <w:ind w:firstLine="480"/>
      </w:pPr>
      <w:r>
        <w:rPr/>
        <w:t>（2）投标人不得通过修正或撤销不合要求的偏离从而使其投标成为实质上响应的投标。</w:t>
      </w:r>
    </w:p>
    <w:p>
      <w:pPr>
        <w:pStyle w:val="null3"/>
        <w:ind w:firstLine="480"/>
      </w:pPr>
      <w:r>
        <w:rPr/>
        <w:t>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产品技术参数响应表 商务应答表 分项报价明细表</w:t>
            </w:r>
          </w:p>
        </w:tc>
      </w:tr>
    </w:tbl>
    <w:p>
      <w:pPr>
        <w:pStyle w:val="null3"/>
        <w:ind w:firstLine="480"/>
      </w:pPr>
      <w:r>
        <w:rPr/>
        <w:t>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ind w:firstLine="480"/>
      </w:pPr>
      <w:r>
        <w:rPr/>
        <w:t>投标人存在下列情况之一的，符合性审查不合格，投标无效：</w:t>
      </w:r>
    </w:p>
    <w:p>
      <w:pPr>
        <w:pStyle w:val="null3"/>
        <w:ind w:firstLine="480"/>
      </w:pPr>
      <w:r>
        <w:rPr/>
        <w:t>（1）投标文件中未按照招标文件规定要求签署、盖章的；</w:t>
      </w:r>
    </w:p>
    <w:p>
      <w:pPr>
        <w:pStyle w:val="null3"/>
        <w:ind w:firstLine="480"/>
      </w:pPr>
      <w:r>
        <w:rPr/>
        <w:t>（2）投标文件没有对招标文件的实质性要求和条件作出响应，或者对招标文件的偏离超出招标文件规定的偏离范围和幅度；</w:t>
      </w:r>
    </w:p>
    <w:p>
      <w:pPr>
        <w:pStyle w:val="null3"/>
        <w:ind w:firstLine="480"/>
      </w:pPr>
      <w:r>
        <w:rPr/>
        <w:t>（3）投标有效期不足的；</w:t>
      </w:r>
    </w:p>
    <w:p>
      <w:pPr>
        <w:pStyle w:val="null3"/>
        <w:ind w:firstLine="480"/>
      </w:pPr>
      <w:r>
        <w:rPr/>
        <w:t>（4）投标文件含有采购人不能接受的附加条件的；</w:t>
      </w:r>
    </w:p>
    <w:p>
      <w:pPr>
        <w:pStyle w:val="null3"/>
        <w:ind w:firstLine="480"/>
      </w:pPr>
      <w:r>
        <w:rPr/>
        <w:t>（5）不符合招标文件规定符合性审查标准的；</w:t>
      </w:r>
    </w:p>
    <w:p>
      <w:pPr>
        <w:pStyle w:val="null3"/>
        <w:ind w:firstLine="480"/>
      </w:pPr>
      <w:r>
        <w:rPr/>
        <w:t>（6）法律、法规和招标文件规定的其他投标无效情形的。</w:t>
      </w:r>
    </w:p>
    <w:p>
      <w:pPr>
        <w:pStyle w:val="null3"/>
        <w:ind w:firstLine="480"/>
      </w:pPr>
      <w:r>
        <w:rPr/>
        <w:t>在评标过程中发现投标人有不遵循公平竞争的原则，恶意串通，妨碍其他投标人的竞争行为，损害采购人或者其他投标人的合法权益的，评标委员会应当认定其投标无效，并书面报告同级财政部门。</w:t>
      </w:r>
    </w:p>
    <w:p>
      <w:pPr>
        <w:pStyle w:val="null3"/>
        <w:jc w:val="left"/>
        <w:outlineLvl w:val="3"/>
      </w:pPr>
      <w:r>
        <w:rPr>
          <w:sz w:val="24"/>
          <w:b/>
        </w:rPr>
        <w:t>5.4.3 解释、澄清有关问题</w:t>
      </w:r>
    </w:p>
    <w:p>
      <w:pPr>
        <w:pStyle w:val="null3"/>
        <w:ind w:firstLine="480"/>
      </w:pPr>
      <w:r>
        <w:rPr/>
        <w:t>一、  评标过程中，评标委员会认为招标文件有关事项表述不明确或需要说明的，可以提请采购人、代理机构书面解释。采购人、代理机构的解释不得改变招标文件的原义或者影响公平、公正，解释事项如果涉及投标人权益的以有利于投标人的原则进行解释。</w:t>
      </w:r>
    </w:p>
    <w:p>
      <w:pPr>
        <w:pStyle w:val="null3"/>
        <w:ind w:firstLine="480"/>
      </w:pPr>
      <w:r>
        <w:rPr/>
        <w:t>二、  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三、  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  投标人投标文件中不响应招标文件规定的技术参数指标和商务应答；</w:t>
      </w:r>
    </w:p>
    <w:p>
      <w:pPr>
        <w:pStyle w:val="null3"/>
        <w:ind w:firstLine="480"/>
      </w:pPr>
      <w:r>
        <w:rPr/>
        <w:t>(二)  投标人投标文件中未提供的证明其是否符合招标文件资格、符合性规定要求的相关材料。</w:t>
      </w:r>
    </w:p>
    <w:p>
      <w:pPr>
        <w:pStyle w:val="null3"/>
        <w:ind w:firstLine="480"/>
      </w:pPr>
      <w:r>
        <w:rPr/>
        <w:t>(三)  投标人投标文件中的材料因印刷、影印等不清晰而难以辨认的。</w:t>
      </w:r>
    </w:p>
    <w:p>
      <w:pPr>
        <w:pStyle w:val="null3"/>
        <w:ind w:firstLine="480"/>
      </w:pPr>
      <w:r>
        <w:rPr/>
        <w:t>四、  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七、有效的书面澄清材料，是投标文件的补充材料，成为投标文件的组成部分。</w:t>
      </w:r>
    </w:p>
    <w:p>
      <w:pPr>
        <w:pStyle w:val="null3"/>
        <w:ind w:firstLine="480"/>
      </w:pPr>
      <w:r>
        <w:rPr/>
        <w:t>八、评标委员会认为投标人的报价明显低于其他通过符合性审查投标人的报价，有可能影响产品质量或者不能诚信履约的，应当要求其在规定的时间内提供书面说明，必要时提交相关证明材料；投标人不能证明其报价合理性的，评标委员会应当将其作为投标无效处理。</w:t>
      </w:r>
    </w:p>
    <w:p>
      <w:pPr>
        <w:pStyle w:val="null3"/>
        <w:ind w:firstLine="480"/>
      </w:pPr>
      <w:r>
        <w:rPr>
          <w:b/>
        </w:rPr>
        <w:t>评标委员会应当积极履行澄清、说明或者更正的职责，不得滥用权力。</w:t>
      </w:r>
    </w:p>
    <w:p>
      <w:pPr>
        <w:pStyle w:val="null3"/>
        <w:jc w:val="left"/>
        <w:outlineLvl w:val="3"/>
      </w:pPr>
      <w:r>
        <w:rPr>
          <w:sz w:val="24"/>
          <w:b/>
        </w:rPr>
        <w:t>5.4.4 比较与评价</w:t>
      </w:r>
    </w:p>
    <w:p>
      <w:pPr>
        <w:pStyle w:val="null3"/>
        <w:ind w:firstLine="480"/>
      </w:pPr>
      <w:r>
        <w:rPr/>
        <w:t>评标委员会应当按照招标文件规定的评标细则及标准，对符合性检查合格的投标文件进行商务和技术评估，综合比较和评价。</w:t>
      </w:r>
    </w:p>
    <w:p>
      <w:pPr>
        <w:pStyle w:val="null3"/>
        <w:jc w:val="left"/>
        <w:outlineLvl w:val="3"/>
      </w:pPr>
      <w:r>
        <w:rPr>
          <w:sz w:val="24"/>
          <w:b/>
        </w:rPr>
        <w:t>5.4.5 复核</w:t>
      </w:r>
    </w:p>
    <w:p>
      <w:pPr>
        <w:pStyle w:val="null3"/>
        <w:ind w:firstLine="480"/>
      </w:pPr>
      <w:r>
        <w:rPr/>
        <w:t>评分汇总结束后，评标委员会应当进行复核，对拟推荐为中标候选供应商、得分畸高畸低、单项得分为零、报价最低、报价最高的投标人为中标候选人的、投标文件被认定为无效等进行重点复核。</w:t>
      </w:r>
    </w:p>
    <w:p>
      <w:pPr>
        <w:pStyle w:val="null3"/>
        <w:ind w:firstLine="480"/>
      </w:pPr>
      <w:r>
        <w:rPr/>
        <w:t>评标结果汇总完成后，评标委员会拟出具评标报告前，代理机构应当组织不少于2名工作人员，依据有关的法律制度和招标文件对评标结果进行复核，出具复核报告。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 分值汇总计算错误的；</w:t>
      </w:r>
    </w:p>
    <w:p>
      <w:pPr>
        <w:pStyle w:val="null3"/>
        <w:ind w:firstLine="480"/>
      </w:pPr>
      <w:r>
        <w:rPr/>
        <w:t>（二） 分项评分超出评分标准范围的；</w:t>
      </w:r>
    </w:p>
    <w:p>
      <w:pPr>
        <w:pStyle w:val="null3"/>
        <w:ind w:firstLine="480"/>
      </w:pPr>
      <w:r>
        <w:rPr/>
        <w:t>（三） 评标委员会成员对客观评审因素评分不一致的；</w:t>
      </w:r>
    </w:p>
    <w:p>
      <w:pPr>
        <w:pStyle w:val="null3"/>
        <w:ind w:firstLine="480"/>
      </w:pPr>
      <w:r>
        <w:rPr/>
        <w:t>（四） 经评标委员会认定评分畸高、畸低的。</w:t>
      </w:r>
    </w:p>
    <w:p>
      <w:pPr>
        <w:pStyle w:val="null3"/>
        <w:ind w:firstLine="480"/>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同级财政部门。</w:t>
      </w:r>
    </w:p>
    <w:p>
      <w:pPr>
        <w:pStyle w:val="null3"/>
        <w:jc w:val="left"/>
        <w:outlineLvl w:val="3"/>
      </w:pPr>
      <w:r>
        <w:rPr>
          <w:sz w:val="24"/>
          <w:b/>
        </w:rPr>
        <w:t>5.4.6 确定中标候选人名单</w:t>
      </w:r>
    </w:p>
    <w:p>
      <w:pPr>
        <w:pStyle w:val="null3"/>
        <w:ind w:firstLine="480"/>
        <w:jc w:val="left"/>
      </w:pPr>
      <w:r>
        <w:rPr/>
        <w:t>采购包1：</w:t>
      </w:r>
      <w:r>
        <w:rPr/>
        <w:t>中标候选供应商数量为3名；</w:t>
      </w:r>
    </w:p>
    <w:p>
      <w:pPr>
        <w:pStyle w:val="null3"/>
        <w:ind w:firstLine="480"/>
      </w:pPr>
      <w:r>
        <w:rPr/>
        <w:t>（综合评分法适用）</w:t>
      </w:r>
    </w:p>
    <w:p>
      <w:pPr>
        <w:pStyle w:val="null3"/>
        <w:ind w:firstLine="480"/>
      </w:pPr>
      <w:r>
        <w:rPr/>
        <w:t>按投标人综合得分从高到低顺序排列，确定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ind w:firstLine="480"/>
      </w:pPr>
      <w:r>
        <w:rPr/>
        <w:t>（最低评标价法适用）</w:t>
      </w:r>
    </w:p>
    <w:p>
      <w:pPr>
        <w:pStyle w:val="null3"/>
        <w:ind w:firstLine="480"/>
      </w:pPr>
      <w:r>
        <w:rPr/>
        <w:t>按投标人投标报价从低到高顺序排列，确定中标候选人。投标报价相同的，按投标人提供的优先采购产品认证证书数量由多到少顺序排列；投标报价且提供的优先采购产品认证证书数量相同的并列。投标文件满足招标文件全部实质性要求且投标报价最低的投标人为排名第一的中标候选人。</w:t>
      </w:r>
    </w:p>
    <w:p>
      <w:pPr>
        <w:pStyle w:val="null3"/>
        <w:jc w:val="left"/>
        <w:outlineLvl w:val="3"/>
      </w:pPr>
      <w:r>
        <w:rPr>
          <w:sz w:val="24"/>
          <w:b/>
        </w:rPr>
        <w:t>5.4.7 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五、评标结果，确定的中标候选人名单或者经采购人委托直接确定的中标供应商；</w:t>
      </w:r>
    </w:p>
    <w:p>
      <w:pPr>
        <w:pStyle w:val="null3"/>
        <w:ind w:firstLine="480"/>
      </w:pPr>
      <w:r>
        <w:rPr/>
        <w:t>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2"/>
      </w:pPr>
      <w:r>
        <w:rPr>
          <w:sz w:val="28"/>
          <w:b/>
        </w:rPr>
        <w:t>5.5 评标争议处理规则</w:t>
      </w:r>
    </w:p>
    <w:p>
      <w:pPr>
        <w:pStyle w:val="null3"/>
        <w:ind w:firstLine="480"/>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jc w:val="left"/>
        <w:outlineLvl w:val="2"/>
      </w:pPr>
      <w:r>
        <w:rPr>
          <w:sz w:val="28"/>
          <w:b/>
        </w:rPr>
        <w:t>5.6 评标细则及标准</w:t>
      </w:r>
    </w:p>
    <w:p>
      <w:pPr>
        <w:pStyle w:val="null3"/>
        <w:ind w:firstLine="480"/>
      </w:pPr>
      <w:r>
        <w:rPr/>
        <w:t>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二、评标委员会成员应依据招标文件规定的评分标准和方法独立评标。</w:t>
      </w:r>
    </w:p>
    <w:p>
      <w:pPr>
        <w:pStyle w:val="null3"/>
        <w:jc w:val="left"/>
        <w:outlineLvl w:val="3"/>
      </w:pPr>
      <w:r>
        <w:rPr>
          <w:sz w:val="24"/>
          <w:b/>
        </w:rPr>
        <w:t>5.6.1 评分办法</w:t>
      </w:r>
    </w:p>
    <w:p>
      <w:pPr>
        <w:pStyle w:val="null3"/>
        <w:ind w:firstLine="480"/>
      </w:pPr>
      <w:r>
        <w:rPr/>
        <w:t>（综合评分法适用）采用综合评分法的，由评标委员会各成员对通过资格检查和符合性审查的投标人的投标文件进行独立评标。</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jc w:val="left"/>
        <w:outlineLvl w:val="3"/>
      </w:pPr>
      <w:r>
        <w:rPr>
          <w:sz w:val="24"/>
          <w:b/>
        </w:rPr>
        <w:t>5.6.2 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技术部分50.0000分</w:t>
            </w:r>
          </w:p>
          <w:p>
            <w:pPr>
              <w:pStyle w:val="null3"/>
            </w:pPr>
            <w:r>
              <w:rPr/>
              <w:t>商务部分20.0000分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技术评审</w:t>
            </w:r>
          </w:p>
        </w:tc>
        <w:tc>
          <w:tcPr>
            <w:tcW w:type="dxa" w:w="1661"/>
          </w:tcPr>
          <w:p>
            <w:pPr>
              <w:pStyle w:val="null3"/>
            </w:pPr>
            <w:r>
              <w:rPr/>
              <w:t>项目需求分析及理解</w:t>
            </w:r>
          </w:p>
        </w:tc>
        <w:tc>
          <w:tcPr>
            <w:tcW w:type="dxa" w:w="2492"/>
          </w:tcPr>
          <w:p>
            <w:pPr>
              <w:pStyle w:val="null3"/>
            </w:pPr>
            <w:r>
              <w:rPr/>
              <w:t>根据供应商对本项目的理解和认知，从对服务区内外环境了解程度、防治对象（种类、习性及季节生长规律）、蚁害的熟悉程度进行分析，表述全面且方案完善有针对性、切实可行的计9分(每缺少一项方案要求的内容扣3分；每有一项方案要求的内容有描述不清、内容不详、针对性不强的，每处扣1.5分，扣完分为止)。 未提供方案不计分。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项目实施方案</w:t>
            </w:r>
          </w:p>
        </w:tc>
      </w:tr>
      <w:tr>
        <w:tc>
          <w:tcPr>
            <w:tcW w:type="dxa" w:w="831"/>
            <w:vMerge/>
          </w:tcPr>
          <w:p/>
        </w:tc>
        <w:tc>
          <w:tcPr>
            <w:tcW w:type="dxa" w:w="1661"/>
          </w:tcPr>
          <w:p>
            <w:pPr>
              <w:pStyle w:val="null3"/>
            </w:pPr>
            <w:r>
              <w:rPr/>
              <w:t>综合防治技术方案</w:t>
            </w:r>
          </w:p>
        </w:tc>
        <w:tc>
          <w:tcPr>
            <w:tcW w:type="dxa" w:w="2492"/>
          </w:tcPr>
          <w:p>
            <w:pPr>
              <w:pStyle w:val="null3"/>
            </w:pPr>
            <w:r>
              <w:rPr/>
              <w:t>根据供应商针对本项目综合防治技术方案，对防治措施、防治技术和方法、防治药物的搭配使用方案进行综合评审,表述全面且方案完善有针对性、切实可行的计12分(每缺少一项方案要求的内容扣4分；每有一项方案要求的内容有描述不清、内容不详、针对性不强的，每处扣2分，扣完为止)。 未提供方案不计分。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项目实施方案</w:t>
            </w:r>
          </w:p>
        </w:tc>
      </w:tr>
      <w:tr>
        <w:tc>
          <w:tcPr>
            <w:tcW w:type="dxa" w:w="831"/>
            <w:vMerge/>
          </w:tcPr>
          <w:p/>
        </w:tc>
        <w:tc>
          <w:tcPr>
            <w:tcW w:type="dxa" w:w="1661"/>
          </w:tcPr>
          <w:p>
            <w:pPr>
              <w:pStyle w:val="null3"/>
            </w:pPr>
            <w:r>
              <w:rPr/>
              <w:t>项目实施方案</w:t>
            </w:r>
          </w:p>
        </w:tc>
        <w:tc>
          <w:tcPr>
            <w:tcW w:type="dxa" w:w="2492"/>
          </w:tcPr>
          <w:p>
            <w:pPr>
              <w:pStyle w:val="null3"/>
            </w:pPr>
            <w:r>
              <w:rPr/>
              <w:t>根据供应商针对本项目实施方案内容完整，包括项目实施前期准备、项目组织实施（人员、器械及实施计划安排）、项目资料收集建档、项目配套管理制度进行综合评审,表述全面且方案完善有针对性、切实可行的计12分(每缺少一项方案要求的内容扣3分；每有一项方案要求的内容有描述不清、内容不详、针对性不强的，每处扣1.5分，扣完为止)。 未提供方案不计分。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项目实施方案</w:t>
            </w:r>
          </w:p>
        </w:tc>
      </w:tr>
      <w:tr>
        <w:tc>
          <w:tcPr>
            <w:tcW w:type="dxa" w:w="831"/>
            <w:vMerge/>
          </w:tcPr>
          <w:p/>
        </w:tc>
        <w:tc>
          <w:tcPr>
            <w:tcW w:type="dxa" w:w="1661"/>
          </w:tcPr>
          <w:p>
            <w:pPr>
              <w:pStyle w:val="null3"/>
            </w:pPr>
            <w:r>
              <w:rPr/>
              <w:t>管理预案及紧急情况处理方案</w:t>
            </w:r>
          </w:p>
        </w:tc>
        <w:tc>
          <w:tcPr>
            <w:tcW w:type="dxa" w:w="2492"/>
          </w:tcPr>
          <w:p>
            <w:pPr>
              <w:pStyle w:val="null3"/>
            </w:pPr>
            <w:r>
              <w:rPr/>
              <w:t>根据供应商提供各类紧急情况处理方案和管理预案进行综合评审，突发虫害危害处理、人员安全事故处理、药物污染事故处理等方面，表述全面且方案完善有针对性、切实可行的计9分(每缺少一项方案要求的内容扣3分；每有一项方案要求的内容有描述不清、内容不详、针对性不强的，每处扣1.5分，扣完为止)。 未提供方案不计分。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项目实施方案</w:t>
            </w:r>
          </w:p>
        </w:tc>
      </w:tr>
      <w:tr>
        <w:tc>
          <w:tcPr>
            <w:tcW w:type="dxa" w:w="831"/>
            <w:vMerge/>
          </w:tcPr>
          <w:p/>
        </w:tc>
        <w:tc>
          <w:tcPr>
            <w:tcW w:type="dxa" w:w="1661"/>
          </w:tcPr>
          <w:p>
            <w:pPr>
              <w:pStyle w:val="null3"/>
            </w:pPr>
            <w:r>
              <w:rPr/>
              <w:t>质量安全保障措施</w:t>
            </w:r>
          </w:p>
        </w:tc>
        <w:tc>
          <w:tcPr>
            <w:tcW w:type="dxa" w:w="2492"/>
          </w:tcPr>
          <w:p>
            <w:pPr>
              <w:pStyle w:val="null3"/>
            </w:pPr>
            <w:r>
              <w:rPr/>
              <w:t>根据供应商针对本项目质量安全保障体系和工作制度、后续服务承诺进行综合评审,表述全面且方案完善有针对性、切实可行的计8分(每缺少一项方案要求的内容扣4分；每有一项方案要求的内容有描述不清、内容不详、针对性不强的，每处扣2分，扣完为止)。 未提供方案不 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项目实施方案</w:t>
            </w:r>
          </w:p>
        </w:tc>
      </w:tr>
      <w:tr>
        <w:tc>
          <w:tcPr>
            <w:tcW w:type="dxa" w:w="831"/>
            <w:vMerge w:val="restart"/>
          </w:tcPr>
          <w:p>
            <w:pPr>
              <w:pStyle w:val="null3"/>
            </w:pPr>
            <w:r>
              <w:rPr/>
              <w:t>商务评审</w:t>
            </w:r>
          </w:p>
        </w:tc>
        <w:tc>
          <w:tcPr>
            <w:tcW w:type="dxa" w:w="1661"/>
          </w:tcPr>
          <w:p>
            <w:pPr>
              <w:pStyle w:val="null3"/>
            </w:pPr>
            <w:r>
              <w:rPr/>
              <w:t>类似业绩</w:t>
            </w:r>
          </w:p>
        </w:tc>
        <w:tc>
          <w:tcPr>
            <w:tcW w:type="dxa" w:w="2492"/>
          </w:tcPr>
          <w:p>
            <w:pPr>
              <w:pStyle w:val="null3"/>
            </w:pPr>
            <w:r>
              <w:rPr/>
              <w:t>根据供应商提供的2021年以来（合同签订时间）完成的类似项目业绩进行评分，每提供1个得2分，最高得8分。 注：提供中标通知书或者合同复印件，时间以甲方签订时间为准，未提供或者提供不齐全不计分。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类似业绩证明材料</w:t>
            </w:r>
          </w:p>
        </w:tc>
      </w:tr>
      <w:tr>
        <w:tc>
          <w:tcPr>
            <w:tcW w:type="dxa" w:w="831"/>
            <w:vMerge/>
          </w:tcPr>
          <w:p/>
        </w:tc>
        <w:tc>
          <w:tcPr>
            <w:tcW w:type="dxa" w:w="1661"/>
          </w:tcPr>
          <w:p>
            <w:pPr>
              <w:pStyle w:val="null3"/>
            </w:pPr>
            <w:r>
              <w:rPr/>
              <w:t>人员实力</w:t>
            </w:r>
          </w:p>
        </w:tc>
        <w:tc>
          <w:tcPr>
            <w:tcW w:type="dxa" w:w="2492"/>
          </w:tcPr>
          <w:p>
            <w:pPr>
              <w:pStyle w:val="null3"/>
            </w:pPr>
            <w:r>
              <w:rPr/>
              <w:t>供应商有害生物防治工作人员具有国家相关部门颁发的有害生物防制员高级资格证书的每个计3分，有害生物防制员中级资格证书每个记2分，资格初级资格证书每个记1分，本项满分为6分。 注：以上人员不重复计分，提供相关人员证书复印件及供应商为其缴纳的近三个月 (2024年1月到2024年6月内任意连续三个月) 的社保缴纳证明材料复印件并加盖投标单位公章，未提供或提供不齐全或不符合要求的不计分。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人员实力</w:t>
            </w:r>
          </w:p>
        </w:tc>
      </w:tr>
      <w:tr>
        <w:tc>
          <w:tcPr>
            <w:tcW w:type="dxa" w:w="831"/>
            <w:vMerge/>
          </w:tcPr>
          <w:p/>
        </w:tc>
        <w:tc>
          <w:tcPr>
            <w:tcW w:type="dxa" w:w="1661"/>
          </w:tcPr>
          <w:p>
            <w:pPr>
              <w:pStyle w:val="null3"/>
            </w:pPr>
            <w:r>
              <w:rPr/>
              <w:t>售后服务</w:t>
            </w:r>
          </w:p>
        </w:tc>
        <w:tc>
          <w:tcPr>
            <w:tcW w:type="dxa" w:w="2492"/>
          </w:tcPr>
          <w:p>
            <w:pPr>
              <w:pStyle w:val="null3"/>
            </w:pPr>
            <w:r>
              <w:rPr/>
              <w:t>根据供应商提供的针对本项目的售后服务方案进行综合评价，方案内容应至少包含：售前、售中和售后服务；服务响应时间及响应机制；售后相关问题解决方案；质保期满后延保方案。方案内容完整无缺项，投标人有专业团队负责售前、售中、售后服务和完整的售后服务计划，质保期及服务响应时间满足招标文件要求，提供了详细的售后相关问题解决方案，方案针对性强， 合理可行的，计6分，(每缺少一项方案要求的内容扣1.5分；每有一项方案要求的内容有描述不清、内容不详、针对性不强的，每处扣0.5分，扣完为止)。 未提供方案不计分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项目实施方案</w:t>
            </w:r>
          </w:p>
        </w:tc>
      </w:tr>
      <w:tr>
        <w:tc>
          <w:tcPr>
            <w:tcW w:type="dxa" w:w="831"/>
          </w:tcPr>
          <w:p>
            <w:pPr>
              <w:pStyle w:val="null3"/>
            </w:pPr>
            <w:r>
              <w:rPr/>
              <w:t>价格分</w:t>
            </w:r>
          </w:p>
        </w:tc>
        <w:tc>
          <w:tcPr>
            <w:tcW w:type="dxa" w:w="1661"/>
          </w:tcPr>
          <w:p>
            <w:pPr>
              <w:pStyle w:val="null3"/>
            </w:pPr>
            <w:r>
              <w:rPr/>
              <w:t>投标价格得分</w:t>
            </w:r>
          </w:p>
        </w:tc>
        <w:tc>
          <w:tcPr>
            <w:tcW w:type="dxa" w:w="2492"/>
          </w:tcPr>
          <w:p>
            <w:pPr>
              <w:pStyle w:val="null3"/>
            </w:pPr>
            <w:r>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分项报价明细表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jc w:val="left"/>
        <w:outlineLvl w:val="2"/>
      </w:pPr>
      <w:r>
        <w:rPr>
          <w:sz w:val="28"/>
          <w:b/>
        </w:rPr>
        <w:t>5.7 废标</w:t>
      </w:r>
    </w:p>
    <w:p>
      <w:pPr>
        <w:pStyle w:val="null3"/>
        <w:ind w:firstLine="480"/>
      </w:pPr>
      <w:r>
        <w:rPr/>
        <w:t>5.7.1 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 因重大变故，采购任务取消的；</w:t>
      </w:r>
    </w:p>
    <w:p>
      <w:pPr>
        <w:pStyle w:val="null3"/>
        <w:ind w:firstLine="480"/>
      </w:pPr>
      <w:r>
        <w:rPr/>
        <w:t>五、提供相同品牌产品的不同投标人参加同一合同项下投标的，按一家投标人计算。提供不同品牌产品的投标人不足三家的（多家投标人提供的核心产品品牌相同的，视为相同品牌）；</w:t>
      </w:r>
    </w:p>
    <w:p>
      <w:pPr>
        <w:pStyle w:val="null3"/>
        <w:ind w:firstLine="480"/>
      </w:pPr>
      <w:r>
        <w:rPr/>
        <w:t>废标后，采购人或代理机构将在长沙市政府采购网上公告，重新组织采购活动或取消采购任务，或者经主管部门批准，采取其他方式组织采购。对于评标过程中废标的采购项目，评标委员会应当对招标文件是否存在倾向性和歧视性、是否存在不合理条款进行论证，并出具书面论证意见。</w:t>
      </w:r>
    </w:p>
    <w:p>
      <w:pPr>
        <w:pStyle w:val="null3"/>
        <w:ind w:firstLine="480"/>
        <w:jc w:val="left"/>
      </w:pPr>
      <w:r>
        <w:rPr/>
        <w:t>5.7.2出现以下情形，导致项目电子交易系统无法正常运行，或者无法保证电子交易的公平、公正和安全时，采购人或代理机构可中止电子交易活动：</w:t>
      </w:r>
    </w:p>
    <w:p>
      <w:pPr>
        <w:pStyle w:val="null3"/>
        <w:ind w:firstLine="480"/>
        <w:jc w:val="left"/>
      </w:pPr>
      <w:r>
        <w:rPr/>
        <w:t>（1）项目电子交易系统发生故障而无法登录访问的；</w:t>
      </w:r>
    </w:p>
    <w:p>
      <w:pPr>
        <w:pStyle w:val="null3"/>
        <w:ind w:firstLine="480"/>
        <w:jc w:val="left"/>
      </w:pPr>
      <w:r>
        <w:rPr/>
        <w:t>（2）项目电子交易系统应用或数据库出现错误，不能进行正常操作的；</w:t>
      </w:r>
    </w:p>
    <w:p>
      <w:pPr>
        <w:pStyle w:val="null3"/>
        <w:ind w:firstLine="480"/>
        <w:jc w:val="left"/>
      </w:pPr>
      <w:r>
        <w:rPr/>
        <w:t>（3）项目电子交易系统发现严重安全漏洞，有潜在泄密危险的；</w:t>
      </w:r>
    </w:p>
    <w:p>
      <w:pPr>
        <w:pStyle w:val="null3"/>
        <w:ind w:firstLine="480"/>
        <w:jc w:val="left"/>
      </w:pPr>
      <w:r>
        <w:rPr/>
        <w:t>（4）项目电子交易系统病毒发作导致不能进行正常操作的；</w:t>
      </w:r>
    </w:p>
    <w:p>
      <w:pPr>
        <w:pStyle w:val="null3"/>
        <w:ind w:firstLine="480"/>
        <w:jc w:val="left"/>
      </w:pPr>
      <w:r>
        <w:rPr/>
        <w:t>（5）其他无法保证电子交易的公平、公正和安全的情况。</w:t>
      </w:r>
    </w:p>
    <w:p>
      <w:pPr>
        <w:pStyle w:val="null3"/>
        <w:ind w:firstLine="480"/>
        <w:jc w:val="left"/>
      </w:pPr>
      <w:r>
        <w:rPr/>
        <w:t>出现前款规定情形，不影响采购公平、公正性的，采购组织机构可以待上述情形消除后继续组织电子交易活动，也可以决定某些环节以纸质形式进行；影响或可能影响采购公平、公正性的，应当重新采购。</w:t>
      </w:r>
    </w:p>
    <w:p>
      <w:pPr>
        <w:pStyle w:val="null3"/>
        <w:outlineLvl w:val="2"/>
      </w:pPr>
      <w:r>
        <w:rPr>
          <w:sz w:val="28"/>
          <w:b/>
        </w:rPr>
        <w:t>5.8 停止评标</w:t>
      </w:r>
    </w:p>
    <w:p>
      <w:pPr>
        <w:pStyle w:val="null3"/>
        <w:ind w:firstLine="480"/>
      </w:pPr>
      <w:r>
        <w:rPr/>
        <w:t>评标委员会发现招标文件存在歧义、重大缺陷导致评标工作无法进行，或者招标文件内容违反国家有关强制性规定的，应当停止评标工作，与采购人、代理机构沟通并作书面记录。采购人、代理机构确认后，应当修改招标文件，重新组织采购活动。</w:t>
      </w:r>
    </w:p>
    <w:p>
      <w:pPr>
        <w:pStyle w:val="null3"/>
        <w:jc w:val="left"/>
        <w:outlineLvl w:val="2"/>
      </w:pPr>
      <w:r>
        <w:rPr>
          <w:sz w:val="28"/>
          <w:b/>
        </w:rPr>
        <w:t>5.9 定标</w:t>
      </w:r>
    </w:p>
    <w:p>
      <w:pPr>
        <w:pStyle w:val="null3"/>
        <w:jc w:val="left"/>
        <w:outlineLvl w:val="3"/>
      </w:pPr>
      <w:r>
        <w:rPr>
          <w:sz w:val="24"/>
          <w:b/>
        </w:rPr>
        <w:t>一、 定标原则</w:t>
      </w:r>
    </w:p>
    <w:p>
      <w:pPr>
        <w:pStyle w:val="null3"/>
      </w:pPr>
      <w:r>
        <w:rPr/>
        <w:t>采购人在评标报告确定的中标候选人名单中按顺序确定1名中标供应商。中标候选人并列的，由采购人采取随机抽取的方式确定中标供应商。</w:t>
      </w:r>
    </w:p>
    <w:p>
      <w:pPr>
        <w:pStyle w:val="null3"/>
        <w:outlineLvl w:val="3"/>
      </w:pPr>
      <w:r>
        <w:rPr>
          <w:sz w:val="24"/>
          <w:b/>
        </w:rPr>
        <w:t>二 、 定标程序</w:t>
      </w:r>
    </w:p>
    <w:p>
      <w:pPr>
        <w:pStyle w:val="null3"/>
      </w:pPr>
      <w:r>
        <w:rPr/>
        <w:t>1、评标委员会在项目电子化交易系统中编制评标情况，生成评标报告。</w:t>
      </w:r>
    </w:p>
    <w:p>
      <w:pPr>
        <w:pStyle w:val="null3"/>
      </w:pPr>
      <w:r>
        <w:rPr/>
        <w:t>2、代理机构在评标结束之日起2个工作日内将评标报告送采购人。</w:t>
      </w:r>
    </w:p>
    <w:p>
      <w:pPr>
        <w:pStyle w:val="null3"/>
      </w:pPr>
      <w:r>
        <w:rPr/>
        <w:t>3、采购人在收到评标报告后5个工作日内，按照评标报告中推荐的中标候选人顺序确定中标供应商。逾期未确认的，又不能说明合法理由的，视同按评标报告推荐的顺序确定排名第一的中标候选人为中标供应商。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4、根据确定的中标供应商，代理机构在长沙政府采购网上发布中标结果公告，通过项目电子化交易系统向中标供应商发出中标通知书。</w:t>
      </w:r>
    </w:p>
    <w:p>
      <w:pPr>
        <w:pStyle w:val="null3"/>
        <w:jc w:val="left"/>
        <w:outlineLvl w:val="3"/>
      </w:pPr>
      <w:r>
        <w:rPr>
          <w:sz w:val="24"/>
          <w:b/>
        </w:rPr>
        <w:t>5.10 重新组建评标委员会进行评标</w:t>
      </w:r>
    </w:p>
    <w:p>
      <w:pPr>
        <w:pStyle w:val="null3"/>
        <w:ind w:firstLine="480"/>
      </w:pPr>
      <w:r>
        <w:rPr/>
        <w:t>评标委员会或者其成员存在下列情形导致评标结果无效的，采购人、代理机构可以重新组建评标委员会进行评标，并书面报告同级财政部门，但政府采购合同已经履行的除外：</w:t>
      </w:r>
    </w:p>
    <w:p>
      <w:pPr>
        <w:pStyle w:val="null3"/>
        <w:ind w:firstLine="480"/>
      </w:pPr>
      <w:r>
        <w:rPr/>
        <w:t>（1）评标委员会组成不符合《政府采购货物和服务招标投标管理办法》规定的；</w:t>
      </w:r>
    </w:p>
    <w:p>
      <w:pPr>
        <w:pStyle w:val="null3"/>
        <w:ind w:firstLine="480"/>
      </w:pPr>
      <w:r>
        <w:rPr/>
        <w:t>（2）有《政府采购货物和服务招标投标管理办法》第六十二条第一至五项情形的；</w:t>
      </w:r>
    </w:p>
    <w:p>
      <w:pPr>
        <w:pStyle w:val="null3"/>
        <w:ind w:firstLine="480"/>
      </w:pPr>
      <w:r>
        <w:rPr/>
        <w:t>（3）评标委员会及其成员独立评标受到非法干预的；</w:t>
      </w:r>
    </w:p>
    <w:p>
      <w:pPr>
        <w:pStyle w:val="null3"/>
        <w:ind w:firstLine="480"/>
      </w:pPr>
      <w:r>
        <w:rPr/>
        <w:t>（4）有政府采购法实施条例第七十五条规定的违法行为的。</w:t>
      </w:r>
    </w:p>
    <w:p>
      <w:pPr>
        <w:pStyle w:val="null3"/>
        <w:ind w:firstLine="480"/>
      </w:pPr>
      <w:r>
        <w:rPr/>
        <w:t>有违法违规行为的原评标委员会成员不得参加重新组建的评标委员会。</w:t>
      </w:r>
    </w:p>
    <w:p>
      <w:pPr>
        <w:pStyle w:val="null3"/>
      </w:pPr>
      <w:r>
        <w:rPr/>
        <w:t xml:space="preserve"> </w:t>
        <w:br/>
        <w:br w:type="page"/>
      </w:r>
    </w:p>
    <w:p>
      <w:pPr>
        <w:pStyle w:val="null3"/>
        <w:jc w:val="center"/>
        <w:outlineLvl w:val="1"/>
      </w:pPr>
      <w:r>
        <w:rPr>
          <w:sz w:val="36"/>
          <w:b/>
        </w:rPr>
        <w:t>第六章 投标文件格式</w:t>
      </w:r>
    </w:p>
    <w:p>
      <w:pPr>
        <w:pStyle w:val="null3"/>
        <w:jc w:val="left"/>
      </w:pPr>
      <w:r>
        <w:rPr/>
        <w:t>采购包1：</w:t>
      </w:r>
    </w:p>
    <w:p>
      <w:pPr>
        <w:pStyle w:val="null3"/>
      </w:pPr>
      <w:r>
        <w:rPr/>
        <w:t>分册名称：投标响应文件分册</w:t>
      </w:r>
    </w:p>
    <w:p>
      <w:pPr>
        <w:pStyle w:val="null3"/>
        <w:ind w:firstLine="960"/>
      </w:pPr>
      <w:r>
        <w:rPr/>
        <w:t>详见附件：投标文件封面格式</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详见附件：产品技术参数响应表</w:t>
      </w:r>
    </w:p>
    <w:p>
      <w:pPr>
        <w:pStyle w:val="null3"/>
        <w:ind w:firstLine="960"/>
      </w:pPr>
      <w:r>
        <w:rPr/>
        <w:t>详见附件：商务应答表</w:t>
      </w:r>
    </w:p>
    <w:p>
      <w:pPr>
        <w:pStyle w:val="null3"/>
        <w:ind w:firstLine="960"/>
      </w:pPr>
      <w:r>
        <w:rPr/>
        <w:t>详见附件：项目实施方案</w:t>
      </w:r>
    </w:p>
    <w:p>
      <w:pPr>
        <w:pStyle w:val="null3"/>
        <w:ind w:firstLine="960"/>
      </w:pPr>
      <w:r>
        <w:rPr/>
        <w:t>详见附件：开标一览表</w:t>
      </w:r>
    </w:p>
    <w:p>
      <w:pPr>
        <w:pStyle w:val="null3"/>
        <w:ind w:firstLine="960"/>
      </w:pPr>
      <w:r>
        <w:rPr/>
        <w:t>详见附件：分项报价明细表</w:t>
      </w:r>
    </w:p>
    <w:p>
      <w:pPr>
        <w:pStyle w:val="null3"/>
        <w:ind w:firstLine="960"/>
      </w:pPr>
      <w:r>
        <w:rPr/>
        <w:t>详见附件：其他相关证明材料</w:t>
      </w:r>
    </w:p>
    <w:p>
      <w:pPr>
        <w:pStyle w:val="null3"/>
        <w:ind w:firstLine="960"/>
      </w:pPr>
      <w:r>
        <w:rPr/>
        <w:t>详见附件：类似业绩证明材料</w:t>
      </w:r>
    </w:p>
    <w:p>
      <w:pPr>
        <w:pStyle w:val="null3"/>
        <w:ind w:firstLine="960"/>
      </w:pPr>
      <w:r>
        <w:rPr/>
        <w:t>详见附件：人员实力</w:t>
      </w:r>
    </w:p>
    <w:p>
      <w:pPr>
        <w:pStyle w:val="null3"/>
      </w:pPr>
      <w:r>
        <w:rPr/>
        <w:t xml:space="preserve"> </w:t>
        <w:br/>
        <w:br w:type="page"/>
      </w:r>
    </w:p>
    <w:p>
      <w:pPr>
        <w:pStyle w:val="null3"/>
        <w:jc w:val="center"/>
        <w:outlineLvl w:val="1"/>
      </w:pPr>
      <w:r>
        <w:rPr>
          <w:sz w:val="36"/>
          <w:b/>
        </w:rPr>
        <w:t>第七章质疑、投诉文本</w:t>
      </w:r>
    </w:p>
    <w:p>
      <w:pPr>
        <w:pStyle w:val="null3"/>
        <w:jc w:val="left"/>
        <w:outlineLvl w:val="2"/>
      </w:pPr>
      <w:r>
        <w:rPr>
          <w:sz w:val="28"/>
          <w:b/>
        </w:rPr>
        <w:t>附件一：质疑函范本下载地址：</w:t>
      </w:r>
    </w:p>
    <w:p>
      <w:pPr>
        <w:pStyle w:val="null3"/>
        <w:ind w:firstLine="480"/>
        <w:jc w:val="left"/>
      </w:pPr>
      <w:r>
        <w:rPr/>
        <w:t>http://download.ccgp.gov.cn/2018/zhiyihanfanben.zip</w:t>
      </w:r>
    </w:p>
    <w:p>
      <w:pPr>
        <w:pStyle w:val="null3"/>
        <w:jc w:val="left"/>
        <w:outlineLvl w:val="2"/>
      </w:pPr>
      <w:r>
        <w:rPr>
          <w:sz w:val="28"/>
          <w:b/>
        </w:rPr>
        <w:t>附件二：投诉书范本下载地址：</w:t>
      </w:r>
    </w:p>
    <w:p>
      <w:pPr>
        <w:pStyle w:val="null3"/>
        <w:ind w:firstLine="480"/>
        <w:jc w:val="left"/>
      </w:pPr>
      <w:r>
        <w:rPr/>
        <w:t>http://download.ccgp.gov.cn/2018/tousushufanben.zip</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