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5A" w:rsidRDefault="00531A18" w:rsidP="00746A1D">
      <w:pPr>
        <w:ind w:firstLineChars="450" w:firstLine="2708"/>
        <w:rPr>
          <w:rFonts w:ascii="宋体" w:eastAsia="宋体" w:hAnsi="宋体" w:cs="宋体"/>
          <w:sz w:val="32"/>
          <w:szCs w:val="20"/>
        </w:rPr>
      </w:pPr>
      <w:r>
        <w:rPr>
          <w:rFonts w:ascii="宋体" w:eastAsia="宋体" w:hAnsi="宋体" w:cs="宋体" w:hint="eastAsia"/>
          <w:b/>
          <w:bCs/>
          <w:spacing w:val="80"/>
          <w:sz w:val="44"/>
          <w:szCs w:val="44"/>
        </w:rPr>
        <w:t>项目需求</w:t>
      </w:r>
    </w:p>
    <w:p w:rsidR="003C115A" w:rsidRDefault="00746A1D" w:rsidP="00746A1D">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u w:val="single"/>
        </w:rPr>
        <w:t>南明区贵惠路小学</w:t>
      </w:r>
      <w:r w:rsidR="00531A18">
        <w:rPr>
          <w:rFonts w:ascii="仿宋" w:eastAsia="仿宋" w:hAnsi="仿宋" w:cs="仿宋" w:hint="eastAsia"/>
          <w:sz w:val="32"/>
          <w:szCs w:val="32"/>
        </w:rPr>
        <w:t>对</w:t>
      </w:r>
      <w:r w:rsidR="00531A18">
        <w:rPr>
          <w:rFonts w:ascii="仿宋" w:eastAsia="仿宋" w:hAnsi="仿宋" w:cs="仿宋" w:hint="eastAsia"/>
          <w:sz w:val="32"/>
          <w:szCs w:val="32"/>
          <w:u w:val="single"/>
        </w:rPr>
        <w:t>病媒生物防制</w:t>
      </w:r>
      <w:r w:rsidR="005A4E3B">
        <w:rPr>
          <w:rFonts w:ascii="仿宋" w:eastAsia="仿宋" w:hAnsi="仿宋" w:cs="仿宋" w:hint="eastAsia"/>
          <w:sz w:val="32"/>
          <w:szCs w:val="32"/>
          <w:u w:val="single"/>
        </w:rPr>
        <w:t>及环境消毒</w:t>
      </w:r>
      <w:r w:rsidR="00531A18">
        <w:rPr>
          <w:rFonts w:ascii="仿宋" w:eastAsia="仿宋" w:hAnsi="仿宋" w:cs="仿宋" w:hint="eastAsia"/>
          <w:sz w:val="32"/>
          <w:szCs w:val="32"/>
          <w:u w:val="single"/>
        </w:rPr>
        <w:t>项目</w:t>
      </w:r>
      <w:r w:rsidR="00531A18">
        <w:rPr>
          <w:rFonts w:ascii="仿宋" w:eastAsia="仿宋" w:hAnsi="仿宋" w:cs="仿宋" w:hint="eastAsia"/>
          <w:sz w:val="32"/>
          <w:szCs w:val="32"/>
        </w:rPr>
        <w:t>进行竞价采购，服务期限1年。</w:t>
      </w:r>
    </w:p>
    <w:p w:rsidR="003C115A" w:rsidRDefault="00531A18">
      <w:pPr>
        <w:pStyle w:val="3"/>
        <w:widowControl/>
        <w:spacing w:before="0" w:after="0" w:line="400" w:lineRule="exact"/>
        <w:rPr>
          <w:rFonts w:ascii="仿宋" w:eastAsia="仿宋" w:hAnsi="仿宋" w:cs="仿宋"/>
        </w:rPr>
      </w:pPr>
      <w:bookmarkStart w:id="0" w:name="_Toc124414861"/>
      <w:bookmarkStart w:id="1" w:name="_Toc373860293"/>
      <w:bookmarkStart w:id="2" w:name="_Toc317775178"/>
      <w:r>
        <w:rPr>
          <w:rFonts w:ascii="仿宋" w:eastAsia="仿宋" w:hAnsi="仿宋" w:cs="仿宋" w:hint="eastAsia"/>
        </w:rPr>
        <w:t>一、资格条件</w:t>
      </w:r>
      <w:bookmarkEnd w:id="0"/>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参与采购活动的竞选人需满足以下条件：</w:t>
      </w:r>
    </w:p>
    <w:p w:rsidR="003C115A" w:rsidRDefault="00531A18">
      <w:pPr>
        <w:tabs>
          <w:tab w:val="center" w:pos="4706"/>
        </w:tabs>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（一）基本资格条件</w:t>
      </w:r>
    </w:p>
    <w:p w:rsidR="003C115A" w:rsidRDefault="00531A18">
      <w:pPr>
        <w:tabs>
          <w:tab w:val="center" w:pos="4706"/>
        </w:tabs>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1、具有独立承担民事责任的能力；</w:t>
      </w:r>
    </w:p>
    <w:p w:rsidR="003C115A" w:rsidRDefault="00531A18">
      <w:pPr>
        <w:tabs>
          <w:tab w:val="center" w:pos="4706"/>
        </w:tabs>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2、具有良好的商业信誉和健全的财务会计制度；</w:t>
      </w:r>
    </w:p>
    <w:p w:rsidR="003C115A" w:rsidRDefault="00531A18">
      <w:pPr>
        <w:tabs>
          <w:tab w:val="center" w:pos="4706"/>
        </w:tabs>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3、具有履行合同所必需的设备和专业技术能力；</w:t>
      </w:r>
    </w:p>
    <w:p w:rsidR="003C115A" w:rsidRDefault="00531A18">
      <w:pPr>
        <w:tabs>
          <w:tab w:val="center" w:pos="4706"/>
        </w:tabs>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4、有依法缴纳税收和社会保障资金的良好记录；</w:t>
      </w:r>
    </w:p>
    <w:p w:rsidR="003C115A" w:rsidRDefault="00531A18">
      <w:pPr>
        <w:tabs>
          <w:tab w:val="center" w:pos="4706"/>
        </w:tabs>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5、参加政府采购活动前三年内，在经营活动中没有重大违法记录；</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6、法律、行政法规规定的其他条件。</w:t>
      </w:r>
    </w:p>
    <w:p w:rsidR="003C115A" w:rsidRDefault="00531A18">
      <w:pPr>
        <w:tabs>
          <w:tab w:val="left" w:pos="1400"/>
        </w:tabs>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（二）特定资格条件</w:t>
      </w:r>
    </w:p>
    <w:p w:rsidR="003C115A" w:rsidRDefault="00C7198D">
      <w:pPr>
        <w:spacing w:line="400" w:lineRule="exact"/>
        <w:ind w:firstLineChars="200" w:firstLine="640"/>
        <w:rPr>
          <w:rFonts w:ascii="仿宋" w:eastAsia="仿宋" w:hAnsi="仿宋" w:cs="仿宋"/>
          <w:sz w:val="32"/>
          <w:szCs w:val="32"/>
        </w:rPr>
      </w:pPr>
      <w:bookmarkStart w:id="3" w:name="_Toc124414862"/>
      <w:r>
        <w:rPr>
          <w:rFonts w:ascii="仿宋" w:eastAsia="仿宋" w:hAnsi="仿宋" w:cs="仿宋" w:hint="eastAsia"/>
          <w:sz w:val="32"/>
          <w:szCs w:val="32"/>
        </w:rPr>
        <w:t>无</w:t>
      </w:r>
    </w:p>
    <w:p w:rsidR="003C115A" w:rsidRDefault="00531A18">
      <w:pPr>
        <w:pStyle w:val="2"/>
        <w:adjustRightInd w:val="0"/>
        <w:snapToGrid w:val="0"/>
        <w:spacing w:before="0" w:after="0" w:line="400" w:lineRule="exact"/>
        <w:rPr>
          <w:rFonts w:ascii="仿宋" w:eastAsia="仿宋" w:hAnsi="仿宋" w:cs="仿宋"/>
          <w:bCs/>
          <w:szCs w:val="32"/>
        </w:rPr>
      </w:pPr>
      <w:bookmarkStart w:id="4" w:name="_Toc124414865"/>
      <w:bookmarkEnd w:id="1"/>
      <w:bookmarkEnd w:id="2"/>
      <w:bookmarkEnd w:id="3"/>
      <w:r>
        <w:rPr>
          <w:rFonts w:ascii="仿宋" w:eastAsia="仿宋" w:hAnsi="仿宋" w:cs="仿宋" w:hint="eastAsia"/>
          <w:szCs w:val="32"/>
        </w:rPr>
        <w:t>二、</w:t>
      </w:r>
      <w:r>
        <w:rPr>
          <w:rFonts w:ascii="仿宋" w:eastAsia="仿宋" w:hAnsi="仿宋" w:cs="仿宋" w:hint="eastAsia"/>
          <w:bCs/>
          <w:szCs w:val="32"/>
        </w:rPr>
        <w:t>现场踏勘</w:t>
      </w:r>
    </w:p>
    <w:p w:rsidR="003C115A" w:rsidRDefault="00531A18">
      <w:pPr>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为保证项目顺利实施，潜在投标人可以对采购人情况进行充分了解，可以自行进行实地踏勘，并在遵守采购人制度要求的前提下进行。无论潜在投标人踏勘与否，均视为在响应截止时间之前踏勘过现场且对本项目潜在的风险和义务已完全了解，并在其响应文件中已充分考虑了本项目可能面临的不确定因素可能导致的风险。成交后，中标人提出的因对现场情况不了解或市场价格波动等理由需额外增加费用等要求将被采购人拒绝接受。</w:t>
      </w:r>
    </w:p>
    <w:p w:rsidR="003C115A" w:rsidRDefault="003C115A">
      <w:pPr>
        <w:rPr>
          <w:rFonts w:ascii="仿宋" w:eastAsia="仿宋" w:hAnsi="仿宋" w:cs="仿宋"/>
          <w:b/>
          <w:bCs/>
          <w:sz w:val="32"/>
          <w:szCs w:val="32"/>
        </w:rPr>
      </w:pPr>
      <w:bookmarkStart w:id="5" w:name="_Toc12789058"/>
      <w:bookmarkStart w:id="6" w:name="_Toc124414867"/>
      <w:bookmarkEnd w:id="4"/>
    </w:p>
    <w:p w:rsidR="003C115A" w:rsidRDefault="00531A18">
      <w:pPr>
        <w:spacing w:line="4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三、服务内容：</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服务内容：投标人需对</w:t>
      </w:r>
      <w:r w:rsidR="00746A1D">
        <w:rPr>
          <w:rFonts w:ascii="仿宋" w:eastAsia="仿宋" w:hAnsi="仿宋" w:cs="仿宋" w:hint="eastAsia"/>
          <w:sz w:val="32"/>
          <w:szCs w:val="32"/>
        </w:rPr>
        <w:t>贵惠路小学</w:t>
      </w:r>
      <w:r>
        <w:rPr>
          <w:rFonts w:ascii="仿宋" w:eastAsia="仿宋" w:hAnsi="仿宋" w:cs="仿宋" w:hint="eastAsia"/>
          <w:sz w:val="32"/>
          <w:szCs w:val="32"/>
        </w:rPr>
        <w:t>范围内的蚊、蝇、鼠、蟑螂</w:t>
      </w:r>
      <w:r w:rsidR="005A4E3B">
        <w:rPr>
          <w:rFonts w:ascii="仿宋" w:eastAsia="仿宋" w:hAnsi="仿宋" w:cs="仿宋" w:hint="eastAsia"/>
          <w:sz w:val="32"/>
          <w:szCs w:val="32"/>
        </w:rPr>
        <w:t>、环境消毒</w:t>
      </w:r>
      <w:r>
        <w:rPr>
          <w:rFonts w:ascii="仿宋" w:eastAsia="仿宋" w:hAnsi="仿宋" w:cs="仿宋" w:hint="eastAsia"/>
          <w:sz w:val="32"/>
          <w:szCs w:val="32"/>
        </w:rPr>
        <w:t>等有害生物进行消杀灭服务。服务频次：每</w:t>
      </w:r>
      <w:r w:rsidR="00746A1D">
        <w:rPr>
          <w:rFonts w:ascii="仿宋" w:eastAsia="仿宋" w:hAnsi="仿宋" w:cs="仿宋" w:hint="eastAsia"/>
          <w:sz w:val="32"/>
          <w:szCs w:val="32"/>
        </w:rPr>
        <w:t>周</w:t>
      </w:r>
      <w:r>
        <w:rPr>
          <w:rFonts w:ascii="仿宋" w:eastAsia="仿宋" w:hAnsi="仿宋" w:cs="仿宋" w:hint="eastAsia"/>
          <w:sz w:val="32"/>
          <w:szCs w:val="32"/>
        </w:rPr>
        <w:t>至少</w:t>
      </w:r>
      <w:r w:rsidR="00C7198D">
        <w:rPr>
          <w:rFonts w:ascii="仿宋" w:eastAsia="仿宋" w:hAnsi="仿宋" w:cs="仿宋" w:hint="eastAsia"/>
          <w:sz w:val="32"/>
          <w:szCs w:val="32"/>
        </w:rPr>
        <w:t>1</w:t>
      </w:r>
      <w:r>
        <w:rPr>
          <w:rFonts w:ascii="仿宋" w:eastAsia="仿宋" w:hAnsi="仿宋" w:cs="仿宋" w:hint="eastAsia"/>
          <w:sz w:val="32"/>
          <w:szCs w:val="32"/>
        </w:rPr>
        <w:t>次。</w:t>
      </w:r>
    </w:p>
    <w:p w:rsidR="003C115A" w:rsidRDefault="00531A18">
      <w:pPr>
        <w:spacing w:line="4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四、服务要求</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 安全用药、环保理念。承诺所用药品符合国家相关法律法规，高效、低毒、低残留，对环境污染极小，对人无损害。灭鼠药采用国家爱卫办指定的第二代慢性抗凝血剂灭</w:t>
      </w:r>
      <w:r>
        <w:rPr>
          <w:rFonts w:ascii="仿宋" w:eastAsia="仿宋" w:hAnsi="仿宋" w:cs="仿宋" w:hint="eastAsia"/>
          <w:sz w:val="32"/>
          <w:szCs w:val="32"/>
        </w:rPr>
        <w:lastRenderedPageBreak/>
        <w:t>鼠药(溴敌隆、溴鼠灵)，坚决抵制急性鼠药。各种杀虫药剂均为高效、低毒，无味无污染无腐蚀的卫生杀虫剂，对人及哺乳动物安全。在施药过程中重视环保，采取各种措施最大限度地减少对环境的污染。</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2.文明施工，规范服务。工作的施工技术人员必须穿工作服，戴工作牌，做到礼仪、文明，在投药过程中做到安全、文明、美观、高效等要求，保质保量的完成灭鼠杀虫工作。对外环境明显场所的必须投药处，设立毒饵盒，并贴醒目、美观的标识。对所有设施严加爱惜，如有损坏造价赔偿。</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3. 及时响应，热情周到。在合同服务期内按时对防治对象进行检查施药，定期巡查，巩固效果，把防治对象的危害程度维持在达标水平。如遇上级检查、验收或突发性的有害生物危害，在接到通知后4小时内派技术人员到场进行处理。</w:t>
      </w:r>
    </w:p>
    <w:p w:rsidR="003C115A" w:rsidRDefault="00531A18">
      <w:pPr>
        <w:spacing w:line="4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五、药物及施药要求</w:t>
      </w:r>
    </w:p>
    <w:p w:rsidR="003C115A" w:rsidRDefault="00531A18">
      <w:pPr>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 灭鼠药及其它防制设施设备、消杀药剂、毒饵盒等全部由成交供应商提供，成交供应商提供的所有产品必须符合国家的相关法律法规。</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2.本项目推荐以下消杀药品，其主要技术参数及要求为：</w:t>
      </w:r>
    </w:p>
    <w:tbl>
      <w:tblPr>
        <w:tblW w:w="90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2076"/>
        <w:gridCol w:w="5528"/>
      </w:tblGrid>
      <w:tr w:rsidR="003C115A">
        <w:trPr>
          <w:trHeight w:val="378"/>
        </w:trPr>
        <w:tc>
          <w:tcPr>
            <w:tcW w:w="1439" w:type="dxa"/>
          </w:tcPr>
          <w:p w:rsidR="003C115A" w:rsidRDefault="00531A18">
            <w:pPr>
              <w:spacing w:line="400" w:lineRule="exact"/>
              <w:jc w:val="center"/>
              <w:rPr>
                <w:rFonts w:ascii="仿宋" w:eastAsia="仿宋" w:hAnsi="仿宋" w:cs="仿宋"/>
                <w:sz w:val="32"/>
                <w:szCs w:val="32"/>
              </w:rPr>
            </w:pPr>
            <w:r>
              <w:rPr>
                <w:rFonts w:ascii="仿宋" w:eastAsia="仿宋" w:hAnsi="仿宋" w:cs="仿宋" w:hint="eastAsia"/>
                <w:sz w:val="32"/>
                <w:szCs w:val="32"/>
              </w:rPr>
              <w:t>防治对象</w:t>
            </w:r>
          </w:p>
        </w:tc>
        <w:tc>
          <w:tcPr>
            <w:tcW w:w="2076" w:type="dxa"/>
            <w:tcBorders>
              <w:right w:val="single" w:sz="4" w:space="0" w:color="auto"/>
            </w:tcBorders>
          </w:tcPr>
          <w:p w:rsidR="003C115A" w:rsidRDefault="00531A18">
            <w:pPr>
              <w:spacing w:line="400" w:lineRule="exact"/>
              <w:jc w:val="center"/>
              <w:rPr>
                <w:rFonts w:ascii="仿宋" w:eastAsia="仿宋" w:hAnsi="仿宋" w:cs="仿宋"/>
                <w:sz w:val="32"/>
                <w:szCs w:val="32"/>
              </w:rPr>
            </w:pPr>
            <w:r>
              <w:rPr>
                <w:rFonts w:ascii="仿宋" w:eastAsia="仿宋" w:hAnsi="仿宋" w:cs="仿宋" w:hint="eastAsia"/>
                <w:sz w:val="32"/>
                <w:szCs w:val="32"/>
              </w:rPr>
              <w:t>药品名称</w:t>
            </w:r>
          </w:p>
        </w:tc>
        <w:tc>
          <w:tcPr>
            <w:tcW w:w="5528" w:type="dxa"/>
            <w:tcBorders>
              <w:left w:val="single" w:sz="4" w:space="0" w:color="auto"/>
            </w:tcBorders>
          </w:tcPr>
          <w:p w:rsidR="003C115A" w:rsidRDefault="00531A18">
            <w:pPr>
              <w:spacing w:line="400" w:lineRule="exact"/>
              <w:jc w:val="center"/>
              <w:rPr>
                <w:rFonts w:ascii="仿宋" w:eastAsia="仿宋" w:hAnsi="仿宋" w:cs="仿宋"/>
                <w:sz w:val="32"/>
                <w:szCs w:val="32"/>
              </w:rPr>
            </w:pPr>
            <w:r>
              <w:rPr>
                <w:rFonts w:ascii="仿宋" w:eastAsia="仿宋" w:hAnsi="仿宋" w:cs="仿宋" w:hint="eastAsia"/>
                <w:sz w:val="32"/>
                <w:szCs w:val="32"/>
              </w:rPr>
              <w:t>参数及要求</w:t>
            </w:r>
          </w:p>
        </w:tc>
      </w:tr>
      <w:tr w:rsidR="003C115A">
        <w:trPr>
          <w:trHeight w:val="425"/>
        </w:trPr>
        <w:tc>
          <w:tcPr>
            <w:tcW w:w="1439" w:type="dxa"/>
            <w:vAlign w:val="center"/>
          </w:tcPr>
          <w:p w:rsidR="003C115A" w:rsidRDefault="00531A18">
            <w:pPr>
              <w:spacing w:line="400" w:lineRule="exact"/>
              <w:jc w:val="center"/>
              <w:rPr>
                <w:rFonts w:ascii="仿宋" w:eastAsia="仿宋" w:hAnsi="仿宋" w:cs="仿宋"/>
                <w:sz w:val="32"/>
                <w:szCs w:val="32"/>
              </w:rPr>
            </w:pPr>
            <w:r>
              <w:rPr>
                <w:rFonts w:ascii="仿宋" w:eastAsia="仿宋" w:hAnsi="仿宋" w:cs="仿宋" w:hint="eastAsia"/>
                <w:sz w:val="32"/>
                <w:szCs w:val="32"/>
              </w:rPr>
              <w:t>老鼠</w:t>
            </w:r>
          </w:p>
        </w:tc>
        <w:tc>
          <w:tcPr>
            <w:tcW w:w="2076" w:type="dxa"/>
            <w:tcBorders>
              <w:right w:val="single" w:sz="4" w:space="0" w:color="auto"/>
            </w:tcBorders>
            <w:vAlign w:val="center"/>
          </w:tcPr>
          <w:p w:rsidR="003C115A" w:rsidRDefault="00531A18">
            <w:pPr>
              <w:spacing w:line="400" w:lineRule="exact"/>
              <w:rPr>
                <w:rFonts w:ascii="仿宋" w:eastAsia="仿宋" w:hAnsi="仿宋" w:cs="仿宋"/>
                <w:sz w:val="32"/>
                <w:szCs w:val="32"/>
              </w:rPr>
            </w:pPr>
            <w:r>
              <w:rPr>
                <w:rFonts w:ascii="仿宋" w:eastAsia="仿宋" w:hAnsi="仿宋" w:cs="仿宋" w:hint="eastAsia"/>
                <w:sz w:val="32"/>
                <w:szCs w:val="32"/>
              </w:rPr>
              <w:t>溴敌隆毒饵</w:t>
            </w:r>
          </w:p>
        </w:tc>
        <w:tc>
          <w:tcPr>
            <w:tcW w:w="5528" w:type="dxa"/>
            <w:tcBorders>
              <w:left w:val="single" w:sz="4" w:space="0" w:color="auto"/>
            </w:tcBorders>
            <w:vAlign w:val="center"/>
          </w:tcPr>
          <w:p w:rsidR="003C115A" w:rsidRDefault="00531A18">
            <w:pPr>
              <w:spacing w:line="400" w:lineRule="exact"/>
              <w:rPr>
                <w:rFonts w:ascii="仿宋" w:eastAsia="仿宋" w:hAnsi="仿宋" w:cs="仿宋"/>
                <w:sz w:val="32"/>
                <w:szCs w:val="32"/>
              </w:rPr>
            </w:pPr>
            <w:r>
              <w:rPr>
                <w:rFonts w:ascii="仿宋" w:eastAsia="仿宋" w:hAnsi="仿宋" w:cs="仿宋" w:hint="eastAsia"/>
                <w:sz w:val="32"/>
                <w:szCs w:val="32"/>
              </w:rPr>
              <w:t>1.有效成分：≧0.005%溴敌隆</w:t>
            </w:r>
          </w:p>
          <w:p w:rsidR="003C115A" w:rsidRDefault="00531A18">
            <w:pPr>
              <w:spacing w:line="400" w:lineRule="exact"/>
              <w:rPr>
                <w:rFonts w:ascii="仿宋" w:eastAsia="仿宋" w:hAnsi="仿宋" w:cs="仿宋"/>
                <w:sz w:val="32"/>
                <w:szCs w:val="32"/>
              </w:rPr>
            </w:pPr>
            <w:r>
              <w:rPr>
                <w:rFonts w:ascii="仿宋" w:eastAsia="仿宋" w:hAnsi="仿宋" w:cs="仿宋" w:hint="eastAsia"/>
                <w:sz w:val="32"/>
                <w:szCs w:val="32"/>
              </w:rPr>
              <w:t>2.剂型：饵剂</w:t>
            </w:r>
          </w:p>
        </w:tc>
      </w:tr>
      <w:tr w:rsidR="003C115A">
        <w:trPr>
          <w:trHeight w:val="280"/>
        </w:trPr>
        <w:tc>
          <w:tcPr>
            <w:tcW w:w="1439" w:type="dxa"/>
            <w:vAlign w:val="center"/>
          </w:tcPr>
          <w:p w:rsidR="003C115A" w:rsidRDefault="00531A18">
            <w:pPr>
              <w:spacing w:line="400" w:lineRule="exact"/>
              <w:jc w:val="center"/>
              <w:rPr>
                <w:rFonts w:ascii="仿宋" w:eastAsia="仿宋" w:hAnsi="仿宋" w:cs="仿宋"/>
                <w:sz w:val="32"/>
                <w:szCs w:val="32"/>
              </w:rPr>
            </w:pPr>
            <w:r>
              <w:rPr>
                <w:rFonts w:ascii="仿宋" w:eastAsia="仿宋" w:hAnsi="仿宋" w:cs="仿宋" w:hint="eastAsia"/>
                <w:sz w:val="32"/>
                <w:szCs w:val="32"/>
              </w:rPr>
              <w:t>蜚蠊</w:t>
            </w:r>
          </w:p>
        </w:tc>
        <w:tc>
          <w:tcPr>
            <w:tcW w:w="2076" w:type="dxa"/>
            <w:tcBorders>
              <w:right w:val="single" w:sz="4" w:space="0" w:color="auto"/>
            </w:tcBorders>
            <w:vAlign w:val="center"/>
          </w:tcPr>
          <w:p w:rsidR="003C115A" w:rsidRDefault="00531A18">
            <w:pPr>
              <w:spacing w:line="400" w:lineRule="exact"/>
              <w:rPr>
                <w:rFonts w:ascii="仿宋" w:eastAsia="仿宋" w:hAnsi="仿宋" w:cs="仿宋"/>
                <w:sz w:val="32"/>
                <w:szCs w:val="32"/>
              </w:rPr>
            </w:pPr>
            <w:r>
              <w:rPr>
                <w:rFonts w:ascii="仿宋" w:eastAsia="仿宋" w:hAnsi="仿宋" w:cs="仿宋" w:hint="eastAsia"/>
                <w:sz w:val="32"/>
                <w:szCs w:val="32"/>
              </w:rPr>
              <w:t>顺式氯氰菊酯</w:t>
            </w:r>
          </w:p>
        </w:tc>
        <w:tc>
          <w:tcPr>
            <w:tcW w:w="5528" w:type="dxa"/>
            <w:tcBorders>
              <w:left w:val="single" w:sz="4" w:space="0" w:color="auto"/>
            </w:tcBorders>
            <w:vAlign w:val="center"/>
          </w:tcPr>
          <w:p w:rsidR="003C115A" w:rsidRDefault="00531A18">
            <w:pPr>
              <w:spacing w:line="400" w:lineRule="exact"/>
              <w:rPr>
                <w:rFonts w:ascii="仿宋" w:eastAsia="仿宋" w:hAnsi="仿宋" w:cs="仿宋"/>
                <w:sz w:val="32"/>
                <w:szCs w:val="32"/>
              </w:rPr>
            </w:pPr>
            <w:r>
              <w:rPr>
                <w:rFonts w:ascii="仿宋" w:eastAsia="仿宋" w:hAnsi="仿宋" w:cs="仿宋" w:hint="eastAsia"/>
                <w:sz w:val="32"/>
                <w:szCs w:val="32"/>
              </w:rPr>
              <w:t>1.有效成分：≧8%顺式氯氰菊酯</w:t>
            </w:r>
          </w:p>
          <w:p w:rsidR="003C115A" w:rsidRDefault="00531A18">
            <w:pPr>
              <w:spacing w:line="400" w:lineRule="exact"/>
              <w:rPr>
                <w:rFonts w:ascii="仿宋" w:eastAsia="仿宋" w:hAnsi="仿宋" w:cs="仿宋"/>
                <w:sz w:val="32"/>
                <w:szCs w:val="32"/>
              </w:rPr>
            </w:pPr>
            <w:r>
              <w:rPr>
                <w:rFonts w:ascii="仿宋" w:eastAsia="仿宋" w:hAnsi="仿宋" w:cs="仿宋" w:hint="eastAsia"/>
                <w:sz w:val="32"/>
                <w:szCs w:val="32"/>
              </w:rPr>
              <w:t>2.剂型：可湿性粉剂</w:t>
            </w:r>
          </w:p>
        </w:tc>
      </w:tr>
      <w:tr w:rsidR="003C115A">
        <w:trPr>
          <w:trHeight w:val="422"/>
        </w:trPr>
        <w:tc>
          <w:tcPr>
            <w:tcW w:w="1439" w:type="dxa"/>
            <w:vAlign w:val="center"/>
          </w:tcPr>
          <w:p w:rsidR="003C115A" w:rsidRDefault="00531A18">
            <w:pPr>
              <w:spacing w:line="400" w:lineRule="exact"/>
              <w:jc w:val="center"/>
              <w:rPr>
                <w:rFonts w:ascii="仿宋" w:eastAsia="仿宋" w:hAnsi="仿宋" w:cs="仿宋"/>
                <w:sz w:val="32"/>
                <w:szCs w:val="32"/>
              </w:rPr>
            </w:pPr>
            <w:r>
              <w:rPr>
                <w:rFonts w:ascii="仿宋" w:eastAsia="仿宋" w:hAnsi="仿宋" w:cs="仿宋" w:hint="eastAsia"/>
                <w:sz w:val="32"/>
                <w:szCs w:val="32"/>
              </w:rPr>
              <w:t>蚊、蝇</w:t>
            </w:r>
          </w:p>
        </w:tc>
        <w:tc>
          <w:tcPr>
            <w:tcW w:w="2076" w:type="dxa"/>
            <w:tcBorders>
              <w:right w:val="single" w:sz="4" w:space="0" w:color="auto"/>
            </w:tcBorders>
            <w:vAlign w:val="center"/>
          </w:tcPr>
          <w:p w:rsidR="003C115A" w:rsidRDefault="00746A1D">
            <w:pPr>
              <w:spacing w:line="400" w:lineRule="exact"/>
              <w:rPr>
                <w:rFonts w:ascii="仿宋" w:eastAsia="仿宋" w:hAnsi="仿宋" w:cs="仿宋"/>
                <w:sz w:val="32"/>
                <w:szCs w:val="32"/>
              </w:rPr>
            </w:pPr>
            <w:r>
              <w:rPr>
                <w:rFonts w:ascii="仿宋" w:eastAsia="仿宋" w:hAnsi="仿宋" w:cs="仿宋" w:hint="eastAsia"/>
                <w:sz w:val="32"/>
                <w:szCs w:val="32"/>
              </w:rPr>
              <w:t>高效氯氰菊酯</w:t>
            </w:r>
          </w:p>
        </w:tc>
        <w:tc>
          <w:tcPr>
            <w:tcW w:w="5528" w:type="dxa"/>
            <w:tcBorders>
              <w:left w:val="single" w:sz="4" w:space="0" w:color="auto"/>
            </w:tcBorders>
            <w:vAlign w:val="center"/>
          </w:tcPr>
          <w:p w:rsidR="003C115A" w:rsidRDefault="00531A18">
            <w:pPr>
              <w:spacing w:line="400" w:lineRule="exact"/>
              <w:rPr>
                <w:rFonts w:ascii="仿宋" w:eastAsia="仿宋" w:hAnsi="仿宋" w:cs="仿宋"/>
                <w:sz w:val="32"/>
                <w:szCs w:val="32"/>
              </w:rPr>
            </w:pPr>
            <w:r>
              <w:rPr>
                <w:rFonts w:ascii="仿宋" w:eastAsia="仿宋" w:hAnsi="仿宋" w:cs="仿宋" w:hint="eastAsia"/>
                <w:sz w:val="32"/>
                <w:szCs w:val="32"/>
              </w:rPr>
              <w:t>1.有效成分：≧15%</w:t>
            </w:r>
            <w:r w:rsidR="00746A1D">
              <w:rPr>
                <w:rFonts w:ascii="仿宋" w:eastAsia="仿宋" w:hAnsi="仿宋" w:cs="仿宋" w:hint="eastAsia"/>
                <w:sz w:val="32"/>
                <w:szCs w:val="32"/>
              </w:rPr>
              <w:t>氯菊酯</w:t>
            </w:r>
          </w:p>
          <w:p w:rsidR="003C115A" w:rsidRDefault="00531A18">
            <w:pPr>
              <w:spacing w:line="400" w:lineRule="exact"/>
              <w:rPr>
                <w:rFonts w:ascii="仿宋" w:eastAsia="仿宋" w:hAnsi="仿宋" w:cs="仿宋"/>
                <w:sz w:val="32"/>
                <w:szCs w:val="32"/>
              </w:rPr>
            </w:pPr>
            <w:r>
              <w:rPr>
                <w:rFonts w:ascii="仿宋" w:eastAsia="仿宋" w:hAnsi="仿宋" w:cs="仿宋" w:hint="eastAsia"/>
                <w:sz w:val="32"/>
                <w:szCs w:val="32"/>
              </w:rPr>
              <w:t>2.剂型：水乳剂或乳油</w:t>
            </w:r>
          </w:p>
        </w:tc>
      </w:tr>
      <w:tr w:rsidR="005A4E3B">
        <w:trPr>
          <w:trHeight w:val="422"/>
        </w:trPr>
        <w:tc>
          <w:tcPr>
            <w:tcW w:w="1439" w:type="dxa"/>
            <w:vAlign w:val="center"/>
          </w:tcPr>
          <w:p w:rsidR="005A4E3B" w:rsidRDefault="005A4E3B">
            <w:pPr>
              <w:spacing w:line="400" w:lineRule="exact"/>
              <w:jc w:val="center"/>
              <w:rPr>
                <w:rFonts w:ascii="仿宋" w:eastAsia="仿宋" w:hAnsi="仿宋" w:cs="仿宋" w:hint="eastAsia"/>
                <w:sz w:val="32"/>
                <w:szCs w:val="32"/>
              </w:rPr>
            </w:pPr>
            <w:r>
              <w:rPr>
                <w:rFonts w:ascii="仿宋" w:eastAsia="仿宋" w:hAnsi="仿宋" w:cs="仿宋" w:hint="eastAsia"/>
                <w:sz w:val="32"/>
                <w:szCs w:val="32"/>
              </w:rPr>
              <w:t>消毒剂</w:t>
            </w:r>
          </w:p>
        </w:tc>
        <w:tc>
          <w:tcPr>
            <w:tcW w:w="2076" w:type="dxa"/>
            <w:tcBorders>
              <w:right w:val="single" w:sz="4" w:space="0" w:color="auto"/>
            </w:tcBorders>
            <w:vAlign w:val="center"/>
          </w:tcPr>
          <w:p w:rsidR="005A4E3B" w:rsidRDefault="005A4E3B">
            <w:pPr>
              <w:spacing w:line="400" w:lineRule="exact"/>
              <w:rPr>
                <w:rFonts w:ascii="仿宋" w:eastAsia="仿宋" w:hAnsi="仿宋" w:cs="仿宋" w:hint="eastAsia"/>
                <w:sz w:val="32"/>
                <w:szCs w:val="32"/>
              </w:rPr>
            </w:pPr>
            <w:r>
              <w:rPr>
                <w:rFonts w:ascii="仿宋" w:eastAsia="仿宋" w:hAnsi="仿宋" w:cs="仿宋" w:hint="eastAsia"/>
                <w:sz w:val="32"/>
                <w:szCs w:val="32"/>
              </w:rPr>
              <w:t>二氧化氯</w:t>
            </w:r>
          </w:p>
        </w:tc>
        <w:tc>
          <w:tcPr>
            <w:tcW w:w="5528" w:type="dxa"/>
            <w:tcBorders>
              <w:left w:val="single" w:sz="4" w:space="0" w:color="auto"/>
            </w:tcBorders>
            <w:vAlign w:val="center"/>
          </w:tcPr>
          <w:p w:rsidR="005A4E3B" w:rsidRDefault="00D60A23">
            <w:pPr>
              <w:spacing w:line="400" w:lineRule="exact"/>
              <w:rPr>
                <w:rFonts w:ascii="仿宋" w:eastAsia="仿宋" w:hAnsi="仿宋" w:cs="仿宋" w:hint="eastAsia"/>
                <w:sz w:val="32"/>
                <w:szCs w:val="32"/>
              </w:rPr>
            </w:pPr>
            <w:r>
              <w:rPr>
                <w:rFonts w:ascii="仿宋" w:eastAsia="仿宋" w:hAnsi="仿宋" w:cs="仿宋" w:hint="eastAsia"/>
                <w:sz w:val="32"/>
                <w:szCs w:val="32"/>
              </w:rPr>
              <w:t>二氧化氯含量大于1000mg/L</w:t>
            </w:r>
            <w:bookmarkStart w:id="7" w:name="_GoBack"/>
            <w:bookmarkEnd w:id="7"/>
          </w:p>
        </w:tc>
      </w:tr>
    </w:tbl>
    <w:p w:rsidR="003C115A" w:rsidRDefault="00531A18">
      <w:pPr>
        <w:snapToGrid w:val="0"/>
        <w:spacing w:line="4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备注：以上产品为本项目要求使用的主选药品，投标人所选用的药品必须满足所列药品的主要技术参数，包括有效成分、含量和剂型（也可选择效果优于以上的药品）。杜绝使用来源不明无“三证”或质量不稳定的卫生杀虫剂，确保灭效和人等各项安全、符合环保的有关要求。投标人必须提供以上主选药品厂商的有效“三证”(即，农药登记证、农</w:t>
      </w:r>
      <w:r>
        <w:rPr>
          <w:rFonts w:ascii="仿宋" w:eastAsia="仿宋" w:hAnsi="仿宋" w:cs="仿宋" w:hint="eastAsia"/>
          <w:sz w:val="32"/>
          <w:szCs w:val="32"/>
        </w:rPr>
        <w:lastRenderedPageBreak/>
        <w:t>药生产许可证书、技术监督部门备案的企业标准)</w:t>
      </w:r>
      <w:r w:rsidR="00C7198D">
        <w:rPr>
          <w:rFonts w:ascii="仿宋" w:eastAsia="仿宋" w:hAnsi="仿宋" w:cs="仿宋" w:hint="eastAsia"/>
          <w:sz w:val="32"/>
          <w:szCs w:val="32"/>
        </w:rPr>
        <w:t>复印件</w:t>
      </w:r>
      <w:r>
        <w:rPr>
          <w:rFonts w:ascii="仿宋" w:eastAsia="仿宋" w:hAnsi="仿宋" w:cs="仿宋" w:hint="eastAsia"/>
          <w:sz w:val="32"/>
          <w:szCs w:val="32"/>
        </w:rPr>
        <w:t>，未提供或提供不全的，视其投标无效。</w:t>
      </w:r>
    </w:p>
    <w:p w:rsidR="003C115A" w:rsidRDefault="00531A18">
      <w:pPr>
        <w:pStyle w:val="2"/>
        <w:adjustRightInd w:val="0"/>
        <w:snapToGrid w:val="0"/>
        <w:spacing w:before="0" w:after="0" w:line="400" w:lineRule="exact"/>
        <w:ind w:firstLineChars="146" w:firstLine="469"/>
        <w:rPr>
          <w:rFonts w:ascii="仿宋" w:eastAsia="仿宋" w:hAnsi="仿宋" w:cs="仿宋"/>
          <w:bCs/>
          <w:szCs w:val="32"/>
        </w:rPr>
      </w:pPr>
      <w:r>
        <w:rPr>
          <w:rFonts w:ascii="仿宋" w:eastAsia="仿宋" w:hAnsi="仿宋" w:cs="仿宋" w:hint="eastAsia"/>
          <w:bCs/>
          <w:szCs w:val="32"/>
        </w:rPr>
        <w:t>六、服务人员要求</w:t>
      </w:r>
    </w:p>
    <w:p w:rsidR="003C115A" w:rsidRDefault="00531A18">
      <w:pPr>
        <w:snapToGrid w:val="0"/>
        <w:spacing w:line="400" w:lineRule="exact"/>
        <w:ind w:firstLineChars="150" w:firstLine="480"/>
        <w:rPr>
          <w:rFonts w:ascii="仿宋" w:eastAsia="仿宋" w:hAnsi="仿宋" w:cs="仿宋"/>
          <w:sz w:val="32"/>
          <w:szCs w:val="32"/>
        </w:rPr>
      </w:pPr>
      <w:r>
        <w:rPr>
          <w:rFonts w:ascii="仿宋" w:eastAsia="仿宋" w:hAnsi="仿宋" w:cs="仿宋" w:hint="eastAsia"/>
          <w:sz w:val="32"/>
          <w:szCs w:val="32"/>
        </w:rPr>
        <w:t>投标供应商提供拟为本项目提供专业服务的人员名单，2人及以上，专业服务人员</w:t>
      </w:r>
      <w:r w:rsidR="00C7198D">
        <w:rPr>
          <w:rFonts w:ascii="仿宋" w:eastAsia="仿宋" w:hAnsi="仿宋" w:cs="仿宋" w:hint="eastAsia"/>
          <w:sz w:val="32"/>
          <w:szCs w:val="32"/>
        </w:rPr>
        <w:t>须持有省级人力资源和社会保障局颁发的“有害生物防制员”</w:t>
      </w:r>
      <w:r>
        <w:rPr>
          <w:rFonts w:ascii="仿宋" w:eastAsia="仿宋" w:hAnsi="仿宋" w:cs="仿宋" w:hint="eastAsia"/>
          <w:sz w:val="32"/>
          <w:szCs w:val="32"/>
        </w:rPr>
        <w:t>证书（响应文件中提供证书复印件并加盖供应商公章）。</w:t>
      </w:r>
      <w:bookmarkStart w:id="8" w:name="_Toc21950"/>
      <w:bookmarkStart w:id="9" w:name="_Toc8671"/>
      <w:bookmarkStart w:id="10" w:name="_Toc267320049"/>
      <w:bookmarkStart w:id="11" w:name="_Toc28613"/>
      <w:bookmarkStart w:id="12" w:name="_Toc76373877"/>
      <w:bookmarkStart w:id="13" w:name="_Toc124414868"/>
      <w:bookmarkStart w:id="14" w:name="_Toc79"/>
      <w:bookmarkStart w:id="15" w:name="_Toc10278"/>
      <w:bookmarkEnd w:id="5"/>
      <w:bookmarkEnd w:id="6"/>
    </w:p>
    <w:p w:rsidR="003C115A" w:rsidRDefault="00531A18">
      <w:pPr>
        <w:snapToGrid w:val="0"/>
        <w:spacing w:line="400" w:lineRule="exact"/>
        <w:ind w:firstLineChars="150" w:firstLine="482"/>
        <w:rPr>
          <w:rFonts w:ascii="仿宋" w:eastAsia="仿宋" w:hAnsi="仿宋" w:cs="仿宋"/>
          <w:b/>
          <w:bCs/>
          <w:sz w:val="32"/>
          <w:szCs w:val="32"/>
        </w:rPr>
      </w:pPr>
      <w:r>
        <w:rPr>
          <w:rFonts w:ascii="仿宋" w:eastAsia="仿宋" w:hAnsi="仿宋" w:cs="仿宋" w:hint="eastAsia"/>
          <w:b/>
          <w:bCs/>
          <w:sz w:val="32"/>
          <w:szCs w:val="32"/>
        </w:rPr>
        <w:t>七、服务期、服务地点及验收</w:t>
      </w:r>
      <w:bookmarkEnd w:id="8"/>
      <w:bookmarkEnd w:id="9"/>
      <w:bookmarkEnd w:id="10"/>
      <w:bookmarkEnd w:id="11"/>
      <w:bookmarkEnd w:id="12"/>
      <w:bookmarkEnd w:id="13"/>
      <w:bookmarkEnd w:id="14"/>
      <w:bookmarkEnd w:id="15"/>
      <w:r>
        <w:rPr>
          <w:rFonts w:ascii="仿宋" w:eastAsia="仿宋" w:hAnsi="仿宋" w:cs="仿宋" w:hint="eastAsia"/>
          <w:b/>
          <w:bCs/>
          <w:sz w:val="32"/>
          <w:szCs w:val="32"/>
        </w:rPr>
        <w:t>标准</w:t>
      </w:r>
    </w:p>
    <w:p w:rsidR="003C115A" w:rsidRDefault="00531A18">
      <w:pPr>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（一）服务期</w:t>
      </w:r>
    </w:p>
    <w:p w:rsidR="003C115A" w:rsidRDefault="00531A18">
      <w:pPr>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合同签订之日起1年（具体起止时间以合同签订的为准）。</w:t>
      </w:r>
    </w:p>
    <w:p w:rsidR="003C115A" w:rsidRDefault="00531A18">
      <w:pPr>
        <w:snapToGrid w:val="0"/>
        <w:spacing w:line="400" w:lineRule="exact"/>
        <w:ind w:firstLineChars="200" w:firstLine="640"/>
        <w:rPr>
          <w:rFonts w:ascii="仿宋" w:eastAsia="仿宋" w:hAnsi="仿宋" w:cs="仿宋"/>
          <w:sz w:val="32"/>
          <w:szCs w:val="32"/>
        </w:rPr>
      </w:pPr>
      <w:bookmarkStart w:id="16" w:name="_Toc17683"/>
      <w:bookmarkStart w:id="17" w:name="_Toc4791"/>
      <w:bookmarkStart w:id="18" w:name="_Toc15650"/>
      <w:bookmarkStart w:id="19" w:name="_Toc76373878"/>
      <w:bookmarkStart w:id="20" w:name="_Toc17944"/>
      <w:bookmarkStart w:id="21" w:name="_Toc17524"/>
      <w:bookmarkStart w:id="22" w:name="_Toc124414869"/>
      <w:bookmarkStart w:id="23" w:name="_Toc267320050"/>
      <w:r>
        <w:rPr>
          <w:rFonts w:ascii="仿宋" w:eastAsia="仿宋" w:hAnsi="仿宋" w:cs="仿宋" w:hint="eastAsia"/>
          <w:sz w:val="32"/>
          <w:szCs w:val="32"/>
        </w:rPr>
        <w:t>（二）服务地点</w:t>
      </w:r>
    </w:p>
    <w:p w:rsidR="003C115A" w:rsidRDefault="00746A1D" w:rsidP="00746A1D">
      <w:pPr>
        <w:snapToGrid w:val="0"/>
        <w:spacing w:line="400" w:lineRule="exact"/>
        <w:ind w:firstLineChars="250" w:firstLine="800"/>
        <w:rPr>
          <w:rFonts w:ascii="仿宋" w:eastAsia="仿宋" w:hAnsi="仿宋" w:cs="仿宋"/>
          <w:sz w:val="32"/>
          <w:szCs w:val="32"/>
        </w:rPr>
      </w:pPr>
      <w:r w:rsidRPr="00746A1D">
        <w:rPr>
          <w:rFonts w:ascii="仿宋" w:eastAsia="仿宋" w:hAnsi="仿宋" w:cs="仿宋" w:hint="eastAsia"/>
          <w:sz w:val="32"/>
          <w:szCs w:val="32"/>
        </w:rPr>
        <w:t>贵惠路小学</w:t>
      </w:r>
      <w:r w:rsidR="00531A18">
        <w:rPr>
          <w:rFonts w:ascii="仿宋" w:eastAsia="仿宋" w:hAnsi="仿宋" w:cs="仿宋" w:hint="eastAsia"/>
          <w:sz w:val="32"/>
          <w:szCs w:val="32"/>
        </w:rPr>
        <w:t>范围内。</w:t>
      </w:r>
    </w:p>
    <w:p w:rsidR="003C115A" w:rsidRDefault="00531A18">
      <w:pPr>
        <w:snapToGrid w:val="0"/>
        <w:spacing w:line="4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（三）消杀灭后需达到的验收标准</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1、灭鼠合格标准：粉迹法，一夜后阳性粉块不超过3%；有鼠洞、鼠粪、鼠咬痕、鼠道等鼠征的房间不超过2%；重点部门防鼠设施不合格不超过5%。</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2、灭蟑螂合格标准：室内有蟑螂成虫、若虫阳性房间不超过3%；有蟑螂房间平均大蠊不超过5只，小蠊不超过10只。</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3、灭蚊合格标准：单位内外环境各种存水容器和积水中，蚊幼和蛹的阳性率不超过3%，阳性勺内幼虫和蛹的平均数不超过5只。</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4、灭蝇合格标准：灭治后有蝇房间不超过3%，阳性间平均蝇只数不超过3只。</w:t>
      </w:r>
    </w:p>
    <w:p w:rsidR="003C115A" w:rsidRDefault="00531A18">
      <w:pPr>
        <w:pStyle w:val="2"/>
        <w:spacing w:before="0" w:after="0" w:line="400" w:lineRule="exact"/>
        <w:ind w:firstLineChars="196" w:firstLine="630"/>
        <w:rPr>
          <w:rFonts w:ascii="仿宋" w:eastAsia="仿宋" w:hAnsi="仿宋" w:cs="仿宋"/>
          <w:szCs w:val="32"/>
        </w:rPr>
      </w:pPr>
      <w:r>
        <w:rPr>
          <w:rFonts w:ascii="仿宋" w:eastAsia="仿宋" w:hAnsi="仿宋" w:cs="仿宋" w:hint="eastAsia"/>
          <w:szCs w:val="32"/>
        </w:rPr>
        <w:t>八、报价要求</w:t>
      </w:r>
      <w:bookmarkEnd w:id="16"/>
      <w:bookmarkEnd w:id="17"/>
      <w:bookmarkEnd w:id="18"/>
      <w:bookmarkEnd w:id="19"/>
      <w:bookmarkEnd w:id="20"/>
      <w:bookmarkEnd w:id="21"/>
      <w:bookmarkEnd w:id="22"/>
    </w:p>
    <w:p w:rsidR="003C115A" w:rsidRDefault="00531A18">
      <w:pPr>
        <w:spacing w:line="400" w:lineRule="exact"/>
        <w:ind w:firstLineChars="200" w:firstLine="640"/>
        <w:rPr>
          <w:rFonts w:ascii="仿宋" w:eastAsia="仿宋" w:hAnsi="仿宋" w:cs="仿宋"/>
          <w:sz w:val="32"/>
          <w:szCs w:val="32"/>
        </w:rPr>
      </w:pPr>
      <w:bookmarkStart w:id="24" w:name="_Toc26740"/>
      <w:bookmarkStart w:id="25" w:name="_Toc117175436"/>
      <w:bookmarkStart w:id="26" w:name="_Toc124414871"/>
      <w:bookmarkStart w:id="27" w:name="_Toc9526"/>
      <w:bookmarkStart w:id="28" w:name="_Toc15085"/>
      <w:bookmarkStart w:id="29" w:name="_Toc76373880"/>
      <w:bookmarkStart w:id="30" w:name="_Toc20684"/>
      <w:bookmarkStart w:id="31" w:name="_Toc26844"/>
      <w:bookmarkStart w:id="32" w:name="_Toc267320051"/>
      <w:bookmarkStart w:id="33" w:name="_Toc494118257"/>
      <w:bookmarkEnd w:id="23"/>
      <w:r>
        <w:rPr>
          <w:rFonts w:ascii="仿宋" w:eastAsia="仿宋" w:hAnsi="仿宋" w:cs="仿宋" w:hint="eastAsia"/>
          <w:sz w:val="32"/>
          <w:szCs w:val="32"/>
        </w:rPr>
        <w:t>1. 项目最高限价为</w:t>
      </w:r>
      <w:r w:rsidR="00746A1D">
        <w:rPr>
          <w:rFonts w:ascii="仿宋" w:eastAsia="仿宋" w:hAnsi="仿宋" w:cs="仿宋" w:hint="eastAsia"/>
          <w:sz w:val="32"/>
          <w:szCs w:val="32"/>
          <w:u w:val="single"/>
        </w:rPr>
        <w:t>16000.00</w:t>
      </w:r>
      <w:r>
        <w:rPr>
          <w:rFonts w:ascii="仿宋" w:eastAsia="仿宋" w:hAnsi="仿宋" w:cs="仿宋" w:hint="eastAsia"/>
          <w:sz w:val="32"/>
          <w:szCs w:val="32"/>
        </w:rPr>
        <w:t>元/年。报价不得超过最高限价。</w:t>
      </w:r>
    </w:p>
    <w:p w:rsidR="003C115A" w:rsidRDefault="00531A18">
      <w:pPr>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2. 本次报价须为人民币报价，成交总价为包干价。包含：人员工资（含加班、上门服务费）、全部保险、交通运输等费用，必要的药品、设备、工器具、材料、耗材费用，利润、管理费和税金等完成该项目所有费用。</w:t>
      </w:r>
    </w:p>
    <w:p w:rsidR="003C115A" w:rsidRDefault="00531A18">
      <w:pPr>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本次投标报价中包含专业机构对成交供应商治理服务监管及出具书面检测合格报告的相关费用，相关专业机构由采购人和成交供应商共同确认，相关费用由各潜在供应商结</w:t>
      </w:r>
      <w:r>
        <w:rPr>
          <w:rFonts w:ascii="仿宋" w:eastAsia="仿宋" w:hAnsi="仿宋" w:cs="仿宋" w:hint="eastAsia"/>
          <w:sz w:val="32"/>
          <w:szCs w:val="32"/>
        </w:rPr>
        <w:lastRenderedPageBreak/>
        <w:t>合市场情况自行考虑并计入竞标报价中，在专业机构出具书面报告后，由成交供应商进行支付，采购人不再支付任何费用。</w:t>
      </w:r>
    </w:p>
    <w:p w:rsidR="003C115A" w:rsidRDefault="00531A18">
      <w:pPr>
        <w:pStyle w:val="2"/>
        <w:spacing w:before="0" w:after="0" w:line="400" w:lineRule="exact"/>
        <w:ind w:firstLineChars="196" w:firstLine="630"/>
        <w:rPr>
          <w:rFonts w:ascii="仿宋" w:eastAsia="仿宋" w:hAnsi="仿宋" w:cs="仿宋"/>
          <w:szCs w:val="32"/>
        </w:rPr>
      </w:pPr>
      <w:bookmarkStart w:id="34" w:name="_Toc124414875"/>
      <w:bookmarkEnd w:id="24"/>
      <w:bookmarkEnd w:id="25"/>
      <w:bookmarkEnd w:id="26"/>
      <w:bookmarkEnd w:id="27"/>
      <w:bookmarkEnd w:id="28"/>
      <w:bookmarkEnd w:id="29"/>
      <w:bookmarkEnd w:id="30"/>
      <w:bookmarkEnd w:id="31"/>
      <w:bookmarkEnd w:id="32"/>
      <w:bookmarkEnd w:id="33"/>
      <w:r>
        <w:rPr>
          <w:rFonts w:ascii="仿宋" w:eastAsia="仿宋" w:hAnsi="仿宋" w:cs="仿宋" w:hint="eastAsia"/>
          <w:szCs w:val="32"/>
        </w:rPr>
        <w:t>九、付款方式</w:t>
      </w:r>
    </w:p>
    <w:p w:rsidR="003C115A" w:rsidRDefault="00C7198D">
      <w:pPr>
        <w:spacing w:line="400" w:lineRule="exact"/>
        <w:ind w:firstLineChars="200" w:firstLine="640"/>
        <w:rPr>
          <w:rFonts w:ascii="仿宋" w:eastAsia="仿宋" w:hAnsi="仿宋" w:cs="仿宋"/>
          <w:kern w:val="0"/>
          <w:sz w:val="32"/>
          <w:szCs w:val="32"/>
        </w:rPr>
      </w:pPr>
      <w:bookmarkStart w:id="35" w:name="_Toc503533449"/>
      <w:bookmarkStart w:id="36" w:name="_Toc344475125"/>
      <w:bookmarkStart w:id="37" w:name="_Toc117175440"/>
      <w:bookmarkStart w:id="38" w:name="_Toc494118260"/>
      <w:bookmarkStart w:id="39" w:name="_Toc13932"/>
      <w:bookmarkStart w:id="40" w:name="_Toc10598"/>
      <w:bookmarkStart w:id="41" w:name="_Toc76373881"/>
      <w:bookmarkStart w:id="42" w:name="_Toc124414872"/>
      <w:bookmarkStart w:id="43" w:name="_Toc32358"/>
      <w:bookmarkStart w:id="44" w:name="_Toc10965"/>
      <w:bookmarkStart w:id="45" w:name="_Toc20741"/>
      <w:bookmarkStart w:id="46" w:name="_Toc267320052"/>
      <w:r>
        <w:rPr>
          <w:rFonts w:ascii="仿宋" w:eastAsia="仿宋" w:hAnsi="仿宋" w:cs="仿宋" w:hint="eastAsia"/>
          <w:kern w:val="0"/>
          <w:sz w:val="32"/>
          <w:szCs w:val="32"/>
        </w:rPr>
        <w:t>服务款按半年</w:t>
      </w:r>
      <w:r w:rsidR="00531A18">
        <w:rPr>
          <w:rFonts w:ascii="仿宋" w:eastAsia="仿宋" w:hAnsi="仿宋" w:cs="仿宋" w:hint="eastAsia"/>
          <w:kern w:val="0"/>
          <w:sz w:val="32"/>
          <w:szCs w:val="32"/>
        </w:rPr>
        <w:t>付款，每</w:t>
      </w:r>
      <w:bookmarkEnd w:id="35"/>
      <w:r>
        <w:rPr>
          <w:rFonts w:ascii="仿宋" w:eastAsia="仿宋" w:hAnsi="仿宋" w:cs="仿宋" w:hint="eastAsia"/>
          <w:kern w:val="0"/>
          <w:sz w:val="32"/>
          <w:szCs w:val="32"/>
        </w:rPr>
        <w:t>6个月</w:t>
      </w:r>
      <w:r w:rsidR="00531A18">
        <w:rPr>
          <w:rFonts w:ascii="仿宋" w:eastAsia="仿宋" w:hAnsi="仿宋" w:cs="仿宋" w:hint="eastAsia"/>
          <w:kern w:val="0"/>
          <w:sz w:val="32"/>
          <w:szCs w:val="32"/>
        </w:rPr>
        <w:t>支付合同金额</w:t>
      </w:r>
      <w:r>
        <w:rPr>
          <w:rFonts w:ascii="仿宋" w:eastAsia="仿宋" w:hAnsi="仿宋" w:cs="仿宋" w:hint="eastAsia"/>
          <w:kern w:val="0"/>
          <w:sz w:val="32"/>
          <w:szCs w:val="32"/>
        </w:rPr>
        <w:t>50</w:t>
      </w:r>
      <w:r w:rsidR="00531A18">
        <w:rPr>
          <w:rFonts w:ascii="仿宋" w:eastAsia="仿宋" w:hAnsi="仿宋" w:cs="仿宋" w:hint="eastAsia"/>
          <w:kern w:val="0"/>
          <w:sz w:val="32"/>
          <w:szCs w:val="32"/>
        </w:rPr>
        <w:t>%。</w:t>
      </w:r>
    </w:p>
    <w:p w:rsidR="003C115A" w:rsidRDefault="00531A18">
      <w:pPr>
        <w:spacing w:line="400" w:lineRule="exact"/>
        <w:ind w:firstLineChars="200" w:firstLine="643"/>
        <w:rPr>
          <w:rFonts w:ascii="仿宋" w:eastAsia="仿宋" w:hAnsi="仿宋" w:cs="仿宋"/>
          <w:b/>
          <w:sz w:val="32"/>
          <w:szCs w:val="32"/>
        </w:rPr>
      </w:pPr>
      <w:r>
        <w:rPr>
          <w:rFonts w:ascii="仿宋" w:eastAsia="仿宋" w:hAnsi="仿宋" w:cs="仿宋" w:hint="eastAsia"/>
          <w:b/>
          <w:sz w:val="32"/>
          <w:szCs w:val="32"/>
        </w:rPr>
        <w:t>十、供应商须尽责任</w:t>
      </w:r>
    </w:p>
    <w:p w:rsidR="003C115A" w:rsidRDefault="00531A18">
      <w:pPr>
        <w:widowControl/>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1.投标人自觉履行保守采购人所提供的相关信息商业秘密的义务；</w:t>
      </w:r>
    </w:p>
    <w:p w:rsidR="003C115A" w:rsidRDefault="00531A18">
      <w:pPr>
        <w:widowControl/>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2.投标人对消杀灭的方式的合法有效性、安全性负责；</w:t>
      </w:r>
    </w:p>
    <w:p w:rsidR="003C115A" w:rsidRDefault="00531A18">
      <w:pPr>
        <w:widowControl/>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3.在采购人提供了经投标人认可的、现场消杀灭必要的安全工作条件下，因投标人人员操作不当或违规等造成的事故损失</w:t>
      </w:r>
      <w:bookmarkStart w:id="47" w:name="OLE_LINK1"/>
      <w:r>
        <w:rPr>
          <w:rFonts w:ascii="仿宋" w:eastAsia="仿宋" w:hAnsi="仿宋" w:cs="仿宋" w:hint="eastAsia"/>
          <w:sz w:val="32"/>
          <w:szCs w:val="32"/>
        </w:rPr>
        <w:t>由投标人承担；</w:t>
      </w:r>
    </w:p>
    <w:bookmarkEnd w:id="47"/>
    <w:p w:rsidR="003C115A" w:rsidRDefault="00531A18">
      <w:pPr>
        <w:widowControl/>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4.投标人需按照比选文件和合同约定按照国家规范出具合格的检测报告；</w:t>
      </w:r>
    </w:p>
    <w:p w:rsidR="003C115A" w:rsidRDefault="00531A18">
      <w:pPr>
        <w:widowControl/>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5.投标人应为采购人免费提供消杀灭服务的药品、器具等物品。</w:t>
      </w:r>
    </w:p>
    <w:p w:rsidR="003C115A" w:rsidRDefault="00531A18">
      <w:pPr>
        <w:pStyle w:val="2"/>
        <w:spacing w:before="0" w:after="0" w:line="400" w:lineRule="exact"/>
        <w:rPr>
          <w:rFonts w:ascii="仿宋" w:eastAsia="仿宋" w:hAnsi="仿宋" w:cs="仿宋"/>
          <w:szCs w:val="32"/>
        </w:rPr>
      </w:pPr>
      <w:r>
        <w:rPr>
          <w:rFonts w:ascii="仿宋" w:eastAsia="仿宋" w:hAnsi="仿宋" w:cs="仿宋" w:hint="eastAsia"/>
          <w:szCs w:val="32"/>
        </w:rPr>
        <w:t>十、其他</w:t>
      </w:r>
      <w:bookmarkEnd w:id="36"/>
      <w:bookmarkEnd w:id="37"/>
      <w:bookmarkEnd w:id="38"/>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（一）投标人必须在响应文件中对以上条款和服务承诺明确列出，承诺内容必须达到所有条款的要求。</w:t>
      </w:r>
    </w:p>
    <w:p w:rsidR="003C115A" w:rsidRDefault="00531A1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（二）其他未尽事宜由供需双方在采购合同中详细约定。 </w:t>
      </w:r>
      <w:bookmarkEnd w:id="39"/>
      <w:bookmarkEnd w:id="40"/>
      <w:bookmarkEnd w:id="41"/>
      <w:bookmarkEnd w:id="42"/>
      <w:bookmarkEnd w:id="43"/>
      <w:bookmarkEnd w:id="44"/>
      <w:bookmarkEnd w:id="45"/>
      <w:bookmarkEnd w:id="46"/>
    </w:p>
    <w:bookmarkEnd w:id="34"/>
    <w:p w:rsidR="003C115A" w:rsidRDefault="003C115A">
      <w:pPr>
        <w:pStyle w:val="2"/>
        <w:widowControl/>
        <w:spacing w:line="360" w:lineRule="auto"/>
        <w:jc w:val="center"/>
        <w:rPr>
          <w:rFonts w:ascii="宋体" w:eastAsia="宋体" w:hAnsi="宋体" w:cs="宋体"/>
          <w:bCs/>
          <w:sz w:val="36"/>
          <w:szCs w:val="30"/>
        </w:rPr>
      </w:pPr>
    </w:p>
    <w:sectPr w:rsidR="003C115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80" w:rsidRDefault="008D6C80">
      <w:r>
        <w:separator/>
      </w:r>
    </w:p>
  </w:endnote>
  <w:endnote w:type="continuationSeparator" w:id="0">
    <w:p w:rsidR="008D6C80" w:rsidRDefault="008D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SimSun-ExtB"/>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5A" w:rsidRDefault="00531A18">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rsidR="003C115A" w:rsidRDefault="00531A18">
                          <w:pPr>
                            <w:pStyle w:val="a8"/>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D60A23">
                            <w:rPr>
                              <w:rFonts w:ascii="宋体" w:hAnsi="宋体" w:cs="宋体"/>
                              <w:noProof/>
                            </w:rPr>
                            <w:t>2</w:t>
                          </w:r>
                          <w:r>
                            <w:rPr>
                              <w:rFonts w:ascii="宋体" w:hAnsi="宋体" w:cs="宋体"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2.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yS+gEAAMIDAAAOAAAAZHJzL2Uyb0RvYy54bWysU82O0zAQviPxDpbvNG2hS4marpZdFSEt&#10;P9LCA7iOk1jEHmvsNikPAG+wJy7cea4+B2OnKQvcEBdrbM98nu+bz6vL3rRsr9BrsAWfTaacKSuh&#10;1LYu+McPmydLznwQthQtWFXwg/L8cv340apzuZpDA22pkBGI9XnnCt6E4PIs87JRRvgJOGXpsgI0&#10;ItAW66xE0RG6abP5dHqRdYClQ5DKezq9GS75OuFXlZLhXVV5FVhbcOotpBXTuo1rtl6JvEbhGi1P&#10;bYh/6MIIbenRM9SNCILtUP8FZbRE8FCFiQSTQVVpqRIHYjOb/sHmrhFOJS4kjndnmfz/g5Vv9++R&#10;6bLgc86sMDSi4/3X47cfx+9f2CzK0zmfU9ado7zQv4SexpyoencL8pNnFq4bYWt1hQhdo0RJ7aXK&#10;7EHpgOMjyLZ7AyW9I3YBElBfoYnakRqM0GlMh/NoVB+YpMP58uLpcsGZpKvZs+cvFovYWybysdih&#10;D68UGBaDgiNNPoGL/a0PQ+qYEt+ysNFtm6bf2t8OCHM4Uck+p+pIJXY/8Aj9tj9Js4XyQKQQBmvR&#10;V6CgAfzMWUe2Krgl33PWvrYkS3TgGOAYbMdAWEmFBQ+cDeF1GJy6c6jrhnBH4a9Iuo1OtGJjQw8k&#10;R9yQUZIwJ1NHJz7cp6xfX2/9EwAA//8DAFBLAwQUAAYACAAAACEAVJNkad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g0B3FEWCyXIOtK/mevrwAAAP//&#10;AwBQSwECLQAUAAYACAAAACEAtoM4kv4AAADhAQAAEwAAAAAAAAAAAAAAAAAAAAAAW0NvbnRlbnRf&#10;VHlwZXNdLnhtbFBLAQItABQABgAIAAAAIQA4/SH/1gAAAJQBAAALAAAAAAAAAAAAAAAAAC8BAABf&#10;cmVscy8ucmVsc1BLAQItABQABgAIAAAAIQCZoUyS+gEAAMIDAAAOAAAAAAAAAAAAAAAAAC4CAABk&#10;cnMvZTJvRG9jLnhtbFBLAQItABQABgAIAAAAIQBUk2Rp2QAAAAMBAAAPAAAAAAAAAAAAAAAAAFQE&#10;AABkcnMvZG93bnJldi54bWxQSwUGAAAAAAQABADzAAAAWgUAAAAA&#10;" filled="f" stroked="f">
              <v:textbox style="mso-fit-shape-to-text:t" inset="0,0,0,0">
                <w:txbxContent>
                  <w:p w:rsidR="003C115A" w:rsidRDefault="00531A18">
                    <w:pPr>
                      <w:pStyle w:val="a8"/>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D60A23">
                      <w:rPr>
                        <w:rFonts w:ascii="宋体" w:hAnsi="宋体" w:cs="宋体"/>
                        <w:noProof/>
                      </w:rPr>
                      <w:t>2</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80" w:rsidRDefault="008D6C80">
      <w:r>
        <w:separator/>
      </w:r>
    </w:p>
  </w:footnote>
  <w:footnote w:type="continuationSeparator" w:id="0">
    <w:p w:rsidR="008D6C80" w:rsidRDefault="008D6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5A" w:rsidRDefault="003C115A">
    <w:pPr>
      <w:pStyle w:val="a9"/>
      <w:pBdr>
        <w:bottom w:val="none" w:sz="0" w:space="1" w:color="auto"/>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jU1MGE2ZDk1MWM3NGYyMzU3ZDAwYmU1OWIwZWUifQ=="/>
  </w:docVars>
  <w:rsids>
    <w:rsidRoot w:val="0037172A"/>
    <w:rsid w:val="0025047C"/>
    <w:rsid w:val="0037172A"/>
    <w:rsid w:val="003C115A"/>
    <w:rsid w:val="004A62FF"/>
    <w:rsid w:val="00531A18"/>
    <w:rsid w:val="005A4E3B"/>
    <w:rsid w:val="00746A1D"/>
    <w:rsid w:val="008D6C80"/>
    <w:rsid w:val="00C7198D"/>
    <w:rsid w:val="00D60A23"/>
    <w:rsid w:val="00F55A65"/>
    <w:rsid w:val="00FA26DD"/>
    <w:rsid w:val="17A347FE"/>
    <w:rsid w:val="2C3A25FF"/>
    <w:rsid w:val="3523473F"/>
    <w:rsid w:val="53B96565"/>
    <w:rsid w:val="63457AF1"/>
    <w:rsid w:val="7318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lsdException w:name="footer" w:unhideWhenUsed="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2" w:lineRule="auto"/>
      <w:outlineLvl w:val="1"/>
    </w:pPr>
    <w:rPr>
      <w:rFonts w:ascii="Arial" w:eastAsia="黑体" w:hAnsi="Arial" w:cs="Times New Roman"/>
      <w:b/>
      <w:sz w:val="32"/>
      <w:szCs w:val="20"/>
    </w:rPr>
  </w:style>
  <w:style w:type="paragraph" w:styleId="3">
    <w:name w:val="heading 3"/>
    <w:basedOn w:val="a"/>
    <w:next w:val="a"/>
    <w:semiHidden/>
    <w:unhideWhenUsed/>
    <w:qFormat/>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eastAsia="宋体" w:hAnsi="Times New Roman" w:cs="Times New Roman"/>
      <w:sz w:val="24"/>
      <w:szCs w:val="20"/>
    </w:rPr>
  </w:style>
  <w:style w:type="paragraph" w:styleId="a4">
    <w:name w:val="Body Text"/>
    <w:basedOn w:val="a"/>
    <w:next w:val="a5"/>
    <w:qFormat/>
    <w:rPr>
      <w:rFonts w:ascii="仿宋_GB2312" w:eastAsia="仿宋_GB2312" w:hAnsi="Times New Roman" w:cs="Times New Roman" w:hint="eastAsia"/>
      <w:sz w:val="32"/>
      <w:szCs w:val="20"/>
    </w:rPr>
  </w:style>
  <w:style w:type="paragraph" w:styleId="a5">
    <w:name w:val="Body Text Indent"/>
    <w:basedOn w:val="a"/>
    <w:next w:val="a"/>
    <w:qFormat/>
    <w:pPr>
      <w:spacing w:line="700" w:lineRule="exact"/>
      <w:ind w:left="960"/>
    </w:pPr>
    <w:rPr>
      <w:rFonts w:ascii="Times New Roman" w:eastAsia="宋体" w:hAnsi="Times New Roman" w:cs="Times New Roman"/>
      <w:sz w:val="44"/>
      <w:szCs w:val="20"/>
    </w:rPr>
  </w:style>
  <w:style w:type="paragraph" w:styleId="a6">
    <w:name w:val="Plain Text"/>
    <w:basedOn w:val="a"/>
    <w:qFormat/>
    <w:rPr>
      <w:rFonts w:ascii="宋体" w:eastAsia="宋体" w:hAnsi="Courier New" w:cs="Times New Roman" w:hint="eastAsia"/>
      <w:szCs w:val="20"/>
    </w:rPr>
  </w:style>
  <w:style w:type="paragraph" w:styleId="a7">
    <w:name w:val="Date"/>
    <w:basedOn w:val="a"/>
    <w:next w:val="a"/>
    <w:qFormat/>
    <w:rPr>
      <w:rFonts w:ascii="Times New Roman" w:eastAsia="宋体" w:hAnsi="Times New Roman" w:cs="Times New Roman"/>
      <w:sz w:val="28"/>
      <w:szCs w:val="20"/>
    </w:rPr>
  </w:style>
  <w:style w:type="paragraph" w:styleId="a8">
    <w:name w:val="footer"/>
    <w:basedOn w:val="a"/>
    <w:unhideWhenUsed/>
    <w:pPr>
      <w:tabs>
        <w:tab w:val="center" w:pos="4153"/>
        <w:tab w:val="right" w:pos="8306"/>
      </w:tabs>
      <w:snapToGrid w:val="0"/>
      <w:jc w:val="left"/>
    </w:pPr>
    <w:rPr>
      <w:sz w:val="18"/>
      <w:szCs w:val="18"/>
    </w:rPr>
  </w:style>
  <w:style w:type="paragraph" w:styleId="a9">
    <w:name w:val="header"/>
    <w:basedOn w:val="a"/>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pPr>
      <w:spacing w:line="180" w:lineRule="auto"/>
      <w:jc w:val="center"/>
    </w:pPr>
    <w:rPr>
      <w:sz w:val="30"/>
    </w:rPr>
  </w:style>
  <w:style w:type="paragraph" w:styleId="aa">
    <w:name w:val="Normal (Web)"/>
    <w:basedOn w:val="a"/>
    <w:pPr>
      <w:spacing w:beforeAutospacing="1" w:afterAutospacing="1"/>
      <w:jc w:val="left"/>
    </w:pPr>
    <w:rPr>
      <w:rFonts w:cs="Times New Roman"/>
      <w:kern w:val="0"/>
      <w:sz w:val="24"/>
    </w:rPr>
  </w:style>
  <w:style w:type="paragraph" w:styleId="ab">
    <w:name w:val="List Paragraph"/>
    <w:basedOn w:val="a"/>
    <w:uiPriority w:val="99"/>
    <w:unhideWhenUsed/>
    <w:qFormat/>
    <w:pPr>
      <w:ind w:firstLineChars="200" w:firstLine="420"/>
    </w:pPr>
  </w:style>
  <w:style w:type="paragraph" w:customStyle="1" w:styleId="ac">
    <w:name w:val="图例"/>
    <w:basedOn w:val="a"/>
    <w:qFormat/>
    <w:pPr>
      <w:spacing w:before="120" w:after="120" w:line="360" w:lineRule="auto"/>
      <w:jc w:val="center"/>
    </w:pPr>
    <w:rPr>
      <w:rFonts w:ascii="Times New Roman" w:eastAsia="仿宋_GB2312" w:hAnsi="Times New Roman" w:cs="Times New Roman"/>
      <w:b/>
      <w:sz w:val="24"/>
      <w:szCs w:val="20"/>
    </w:rPr>
  </w:style>
  <w:style w:type="paragraph" w:customStyle="1" w:styleId="10">
    <w:name w:val="1"/>
    <w:basedOn w:val="a"/>
    <w:next w:val="a6"/>
    <w:qFormat/>
    <w:rPr>
      <w:rFonts w:ascii="宋体" w:eastAsia="宋体" w:hAnsi="Courier New" w:cs="Times New Roman"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lsdException w:name="footer" w:unhideWhenUsed="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2" w:lineRule="auto"/>
      <w:outlineLvl w:val="1"/>
    </w:pPr>
    <w:rPr>
      <w:rFonts w:ascii="Arial" w:eastAsia="黑体" w:hAnsi="Arial" w:cs="Times New Roman"/>
      <w:b/>
      <w:sz w:val="32"/>
      <w:szCs w:val="20"/>
    </w:rPr>
  </w:style>
  <w:style w:type="paragraph" w:styleId="3">
    <w:name w:val="heading 3"/>
    <w:basedOn w:val="a"/>
    <w:next w:val="a"/>
    <w:semiHidden/>
    <w:unhideWhenUsed/>
    <w:qFormat/>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eastAsia="宋体" w:hAnsi="Times New Roman" w:cs="Times New Roman"/>
      <w:sz w:val="24"/>
      <w:szCs w:val="20"/>
    </w:rPr>
  </w:style>
  <w:style w:type="paragraph" w:styleId="a4">
    <w:name w:val="Body Text"/>
    <w:basedOn w:val="a"/>
    <w:next w:val="a5"/>
    <w:qFormat/>
    <w:rPr>
      <w:rFonts w:ascii="仿宋_GB2312" w:eastAsia="仿宋_GB2312" w:hAnsi="Times New Roman" w:cs="Times New Roman" w:hint="eastAsia"/>
      <w:sz w:val="32"/>
      <w:szCs w:val="20"/>
    </w:rPr>
  </w:style>
  <w:style w:type="paragraph" w:styleId="a5">
    <w:name w:val="Body Text Indent"/>
    <w:basedOn w:val="a"/>
    <w:next w:val="a"/>
    <w:qFormat/>
    <w:pPr>
      <w:spacing w:line="700" w:lineRule="exact"/>
      <w:ind w:left="960"/>
    </w:pPr>
    <w:rPr>
      <w:rFonts w:ascii="Times New Roman" w:eastAsia="宋体" w:hAnsi="Times New Roman" w:cs="Times New Roman"/>
      <w:sz w:val="44"/>
      <w:szCs w:val="20"/>
    </w:rPr>
  </w:style>
  <w:style w:type="paragraph" w:styleId="a6">
    <w:name w:val="Plain Text"/>
    <w:basedOn w:val="a"/>
    <w:qFormat/>
    <w:rPr>
      <w:rFonts w:ascii="宋体" w:eastAsia="宋体" w:hAnsi="Courier New" w:cs="Times New Roman" w:hint="eastAsia"/>
      <w:szCs w:val="20"/>
    </w:rPr>
  </w:style>
  <w:style w:type="paragraph" w:styleId="a7">
    <w:name w:val="Date"/>
    <w:basedOn w:val="a"/>
    <w:next w:val="a"/>
    <w:qFormat/>
    <w:rPr>
      <w:rFonts w:ascii="Times New Roman" w:eastAsia="宋体" w:hAnsi="Times New Roman" w:cs="Times New Roman"/>
      <w:sz w:val="28"/>
      <w:szCs w:val="20"/>
    </w:rPr>
  </w:style>
  <w:style w:type="paragraph" w:styleId="a8">
    <w:name w:val="footer"/>
    <w:basedOn w:val="a"/>
    <w:unhideWhenUsed/>
    <w:pPr>
      <w:tabs>
        <w:tab w:val="center" w:pos="4153"/>
        <w:tab w:val="right" w:pos="8306"/>
      </w:tabs>
      <w:snapToGrid w:val="0"/>
      <w:jc w:val="left"/>
    </w:pPr>
    <w:rPr>
      <w:sz w:val="18"/>
      <w:szCs w:val="18"/>
    </w:rPr>
  </w:style>
  <w:style w:type="paragraph" w:styleId="a9">
    <w:name w:val="header"/>
    <w:basedOn w:val="a"/>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pPr>
      <w:spacing w:line="180" w:lineRule="auto"/>
      <w:jc w:val="center"/>
    </w:pPr>
    <w:rPr>
      <w:sz w:val="30"/>
    </w:rPr>
  </w:style>
  <w:style w:type="paragraph" w:styleId="aa">
    <w:name w:val="Normal (Web)"/>
    <w:basedOn w:val="a"/>
    <w:pPr>
      <w:spacing w:beforeAutospacing="1" w:afterAutospacing="1"/>
      <w:jc w:val="left"/>
    </w:pPr>
    <w:rPr>
      <w:rFonts w:cs="Times New Roman"/>
      <w:kern w:val="0"/>
      <w:sz w:val="24"/>
    </w:rPr>
  </w:style>
  <w:style w:type="paragraph" w:styleId="ab">
    <w:name w:val="List Paragraph"/>
    <w:basedOn w:val="a"/>
    <w:uiPriority w:val="99"/>
    <w:unhideWhenUsed/>
    <w:qFormat/>
    <w:pPr>
      <w:ind w:firstLineChars="200" w:firstLine="420"/>
    </w:pPr>
  </w:style>
  <w:style w:type="paragraph" w:customStyle="1" w:styleId="ac">
    <w:name w:val="图例"/>
    <w:basedOn w:val="a"/>
    <w:qFormat/>
    <w:pPr>
      <w:spacing w:before="120" w:after="120" w:line="360" w:lineRule="auto"/>
      <w:jc w:val="center"/>
    </w:pPr>
    <w:rPr>
      <w:rFonts w:ascii="Times New Roman" w:eastAsia="仿宋_GB2312" w:hAnsi="Times New Roman" w:cs="Times New Roman"/>
      <w:b/>
      <w:sz w:val="24"/>
      <w:szCs w:val="20"/>
    </w:rPr>
  </w:style>
  <w:style w:type="paragraph" w:customStyle="1" w:styleId="10">
    <w:name w:val="1"/>
    <w:basedOn w:val="a"/>
    <w:next w:val="a6"/>
    <w:qFormat/>
    <w:rPr>
      <w:rFonts w:ascii="宋体" w:eastAsia="宋体" w:hAnsi="Courier New"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dcterms:created xsi:type="dcterms:W3CDTF">2023-05-23T03:46:00Z</dcterms:created>
  <dcterms:modified xsi:type="dcterms:W3CDTF">2023-05-30T03:30:00Z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BF032865CCEF4A68B87D506439BB30CB</vt:lpwstr>
  </property>
</Properties>
</file>