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8"/>
          <w:szCs w:val="48"/>
        </w:rPr>
      </w:pPr>
    </w:p>
    <w:p>
      <w:pPr>
        <w:adjustRightInd/>
        <w:spacing w:line="360" w:lineRule="auto"/>
        <w:jc w:val="center"/>
        <w:rPr>
          <w:rFonts w:ascii="宋体" w:hAnsi="宋体" w:cs="宋体"/>
          <w:color w:val="auto"/>
          <w:sz w:val="52"/>
          <w:szCs w:val="52"/>
        </w:rPr>
      </w:pPr>
      <w:r>
        <w:rPr>
          <w:rFonts w:hint="eastAsia" w:ascii="仿宋_GB2312" w:hAnsi="仿宋" w:eastAsia="仿宋_GB2312" w:cs="仿宋"/>
          <w:color w:val="auto"/>
          <w:kern w:val="0"/>
          <w:sz w:val="52"/>
          <w:szCs w:val="52"/>
          <w:lang w:bidi="ar"/>
        </w:rPr>
        <w:t>2024年度杭州市西湖区公共环境除“四害”项目</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编号:ZJCT5-2024056</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pStyle w:val="7"/>
        <w:rPr>
          <w:rFonts w:ascii="宋体" w:hAnsi="宋体" w:cs="宋体"/>
          <w:color w:val="auto"/>
          <w:sz w:val="24"/>
        </w:rPr>
      </w:pPr>
    </w:p>
    <w:p>
      <w:pPr>
        <w:rPr>
          <w:rFonts w:ascii="宋体" w:hAnsi="宋体" w:cs="宋体"/>
          <w:color w:val="auto"/>
          <w:sz w:val="24"/>
        </w:rPr>
      </w:pPr>
    </w:p>
    <w:p>
      <w:pPr>
        <w:pStyle w:val="7"/>
        <w:rPr>
          <w:rFonts w:ascii="宋体" w:hAnsi="宋体" w:cs="宋体"/>
          <w:color w:val="auto"/>
          <w:sz w:val="24"/>
        </w:rPr>
      </w:pPr>
    </w:p>
    <w:p>
      <w:pPr>
        <w:rPr>
          <w:color w:val="auto"/>
        </w:rPr>
      </w:pPr>
    </w:p>
    <w:p>
      <w:pPr>
        <w:spacing w:line="360" w:lineRule="auto"/>
        <w:rPr>
          <w:rFonts w:ascii="宋体" w:hAnsi="宋体" w:cs="宋体"/>
          <w:color w:val="auto"/>
          <w:sz w:val="32"/>
          <w:szCs w:val="32"/>
        </w:rPr>
      </w:pPr>
    </w:p>
    <w:p>
      <w:pPr>
        <w:snapToGrid w:val="0"/>
        <w:spacing w:line="360" w:lineRule="auto"/>
        <w:jc w:val="center"/>
        <w:rPr>
          <w:rFonts w:ascii="宋体" w:hAnsi="宋体" w:cs="宋体"/>
          <w:color w:val="auto"/>
          <w:sz w:val="32"/>
          <w:szCs w:val="32"/>
        </w:rPr>
      </w:pPr>
      <w:r>
        <w:rPr>
          <w:rStyle w:val="967"/>
          <w:rFonts w:hint="eastAsia" w:ascii="宋体" w:hAnsi="宋体"/>
          <w:color w:val="auto"/>
          <w:sz w:val="30"/>
          <w:szCs w:val="30"/>
        </w:rPr>
        <w:t>杭州市西湖区卫生健康局</w:t>
      </w:r>
    </w:p>
    <w:p>
      <w:pPr>
        <w:spacing w:line="360" w:lineRule="auto"/>
        <w:jc w:val="center"/>
        <w:rPr>
          <w:rFonts w:ascii="宋体" w:hAnsi="宋体" w:cs="宋体"/>
          <w:bCs/>
          <w:color w:val="auto"/>
          <w:sz w:val="32"/>
          <w:szCs w:val="32"/>
        </w:rPr>
      </w:pPr>
      <w:r>
        <w:rPr>
          <w:rStyle w:val="967"/>
          <w:rFonts w:hint="eastAsia" w:ascii="宋体" w:hAnsi="宋体"/>
          <w:color w:val="auto"/>
          <w:sz w:val="30"/>
          <w:szCs w:val="30"/>
        </w:rPr>
        <w:t>浙江省成套工程有限公司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二〇二四年</w:t>
      </w:r>
      <w:r>
        <w:rPr>
          <w:rFonts w:hint="eastAsia" w:ascii="宋体" w:hAnsi="宋体" w:cs="宋体"/>
          <w:bCs/>
          <w:color w:val="auto"/>
          <w:sz w:val="32"/>
          <w:szCs w:val="32"/>
          <w:lang w:val="en-US" w:eastAsia="zh-CN"/>
        </w:rPr>
        <w:t>七</w:t>
      </w:r>
      <w:r>
        <w:rPr>
          <w:rFonts w:hint="eastAsia" w:ascii="宋体" w:hAnsi="宋体" w:cs="宋体"/>
          <w:bCs/>
          <w:color w:val="auto"/>
          <w:sz w:val="32"/>
          <w:szCs w:val="32"/>
        </w:rPr>
        <w:t>月</w:t>
      </w:r>
    </w:p>
    <w:p>
      <w:pPr>
        <w:spacing w:line="360" w:lineRule="auto"/>
        <w:jc w:val="center"/>
        <w:rPr>
          <w:rFonts w:ascii="宋体" w:hAnsi="宋体" w:cs="宋体"/>
          <w:color w:val="auto"/>
          <w:sz w:val="24"/>
        </w:rPr>
      </w:pPr>
      <w:bookmarkStart w:id="0" w:name="_Hlt67893495"/>
      <w:bookmarkEnd w:id="0"/>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rPr>
        <w:t>2024年度杭州市西湖区公共环境除“四害”项目招标项目的潜在投标人应在政采云平台（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https://www.zcygov.cn/）获取（下载）招标文件，并于202</w:t>
      </w:r>
      <w:r>
        <w:rPr>
          <w:rStyle w:val="77"/>
          <w:rFonts w:hint="eastAsia" w:ascii="宋体" w:hAnsi="宋体" w:cs="宋体"/>
          <w:snapToGrid/>
          <w:color w:val="auto"/>
          <w:kern w:val="2"/>
          <w:sz w:val="24"/>
          <w:szCs w:val="24"/>
        </w:rPr>
        <w:t>4</w:t>
      </w:r>
      <w:r>
        <w:rPr>
          <w:rStyle w:val="77"/>
          <w:rFonts w:hint="eastAsia" w:ascii="宋体" w:hAnsi="宋体" w:eastAsia="宋体" w:cs="宋体"/>
          <w:snapToGrid/>
          <w:color w:val="auto"/>
          <w:kern w:val="2"/>
          <w:sz w:val="24"/>
          <w:szCs w:val="24"/>
        </w:rPr>
        <w:t xml:space="preserve">年 </w:t>
      </w:r>
      <w:r>
        <w:rPr>
          <w:rStyle w:val="77"/>
          <w:rFonts w:hint="eastAsia" w:ascii="宋体" w:hAnsi="宋体" w:cs="宋体"/>
          <w:snapToGrid/>
          <w:color w:val="auto"/>
          <w:kern w:val="2"/>
          <w:sz w:val="24"/>
          <w:szCs w:val="24"/>
        </w:rPr>
        <w:t>7</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30</w:t>
      </w:r>
      <w:r>
        <w:rPr>
          <w:rStyle w:val="77"/>
          <w:rFonts w:hint="eastAsia" w:ascii="宋体" w:hAnsi="宋体" w:eastAsia="宋体" w:cs="宋体"/>
          <w:snapToGrid/>
          <w:color w:val="auto"/>
          <w:kern w:val="2"/>
          <w:sz w:val="24"/>
          <w:szCs w:val="24"/>
        </w:rPr>
        <w:t xml:space="preserve">日 </w:t>
      </w:r>
      <w:r>
        <w:rPr>
          <w:rStyle w:val="77"/>
          <w:rFonts w:hint="eastAsia" w:ascii="宋体" w:hAnsi="宋体" w:cs="宋体"/>
          <w:snapToGrid/>
          <w:color w:val="auto"/>
          <w:kern w:val="2"/>
          <w:sz w:val="24"/>
          <w:szCs w:val="24"/>
          <w:lang w:val="en-US" w:eastAsia="zh-CN"/>
        </w:rPr>
        <w:t>09</w:t>
      </w:r>
      <w:r>
        <w:rPr>
          <w:rStyle w:val="77"/>
          <w:rFonts w:hint="eastAsia" w:ascii="宋体" w:hAnsi="宋体" w:eastAsia="宋体" w:cs="宋体"/>
          <w:snapToGrid/>
          <w:color w:val="auto"/>
          <w:kern w:val="2"/>
          <w:sz w:val="24"/>
          <w:szCs w:val="24"/>
        </w:rPr>
        <w:t xml:space="preserve">点 </w:t>
      </w:r>
      <w:r>
        <w:rPr>
          <w:rStyle w:val="77"/>
          <w:rFonts w:hint="eastAsia" w:ascii="宋体" w:hAnsi="宋体" w:cs="宋体"/>
          <w:snapToGrid/>
          <w:color w:val="auto"/>
          <w:kern w:val="2"/>
          <w:sz w:val="24"/>
          <w:szCs w:val="24"/>
        </w:rPr>
        <w:t>30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rPr>
        <w:t>ZJCT5-2024056</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2024年度杭州市西湖区公共环境除“四害”项目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ascii="宋体" w:hAnsi="宋体" w:cs="宋体"/>
          <w:color w:val="auto"/>
          <w:sz w:val="24"/>
        </w:rPr>
        <w:t xml:space="preserve"> </w:t>
      </w:r>
      <w:r>
        <w:rPr>
          <w:rFonts w:hint="eastAsia" w:ascii="宋体" w:hAnsi="宋体" w:cs="宋体"/>
          <w:color w:val="auto"/>
          <w:sz w:val="24"/>
        </w:rPr>
        <w:t>2420000</w:t>
      </w:r>
    </w:p>
    <w:p>
      <w:pPr>
        <w:pStyle w:val="60"/>
        <w:spacing w:before="75" w:beforeAutospacing="0" w:after="75" w:afterAutospacing="0"/>
        <w:ind w:firstLine="480" w:firstLineChars="200"/>
        <w:rPr>
          <w:color w:val="auto"/>
        </w:rPr>
      </w:pPr>
      <w:r>
        <w:rPr>
          <w:rFonts w:hint="eastAsia"/>
          <w:color w:val="auto"/>
        </w:rPr>
        <w:t>最高限价（元）：</w:t>
      </w:r>
      <w:r>
        <w:rPr>
          <w:rFonts w:hint="eastAsia" w:ascii="宋体" w:hAnsi="宋体" w:eastAsia="宋体" w:cs="宋体"/>
          <w:color w:val="auto"/>
          <w:kern w:val="2"/>
          <w:sz w:val="24"/>
          <w:szCs w:val="24"/>
          <w:lang w:val="en-US" w:eastAsia="zh-CN" w:bidi="ar-SA"/>
        </w:rPr>
        <w:t>660000，450000，320000，330000，320000， 340000</w:t>
      </w:r>
    </w:p>
    <w:p>
      <w:pPr>
        <w:pStyle w:val="60"/>
        <w:spacing w:before="0" w:beforeAutospacing="0" w:after="0" w:afterAutospacing="0"/>
        <w:ind w:firstLine="384"/>
        <w:rPr>
          <w:color w:val="auto"/>
        </w:rPr>
      </w:pPr>
      <w:r>
        <w:rPr>
          <w:rFonts w:hint="eastAsia"/>
          <w:color w:val="auto"/>
        </w:rPr>
        <w:t>采购需求：</w:t>
      </w:r>
    </w:p>
    <w:p>
      <w:pPr>
        <w:pStyle w:val="60"/>
        <w:spacing w:before="0" w:beforeAutospacing="0" w:after="0" w:afterAutospacing="0"/>
        <w:ind w:firstLine="384"/>
        <w:rPr>
          <w:color w:val="auto"/>
        </w:rPr>
      </w:pPr>
      <w:r>
        <w:rPr>
          <w:color w:val="auto"/>
        </w:rPr>
        <w:t xml:space="preserve">                      </w:t>
      </w:r>
    </w:p>
    <w:p>
      <w:pPr>
        <w:widowControl/>
        <w:spacing w:before="75" w:after="75"/>
        <w:ind w:firstLine="386"/>
        <w:jc w:val="left"/>
        <w:rPr>
          <w:rFonts w:ascii="仿宋" w:eastAsia="仿宋" w:cs="宋体"/>
          <w:color w:val="auto"/>
          <w:kern w:val="0"/>
          <w:sz w:val="24"/>
        </w:rPr>
      </w:pPr>
      <w:r>
        <w:rPr>
          <w:rFonts w:hint="eastAsia" w:ascii="仿宋" w:hAnsi="仿宋" w:cs="宋体"/>
          <w:color w:val="auto"/>
          <w:kern w:val="0"/>
          <w:sz w:val="24"/>
        </w:rPr>
        <w:t>标项一</w:t>
      </w:r>
    </w:p>
    <w:p>
      <w:pPr>
        <w:widowControl/>
        <w:spacing w:before="75" w:after="75"/>
        <w:ind w:firstLine="386"/>
        <w:jc w:val="left"/>
        <w:rPr>
          <w:rFonts w:ascii="Century Gothic" w:hAnsi="Century Gothic"/>
          <w:color w:val="auto"/>
          <w:kern w:val="0"/>
          <w:sz w:val="24"/>
        </w:rPr>
      </w:pPr>
      <w:r>
        <w:rPr>
          <w:rFonts w:hint="eastAsia" w:ascii="Century Gothic" w:hAnsi="Century Gothic"/>
          <w:color w:val="auto"/>
          <w:kern w:val="0"/>
          <w:sz w:val="24"/>
        </w:rPr>
        <w:t>标项名称：</w:t>
      </w:r>
      <w:r>
        <w:rPr>
          <w:rFonts w:hint="eastAsia"/>
          <w:color w:val="auto"/>
          <w:sz w:val="24"/>
        </w:rPr>
        <w:t>杭州市西湖区公共环境除“四害”</w:t>
      </w:r>
      <w:r>
        <w:rPr>
          <w:rFonts w:hint="eastAsia" w:ascii="仿宋" w:hAnsi="仿宋" w:cs="宋体"/>
          <w:color w:val="auto"/>
          <w:kern w:val="0"/>
          <w:sz w:val="24"/>
        </w:rPr>
        <w:t>标项一</w:t>
      </w:r>
    </w:p>
    <w:p>
      <w:pPr>
        <w:widowControl/>
        <w:spacing w:before="75" w:after="75"/>
        <w:ind w:firstLine="386"/>
        <w:jc w:val="left"/>
        <w:rPr>
          <w:rFonts w:cs="宋体"/>
          <w:color w:val="auto"/>
          <w:kern w:val="0"/>
          <w:sz w:val="24"/>
        </w:rPr>
      </w:pPr>
      <w:r>
        <w:rPr>
          <w:rFonts w:ascii="仿宋" w:eastAsia="仿宋" w:cs="宋体"/>
          <w:color w:val="auto"/>
          <w:kern w:val="0"/>
          <w:sz w:val="24"/>
        </w:rPr>
        <w:t> </w:t>
      </w:r>
      <w:r>
        <w:rPr>
          <w:rFonts w:hint="eastAsia" w:ascii="仿宋" w:hAnsi="仿宋" w:cs="宋体"/>
          <w:color w:val="auto"/>
          <w:kern w:val="0"/>
          <w:sz w:val="24"/>
        </w:rPr>
        <w:t>数量：</w:t>
      </w:r>
      <w:r>
        <w:rPr>
          <w:rFonts w:ascii="仿宋" w:hAnsi="仿宋" w:cs="宋体"/>
          <w:color w:val="auto"/>
          <w:kern w:val="0"/>
          <w:sz w:val="24"/>
        </w:rPr>
        <w:t>1</w:t>
      </w:r>
      <w:r>
        <w:rPr>
          <w:rFonts w:ascii="仿宋" w:eastAsia="仿宋" w:cs="宋体"/>
          <w:color w:val="auto"/>
          <w:kern w:val="0"/>
          <w:sz w:val="24"/>
        </w:rPr>
        <w:t> </w:t>
      </w:r>
    </w:p>
    <w:p>
      <w:pPr>
        <w:widowControl/>
        <w:spacing w:before="75" w:after="75"/>
        <w:ind w:firstLine="386"/>
        <w:jc w:val="left"/>
        <w:rPr>
          <w:rFonts w:ascii="仿宋" w:cs="宋体"/>
          <w:color w:val="auto"/>
          <w:kern w:val="0"/>
          <w:sz w:val="24"/>
        </w:rPr>
      </w:pPr>
      <w:r>
        <w:rPr>
          <w:rFonts w:ascii="仿宋" w:eastAsia="仿宋" w:cs="宋体"/>
          <w:color w:val="auto"/>
          <w:kern w:val="0"/>
          <w:sz w:val="24"/>
        </w:rPr>
        <w:t> </w:t>
      </w:r>
      <w:r>
        <w:rPr>
          <w:rFonts w:hint="eastAsia" w:ascii="仿宋" w:hAnsi="仿宋" w:cs="宋体"/>
          <w:color w:val="auto"/>
          <w:kern w:val="0"/>
          <w:sz w:val="24"/>
        </w:rPr>
        <w:t>预算金额（元）：</w:t>
      </w:r>
      <w:r>
        <w:rPr>
          <w:rFonts w:hint="eastAsia" w:ascii="Century Gothic" w:hAnsi="Century Gothic"/>
          <w:color w:val="auto"/>
          <w:kern w:val="0"/>
          <w:sz w:val="24"/>
        </w:rPr>
        <w:t>66</w:t>
      </w:r>
      <w:r>
        <w:rPr>
          <w:rFonts w:ascii="Century Gothic" w:hAnsi="Century Gothic"/>
          <w:color w:val="auto"/>
          <w:kern w:val="0"/>
          <w:sz w:val="24"/>
        </w:rPr>
        <w:t>0000</w:t>
      </w:r>
    </w:p>
    <w:p>
      <w:pPr>
        <w:widowControl/>
        <w:spacing w:before="75" w:after="75"/>
        <w:ind w:firstLine="386"/>
        <w:jc w:val="left"/>
        <w:rPr>
          <w:rFonts w:ascii="仿宋" w:eastAsia="仿宋" w:cs="宋体"/>
          <w:color w:val="auto"/>
          <w:kern w:val="0"/>
          <w:sz w:val="24"/>
        </w:rPr>
      </w:pPr>
      <w:r>
        <w:rPr>
          <w:rFonts w:ascii="仿宋" w:eastAsia="仿宋" w:cs="宋体"/>
          <w:color w:val="auto"/>
          <w:kern w:val="0"/>
          <w:sz w:val="24"/>
        </w:rPr>
        <w:t> </w:t>
      </w:r>
      <w:r>
        <w:rPr>
          <w:rFonts w:hint="eastAsia" w:ascii="仿宋" w:hAnsi="仿宋" w:cs="宋体"/>
          <w:color w:val="auto"/>
          <w:kern w:val="0"/>
          <w:sz w:val="24"/>
        </w:rPr>
        <w:t>单位：项</w:t>
      </w:r>
      <w:r>
        <w:rPr>
          <w:rFonts w:ascii="仿宋" w:eastAsia="仿宋" w:cs="宋体"/>
          <w:color w:val="auto"/>
          <w:kern w:val="0"/>
          <w:sz w:val="24"/>
        </w:rPr>
        <w:t> </w:t>
      </w:r>
    </w:p>
    <w:p>
      <w:pPr>
        <w:widowControl/>
        <w:spacing w:before="75" w:after="75"/>
        <w:ind w:firstLine="386"/>
        <w:jc w:val="left"/>
        <w:rPr>
          <w:rFonts w:ascii="仿宋" w:hAnsi="仿宋" w:cs="宋体"/>
          <w:color w:val="auto"/>
          <w:kern w:val="0"/>
          <w:sz w:val="24"/>
        </w:rPr>
      </w:pPr>
      <w:r>
        <w:rPr>
          <w:rFonts w:hint="eastAsia"/>
          <w:color w:val="auto"/>
          <w:sz w:val="24"/>
        </w:rPr>
        <w:t>简要规格描述：</w:t>
      </w:r>
      <w:r>
        <w:rPr>
          <w:rFonts w:ascii="仿宋" w:hAnsi="仿宋" w:cs="宋体"/>
          <w:color w:val="auto"/>
          <w:kern w:val="0"/>
          <w:sz w:val="24"/>
        </w:rPr>
        <w:t>包括转塘街道（约为</w:t>
      </w:r>
      <w:r>
        <w:rPr>
          <w:rFonts w:hint="eastAsia" w:ascii="仿宋" w:hAnsi="仿宋" w:cs="宋体"/>
          <w:color w:val="auto"/>
          <w:kern w:val="0"/>
          <w:sz w:val="24"/>
          <w:lang w:val="en-US" w:eastAsia="zh-CN"/>
        </w:rPr>
        <w:t>30.2</w:t>
      </w:r>
      <w:r>
        <w:rPr>
          <w:rFonts w:ascii="仿宋" w:hAnsi="仿宋" w:cs="宋体"/>
          <w:color w:val="auto"/>
          <w:kern w:val="0"/>
          <w:sz w:val="24"/>
        </w:rPr>
        <w:t>平方公里）</w:t>
      </w:r>
    </w:p>
    <w:p>
      <w:pPr>
        <w:widowControl/>
        <w:spacing w:before="75" w:after="75"/>
        <w:ind w:firstLine="480" w:firstLineChars="200"/>
        <w:jc w:val="left"/>
        <w:rPr>
          <w:rFonts w:ascii="仿宋" w:eastAsia="仿宋" w:cs="宋体"/>
          <w:color w:val="auto"/>
          <w:kern w:val="0"/>
          <w:sz w:val="24"/>
        </w:rPr>
      </w:pPr>
      <w:r>
        <w:rPr>
          <w:rFonts w:hint="eastAsia" w:ascii="仿宋" w:hAnsi="仿宋" w:cs="宋体"/>
          <w:color w:val="auto"/>
          <w:kern w:val="0"/>
          <w:sz w:val="24"/>
        </w:rPr>
        <w:t>备注：</w:t>
      </w:r>
      <w:r>
        <w:rPr>
          <w:rFonts w:ascii="仿宋" w:eastAsia="仿宋" w:cs="宋体"/>
          <w:color w:val="auto"/>
          <w:kern w:val="0"/>
          <w:sz w:val="24"/>
        </w:rPr>
        <w:t> </w:t>
      </w:r>
    </w:p>
    <w:p>
      <w:pPr>
        <w:pStyle w:val="60"/>
        <w:spacing w:before="0" w:beforeAutospacing="0" w:after="0" w:afterAutospacing="0"/>
        <w:ind w:firstLine="384"/>
        <w:rPr>
          <w:color w:val="auto"/>
        </w:rPr>
      </w:pPr>
    </w:p>
    <w:p>
      <w:pPr>
        <w:widowControl/>
        <w:spacing w:before="75" w:after="75"/>
        <w:ind w:firstLine="386"/>
        <w:jc w:val="left"/>
        <w:rPr>
          <w:rFonts w:ascii="仿宋" w:eastAsia="仿宋" w:cs="宋体"/>
          <w:color w:val="auto"/>
          <w:kern w:val="0"/>
          <w:sz w:val="24"/>
        </w:rPr>
      </w:pPr>
      <w:r>
        <w:rPr>
          <w:rFonts w:hint="eastAsia" w:ascii="仿宋" w:hAnsi="仿宋" w:cs="宋体"/>
          <w:color w:val="auto"/>
          <w:kern w:val="0"/>
          <w:sz w:val="24"/>
        </w:rPr>
        <w:t>标项</w:t>
      </w:r>
      <w:r>
        <w:rPr>
          <w:rFonts w:hint="eastAsia" w:ascii="仿宋" w:eastAsia="仿宋" w:cs="宋体"/>
          <w:color w:val="auto"/>
          <w:kern w:val="0"/>
          <w:sz w:val="24"/>
        </w:rPr>
        <w:t>二</w:t>
      </w:r>
    </w:p>
    <w:p>
      <w:pPr>
        <w:widowControl/>
        <w:spacing w:before="75" w:after="75"/>
        <w:ind w:firstLine="386"/>
        <w:jc w:val="left"/>
        <w:rPr>
          <w:rFonts w:ascii="Century Gothic" w:hAnsi="Century Gothic"/>
          <w:color w:val="auto"/>
          <w:kern w:val="0"/>
          <w:sz w:val="24"/>
        </w:rPr>
      </w:pPr>
      <w:r>
        <w:rPr>
          <w:rFonts w:hint="eastAsia" w:ascii="Century Gothic" w:hAnsi="Century Gothic"/>
          <w:color w:val="auto"/>
          <w:kern w:val="0"/>
          <w:sz w:val="24"/>
        </w:rPr>
        <w:t>标项名称：</w:t>
      </w:r>
      <w:r>
        <w:rPr>
          <w:rFonts w:hint="eastAsia"/>
          <w:color w:val="auto"/>
          <w:sz w:val="24"/>
        </w:rPr>
        <w:t>杭州市西湖区公共环境除“四害”</w:t>
      </w:r>
      <w:r>
        <w:rPr>
          <w:rFonts w:hint="eastAsia" w:ascii="仿宋" w:hAnsi="仿宋" w:cs="宋体"/>
          <w:color w:val="auto"/>
          <w:kern w:val="0"/>
          <w:sz w:val="24"/>
        </w:rPr>
        <w:t>标项二</w:t>
      </w:r>
    </w:p>
    <w:p>
      <w:pPr>
        <w:widowControl/>
        <w:spacing w:before="75" w:after="75"/>
        <w:ind w:firstLine="386"/>
        <w:jc w:val="left"/>
        <w:rPr>
          <w:rFonts w:cs="宋体"/>
          <w:color w:val="auto"/>
          <w:kern w:val="0"/>
          <w:sz w:val="24"/>
        </w:rPr>
      </w:pPr>
      <w:r>
        <w:rPr>
          <w:rFonts w:ascii="仿宋" w:eastAsia="仿宋" w:cs="宋体"/>
          <w:color w:val="auto"/>
          <w:kern w:val="0"/>
          <w:sz w:val="24"/>
        </w:rPr>
        <w:t> </w:t>
      </w:r>
      <w:r>
        <w:rPr>
          <w:rFonts w:hint="eastAsia" w:ascii="仿宋" w:hAnsi="仿宋" w:cs="宋体"/>
          <w:color w:val="auto"/>
          <w:kern w:val="0"/>
          <w:sz w:val="24"/>
        </w:rPr>
        <w:t>数量：</w:t>
      </w:r>
      <w:r>
        <w:rPr>
          <w:rFonts w:ascii="仿宋" w:hAnsi="仿宋" w:cs="宋体"/>
          <w:color w:val="auto"/>
          <w:kern w:val="0"/>
          <w:sz w:val="24"/>
        </w:rPr>
        <w:t>1</w:t>
      </w:r>
      <w:r>
        <w:rPr>
          <w:rFonts w:ascii="仿宋" w:eastAsia="仿宋" w:cs="宋体"/>
          <w:color w:val="auto"/>
          <w:kern w:val="0"/>
          <w:sz w:val="24"/>
        </w:rPr>
        <w:t> </w:t>
      </w:r>
    </w:p>
    <w:p>
      <w:pPr>
        <w:widowControl/>
        <w:spacing w:before="75" w:after="75"/>
        <w:ind w:firstLine="386"/>
        <w:jc w:val="left"/>
        <w:rPr>
          <w:rFonts w:ascii="仿宋" w:cs="宋体"/>
          <w:color w:val="auto"/>
          <w:kern w:val="0"/>
          <w:sz w:val="24"/>
        </w:rPr>
      </w:pPr>
      <w:r>
        <w:rPr>
          <w:rFonts w:ascii="仿宋" w:eastAsia="仿宋" w:cs="宋体"/>
          <w:color w:val="auto"/>
          <w:kern w:val="0"/>
          <w:sz w:val="24"/>
        </w:rPr>
        <w:t> </w:t>
      </w:r>
      <w:r>
        <w:rPr>
          <w:rFonts w:hint="eastAsia" w:ascii="仿宋" w:hAnsi="仿宋" w:cs="宋体"/>
          <w:color w:val="auto"/>
          <w:kern w:val="0"/>
          <w:sz w:val="24"/>
        </w:rPr>
        <w:t>预算金额（元）：</w:t>
      </w:r>
      <w:r>
        <w:rPr>
          <w:rFonts w:ascii="Century Gothic" w:hAnsi="Century Gothic"/>
          <w:color w:val="auto"/>
          <w:kern w:val="0"/>
          <w:sz w:val="24"/>
        </w:rPr>
        <w:t>450000</w:t>
      </w:r>
    </w:p>
    <w:p>
      <w:pPr>
        <w:widowControl/>
        <w:spacing w:before="75" w:after="75"/>
        <w:ind w:firstLine="386"/>
        <w:jc w:val="left"/>
        <w:rPr>
          <w:rFonts w:ascii="仿宋" w:eastAsia="仿宋" w:cs="宋体"/>
          <w:color w:val="auto"/>
          <w:kern w:val="0"/>
          <w:sz w:val="24"/>
        </w:rPr>
      </w:pPr>
      <w:r>
        <w:rPr>
          <w:rFonts w:ascii="仿宋" w:eastAsia="仿宋" w:cs="宋体"/>
          <w:color w:val="auto"/>
          <w:kern w:val="0"/>
          <w:sz w:val="24"/>
        </w:rPr>
        <w:t> </w:t>
      </w:r>
      <w:r>
        <w:rPr>
          <w:rFonts w:hint="eastAsia" w:ascii="仿宋" w:hAnsi="仿宋" w:cs="宋体"/>
          <w:color w:val="auto"/>
          <w:kern w:val="0"/>
          <w:sz w:val="24"/>
        </w:rPr>
        <w:t>单位：项</w:t>
      </w:r>
      <w:r>
        <w:rPr>
          <w:rFonts w:ascii="仿宋" w:eastAsia="仿宋" w:cs="宋体"/>
          <w:color w:val="auto"/>
          <w:kern w:val="0"/>
          <w:sz w:val="24"/>
        </w:rPr>
        <w:t> </w:t>
      </w:r>
    </w:p>
    <w:p>
      <w:pPr>
        <w:widowControl/>
        <w:spacing w:before="75" w:after="75"/>
        <w:ind w:firstLine="386"/>
        <w:jc w:val="left"/>
        <w:rPr>
          <w:color w:val="auto"/>
          <w:sz w:val="24"/>
        </w:rPr>
      </w:pPr>
      <w:r>
        <w:rPr>
          <w:rFonts w:hint="eastAsia" w:ascii="仿宋" w:hAnsi="仿宋" w:cs="宋体"/>
          <w:color w:val="auto"/>
          <w:kern w:val="0"/>
          <w:sz w:val="24"/>
        </w:rPr>
        <w:t> </w:t>
      </w:r>
      <w:r>
        <w:rPr>
          <w:rFonts w:hint="eastAsia"/>
          <w:color w:val="auto"/>
          <w:sz w:val="24"/>
        </w:rPr>
        <w:t>简要规格描述：包括</w:t>
      </w:r>
      <w:r>
        <w:rPr>
          <w:color w:val="auto"/>
          <w:sz w:val="24"/>
        </w:rPr>
        <w:t>蒋村街道（约13.84平方公里）</w:t>
      </w:r>
    </w:p>
    <w:p>
      <w:pPr>
        <w:widowControl/>
        <w:spacing w:before="75" w:after="75"/>
        <w:ind w:firstLine="386"/>
        <w:jc w:val="left"/>
        <w:rPr>
          <w:rFonts w:ascii="仿宋" w:eastAsia="仿宋" w:cs="宋体"/>
          <w:color w:val="auto"/>
          <w:kern w:val="0"/>
          <w:sz w:val="24"/>
        </w:rPr>
      </w:pPr>
      <w:r>
        <w:rPr>
          <w:rFonts w:ascii="仿宋" w:eastAsia="仿宋" w:cs="宋体"/>
          <w:color w:val="auto"/>
          <w:kern w:val="0"/>
          <w:sz w:val="24"/>
        </w:rPr>
        <w:t> </w:t>
      </w:r>
      <w:r>
        <w:rPr>
          <w:rFonts w:hint="eastAsia" w:ascii="仿宋" w:hAnsi="仿宋" w:cs="宋体"/>
          <w:color w:val="auto"/>
          <w:kern w:val="0"/>
          <w:sz w:val="24"/>
        </w:rPr>
        <w:t>备注：</w:t>
      </w:r>
      <w:r>
        <w:rPr>
          <w:rFonts w:ascii="仿宋" w:eastAsia="仿宋" w:cs="宋体"/>
          <w:color w:val="auto"/>
          <w:kern w:val="0"/>
          <w:sz w:val="24"/>
        </w:rPr>
        <w:t> </w:t>
      </w:r>
    </w:p>
    <w:p>
      <w:pPr>
        <w:pStyle w:val="60"/>
        <w:spacing w:before="0" w:beforeAutospacing="0" w:after="0" w:afterAutospacing="0"/>
        <w:ind w:firstLine="384"/>
        <w:rPr>
          <w:color w:val="auto"/>
        </w:rPr>
      </w:pPr>
    </w:p>
    <w:p>
      <w:pPr>
        <w:widowControl/>
        <w:spacing w:before="75" w:after="75"/>
        <w:ind w:firstLine="386"/>
        <w:jc w:val="left"/>
        <w:rPr>
          <w:rFonts w:ascii="仿宋" w:eastAsia="仿宋" w:cs="宋体"/>
          <w:color w:val="auto"/>
          <w:kern w:val="0"/>
          <w:sz w:val="24"/>
        </w:rPr>
      </w:pPr>
      <w:r>
        <w:rPr>
          <w:rFonts w:hint="eastAsia" w:ascii="仿宋" w:hAnsi="仿宋" w:cs="宋体"/>
          <w:color w:val="auto"/>
          <w:kern w:val="0"/>
          <w:sz w:val="24"/>
        </w:rPr>
        <w:t>标项三</w:t>
      </w:r>
    </w:p>
    <w:p>
      <w:pPr>
        <w:widowControl/>
        <w:spacing w:before="75" w:after="75"/>
        <w:ind w:firstLine="386"/>
        <w:jc w:val="left"/>
        <w:rPr>
          <w:rFonts w:ascii="Century Gothic" w:hAnsi="Century Gothic"/>
          <w:color w:val="auto"/>
          <w:kern w:val="0"/>
          <w:sz w:val="24"/>
        </w:rPr>
      </w:pPr>
      <w:r>
        <w:rPr>
          <w:rFonts w:hint="eastAsia" w:ascii="Century Gothic" w:hAnsi="Century Gothic"/>
          <w:color w:val="auto"/>
          <w:kern w:val="0"/>
          <w:sz w:val="24"/>
        </w:rPr>
        <w:t>标项名称：</w:t>
      </w:r>
      <w:r>
        <w:rPr>
          <w:rFonts w:hint="eastAsia"/>
          <w:color w:val="auto"/>
          <w:sz w:val="24"/>
        </w:rPr>
        <w:t>杭州市西湖区公共环境除“四害”</w:t>
      </w:r>
      <w:r>
        <w:rPr>
          <w:rFonts w:hint="eastAsia" w:ascii="仿宋" w:hAnsi="仿宋" w:cs="宋体"/>
          <w:color w:val="auto"/>
          <w:kern w:val="0"/>
          <w:sz w:val="24"/>
        </w:rPr>
        <w:t>标项三</w:t>
      </w:r>
    </w:p>
    <w:p>
      <w:pPr>
        <w:widowControl/>
        <w:spacing w:before="75" w:after="75"/>
        <w:ind w:firstLine="386"/>
        <w:jc w:val="left"/>
        <w:rPr>
          <w:rFonts w:cs="宋体"/>
          <w:color w:val="auto"/>
          <w:kern w:val="0"/>
          <w:sz w:val="24"/>
        </w:rPr>
      </w:pPr>
      <w:r>
        <w:rPr>
          <w:rFonts w:ascii="仿宋" w:eastAsia="仿宋" w:cs="宋体"/>
          <w:color w:val="auto"/>
          <w:kern w:val="0"/>
          <w:sz w:val="24"/>
        </w:rPr>
        <w:t> </w:t>
      </w:r>
      <w:r>
        <w:rPr>
          <w:rFonts w:hint="eastAsia" w:ascii="仿宋" w:hAnsi="仿宋" w:cs="宋体"/>
          <w:color w:val="auto"/>
          <w:kern w:val="0"/>
          <w:sz w:val="24"/>
        </w:rPr>
        <w:t>数量：</w:t>
      </w:r>
      <w:r>
        <w:rPr>
          <w:rFonts w:ascii="仿宋" w:hAnsi="仿宋" w:cs="宋体"/>
          <w:color w:val="auto"/>
          <w:kern w:val="0"/>
          <w:sz w:val="24"/>
        </w:rPr>
        <w:t>1</w:t>
      </w:r>
      <w:r>
        <w:rPr>
          <w:rFonts w:ascii="仿宋" w:eastAsia="仿宋" w:cs="宋体"/>
          <w:color w:val="auto"/>
          <w:kern w:val="0"/>
          <w:sz w:val="24"/>
        </w:rPr>
        <w:t> </w:t>
      </w:r>
    </w:p>
    <w:p>
      <w:pPr>
        <w:widowControl/>
        <w:spacing w:before="75" w:after="75"/>
        <w:ind w:firstLine="386"/>
        <w:jc w:val="left"/>
        <w:rPr>
          <w:rFonts w:ascii="仿宋" w:cs="宋体"/>
          <w:color w:val="auto"/>
          <w:kern w:val="0"/>
          <w:sz w:val="24"/>
        </w:rPr>
      </w:pPr>
      <w:r>
        <w:rPr>
          <w:rFonts w:ascii="仿宋" w:eastAsia="仿宋" w:cs="宋体"/>
          <w:color w:val="auto"/>
          <w:kern w:val="0"/>
          <w:sz w:val="24"/>
        </w:rPr>
        <w:t> </w:t>
      </w:r>
      <w:r>
        <w:rPr>
          <w:rFonts w:hint="eastAsia" w:ascii="仿宋" w:hAnsi="仿宋" w:cs="宋体"/>
          <w:color w:val="auto"/>
          <w:kern w:val="0"/>
          <w:sz w:val="24"/>
        </w:rPr>
        <w:t>预算金额（元）：</w:t>
      </w:r>
      <w:r>
        <w:rPr>
          <w:rFonts w:hint="eastAsia"/>
          <w:color w:val="auto"/>
          <w:sz w:val="24"/>
        </w:rPr>
        <w:t>320000</w:t>
      </w:r>
    </w:p>
    <w:p>
      <w:pPr>
        <w:widowControl/>
        <w:spacing w:before="75" w:after="75"/>
        <w:ind w:firstLine="386"/>
        <w:jc w:val="left"/>
        <w:rPr>
          <w:rFonts w:ascii="仿宋" w:eastAsia="仿宋" w:cs="宋体"/>
          <w:color w:val="auto"/>
          <w:kern w:val="0"/>
          <w:sz w:val="24"/>
        </w:rPr>
      </w:pPr>
      <w:r>
        <w:rPr>
          <w:rFonts w:ascii="仿宋" w:eastAsia="仿宋" w:cs="宋体"/>
          <w:color w:val="auto"/>
          <w:kern w:val="0"/>
          <w:sz w:val="24"/>
        </w:rPr>
        <w:t> </w:t>
      </w:r>
      <w:r>
        <w:rPr>
          <w:rFonts w:hint="eastAsia" w:ascii="仿宋" w:hAnsi="仿宋" w:cs="宋体"/>
          <w:color w:val="auto"/>
          <w:kern w:val="0"/>
          <w:sz w:val="24"/>
        </w:rPr>
        <w:t>单位：项</w:t>
      </w:r>
      <w:r>
        <w:rPr>
          <w:rFonts w:ascii="仿宋" w:eastAsia="仿宋" w:cs="宋体"/>
          <w:color w:val="auto"/>
          <w:kern w:val="0"/>
          <w:sz w:val="24"/>
        </w:rPr>
        <w:t> </w:t>
      </w:r>
    </w:p>
    <w:p>
      <w:pPr>
        <w:widowControl/>
        <w:spacing w:before="75" w:after="75"/>
        <w:ind w:firstLine="386"/>
        <w:jc w:val="left"/>
        <w:rPr>
          <w:rFonts w:ascii="仿宋" w:hAnsi="仿宋" w:cs="宋体"/>
          <w:color w:val="auto"/>
          <w:kern w:val="0"/>
          <w:sz w:val="24"/>
        </w:rPr>
      </w:pPr>
      <w:r>
        <w:rPr>
          <w:rFonts w:hint="eastAsia" w:ascii="仿宋" w:hAnsi="仿宋" w:cs="宋体"/>
          <w:color w:val="auto"/>
          <w:kern w:val="0"/>
          <w:sz w:val="24"/>
        </w:rPr>
        <w:t> 简要规格描述：</w:t>
      </w:r>
      <w:r>
        <w:rPr>
          <w:rFonts w:ascii="仿宋" w:hAnsi="仿宋" w:cs="宋体"/>
          <w:color w:val="auto"/>
          <w:kern w:val="0"/>
          <w:sz w:val="24"/>
        </w:rPr>
        <w:t>包括文新街道（约5.05平方公里）</w:t>
      </w:r>
      <w:r>
        <w:rPr>
          <w:rFonts w:hint="eastAsia" w:ascii="仿宋" w:hAnsi="仿宋" w:cs="宋体"/>
          <w:color w:val="auto"/>
          <w:kern w:val="0"/>
          <w:sz w:val="24"/>
        </w:rPr>
        <w:t>、</w:t>
      </w:r>
      <w:r>
        <w:rPr>
          <w:rFonts w:ascii="仿宋" w:hAnsi="仿宋" w:cs="宋体"/>
          <w:color w:val="auto"/>
          <w:kern w:val="0"/>
          <w:sz w:val="24"/>
        </w:rPr>
        <w:t>古荡街道（约4.64平方公里）</w:t>
      </w:r>
    </w:p>
    <w:p>
      <w:pPr>
        <w:widowControl/>
        <w:spacing w:before="75" w:after="75"/>
        <w:ind w:firstLine="386"/>
        <w:jc w:val="left"/>
        <w:rPr>
          <w:rFonts w:ascii="仿宋" w:eastAsia="仿宋" w:cs="宋体"/>
          <w:color w:val="auto"/>
          <w:kern w:val="0"/>
          <w:sz w:val="24"/>
        </w:rPr>
      </w:pPr>
      <w:r>
        <w:rPr>
          <w:rFonts w:hint="eastAsia" w:ascii="仿宋" w:hAnsi="仿宋" w:cs="宋体"/>
          <w:color w:val="auto"/>
          <w:kern w:val="0"/>
          <w:sz w:val="24"/>
        </w:rPr>
        <w:t>标项</w:t>
      </w:r>
      <w:r>
        <w:rPr>
          <w:rFonts w:hint="eastAsia" w:ascii="仿宋" w:eastAsia="仿宋" w:cs="宋体"/>
          <w:color w:val="auto"/>
          <w:kern w:val="0"/>
          <w:sz w:val="24"/>
        </w:rPr>
        <w:t>四</w:t>
      </w:r>
    </w:p>
    <w:p>
      <w:pPr>
        <w:widowControl/>
        <w:spacing w:before="75" w:after="75"/>
        <w:ind w:firstLine="386"/>
        <w:jc w:val="left"/>
        <w:rPr>
          <w:rFonts w:ascii="Century Gothic" w:hAnsi="Century Gothic"/>
          <w:color w:val="auto"/>
          <w:kern w:val="0"/>
          <w:sz w:val="24"/>
        </w:rPr>
      </w:pPr>
      <w:r>
        <w:rPr>
          <w:rFonts w:hint="eastAsia" w:ascii="Century Gothic" w:hAnsi="Century Gothic"/>
          <w:color w:val="auto"/>
          <w:kern w:val="0"/>
          <w:sz w:val="24"/>
        </w:rPr>
        <w:t>标项名称：</w:t>
      </w:r>
      <w:r>
        <w:rPr>
          <w:rFonts w:hint="eastAsia"/>
          <w:color w:val="auto"/>
          <w:sz w:val="24"/>
        </w:rPr>
        <w:t>杭州市西湖区公共环境除“四害”</w:t>
      </w:r>
      <w:r>
        <w:rPr>
          <w:rFonts w:hint="eastAsia" w:ascii="仿宋" w:hAnsi="仿宋" w:cs="宋体"/>
          <w:color w:val="auto"/>
          <w:kern w:val="0"/>
          <w:sz w:val="24"/>
        </w:rPr>
        <w:t>标项四</w:t>
      </w:r>
    </w:p>
    <w:p>
      <w:pPr>
        <w:widowControl/>
        <w:spacing w:before="75" w:after="75"/>
        <w:ind w:firstLine="386"/>
        <w:jc w:val="left"/>
        <w:rPr>
          <w:rFonts w:cs="宋体"/>
          <w:color w:val="auto"/>
          <w:kern w:val="0"/>
          <w:sz w:val="24"/>
        </w:rPr>
      </w:pPr>
      <w:r>
        <w:rPr>
          <w:rFonts w:ascii="仿宋" w:eastAsia="仿宋" w:cs="宋体"/>
          <w:color w:val="auto"/>
          <w:kern w:val="0"/>
          <w:sz w:val="24"/>
        </w:rPr>
        <w:t> </w:t>
      </w:r>
      <w:r>
        <w:rPr>
          <w:rFonts w:hint="eastAsia" w:ascii="仿宋" w:hAnsi="仿宋" w:cs="宋体"/>
          <w:color w:val="auto"/>
          <w:kern w:val="0"/>
          <w:sz w:val="24"/>
        </w:rPr>
        <w:t>数量：</w:t>
      </w:r>
      <w:r>
        <w:rPr>
          <w:rFonts w:ascii="仿宋" w:hAnsi="仿宋" w:cs="宋体"/>
          <w:color w:val="auto"/>
          <w:kern w:val="0"/>
          <w:sz w:val="24"/>
        </w:rPr>
        <w:t>1</w:t>
      </w:r>
      <w:r>
        <w:rPr>
          <w:rFonts w:ascii="仿宋" w:eastAsia="仿宋" w:cs="宋体"/>
          <w:color w:val="auto"/>
          <w:kern w:val="0"/>
          <w:sz w:val="24"/>
        </w:rPr>
        <w:t> </w:t>
      </w:r>
    </w:p>
    <w:p>
      <w:pPr>
        <w:widowControl/>
        <w:spacing w:before="75" w:after="75"/>
        <w:ind w:firstLine="386"/>
        <w:jc w:val="left"/>
        <w:rPr>
          <w:rFonts w:ascii="Century Gothic" w:hAnsi="Century Gothic"/>
          <w:color w:val="auto"/>
          <w:kern w:val="0"/>
          <w:sz w:val="24"/>
        </w:rPr>
      </w:pPr>
      <w:r>
        <w:rPr>
          <w:rFonts w:ascii="仿宋" w:hAnsi="仿宋" w:cs="宋体"/>
          <w:color w:val="auto"/>
          <w:kern w:val="0"/>
          <w:sz w:val="24"/>
        </w:rPr>
        <w:t> </w:t>
      </w:r>
      <w:r>
        <w:rPr>
          <w:rFonts w:hint="eastAsia" w:ascii="仿宋" w:hAnsi="仿宋" w:cs="宋体"/>
          <w:color w:val="auto"/>
          <w:kern w:val="0"/>
          <w:sz w:val="24"/>
        </w:rPr>
        <w:t>预算金额（元）：</w:t>
      </w:r>
      <w:r>
        <w:rPr>
          <w:rFonts w:hint="eastAsia" w:ascii="Century Gothic" w:hAnsi="Century Gothic"/>
          <w:color w:val="auto"/>
          <w:kern w:val="0"/>
          <w:sz w:val="24"/>
        </w:rPr>
        <w:t>330000</w:t>
      </w:r>
    </w:p>
    <w:p>
      <w:pPr>
        <w:widowControl/>
        <w:spacing w:before="75" w:after="75"/>
        <w:ind w:firstLine="386"/>
        <w:jc w:val="left"/>
        <w:rPr>
          <w:rFonts w:ascii="仿宋" w:eastAsia="仿宋" w:cs="宋体"/>
          <w:color w:val="auto"/>
          <w:kern w:val="0"/>
          <w:sz w:val="24"/>
        </w:rPr>
      </w:pPr>
      <w:r>
        <w:rPr>
          <w:rFonts w:ascii="仿宋" w:eastAsia="仿宋" w:cs="宋体"/>
          <w:color w:val="auto"/>
          <w:kern w:val="0"/>
          <w:sz w:val="24"/>
        </w:rPr>
        <w:t> </w:t>
      </w:r>
      <w:r>
        <w:rPr>
          <w:rFonts w:hint="eastAsia" w:ascii="仿宋" w:hAnsi="仿宋" w:cs="宋体"/>
          <w:color w:val="auto"/>
          <w:kern w:val="0"/>
          <w:sz w:val="24"/>
        </w:rPr>
        <w:t>单位：项</w:t>
      </w:r>
      <w:r>
        <w:rPr>
          <w:rFonts w:ascii="仿宋" w:eastAsia="仿宋" w:cs="宋体"/>
          <w:color w:val="auto"/>
          <w:kern w:val="0"/>
          <w:sz w:val="24"/>
        </w:rPr>
        <w:t> </w:t>
      </w:r>
    </w:p>
    <w:p>
      <w:pPr>
        <w:widowControl/>
        <w:spacing w:before="75" w:after="75"/>
        <w:ind w:firstLine="386"/>
        <w:jc w:val="left"/>
        <w:rPr>
          <w:rFonts w:ascii="仿宋" w:hAnsi="仿宋" w:cs="宋体"/>
          <w:color w:val="auto"/>
          <w:kern w:val="0"/>
          <w:sz w:val="24"/>
        </w:rPr>
      </w:pPr>
      <w:r>
        <w:rPr>
          <w:rFonts w:hint="eastAsia" w:ascii="仿宋" w:hAnsi="仿宋" w:cs="宋体"/>
          <w:color w:val="auto"/>
          <w:kern w:val="0"/>
          <w:sz w:val="24"/>
        </w:rPr>
        <w:t>简要规格描述：</w:t>
      </w:r>
      <w:r>
        <w:rPr>
          <w:color w:val="auto"/>
          <w:sz w:val="24"/>
        </w:rPr>
        <w:t>翠苑街道（约3.93平方公里）</w:t>
      </w:r>
      <w:r>
        <w:rPr>
          <w:rFonts w:ascii="仿宋" w:hAnsi="仿宋" w:cs="宋体"/>
          <w:color w:val="auto"/>
          <w:kern w:val="0"/>
          <w:sz w:val="24"/>
        </w:rPr>
        <w:t>、西溪街道（约3.02平方公里）</w:t>
      </w:r>
      <w:r>
        <w:rPr>
          <w:rFonts w:ascii="仿宋" w:eastAsia="仿宋" w:cs="宋体"/>
          <w:color w:val="auto"/>
          <w:kern w:val="0"/>
          <w:sz w:val="24"/>
        </w:rPr>
        <w:t> </w:t>
      </w:r>
      <w:r>
        <w:rPr>
          <w:rFonts w:ascii="仿宋" w:hAnsi="仿宋" w:cs="宋体"/>
          <w:color w:val="auto"/>
          <w:kern w:val="0"/>
          <w:sz w:val="24"/>
        </w:rPr>
        <w:t xml:space="preserve">  </w:t>
      </w:r>
    </w:p>
    <w:p>
      <w:pPr>
        <w:widowControl/>
        <w:spacing w:before="75" w:after="75"/>
        <w:ind w:firstLine="386"/>
        <w:jc w:val="left"/>
        <w:rPr>
          <w:rFonts w:ascii="仿宋" w:eastAsia="仿宋" w:cs="宋体"/>
          <w:color w:val="auto"/>
          <w:kern w:val="0"/>
          <w:sz w:val="24"/>
        </w:rPr>
      </w:pPr>
      <w:r>
        <w:rPr>
          <w:rFonts w:hint="eastAsia" w:ascii="仿宋" w:hAnsi="仿宋" w:cs="宋体"/>
          <w:color w:val="auto"/>
          <w:kern w:val="0"/>
          <w:sz w:val="24"/>
        </w:rPr>
        <w:t>备注：</w:t>
      </w:r>
      <w:r>
        <w:rPr>
          <w:rFonts w:ascii="仿宋" w:eastAsia="仿宋" w:cs="宋体"/>
          <w:color w:val="auto"/>
          <w:kern w:val="0"/>
          <w:sz w:val="24"/>
        </w:rPr>
        <w:t> </w:t>
      </w:r>
    </w:p>
    <w:p>
      <w:pPr>
        <w:pStyle w:val="60"/>
        <w:spacing w:before="0" w:beforeAutospacing="0" w:after="0" w:afterAutospacing="0"/>
        <w:ind w:firstLine="384"/>
        <w:rPr>
          <w:rFonts w:hint="eastAsia"/>
          <w:color w:val="auto"/>
        </w:rPr>
      </w:pPr>
    </w:p>
    <w:p>
      <w:pPr>
        <w:widowControl/>
        <w:spacing w:before="75" w:after="75"/>
        <w:ind w:firstLine="386"/>
        <w:jc w:val="left"/>
        <w:rPr>
          <w:rFonts w:ascii="仿宋" w:eastAsia="仿宋" w:cs="宋体"/>
          <w:color w:val="auto"/>
          <w:kern w:val="0"/>
          <w:sz w:val="24"/>
        </w:rPr>
      </w:pPr>
      <w:r>
        <w:rPr>
          <w:rFonts w:hint="eastAsia" w:ascii="仿宋" w:hAnsi="仿宋" w:cs="宋体"/>
          <w:color w:val="auto"/>
          <w:kern w:val="0"/>
          <w:sz w:val="24"/>
        </w:rPr>
        <w:t>标项五</w:t>
      </w:r>
    </w:p>
    <w:p>
      <w:pPr>
        <w:widowControl/>
        <w:spacing w:before="75" w:after="75"/>
        <w:ind w:firstLine="386"/>
        <w:jc w:val="left"/>
        <w:rPr>
          <w:rFonts w:ascii="Century Gothic" w:hAnsi="Century Gothic"/>
          <w:color w:val="auto"/>
          <w:kern w:val="0"/>
          <w:sz w:val="24"/>
        </w:rPr>
      </w:pPr>
      <w:r>
        <w:rPr>
          <w:rFonts w:hint="eastAsia" w:ascii="Century Gothic" w:hAnsi="Century Gothic"/>
          <w:color w:val="auto"/>
          <w:kern w:val="0"/>
          <w:sz w:val="24"/>
        </w:rPr>
        <w:t>标项名称：</w:t>
      </w:r>
      <w:r>
        <w:rPr>
          <w:rFonts w:hint="eastAsia"/>
          <w:color w:val="auto"/>
          <w:sz w:val="24"/>
        </w:rPr>
        <w:t>杭州市西湖区公共环境除“四害”</w:t>
      </w:r>
      <w:r>
        <w:rPr>
          <w:rFonts w:hint="eastAsia" w:ascii="仿宋" w:hAnsi="仿宋" w:cs="宋体"/>
          <w:color w:val="auto"/>
          <w:kern w:val="0"/>
          <w:sz w:val="24"/>
        </w:rPr>
        <w:t>标项五</w:t>
      </w:r>
    </w:p>
    <w:p>
      <w:pPr>
        <w:widowControl/>
        <w:spacing w:before="75" w:after="75"/>
        <w:ind w:firstLine="386"/>
        <w:jc w:val="left"/>
        <w:rPr>
          <w:rFonts w:cs="宋体"/>
          <w:color w:val="auto"/>
          <w:kern w:val="0"/>
          <w:sz w:val="24"/>
        </w:rPr>
      </w:pPr>
      <w:r>
        <w:rPr>
          <w:rFonts w:hint="eastAsia" w:ascii="仿宋" w:hAnsi="仿宋" w:cs="宋体"/>
          <w:color w:val="auto"/>
          <w:kern w:val="0"/>
          <w:sz w:val="24"/>
        </w:rPr>
        <w:t>数量：</w:t>
      </w:r>
      <w:r>
        <w:rPr>
          <w:rFonts w:ascii="仿宋" w:hAnsi="仿宋" w:cs="宋体"/>
          <w:color w:val="auto"/>
          <w:kern w:val="0"/>
          <w:sz w:val="24"/>
        </w:rPr>
        <w:t>1</w:t>
      </w:r>
      <w:r>
        <w:rPr>
          <w:rFonts w:ascii="仿宋" w:eastAsia="仿宋" w:cs="宋体"/>
          <w:color w:val="auto"/>
          <w:kern w:val="0"/>
          <w:sz w:val="24"/>
        </w:rPr>
        <w:t> </w:t>
      </w:r>
    </w:p>
    <w:p>
      <w:pPr>
        <w:widowControl/>
        <w:spacing w:before="75" w:after="75"/>
        <w:ind w:firstLine="386"/>
        <w:jc w:val="left"/>
        <w:rPr>
          <w:rFonts w:ascii="仿宋" w:cs="宋体"/>
          <w:color w:val="auto"/>
          <w:kern w:val="0"/>
          <w:sz w:val="24"/>
        </w:rPr>
      </w:pPr>
      <w:r>
        <w:rPr>
          <w:rFonts w:hint="eastAsia" w:ascii="仿宋" w:hAnsi="仿宋" w:cs="宋体"/>
          <w:color w:val="auto"/>
          <w:kern w:val="0"/>
          <w:sz w:val="24"/>
        </w:rPr>
        <w:t>预算金额（元）：</w:t>
      </w:r>
      <w:r>
        <w:rPr>
          <w:rFonts w:hint="eastAsia"/>
          <w:color w:val="auto"/>
          <w:sz w:val="24"/>
        </w:rPr>
        <w:t>320000</w:t>
      </w:r>
    </w:p>
    <w:p>
      <w:pPr>
        <w:widowControl/>
        <w:spacing w:before="75" w:after="75"/>
        <w:ind w:firstLine="386"/>
        <w:jc w:val="left"/>
        <w:rPr>
          <w:rFonts w:ascii="仿宋" w:eastAsia="仿宋" w:cs="宋体"/>
          <w:color w:val="auto"/>
          <w:kern w:val="0"/>
          <w:sz w:val="24"/>
        </w:rPr>
      </w:pPr>
      <w:r>
        <w:rPr>
          <w:rFonts w:hint="eastAsia" w:ascii="仿宋" w:hAnsi="仿宋" w:cs="宋体"/>
          <w:color w:val="auto"/>
          <w:kern w:val="0"/>
          <w:sz w:val="24"/>
        </w:rPr>
        <w:t>单位：项</w:t>
      </w:r>
      <w:r>
        <w:rPr>
          <w:rFonts w:ascii="仿宋" w:eastAsia="仿宋" w:cs="宋体"/>
          <w:color w:val="auto"/>
          <w:kern w:val="0"/>
          <w:sz w:val="24"/>
        </w:rPr>
        <w:t> </w:t>
      </w:r>
    </w:p>
    <w:p>
      <w:pPr>
        <w:widowControl/>
        <w:spacing w:before="75" w:after="75"/>
        <w:ind w:firstLine="386"/>
        <w:jc w:val="left"/>
        <w:rPr>
          <w:rFonts w:ascii="仿宋" w:hAnsi="仿宋" w:cs="宋体"/>
          <w:color w:val="auto"/>
          <w:kern w:val="0"/>
          <w:sz w:val="24"/>
        </w:rPr>
      </w:pPr>
      <w:r>
        <w:rPr>
          <w:rFonts w:hint="eastAsia" w:ascii="仿宋" w:hAnsi="仿宋" w:cs="宋体"/>
          <w:color w:val="auto"/>
          <w:kern w:val="0"/>
          <w:sz w:val="24"/>
        </w:rPr>
        <w:t>简要规格描述：</w:t>
      </w:r>
      <w:r>
        <w:rPr>
          <w:rFonts w:ascii="仿宋" w:hAnsi="仿宋" w:cs="宋体"/>
          <w:color w:val="auto"/>
          <w:kern w:val="0"/>
          <w:sz w:val="24"/>
        </w:rPr>
        <w:t>包括北山街道（约3.4平方公里）</w:t>
      </w:r>
      <w:r>
        <w:rPr>
          <w:rFonts w:hint="eastAsia" w:ascii="仿宋" w:hAnsi="仿宋" w:cs="宋体"/>
          <w:color w:val="auto"/>
          <w:kern w:val="0"/>
          <w:sz w:val="24"/>
        </w:rPr>
        <w:t>、</w:t>
      </w:r>
      <w:r>
        <w:rPr>
          <w:color w:val="auto"/>
          <w:sz w:val="24"/>
        </w:rPr>
        <w:t>灵隐街道（约</w:t>
      </w:r>
      <w:r>
        <w:rPr>
          <w:rFonts w:hint="eastAsia"/>
          <w:color w:val="auto"/>
          <w:sz w:val="24"/>
          <w:lang w:val="en-US" w:eastAsia="zh-CN"/>
        </w:rPr>
        <w:t>3.1</w:t>
      </w:r>
      <w:r>
        <w:rPr>
          <w:color w:val="auto"/>
          <w:sz w:val="24"/>
        </w:rPr>
        <w:t>平方公里）</w:t>
      </w:r>
    </w:p>
    <w:p>
      <w:pPr>
        <w:widowControl/>
        <w:spacing w:before="75" w:after="75"/>
        <w:ind w:firstLine="480" w:firstLineChars="200"/>
        <w:jc w:val="left"/>
        <w:rPr>
          <w:rFonts w:ascii="仿宋" w:eastAsia="仿宋" w:cs="宋体"/>
          <w:color w:val="auto"/>
          <w:kern w:val="0"/>
          <w:sz w:val="24"/>
        </w:rPr>
      </w:pPr>
      <w:r>
        <w:rPr>
          <w:rFonts w:hint="eastAsia" w:ascii="仿宋" w:hAnsi="仿宋" w:cs="宋体"/>
          <w:color w:val="auto"/>
          <w:kern w:val="0"/>
          <w:sz w:val="24"/>
        </w:rPr>
        <w:t>备注：</w:t>
      </w:r>
      <w:r>
        <w:rPr>
          <w:rFonts w:ascii="仿宋" w:eastAsia="仿宋" w:cs="宋体"/>
          <w:color w:val="auto"/>
          <w:kern w:val="0"/>
          <w:sz w:val="24"/>
        </w:rPr>
        <w:t> </w:t>
      </w:r>
    </w:p>
    <w:p>
      <w:pPr>
        <w:widowControl/>
        <w:spacing w:before="75" w:after="75"/>
        <w:ind w:firstLine="386"/>
        <w:jc w:val="left"/>
        <w:rPr>
          <w:rFonts w:hint="eastAsia"/>
          <w:color w:val="auto"/>
          <w:sz w:val="24"/>
        </w:rPr>
      </w:pPr>
      <w:r>
        <w:rPr>
          <w:color w:val="auto"/>
          <w:sz w:val="24"/>
        </w:rPr>
        <w:t> </w:t>
      </w:r>
    </w:p>
    <w:p>
      <w:pPr>
        <w:widowControl/>
        <w:spacing w:before="75" w:after="75"/>
        <w:ind w:firstLine="386"/>
        <w:jc w:val="left"/>
        <w:rPr>
          <w:rFonts w:ascii="仿宋" w:cs="宋体"/>
          <w:color w:val="auto"/>
          <w:kern w:val="0"/>
          <w:sz w:val="24"/>
        </w:rPr>
      </w:pPr>
      <w:r>
        <w:rPr>
          <w:rFonts w:hint="eastAsia" w:ascii="仿宋" w:hAnsi="仿宋" w:cs="宋体"/>
          <w:color w:val="auto"/>
          <w:kern w:val="0"/>
          <w:sz w:val="24"/>
        </w:rPr>
        <w:t>标项六</w:t>
      </w:r>
    </w:p>
    <w:p>
      <w:pPr>
        <w:widowControl/>
        <w:spacing w:before="75" w:after="75"/>
        <w:ind w:firstLine="386"/>
        <w:jc w:val="left"/>
        <w:rPr>
          <w:rFonts w:ascii="Century Gothic" w:hAnsi="Century Gothic"/>
          <w:color w:val="auto"/>
          <w:kern w:val="0"/>
          <w:sz w:val="24"/>
        </w:rPr>
      </w:pPr>
      <w:r>
        <w:rPr>
          <w:rFonts w:hint="eastAsia" w:ascii="Century Gothic" w:hAnsi="Century Gothic"/>
          <w:color w:val="auto"/>
          <w:kern w:val="0"/>
          <w:sz w:val="24"/>
        </w:rPr>
        <w:t>标项名称：</w:t>
      </w:r>
      <w:r>
        <w:rPr>
          <w:rFonts w:hint="eastAsia"/>
          <w:color w:val="auto"/>
          <w:sz w:val="24"/>
        </w:rPr>
        <w:t>杭州市西湖区公共环境除“四害”</w:t>
      </w:r>
      <w:r>
        <w:rPr>
          <w:rFonts w:hint="eastAsia" w:ascii="仿宋" w:hAnsi="仿宋" w:cs="宋体"/>
          <w:color w:val="auto"/>
          <w:kern w:val="0"/>
          <w:sz w:val="24"/>
        </w:rPr>
        <w:t>标项六</w:t>
      </w:r>
    </w:p>
    <w:p>
      <w:pPr>
        <w:widowControl/>
        <w:spacing w:before="75" w:after="75"/>
        <w:ind w:firstLine="386"/>
        <w:jc w:val="left"/>
        <w:rPr>
          <w:rFonts w:cs="宋体"/>
          <w:color w:val="auto"/>
          <w:kern w:val="0"/>
          <w:sz w:val="24"/>
        </w:rPr>
      </w:pPr>
      <w:r>
        <w:rPr>
          <w:rFonts w:ascii="仿宋" w:eastAsia="仿宋" w:cs="宋体"/>
          <w:color w:val="auto"/>
          <w:kern w:val="0"/>
          <w:sz w:val="24"/>
        </w:rPr>
        <w:t> </w:t>
      </w:r>
      <w:r>
        <w:rPr>
          <w:rFonts w:hint="eastAsia" w:ascii="仿宋" w:hAnsi="仿宋" w:cs="宋体"/>
          <w:color w:val="auto"/>
          <w:kern w:val="0"/>
          <w:sz w:val="24"/>
        </w:rPr>
        <w:t>数量：</w:t>
      </w:r>
      <w:r>
        <w:rPr>
          <w:rFonts w:ascii="仿宋" w:hAnsi="仿宋" w:cs="宋体"/>
          <w:color w:val="auto"/>
          <w:kern w:val="0"/>
          <w:sz w:val="24"/>
        </w:rPr>
        <w:t>1</w:t>
      </w:r>
      <w:r>
        <w:rPr>
          <w:rFonts w:ascii="仿宋" w:eastAsia="仿宋" w:cs="宋体"/>
          <w:color w:val="auto"/>
          <w:kern w:val="0"/>
          <w:sz w:val="24"/>
        </w:rPr>
        <w:t> </w:t>
      </w:r>
    </w:p>
    <w:p>
      <w:pPr>
        <w:widowControl/>
        <w:spacing w:before="75" w:after="75"/>
        <w:ind w:firstLine="386"/>
        <w:jc w:val="left"/>
        <w:rPr>
          <w:rFonts w:ascii="仿宋" w:cs="宋体"/>
          <w:color w:val="auto"/>
          <w:kern w:val="0"/>
          <w:sz w:val="24"/>
        </w:rPr>
      </w:pPr>
      <w:r>
        <w:rPr>
          <w:rFonts w:hint="eastAsia" w:ascii="仿宋" w:hAnsi="仿宋" w:cs="宋体"/>
          <w:color w:val="auto"/>
          <w:kern w:val="0"/>
          <w:sz w:val="24"/>
        </w:rPr>
        <w:t>预算金额（元）：</w:t>
      </w:r>
      <w:r>
        <w:rPr>
          <w:rFonts w:hint="eastAsia" w:ascii="Century Gothic" w:hAnsi="Century Gothic"/>
          <w:color w:val="auto"/>
          <w:kern w:val="0"/>
          <w:sz w:val="24"/>
        </w:rPr>
        <w:t>34</w:t>
      </w:r>
      <w:r>
        <w:rPr>
          <w:rFonts w:ascii="Century Gothic" w:hAnsi="Century Gothic"/>
          <w:color w:val="auto"/>
          <w:kern w:val="0"/>
          <w:sz w:val="24"/>
        </w:rPr>
        <w:t>0000</w:t>
      </w:r>
    </w:p>
    <w:p>
      <w:pPr>
        <w:widowControl/>
        <w:spacing w:before="75" w:after="75"/>
        <w:ind w:firstLine="386"/>
        <w:jc w:val="left"/>
        <w:rPr>
          <w:rFonts w:ascii="仿宋" w:eastAsia="仿宋" w:cs="宋体"/>
          <w:color w:val="auto"/>
          <w:kern w:val="0"/>
          <w:sz w:val="24"/>
        </w:rPr>
      </w:pPr>
      <w:r>
        <w:rPr>
          <w:rFonts w:hint="eastAsia" w:ascii="仿宋" w:hAnsi="仿宋" w:cs="宋体"/>
          <w:color w:val="auto"/>
          <w:kern w:val="0"/>
          <w:sz w:val="24"/>
        </w:rPr>
        <w:t>单位：项</w:t>
      </w:r>
      <w:r>
        <w:rPr>
          <w:rFonts w:ascii="仿宋" w:eastAsia="仿宋" w:cs="宋体"/>
          <w:color w:val="auto"/>
          <w:kern w:val="0"/>
          <w:sz w:val="24"/>
        </w:rPr>
        <w:t> </w:t>
      </w:r>
    </w:p>
    <w:p>
      <w:pPr>
        <w:widowControl/>
        <w:spacing w:before="75" w:after="75"/>
        <w:ind w:firstLine="386"/>
        <w:jc w:val="left"/>
        <w:rPr>
          <w:color w:val="auto"/>
          <w:sz w:val="24"/>
        </w:rPr>
      </w:pPr>
      <w:r>
        <w:rPr>
          <w:rFonts w:hint="eastAsia"/>
          <w:color w:val="auto"/>
          <w:sz w:val="24"/>
        </w:rPr>
        <w:t>简要规格描述：</w:t>
      </w:r>
      <w:r>
        <w:rPr>
          <w:rFonts w:ascii="仿宋" w:hAnsi="仿宋" w:cs="宋体"/>
          <w:color w:val="auto"/>
          <w:kern w:val="0"/>
          <w:sz w:val="24"/>
        </w:rPr>
        <w:t>留下街道（约10.34平方公里）</w:t>
      </w:r>
    </w:p>
    <w:p>
      <w:pPr>
        <w:pStyle w:val="2"/>
        <w:rPr>
          <w:color w:val="auto"/>
        </w:rPr>
      </w:pPr>
      <w:r>
        <w:rPr>
          <w:rFonts w:ascii="仿宋" w:eastAsia="仿宋" w:cs="宋体"/>
          <w:color w:val="auto"/>
        </w:rPr>
        <w:t> </w:t>
      </w:r>
      <w:r>
        <w:rPr>
          <w:rFonts w:ascii="仿宋" w:hAnsi="仿宋" w:cs="宋体"/>
          <w:color w:val="auto"/>
        </w:rPr>
        <w:t xml:space="preserve">  </w:t>
      </w:r>
      <w:r>
        <w:rPr>
          <w:rFonts w:hint="eastAsia" w:ascii="仿宋" w:hAnsi="仿宋" w:cs="宋体"/>
          <w:color w:val="auto"/>
        </w:rPr>
        <w:t>备注：</w:t>
      </w:r>
    </w:p>
    <w:p>
      <w:pPr>
        <w:pStyle w:val="60"/>
        <w:spacing w:before="75" w:beforeAutospacing="0" w:after="75" w:afterAutospacing="0"/>
        <w:rPr>
          <w:color w:val="auto"/>
        </w:rPr>
      </w:pPr>
      <w:r>
        <w:rPr>
          <w:color w:val="auto"/>
        </w:rPr>
        <w:t> </w:t>
      </w:r>
      <w:r>
        <w:rPr>
          <w:rFonts w:hint="eastAsia"/>
          <w:color w:val="auto"/>
        </w:rPr>
        <w:t>合同履行期限：</w:t>
      </w:r>
      <w:r>
        <w:rPr>
          <w:color w:val="auto"/>
        </w:rPr>
        <w:t> </w:t>
      </w:r>
      <w:r>
        <w:rPr>
          <w:rFonts w:hint="eastAsia"/>
          <w:color w:val="auto"/>
        </w:rPr>
        <w:t>详见附件</w:t>
      </w:r>
    </w:p>
    <w:p>
      <w:pPr>
        <w:pStyle w:val="60"/>
        <w:spacing w:before="75" w:beforeAutospacing="0" w:after="75" w:afterAutospacing="0"/>
        <w:rPr>
          <w:color w:val="auto"/>
        </w:rPr>
      </w:pPr>
      <w:r>
        <w:rPr>
          <w:color w:val="auto"/>
        </w:rPr>
        <w:t> </w:t>
      </w:r>
      <w:r>
        <w:rPr>
          <w:rFonts w:hint="eastAsia"/>
          <w:color w:val="auto"/>
        </w:rPr>
        <w:t>本项目（</w:t>
      </w:r>
      <w:r>
        <w:rPr>
          <w:color w:val="auto"/>
        </w:rPr>
        <w:t> </w:t>
      </w:r>
      <w:r>
        <w:rPr>
          <w:rFonts w:hint="eastAsia"/>
          <w:color w:val="auto"/>
        </w:rPr>
        <w:t>否</w:t>
      </w:r>
      <w:r>
        <w:rPr>
          <w:color w:val="auto"/>
        </w:rPr>
        <w:t> </w:t>
      </w:r>
      <w:r>
        <w:rPr>
          <w:rFonts w:hint="eastAsia"/>
          <w:color w:val="auto"/>
        </w:rPr>
        <w:t>）接受联合体投标。</w:t>
      </w:r>
    </w:p>
    <w:p>
      <w:pPr>
        <w:spacing w:line="360" w:lineRule="auto"/>
        <w:ind w:firstLine="422" w:firstLineChars="200"/>
        <w:rPr>
          <w:rFonts w:ascii="宋体" w:hAnsi="宋体" w:cs="宋体"/>
          <w:color w:val="auto"/>
        </w:rPr>
      </w:pPr>
      <w:r>
        <w:rPr>
          <w:rFonts w:hint="eastAsia" w:ascii="宋体" w:hAnsi="宋体" w:cs="宋体"/>
          <w:b/>
          <w:color w:val="auto"/>
        </w:rPr>
        <w:t>合同履约期限：</w:t>
      </w:r>
      <w:r>
        <w:rPr>
          <w:rFonts w:ascii="宋体" w:hAnsi="宋体" w:cs="宋体"/>
          <w:color w:val="auto"/>
        </w:rPr>
        <w:t xml:space="preserve"> </w:t>
      </w:r>
      <w:r>
        <w:rPr>
          <w:rFonts w:hint="eastAsia" w:ascii="宋体" w:hAnsi="宋体" w:cs="宋体"/>
          <w:bCs/>
          <w:snapToGrid w:val="0"/>
          <w:color w:val="auto"/>
          <w:kern w:val="28"/>
          <w:sz w:val="24"/>
          <w:szCs w:val="20"/>
        </w:rPr>
        <w:t>整体服务期为一年。具体时间根据采购人要求安排。</w:t>
      </w:r>
    </w:p>
    <w:p>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宋体"/>
              <w:color w:val="auto"/>
              <w:kern w:val="0"/>
              <w:sz w:val="24"/>
            </w:rPr>
            <w:t>þ</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kern w:val="0"/>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Segoe UI Symbol" w:hAnsi="Segoe UI Symbol" w:cs="Segoe UI Symbol"/>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pStyle w:val="2"/>
        <w:rPr>
          <w:color w:val="auto"/>
          <w:lang w:val="en-US"/>
        </w:rPr>
      </w:pPr>
      <w:r>
        <w:rPr>
          <w:rFonts w:hint="eastAsia"/>
          <w:color w:val="auto"/>
          <w:lang w:val="en-US"/>
        </w:rPr>
        <w:t xml:space="preserve">    </w:t>
      </w:r>
      <w:r>
        <w:rPr>
          <w:rFonts w:hint="eastAsia"/>
          <w:color w:val="auto"/>
          <w:lang w:val="en-US"/>
        </w:rPr>
        <w:t>本项目不允许分、转包；</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2024年7月</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2024 年7月</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 xml:space="preserve"> 点 30分00秒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 xml:space="preserve">2024年 7月 </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点30 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u w:val="single"/>
        </w:rPr>
        <w:t>杭州市西湖区卫生健康局</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地    址： </w:t>
      </w:r>
      <w:r>
        <w:rPr>
          <w:rStyle w:val="967"/>
          <w:rFonts w:hint="eastAsia"/>
          <w:color w:val="auto"/>
          <w:sz w:val="24"/>
          <w:u w:val="single" w:color="000000"/>
        </w:rPr>
        <w:t xml:space="preserve">杭州市西湖区文一西路858号西7楼 </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pStyle w:val="60"/>
        <w:spacing w:before="75" w:beforeAutospacing="0" w:after="75" w:afterAutospacing="0" w:line="360" w:lineRule="auto"/>
        <w:rPr>
          <w:color w:val="auto"/>
        </w:rPr>
      </w:pPr>
      <w:r>
        <w:rPr>
          <w:color w:val="auto"/>
        </w:rPr>
        <w:t xml:space="preserve">  </w:t>
      </w:r>
      <w:r>
        <w:rPr>
          <w:rFonts w:hint="eastAsia"/>
          <w:color w:val="auto"/>
        </w:rPr>
        <w:t xml:space="preserve">项目联系人（询问）： </w:t>
      </w:r>
      <w:r>
        <w:rPr>
          <w:color w:val="auto"/>
        </w:rPr>
        <w:t xml:space="preserve"> </w:t>
      </w:r>
      <w:r>
        <w:rPr>
          <w:color w:val="auto"/>
          <w:u w:val="single"/>
        </w:rPr>
        <w:t xml:space="preserve"> </w:t>
      </w:r>
      <w:r>
        <w:rPr>
          <w:rFonts w:hint="eastAsia"/>
          <w:color w:val="auto"/>
          <w:u w:val="single"/>
        </w:rPr>
        <w:t xml:space="preserve">鲁艳 </w:t>
      </w:r>
      <w:r>
        <w:rPr>
          <w:color w:val="auto"/>
          <w:u w:val="single"/>
        </w:rPr>
        <w:t xml:space="preserve"> </w:t>
      </w:r>
      <w:r>
        <w:rPr>
          <w:rFonts w:hint="eastAsia"/>
          <w:color w:val="auto"/>
        </w:rPr>
        <w:t>　　　　　　　　　</w:t>
      </w:r>
    </w:p>
    <w:p>
      <w:pPr>
        <w:pStyle w:val="60"/>
        <w:spacing w:before="75" w:beforeAutospacing="0" w:after="75" w:afterAutospacing="0" w:line="360" w:lineRule="auto"/>
        <w:rPr>
          <w:color w:val="auto"/>
        </w:rPr>
      </w:pPr>
      <w:r>
        <w:rPr>
          <w:color w:val="auto"/>
        </w:rPr>
        <w:t xml:space="preserve">  </w:t>
      </w:r>
      <w:r>
        <w:rPr>
          <w:rFonts w:hint="eastAsia"/>
          <w:color w:val="auto"/>
        </w:rPr>
        <w:t>项目联系方式（询问）：</w:t>
      </w:r>
      <w:r>
        <w:rPr>
          <w:color w:val="auto"/>
          <w:u w:val="single"/>
        </w:rPr>
        <w:t xml:space="preserve">  0571- </w:t>
      </w:r>
      <w:r>
        <w:rPr>
          <w:rFonts w:hint="eastAsia"/>
          <w:color w:val="auto"/>
          <w:u w:val="single"/>
        </w:rPr>
        <w:t>89510905</w:t>
      </w:r>
      <w:r>
        <w:rPr>
          <w:color w:val="auto"/>
          <w:u w:val="single"/>
        </w:rPr>
        <w:t xml:space="preserve"> </w:t>
      </w:r>
    </w:p>
    <w:p>
      <w:pPr>
        <w:pStyle w:val="60"/>
        <w:spacing w:before="75" w:beforeAutospacing="0" w:after="75" w:afterAutospacing="0" w:line="360" w:lineRule="auto"/>
        <w:rPr>
          <w:color w:val="auto"/>
        </w:rPr>
      </w:pPr>
      <w:r>
        <w:rPr>
          <w:color w:val="auto"/>
        </w:rPr>
        <w:t xml:space="preserve">  </w:t>
      </w:r>
      <w:r>
        <w:rPr>
          <w:rFonts w:hint="eastAsia"/>
          <w:color w:val="auto"/>
        </w:rPr>
        <w:t>质疑联系人：</w:t>
      </w:r>
      <w:r>
        <w:rPr>
          <w:color w:val="auto"/>
        </w:rPr>
        <w:t> </w:t>
      </w:r>
      <w:r>
        <w:rPr>
          <w:color w:val="auto"/>
          <w:u w:val="single"/>
        </w:rPr>
        <w:t> </w:t>
      </w:r>
      <w:r>
        <w:rPr>
          <w:rFonts w:hint="eastAsia"/>
          <w:color w:val="auto"/>
          <w:u w:val="single"/>
        </w:rPr>
        <w:t>余全民</w:t>
      </w:r>
      <w:r>
        <w:rPr>
          <w:color w:val="auto"/>
          <w:u w:val="single"/>
        </w:rPr>
        <w:t> </w:t>
      </w:r>
    </w:p>
    <w:p>
      <w:pPr>
        <w:spacing w:line="360" w:lineRule="auto"/>
        <w:ind w:firstLine="360"/>
        <w:rPr>
          <w:color w:val="auto"/>
          <w:sz w:val="24"/>
        </w:rPr>
      </w:pPr>
      <w:r>
        <w:rPr>
          <w:rFonts w:hint="eastAsia"/>
          <w:color w:val="auto"/>
          <w:sz w:val="24"/>
        </w:rPr>
        <w:t>质疑联系方式：</w:t>
      </w:r>
      <w:r>
        <w:rPr>
          <w:color w:val="auto"/>
          <w:sz w:val="24"/>
          <w:u w:val="single"/>
        </w:rPr>
        <w:t xml:space="preserve">  </w:t>
      </w:r>
      <w:r>
        <w:rPr>
          <w:rFonts w:hint="eastAsia"/>
          <w:color w:val="auto"/>
          <w:sz w:val="24"/>
          <w:u w:val="single"/>
          <w:lang w:val="en-US" w:eastAsia="zh-CN"/>
        </w:rPr>
        <w:t>0571-</w:t>
      </w:r>
      <w:r>
        <w:rPr>
          <w:rFonts w:hint="eastAsia"/>
          <w:color w:val="auto"/>
          <w:sz w:val="24"/>
          <w:u w:val="single"/>
        </w:rPr>
        <w:t>89510904</w:t>
      </w:r>
      <w:r>
        <w:rPr>
          <w:rFonts w:hint="eastAsia"/>
          <w:color w:val="auto"/>
          <w:sz w:val="24"/>
        </w:rPr>
        <w:t>　　</w:t>
      </w:r>
    </w:p>
    <w:p>
      <w:pPr>
        <w:spacing w:line="360" w:lineRule="auto"/>
        <w:ind w:firstLine="360"/>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u w:val="single"/>
        </w:rPr>
        <w:t>浙江省成套工程有限公司</w:t>
      </w:r>
    </w:p>
    <w:p>
      <w:pPr>
        <w:spacing w:line="360" w:lineRule="auto"/>
        <w:ind w:firstLine="480"/>
        <w:rPr>
          <w:rFonts w:ascii="宋体" w:hAnsi="宋体" w:cs="宋体"/>
          <w:color w:val="auto"/>
          <w:sz w:val="24"/>
        </w:rPr>
      </w:pPr>
      <w:r>
        <w:rPr>
          <w:rFonts w:hint="eastAsia" w:ascii="宋体" w:hAnsi="宋体" w:cs="宋体"/>
          <w:color w:val="auto"/>
          <w:sz w:val="24"/>
        </w:rPr>
        <w:t>地    址：</w:t>
      </w:r>
      <w:r>
        <w:rPr>
          <w:rStyle w:val="967"/>
          <w:rFonts w:hint="eastAsia"/>
          <w:color w:val="auto"/>
          <w:sz w:val="24"/>
          <w:u w:val="single" w:color="000000"/>
        </w:rPr>
        <w:t>古墩路</w:t>
      </w:r>
      <w:r>
        <w:rPr>
          <w:rStyle w:val="967"/>
          <w:color w:val="auto"/>
          <w:sz w:val="24"/>
          <w:u w:val="single" w:color="000000"/>
        </w:rPr>
        <w:t>701</w:t>
      </w:r>
      <w:r>
        <w:rPr>
          <w:rStyle w:val="967"/>
          <w:rFonts w:hint="eastAsia"/>
          <w:color w:val="auto"/>
          <w:sz w:val="24"/>
          <w:u w:val="single" w:color="000000"/>
        </w:rPr>
        <w:t>号紫金广场</w:t>
      </w:r>
      <w:r>
        <w:rPr>
          <w:rStyle w:val="967"/>
          <w:color w:val="auto"/>
          <w:sz w:val="24"/>
          <w:u w:val="single" w:color="000000"/>
        </w:rPr>
        <w:t>A</w:t>
      </w:r>
      <w:r>
        <w:rPr>
          <w:rStyle w:val="967"/>
          <w:rFonts w:hint="eastAsia"/>
          <w:color w:val="auto"/>
          <w:sz w:val="24"/>
          <w:u w:val="single" w:color="000000"/>
        </w:rPr>
        <w:t>座</w:t>
      </w:r>
      <w:r>
        <w:rPr>
          <w:rStyle w:val="967"/>
          <w:color w:val="auto"/>
          <w:sz w:val="24"/>
          <w:u w:val="single" w:color="000000"/>
        </w:rPr>
        <w:t>1209</w:t>
      </w:r>
      <w:r>
        <w:rPr>
          <w:rStyle w:val="967"/>
          <w:rFonts w:hint="eastAsia"/>
          <w:color w:val="auto"/>
          <w:sz w:val="24"/>
          <w:u w:val="single" w:color="000000"/>
        </w:rPr>
        <w:t>室</w:t>
      </w:r>
      <w:r>
        <w:rPr>
          <w:rStyle w:val="967"/>
          <w:color w:val="auto"/>
          <w:sz w:val="24"/>
          <w:u w:val="single" w:color="000000"/>
        </w:rPr>
        <w:t> </w:t>
      </w:r>
    </w:p>
    <w:p>
      <w:pPr>
        <w:spacing w:line="360" w:lineRule="auto"/>
        <w:ind w:firstLine="480"/>
        <w:rPr>
          <w:rFonts w:ascii="宋体" w:hAnsi="宋体" w:cs="宋体"/>
          <w:color w:val="auto"/>
          <w:sz w:val="24"/>
        </w:rPr>
      </w:pPr>
      <w:r>
        <w:rPr>
          <w:rFonts w:hint="eastAsia" w:ascii="宋体" w:hAnsi="宋体" w:cs="宋体"/>
          <w:color w:val="auto"/>
          <w:sz w:val="24"/>
        </w:rPr>
        <w:t xml:space="preserve">传    真： </w:t>
      </w:r>
      <w:r>
        <w:rPr>
          <w:rFonts w:hint="eastAsia" w:ascii="宋体" w:hAnsi="宋体" w:cs="宋体"/>
          <w:color w:val="auto"/>
          <w:sz w:val="24"/>
          <w:u w:val="single"/>
        </w:rPr>
        <w:t>0571-85058255 </w:t>
      </w:r>
      <w:r>
        <w:rPr>
          <w:rFonts w:hint="eastAsia" w:ascii="宋体" w:hAnsi="宋体" w:cs="宋体"/>
          <w:color w:val="auto"/>
          <w:sz w:val="24"/>
        </w:rPr>
        <w:t>  　</w:t>
      </w:r>
    </w:p>
    <w:p>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u w:val="single"/>
        </w:rPr>
        <w:t>郑爱娣 </w:t>
      </w:r>
      <w:r>
        <w:rPr>
          <w:rFonts w:hint="eastAsia" w:ascii="宋体" w:hAnsi="宋体" w:cs="宋体"/>
          <w:color w:val="auto"/>
          <w:sz w:val="24"/>
        </w:rPr>
        <w:t>　   　　　　　　　　　　　</w:t>
      </w:r>
    </w:p>
    <w:p>
      <w:pPr>
        <w:spacing w:line="360" w:lineRule="auto"/>
        <w:ind w:firstLine="480"/>
        <w:rPr>
          <w:rFonts w:ascii="宋体" w:hAnsi="宋体" w:cs="宋体"/>
          <w:color w:val="auto"/>
          <w:sz w:val="24"/>
        </w:rPr>
      </w:pPr>
      <w:r>
        <w:rPr>
          <w:rFonts w:hint="eastAsia" w:ascii="宋体" w:hAnsi="宋体" w:cs="宋体"/>
          <w:color w:val="auto"/>
          <w:sz w:val="24"/>
        </w:rPr>
        <w:t>项目联系方式（询问）：</w:t>
      </w:r>
      <w:r>
        <w:rPr>
          <w:rFonts w:hint="eastAsia" w:ascii="宋体" w:hAnsi="宋体" w:cs="宋体"/>
          <w:color w:val="auto"/>
          <w:sz w:val="24"/>
          <w:u w:val="single"/>
        </w:rPr>
        <w:t> 0571-85058600 </w:t>
      </w:r>
    </w:p>
    <w:p>
      <w:pPr>
        <w:spacing w:line="360" w:lineRule="auto"/>
        <w:ind w:firstLine="480"/>
        <w:rPr>
          <w:rFonts w:ascii="宋体" w:hAnsi="宋体" w:cs="宋体"/>
          <w:color w:val="auto"/>
          <w:sz w:val="24"/>
        </w:rPr>
      </w:pPr>
      <w:r>
        <w:rPr>
          <w:rFonts w:hint="eastAsia" w:ascii="宋体" w:hAnsi="宋体" w:cs="宋体"/>
          <w:color w:val="auto"/>
          <w:sz w:val="24"/>
        </w:rPr>
        <w:t>质疑联系人： </w:t>
      </w:r>
      <w:r>
        <w:rPr>
          <w:rFonts w:hint="eastAsia" w:ascii="宋体" w:hAnsi="宋体" w:cs="宋体"/>
          <w:color w:val="auto"/>
          <w:sz w:val="24"/>
          <w:u w:val="single"/>
        </w:rPr>
        <w:t>章日 </w:t>
      </w:r>
    </w:p>
    <w:p>
      <w:pPr>
        <w:spacing w:line="360" w:lineRule="auto"/>
        <w:ind w:firstLine="480"/>
        <w:rPr>
          <w:rFonts w:ascii="宋体" w:hAnsi="宋体" w:cs="宋体"/>
          <w:color w:val="auto"/>
          <w:sz w:val="24"/>
        </w:rPr>
      </w:pPr>
      <w:r>
        <w:rPr>
          <w:rFonts w:hint="eastAsia" w:ascii="宋体" w:hAnsi="宋体" w:cs="宋体"/>
          <w:color w:val="auto"/>
          <w:sz w:val="24"/>
        </w:rPr>
        <w:t>质疑联系方式：</w:t>
      </w:r>
      <w:r>
        <w:rPr>
          <w:rFonts w:hint="eastAsia" w:ascii="宋体" w:hAnsi="宋体" w:cs="宋体"/>
          <w:color w:val="auto"/>
          <w:sz w:val="24"/>
          <w:u w:val="single"/>
        </w:rPr>
        <w:t>0571-85058255　</w:t>
      </w:r>
    </w:p>
    <w:p>
      <w:pPr>
        <w:spacing w:line="360" w:lineRule="auto"/>
        <w:rPr>
          <w:rFonts w:ascii="宋体" w:hAnsi="宋体" w:cs="宋体"/>
          <w:color w:val="auto"/>
          <w:sz w:val="24"/>
        </w:rPr>
      </w:pPr>
    </w:p>
    <w:p>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center"/>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9" w:hRule="atLeast"/>
          <w:tblHeader/>
        </w:trPr>
        <w:tc>
          <w:tcPr>
            <w:tcW w:w="629"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vAlign w:val="center"/>
          </w:tcPr>
          <w:p>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vAlign w:val="center"/>
          </w:tcPr>
          <w:p>
            <w:pPr>
              <w:spacing w:line="360" w:lineRule="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3" w:hRule="atLeast"/>
          <w:tblHeader/>
        </w:trPr>
        <w:tc>
          <w:tcPr>
            <w:tcW w:w="629" w:type="dxa"/>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vAlign w:val="center"/>
          </w:tcPr>
          <w:p>
            <w:pPr>
              <w:snapToGrid w:val="0"/>
              <w:spacing w:line="400" w:lineRule="exact"/>
              <w:rPr>
                <w:rFonts w:ascii="仿宋" w:hAnsi="仿宋" w:eastAsia="仿宋" w:cs="仿宋"/>
                <w:b/>
                <w:bCs/>
                <w:color w:val="auto"/>
                <w:kern w:val="0"/>
                <w:sz w:val="24"/>
              </w:rPr>
            </w:pPr>
            <w:r>
              <w:rPr>
                <w:rFonts w:hint="eastAsia" w:ascii="宋体" w:hAnsi="宋体" w:cs="宋体"/>
                <w:color w:val="auto"/>
                <w:kern w:val="0"/>
                <w:sz w:val="24"/>
              </w:rPr>
              <w:t xml:space="preserve">（1）标的： </w:t>
            </w:r>
            <w:r>
              <w:rPr>
                <w:rFonts w:hint="eastAsia" w:ascii="宋体" w:hAnsi="宋体" w:cs="宋体"/>
                <w:color w:val="auto"/>
                <w:sz w:val="24"/>
              </w:rPr>
              <w:t>2024年度杭州市西湖区公共环境除“四害”项目</w:t>
            </w:r>
            <w:r>
              <w:rPr>
                <w:rFonts w:hint="eastAsia" w:ascii="仿宋" w:hAnsi="仿宋" w:eastAsia="仿宋" w:cs="仿宋"/>
                <w:b/>
                <w:bCs/>
                <w:color w:val="auto"/>
                <w:kern w:val="0"/>
                <w:sz w:val="24"/>
              </w:rPr>
              <w:t>，属于 其他未列明行业 ；</w:t>
            </w:r>
          </w:p>
          <w:p>
            <w:pPr>
              <w:snapToGrid w:val="0"/>
              <w:spacing w:line="320" w:lineRule="exact"/>
              <w:rPr>
                <w:rFonts w:ascii="宋体" w:hAnsi="宋体" w:cs="宋体"/>
                <w:color w:val="auto"/>
              </w:rPr>
            </w:pPr>
            <w:r>
              <w:rPr>
                <w:rFonts w:hint="eastAsia" w:ascii="仿宋" w:hAnsi="仿宋" w:eastAsia="仿宋" w:cs="仿宋"/>
                <w:color w:val="auto"/>
                <w:sz w:val="24"/>
              </w:rPr>
              <w:t>备注：《关于印发中小企业划型标准规定的通知》（工信部联企业〔2011〕300）第（十六）条，其他未列明行业：</w:t>
            </w:r>
            <w:r>
              <w:rPr>
                <w:rFonts w:hint="eastAsia" w:ascii="仿宋" w:hAnsi="仿宋" w:eastAsia="仿宋" w:cs="仿宋"/>
                <w:color w:val="auto"/>
                <w:sz w:val="24"/>
                <w:u w:val="single"/>
              </w:rPr>
              <w:t>从业人员300 人以下的为中小微型企业。其中，从业人员100 人及以上的为中型企业；从业人员10 人及以上的为小型企业；从业人员10 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18" w:hRule="atLeast"/>
          <w:tblHeader/>
        </w:trPr>
        <w:tc>
          <w:tcPr>
            <w:tcW w:w="629" w:type="dxa"/>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76" w:hRule="atLeast"/>
          <w:tblHeader/>
        </w:trPr>
        <w:tc>
          <w:tcPr>
            <w:tcW w:w="629"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p>
          <w:p>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77" w:hRule="atLeast"/>
          <w:tblHeader/>
        </w:trPr>
        <w:tc>
          <w:tcPr>
            <w:tcW w:w="629" w:type="dxa"/>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20（编制时可根据项目情况进行调整）</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3（编制时可根据项目情况进行调整）</w:t>
            </w:r>
            <w:r>
              <w:rPr>
                <w:rFonts w:hint="eastAsia" w:ascii="宋体" w:hAnsi="宋体" w:cs="宋体"/>
                <w:color w:val="auto"/>
                <w:kern w:val="0"/>
                <w:sz w:val="24"/>
              </w:rPr>
              <w:t>人。讲解演示结束后按要求解答评标委员会提问。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vMerge w:val="restart"/>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vMerge w:val="continue"/>
          </w:tcPr>
          <w:p>
            <w:pPr>
              <w:snapToGrid w:val="0"/>
              <w:spacing w:line="360" w:lineRule="auto"/>
              <w:jc w:val="center"/>
              <w:rPr>
                <w:rFonts w:ascii="宋体" w:hAnsi="宋体" w:cs="宋体"/>
                <w:color w:val="auto"/>
                <w:sz w:val="24"/>
              </w:rPr>
            </w:pPr>
          </w:p>
        </w:tc>
        <w:tc>
          <w:tcPr>
            <w:tcW w:w="1843" w:type="dxa"/>
            <w:vMerge w:val="continue"/>
            <w:vAlign w:val="center"/>
          </w:tcPr>
          <w:p>
            <w:pPr>
              <w:snapToGrid w:val="0"/>
              <w:spacing w:line="360" w:lineRule="auto"/>
              <w:jc w:val="center"/>
              <w:rPr>
                <w:rFonts w:ascii="宋体" w:hAnsi="宋体" w:cs="宋体"/>
                <w:b/>
                <w:color w:val="auto"/>
                <w:sz w:val="24"/>
              </w:rPr>
            </w:pPr>
          </w:p>
        </w:tc>
        <w:tc>
          <w:tcPr>
            <w:tcW w:w="6095" w:type="dxa"/>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vAlign w:val="center"/>
          </w:tcPr>
          <w:p>
            <w:pPr>
              <w:pStyle w:val="36"/>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kern w:val="28"/>
                <w:sz w:val="24"/>
                <w:szCs w:val="24"/>
                <w:u w:val="single"/>
              </w:rPr>
              <w:t>杭州市古墩路701号紫金广场A座1209室</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kern w:val="28"/>
                <w:sz w:val="24"/>
                <w:szCs w:val="24"/>
                <w:u w:val="single"/>
              </w:rPr>
              <w:t>郑爱娣，13735428520</w:t>
            </w:r>
            <w:r>
              <w:rPr>
                <w:rFonts w:hint="eastAsia" w:hAnsi="宋体" w:cs="宋体"/>
                <w:color w:val="auto"/>
                <w:sz w:val="24"/>
                <w:szCs w:val="24"/>
              </w:rPr>
              <w:t>。</w:t>
            </w:r>
            <w:r>
              <w:rPr>
                <w:rFonts w:hint="eastAsia" w:hAnsi="宋体" w:cs="宋体"/>
                <w:b/>
                <w:color w:val="auto"/>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vMerge w:val="restart"/>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vMerge w:val="continue"/>
          </w:tcPr>
          <w:p>
            <w:pPr>
              <w:snapToGrid w:val="0"/>
              <w:spacing w:line="360" w:lineRule="auto"/>
              <w:jc w:val="center"/>
              <w:rPr>
                <w:rFonts w:ascii="宋体" w:hAnsi="宋体" w:cs="宋体"/>
                <w:color w:val="auto"/>
                <w:sz w:val="24"/>
              </w:rPr>
            </w:pPr>
          </w:p>
        </w:tc>
        <w:tc>
          <w:tcPr>
            <w:tcW w:w="1843" w:type="dxa"/>
            <w:vMerge w:val="continue"/>
            <w:vAlign w:val="center"/>
          </w:tcPr>
          <w:p>
            <w:pPr>
              <w:snapToGrid w:val="0"/>
              <w:spacing w:line="360" w:lineRule="auto"/>
              <w:jc w:val="center"/>
              <w:rPr>
                <w:rFonts w:ascii="宋体" w:hAnsi="宋体" w:cs="宋体"/>
                <w:b/>
                <w:color w:val="auto"/>
                <w:sz w:val="24"/>
              </w:rPr>
            </w:pPr>
          </w:p>
        </w:tc>
        <w:tc>
          <w:tcPr>
            <w:tcW w:w="6095" w:type="dxa"/>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vMerge w:val="continue"/>
          </w:tcPr>
          <w:p>
            <w:pPr>
              <w:snapToGrid w:val="0"/>
              <w:spacing w:line="360" w:lineRule="auto"/>
              <w:jc w:val="center"/>
              <w:rPr>
                <w:rFonts w:ascii="宋体" w:hAnsi="宋体" w:cs="宋体"/>
                <w:color w:val="auto"/>
                <w:sz w:val="24"/>
              </w:rPr>
            </w:pPr>
          </w:p>
        </w:tc>
        <w:tc>
          <w:tcPr>
            <w:tcW w:w="1843" w:type="dxa"/>
            <w:vMerge w:val="continue"/>
            <w:vAlign w:val="center"/>
          </w:tcPr>
          <w:p>
            <w:pPr>
              <w:snapToGrid w:val="0"/>
              <w:spacing w:line="360" w:lineRule="auto"/>
              <w:jc w:val="center"/>
              <w:rPr>
                <w:rFonts w:ascii="宋体" w:hAnsi="宋体" w:cs="宋体"/>
                <w:b/>
                <w:color w:val="auto"/>
                <w:sz w:val="24"/>
              </w:rPr>
            </w:pPr>
          </w:p>
        </w:tc>
        <w:tc>
          <w:tcPr>
            <w:tcW w:w="6095" w:type="dxa"/>
            <w:vAlign w:val="center"/>
          </w:tcPr>
          <w:p>
            <w:pPr>
              <w:spacing w:line="288" w:lineRule="auto"/>
              <w:rPr>
                <w:rFonts w:ascii="宋体" w:hAnsi="宋体" w:cs="宋体"/>
                <w:snapToGrid w:val="0"/>
                <w:color w:val="auto"/>
                <w:kern w:val="28"/>
                <w:sz w:val="24"/>
              </w:rPr>
            </w:pPr>
            <w:r>
              <w:rPr>
                <w:rFonts w:hint="eastAsia" w:ascii="宋体" w:hAnsi="宋体" w:cs="宋体"/>
                <w:snapToGrid w:val="0"/>
                <w:color w:val="auto"/>
                <w:kern w:val="28"/>
                <w:sz w:val="24"/>
              </w:rPr>
              <w:t>采购代理服务费：</w:t>
            </w:r>
          </w:p>
          <w:p>
            <w:pPr>
              <w:spacing w:line="288" w:lineRule="auto"/>
              <w:rPr>
                <w:rFonts w:ascii="宋体" w:hAnsi="宋体" w:cs="宋体"/>
                <w:snapToGrid w:val="0"/>
                <w:color w:val="auto"/>
                <w:kern w:val="28"/>
                <w:sz w:val="24"/>
              </w:rPr>
            </w:pPr>
            <w:r>
              <w:rPr>
                <w:rFonts w:hint="eastAsia" w:ascii="宋体" w:hAnsi="宋体" w:cs="宋体"/>
                <w:snapToGrid w:val="0"/>
                <w:color w:val="auto"/>
                <w:kern w:val="28"/>
                <w:sz w:val="24"/>
              </w:rPr>
              <w:t>1、本项目的采购代理费由中标人支付。计费标准：</w:t>
            </w:r>
          </w:p>
          <w:p>
            <w:pPr>
              <w:spacing w:line="288" w:lineRule="auto"/>
              <w:rPr>
                <w:rFonts w:ascii="宋体" w:hAnsi="宋体" w:cs="宋体"/>
                <w:snapToGrid w:val="0"/>
                <w:color w:val="auto"/>
                <w:kern w:val="28"/>
                <w:sz w:val="24"/>
              </w:rPr>
            </w:pPr>
            <w:r>
              <w:rPr>
                <w:rFonts w:hint="eastAsia" w:ascii="宋体" w:hAnsi="宋体" w:cs="宋体"/>
                <w:snapToGrid w:val="0"/>
                <w:color w:val="auto"/>
                <w:kern w:val="28"/>
                <w:sz w:val="24"/>
              </w:rPr>
              <w:t>以中标（成交）金额为计费基准，按计价格[2002]1980 号文规定的收费标准的85%计取，采购代理费收费按照差额定率累进法计取。投标人应当自中标公告发布之日起5个工作日内一次性向采购代理机构支付代理服务费，并在投标文件中出具代理服务费支付承诺书（格式见第六部分）。</w:t>
            </w:r>
          </w:p>
          <w:p>
            <w:pPr>
              <w:spacing w:line="288" w:lineRule="auto"/>
              <w:rPr>
                <w:rFonts w:ascii="宋体" w:hAnsi="宋体" w:cs="宋体"/>
                <w:snapToGrid w:val="0"/>
                <w:color w:val="auto"/>
                <w:kern w:val="28"/>
                <w:sz w:val="24"/>
              </w:rPr>
            </w:pPr>
            <w:r>
              <w:rPr>
                <w:rFonts w:hint="eastAsia" w:ascii="宋体" w:hAnsi="宋体" w:cs="宋体"/>
                <w:snapToGrid w:val="0"/>
                <w:color w:val="auto"/>
                <w:kern w:val="28"/>
                <w:sz w:val="24"/>
              </w:rPr>
              <w:t>2、代理服务费支付：</w:t>
            </w:r>
          </w:p>
          <w:p>
            <w:pPr>
              <w:spacing w:line="288" w:lineRule="auto"/>
              <w:rPr>
                <w:rFonts w:ascii="宋体" w:hAnsi="宋体" w:cs="宋体"/>
                <w:snapToGrid w:val="0"/>
                <w:color w:val="auto"/>
                <w:kern w:val="28"/>
                <w:sz w:val="24"/>
              </w:rPr>
            </w:pPr>
            <w:r>
              <w:rPr>
                <w:rFonts w:hint="eastAsia" w:ascii="宋体" w:hAnsi="宋体" w:cs="宋体"/>
                <w:snapToGrid w:val="0"/>
                <w:color w:val="auto"/>
                <w:kern w:val="28"/>
                <w:sz w:val="24"/>
              </w:rPr>
              <w:t>① 代理服务费缴纳形式：汇票/支票/电汇/现金</w:t>
            </w:r>
          </w:p>
          <w:p>
            <w:pPr>
              <w:spacing w:line="288" w:lineRule="auto"/>
              <w:rPr>
                <w:rFonts w:ascii="宋体" w:hAnsi="宋体" w:cs="宋体"/>
                <w:snapToGrid w:val="0"/>
                <w:color w:val="auto"/>
                <w:kern w:val="28"/>
                <w:sz w:val="24"/>
              </w:rPr>
            </w:pPr>
            <w:r>
              <w:rPr>
                <w:rFonts w:hint="eastAsia" w:ascii="宋体" w:hAnsi="宋体" w:cs="宋体"/>
                <w:snapToGrid w:val="0"/>
                <w:color w:val="auto"/>
                <w:kern w:val="28"/>
                <w:sz w:val="24"/>
              </w:rPr>
              <w:t>② 代理服务费汇入以下账户 ：</w:t>
            </w:r>
          </w:p>
          <w:p>
            <w:pPr>
              <w:spacing w:line="288" w:lineRule="auto"/>
              <w:ind w:firstLine="240" w:firstLineChars="100"/>
              <w:rPr>
                <w:rFonts w:ascii="宋体" w:hAnsi="宋体" w:cs="宋体"/>
                <w:snapToGrid w:val="0"/>
                <w:color w:val="auto"/>
                <w:kern w:val="28"/>
                <w:sz w:val="24"/>
              </w:rPr>
            </w:pPr>
            <w:r>
              <w:rPr>
                <w:rFonts w:hint="eastAsia" w:ascii="宋体" w:hAnsi="宋体" w:cs="宋体"/>
                <w:snapToGrid w:val="0"/>
                <w:color w:val="auto"/>
                <w:kern w:val="28"/>
                <w:sz w:val="24"/>
              </w:rPr>
              <w:t xml:space="preserve">收款单位（户名）：浙江省成套工程有限公司 </w:t>
            </w:r>
          </w:p>
          <w:p>
            <w:pPr>
              <w:spacing w:line="288" w:lineRule="auto"/>
              <w:ind w:firstLine="240" w:firstLineChars="100"/>
              <w:rPr>
                <w:rFonts w:ascii="宋体" w:hAnsi="宋体" w:cs="宋体"/>
                <w:snapToGrid w:val="0"/>
                <w:color w:val="auto"/>
                <w:kern w:val="28"/>
                <w:sz w:val="24"/>
              </w:rPr>
            </w:pPr>
            <w:r>
              <w:rPr>
                <w:rFonts w:hint="eastAsia" w:ascii="宋体" w:hAnsi="宋体" w:cs="宋体"/>
                <w:snapToGrid w:val="0"/>
                <w:color w:val="auto"/>
                <w:kern w:val="28"/>
                <w:sz w:val="24"/>
              </w:rPr>
              <w:t>开户银行：杭州联合农村合作银行三墩支行</w:t>
            </w:r>
          </w:p>
          <w:p>
            <w:pPr>
              <w:spacing w:line="288" w:lineRule="auto"/>
              <w:ind w:firstLine="240" w:firstLineChars="100"/>
              <w:rPr>
                <w:rFonts w:ascii="宋体" w:hAnsi="宋体" w:cs="宋体"/>
                <w:snapToGrid w:val="0"/>
                <w:color w:val="auto"/>
                <w:kern w:val="28"/>
                <w:sz w:val="24"/>
              </w:rPr>
            </w:pPr>
            <w:r>
              <w:rPr>
                <w:rFonts w:hint="eastAsia" w:ascii="宋体" w:hAnsi="宋体" w:cs="宋体"/>
                <w:snapToGrid w:val="0"/>
                <w:color w:val="auto"/>
                <w:kern w:val="28"/>
                <w:sz w:val="24"/>
              </w:rPr>
              <w:t>银行账号：201000065548152</w:t>
            </w:r>
          </w:p>
          <w:p>
            <w:pPr>
              <w:spacing w:line="288" w:lineRule="auto"/>
              <w:rPr>
                <w:color w:val="auto"/>
              </w:rPr>
            </w:pPr>
            <w:r>
              <w:rPr>
                <w:rFonts w:hint="eastAsia" w:ascii="宋体" w:hAnsi="宋体" w:cs="宋体"/>
                <w:b/>
                <w:bCs/>
                <w:snapToGrid w:val="0"/>
                <w:color w:val="auto"/>
                <w:kern w:val="28"/>
                <w:sz w:val="24"/>
              </w:rPr>
              <w:t>3、增值税发票开票资料：单位名称、税号（统一社会信用代码）、开户行名称、账号、地址及联系电话。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vMerge w:val="continue"/>
          </w:tcPr>
          <w:p>
            <w:pPr>
              <w:snapToGrid w:val="0"/>
              <w:spacing w:line="360" w:lineRule="auto"/>
              <w:jc w:val="center"/>
              <w:rPr>
                <w:rFonts w:ascii="宋体" w:hAnsi="宋体" w:cs="宋体"/>
                <w:color w:val="auto"/>
                <w:sz w:val="24"/>
              </w:rPr>
            </w:pPr>
          </w:p>
        </w:tc>
        <w:tc>
          <w:tcPr>
            <w:tcW w:w="1843" w:type="dxa"/>
            <w:vMerge w:val="continue"/>
            <w:vAlign w:val="center"/>
          </w:tcPr>
          <w:p>
            <w:pPr>
              <w:snapToGrid w:val="0"/>
              <w:spacing w:line="360" w:lineRule="auto"/>
              <w:jc w:val="center"/>
              <w:rPr>
                <w:rFonts w:ascii="宋体" w:hAnsi="宋体" w:cs="宋体"/>
                <w:b/>
                <w:color w:val="auto"/>
                <w:sz w:val="24"/>
              </w:rPr>
            </w:pPr>
          </w:p>
        </w:tc>
        <w:tc>
          <w:tcPr>
            <w:tcW w:w="6095" w:type="dxa"/>
            <w:vAlign w:val="center"/>
          </w:tcPr>
          <w:p>
            <w:pPr>
              <w:spacing w:line="288" w:lineRule="auto"/>
              <w:rPr>
                <w:rFonts w:ascii="宋体" w:hAnsi="宋体" w:cs="宋体"/>
                <w:snapToGrid w:val="0"/>
                <w:color w:val="auto"/>
                <w:kern w:val="28"/>
                <w:sz w:val="24"/>
              </w:rPr>
            </w:pPr>
            <w:r>
              <w:rPr>
                <w:rFonts w:hint="eastAsia" w:ascii="宋体" w:hAnsi="宋体" w:cs="宋体"/>
                <w:snapToGrid w:val="0"/>
                <w:color w:val="auto"/>
                <w:kern w:val="28"/>
                <w:sz w:val="24"/>
              </w:rPr>
              <w:t>结束解密后，供应商通过邮件形式将经授权代表签署的《政府采购活动现场确认声明书》（格式见采购文件第七部分，采购文件最后一页内容）扫描件发至代理机构经办人邮箱（邮箱地址：zjct105@163.com，联系人：郑爱娣 ， 电话：0571-85058600）；</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0"/>
        <w:rPr>
          <w:rFonts w:ascii="宋体" w:hAnsi="宋体" w:cs="宋体"/>
          <w:b/>
          <w:color w:val="auto"/>
          <w:sz w:val="32"/>
          <w:szCs w:val="20"/>
        </w:rPr>
      </w:pPr>
      <w:bookmarkStart w:id="11" w:name="_Toc164416483"/>
      <w:bookmarkStart w:id="12" w:name="第三部分"/>
    </w:p>
    <w:p>
      <w:pPr>
        <w:adjustRightInd/>
        <w:spacing w:line="360" w:lineRule="auto"/>
        <w:ind w:firstLine="3845" w:firstLineChars="1197"/>
        <w:outlineLvl w:val="0"/>
        <w:rPr>
          <w:rFonts w:ascii="宋体" w:hAnsi="宋体" w:cs="宋体"/>
          <w:b/>
          <w:color w:val="auto"/>
          <w:sz w:val="32"/>
          <w:szCs w:val="20"/>
        </w:rPr>
      </w:pPr>
    </w:p>
    <w:p>
      <w:pPr>
        <w:adjustRightInd/>
        <w:spacing w:line="360" w:lineRule="auto"/>
        <w:ind w:firstLine="3845" w:firstLineChars="1197"/>
        <w:outlineLvl w:val="0"/>
        <w:rPr>
          <w:rFonts w:ascii="宋体" w:hAnsi="宋体" w:cs="宋体"/>
          <w:b/>
          <w:color w:val="auto"/>
          <w:sz w:val="32"/>
          <w:szCs w:val="20"/>
        </w:rPr>
      </w:pPr>
    </w:p>
    <w:p>
      <w:pPr>
        <w:adjustRightInd/>
        <w:spacing w:line="360" w:lineRule="auto"/>
        <w:ind w:firstLine="3845" w:firstLineChars="1197"/>
        <w:outlineLvl w:val="0"/>
        <w:rPr>
          <w:rFonts w:ascii="宋体" w:hAnsi="宋体" w:cs="宋体"/>
          <w:b/>
          <w:color w:val="auto"/>
          <w:sz w:val="32"/>
          <w:szCs w:val="20"/>
        </w:rPr>
      </w:pPr>
    </w:p>
    <w:p>
      <w:pPr>
        <w:adjustRightInd/>
        <w:spacing w:line="360" w:lineRule="auto"/>
        <w:ind w:firstLine="3845" w:firstLineChars="1197"/>
        <w:outlineLvl w:val="0"/>
        <w:rPr>
          <w:rFonts w:ascii="宋体" w:hAnsi="宋体" w:cs="宋体"/>
          <w:b/>
          <w:color w:val="auto"/>
          <w:sz w:val="32"/>
          <w:szCs w:val="20"/>
        </w:rPr>
      </w:pPr>
    </w:p>
    <w:p>
      <w:pPr>
        <w:adjustRightInd/>
        <w:spacing w:line="360" w:lineRule="auto"/>
        <w:ind w:firstLine="3845" w:firstLineChars="1197"/>
        <w:outlineLvl w:val="0"/>
        <w:rPr>
          <w:rFonts w:ascii="宋体" w:hAnsi="宋体" w:cs="宋体"/>
          <w:b/>
          <w:color w:val="auto"/>
          <w:sz w:val="32"/>
          <w:szCs w:val="20"/>
        </w:rPr>
      </w:pPr>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rPr>
        <w:t xml:space="preserve">3.2.4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6"/>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6"/>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6"/>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91"/>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91"/>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91"/>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1"/>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91"/>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91"/>
        <w:shd w:val="clear" w:color="auto" w:fill="FFFFFF"/>
        <w:snapToGrid w:val="0"/>
        <w:spacing w:after="24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pPr>
        <w:pStyle w:val="891"/>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91"/>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91"/>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pStyle w:val="891"/>
        <w:shd w:val="clear" w:color="auto" w:fill="FFFFFF"/>
        <w:snapToGrid w:val="0"/>
        <w:spacing w:after="240" w:afterAutospacing="0" w:line="360" w:lineRule="auto"/>
        <w:ind w:firstLine="400"/>
        <w:contextualSpacing/>
        <w:rPr>
          <w:color w:val="auto"/>
        </w:rPr>
      </w:pPr>
      <w:r>
        <w:rPr>
          <w:rFonts w:hint="eastAsia"/>
          <w:color w:val="auto"/>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91"/>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131"/>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6"/>
        <w:spacing w:line="360" w:lineRule="auto"/>
        <w:rPr>
          <w:rFonts w:hAnsi="宋体" w:cs="宋体"/>
          <w:b/>
          <w:color w:val="auto"/>
          <w:sz w:val="24"/>
          <w:szCs w:val="24"/>
        </w:rPr>
      </w:pPr>
      <w:r>
        <w:rPr>
          <w:rFonts w:hint="eastAsia" w:hAnsi="宋体" w:cs="宋体"/>
          <w:b/>
          <w:color w:val="auto"/>
          <w:sz w:val="24"/>
          <w:szCs w:val="24"/>
        </w:rPr>
        <w:t>5．招标文件的构成</w:t>
      </w:r>
    </w:p>
    <w:p>
      <w:pPr>
        <w:pStyle w:val="36"/>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6"/>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pPr>
        <w:pStyle w:val="131"/>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6"/>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6"/>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6"/>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color w:val="auto"/>
          <w:szCs w:val="24"/>
        </w:rPr>
      </w:pPr>
      <w:r>
        <w:rPr>
          <w:rFonts w:hint="eastAsia" w:hAnsi="宋体" w:cs="宋体"/>
          <w:b/>
          <w:color w:val="auto"/>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6"/>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6"/>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2</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（提供中小企业声明函)</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3</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11.2.5评标标准相应的商务技术资料；</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11.2.6主要消杀药品一览表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11.2.7投标标的清单；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11.2.8商务技术偏离表；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9</w:t>
      </w:r>
      <w:r>
        <w:rPr>
          <w:rFonts w:hint="eastAsia" w:ascii="宋体" w:hAnsi="宋体" w:cs="宋体"/>
          <w:color w:val="auto"/>
          <w:sz w:val="24"/>
          <w:lang w:val="zh-CN"/>
        </w:rPr>
        <w:t>政府采购供应商廉洁自律承诺书；</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11.2.10代理服务费支付承诺书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31"/>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31"/>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Ansi="宋体" w:cs="宋体"/>
          <w:b/>
          <w:color w:val="auto"/>
          <w:sz w:val="24"/>
          <w:szCs w:val="24"/>
        </w:rPr>
      </w:pPr>
      <w:r>
        <w:rPr>
          <w:rFonts w:hint="eastAsia" w:hAnsi="宋体" w:cs="宋体"/>
          <w:b/>
          <w:color w:val="auto"/>
          <w:sz w:val="24"/>
          <w:szCs w:val="24"/>
        </w:rPr>
        <w:t>15.备份投标文件</w:t>
      </w:r>
    </w:p>
    <w:p>
      <w:pPr>
        <w:pStyle w:val="36"/>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pPr>
        <w:pStyle w:val="36"/>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6"/>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7"/>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31"/>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31"/>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653"/>
        <w:rPr>
          <w:rFonts w:ascii="宋体" w:hAnsi="宋体" w:cs="宋体"/>
          <w:b/>
          <w:color w:val="auto"/>
          <w:sz w:val="32"/>
        </w:rPr>
      </w:pPr>
    </w:p>
    <w:p>
      <w:pPr>
        <w:pStyle w:val="131"/>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9"/>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9"/>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pPr>
        <w:pStyle w:val="131"/>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31"/>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7"/>
        <w:spacing w:line="360" w:lineRule="auto"/>
        <w:ind w:left="487" w:hanging="479" w:hangingChars="199"/>
        <w:rPr>
          <w:rFonts w:cs="宋体"/>
          <w:b/>
          <w:color w:val="auto"/>
        </w:rPr>
      </w:pPr>
      <w:r>
        <w:rPr>
          <w:rFonts w:hint="eastAsia" w:cs="宋体"/>
          <w:b/>
          <w:color w:val="auto"/>
        </w:rPr>
        <w:t>22. 确定中标供应商</w:t>
      </w:r>
    </w:p>
    <w:p>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7"/>
        <w:spacing w:line="360" w:lineRule="auto"/>
        <w:ind w:left="487"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7"/>
        <w:spacing w:line="360" w:lineRule="auto"/>
        <w:ind w:left="487"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7"/>
        <w:spacing w:line="360" w:lineRule="auto"/>
        <w:ind w:left="487"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4"/>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rPr>
      </w:pPr>
      <w:r>
        <w:rPr>
          <w:rFonts w:ascii="宋体" w:hAnsi="宋体" w:eastAsia="宋体"/>
          <w:color w:val="auto"/>
          <w:sz w:val="24"/>
          <w:lang w:val="en-US"/>
        </w:rPr>
        <w:t>27.预付款</w:t>
      </w:r>
    </w:p>
    <w:p>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pPr>
        <w:rPr>
          <w:color w:val="auto"/>
        </w:rPr>
      </w:pP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31"/>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31"/>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7"/>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5236290"/>
      <w:bookmarkEnd w:id="16"/>
      <w:bookmarkStart w:id="17" w:name="_Hlt68057669"/>
      <w:bookmarkEnd w:id="17"/>
      <w:bookmarkStart w:id="18" w:name="_Hlt74729768"/>
      <w:bookmarkEnd w:id="18"/>
      <w:bookmarkStart w:id="19" w:name="_Hlt68403820"/>
      <w:bookmarkEnd w:id="19"/>
      <w:bookmarkStart w:id="20" w:name="_Hlt75236101"/>
      <w:bookmarkEnd w:id="20"/>
      <w:bookmarkStart w:id="21" w:name="_Hlt68073093"/>
      <w:bookmarkEnd w:id="21"/>
      <w:bookmarkStart w:id="22" w:name="_Hlt68072990"/>
      <w:bookmarkEnd w:id="22"/>
      <w:bookmarkStart w:id="23" w:name="_Hlt74730295"/>
      <w:bookmarkEnd w:id="23"/>
      <w:bookmarkStart w:id="24" w:name="_Hlt75236011"/>
      <w:bookmarkEnd w:id="24"/>
      <w:bookmarkStart w:id="25" w:name="_Hlt68072998"/>
      <w:bookmarkEnd w:id="25"/>
      <w:bookmarkStart w:id="26" w:name="_Hlt74707468"/>
      <w:bookmarkEnd w:id="26"/>
    </w:p>
    <w:bookmarkEnd w:id="11"/>
    <w:bookmarkEnd w:id="12"/>
    <w:p>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pPr>
        <w:pStyle w:val="4"/>
        <w:numPr>
          <w:ilvl w:val="0"/>
          <w:numId w:val="1"/>
        </w:numPr>
        <w:spacing w:before="120" w:after="120"/>
        <w:jc w:val="both"/>
        <w:rPr>
          <w:rFonts w:ascii="宋体" w:hAnsi="宋体" w:eastAsia="宋体"/>
          <w:color w:val="auto"/>
          <w:sz w:val="21"/>
          <w:szCs w:val="21"/>
        </w:rPr>
      </w:pPr>
      <w:bookmarkStart w:id="28" w:name="_Toc418846105"/>
      <w:bookmarkStart w:id="29" w:name="_Toc21950"/>
      <w:r>
        <w:rPr>
          <w:rFonts w:hint="eastAsia" w:ascii="宋体" w:hAnsi="宋体" w:eastAsia="宋体"/>
          <w:color w:val="auto"/>
          <w:sz w:val="21"/>
          <w:szCs w:val="21"/>
        </w:rPr>
        <w:t>项目概况</w:t>
      </w:r>
      <w:bookmarkEnd w:id="28"/>
      <w:bookmarkEnd w:id="29"/>
    </w:p>
    <w:p>
      <w:pPr>
        <w:pStyle w:val="36"/>
        <w:spacing w:line="360" w:lineRule="auto"/>
        <w:ind w:right="-252" w:firstLine="472" w:firstLineChars="225"/>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lang w:val="en-US" w:eastAsia="zh-CN"/>
        </w:rPr>
        <w:t>1、</w:t>
      </w:r>
      <w:r>
        <w:rPr>
          <w:rFonts w:hint="eastAsia" w:ascii="宋体" w:hAnsi="宋体" w:eastAsia="宋体" w:cs="宋体"/>
          <w:i w:val="0"/>
          <w:iCs w:val="0"/>
          <w:caps w:val="0"/>
          <w:color w:val="auto"/>
          <w:spacing w:val="0"/>
          <w:sz w:val="21"/>
          <w:szCs w:val="21"/>
          <w:shd w:val="clear" w:fill="FFFFFF"/>
        </w:rPr>
        <w:t>杭州市西湖区公共环境除“四害”标项一项目概况：</w:t>
      </w:r>
    </w:p>
    <w:p>
      <w:pPr>
        <w:pStyle w:val="36"/>
        <w:spacing w:line="360" w:lineRule="auto"/>
        <w:ind w:right="-252" w:firstLine="472" w:firstLineChars="225"/>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转塘街道</w:t>
      </w:r>
    </w:p>
    <w:p>
      <w:pPr>
        <w:pStyle w:val="36"/>
        <w:spacing w:line="360" w:lineRule="auto"/>
        <w:ind w:right="-252" w:firstLine="472" w:firstLineChars="225"/>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东至302国道之江路口，南至西湖区双浦镇，西至320国道富阳边界，北至留下街道，辖12个农居点（转塘家园、沈合苑、方家苑、珊瑚沙家园、之江家园、定北家园、定山家园、定山西苑、村口家园、回龙雅苑、良户家园、山澜景苑），集镇2个社区（转塘社区、转塘街社区）和龙坞地区的11个村社（龙门坎村、桐坞村、慈母桥村、何家村、上城埭村、长埭村、外桐坞村、西湖茶场村、大清社区、叶埠桥社区、葛衙庄社区），面积约为30.2平方公里。包括上述辖区内垃圾箱（房）和所有窨井窨缸、各类水体、大型蓄水池、电缆沟等及转塘街道区域内转塘集镇的转塘农贸市场西侧小路、转塘里街、直街、后街周边；龙坞集镇的灵陇路、龙潭路葛衙庄段周边等沿街“八小”行业的“四害”控制工作。中标单位需将合同价的10%金额用于购买社区除四害技防设施(防蚊闸、毒鼠屋、捕蝇笼）。</w:t>
      </w:r>
    </w:p>
    <w:p>
      <w:pPr>
        <w:pStyle w:val="36"/>
        <w:spacing w:line="360" w:lineRule="auto"/>
        <w:ind w:right="-252" w:firstLine="472" w:firstLineChars="225"/>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2</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杭州市西湖区公共环境除“四害”标项二项目概况：</w:t>
      </w:r>
    </w:p>
    <w:p>
      <w:pPr>
        <w:pStyle w:val="36"/>
        <w:spacing w:line="360" w:lineRule="auto"/>
        <w:ind w:right="-252" w:firstLine="472" w:firstLineChars="225"/>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蒋村街道</w:t>
      </w:r>
    </w:p>
    <w:p>
      <w:pPr>
        <w:pStyle w:val="36"/>
        <w:spacing w:line="360" w:lineRule="auto"/>
        <w:ind w:right="-252" w:firstLine="472" w:firstLineChars="225"/>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东起紫金港路、文新街道紫金庭园及紫金港河，西至余杭区五常街道西溪国家湿地公园三期、杭州绕城公路与余杭接壤，南起天目山路与留下街道为邻，北至余杭塘河与三墩镇相望。府苑社区、蒋村花园社区、仕林社区、竞渡社区、诚园社区、蝶园社区、西溪里社区、河滨社区、西溪庐海社区9个社区，面积约13.84平方公里。包括上述辖区内垃圾箱（房）和所有窨井窨缸、各类水体、大型蓄水池、电缆沟等及蒋村街道区域内文一西路、文二西路、晴川街、崇义路、云起路、龙章路等六条路沿街“八小”行业的“四害”控制工作。包括上述辖区内垃圾箱（房）和所有窨井窨缸、各类水体、大型蓄水池、电缆沟等及蒋村街道区域内文一西路、文二西路、晴川街、崇义路、云起路、龙章路等六条路沿街“八小”行业的“四害”控制工作。中标单位需将合同价的10%金额用于购买社区除四害技防设施(防蚊闸、毒鼠屋、捕蝇笼）</w:t>
      </w:r>
      <w:r>
        <w:rPr>
          <w:rFonts w:hint="eastAsia" w:ascii="宋体" w:hAnsi="宋体" w:eastAsia="宋体" w:cs="宋体"/>
          <w:color w:val="auto"/>
        </w:rPr>
        <w:t>。</w:t>
      </w:r>
    </w:p>
    <w:p>
      <w:pPr>
        <w:rPr>
          <w:rFonts w:hint="eastAsia" w:ascii="宋体" w:hAnsi="宋体" w:eastAsia="宋体" w:cs="宋体"/>
          <w:color w:val="auto"/>
        </w:rPr>
      </w:pPr>
    </w:p>
    <w:p>
      <w:pPr>
        <w:pStyle w:val="36"/>
        <w:numPr>
          <w:ilvl w:val="0"/>
          <w:numId w:val="0"/>
        </w:numPr>
        <w:spacing w:line="360" w:lineRule="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lang w:val="en-US" w:eastAsia="zh-CN"/>
        </w:rPr>
        <w:t>3、</w:t>
      </w:r>
      <w:r>
        <w:rPr>
          <w:rFonts w:hint="eastAsia" w:ascii="宋体" w:hAnsi="宋体" w:eastAsia="宋体" w:cs="宋体"/>
          <w:i w:val="0"/>
          <w:iCs w:val="0"/>
          <w:caps w:val="0"/>
          <w:color w:val="auto"/>
          <w:spacing w:val="0"/>
          <w:sz w:val="21"/>
          <w:szCs w:val="21"/>
          <w:shd w:val="clear" w:fill="FFFFFF"/>
        </w:rPr>
        <w:t>杭州市西湖区公共环境除“四害”标项三项目概况：</w:t>
      </w:r>
    </w:p>
    <w:p>
      <w:pPr>
        <w:pStyle w:val="36"/>
        <w:numPr>
          <w:ilvl w:val="0"/>
          <w:numId w:val="0"/>
        </w:numPr>
        <w:spacing w:line="360" w:lineRule="auto"/>
        <w:ind w:firstLine="420" w:firstLineChars="200"/>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文新街道</w:t>
      </w:r>
    </w:p>
    <w:p>
      <w:pPr>
        <w:pStyle w:val="36"/>
        <w:numPr>
          <w:ilvl w:val="0"/>
          <w:numId w:val="0"/>
        </w:numPr>
        <w:spacing w:line="360" w:lineRule="auto"/>
        <w:ind w:firstLine="420" w:firstLineChars="200"/>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东至丰潭路及亚州城市花园、黄龙公寓、富丽苑东围墙与古荡相邻；南至紫金庭院、银桂花园、皇朝城市花园、金桂花园、丹桂花园、香港城、月桂花园、沁雅花园、丹桂公寓、亚洲城市花园一期、黄龙公寓南围墙与蒋村、古荡相邻；西至紫金港路与蒋村相邻；北至余杭塘河与三墩相望，辖湖畔、沁雅、德加、竞舟、金乐、香樟、星洲、府新、新金都、南都、桂花园、登云圩、阳光、五联、骆家庄15个社区，面积约5.05平方公里。包括上述辖区内垃圾箱（房）和所有窨井窨缸、各类水体、大型蓄水池、电缆沟等及文新街道区域内竞舟路、古墩路、紫荆花路、文一西路、文二西路、文三西路、丰潭路、星洲街、星艺街、登云圩路、锋尚路等路段沿街“八小”行业的“四害”控制工作。中标单位需将合同价的10%金额用于购买社区除四害技防设施(防蚊闸、毒鼠屋、捕蝇笼）。</w:t>
      </w:r>
    </w:p>
    <w:p>
      <w:pPr>
        <w:pStyle w:val="36"/>
        <w:numPr>
          <w:ilvl w:val="0"/>
          <w:numId w:val="0"/>
        </w:numPr>
        <w:spacing w:line="360" w:lineRule="auto"/>
        <w:ind w:firstLine="420" w:firstLineChars="200"/>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古荡街道</w:t>
      </w:r>
    </w:p>
    <w:p>
      <w:pPr>
        <w:pStyle w:val="36"/>
        <w:numPr>
          <w:ilvl w:val="0"/>
          <w:numId w:val="0"/>
        </w:numPr>
        <w:spacing w:line="360" w:lineRule="auto"/>
        <w:ind w:firstLine="420" w:firstLineChars="200"/>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东以冯家河与翠苑街道相接；南以老和山与灵隐街道相邻（庆丰菜场路面道路为界，老和山是以加油站为界），以及以啤酒厂东侧小路与留下街道相邻；西以莲花港河、紫荆花路与文新街道及蒋村街道相连；北至余杭塘河与三墩镇相望，辖古东、古南、古北、莲花、古墩、华星、嘉绿苑、嘉荷、文华、益乐10个社区、益乐股份合作社、荷花苑股份合作社，面积约4.64平方公里。包括上述辖区内垃圾箱（房）和所有窨井窨缸、各类水体、大型蓄水池、电缆沟等及古荡街道区域内益乐路（文三西路-文二西路）、莲花街（紫荆花路-丰潭路）、古荡农贸市场周边、通普路（高技街-文二西路）、华星路（古翠路-益乐路）、西斗门路（益乐路-丰潭路）等路段沿街“八小”行业的“四害”控制工作。中标单位需将合同价的10%金额用于购买社区除四害技防设施(防蚊闸、毒鼠屋、捕蝇笼）。</w:t>
      </w:r>
    </w:p>
    <w:p>
      <w:pPr>
        <w:pStyle w:val="2"/>
        <w:rPr>
          <w:rFonts w:hint="eastAsia" w:ascii="宋体" w:hAnsi="宋体" w:eastAsia="宋体" w:cs="宋体"/>
          <w:color w:val="auto"/>
        </w:rPr>
      </w:pPr>
    </w:p>
    <w:p>
      <w:pPr>
        <w:pStyle w:val="36"/>
        <w:numPr>
          <w:ilvl w:val="0"/>
          <w:numId w:val="0"/>
        </w:numPr>
        <w:spacing w:line="360" w:lineRule="auto"/>
        <w:ind w:firstLine="420" w:firstLineChars="200"/>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lang w:val="en-US" w:eastAsia="zh-CN"/>
        </w:rPr>
        <w:t>4、</w:t>
      </w:r>
      <w:r>
        <w:rPr>
          <w:rFonts w:hint="eastAsia" w:ascii="宋体" w:hAnsi="宋体" w:eastAsia="宋体" w:cs="宋体"/>
          <w:i w:val="0"/>
          <w:iCs w:val="0"/>
          <w:caps w:val="0"/>
          <w:color w:val="auto"/>
          <w:spacing w:val="0"/>
          <w:sz w:val="21"/>
          <w:szCs w:val="21"/>
          <w:shd w:val="clear" w:fill="FFFFFF"/>
        </w:rPr>
        <w:t>杭州市西湖区公共环境除“四害”标项四项目概况：</w:t>
      </w:r>
    </w:p>
    <w:p>
      <w:pPr>
        <w:pStyle w:val="36"/>
        <w:spacing w:line="360" w:lineRule="auto"/>
        <w:ind w:firstLine="472" w:firstLineChars="225"/>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rPr>
        <w:t>（1）翠苑街道</w:t>
      </w:r>
    </w:p>
    <w:p>
      <w:pPr>
        <w:pStyle w:val="36"/>
        <w:spacing w:line="360" w:lineRule="auto"/>
        <w:ind w:firstLine="472" w:firstLineChars="225"/>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东起教工路与西溪街道交界；南临天目山路与灵隐街道接壤；西至古翠路与古荡街道交界；北靠余杭塘河与拱墅区相望，辖翠苑一区、二区、三区、四区、五区、花园、九莲、黄姑山、古荡湾、保亭、宋江苑、塘苗12个社区，面积约3.93平方公里。包括上述辖区内垃圾箱（房）和所有窨井窨缸、各类水体、大型蓄水池、电缆沟等及翠苑街道区域内九莲社区（影业路1-8号、教工路33-65号、九莲农贸市场周边）、古荡湾社区（华星路1-99号、万塘汇）、黄姑山、塘苗社区（黄姑山路3-69号、学院路1-98号、文三路249-579号、塘苗路1-35号、万塘路1-80号）、一区（学院路137-151号）、二、三区、宋江苑（翠柏路1-10号、高木桥路小区主干道、翠苑农贸市场周边）、四区（万塘路558号）等路段沿街“八小”行业的“四害”控制工作。中标单位需将合同价的10%金额用于购买社区除四害技防设施(防蚊闸、毒鼠屋、捕蝇笼）。</w:t>
      </w:r>
    </w:p>
    <w:p>
      <w:pPr>
        <w:pStyle w:val="36"/>
        <w:spacing w:line="360" w:lineRule="auto"/>
        <w:ind w:firstLine="472" w:firstLineChars="225"/>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（2）西溪街道</w:t>
      </w:r>
    </w:p>
    <w:p>
      <w:pPr>
        <w:pStyle w:val="36"/>
        <w:spacing w:line="360" w:lineRule="auto"/>
        <w:ind w:firstLine="472" w:firstLineChars="225"/>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东以莫干山路与拱墅区交界；南至天目山路与北山街道、灵隐街道为邻；西沿教工路与翠苑街道相邻；北至余杭塘河与拱墅区相望，辖下马塍、上马塍、求智、文锦、文教、铁佛寺、文天、文三、花园亭、白荡海、溪畔、石灰桥12个社区，面积约3.02平方公里。包括上述辖区内垃圾箱（房）和所有窨井窨缸、各类水体、大型蓄水池、电缆沟等及西溪街道区域内马塍路、天目山路、文二路、文三路、莫干山路等路段沿街“八小”行业的“四害”控制工作。中标单位需将合同价的10%金额用于购买社区除四害技防设施(防蚊闸、毒鼠屋、捕蝇笼）。</w:t>
      </w:r>
    </w:p>
    <w:p>
      <w:pPr>
        <w:pStyle w:val="36"/>
        <w:spacing w:line="360" w:lineRule="auto"/>
        <w:ind w:firstLine="472" w:firstLineChars="225"/>
        <w:rPr>
          <w:rFonts w:hint="eastAsia" w:ascii="宋体" w:hAnsi="宋体" w:eastAsia="宋体" w:cs="宋体"/>
          <w:i w:val="0"/>
          <w:iCs w:val="0"/>
          <w:caps w:val="0"/>
          <w:color w:val="auto"/>
          <w:spacing w:val="0"/>
          <w:sz w:val="21"/>
          <w:szCs w:val="21"/>
          <w:shd w:val="clear" w:fill="FFFFFF"/>
          <w:lang w:val="en-US"/>
        </w:rPr>
      </w:pPr>
    </w:p>
    <w:p>
      <w:pPr>
        <w:pStyle w:val="36"/>
        <w:spacing w:line="360" w:lineRule="auto"/>
        <w:ind w:firstLine="472" w:firstLineChars="225"/>
        <w:rPr>
          <w:rFonts w:hint="eastAsia" w:ascii="宋体" w:hAnsi="宋体" w:eastAsia="宋体" w:cs="宋体"/>
          <w:i w:val="0"/>
          <w:iCs w:val="0"/>
          <w:caps w:val="0"/>
          <w:color w:val="auto"/>
          <w:spacing w:val="0"/>
          <w:sz w:val="21"/>
          <w:szCs w:val="21"/>
          <w:shd w:val="clear" w:fill="FFFFFF"/>
        </w:rPr>
      </w:pPr>
      <w:bookmarkStart w:id="30" w:name="_Hlk8312876"/>
      <w:r>
        <w:rPr>
          <w:rFonts w:hint="eastAsia" w:ascii="宋体" w:hAnsi="宋体" w:eastAsia="宋体" w:cs="宋体"/>
          <w:i w:val="0"/>
          <w:iCs w:val="0"/>
          <w:caps w:val="0"/>
          <w:color w:val="auto"/>
          <w:spacing w:val="0"/>
          <w:sz w:val="21"/>
          <w:szCs w:val="21"/>
          <w:shd w:val="clear" w:fill="FFFFFF"/>
          <w:lang w:val="en-US" w:eastAsia="zh-CN"/>
        </w:rPr>
        <w:t>5、</w:t>
      </w:r>
      <w:r>
        <w:rPr>
          <w:rFonts w:hint="eastAsia" w:ascii="宋体" w:hAnsi="宋体" w:eastAsia="宋体" w:cs="宋体"/>
          <w:i w:val="0"/>
          <w:iCs w:val="0"/>
          <w:caps w:val="0"/>
          <w:color w:val="auto"/>
          <w:spacing w:val="0"/>
          <w:sz w:val="21"/>
          <w:szCs w:val="21"/>
          <w:shd w:val="clear" w:fill="FFFFFF"/>
        </w:rPr>
        <w:t>杭州市西湖区公共环境除“四害”标项五项目概况</w:t>
      </w:r>
      <w:bookmarkEnd w:id="30"/>
      <w:r>
        <w:rPr>
          <w:rFonts w:hint="eastAsia" w:ascii="宋体" w:hAnsi="宋体" w:eastAsia="宋体" w:cs="宋体"/>
          <w:i w:val="0"/>
          <w:iCs w:val="0"/>
          <w:caps w:val="0"/>
          <w:color w:val="auto"/>
          <w:spacing w:val="0"/>
          <w:sz w:val="21"/>
          <w:szCs w:val="21"/>
          <w:shd w:val="clear" w:fill="FFFFFF"/>
        </w:rPr>
        <w:t>：</w:t>
      </w:r>
    </w:p>
    <w:p>
      <w:pPr>
        <w:pStyle w:val="36"/>
        <w:spacing w:line="360" w:lineRule="auto"/>
        <w:ind w:firstLine="472" w:firstLineChars="225"/>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（1）北山街道</w:t>
      </w:r>
    </w:p>
    <w:p>
      <w:pPr>
        <w:pStyle w:val="36"/>
        <w:spacing w:line="360" w:lineRule="auto"/>
        <w:ind w:firstLine="472" w:firstLineChars="225"/>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东起环城西路与下城区相邻；南始宝石山下</w:t>
      </w:r>
      <w:r>
        <w:rPr>
          <w:rFonts w:hint="eastAsia" w:ascii="宋体" w:hAnsi="宋体" w:eastAsia="宋体" w:cs="宋体"/>
          <w:i w:val="0"/>
          <w:iCs w:val="0"/>
          <w:caps w:val="0"/>
          <w:color w:val="auto"/>
          <w:spacing w:val="0"/>
          <w:sz w:val="21"/>
          <w:szCs w:val="21"/>
          <w:shd w:val="clear" w:fill="FFFFFF"/>
          <w:lang w:eastAsia="zh-CN"/>
        </w:rPr>
        <w:t>二</w:t>
      </w:r>
      <w:r>
        <w:rPr>
          <w:rFonts w:hint="eastAsia" w:ascii="宋体" w:hAnsi="宋体" w:eastAsia="宋体" w:cs="宋体"/>
          <w:i w:val="0"/>
          <w:iCs w:val="0"/>
          <w:caps w:val="0"/>
          <w:color w:val="auto"/>
          <w:spacing w:val="0"/>
          <w:sz w:val="21"/>
          <w:szCs w:val="21"/>
          <w:shd w:val="clear" w:fill="FFFFFF"/>
        </w:rPr>
        <w:t>弄沿宝石山至西湖小学东侧围墙与西湖风景名胜区管委会接壤；西以杭大路、曙光路、与灵隐街道为邻；北沿天目山路与西溪街道相邻,辖上保、沿山河、友谊、宝石、曲院、松木场、金祝7个社区，面积约3.4平方公里。包括上述辖区内垃圾箱（房）和所有窨井窨缸、各类水体、大型蓄水池、电缆沟等及北山街道区域内保俶路、西溪路、曙光路、体育场路等四条道路沿街“八小”行业的“四害”控制工作。中标单位需将合同价的10%金额用于购买社区除四害技防设施(防蚊闸、毒鼠屋、捕蝇笼）。</w:t>
      </w:r>
    </w:p>
    <w:p>
      <w:pPr>
        <w:pStyle w:val="36"/>
        <w:spacing w:line="360" w:lineRule="auto"/>
        <w:ind w:firstLine="472" w:firstLineChars="225"/>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rPr>
        <w:t>（2）灵隐街道</w:t>
      </w:r>
    </w:p>
    <w:p>
      <w:pPr>
        <w:pStyle w:val="36"/>
        <w:spacing w:line="360" w:lineRule="auto"/>
        <w:ind w:firstLine="472" w:firstLineChars="225"/>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东从曙光路至杭大路与北山街道相望；南沿灵隐路与西湖风景名胜区管委会为邻；西北以天目山路与翠苑、古荡街道交界，辖117、玉泉、东山弄、曙光、浙大求是、庆丰、黄龙7个社区，辖区面积约3.1平方公里。包括上述辖区内垃圾箱（房）和所有窨井窨缸、各类水体、大型蓄水池、电缆沟等及灵隐街道区域内浙大路、玉古路、西溪路两侧，青芝坞，东山农贸市场西侧小市场，求是小学东侧干道等沿街“八小”行业的“四害”控制工作。中标单位需将合同价的10%金额用于购买社区除四害技防设施(防蚊闸、毒鼠屋、捕蝇笼）。</w:t>
      </w:r>
    </w:p>
    <w:p>
      <w:pPr>
        <w:pStyle w:val="36"/>
        <w:spacing w:line="360" w:lineRule="auto"/>
        <w:ind w:firstLine="420" w:firstLineChars="200"/>
        <w:rPr>
          <w:rFonts w:hint="eastAsia" w:ascii="宋体" w:hAnsi="宋体" w:eastAsia="宋体" w:cs="宋体"/>
          <w:color w:val="auto"/>
        </w:rPr>
      </w:pPr>
    </w:p>
    <w:p>
      <w:pPr>
        <w:pStyle w:val="36"/>
        <w:spacing w:line="360" w:lineRule="auto"/>
        <w:ind w:firstLine="472" w:firstLineChars="225"/>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6</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杭州市西湖区公共环境除“四害”标项六项目概况：</w:t>
      </w:r>
    </w:p>
    <w:p>
      <w:pPr>
        <w:pStyle w:val="36"/>
        <w:spacing w:line="360" w:lineRule="auto"/>
        <w:ind w:firstLine="472" w:firstLineChars="225"/>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（1）留下街道：</w:t>
      </w:r>
    </w:p>
    <w:p>
      <w:pPr>
        <w:pStyle w:val="36"/>
        <w:spacing w:line="360" w:lineRule="auto"/>
        <w:ind w:firstLine="472" w:firstLineChars="225"/>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东起古墩路与古荡街道相邻；南沿北高峰至大马山、小马山与西湖风景名胜区接壤；西以绕城公路为界与五常街道为邻；北沿天目山路与蒋村街道、古荡街道相邻；以及大学城区域（上埠河以南、余杭里项村以东、留泗路以西转塘街道大清社区以北），辖东岳、金鱼井、西穆坞、杨家牌楼、和家园南、和家园北、留下、茶市街、溪琉、横街、屏峰、小和山、石马、翰墨香林14个社区和1个东穆坞村，面积约10.34平方公里。包括上述辖区内垃圾箱（房）和所有窨井窨缸、各类水体、大型蓄水池、电缆沟等及留下街道区域内杨梅山路、西溪路、留下集镇范围东至杨梅山路、南至杨梅山路西至留和路、北至天目山路等路段沿街“八小”行业的 “四害”控制工作。中标单位需将合同价的10%金额用于购买社区除四害技防设施(防蚊闸、毒鼠屋、捕蝇笼）。</w:t>
      </w:r>
    </w:p>
    <w:p>
      <w:pPr>
        <w:pStyle w:val="4"/>
        <w:spacing w:before="120" w:after="120"/>
        <w:jc w:val="both"/>
        <w:rPr>
          <w:rFonts w:hint="eastAsia" w:ascii="宋体" w:hAnsi="宋体" w:eastAsia="宋体" w:cs="宋体"/>
          <w:color w:val="auto"/>
          <w:sz w:val="21"/>
          <w:szCs w:val="21"/>
        </w:rPr>
      </w:pPr>
      <w:bookmarkStart w:id="31" w:name="_Toc29091"/>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、服务内容</w:t>
      </w:r>
      <w:bookmarkEnd w:id="31"/>
    </w:p>
    <w:p>
      <w:pPr>
        <w:snapToGrid w:val="0"/>
        <w:spacing w:line="360" w:lineRule="auto"/>
        <w:ind w:firstLine="420" w:firstLineChars="200"/>
        <w:rPr>
          <w:rFonts w:hint="eastAsia" w:ascii="宋体" w:hAnsi="宋体" w:eastAsia="宋体" w:cs="宋体"/>
          <w:color w:val="auto"/>
        </w:rPr>
      </w:pPr>
      <w:bookmarkStart w:id="32" w:name="_Toc418846107"/>
      <w:r>
        <w:rPr>
          <w:rFonts w:hint="eastAsia" w:ascii="宋体" w:hAnsi="宋体" w:eastAsia="宋体" w:cs="宋体"/>
          <w:color w:val="auto"/>
        </w:rPr>
        <w:t>1.公共环境（包括社区范围内的楼房屋顶、遮雨档板、车库车棚、棚顶跳台、窨缸窨井、绿地花坛、街道或社区管理的公园、垃圾箱房等公用部位环境，社区内的溪流、池塘及景观水池等各类水体、大型蓄水池、电缆沟等）灭鼠和蚊蝇、蟑螂的孳生消杀控制及街道指定区域内“八小”行业 “四害”控制工作。</w:t>
      </w:r>
    </w:p>
    <w:p>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2.公共环境除四害所需药物及投放、喷洒及环境处理；社区除四害技防设施(防蚊闸、毒鼠屋、捕蝇笼）的清理与维护。</w:t>
      </w:r>
    </w:p>
    <w:p>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3.突发应急事件环境消杀；市、区、街道爱卫办组织的其它除四害活动（包括要求承担的公益性服务）。</w:t>
      </w:r>
    </w:p>
    <w:p>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4.协助街道开展除四害宣传工作、普及科学除害防病知识，推进单位除四害市场化运作。</w:t>
      </w:r>
    </w:p>
    <w:p>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5.向所服务社区低保户等困难家庭户无偿提供家庭用灭蟑、灭鼠药等除“四害”药品及技术指导，向所服务社区居民家庭无偿提供除四害技术指导。</w:t>
      </w:r>
    </w:p>
    <w:p>
      <w:pPr>
        <w:snapToGrid w:val="0"/>
        <w:spacing w:line="360" w:lineRule="auto"/>
        <w:ind w:firstLine="422" w:firstLineChars="200"/>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rPr>
        <w:t>6.</w:t>
      </w:r>
      <w:r>
        <w:rPr>
          <w:rFonts w:hint="eastAsia"/>
          <w:b/>
          <w:bCs/>
          <w:color w:val="auto"/>
          <w:highlight w:val="none"/>
        </w:rPr>
        <w:t>消杀人员</w:t>
      </w:r>
      <w:r>
        <w:rPr>
          <w:rFonts w:hint="eastAsia" w:ascii="宋体" w:hAnsi="宋体" w:cs="宋体"/>
          <w:b/>
          <w:bCs/>
          <w:color w:val="auto"/>
          <w:highlight w:val="none"/>
          <w:lang w:val="en-US" w:eastAsia="zh-CN"/>
        </w:rPr>
        <w:t>要求</w:t>
      </w:r>
    </w:p>
    <w:p>
      <w:pPr>
        <w:snapToGrid w:val="0"/>
        <w:spacing w:line="360" w:lineRule="auto"/>
        <w:ind w:firstLine="422" w:firstLineChars="200"/>
        <w:rPr>
          <w:rFonts w:hint="eastAsia" w:ascii="宋体" w:hAnsi="宋体" w:eastAsia="宋体" w:cs="宋体"/>
          <w:color w:val="auto"/>
        </w:rPr>
      </w:pPr>
      <w:r>
        <w:rPr>
          <w:rFonts w:hint="eastAsia" w:ascii="宋体" w:hAnsi="宋体" w:eastAsia="宋体" w:cs="宋体"/>
          <w:b/>
          <w:bCs/>
          <w:color w:val="auto"/>
        </w:rPr>
        <w:t>标项一</w:t>
      </w:r>
      <w:r>
        <w:rPr>
          <w:rFonts w:hint="eastAsia" w:ascii="宋体" w:hAnsi="宋体" w:eastAsia="宋体" w:cs="宋体"/>
          <w:color w:val="auto"/>
        </w:rPr>
        <w:t>PCO公司的消杀人员应定期到街道报到，每个街道固定作业人员不少于</w:t>
      </w:r>
      <w:r>
        <w:rPr>
          <w:rFonts w:hint="eastAsia" w:ascii="宋体" w:hAnsi="宋体" w:eastAsia="宋体" w:cs="宋体"/>
          <w:b/>
          <w:bCs/>
          <w:color w:val="auto"/>
        </w:rPr>
        <w:t>7人</w:t>
      </w:r>
      <w:r>
        <w:rPr>
          <w:rFonts w:hint="eastAsia" w:ascii="宋体" w:hAnsi="宋体" w:eastAsia="宋体" w:cs="宋体"/>
          <w:color w:val="auto"/>
        </w:rPr>
        <w:t>，向街道分管人员汇报工作计划，并服从街道分配的具体工作任务。</w:t>
      </w:r>
    </w:p>
    <w:p>
      <w:pPr>
        <w:snapToGrid w:val="0"/>
        <w:spacing w:line="360" w:lineRule="auto"/>
        <w:ind w:firstLine="422" w:firstLineChars="200"/>
        <w:rPr>
          <w:rFonts w:hint="default" w:ascii="宋体" w:hAnsi="宋体" w:eastAsia="宋体" w:cs="宋体"/>
          <w:color w:val="auto"/>
          <w:lang w:val="en-US" w:eastAsia="zh-CN"/>
        </w:rPr>
      </w:pPr>
      <w:r>
        <w:rPr>
          <w:rFonts w:hint="eastAsia" w:ascii="宋体" w:hAnsi="宋体" w:eastAsia="宋体" w:cs="宋体"/>
          <w:b/>
          <w:bCs/>
          <w:color w:val="auto"/>
          <w:lang w:val="en-US" w:eastAsia="zh-CN"/>
        </w:rPr>
        <w:t>标项二</w:t>
      </w:r>
      <w:r>
        <w:rPr>
          <w:rFonts w:hint="eastAsia" w:ascii="宋体" w:hAnsi="宋体" w:eastAsia="宋体" w:cs="宋体"/>
          <w:color w:val="auto"/>
          <w:lang w:val="en-US" w:eastAsia="zh-CN"/>
        </w:rPr>
        <w:t>PCO公司的消杀人员应定期到街道报到，每个街道固定作业人员不少于</w:t>
      </w:r>
      <w:r>
        <w:rPr>
          <w:rFonts w:hint="eastAsia" w:ascii="宋体" w:hAnsi="宋体" w:eastAsia="宋体" w:cs="宋体"/>
          <w:b/>
          <w:bCs/>
          <w:color w:val="auto"/>
          <w:lang w:val="en-US" w:eastAsia="zh-CN"/>
        </w:rPr>
        <w:t>5人</w:t>
      </w:r>
      <w:r>
        <w:rPr>
          <w:rFonts w:hint="eastAsia" w:ascii="宋体" w:hAnsi="宋体" w:eastAsia="宋体" w:cs="宋体"/>
          <w:color w:val="auto"/>
          <w:lang w:val="en-US" w:eastAsia="zh-CN"/>
        </w:rPr>
        <w:t>，向街道分管人员汇报工作计划，并服从街道分配的具体工作任务。</w:t>
      </w:r>
    </w:p>
    <w:p>
      <w:pPr>
        <w:snapToGrid w:val="0"/>
        <w:spacing w:line="360" w:lineRule="auto"/>
        <w:ind w:firstLine="422" w:firstLineChars="200"/>
        <w:rPr>
          <w:rFonts w:hint="default" w:ascii="宋体" w:hAnsi="宋体" w:eastAsia="宋体" w:cs="宋体"/>
          <w:color w:val="auto"/>
          <w:lang w:val="en-US" w:eastAsia="zh-CN"/>
        </w:rPr>
      </w:pPr>
      <w:r>
        <w:rPr>
          <w:rFonts w:hint="eastAsia" w:ascii="宋体" w:hAnsi="宋体" w:eastAsia="宋体" w:cs="宋体"/>
          <w:b/>
          <w:bCs/>
          <w:color w:val="auto"/>
          <w:lang w:val="en-US" w:eastAsia="zh-CN"/>
        </w:rPr>
        <w:t>标项三</w:t>
      </w:r>
      <w:r>
        <w:rPr>
          <w:rFonts w:hint="eastAsia" w:ascii="宋体" w:hAnsi="宋体" w:eastAsia="宋体" w:cs="宋体"/>
          <w:color w:val="auto"/>
          <w:lang w:val="en-US" w:eastAsia="zh-CN"/>
        </w:rPr>
        <w:t>PCO公司的消杀人员应定期到街道报到，每个街道固定作业人员不少于</w:t>
      </w:r>
      <w:r>
        <w:rPr>
          <w:rFonts w:hint="eastAsia" w:ascii="宋体" w:hAnsi="宋体" w:eastAsia="宋体" w:cs="宋体"/>
          <w:b/>
          <w:bCs/>
          <w:color w:val="auto"/>
          <w:lang w:val="en-US" w:eastAsia="zh-CN"/>
        </w:rPr>
        <w:t>4人</w:t>
      </w:r>
      <w:r>
        <w:rPr>
          <w:rFonts w:hint="eastAsia" w:ascii="宋体" w:hAnsi="宋体" w:eastAsia="宋体" w:cs="宋体"/>
          <w:color w:val="auto"/>
          <w:lang w:val="en-US" w:eastAsia="zh-CN"/>
        </w:rPr>
        <w:t>，向街道分管人员汇报工作计划，并服从街道分配的具体工作任务。</w:t>
      </w:r>
    </w:p>
    <w:p>
      <w:pPr>
        <w:snapToGrid w:val="0"/>
        <w:spacing w:line="360" w:lineRule="auto"/>
        <w:ind w:firstLine="422" w:firstLineChars="200"/>
        <w:rPr>
          <w:rFonts w:hint="eastAsia" w:ascii="宋体" w:hAnsi="宋体" w:eastAsia="宋体" w:cs="宋体"/>
          <w:color w:val="auto"/>
          <w:lang w:val="en-US" w:eastAsia="zh-CN"/>
        </w:rPr>
      </w:pPr>
      <w:r>
        <w:rPr>
          <w:rFonts w:hint="eastAsia" w:ascii="宋体" w:hAnsi="宋体" w:eastAsia="宋体" w:cs="宋体"/>
          <w:b/>
          <w:bCs/>
          <w:color w:val="auto"/>
          <w:lang w:val="en-US" w:eastAsia="zh-CN"/>
        </w:rPr>
        <w:t>标项四</w:t>
      </w:r>
      <w:r>
        <w:rPr>
          <w:rFonts w:hint="eastAsia" w:ascii="宋体" w:hAnsi="宋体" w:eastAsia="宋体" w:cs="宋体"/>
          <w:color w:val="auto"/>
          <w:lang w:val="en-US" w:eastAsia="zh-CN"/>
        </w:rPr>
        <w:t>PCO公司的消杀人员应定期到街道报到，每个街道固定作业人员不少于</w:t>
      </w:r>
      <w:r>
        <w:rPr>
          <w:rFonts w:hint="eastAsia" w:ascii="宋体" w:hAnsi="宋体" w:eastAsia="宋体" w:cs="宋体"/>
          <w:b/>
          <w:bCs/>
          <w:color w:val="auto"/>
          <w:lang w:val="en-US" w:eastAsia="zh-CN"/>
        </w:rPr>
        <w:t>4人</w:t>
      </w:r>
      <w:r>
        <w:rPr>
          <w:rFonts w:hint="eastAsia" w:ascii="宋体" w:hAnsi="宋体" w:eastAsia="宋体" w:cs="宋体"/>
          <w:color w:val="auto"/>
          <w:lang w:val="en-US" w:eastAsia="zh-CN"/>
        </w:rPr>
        <w:t>，向街道分管人员汇报工作计划，并服从街道分配的具体工作任务。</w:t>
      </w:r>
    </w:p>
    <w:p>
      <w:pPr>
        <w:snapToGrid w:val="0"/>
        <w:spacing w:line="360" w:lineRule="auto"/>
        <w:ind w:firstLine="422" w:firstLineChars="200"/>
        <w:rPr>
          <w:rFonts w:hint="default" w:ascii="宋体" w:hAnsi="宋体" w:eastAsia="宋体" w:cs="宋体"/>
          <w:color w:val="auto"/>
          <w:lang w:val="en-US" w:eastAsia="zh-CN"/>
        </w:rPr>
      </w:pPr>
      <w:r>
        <w:rPr>
          <w:rFonts w:hint="default" w:ascii="宋体" w:hAnsi="宋体" w:eastAsia="宋体" w:cs="宋体"/>
          <w:b/>
          <w:bCs/>
          <w:color w:val="auto"/>
          <w:lang w:val="en-US" w:eastAsia="zh-CN"/>
        </w:rPr>
        <w:t>标项五</w:t>
      </w:r>
      <w:r>
        <w:rPr>
          <w:rFonts w:hint="default" w:ascii="宋体" w:hAnsi="宋体" w:eastAsia="宋体" w:cs="宋体"/>
          <w:color w:val="auto"/>
          <w:lang w:val="en-US" w:eastAsia="zh-CN"/>
        </w:rPr>
        <w:t>PCO公司的消杀人员应定期到街道报到，每个街道固定作业人员不少于</w:t>
      </w:r>
      <w:r>
        <w:rPr>
          <w:rFonts w:hint="default" w:ascii="宋体" w:hAnsi="宋体" w:eastAsia="宋体" w:cs="宋体"/>
          <w:b/>
          <w:bCs/>
          <w:color w:val="auto"/>
          <w:lang w:val="en-US" w:eastAsia="zh-CN"/>
        </w:rPr>
        <w:t>4人</w:t>
      </w:r>
      <w:r>
        <w:rPr>
          <w:rFonts w:hint="default" w:ascii="宋体" w:hAnsi="宋体" w:eastAsia="宋体" w:cs="宋体"/>
          <w:color w:val="auto"/>
          <w:lang w:val="en-US" w:eastAsia="zh-CN"/>
        </w:rPr>
        <w:t>，向街道分管人员汇报工作计划，并服从街道分配的具体工作任务。</w:t>
      </w:r>
    </w:p>
    <w:p>
      <w:pPr>
        <w:snapToGrid w:val="0"/>
        <w:spacing w:line="360" w:lineRule="auto"/>
        <w:ind w:firstLine="422" w:firstLineChars="200"/>
        <w:rPr>
          <w:rFonts w:hint="default" w:ascii="宋体" w:hAnsi="宋体" w:eastAsia="宋体" w:cs="宋体"/>
          <w:color w:val="auto"/>
          <w:lang w:val="en-US" w:eastAsia="zh-CN"/>
        </w:rPr>
      </w:pPr>
      <w:r>
        <w:rPr>
          <w:rFonts w:hint="default" w:ascii="宋体" w:hAnsi="宋体" w:eastAsia="宋体" w:cs="宋体"/>
          <w:b/>
          <w:bCs/>
          <w:color w:val="auto"/>
          <w:lang w:val="en-US" w:eastAsia="zh-CN"/>
        </w:rPr>
        <w:t>标项六</w:t>
      </w:r>
      <w:r>
        <w:rPr>
          <w:rFonts w:hint="default" w:ascii="宋体" w:hAnsi="宋体" w:eastAsia="宋体" w:cs="宋体"/>
          <w:color w:val="auto"/>
          <w:lang w:val="en-US" w:eastAsia="zh-CN"/>
        </w:rPr>
        <w:t>PCO公司的消杀人员应定期到街道报到，每个街道固定作业人员不少于</w:t>
      </w:r>
      <w:r>
        <w:rPr>
          <w:rFonts w:hint="default" w:ascii="宋体" w:hAnsi="宋体" w:eastAsia="宋体" w:cs="宋体"/>
          <w:b/>
          <w:bCs/>
          <w:color w:val="auto"/>
          <w:lang w:val="en-US" w:eastAsia="zh-CN"/>
        </w:rPr>
        <w:t>5人</w:t>
      </w:r>
      <w:r>
        <w:rPr>
          <w:rFonts w:hint="default" w:ascii="宋体" w:hAnsi="宋体" w:eastAsia="宋体" w:cs="宋体"/>
          <w:color w:val="auto"/>
          <w:lang w:val="en-US" w:eastAsia="zh-CN"/>
        </w:rPr>
        <w:t>，向街道分管人员汇报工作计划，并服从街道分配的具体工作任务。</w:t>
      </w:r>
    </w:p>
    <w:p>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7.做好服务区域“四害”密度监测工作、消杀工作计划和小结，并每月向市、区、街道爱卫办提交月密度监测报表、工作计划和小结以及消杀作业服务情况。</w:t>
      </w:r>
    </w:p>
    <w:p>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8.做好杭州市病媒生物密度控制水平C级以上等级省级评估考核工作和国家卫生城市复评病媒生物预防控制相关工作。</w:t>
      </w:r>
    </w:p>
    <w:p>
      <w:pPr>
        <w:pStyle w:val="4"/>
        <w:spacing w:before="120" w:after="120"/>
        <w:jc w:val="both"/>
        <w:rPr>
          <w:rFonts w:hint="eastAsia" w:ascii="宋体" w:hAnsi="宋体" w:eastAsia="宋体" w:cs="宋体"/>
          <w:color w:val="auto"/>
          <w:sz w:val="21"/>
          <w:szCs w:val="21"/>
        </w:rPr>
      </w:pPr>
      <w:bookmarkStart w:id="33" w:name="_Toc12856"/>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w:t>
      </w:r>
      <w:bookmarkEnd w:id="32"/>
      <w:r>
        <w:rPr>
          <w:rFonts w:hint="eastAsia" w:ascii="宋体" w:hAnsi="宋体" w:eastAsia="宋体" w:cs="宋体"/>
          <w:color w:val="auto"/>
          <w:sz w:val="21"/>
          <w:szCs w:val="21"/>
        </w:rPr>
        <w:t>服务要求</w:t>
      </w:r>
      <w:bookmarkEnd w:id="33"/>
    </w:p>
    <w:p>
      <w:pPr>
        <w:snapToGrid w:val="0"/>
        <w:spacing w:line="360" w:lineRule="auto"/>
        <w:ind w:firstLine="283" w:firstLineChars="135"/>
        <w:rPr>
          <w:rFonts w:hint="eastAsia" w:ascii="宋体" w:hAnsi="宋体" w:eastAsia="宋体" w:cs="宋体"/>
          <w:color w:val="auto"/>
        </w:rPr>
      </w:pPr>
      <w:bookmarkStart w:id="34" w:name="_Toc418846108"/>
      <w:r>
        <w:rPr>
          <w:rFonts w:hint="eastAsia" w:ascii="宋体" w:hAnsi="宋体" w:eastAsia="宋体" w:cs="宋体"/>
          <w:color w:val="auto"/>
        </w:rPr>
        <w:t>1.鼠密度控制标准: （1）春秋两季鼠药（下水道悬挂毒饵）的投放覆盖率98%以上、到位率95%以上；（2）每社区外环境鼠密度控制水平路径指数小于或等于3。</w:t>
      </w:r>
    </w:p>
    <w:p>
      <w:pPr>
        <w:snapToGrid w:val="0"/>
        <w:spacing w:line="360" w:lineRule="auto"/>
        <w:ind w:firstLine="283" w:firstLineChars="135"/>
        <w:rPr>
          <w:rFonts w:hint="eastAsia" w:ascii="宋体" w:hAnsi="宋体" w:eastAsia="宋体" w:cs="宋体"/>
          <w:color w:val="auto"/>
        </w:rPr>
      </w:pPr>
      <w:r>
        <w:rPr>
          <w:rFonts w:hint="eastAsia" w:ascii="宋体" w:hAnsi="宋体" w:eastAsia="宋体" w:cs="宋体"/>
          <w:color w:val="auto"/>
        </w:rPr>
        <w:t>2.蚊密度控制标准: 每社区小型积水蚊虫密度控制水平路径指数小于或等于0.5。</w:t>
      </w:r>
    </w:p>
    <w:p>
      <w:pPr>
        <w:snapToGrid w:val="0"/>
        <w:spacing w:line="360" w:lineRule="auto"/>
        <w:ind w:firstLine="283" w:firstLineChars="135"/>
        <w:rPr>
          <w:rFonts w:hint="eastAsia" w:ascii="宋体" w:hAnsi="宋体" w:eastAsia="宋体" w:cs="宋体"/>
          <w:color w:val="auto"/>
        </w:rPr>
      </w:pPr>
      <w:r>
        <w:rPr>
          <w:rFonts w:hint="eastAsia" w:ascii="宋体" w:hAnsi="宋体" w:eastAsia="宋体" w:cs="宋体"/>
          <w:color w:val="auto"/>
        </w:rPr>
        <w:t>3.蝇密度控制标准: 每社区蝇类孳生地阳性孳生小于或等于3%。</w:t>
      </w:r>
    </w:p>
    <w:p>
      <w:pPr>
        <w:snapToGrid w:val="0"/>
        <w:spacing w:line="360" w:lineRule="auto"/>
        <w:ind w:firstLine="283" w:firstLineChars="135"/>
        <w:rPr>
          <w:rFonts w:hint="eastAsia" w:ascii="宋体" w:hAnsi="宋体" w:eastAsia="宋体" w:cs="宋体"/>
          <w:color w:val="auto"/>
        </w:rPr>
      </w:pPr>
      <w:r>
        <w:rPr>
          <w:rFonts w:hint="eastAsia" w:ascii="宋体" w:hAnsi="宋体" w:eastAsia="宋体" w:cs="宋体"/>
          <w:color w:val="auto"/>
        </w:rPr>
        <w:t>4.灭蟑螂标准：每社区蟑螂成若虫侵害率小于或等于3%。</w:t>
      </w:r>
    </w:p>
    <w:p>
      <w:pPr>
        <w:snapToGrid w:val="0"/>
        <w:spacing w:line="360" w:lineRule="auto"/>
        <w:ind w:firstLine="283" w:firstLineChars="135"/>
        <w:rPr>
          <w:rFonts w:hint="eastAsia" w:ascii="宋体" w:hAnsi="宋体" w:eastAsia="宋体" w:cs="宋体"/>
          <w:color w:val="auto"/>
        </w:rPr>
      </w:pPr>
      <w:r>
        <w:rPr>
          <w:rFonts w:hint="eastAsia" w:ascii="宋体" w:hAnsi="宋体" w:eastAsia="宋体" w:cs="宋体"/>
          <w:color w:val="auto"/>
        </w:rPr>
        <w:t>5.群众满意率达90%（含）以上。</w:t>
      </w:r>
    </w:p>
    <w:p>
      <w:pPr>
        <w:snapToGrid w:val="0"/>
        <w:spacing w:line="360" w:lineRule="auto"/>
        <w:ind w:firstLine="283" w:firstLineChars="135"/>
        <w:rPr>
          <w:rFonts w:hint="eastAsia" w:ascii="宋体" w:hAnsi="宋体" w:eastAsia="宋体" w:cs="宋体"/>
          <w:color w:val="auto"/>
        </w:rPr>
      </w:pPr>
      <w:r>
        <w:rPr>
          <w:rFonts w:hint="eastAsia" w:ascii="宋体" w:hAnsi="宋体" w:eastAsia="宋体" w:cs="宋体"/>
          <w:color w:val="auto"/>
        </w:rPr>
        <w:t>6.“四害”密度达到国家病媒生物密度控制标准C级以上水平，确保在杭州市病媒生物密度控制水平省级评估认可中不失责任分。</w:t>
      </w:r>
    </w:p>
    <w:p>
      <w:pPr>
        <w:pStyle w:val="4"/>
        <w:spacing w:before="120" w:after="120"/>
        <w:jc w:val="both"/>
        <w:rPr>
          <w:rFonts w:hint="eastAsia" w:ascii="宋体" w:hAnsi="宋体" w:eastAsia="宋体" w:cs="宋体"/>
          <w:color w:val="auto"/>
          <w:sz w:val="21"/>
          <w:szCs w:val="21"/>
        </w:rPr>
      </w:pPr>
      <w:bookmarkStart w:id="35" w:name="_Toc23327"/>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rPr>
        <w:t>、质量目标</w:t>
      </w:r>
      <w:bookmarkEnd w:id="34"/>
      <w:bookmarkEnd w:id="35"/>
    </w:p>
    <w:p>
      <w:pPr>
        <w:snapToGrid w:val="0"/>
        <w:spacing w:line="360" w:lineRule="auto"/>
        <w:ind w:firstLine="420" w:firstLineChars="200"/>
        <w:rPr>
          <w:rFonts w:hint="eastAsia" w:ascii="宋体" w:hAnsi="宋体" w:eastAsia="宋体" w:cs="宋体"/>
          <w:color w:val="auto"/>
        </w:rPr>
      </w:pPr>
      <w:bookmarkStart w:id="36" w:name="_Toc418846109"/>
      <w:r>
        <w:rPr>
          <w:rFonts w:hint="eastAsia" w:ascii="宋体" w:hAnsi="宋体" w:eastAsia="宋体" w:cs="宋体"/>
          <w:color w:val="auto"/>
        </w:rPr>
        <w:t>1、公共外环境鼠、蚊、蝇、蟑螂等病媒生物得到有效控制，“四害”密度均达到国家病媒生物密度控制标准（GB/T 27770-2011鼠类、GB/T 27771-2011蚊虫、GB/T 27772-2011蝇类、GB/T 27773-2011蜚蠊）C级以上水平要求，并通过浙江省病媒生物控制水平评估认可。</w:t>
      </w:r>
    </w:p>
    <w:p>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2、群众满意率达90%（含）以上。</w:t>
      </w:r>
    </w:p>
    <w:p>
      <w:pPr>
        <w:snapToGrid w:val="0"/>
        <w:spacing w:line="360" w:lineRule="auto"/>
        <w:ind w:firstLine="420" w:firstLineChars="200"/>
        <w:rPr>
          <w:rFonts w:hint="eastAsia" w:ascii="宋体" w:hAnsi="宋体" w:eastAsia="宋体" w:cs="宋体"/>
          <w:b/>
          <w:color w:val="auto"/>
          <w:kern w:val="0"/>
          <w:szCs w:val="21"/>
        </w:rPr>
      </w:pPr>
      <w:r>
        <w:rPr>
          <w:rFonts w:hint="eastAsia" w:ascii="宋体" w:hAnsi="宋体" w:eastAsia="宋体" w:cs="宋体"/>
          <w:color w:val="auto"/>
        </w:rPr>
        <w:t>3、病媒生物预防控制达到国家卫生城市标准，在2024年国家卫生城市复评中不失责任分。</w:t>
      </w:r>
    </w:p>
    <w:p>
      <w:pPr>
        <w:pStyle w:val="4"/>
        <w:spacing w:before="120" w:after="120"/>
        <w:jc w:val="both"/>
        <w:rPr>
          <w:rFonts w:hint="eastAsia" w:ascii="宋体" w:hAnsi="宋体" w:eastAsia="宋体" w:cs="宋体"/>
          <w:color w:val="auto"/>
          <w:sz w:val="21"/>
          <w:szCs w:val="21"/>
        </w:rPr>
      </w:pPr>
      <w:bookmarkStart w:id="37" w:name="_Toc27174"/>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w:t>
      </w:r>
      <w:bookmarkEnd w:id="36"/>
      <w:r>
        <w:rPr>
          <w:rFonts w:hint="eastAsia" w:ascii="宋体" w:hAnsi="宋体" w:eastAsia="宋体" w:cs="宋体"/>
          <w:color w:val="auto"/>
          <w:sz w:val="21"/>
          <w:szCs w:val="21"/>
        </w:rPr>
        <w:t>报价方式</w:t>
      </w:r>
      <w:bookmarkEnd w:id="37"/>
    </w:p>
    <w:p>
      <w:pPr>
        <w:pStyle w:val="36"/>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供应商需对服务范围内各街道、社区填报承包价格，该价格中应包括各标项所有消杀服务所需的药物、器械、人工、运杂、税金（包含关税,由供应商承担的）、招标代理服务费、相关服务承诺等各项可能涉及的费用。</w:t>
      </w:r>
      <w:r>
        <w:rPr>
          <w:rFonts w:hint="eastAsia" w:ascii="宋体" w:hAnsi="宋体" w:eastAsia="宋体" w:cs="宋体"/>
          <w:color w:val="auto"/>
          <w:kern w:val="0"/>
        </w:rPr>
        <w:t>同时，还应包括参加市、区、街道爱卫办组织的其它除四害活动（包括要求承担的公益性服务）可能涉及产生的各项费用；突发应急事件环境消杀涉及产生的各项费用；向所服务社区低保户等困难家庭户无偿提供家庭用灭蟑、灭鼠等除四害药物及技术指导，向所服务社区居民家庭无偿提供灭鼠药等除四害药品及技术指导等工作所产生的各项费用，服务期间灭前灭后密度监测所产生的各项费用。</w:t>
      </w:r>
      <w:r>
        <w:rPr>
          <w:rFonts w:hint="eastAsia" w:ascii="宋体" w:hAnsi="宋体" w:eastAsia="宋体" w:cs="宋体"/>
          <w:color w:val="auto"/>
        </w:rPr>
        <w:t>中标单位需将合同价的10%金额用于购买社区除四害技防设施(防蚊闸、毒鼠屋、捕蝇笼）。</w:t>
      </w:r>
    </w:p>
    <w:p>
      <w:pPr>
        <w:snapToGrid w:val="0"/>
        <w:spacing w:line="360" w:lineRule="auto"/>
        <w:ind w:firstLine="420" w:firstLineChars="200"/>
        <w:jc w:val="left"/>
        <w:rPr>
          <w:rFonts w:hint="eastAsia" w:ascii="宋体" w:hAnsi="宋体" w:eastAsia="宋体" w:cs="宋体"/>
          <w:snapToGrid w:val="0"/>
          <w:color w:val="auto"/>
          <w:kern w:val="0"/>
          <w:szCs w:val="21"/>
        </w:rPr>
      </w:pPr>
    </w:p>
    <w:p>
      <w:pPr>
        <w:pStyle w:val="4"/>
        <w:snapToGrid w:val="0"/>
        <w:spacing w:before="120" w:beforeLines="50" w:after="120" w:afterLines="50"/>
        <w:rPr>
          <w:rFonts w:hint="eastAsia" w:ascii="宋体" w:hAnsi="宋体" w:eastAsia="宋体" w:cs="宋体"/>
          <w:snapToGrid w:val="0"/>
          <w:color w:val="auto"/>
          <w:kern w:val="0"/>
          <w:sz w:val="21"/>
          <w:szCs w:val="21"/>
        </w:rPr>
      </w:pPr>
      <w:bookmarkStart w:id="38" w:name="_Toc152411297"/>
      <w:bookmarkStart w:id="39" w:name="_Toc415569557"/>
      <w:bookmarkStart w:id="40" w:name="_Toc346176989"/>
      <w:bookmarkStart w:id="41" w:name="_Toc286063114"/>
      <w:bookmarkStart w:id="42" w:name="_Toc716"/>
      <w:bookmarkStart w:id="43" w:name="_Toc224569645"/>
      <w:r>
        <w:rPr>
          <w:rFonts w:hint="eastAsia" w:ascii="宋体" w:hAnsi="宋体" w:eastAsia="宋体" w:cs="宋体"/>
          <w:snapToGrid w:val="0"/>
          <w:color w:val="auto"/>
          <w:kern w:val="0"/>
          <w:sz w:val="21"/>
          <w:szCs w:val="21"/>
          <w:lang w:val="en-US" w:eastAsia="zh-CN"/>
        </w:rPr>
        <w:t>六</w:t>
      </w:r>
      <w:r>
        <w:rPr>
          <w:rFonts w:hint="eastAsia" w:ascii="宋体" w:hAnsi="宋体" w:eastAsia="宋体" w:cs="宋体"/>
          <w:snapToGrid w:val="0"/>
          <w:color w:val="auto"/>
          <w:kern w:val="0"/>
          <w:sz w:val="21"/>
          <w:szCs w:val="21"/>
        </w:rPr>
        <w:t>、付款</w:t>
      </w:r>
      <w:bookmarkEnd w:id="38"/>
      <w:r>
        <w:rPr>
          <w:rFonts w:hint="eastAsia" w:ascii="宋体" w:hAnsi="宋体" w:eastAsia="宋体" w:cs="宋体"/>
          <w:snapToGrid w:val="0"/>
          <w:color w:val="auto"/>
          <w:kern w:val="0"/>
          <w:sz w:val="21"/>
          <w:szCs w:val="21"/>
        </w:rPr>
        <w:t>方式</w:t>
      </w:r>
      <w:bookmarkEnd w:id="39"/>
      <w:bookmarkEnd w:id="40"/>
      <w:bookmarkEnd w:id="41"/>
      <w:bookmarkEnd w:id="42"/>
      <w:bookmarkEnd w:id="43"/>
    </w:p>
    <w:p>
      <w:pPr>
        <w:spacing w:line="360" w:lineRule="auto"/>
        <w:ind w:firstLine="420" w:firstLineChars="200"/>
        <w:rPr>
          <w:rFonts w:hint="eastAsia" w:ascii="宋体" w:hAnsi="宋体" w:eastAsia="宋体" w:cs="宋体"/>
          <w:color w:val="auto"/>
          <w:szCs w:val="21"/>
        </w:rPr>
      </w:pPr>
      <w:bookmarkStart w:id="44" w:name="_Toc224569646"/>
      <w:bookmarkStart w:id="45" w:name="_Toc152411298"/>
      <w:bookmarkStart w:id="46" w:name="_Toc149969107"/>
      <w:bookmarkStart w:id="47" w:name="_Toc151438330"/>
      <w:bookmarkStart w:id="48" w:name="_Toc286063115"/>
      <w:r>
        <w:rPr>
          <w:rFonts w:hint="eastAsia" w:ascii="宋体" w:hAnsi="宋体" w:eastAsia="宋体" w:cs="宋体"/>
          <w:color w:val="auto"/>
          <w:szCs w:val="21"/>
        </w:rPr>
        <w:t>由市、区、街道爱卫办对中标单位的实施情况进行检查考核，达到质量要求，第一、第四季度支付年度承包价总额的各15%，第二、三季度支付年度承包价总额的各35%，承包金额按考核情况每季度支付一次；未按实施方案、技术方案要求严格执行, 未达到质量要求的，甲方即时提出警告、限期改正，在限期内整改落实后，再予支付（扣除不达标项20%款额）；若经警告后未在限期内改正，或中标方中途自行退出，或确认其不能达到要求的, 甲方有权解除合同，另选其它单位。</w:t>
      </w:r>
    </w:p>
    <w:p>
      <w:pPr>
        <w:pStyle w:val="27"/>
        <w:snapToGrid w:val="0"/>
        <w:ind w:firstLine="428"/>
        <w:rPr>
          <w:rFonts w:hint="eastAsia" w:ascii="宋体" w:hAnsi="宋体" w:eastAsia="宋体" w:cs="宋体"/>
          <w:b/>
          <w:bCs/>
          <w:snapToGrid w:val="0"/>
          <w:color w:val="auto"/>
          <w:kern w:val="0"/>
          <w:sz w:val="21"/>
          <w:szCs w:val="21"/>
        </w:rPr>
      </w:pPr>
      <w:r>
        <w:rPr>
          <w:rFonts w:hint="eastAsia" w:ascii="宋体" w:hAnsi="宋体" w:eastAsia="宋体" w:cs="宋体"/>
          <w:b/>
          <w:bCs/>
          <w:snapToGrid w:val="0"/>
          <w:color w:val="auto"/>
          <w:kern w:val="0"/>
          <w:sz w:val="21"/>
          <w:szCs w:val="21"/>
        </w:rPr>
        <w:t>因原项目延期一个月，本次成交供应商需向原项目成交供应商支付2024年7月份除‘四害’项目承包费用，金额根据本次项目成交价格的7月份承包费用支付。</w:t>
      </w:r>
    </w:p>
    <w:p>
      <w:pPr>
        <w:pStyle w:val="4"/>
        <w:snapToGrid w:val="0"/>
        <w:spacing w:before="120" w:beforeLines="50" w:after="120" w:afterLines="50"/>
        <w:rPr>
          <w:rFonts w:hint="eastAsia" w:ascii="宋体" w:hAnsi="宋体" w:eastAsia="宋体" w:cs="宋体"/>
          <w:snapToGrid w:val="0"/>
          <w:color w:val="auto"/>
          <w:kern w:val="0"/>
          <w:sz w:val="21"/>
          <w:szCs w:val="21"/>
        </w:rPr>
      </w:pPr>
      <w:bookmarkStart w:id="49" w:name="_Toc346176990"/>
      <w:bookmarkStart w:id="50" w:name="_Toc415569558"/>
      <w:bookmarkStart w:id="51" w:name="_Toc32470"/>
      <w:r>
        <w:rPr>
          <w:rFonts w:hint="eastAsia" w:ascii="宋体" w:hAnsi="宋体" w:eastAsia="宋体" w:cs="宋体"/>
          <w:snapToGrid w:val="0"/>
          <w:color w:val="auto"/>
          <w:kern w:val="0"/>
          <w:sz w:val="21"/>
          <w:szCs w:val="21"/>
          <w:lang w:val="en-US" w:eastAsia="zh-CN"/>
        </w:rPr>
        <w:t>七</w:t>
      </w:r>
      <w:r>
        <w:rPr>
          <w:rFonts w:hint="eastAsia" w:ascii="宋体" w:hAnsi="宋体" w:eastAsia="宋体" w:cs="宋体"/>
          <w:snapToGrid w:val="0"/>
          <w:color w:val="auto"/>
          <w:kern w:val="0"/>
          <w:sz w:val="21"/>
          <w:szCs w:val="21"/>
        </w:rPr>
        <w:t>、相关说明</w:t>
      </w:r>
      <w:bookmarkEnd w:id="44"/>
      <w:bookmarkEnd w:id="45"/>
      <w:bookmarkEnd w:id="46"/>
      <w:bookmarkEnd w:id="47"/>
      <w:bookmarkEnd w:id="48"/>
      <w:bookmarkEnd w:id="49"/>
      <w:bookmarkEnd w:id="50"/>
      <w:bookmarkEnd w:id="51"/>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违反报价规定及在评审过程中违法违纪或以任何形式采取不正当竞争手段的一经查实，取消本次报价资格，已经成交的终止委托合同，一切后果由责任者自负。</w:t>
      </w:r>
    </w:p>
    <w:p>
      <w:pPr>
        <w:pStyle w:val="2"/>
        <w:numPr>
          <w:ilvl w:val="0"/>
          <w:numId w:val="0"/>
        </w:numPr>
        <w:ind w:firstLine="480"/>
        <w:rPr>
          <w:rFonts w:hint="default" w:cs="宋体"/>
          <w:color w:val="auto"/>
          <w:szCs w:val="21"/>
          <w:lang w:val="en-US" w:eastAsia="zh-CN"/>
        </w:rPr>
      </w:pPr>
    </w:p>
    <w:p>
      <w:pPr>
        <w:pStyle w:val="36"/>
        <w:spacing w:line="360" w:lineRule="auto"/>
        <w:ind w:firstLine="420" w:firstLineChars="200"/>
        <w:rPr>
          <w:rFonts w:hint="eastAsia" w:ascii="宋体" w:hAnsi="宋体" w:eastAsia="宋体" w:cs="宋体"/>
          <w:color w:val="auto"/>
        </w:rPr>
      </w:pPr>
    </w:p>
    <w:p>
      <w:pPr>
        <w:pStyle w:val="36"/>
        <w:spacing w:line="360" w:lineRule="auto"/>
        <w:ind w:firstLine="472" w:firstLineChars="225"/>
        <w:rPr>
          <w:rFonts w:hint="eastAsia" w:ascii="宋体" w:hAnsi="宋体" w:eastAsia="宋体" w:cs="宋体"/>
          <w:color w:val="auto"/>
        </w:rPr>
      </w:pPr>
    </w:p>
    <w:p>
      <w:pPr>
        <w:pStyle w:val="36"/>
        <w:spacing w:line="360" w:lineRule="auto"/>
        <w:ind w:left="474"/>
        <w:rPr>
          <w:rFonts w:hint="eastAsia" w:ascii="宋体" w:hAnsi="宋体" w:eastAsia="宋体" w:cs="宋体"/>
          <w:b/>
          <w:color w:val="auto"/>
        </w:rPr>
      </w:pPr>
    </w:p>
    <w:p>
      <w:pPr>
        <w:pStyle w:val="36"/>
        <w:spacing w:line="360" w:lineRule="auto"/>
        <w:ind w:left="474"/>
        <w:rPr>
          <w:rFonts w:hint="eastAsia" w:ascii="宋体" w:hAnsi="宋体" w:eastAsia="宋体" w:cs="宋体"/>
          <w:b/>
          <w:color w:val="auto"/>
        </w:rPr>
      </w:pPr>
    </w:p>
    <w:p>
      <w:pPr>
        <w:pStyle w:val="36"/>
        <w:spacing w:line="360" w:lineRule="auto"/>
        <w:ind w:firstLine="472" w:firstLineChars="225"/>
        <w:rPr>
          <w:rFonts w:hAnsi="宋体" w:cs="宋体"/>
          <w:color w:val="auto"/>
        </w:rPr>
      </w:pPr>
    </w:p>
    <w:p>
      <w:pPr>
        <w:pStyle w:val="36"/>
        <w:spacing w:line="360" w:lineRule="auto"/>
        <w:ind w:left="474"/>
        <w:rPr>
          <w:rFonts w:hAnsi="宋体" w:cs="宋体"/>
          <w:b/>
          <w:color w:val="auto"/>
        </w:rPr>
      </w:pPr>
    </w:p>
    <w:p>
      <w:pPr>
        <w:pStyle w:val="36"/>
        <w:spacing w:line="360" w:lineRule="auto"/>
        <w:ind w:firstLine="472" w:firstLineChars="225"/>
        <w:rPr>
          <w:rFonts w:hAnsi="宋体"/>
          <w:color w:val="auto"/>
        </w:rPr>
      </w:pPr>
    </w:p>
    <w:p>
      <w:pPr>
        <w:pStyle w:val="36"/>
        <w:spacing w:line="360" w:lineRule="auto"/>
        <w:ind w:left="474"/>
        <w:rPr>
          <w:rFonts w:hAnsi="宋体" w:cs="宋体"/>
          <w:b/>
          <w:color w:val="auto"/>
        </w:rPr>
      </w:pPr>
    </w:p>
    <w:p>
      <w:pPr>
        <w:pStyle w:val="81"/>
        <w:rPr>
          <w:color w:val="auto"/>
        </w:rPr>
      </w:pPr>
    </w:p>
    <w:p>
      <w:pPr>
        <w:pStyle w:val="81"/>
        <w:rPr>
          <w:color w:val="auto"/>
        </w:rPr>
      </w:pPr>
    </w:p>
    <w:p>
      <w:pPr>
        <w:pStyle w:val="81"/>
        <w:rPr>
          <w:color w:val="auto"/>
        </w:rPr>
      </w:pPr>
    </w:p>
    <w:p>
      <w:pPr>
        <w:pStyle w:val="81"/>
        <w:rPr>
          <w:color w:val="auto"/>
        </w:rPr>
      </w:pPr>
    </w:p>
    <w:p>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52" w:name="_Toc184310320"/>
      <w:bookmarkEnd w:id="52"/>
      <w:bookmarkStart w:id="53" w:name="_Toc184314422"/>
      <w:bookmarkEnd w:id="53"/>
      <w:bookmarkStart w:id="54" w:name="_Toc184308100"/>
      <w:bookmarkEnd w:id="54"/>
      <w:bookmarkStart w:id="55" w:name="_Toc184314450"/>
      <w:bookmarkEnd w:id="55"/>
      <w:bookmarkStart w:id="56" w:name="_Toc184310309"/>
      <w:bookmarkEnd w:id="56"/>
      <w:bookmarkStart w:id="57" w:name="_Toc184310327"/>
      <w:bookmarkEnd w:id="57"/>
      <w:bookmarkStart w:id="58" w:name="_Toc184313296"/>
      <w:bookmarkEnd w:id="58"/>
      <w:bookmarkStart w:id="59" w:name="_Toc184310282"/>
      <w:bookmarkEnd w:id="59"/>
      <w:bookmarkStart w:id="60" w:name="_Toc184314437"/>
      <w:bookmarkEnd w:id="60"/>
      <w:bookmarkStart w:id="61" w:name="_Toc184310314"/>
      <w:bookmarkEnd w:id="61"/>
      <w:bookmarkStart w:id="62" w:name="_Toc184314481"/>
      <w:bookmarkEnd w:id="62"/>
      <w:bookmarkStart w:id="63" w:name="_Toc184314444"/>
      <w:bookmarkEnd w:id="63"/>
      <w:bookmarkStart w:id="64" w:name="_Toc184312091"/>
      <w:bookmarkEnd w:id="64"/>
      <w:bookmarkStart w:id="65" w:name="_Toc184314471"/>
      <w:bookmarkEnd w:id="65"/>
      <w:bookmarkStart w:id="66" w:name="_Toc184313282"/>
      <w:bookmarkEnd w:id="66"/>
      <w:bookmarkStart w:id="67" w:name="_Toc184313263"/>
      <w:bookmarkEnd w:id="67"/>
      <w:bookmarkStart w:id="68" w:name="_Toc184314430"/>
      <w:bookmarkEnd w:id="68"/>
      <w:bookmarkStart w:id="69" w:name="_Toc184308047"/>
      <w:bookmarkEnd w:id="69"/>
      <w:bookmarkStart w:id="70" w:name="_Toc184313295"/>
      <w:bookmarkEnd w:id="70"/>
      <w:bookmarkStart w:id="71" w:name="_Toc184308063"/>
      <w:bookmarkEnd w:id="71"/>
      <w:bookmarkStart w:id="72" w:name="_Toc184312078"/>
      <w:bookmarkEnd w:id="72"/>
      <w:bookmarkStart w:id="73" w:name="_Toc184313302"/>
      <w:bookmarkEnd w:id="73"/>
      <w:bookmarkStart w:id="74" w:name="_Toc184312109"/>
      <w:bookmarkEnd w:id="74"/>
      <w:bookmarkStart w:id="75" w:name="_Toc184310319"/>
      <w:bookmarkEnd w:id="75"/>
      <w:bookmarkStart w:id="76" w:name="_Toc184312134"/>
      <w:bookmarkEnd w:id="76"/>
      <w:bookmarkStart w:id="77" w:name="_Toc184313292"/>
      <w:bookmarkEnd w:id="77"/>
      <w:bookmarkStart w:id="78" w:name="_Toc184314427"/>
      <w:bookmarkEnd w:id="78"/>
      <w:bookmarkStart w:id="79" w:name="_Toc184314411"/>
      <w:bookmarkEnd w:id="79"/>
      <w:bookmarkStart w:id="80" w:name="_Toc184312074"/>
      <w:bookmarkEnd w:id="80"/>
      <w:bookmarkStart w:id="81" w:name="_Toc184314429"/>
      <w:bookmarkEnd w:id="81"/>
      <w:bookmarkStart w:id="82" w:name="_Toc184308076"/>
      <w:bookmarkEnd w:id="82"/>
      <w:bookmarkStart w:id="83" w:name="_Toc184313310"/>
      <w:bookmarkEnd w:id="83"/>
      <w:bookmarkStart w:id="84" w:name="_Toc184312131"/>
      <w:bookmarkEnd w:id="84"/>
      <w:bookmarkStart w:id="85" w:name="_Toc184313247"/>
      <w:bookmarkEnd w:id="85"/>
      <w:bookmarkStart w:id="86" w:name="_Toc184310305"/>
      <w:bookmarkEnd w:id="86"/>
      <w:bookmarkStart w:id="87" w:name="_Toc184313283"/>
      <w:bookmarkEnd w:id="87"/>
      <w:bookmarkStart w:id="88" w:name="_Toc184310312"/>
      <w:bookmarkEnd w:id="88"/>
      <w:bookmarkStart w:id="89" w:name="_Toc184308107"/>
      <w:bookmarkEnd w:id="89"/>
      <w:bookmarkStart w:id="90" w:name="_Toc184308039"/>
      <w:bookmarkEnd w:id="90"/>
      <w:bookmarkStart w:id="91" w:name="_Toc184313293"/>
      <w:bookmarkEnd w:id="91"/>
      <w:bookmarkStart w:id="92" w:name="_Toc184312119"/>
      <w:bookmarkEnd w:id="92"/>
      <w:bookmarkStart w:id="93" w:name="_Toc184313305"/>
      <w:bookmarkEnd w:id="93"/>
      <w:bookmarkStart w:id="94" w:name="_Toc184314414"/>
      <w:bookmarkEnd w:id="94"/>
      <w:bookmarkStart w:id="95" w:name="_Toc184312075"/>
      <w:bookmarkEnd w:id="95"/>
      <w:bookmarkStart w:id="96" w:name="_Toc184308098"/>
      <w:bookmarkEnd w:id="96"/>
      <w:bookmarkStart w:id="97" w:name="_Toc184308101"/>
      <w:bookmarkEnd w:id="97"/>
      <w:bookmarkStart w:id="98" w:name="_Toc184314452"/>
      <w:bookmarkEnd w:id="98"/>
      <w:bookmarkStart w:id="99" w:name="_Toc184310326"/>
      <w:bookmarkEnd w:id="99"/>
      <w:bookmarkStart w:id="100" w:name="_Toc184314410"/>
      <w:bookmarkEnd w:id="100"/>
      <w:bookmarkStart w:id="101" w:name="_Toc184314460"/>
      <w:bookmarkEnd w:id="101"/>
      <w:bookmarkStart w:id="102" w:name="_Toc184313255"/>
      <w:bookmarkEnd w:id="102"/>
      <w:bookmarkStart w:id="103" w:name="_Toc184312138"/>
      <w:bookmarkEnd w:id="103"/>
      <w:bookmarkStart w:id="104" w:name="_Toc184313268"/>
      <w:bookmarkEnd w:id="104"/>
      <w:bookmarkStart w:id="105" w:name="_Toc184312130"/>
      <w:bookmarkEnd w:id="105"/>
      <w:bookmarkStart w:id="106" w:name="_Toc184313291"/>
      <w:bookmarkEnd w:id="106"/>
      <w:bookmarkStart w:id="107" w:name="_Toc184314454"/>
      <w:bookmarkEnd w:id="107"/>
      <w:bookmarkStart w:id="108" w:name="_Toc184308095"/>
      <w:bookmarkEnd w:id="108"/>
      <w:bookmarkStart w:id="109" w:name="_Toc184310298"/>
      <w:bookmarkEnd w:id="109"/>
      <w:bookmarkStart w:id="110" w:name="_Toc184312071"/>
      <w:bookmarkEnd w:id="110"/>
      <w:bookmarkStart w:id="111" w:name="_Toc184308085"/>
      <w:bookmarkEnd w:id="111"/>
      <w:bookmarkStart w:id="112" w:name="_Toc184310335"/>
      <w:bookmarkEnd w:id="112"/>
      <w:bookmarkStart w:id="113" w:name="_Toc184312104"/>
      <w:bookmarkEnd w:id="113"/>
      <w:bookmarkStart w:id="114" w:name="_Toc184310286"/>
      <w:bookmarkEnd w:id="114"/>
      <w:bookmarkStart w:id="115" w:name="_Toc184313253"/>
      <w:bookmarkEnd w:id="115"/>
      <w:bookmarkStart w:id="116" w:name="_Toc184312124"/>
      <w:bookmarkEnd w:id="116"/>
      <w:bookmarkStart w:id="117" w:name="_Toc184310340"/>
      <w:bookmarkEnd w:id="117"/>
      <w:bookmarkStart w:id="118" w:name="_Toc184313240"/>
      <w:bookmarkEnd w:id="118"/>
      <w:bookmarkStart w:id="119" w:name="_Toc184308090"/>
      <w:bookmarkEnd w:id="119"/>
      <w:bookmarkStart w:id="120" w:name="_Toc184310307"/>
      <w:bookmarkEnd w:id="120"/>
      <w:bookmarkStart w:id="121" w:name="_Toc184310313"/>
      <w:bookmarkEnd w:id="121"/>
      <w:bookmarkStart w:id="122" w:name="_Toc184314426"/>
      <w:bookmarkEnd w:id="122"/>
      <w:bookmarkStart w:id="123" w:name="_Toc184313290"/>
      <w:bookmarkEnd w:id="123"/>
      <w:bookmarkStart w:id="124" w:name="_Toc184310280"/>
      <w:bookmarkEnd w:id="124"/>
      <w:bookmarkStart w:id="125" w:name="_Toc184312079"/>
      <w:bookmarkEnd w:id="125"/>
      <w:bookmarkStart w:id="126" w:name="_Toc184314423"/>
      <w:bookmarkEnd w:id="126"/>
      <w:bookmarkStart w:id="127" w:name="_Toc184312080"/>
      <w:bookmarkEnd w:id="127"/>
      <w:bookmarkStart w:id="128" w:name="_Toc184313252"/>
      <w:bookmarkEnd w:id="128"/>
      <w:bookmarkStart w:id="129" w:name="_Toc184313277"/>
      <w:bookmarkEnd w:id="129"/>
      <w:bookmarkStart w:id="130" w:name="_Toc184308046"/>
      <w:bookmarkEnd w:id="130"/>
      <w:bookmarkStart w:id="131" w:name="_Toc184313269"/>
      <w:bookmarkEnd w:id="131"/>
      <w:bookmarkStart w:id="132" w:name="_Toc184308036"/>
      <w:bookmarkEnd w:id="132"/>
      <w:bookmarkStart w:id="133" w:name="_Toc184310339"/>
      <w:bookmarkEnd w:id="133"/>
      <w:bookmarkStart w:id="134" w:name="_Toc184310324"/>
      <w:bookmarkEnd w:id="134"/>
      <w:bookmarkStart w:id="135" w:name="_Toc184314470"/>
      <w:bookmarkEnd w:id="135"/>
      <w:bookmarkStart w:id="136" w:name="_Toc184313267"/>
      <w:bookmarkEnd w:id="136"/>
      <w:bookmarkStart w:id="137" w:name="_Toc184308108"/>
      <w:bookmarkEnd w:id="137"/>
      <w:bookmarkStart w:id="138" w:name="_Toc184310296"/>
      <w:bookmarkEnd w:id="138"/>
      <w:bookmarkStart w:id="139" w:name="_Toc184313238"/>
      <w:bookmarkEnd w:id="139"/>
      <w:bookmarkStart w:id="140" w:name="_Toc184313251"/>
      <w:bookmarkEnd w:id="140"/>
      <w:bookmarkStart w:id="141" w:name="_Toc184313274"/>
      <w:bookmarkEnd w:id="141"/>
      <w:bookmarkStart w:id="142" w:name="_Toc184313275"/>
      <w:bookmarkEnd w:id="142"/>
      <w:bookmarkStart w:id="143" w:name="_Toc184308064"/>
      <w:bookmarkEnd w:id="143"/>
      <w:bookmarkStart w:id="144" w:name="_Toc184314467"/>
      <w:bookmarkEnd w:id="144"/>
      <w:bookmarkStart w:id="145" w:name="_Toc184308049"/>
      <w:bookmarkEnd w:id="145"/>
      <w:bookmarkStart w:id="146" w:name="_Toc184312068"/>
      <w:bookmarkEnd w:id="146"/>
      <w:bookmarkStart w:id="147" w:name="_Toc184313307"/>
      <w:bookmarkEnd w:id="147"/>
      <w:bookmarkStart w:id="148" w:name="_Toc184308062"/>
      <w:bookmarkEnd w:id="148"/>
      <w:bookmarkStart w:id="149" w:name="_Toc184310323"/>
      <w:bookmarkEnd w:id="149"/>
      <w:bookmarkStart w:id="150" w:name="_Toc184308079"/>
      <w:bookmarkEnd w:id="150"/>
      <w:bookmarkStart w:id="151" w:name="_Toc184312084"/>
      <w:bookmarkEnd w:id="151"/>
      <w:bookmarkStart w:id="152" w:name="_Toc184310322"/>
      <w:bookmarkEnd w:id="152"/>
      <w:bookmarkStart w:id="153" w:name="_Toc184308104"/>
      <w:bookmarkEnd w:id="153"/>
      <w:bookmarkStart w:id="154" w:name="_Toc184314435"/>
      <w:bookmarkEnd w:id="154"/>
      <w:bookmarkStart w:id="155" w:name="_Toc184314413"/>
      <w:bookmarkEnd w:id="155"/>
      <w:bookmarkStart w:id="156" w:name="_Toc184310334"/>
      <w:bookmarkEnd w:id="156"/>
      <w:bookmarkStart w:id="157" w:name="_Toc184310311"/>
      <w:bookmarkEnd w:id="157"/>
      <w:bookmarkStart w:id="158" w:name="_Toc184310274"/>
      <w:bookmarkEnd w:id="158"/>
      <w:bookmarkStart w:id="159" w:name="_Toc184314431"/>
      <w:bookmarkEnd w:id="159"/>
      <w:bookmarkStart w:id="160" w:name="_Toc184312129"/>
      <w:bookmarkEnd w:id="160"/>
      <w:bookmarkStart w:id="161" w:name="_Toc184313309"/>
      <w:bookmarkEnd w:id="161"/>
      <w:bookmarkStart w:id="162" w:name="_Toc184313278"/>
      <w:bookmarkEnd w:id="162"/>
      <w:bookmarkStart w:id="163" w:name="_Toc184313248"/>
      <w:bookmarkEnd w:id="163"/>
      <w:bookmarkStart w:id="164" w:name="_Toc184312115"/>
      <w:bookmarkEnd w:id="164"/>
      <w:bookmarkStart w:id="165" w:name="_Toc184308060"/>
      <w:bookmarkEnd w:id="165"/>
      <w:bookmarkStart w:id="166" w:name="_Toc184312067"/>
      <w:bookmarkEnd w:id="166"/>
      <w:bookmarkStart w:id="167" w:name="_Toc184308081"/>
      <w:bookmarkEnd w:id="167"/>
      <w:bookmarkStart w:id="168" w:name="_Toc184313259"/>
      <w:bookmarkEnd w:id="168"/>
      <w:bookmarkStart w:id="169" w:name="_Toc184314459"/>
      <w:bookmarkEnd w:id="169"/>
      <w:bookmarkStart w:id="170" w:name="_Toc184310325"/>
      <w:bookmarkEnd w:id="170"/>
      <w:bookmarkStart w:id="171" w:name="_Toc184310332"/>
      <w:bookmarkEnd w:id="171"/>
      <w:bookmarkStart w:id="172" w:name="_Toc184308087"/>
      <w:bookmarkEnd w:id="172"/>
      <w:bookmarkStart w:id="173" w:name="_Toc184312088"/>
      <w:bookmarkEnd w:id="173"/>
      <w:bookmarkStart w:id="174" w:name="_Toc184314438"/>
      <w:bookmarkEnd w:id="174"/>
      <w:bookmarkStart w:id="175" w:name="_Toc184310281"/>
      <w:bookmarkEnd w:id="175"/>
      <w:bookmarkStart w:id="176" w:name="_Toc184310289"/>
      <w:bookmarkEnd w:id="176"/>
      <w:bookmarkStart w:id="177" w:name="_Toc184314428"/>
      <w:bookmarkEnd w:id="177"/>
      <w:bookmarkStart w:id="178" w:name="_Toc184314455"/>
      <w:bookmarkEnd w:id="178"/>
      <w:bookmarkStart w:id="179" w:name="_Toc184310291"/>
      <w:bookmarkEnd w:id="179"/>
      <w:bookmarkStart w:id="180" w:name="_Toc184312135"/>
      <w:bookmarkEnd w:id="180"/>
      <w:bookmarkStart w:id="181" w:name="_Toc184308051"/>
      <w:bookmarkEnd w:id="181"/>
      <w:bookmarkStart w:id="182" w:name="_Toc184314477"/>
      <w:bookmarkEnd w:id="182"/>
      <w:bookmarkStart w:id="183" w:name="_Toc184308056"/>
      <w:bookmarkEnd w:id="183"/>
      <w:bookmarkStart w:id="184" w:name="_Toc184314448"/>
      <w:bookmarkEnd w:id="184"/>
      <w:bookmarkStart w:id="185" w:name="_Toc184310342"/>
      <w:bookmarkEnd w:id="185"/>
      <w:bookmarkStart w:id="186" w:name="_Toc184312136"/>
      <w:bookmarkEnd w:id="186"/>
      <w:bookmarkStart w:id="187" w:name="_Toc184314425"/>
      <w:bookmarkEnd w:id="187"/>
      <w:bookmarkStart w:id="188" w:name="_Toc184310306"/>
      <w:bookmarkEnd w:id="188"/>
      <w:bookmarkStart w:id="189" w:name="_Toc184313303"/>
      <w:bookmarkEnd w:id="189"/>
      <w:bookmarkStart w:id="190" w:name="_Toc184310276"/>
      <w:bookmarkEnd w:id="190"/>
      <w:bookmarkStart w:id="191" w:name="_Toc184312133"/>
      <w:bookmarkEnd w:id="191"/>
      <w:bookmarkStart w:id="192" w:name="_Toc184314457"/>
      <w:bookmarkEnd w:id="192"/>
      <w:bookmarkStart w:id="193" w:name="_Toc184312095"/>
      <w:bookmarkEnd w:id="193"/>
      <w:bookmarkStart w:id="194" w:name="_Toc184310329"/>
      <w:bookmarkEnd w:id="194"/>
      <w:bookmarkStart w:id="195" w:name="_Toc184313288"/>
      <w:bookmarkEnd w:id="195"/>
      <w:bookmarkStart w:id="196" w:name="_Toc184313294"/>
      <w:bookmarkEnd w:id="196"/>
      <w:bookmarkStart w:id="197" w:name="_Toc184312102"/>
      <w:bookmarkEnd w:id="197"/>
      <w:bookmarkStart w:id="198" w:name="_Toc184313261"/>
      <w:bookmarkEnd w:id="198"/>
      <w:bookmarkStart w:id="199" w:name="_Toc184314482"/>
      <w:bookmarkEnd w:id="199"/>
      <w:bookmarkStart w:id="200" w:name="_Toc184312106"/>
      <w:bookmarkEnd w:id="200"/>
      <w:bookmarkStart w:id="201" w:name="_Toc184310278"/>
      <w:bookmarkEnd w:id="201"/>
      <w:bookmarkStart w:id="202" w:name="_Toc184314442"/>
      <w:bookmarkEnd w:id="202"/>
      <w:bookmarkStart w:id="203" w:name="_Toc184308103"/>
      <w:bookmarkEnd w:id="203"/>
      <w:bookmarkStart w:id="204" w:name="_Toc184313299"/>
      <w:bookmarkEnd w:id="204"/>
      <w:bookmarkStart w:id="205" w:name="_Toc184312125"/>
      <w:bookmarkEnd w:id="205"/>
      <w:bookmarkStart w:id="206" w:name="_Toc184310301"/>
      <w:bookmarkEnd w:id="206"/>
      <w:bookmarkStart w:id="207" w:name="_Toc184310343"/>
      <w:bookmarkEnd w:id="207"/>
      <w:bookmarkStart w:id="208" w:name="_Toc184312123"/>
      <w:bookmarkEnd w:id="208"/>
      <w:bookmarkStart w:id="209" w:name="_Toc184312069"/>
      <w:bookmarkEnd w:id="209"/>
      <w:bookmarkStart w:id="210" w:name="_Toc184308066"/>
      <w:bookmarkEnd w:id="210"/>
      <w:bookmarkStart w:id="211" w:name="_Toc184314465"/>
      <w:bookmarkEnd w:id="211"/>
      <w:bookmarkStart w:id="212" w:name="_Toc184314419"/>
      <w:bookmarkEnd w:id="212"/>
      <w:bookmarkStart w:id="213" w:name="_Toc184312089"/>
      <w:bookmarkEnd w:id="213"/>
      <w:bookmarkStart w:id="214" w:name="_Toc184312139"/>
      <w:bookmarkEnd w:id="214"/>
      <w:bookmarkStart w:id="215" w:name="_Toc184308050"/>
      <w:bookmarkEnd w:id="215"/>
      <w:bookmarkStart w:id="216" w:name="_Toc184312107"/>
      <w:bookmarkEnd w:id="216"/>
      <w:bookmarkStart w:id="217" w:name="_Toc184310293"/>
      <w:bookmarkEnd w:id="217"/>
      <w:bookmarkStart w:id="218" w:name="_Toc184313266"/>
      <w:bookmarkEnd w:id="218"/>
      <w:bookmarkStart w:id="219" w:name="_Toc184313239"/>
      <w:bookmarkEnd w:id="219"/>
      <w:bookmarkStart w:id="220" w:name="_Toc184314478"/>
      <w:bookmarkEnd w:id="220"/>
      <w:bookmarkStart w:id="221" w:name="_Toc184310315"/>
      <w:bookmarkEnd w:id="221"/>
      <w:bookmarkStart w:id="222" w:name="_Toc184310302"/>
      <w:bookmarkEnd w:id="222"/>
      <w:bookmarkStart w:id="223" w:name="_Toc184314463"/>
      <w:bookmarkEnd w:id="223"/>
      <w:bookmarkStart w:id="224" w:name="_Toc184313279"/>
      <w:bookmarkEnd w:id="224"/>
      <w:bookmarkStart w:id="225" w:name="_Toc184310317"/>
      <w:bookmarkEnd w:id="225"/>
      <w:bookmarkStart w:id="226" w:name="_Toc184313246"/>
      <w:bookmarkEnd w:id="226"/>
      <w:bookmarkStart w:id="227" w:name="_Toc184314462"/>
      <w:bookmarkEnd w:id="227"/>
      <w:bookmarkStart w:id="228" w:name="_Toc184308038"/>
      <w:bookmarkEnd w:id="228"/>
      <w:bookmarkStart w:id="229" w:name="_Toc184314476"/>
      <w:bookmarkEnd w:id="229"/>
      <w:bookmarkStart w:id="230" w:name="_Toc184314447"/>
      <w:bookmarkEnd w:id="230"/>
      <w:bookmarkStart w:id="231" w:name="_Toc184308086"/>
      <w:bookmarkEnd w:id="231"/>
      <w:bookmarkStart w:id="232" w:name="_Toc184313264"/>
      <w:bookmarkEnd w:id="232"/>
      <w:bookmarkStart w:id="233" w:name="_Toc184310299"/>
      <w:bookmarkEnd w:id="233"/>
      <w:bookmarkStart w:id="234" w:name="_Toc184313270"/>
      <w:bookmarkEnd w:id="234"/>
      <w:bookmarkStart w:id="235" w:name="_Toc184313258"/>
      <w:bookmarkEnd w:id="235"/>
      <w:bookmarkStart w:id="236" w:name="_Toc184314472"/>
      <w:bookmarkEnd w:id="236"/>
      <w:bookmarkStart w:id="237" w:name="_Toc184313306"/>
      <w:bookmarkEnd w:id="237"/>
      <w:bookmarkStart w:id="238" w:name="_Toc184308092"/>
      <w:bookmarkEnd w:id="238"/>
      <w:bookmarkStart w:id="239" w:name="_Toc184313280"/>
      <w:bookmarkEnd w:id="239"/>
      <w:bookmarkStart w:id="240" w:name="_Toc184314436"/>
      <w:bookmarkEnd w:id="240"/>
      <w:bookmarkStart w:id="241" w:name="_Toc184312112"/>
      <w:bookmarkEnd w:id="241"/>
      <w:bookmarkStart w:id="242" w:name="_Toc184312094"/>
      <w:bookmarkEnd w:id="242"/>
      <w:bookmarkStart w:id="243" w:name="_Toc184314433"/>
      <w:bookmarkEnd w:id="243"/>
      <w:bookmarkStart w:id="244" w:name="_Toc184308073"/>
      <w:bookmarkEnd w:id="244"/>
      <w:bookmarkStart w:id="245" w:name="_Toc184312093"/>
      <w:bookmarkEnd w:id="245"/>
      <w:bookmarkStart w:id="246" w:name="_Toc184312101"/>
      <w:bookmarkEnd w:id="246"/>
      <w:bookmarkStart w:id="247" w:name="_Toc184314456"/>
      <w:bookmarkEnd w:id="247"/>
      <w:bookmarkStart w:id="248" w:name="_Toc184314417"/>
      <w:bookmarkEnd w:id="248"/>
      <w:bookmarkStart w:id="249" w:name="_Toc184313260"/>
      <w:bookmarkEnd w:id="249"/>
      <w:bookmarkStart w:id="250" w:name="_Toc184313286"/>
      <w:bookmarkEnd w:id="250"/>
      <w:bookmarkStart w:id="251" w:name="_Toc184310277"/>
      <w:bookmarkEnd w:id="251"/>
      <w:bookmarkStart w:id="252" w:name="_Toc184314479"/>
      <w:bookmarkEnd w:id="252"/>
      <w:bookmarkStart w:id="253" w:name="_Toc184314416"/>
      <w:bookmarkEnd w:id="253"/>
      <w:bookmarkStart w:id="254" w:name="_Toc184312126"/>
      <w:bookmarkEnd w:id="254"/>
      <w:bookmarkStart w:id="255" w:name="_Toc184314421"/>
      <w:bookmarkEnd w:id="255"/>
      <w:bookmarkStart w:id="256" w:name="_Toc184308048"/>
      <w:bookmarkEnd w:id="256"/>
      <w:bookmarkStart w:id="257" w:name="_Toc184314469"/>
      <w:bookmarkEnd w:id="257"/>
      <w:bookmarkStart w:id="258" w:name="_Toc184308045"/>
      <w:bookmarkEnd w:id="258"/>
      <w:bookmarkStart w:id="259" w:name="_Toc184310287"/>
      <w:bookmarkEnd w:id="259"/>
      <w:bookmarkStart w:id="260" w:name="_Toc184308072"/>
      <w:bookmarkEnd w:id="260"/>
      <w:bookmarkStart w:id="261" w:name="_Toc184308093"/>
      <w:bookmarkEnd w:id="261"/>
      <w:bookmarkStart w:id="262" w:name="_Toc184310331"/>
      <w:bookmarkEnd w:id="262"/>
      <w:bookmarkStart w:id="263" w:name="_Toc184308054"/>
      <w:bookmarkEnd w:id="263"/>
      <w:bookmarkStart w:id="264" w:name="_Toc184310316"/>
      <w:bookmarkEnd w:id="264"/>
      <w:bookmarkStart w:id="265" w:name="_Toc184314453"/>
      <w:bookmarkEnd w:id="265"/>
      <w:bookmarkStart w:id="266" w:name="_Toc184310294"/>
      <w:bookmarkEnd w:id="266"/>
      <w:bookmarkStart w:id="267" w:name="_Toc184314439"/>
      <w:bookmarkEnd w:id="267"/>
      <w:bookmarkStart w:id="268" w:name="_Toc184308071"/>
      <w:bookmarkEnd w:id="268"/>
      <w:bookmarkStart w:id="269" w:name="_Toc184313245"/>
      <w:bookmarkEnd w:id="269"/>
      <w:bookmarkStart w:id="270" w:name="_Toc184310288"/>
      <w:bookmarkEnd w:id="270"/>
      <w:bookmarkStart w:id="271" w:name="_Toc184312121"/>
      <w:bookmarkEnd w:id="271"/>
      <w:bookmarkStart w:id="272" w:name="_Toc184312122"/>
      <w:bookmarkEnd w:id="272"/>
      <w:bookmarkStart w:id="273" w:name="_Toc184308057"/>
      <w:bookmarkEnd w:id="273"/>
      <w:bookmarkStart w:id="274" w:name="_Toc184310308"/>
      <w:bookmarkEnd w:id="274"/>
      <w:bookmarkStart w:id="275" w:name="_Toc184308091"/>
      <w:bookmarkEnd w:id="275"/>
      <w:bookmarkStart w:id="276" w:name="_Toc184308070"/>
      <w:bookmarkEnd w:id="276"/>
      <w:bookmarkStart w:id="277" w:name="_Toc184308058"/>
      <w:bookmarkEnd w:id="277"/>
      <w:bookmarkStart w:id="278" w:name="_Toc184313256"/>
      <w:bookmarkEnd w:id="278"/>
      <w:bookmarkStart w:id="279" w:name="_Toc184312116"/>
      <w:bookmarkEnd w:id="279"/>
      <w:bookmarkStart w:id="280" w:name="_Toc184314449"/>
      <w:bookmarkEnd w:id="280"/>
      <w:bookmarkStart w:id="281" w:name="_Toc184308099"/>
      <w:bookmarkEnd w:id="281"/>
      <w:bookmarkStart w:id="282" w:name="_Toc184308094"/>
      <w:bookmarkEnd w:id="282"/>
      <w:bookmarkStart w:id="283" w:name="_Toc184312120"/>
      <w:bookmarkEnd w:id="283"/>
      <w:bookmarkStart w:id="284" w:name="_Toc184312100"/>
      <w:bookmarkEnd w:id="284"/>
      <w:bookmarkStart w:id="285" w:name="_Toc184314468"/>
      <w:bookmarkEnd w:id="285"/>
      <w:bookmarkStart w:id="286" w:name="_Toc184312111"/>
      <w:bookmarkEnd w:id="286"/>
      <w:bookmarkStart w:id="287" w:name="_Toc184310297"/>
      <w:bookmarkEnd w:id="287"/>
      <w:bookmarkStart w:id="288" w:name="_Toc184312098"/>
      <w:bookmarkEnd w:id="288"/>
      <w:bookmarkStart w:id="289" w:name="_Toc184310290"/>
      <w:bookmarkEnd w:id="289"/>
      <w:bookmarkStart w:id="290" w:name="_Toc184312128"/>
      <w:bookmarkEnd w:id="290"/>
      <w:bookmarkStart w:id="291" w:name="_Toc184313287"/>
      <w:bookmarkEnd w:id="291"/>
      <w:bookmarkStart w:id="292" w:name="_Toc184308053"/>
      <w:bookmarkEnd w:id="292"/>
      <w:bookmarkStart w:id="293" w:name="_Toc184312097"/>
      <w:bookmarkEnd w:id="293"/>
      <w:bookmarkStart w:id="294" w:name="_Toc184313250"/>
      <w:bookmarkEnd w:id="294"/>
      <w:bookmarkStart w:id="295" w:name="_Toc184312113"/>
      <w:bookmarkEnd w:id="295"/>
      <w:bookmarkStart w:id="296" w:name="_Toc184308078"/>
      <w:bookmarkEnd w:id="296"/>
      <w:bookmarkStart w:id="297" w:name="_Toc184308083"/>
      <w:bookmarkEnd w:id="297"/>
      <w:bookmarkStart w:id="298" w:name="_Toc184310333"/>
      <w:bookmarkEnd w:id="298"/>
      <w:bookmarkStart w:id="299" w:name="_Toc184313304"/>
      <w:bookmarkEnd w:id="299"/>
      <w:bookmarkStart w:id="300" w:name="_Toc184314443"/>
      <w:bookmarkEnd w:id="300"/>
      <w:bookmarkStart w:id="301" w:name="_Toc184312072"/>
      <w:bookmarkEnd w:id="301"/>
      <w:bookmarkStart w:id="302" w:name="_Toc184313276"/>
      <w:bookmarkEnd w:id="302"/>
      <w:bookmarkStart w:id="303" w:name="_Toc184312090"/>
      <w:bookmarkEnd w:id="303"/>
      <w:bookmarkStart w:id="304" w:name="_Toc184314474"/>
      <w:bookmarkEnd w:id="304"/>
      <w:bookmarkStart w:id="305" w:name="_Toc184313242"/>
      <w:bookmarkEnd w:id="305"/>
      <w:bookmarkStart w:id="306" w:name="_Toc184308080"/>
      <w:bookmarkEnd w:id="306"/>
      <w:bookmarkStart w:id="307" w:name="_Toc184312085"/>
      <w:bookmarkEnd w:id="307"/>
      <w:bookmarkStart w:id="308" w:name="_Toc184310321"/>
      <w:bookmarkEnd w:id="308"/>
      <w:bookmarkStart w:id="309" w:name="_Toc184310330"/>
      <w:bookmarkEnd w:id="309"/>
      <w:bookmarkStart w:id="310" w:name="_Toc184313265"/>
      <w:bookmarkEnd w:id="310"/>
      <w:bookmarkStart w:id="311" w:name="_Toc184313244"/>
      <w:bookmarkEnd w:id="311"/>
      <w:bookmarkStart w:id="312" w:name="_Toc184308042"/>
      <w:bookmarkEnd w:id="312"/>
      <w:bookmarkStart w:id="313" w:name="_Toc184314446"/>
      <w:bookmarkEnd w:id="313"/>
      <w:bookmarkStart w:id="314" w:name="_Toc184312127"/>
      <w:bookmarkEnd w:id="314"/>
      <w:bookmarkStart w:id="315" w:name="_Toc184310279"/>
      <w:bookmarkEnd w:id="315"/>
      <w:bookmarkStart w:id="316" w:name="_Toc184308106"/>
      <w:bookmarkEnd w:id="316"/>
      <w:bookmarkStart w:id="317" w:name="_Toc184308061"/>
      <w:bookmarkEnd w:id="317"/>
      <w:bookmarkStart w:id="318" w:name="_Toc184308075"/>
      <w:bookmarkEnd w:id="318"/>
      <w:bookmarkStart w:id="319" w:name="_Toc184308088"/>
      <w:bookmarkEnd w:id="319"/>
      <w:bookmarkStart w:id="320" w:name="_Toc184312108"/>
      <w:bookmarkEnd w:id="320"/>
      <w:bookmarkStart w:id="321" w:name="_Toc184312077"/>
      <w:bookmarkEnd w:id="321"/>
      <w:bookmarkStart w:id="322" w:name="_Toc184308102"/>
      <w:bookmarkEnd w:id="322"/>
      <w:bookmarkStart w:id="323" w:name="_Toc184310303"/>
      <w:bookmarkEnd w:id="323"/>
      <w:bookmarkStart w:id="324" w:name="_Toc184313273"/>
      <w:bookmarkEnd w:id="324"/>
      <w:bookmarkStart w:id="325" w:name="_Toc184308074"/>
      <w:bookmarkEnd w:id="325"/>
      <w:bookmarkStart w:id="326" w:name="_Toc184312081"/>
      <w:bookmarkEnd w:id="326"/>
      <w:bookmarkStart w:id="327" w:name="_Toc184308096"/>
      <w:bookmarkEnd w:id="327"/>
      <w:bookmarkStart w:id="328" w:name="_Toc184313289"/>
      <w:bookmarkEnd w:id="328"/>
      <w:bookmarkStart w:id="329" w:name="_Toc184308089"/>
      <w:bookmarkEnd w:id="329"/>
      <w:bookmarkStart w:id="330" w:name="_Toc184312070"/>
      <w:bookmarkEnd w:id="330"/>
      <w:bookmarkStart w:id="331" w:name="_Toc184308044"/>
      <w:bookmarkEnd w:id="331"/>
      <w:bookmarkStart w:id="332" w:name="_Toc184310318"/>
      <w:bookmarkEnd w:id="332"/>
      <w:bookmarkStart w:id="333" w:name="_Toc184312082"/>
      <w:bookmarkEnd w:id="333"/>
      <w:bookmarkStart w:id="334" w:name="_Toc184313249"/>
      <w:bookmarkEnd w:id="334"/>
      <w:bookmarkStart w:id="335" w:name="_Toc184314458"/>
      <w:bookmarkEnd w:id="335"/>
      <w:bookmarkStart w:id="336" w:name="_Toc184313257"/>
      <w:bookmarkEnd w:id="336"/>
      <w:bookmarkStart w:id="337" w:name="_Toc184314412"/>
      <w:bookmarkEnd w:id="337"/>
      <w:bookmarkStart w:id="338" w:name="_Toc184314432"/>
      <w:bookmarkEnd w:id="338"/>
      <w:bookmarkStart w:id="339" w:name="_Toc184308041"/>
      <w:bookmarkEnd w:id="339"/>
      <w:bookmarkStart w:id="340" w:name="_Toc184313272"/>
      <w:bookmarkEnd w:id="340"/>
      <w:bookmarkStart w:id="341" w:name="_Toc184314466"/>
      <w:bookmarkEnd w:id="341"/>
      <w:bookmarkStart w:id="342" w:name="_Toc184314480"/>
      <w:bookmarkEnd w:id="342"/>
      <w:bookmarkStart w:id="343" w:name="_Toc184312118"/>
      <w:bookmarkEnd w:id="343"/>
      <w:bookmarkStart w:id="344" w:name="_Toc184312137"/>
      <w:bookmarkEnd w:id="344"/>
      <w:bookmarkStart w:id="345" w:name="_Toc184313254"/>
      <w:bookmarkEnd w:id="345"/>
      <w:bookmarkStart w:id="346" w:name="_Toc184308065"/>
      <w:bookmarkEnd w:id="346"/>
      <w:bookmarkStart w:id="347" w:name="_Toc184312105"/>
      <w:bookmarkEnd w:id="347"/>
      <w:bookmarkStart w:id="348" w:name="_Toc184314445"/>
      <w:bookmarkEnd w:id="348"/>
      <w:bookmarkStart w:id="349" w:name="_Toc184313298"/>
      <w:bookmarkEnd w:id="349"/>
      <w:bookmarkStart w:id="350" w:name="_Toc184308084"/>
      <w:bookmarkEnd w:id="350"/>
      <w:bookmarkStart w:id="351" w:name="_Toc184310283"/>
      <w:bookmarkEnd w:id="351"/>
      <w:bookmarkStart w:id="352" w:name="_Toc184313262"/>
      <w:bookmarkEnd w:id="352"/>
      <w:bookmarkStart w:id="353" w:name="_Toc184310300"/>
      <w:bookmarkEnd w:id="353"/>
      <w:bookmarkStart w:id="354" w:name="_Toc184308097"/>
      <w:bookmarkEnd w:id="354"/>
      <w:bookmarkStart w:id="355" w:name="_Toc184314464"/>
      <w:bookmarkEnd w:id="355"/>
      <w:bookmarkStart w:id="356" w:name="_Toc184314441"/>
      <w:bookmarkEnd w:id="356"/>
      <w:bookmarkStart w:id="357" w:name="_Toc184308059"/>
      <w:bookmarkEnd w:id="357"/>
      <w:bookmarkStart w:id="358" w:name="_Toc184313243"/>
      <w:bookmarkEnd w:id="358"/>
      <w:bookmarkStart w:id="359" w:name="_Toc184313301"/>
      <w:bookmarkEnd w:id="359"/>
      <w:bookmarkStart w:id="360" w:name="_Toc184314473"/>
      <w:bookmarkEnd w:id="360"/>
      <w:bookmarkStart w:id="361" w:name="_Toc184312103"/>
      <w:bookmarkEnd w:id="361"/>
      <w:bookmarkStart w:id="362" w:name="_Toc184312099"/>
      <w:bookmarkEnd w:id="362"/>
      <w:bookmarkStart w:id="363" w:name="_Toc184310285"/>
      <w:bookmarkEnd w:id="363"/>
      <w:bookmarkStart w:id="364" w:name="_Toc184308043"/>
      <w:bookmarkEnd w:id="364"/>
      <w:bookmarkStart w:id="365" w:name="_Toc184313297"/>
      <w:bookmarkEnd w:id="365"/>
      <w:bookmarkStart w:id="366" w:name="_Toc184308067"/>
      <w:bookmarkEnd w:id="366"/>
      <w:bookmarkStart w:id="367" w:name="_Toc184314451"/>
      <w:bookmarkEnd w:id="367"/>
      <w:bookmarkStart w:id="368" w:name="_Toc184310304"/>
      <w:bookmarkEnd w:id="368"/>
      <w:bookmarkStart w:id="369" w:name="_Toc184310328"/>
      <w:bookmarkEnd w:id="369"/>
      <w:bookmarkStart w:id="370" w:name="_Toc184313284"/>
      <w:bookmarkEnd w:id="370"/>
      <w:bookmarkStart w:id="371" w:name="_Toc184314424"/>
      <w:bookmarkEnd w:id="371"/>
      <w:bookmarkStart w:id="372" w:name="_Toc184313281"/>
      <w:bookmarkEnd w:id="372"/>
      <w:bookmarkStart w:id="373" w:name="_Toc184314434"/>
      <w:bookmarkEnd w:id="373"/>
      <w:bookmarkStart w:id="374" w:name="_Toc184308082"/>
      <w:bookmarkEnd w:id="374"/>
      <w:bookmarkStart w:id="375" w:name="_Toc184308069"/>
      <w:bookmarkEnd w:id="375"/>
      <w:bookmarkStart w:id="376" w:name="_Toc184310344"/>
      <w:bookmarkEnd w:id="376"/>
      <w:bookmarkStart w:id="377" w:name="_Toc184310295"/>
      <w:bookmarkEnd w:id="377"/>
      <w:bookmarkStart w:id="378" w:name="_Toc184312086"/>
      <w:bookmarkEnd w:id="378"/>
      <w:bookmarkStart w:id="379" w:name="_Toc184308105"/>
      <w:bookmarkEnd w:id="379"/>
      <w:bookmarkStart w:id="380" w:name="_Toc184314461"/>
      <w:bookmarkEnd w:id="380"/>
      <w:bookmarkStart w:id="381" w:name="_Toc184312087"/>
      <w:bookmarkEnd w:id="381"/>
      <w:bookmarkStart w:id="382" w:name="_Toc184308040"/>
      <w:bookmarkEnd w:id="382"/>
      <w:bookmarkStart w:id="383" w:name="_Toc184312076"/>
      <w:bookmarkEnd w:id="383"/>
      <w:bookmarkStart w:id="384" w:name="_Toc184308052"/>
      <w:bookmarkEnd w:id="384"/>
      <w:bookmarkStart w:id="385" w:name="_Toc184313300"/>
      <w:bookmarkEnd w:id="385"/>
      <w:bookmarkStart w:id="386" w:name="_Toc184312110"/>
      <w:bookmarkEnd w:id="386"/>
      <w:bookmarkStart w:id="387" w:name="_Toc184310341"/>
      <w:bookmarkEnd w:id="387"/>
      <w:bookmarkStart w:id="388" w:name="_Toc184312132"/>
      <w:bookmarkEnd w:id="388"/>
      <w:bookmarkStart w:id="389" w:name="_Toc184313271"/>
      <w:bookmarkEnd w:id="389"/>
      <w:bookmarkStart w:id="390" w:name="_Toc184308037"/>
      <w:bookmarkEnd w:id="390"/>
      <w:bookmarkStart w:id="391" w:name="_Toc184310272"/>
      <w:bookmarkEnd w:id="391"/>
      <w:bookmarkStart w:id="392" w:name="_Toc184308068"/>
      <w:bookmarkEnd w:id="392"/>
      <w:bookmarkStart w:id="393" w:name="_Toc184308055"/>
      <w:bookmarkEnd w:id="393"/>
      <w:bookmarkStart w:id="394" w:name="_Toc184312117"/>
      <w:bookmarkEnd w:id="394"/>
      <w:bookmarkStart w:id="395" w:name="_Toc184310273"/>
      <w:bookmarkEnd w:id="395"/>
      <w:bookmarkStart w:id="396" w:name="_Toc184313308"/>
      <w:bookmarkEnd w:id="396"/>
      <w:bookmarkStart w:id="397" w:name="_Toc184314475"/>
      <w:bookmarkEnd w:id="397"/>
      <w:bookmarkStart w:id="398" w:name="_Toc184312092"/>
      <w:bookmarkEnd w:id="398"/>
      <w:bookmarkStart w:id="399" w:name="_Toc184314418"/>
      <w:bookmarkEnd w:id="399"/>
      <w:bookmarkStart w:id="400" w:name="_Toc184310337"/>
      <w:bookmarkEnd w:id="400"/>
      <w:bookmarkStart w:id="401" w:name="_Toc184310284"/>
      <w:bookmarkEnd w:id="401"/>
      <w:bookmarkStart w:id="402" w:name="_Toc184310338"/>
      <w:bookmarkEnd w:id="402"/>
      <w:bookmarkStart w:id="403" w:name="_Toc184310275"/>
      <w:bookmarkEnd w:id="403"/>
      <w:bookmarkStart w:id="404" w:name="_Toc184312083"/>
      <w:bookmarkEnd w:id="404"/>
      <w:bookmarkStart w:id="405" w:name="_Toc184314440"/>
      <w:bookmarkEnd w:id="405"/>
      <w:bookmarkStart w:id="406" w:name="_Toc184312096"/>
      <w:bookmarkEnd w:id="406"/>
      <w:bookmarkStart w:id="407" w:name="_Toc184312114"/>
      <w:bookmarkEnd w:id="407"/>
      <w:bookmarkStart w:id="408" w:name="_Toc184314420"/>
      <w:bookmarkEnd w:id="408"/>
      <w:bookmarkStart w:id="409" w:name="_Toc184312073"/>
      <w:bookmarkEnd w:id="409"/>
      <w:bookmarkStart w:id="410" w:name="_Toc184308077"/>
      <w:bookmarkEnd w:id="410"/>
      <w:bookmarkStart w:id="411" w:name="_Toc184314415"/>
      <w:bookmarkEnd w:id="411"/>
      <w:bookmarkStart w:id="412" w:name="_Toc184310292"/>
      <w:bookmarkEnd w:id="412"/>
      <w:bookmarkStart w:id="413" w:name="_Toc184313241"/>
      <w:bookmarkEnd w:id="413"/>
      <w:bookmarkStart w:id="414" w:name="_Toc184310310"/>
      <w:bookmarkEnd w:id="414"/>
      <w:bookmarkStart w:id="415" w:name="_Toc184310336"/>
      <w:bookmarkEnd w:id="415"/>
      <w:bookmarkStart w:id="416" w:name="_Toc184313285"/>
      <w:bookmarkEnd w:id="416"/>
      <w:r>
        <w:rPr>
          <w:rFonts w:hint="eastAsia" w:ascii="宋体" w:hAnsi="宋体" w:cs="宋体"/>
          <w:b/>
          <w:color w:val="auto"/>
          <w:sz w:val="36"/>
          <w:szCs w:val="36"/>
        </w:rPr>
        <w:t>评标办法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p>
      <w:pPr>
        <w:pStyle w:val="2"/>
        <w:rPr>
          <w:rFonts w:cs="宋体"/>
          <w:b/>
          <w:color w:val="auto"/>
          <w:sz w:val="32"/>
          <w:szCs w:val="20"/>
        </w:rPr>
      </w:pPr>
    </w:p>
    <w:tbl>
      <w:tblPr>
        <w:tblStyle w:val="63"/>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242"/>
        <w:gridCol w:w="6326"/>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1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b/>
                <w:color w:val="auto"/>
                <w:szCs w:val="21"/>
              </w:rPr>
            </w:pPr>
            <w:r>
              <w:rPr>
                <w:rFonts w:hint="eastAsia"/>
                <w:b/>
                <w:color w:val="auto"/>
                <w:szCs w:val="21"/>
              </w:rPr>
              <w:t>序号</w:t>
            </w:r>
          </w:p>
        </w:tc>
        <w:tc>
          <w:tcPr>
            <w:tcW w:w="66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b/>
                <w:color w:val="auto"/>
                <w:szCs w:val="21"/>
              </w:rPr>
            </w:pPr>
            <w:r>
              <w:rPr>
                <w:rFonts w:hint="eastAsia"/>
                <w:b/>
                <w:color w:val="auto"/>
                <w:szCs w:val="21"/>
              </w:rPr>
              <w:t>评审项目</w:t>
            </w:r>
          </w:p>
        </w:tc>
        <w:tc>
          <w:tcPr>
            <w:tcW w:w="340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b/>
                <w:color w:val="auto"/>
                <w:szCs w:val="21"/>
              </w:rPr>
            </w:pPr>
            <w:r>
              <w:rPr>
                <w:rFonts w:hint="eastAsia"/>
                <w:b/>
                <w:color w:val="auto"/>
                <w:szCs w:val="21"/>
              </w:rPr>
              <w:t>评审内容</w:t>
            </w:r>
          </w:p>
        </w:tc>
        <w:tc>
          <w:tcPr>
            <w:tcW w:w="61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b/>
                <w:color w:val="auto"/>
                <w:szCs w:val="21"/>
              </w:rPr>
            </w:pPr>
            <w:r>
              <w:rPr>
                <w:rFonts w:hint="eastAsia"/>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1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w:t>
            </w:r>
          </w:p>
        </w:tc>
        <w:tc>
          <w:tcPr>
            <w:tcW w:w="66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eastAsia="宋体"/>
                <w:b/>
                <w:color w:val="auto"/>
                <w:szCs w:val="21"/>
                <w:lang w:val="en-US" w:eastAsia="zh-CN"/>
              </w:rPr>
            </w:pPr>
            <w:r>
              <w:rPr>
                <w:rFonts w:hint="eastAsia"/>
                <w:b w:val="0"/>
                <w:bCs/>
                <w:color w:val="auto"/>
                <w:szCs w:val="21"/>
                <w:lang w:val="en-US" w:eastAsia="zh-CN"/>
              </w:rPr>
              <w:t>业绩</w:t>
            </w:r>
          </w:p>
        </w:tc>
        <w:tc>
          <w:tcPr>
            <w:tcW w:w="3404" w:type="pct"/>
            <w:tcBorders>
              <w:top w:val="single" w:color="auto" w:sz="4" w:space="0"/>
              <w:left w:val="single" w:color="auto" w:sz="4" w:space="0"/>
              <w:bottom w:val="single" w:color="auto" w:sz="4" w:space="0"/>
              <w:right w:val="single" w:color="auto" w:sz="4" w:space="0"/>
            </w:tcBorders>
            <w:vAlign w:val="center"/>
          </w:tcPr>
          <w:p>
            <w:pPr>
              <w:jc w:val="left"/>
              <w:rPr>
                <w:rFonts w:hint="eastAsia"/>
                <w:b/>
                <w:color w:val="auto"/>
                <w:szCs w:val="21"/>
              </w:rPr>
            </w:pPr>
            <w:r>
              <w:rPr>
                <w:rFonts w:hint="eastAsia" w:ascii="宋体" w:hAnsi="宋体" w:eastAsia="宋体" w:cs="宋体"/>
                <w:bCs/>
                <w:color w:val="auto"/>
                <w:kern w:val="0"/>
                <w:sz w:val="24"/>
                <w:szCs w:val="21"/>
                <w:lang w:val="zh-CN" w:eastAsia="zh-CN" w:bidi="ar"/>
              </w:rPr>
              <w:t>供应商2021年1月1日以来（</w:t>
            </w:r>
            <w:r>
              <w:rPr>
                <w:rFonts w:hint="eastAsia" w:ascii="宋体" w:hAnsi="宋体" w:eastAsia="宋体" w:cs="宋体"/>
                <w:bCs/>
                <w:color w:val="auto"/>
                <w:kern w:val="0"/>
                <w:sz w:val="24"/>
                <w:szCs w:val="21"/>
                <w:lang w:val="en-US" w:eastAsia="zh-CN" w:bidi="ar"/>
              </w:rPr>
              <w:t>以合同签订时间为准）</w:t>
            </w:r>
            <w:r>
              <w:rPr>
                <w:rFonts w:hint="eastAsia" w:ascii="宋体" w:hAnsi="宋体" w:eastAsia="宋体" w:cs="宋体"/>
                <w:bCs/>
                <w:color w:val="auto"/>
                <w:kern w:val="0"/>
                <w:sz w:val="24"/>
                <w:szCs w:val="21"/>
                <w:lang w:val="zh-CN" w:eastAsia="zh-CN" w:bidi="ar"/>
              </w:rPr>
              <w:t>具有与本项目内容相类似的案例。每提供一项案例得0.5分，最高得1分。（提供合同复印件</w:t>
            </w:r>
            <w:r>
              <w:rPr>
                <w:rFonts w:hint="eastAsia" w:ascii="宋体" w:hAnsi="宋体" w:eastAsia="宋体" w:cs="宋体"/>
                <w:bCs/>
                <w:color w:val="auto"/>
                <w:kern w:val="0"/>
                <w:sz w:val="24"/>
                <w:szCs w:val="21"/>
                <w:lang w:val="en-US" w:eastAsia="zh-CN" w:bidi="ar"/>
              </w:rPr>
              <w:t>加盖公章</w:t>
            </w:r>
            <w:r>
              <w:rPr>
                <w:rFonts w:hint="eastAsia" w:ascii="宋体" w:hAnsi="宋体" w:eastAsia="宋体" w:cs="宋体"/>
                <w:bCs/>
                <w:color w:val="auto"/>
                <w:kern w:val="0"/>
                <w:sz w:val="24"/>
                <w:szCs w:val="21"/>
                <w:lang w:val="zh-CN" w:eastAsia="zh-CN" w:bidi="ar"/>
              </w:rPr>
              <w:t>）</w:t>
            </w:r>
          </w:p>
        </w:tc>
        <w:tc>
          <w:tcPr>
            <w:tcW w:w="615"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
                <w:color w:val="auto"/>
                <w:szCs w:val="21"/>
                <w:lang w:eastAsia="zh-CN"/>
              </w:rPr>
            </w:pPr>
            <w:r>
              <w:rPr>
                <w:rFonts w:hint="eastAsia"/>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1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w:t>
            </w:r>
          </w:p>
        </w:tc>
        <w:tc>
          <w:tcPr>
            <w:tcW w:w="66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b/>
                <w:color w:val="auto"/>
                <w:szCs w:val="21"/>
              </w:rPr>
            </w:pPr>
            <w:r>
              <w:rPr>
                <w:rFonts w:hint="eastAsia" w:cs="宋体"/>
                <w:bCs/>
                <w:color w:val="auto"/>
                <w:szCs w:val="21"/>
                <w:lang w:bidi="ar"/>
              </w:rPr>
              <w:t>资质证书</w:t>
            </w:r>
          </w:p>
        </w:tc>
        <w:tc>
          <w:tcPr>
            <w:tcW w:w="3404" w:type="pct"/>
            <w:tcBorders>
              <w:top w:val="single" w:color="auto" w:sz="4" w:space="0"/>
              <w:left w:val="single" w:color="auto" w:sz="4" w:space="0"/>
              <w:bottom w:val="single" w:color="auto" w:sz="4" w:space="0"/>
              <w:right w:val="single" w:color="auto" w:sz="4" w:space="0"/>
            </w:tcBorders>
            <w:vAlign w:val="center"/>
          </w:tcPr>
          <w:p>
            <w:pPr>
              <w:pStyle w:val="2"/>
              <w:rPr>
                <w:rFonts w:hint="eastAsia" w:cs="宋体"/>
                <w:bCs/>
                <w:color w:val="auto"/>
                <w:szCs w:val="21"/>
                <w:lang w:bidi="ar"/>
              </w:rPr>
            </w:pPr>
            <w:r>
              <w:rPr>
                <w:rFonts w:hint="eastAsia"/>
                <w:bCs/>
                <w:color w:val="auto"/>
                <w:szCs w:val="21"/>
              </w:rPr>
              <w:t>供应商</w:t>
            </w:r>
            <w:r>
              <w:rPr>
                <w:rFonts w:hint="eastAsia" w:cs="宋体"/>
                <w:bCs/>
                <w:color w:val="auto"/>
                <w:szCs w:val="21"/>
                <w:lang w:bidi="ar"/>
              </w:rPr>
              <w:t>具有有害生物防制服务机构服务能力等级资质证书，省、市特级资质的得5分</w:t>
            </w:r>
            <w:r>
              <w:rPr>
                <w:rFonts w:hint="eastAsia" w:cs="宋体"/>
                <w:bCs/>
                <w:color w:val="auto"/>
                <w:szCs w:val="21"/>
                <w:lang w:eastAsia="zh-CN" w:bidi="ar"/>
              </w:rPr>
              <w:t>；</w:t>
            </w:r>
            <w:r>
              <w:rPr>
                <w:rFonts w:hint="eastAsia" w:cs="宋体"/>
                <w:bCs/>
                <w:color w:val="auto"/>
                <w:szCs w:val="21"/>
                <w:lang w:bidi="ar"/>
              </w:rPr>
              <w:t>国家A级、省一级、市甲级资质得3分</w:t>
            </w:r>
            <w:r>
              <w:rPr>
                <w:rFonts w:hint="eastAsia" w:cs="宋体"/>
                <w:bCs/>
                <w:color w:val="auto"/>
                <w:szCs w:val="21"/>
                <w:lang w:eastAsia="zh-CN" w:bidi="ar"/>
              </w:rPr>
              <w:t>；</w:t>
            </w:r>
            <w:r>
              <w:rPr>
                <w:rFonts w:hint="eastAsia" w:cs="宋体"/>
                <w:bCs/>
                <w:color w:val="auto"/>
                <w:szCs w:val="21"/>
                <w:lang w:bidi="ar"/>
              </w:rPr>
              <w:t>国家B级、省二级、市乙级资质得2分</w:t>
            </w:r>
            <w:r>
              <w:rPr>
                <w:rFonts w:hint="eastAsia" w:cs="宋体"/>
                <w:bCs/>
                <w:color w:val="auto"/>
                <w:szCs w:val="21"/>
                <w:lang w:eastAsia="zh-CN" w:bidi="ar"/>
              </w:rPr>
              <w:t>；</w:t>
            </w:r>
            <w:r>
              <w:rPr>
                <w:rFonts w:hint="eastAsia" w:cs="宋体"/>
                <w:bCs/>
                <w:color w:val="auto"/>
                <w:szCs w:val="21"/>
                <w:lang w:bidi="ar"/>
              </w:rPr>
              <w:t>国家C级、省三级、市丙级资质得1分</w:t>
            </w:r>
            <w:r>
              <w:rPr>
                <w:rFonts w:hint="eastAsia" w:cs="宋体"/>
                <w:bCs/>
                <w:color w:val="auto"/>
                <w:szCs w:val="21"/>
                <w:lang w:eastAsia="zh-CN" w:bidi="ar"/>
              </w:rPr>
              <w:t>；</w:t>
            </w:r>
            <w:r>
              <w:rPr>
                <w:rFonts w:hint="eastAsia" w:cs="宋体"/>
                <w:bCs/>
                <w:color w:val="auto"/>
                <w:szCs w:val="21"/>
                <w:lang w:bidi="ar"/>
              </w:rPr>
              <w:t>没有不得分。</w:t>
            </w:r>
          </w:p>
          <w:p>
            <w:pPr>
              <w:pStyle w:val="2"/>
              <w:rPr>
                <w:rFonts w:hint="eastAsia"/>
                <w:b/>
                <w:color w:val="auto"/>
                <w:szCs w:val="21"/>
              </w:rPr>
            </w:pPr>
            <w:r>
              <w:rPr>
                <w:rFonts w:hint="eastAsia" w:cs="宋体"/>
                <w:bCs/>
                <w:color w:val="auto"/>
                <w:szCs w:val="21"/>
                <w:lang w:bidi="ar"/>
              </w:rPr>
              <w:t>注：以上证书提供扫描件，没有不得分。</w:t>
            </w:r>
          </w:p>
        </w:tc>
        <w:tc>
          <w:tcPr>
            <w:tcW w:w="61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b/>
                <w:color w:val="auto"/>
                <w:szCs w:val="21"/>
              </w:rPr>
            </w:pPr>
            <w:r>
              <w:rPr>
                <w:rFonts w:hint="eastAsia"/>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1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w:t>
            </w:r>
          </w:p>
        </w:tc>
        <w:tc>
          <w:tcPr>
            <w:tcW w:w="66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cs="宋体"/>
                <w:bCs/>
                <w:color w:val="auto"/>
                <w:szCs w:val="21"/>
                <w:lang w:bidi="ar"/>
              </w:rPr>
            </w:pPr>
            <w:r>
              <w:rPr>
                <w:rFonts w:hint="eastAsia"/>
                <w:bCs/>
                <w:color w:val="auto"/>
                <w:szCs w:val="21"/>
              </w:rPr>
              <w:t>认证证</w:t>
            </w:r>
            <w:r>
              <w:rPr>
                <w:rFonts w:hint="eastAsia"/>
                <w:bCs/>
                <w:color w:val="auto"/>
                <w:szCs w:val="21"/>
                <w:lang w:val="en-US" w:eastAsia="zh-CN"/>
              </w:rPr>
              <w:t>书</w:t>
            </w:r>
          </w:p>
        </w:tc>
        <w:tc>
          <w:tcPr>
            <w:tcW w:w="3404" w:type="pct"/>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Times New Roman"/>
                <w:bCs/>
                <w:color w:val="auto"/>
                <w:kern w:val="0"/>
                <w:sz w:val="24"/>
                <w:szCs w:val="21"/>
                <w:lang w:val="zh-CN" w:eastAsia="zh-CN" w:bidi="ar-SA"/>
              </w:rPr>
            </w:pPr>
            <w:r>
              <w:rPr>
                <w:rFonts w:hint="eastAsia" w:ascii="宋体" w:hAnsi="宋体" w:eastAsia="宋体" w:cs="Times New Roman"/>
                <w:bCs/>
                <w:color w:val="auto"/>
                <w:kern w:val="0"/>
                <w:sz w:val="24"/>
                <w:szCs w:val="21"/>
                <w:lang w:val="zh-CN" w:eastAsia="zh-CN" w:bidi="ar-SA"/>
              </w:rPr>
              <w:t>供应商具有有效期内的质量管理体系、环境管理体系、职业健康管理体系认证证</w:t>
            </w:r>
            <w:r>
              <w:rPr>
                <w:rFonts w:hint="eastAsia" w:ascii="宋体" w:hAnsi="宋体" w:eastAsia="宋体" w:cs="Times New Roman"/>
                <w:bCs/>
                <w:color w:val="auto"/>
                <w:kern w:val="0"/>
                <w:sz w:val="24"/>
                <w:szCs w:val="21"/>
                <w:lang w:val="en-US" w:eastAsia="zh-CN" w:bidi="ar-SA"/>
              </w:rPr>
              <w:t>书</w:t>
            </w:r>
            <w:r>
              <w:rPr>
                <w:rFonts w:hint="eastAsia" w:cs="Times New Roman"/>
                <w:bCs/>
                <w:color w:val="auto"/>
                <w:kern w:val="0"/>
                <w:sz w:val="24"/>
                <w:szCs w:val="21"/>
                <w:lang w:val="en-US" w:eastAsia="zh-CN" w:bidi="ar-SA"/>
              </w:rPr>
              <w:t>，以上每个认证证书得1分，本项最高</w:t>
            </w:r>
            <w:r>
              <w:rPr>
                <w:rFonts w:hint="eastAsia" w:ascii="宋体" w:hAnsi="宋体" w:eastAsia="宋体" w:cs="Times New Roman"/>
                <w:bCs/>
                <w:color w:val="auto"/>
                <w:kern w:val="0"/>
                <w:sz w:val="24"/>
                <w:szCs w:val="21"/>
                <w:lang w:val="zh-CN" w:eastAsia="zh-CN" w:bidi="ar-SA"/>
              </w:rPr>
              <w:t>得3分。注：以上证书提供扫描件，没有不得分。</w:t>
            </w:r>
          </w:p>
        </w:tc>
        <w:tc>
          <w:tcPr>
            <w:tcW w:w="615" w:type="pct"/>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宋体" w:hAnsi="宋体" w:eastAsia="宋体" w:cs="Times New Roman"/>
                <w:bCs/>
                <w:color w:val="auto"/>
                <w:kern w:val="0"/>
                <w:sz w:val="24"/>
                <w:szCs w:val="21"/>
                <w:lang w:val="en-US" w:eastAsia="zh-CN" w:bidi="ar-SA"/>
              </w:rPr>
            </w:pPr>
            <w:r>
              <w:rPr>
                <w:rFonts w:hint="eastAsia" w:ascii="宋体" w:hAnsi="宋体" w:eastAsia="宋体" w:cs="Times New Roman"/>
                <w:bCs/>
                <w:color w:val="auto"/>
                <w:kern w:val="0"/>
                <w:sz w:val="24"/>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w:t>
            </w:r>
          </w:p>
        </w:tc>
        <w:tc>
          <w:tcPr>
            <w:tcW w:w="66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b/>
                <w:color w:val="auto"/>
                <w:szCs w:val="21"/>
              </w:rPr>
            </w:pPr>
            <w:r>
              <w:rPr>
                <w:rFonts w:hint="eastAsia"/>
                <w:bCs/>
                <w:color w:val="auto"/>
                <w:szCs w:val="21"/>
              </w:rPr>
              <w:t>表彰或荣誉</w:t>
            </w:r>
          </w:p>
        </w:tc>
        <w:tc>
          <w:tcPr>
            <w:tcW w:w="3404" w:type="pct"/>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Times New Roman"/>
                <w:bCs/>
                <w:color w:val="auto"/>
                <w:kern w:val="0"/>
                <w:sz w:val="24"/>
                <w:szCs w:val="21"/>
                <w:lang w:val="zh-CN" w:eastAsia="zh-CN" w:bidi="ar-SA"/>
              </w:rPr>
            </w:pPr>
            <w:r>
              <w:rPr>
                <w:rFonts w:hint="eastAsia" w:ascii="宋体" w:hAnsi="宋体" w:eastAsia="宋体" w:cs="Times New Roman"/>
                <w:bCs/>
                <w:color w:val="auto"/>
                <w:kern w:val="0"/>
                <w:sz w:val="24"/>
                <w:szCs w:val="21"/>
                <w:lang w:val="zh-CN" w:eastAsia="zh-CN" w:bidi="ar-SA"/>
              </w:rPr>
              <w:t>供应商自2021年1月1日以来获得县区级政府部门表彰或荣誉的每个得1分，市级政府部门表彰或荣誉的每个得2分，省级政府部门表彰或荣誉的每个得3分，最高得3分，提供表彰证明材料。</w:t>
            </w:r>
          </w:p>
        </w:tc>
        <w:tc>
          <w:tcPr>
            <w:tcW w:w="61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Times New Roman"/>
                <w:bCs/>
                <w:color w:val="auto"/>
                <w:kern w:val="0"/>
                <w:sz w:val="24"/>
                <w:szCs w:val="21"/>
                <w:lang w:val="en-US" w:eastAsia="zh-CN" w:bidi="ar-SA"/>
              </w:rPr>
            </w:pPr>
            <w:r>
              <w:rPr>
                <w:rFonts w:hint="eastAsia" w:ascii="宋体" w:hAnsi="宋体" w:eastAsia="宋体" w:cs="Times New Roman"/>
                <w:bCs/>
                <w:color w:val="auto"/>
                <w:kern w:val="0"/>
                <w:sz w:val="24"/>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12" w:type="pct"/>
            <w:tcBorders>
              <w:top w:val="single" w:color="auto" w:sz="4" w:space="0"/>
              <w:left w:val="single" w:color="auto" w:sz="4" w:space="0"/>
              <w:right w:val="single" w:color="auto" w:sz="4" w:space="0"/>
            </w:tcBorders>
            <w:vAlign w:val="center"/>
          </w:tcPr>
          <w:p>
            <w:pPr>
              <w:snapToGrid w:val="0"/>
              <w:spacing w:line="360" w:lineRule="auto"/>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5</w:t>
            </w:r>
          </w:p>
        </w:tc>
        <w:tc>
          <w:tcPr>
            <w:tcW w:w="668" w:type="pct"/>
            <w:tcBorders>
              <w:left w:val="single" w:color="auto" w:sz="4" w:space="0"/>
              <w:right w:val="single" w:color="auto" w:sz="4" w:space="0"/>
            </w:tcBorders>
            <w:vAlign w:val="center"/>
          </w:tcPr>
          <w:p>
            <w:pPr>
              <w:snapToGrid w:val="0"/>
              <w:jc w:val="center"/>
              <w:rPr>
                <w:rFonts w:cs="宋体"/>
                <w:bCs/>
                <w:color w:val="auto"/>
                <w:szCs w:val="21"/>
                <w:lang w:bidi="ar"/>
              </w:rPr>
            </w:pPr>
            <w:r>
              <w:rPr>
                <w:rFonts w:hint="eastAsia"/>
                <w:bCs/>
                <w:color w:val="auto"/>
                <w:szCs w:val="21"/>
              </w:rPr>
              <w:t>消杀人员</w:t>
            </w:r>
          </w:p>
        </w:tc>
        <w:tc>
          <w:tcPr>
            <w:tcW w:w="3404" w:type="pct"/>
            <w:tcBorders>
              <w:top w:val="single" w:color="auto" w:sz="4" w:space="0"/>
              <w:left w:val="single" w:color="auto" w:sz="4" w:space="0"/>
              <w:bottom w:val="single" w:color="auto" w:sz="4" w:space="0"/>
              <w:right w:val="single" w:color="auto" w:sz="4" w:space="0"/>
            </w:tcBorders>
            <w:vAlign w:val="center"/>
          </w:tcPr>
          <w:p>
            <w:pPr>
              <w:pStyle w:val="2"/>
              <w:rPr>
                <w:rFonts w:hint="default" w:ascii="宋体" w:hAnsi="宋体" w:eastAsia="宋体" w:cs="Times New Roman"/>
                <w:bCs/>
                <w:color w:val="auto"/>
                <w:szCs w:val="21"/>
                <w:lang w:val="en-US" w:eastAsia="zh-CN"/>
              </w:rPr>
            </w:pPr>
            <w:r>
              <w:rPr>
                <w:rFonts w:hint="eastAsia" w:ascii="宋体" w:hAnsi="宋体" w:eastAsia="宋体" w:cs="Times New Roman"/>
                <w:bCs/>
                <w:color w:val="auto"/>
                <w:szCs w:val="21"/>
              </w:rPr>
              <w:t>消杀人员</w:t>
            </w:r>
            <w:r>
              <w:rPr>
                <w:rFonts w:hint="eastAsia" w:ascii="宋体" w:hAnsi="宋体" w:eastAsia="宋体" w:cs="Times New Roman"/>
                <w:bCs/>
                <w:color w:val="auto"/>
                <w:szCs w:val="21"/>
                <w:lang w:val="en-US" w:eastAsia="zh-CN"/>
              </w:rPr>
              <w:t>数量符合采购文件要求的数量（标项一：7人，标项二：5人，标项三：4人，标项四：4人，标项五：4人，标项六：5人）得2分，每增加1个人得1分，最高得4分。</w:t>
            </w:r>
          </w:p>
        </w:tc>
        <w:tc>
          <w:tcPr>
            <w:tcW w:w="615" w:type="pct"/>
            <w:tcBorders>
              <w:top w:val="single" w:color="auto" w:sz="4" w:space="0"/>
              <w:left w:val="single" w:color="auto" w:sz="4" w:space="0"/>
              <w:right w:val="single" w:color="auto" w:sz="4" w:space="0"/>
            </w:tcBorders>
            <w:vAlign w:val="center"/>
          </w:tcPr>
          <w:p>
            <w:pPr>
              <w:pStyle w:val="2"/>
              <w:jc w:val="center"/>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31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eastAsia="宋体"/>
                <w:color w:val="auto"/>
                <w:szCs w:val="21"/>
                <w:lang w:eastAsia="zh-CN"/>
              </w:rPr>
            </w:pPr>
            <w:r>
              <w:rPr>
                <w:rFonts w:hint="eastAsia"/>
                <w:color w:val="auto"/>
                <w:szCs w:val="21"/>
                <w:lang w:val="en-US" w:eastAsia="zh-CN"/>
              </w:rPr>
              <w:t>6</w:t>
            </w:r>
          </w:p>
        </w:tc>
        <w:tc>
          <w:tcPr>
            <w:tcW w:w="668" w:type="pct"/>
            <w:tcBorders>
              <w:left w:val="single" w:color="auto" w:sz="4" w:space="0"/>
              <w:right w:val="single" w:color="auto" w:sz="4" w:space="0"/>
            </w:tcBorders>
            <w:vAlign w:val="center"/>
          </w:tcPr>
          <w:p>
            <w:pPr>
              <w:jc w:val="center"/>
              <w:rPr>
                <w:rFonts w:hint="eastAsia" w:ascii="宋体" w:hAnsi="宋体" w:eastAsia="宋体" w:cs="Times New Roman"/>
                <w:bCs/>
                <w:color w:val="auto"/>
                <w:kern w:val="0"/>
                <w:sz w:val="24"/>
                <w:szCs w:val="21"/>
                <w:lang w:val="en-US" w:eastAsia="zh-CN" w:bidi="ar-SA"/>
              </w:rPr>
            </w:pPr>
            <w:r>
              <w:rPr>
                <w:rFonts w:hint="eastAsia" w:ascii="宋体" w:hAnsi="宋体" w:eastAsia="宋体" w:cs="Times New Roman"/>
                <w:bCs/>
                <w:color w:val="auto"/>
                <w:kern w:val="0"/>
                <w:sz w:val="24"/>
                <w:szCs w:val="21"/>
                <w:lang w:val="en-US" w:eastAsia="zh-CN" w:bidi="ar-SA"/>
              </w:rPr>
              <w:t>消杀设备评价</w:t>
            </w:r>
          </w:p>
        </w:tc>
        <w:tc>
          <w:tcPr>
            <w:tcW w:w="3404"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Times New Roman"/>
                <w:bCs/>
                <w:color w:val="auto"/>
                <w:kern w:val="0"/>
                <w:sz w:val="24"/>
                <w:szCs w:val="21"/>
                <w:lang w:val="en-US" w:eastAsia="zh-CN" w:bidi="ar-SA"/>
              </w:rPr>
            </w:pPr>
            <w:r>
              <w:rPr>
                <w:rFonts w:hint="eastAsia" w:ascii="宋体" w:hAnsi="宋体" w:eastAsia="宋体" w:cs="Times New Roman"/>
                <w:bCs/>
                <w:color w:val="auto"/>
                <w:kern w:val="0"/>
                <w:sz w:val="24"/>
                <w:szCs w:val="21"/>
                <w:lang w:val="en-US" w:eastAsia="zh-CN" w:bidi="ar-SA"/>
              </w:rPr>
              <w:t>供应商提供消杀设备配备（提供发票和设备图样）：</w:t>
            </w:r>
          </w:p>
          <w:p>
            <w:pPr>
              <w:snapToGrid w:val="0"/>
              <w:rPr>
                <w:rFonts w:hint="eastAsia" w:ascii="宋体" w:hAnsi="宋体" w:eastAsia="宋体" w:cs="Times New Roman"/>
                <w:bCs/>
                <w:color w:val="auto"/>
                <w:kern w:val="0"/>
                <w:sz w:val="24"/>
                <w:szCs w:val="21"/>
                <w:lang w:val="en-US" w:eastAsia="zh-CN" w:bidi="ar-SA"/>
              </w:rPr>
            </w:pPr>
            <w:r>
              <w:rPr>
                <w:rFonts w:hint="eastAsia" w:ascii="宋体" w:hAnsi="宋体" w:eastAsia="宋体" w:cs="Times New Roman"/>
                <w:bCs/>
                <w:color w:val="auto"/>
                <w:kern w:val="0"/>
                <w:sz w:val="24"/>
                <w:szCs w:val="21"/>
                <w:lang w:val="en-US" w:eastAsia="zh-CN" w:bidi="ar-SA"/>
              </w:rPr>
              <w:t>1、每提供1台大型消杀设备（超低容量）得2分，最高得4分。（须提供对应作业车辆，与所提供大型设备数量为1：1）；</w:t>
            </w:r>
          </w:p>
          <w:p>
            <w:pPr>
              <w:pStyle w:val="20"/>
              <w:rPr>
                <w:rFonts w:hint="eastAsia" w:ascii="宋体" w:hAnsi="宋体" w:eastAsia="宋体" w:cs="Times New Roman"/>
                <w:bCs/>
                <w:color w:val="auto"/>
                <w:kern w:val="0"/>
                <w:sz w:val="24"/>
                <w:szCs w:val="21"/>
                <w:lang w:val="en-US" w:eastAsia="zh-CN" w:bidi="ar-SA"/>
              </w:rPr>
            </w:pPr>
            <w:r>
              <w:rPr>
                <w:rFonts w:hint="eastAsia" w:ascii="宋体" w:hAnsi="宋体" w:eastAsia="宋体" w:cs="Times New Roman"/>
                <w:bCs/>
                <w:color w:val="auto"/>
                <w:kern w:val="0"/>
                <w:sz w:val="24"/>
                <w:szCs w:val="21"/>
                <w:lang w:val="en-US" w:eastAsia="zh-CN" w:bidi="ar-SA"/>
              </w:rPr>
              <w:t>2、每提供1台电动喷雾器得0.25分，最高得2分。</w:t>
            </w:r>
          </w:p>
        </w:tc>
        <w:tc>
          <w:tcPr>
            <w:tcW w:w="61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bCs/>
                <w:color w:val="auto"/>
                <w:kern w:val="0"/>
                <w:sz w:val="24"/>
                <w:szCs w:val="21"/>
                <w:lang w:val="en-US" w:eastAsia="zh-CN" w:bidi="ar-SA"/>
              </w:rPr>
            </w:pPr>
            <w:r>
              <w:rPr>
                <w:rFonts w:hint="eastAsia" w:ascii="宋体" w:hAnsi="宋体" w:eastAsia="宋体" w:cs="Times New Roman"/>
                <w:bCs/>
                <w:color w:val="auto"/>
                <w:kern w:val="0"/>
                <w:sz w:val="24"/>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1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eastAsia="宋体"/>
                <w:color w:val="auto"/>
                <w:szCs w:val="21"/>
                <w:lang w:eastAsia="zh-CN"/>
              </w:rPr>
            </w:pPr>
            <w:r>
              <w:rPr>
                <w:rFonts w:hint="eastAsia"/>
                <w:color w:val="auto"/>
                <w:szCs w:val="21"/>
                <w:lang w:val="en-US" w:eastAsia="zh-CN"/>
              </w:rPr>
              <w:t>7</w:t>
            </w:r>
          </w:p>
        </w:tc>
        <w:tc>
          <w:tcPr>
            <w:tcW w:w="668" w:type="pct"/>
            <w:tcBorders>
              <w:left w:val="single" w:color="auto" w:sz="4" w:space="0"/>
              <w:right w:val="single" w:color="auto" w:sz="4" w:space="0"/>
            </w:tcBorders>
            <w:vAlign w:val="center"/>
          </w:tcPr>
          <w:p>
            <w:pPr>
              <w:snapToGrid w:val="0"/>
              <w:jc w:val="center"/>
              <w:rPr>
                <w:bCs/>
                <w:color w:val="auto"/>
                <w:szCs w:val="21"/>
              </w:rPr>
            </w:pPr>
            <w:r>
              <w:rPr>
                <w:rFonts w:hint="eastAsia" w:cs="宋体"/>
                <w:bCs/>
                <w:color w:val="auto"/>
                <w:szCs w:val="21"/>
              </w:rPr>
              <w:t>防治药品评价</w:t>
            </w:r>
          </w:p>
        </w:tc>
        <w:tc>
          <w:tcPr>
            <w:tcW w:w="3404"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供应商须提供服务于本项目的消杀药品，在药品种类满足项目需求书要求的前提下。供应商可自行提供有利于项目实施的相关药品及药品使用配比说明，依次在表格中列出（参照“第六部分 投标文件格式—拟在本项目使用的主要消杀药品一览表”）</w:t>
            </w:r>
          </w:p>
          <w:p>
            <w:pPr>
              <w:snapToGrid w:val="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①药物三证齐全，消杀药品种类齐全、药品存储安全、使用配比合理得2分；</w:t>
            </w:r>
          </w:p>
          <w:p>
            <w:pPr>
              <w:snapToGrid w:val="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②药物三证齐全，品种类较齐全、药品存储方案较科学、药品使用配比较合理得1分；</w:t>
            </w:r>
          </w:p>
          <w:p>
            <w:pPr>
              <w:snapToGrid w:val="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③药物三证、品种类不齐全、药品存储方案不科学、药品使用配不合理得0.5分；</w:t>
            </w:r>
          </w:p>
          <w:p>
            <w:pPr>
              <w:snapToGrid w:val="0"/>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④未提供不得分。</w:t>
            </w:r>
          </w:p>
        </w:tc>
        <w:tc>
          <w:tcPr>
            <w:tcW w:w="61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宋体"/>
                <w:color w:val="auto"/>
                <w:szCs w:val="21"/>
                <w:lang w:eastAsia="zh-CN"/>
              </w:rPr>
            </w:pPr>
            <w:r>
              <w:rPr>
                <w:rFonts w:hint="eastAsia"/>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12" w:type="pct"/>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eastAsia="宋体"/>
                <w:color w:val="auto"/>
                <w:szCs w:val="21"/>
                <w:lang w:eastAsia="zh-CN"/>
              </w:rPr>
            </w:pPr>
            <w:r>
              <w:rPr>
                <w:rFonts w:hint="eastAsia"/>
                <w:color w:val="auto"/>
                <w:szCs w:val="21"/>
                <w:lang w:val="en-US" w:eastAsia="zh-CN"/>
              </w:rPr>
              <w:t>8</w:t>
            </w:r>
          </w:p>
        </w:tc>
        <w:tc>
          <w:tcPr>
            <w:tcW w:w="668" w:type="pct"/>
            <w:vMerge w:val="restart"/>
            <w:tcBorders>
              <w:left w:val="single" w:color="auto" w:sz="4" w:space="0"/>
              <w:right w:val="single" w:color="auto" w:sz="4" w:space="0"/>
            </w:tcBorders>
            <w:vAlign w:val="center"/>
          </w:tcPr>
          <w:p>
            <w:pPr>
              <w:snapToGrid w:val="0"/>
              <w:jc w:val="center"/>
              <w:rPr>
                <w:bCs/>
                <w:color w:val="auto"/>
                <w:szCs w:val="21"/>
              </w:rPr>
            </w:pPr>
            <w:r>
              <w:rPr>
                <w:rFonts w:hint="eastAsia"/>
                <w:bCs/>
                <w:color w:val="auto"/>
                <w:szCs w:val="21"/>
              </w:rPr>
              <w:t>技术方案</w:t>
            </w:r>
          </w:p>
        </w:tc>
        <w:tc>
          <w:tcPr>
            <w:tcW w:w="3404" w:type="pct"/>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8.1对本项目社区、建筑、外环境的特点认识情况的全面性、针对性进行打分。</w:t>
            </w:r>
          </w:p>
          <w:p>
            <w:pPr>
              <w:pStyle w:val="2"/>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①方案合理、阐述完整、针对性强的得3分；                      ②方案基本可行、基本符合采购需求，针对性较强的得2分；        ③方案内容存在欠缺，可行性、项目匹配性不足的得1分；</w:t>
            </w:r>
          </w:p>
          <w:p>
            <w:pPr>
              <w:pStyle w:val="2"/>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④未提供不得分。</w:t>
            </w:r>
          </w:p>
        </w:tc>
        <w:tc>
          <w:tcPr>
            <w:tcW w:w="615" w:type="pct"/>
            <w:tcBorders>
              <w:top w:val="single" w:color="auto" w:sz="4" w:space="0"/>
              <w:left w:val="single" w:color="auto" w:sz="4" w:space="0"/>
              <w:right w:val="single" w:color="auto" w:sz="4" w:space="0"/>
            </w:tcBorders>
            <w:vAlign w:val="center"/>
          </w:tcPr>
          <w:p>
            <w:pPr>
              <w:tabs>
                <w:tab w:val="left" w:pos="-94"/>
                <w:tab w:val="left" w:pos="1620"/>
              </w:tabs>
              <w:snapToGrid w:val="0"/>
              <w:jc w:val="center"/>
              <w:textAlignment w:val="baseline"/>
              <w:outlineLvl w:val="1"/>
              <w:rPr>
                <w:rFonts w:hint="eastAsia" w:eastAsia="宋体"/>
                <w:bCs/>
                <w:color w:val="auto"/>
                <w:szCs w:val="21"/>
                <w:lang w:eastAsia="zh-CN"/>
              </w:rPr>
            </w:pPr>
            <w:r>
              <w:rPr>
                <w:rFonts w:hint="eastAsia"/>
                <w:bCs/>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12" w:type="pct"/>
            <w:vMerge w:val="continue"/>
            <w:tcBorders>
              <w:left w:val="single" w:color="auto" w:sz="4" w:space="0"/>
              <w:right w:val="single" w:color="auto" w:sz="4" w:space="0"/>
            </w:tcBorders>
            <w:vAlign w:val="center"/>
          </w:tcPr>
          <w:p>
            <w:pPr>
              <w:snapToGrid w:val="0"/>
              <w:spacing w:line="360" w:lineRule="auto"/>
              <w:jc w:val="center"/>
              <w:rPr>
                <w:color w:val="auto"/>
                <w:szCs w:val="21"/>
              </w:rPr>
            </w:pPr>
          </w:p>
        </w:tc>
        <w:tc>
          <w:tcPr>
            <w:tcW w:w="668" w:type="pct"/>
            <w:vMerge w:val="continue"/>
            <w:tcBorders>
              <w:left w:val="single" w:color="auto" w:sz="4" w:space="0"/>
              <w:right w:val="single" w:color="auto" w:sz="4" w:space="0"/>
            </w:tcBorders>
            <w:vAlign w:val="center"/>
          </w:tcPr>
          <w:p>
            <w:pPr>
              <w:snapToGrid w:val="0"/>
              <w:jc w:val="center"/>
              <w:rPr>
                <w:bCs/>
                <w:color w:val="auto"/>
                <w:szCs w:val="21"/>
              </w:rPr>
            </w:pPr>
          </w:p>
        </w:tc>
        <w:tc>
          <w:tcPr>
            <w:tcW w:w="3404" w:type="pct"/>
            <w:tcBorders>
              <w:top w:val="single" w:color="auto" w:sz="4" w:space="0"/>
              <w:left w:val="single" w:color="auto" w:sz="4" w:space="0"/>
              <w:bottom w:val="single" w:color="auto" w:sz="4" w:space="0"/>
              <w:right w:val="single" w:color="auto" w:sz="4" w:space="0"/>
            </w:tcBorders>
            <w:vAlign w:val="center"/>
          </w:tcPr>
          <w:p>
            <w:pPr>
              <w:snapToGrid w:val="0"/>
              <w:jc w:val="left"/>
              <w:rPr>
                <w:bCs/>
                <w:color w:val="auto"/>
                <w:szCs w:val="21"/>
              </w:rPr>
            </w:pPr>
            <w:r>
              <w:rPr>
                <w:rFonts w:hint="eastAsia"/>
                <w:bCs/>
                <w:color w:val="auto"/>
                <w:szCs w:val="21"/>
                <w:lang w:val="en-US" w:eastAsia="zh-CN"/>
              </w:rPr>
              <w:t>8.2</w:t>
            </w:r>
            <w:r>
              <w:rPr>
                <w:rFonts w:hint="eastAsia"/>
                <w:bCs/>
                <w:color w:val="auto"/>
                <w:szCs w:val="21"/>
              </w:rPr>
              <w:t>防治对象、种类、孳生地调查、密度监测控制方法完整性和合理性进行打分。</w:t>
            </w:r>
          </w:p>
          <w:p>
            <w:pPr>
              <w:pStyle w:val="2"/>
              <w:rPr>
                <w:color w:val="auto"/>
              </w:rPr>
            </w:pPr>
            <w:r>
              <w:rPr>
                <w:rFonts w:hint="eastAsia" w:ascii="仿宋_GB2312" w:hAnsi="仿宋_GB2312" w:eastAsia="仿宋_GB2312" w:cs="仿宋_GB2312"/>
                <w:color w:val="auto"/>
                <w:kern w:val="0"/>
                <w:szCs w:val="21"/>
                <w:lang w:bidi="ar"/>
              </w:rPr>
              <w:t>①</w:t>
            </w:r>
            <w:r>
              <w:rPr>
                <w:rFonts w:hint="eastAsia" w:ascii="Times New Roman" w:hAnsi="Times New Roman"/>
                <w:bCs/>
                <w:color w:val="auto"/>
                <w:kern w:val="2"/>
                <w:sz w:val="21"/>
                <w:szCs w:val="21"/>
                <w:lang w:val="en-US"/>
              </w:rPr>
              <w:t xml:space="preserve">方案合理、阐述完整得5分；                                 </w:t>
            </w:r>
            <w:r>
              <w:rPr>
                <w:rFonts w:hint="eastAsia" w:ascii="仿宋_GB2312" w:hAnsi="仿宋_GB2312" w:eastAsia="仿宋_GB2312" w:cs="仿宋_GB2312"/>
                <w:color w:val="auto"/>
                <w:kern w:val="0"/>
                <w:szCs w:val="21"/>
                <w:lang w:bidi="ar"/>
              </w:rPr>
              <w:t>②</w:t>
            </w:r>
            <w:r>
              <w:rPr>
                <w:rFonts w:hint="eastAsia" w:ascii="Times New Roman" w:hAnsi="Times New Roman"/>
                <w:bCs/>
                <w:color w:val="auto"/>
                <w:kern w:val="2"/>
                <w:sz w:val="21"/>
                <w:szCs w:val="21"/>
                <w:lang w:val="en-US"/>
              </w:rPr>
              <w:t xml:space="preserve">方案基本可行、基本符合采购需求得3分；                     </w:t>
            </w:r>
            <w:r>
              <w:rPr>
                <w:rFonts w:hint="eastAsia" w:ascii="仿宋_GB2312" w:hAnsi="仿宋_GB2312" w:eastAsia="仿宋_GB2312" w:cs="仿宋_GB2312"/>
                <w:color w:val="auto"/>
                <w:kern w:val="0"/>
                <w:szCs w:val="21"/>
                <w:lang w:val="en-US" w:eastAsia="zh-CN" w:bidi="ar"/>
              </w:rPr>
              <w:t>③</w:t>
            </w:r>
            <w:r>
              <w:rPr>
                <w:rFonts w:hint="eastAsia" w:ascii="Times New Roman" w:hAnsi="Times New Roman"/>
                <w:bCs/>
                <w:color w:val="auto"/>
                <w:kern w:val="2"/>
                <w:sz w:val="21"/>
                <w:szCs w:val="21"/>
                <w:lang w:val="en-US"/>
              </w:rPr>
              <w:t xml:space="preserve">方案内容存在欠缺，项目匹配性不足的得1分；                  </w:t>
            </w:r>
            <w:r>
              <w:rPr>
                <w:rFonts w:hint="eastAsia" w:ascii="仿宋_GB2312" w:hAnsi="仿宋_GB2312" w:eastAsia="仿宋_GB2312" w:cs="仿宋_GB2312"/>
                <w:color w:val="auto"/>
                <w:kern w:val="0"/>
                <w:szCs w:val="21"/>
                <w:lang w:val="en-US" w:eastAsia="zh-CN" w:bidi="ar"/>
              </w:rPr>
              <w:t>④</w:t>
            </w:r>
            <w:r>
              <w:rPr>
                <w:rFonts w:hint="eastAsia" w:ascii="Times New Roman" w:hAnsi="Times New Roman"/>
                <w:bCs/>
                <w:color w:val="auto"/>
                <w:kern w:val="2"/>
                <w:sz w:val="21"/>
                <w:szCs w:val="21"/>
                <w:lang w:val="en-US"/>
              </w:rPr>
              <w:t>未提供不得分。</w:t>
            </w:r>
          </w:p>
        </w:tc>
        <w:tc>
          <w:tcPr>
            <w:tcW w:w="615" w:type="pct"/>
            <w:tcBorders>
              <w:left w:val="single" w:color="auto" w:sz="4" w:space="0"/>
              <w:right w:val="single" w:color="auto" w:sz="4" w:space="0"/>
            </w:tcBorders>
            <w:vAlign w:val="center"/>
          </w:tcPr>
          <w:p>
            <w:pPr>
              <w:tabs>
                <w:tab w:val="left" w:pos="-94"/>
                <w:tab w:val="left" w:pos="1620"/>
              </w:tabs>
              <w:snapToGrid w:val="0"/>
              <w:jc w:val="center"/>
              <w:textAlignment w:val="baseline"/>
              <w:outlineLvl w:val="1"/>
              <w:rPr>
                <w:rFonts w:hint="eastAsia" w:eastAsia="宋体"/>
                <w:bCs/>
                <w:color w:val="auto"/>
                <w:szCs w:val="21"/>
                <w:lang w:eastAsia="zh-CN"/>
              </w:rPr>
            </w:pPr>
            <w:r>
              <w:rPr>
                <w:rFonts w:hint="eastAsia"/>
                <w:bCs/>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12" w:type="pct"/>
            <w:vMerge w:val="continue"/>
            <w:tcBorders>
              <w:left w:val="single" w:color="auto" w:sz="4" w:space="0"/>
              <w:right w:val="single" w:color="auto" w:sz="4" w:space="0"/>
            </w:tcBorders>
            <w:vAlign w:val="center"/>
          </w:tcPr>
          <w:p>
            <w:pPr>
              <w:snapToGrid w:val="0"/>
              <w:spacing w:line="360" w:lineRule="auto"/>
              <w:jc w:val="center"/>
              <w:rPr>
                <w:color w:val="auto"/>
                <w:szCs w:val="21"/>
              </w:rPr>
            </w:pPr>
          </w:p>
        </w:tc>
        <w:tc>
          <w:tcPr>
            <w:tcW w:w="668" w:type="pct"/>
            <w:vMerge w:val="continue"/>
            <w:tcBorders>
              <w:left w:val="single" w:color="auto" w:sz="4" w:space="0"/>
              <w:right w:val="single" w:color="auto" w:sz="4" w:space="0"/>
            </w:tcBorders>
            <w:vAlign w:val="center"/>
          </w:tcPr>
          <w:p>
            <w:pPr>
              <w:snapToGrid w:val="0"/>
              <w:jc w:val="center"/>
              <w:rPr>
                <w:bCs/>
                <w:color w:val="auto"/>
                <w:szCs w:val="21"/>
              </w:rPr>
            </w:pPr>
          </w:p>
        </w:tc>
        <w:tc>
          <w:tcPr>
            <w:tcW w:w="3404" w:type="pct"/>
            <w:tcBorders>
              <w:top w:val="single" w:color="auto" w:sz="4" w:space="0"/>
              <w:left w:val="single" w:color="auto" w:sz="4" w:space="0"/>
              <w:bottom w:val="single" w:color="auto" w:sz="4" w:space="0"/>
              <w:right w:val="single" w:color="auto" w:sz="4" w:space="0"/>
            </w:tcBorders>
            <w:vAlign w:val="center"/>
          </w:tcPr>
          <w:p>
            <w:pPr>
              <w:snapToGrid w:val="0"/>
              <w:jc w:val="left"/>
              <w:rPr>
                <w:bCs/>
                <w:color w:val="auto"/>
                <w:szCs w:val="21"/>
              </w:rPr>
            </w:pPr>
            <w:r>
              <w:rPr>
                <w:rFonts w:hint="eastAsia"/>
                <w:bCs/>
                <w:color w:val="auto"/>
                <w:szCs w:val="21"/>
                <w:lang w:val="en-US" w:eastAsia="zh-CN"/>
              </w:rPr>
              <w:t>8.3</w:t>
            </w:r>
            <w:r>
              <w:rPr>
                <w:rFonts w:hint="eastAsia"/>
                <w:bCs/>
                <w:color w:val="auto"/>
                <w:szCs w:val="21"/>
              </w:rPr>
              <w:t>技术方案的可操作性进行打分。</w:t>
            </w:r>
          </w:p>
          <w:p>
            <w:pPr>
              <w:pStyle w:val="2"/>
              <w:rPr>
                <w:color w:val="auto"/>
              </w:rPr>
            </w:pPr>
            <w:r>
              <w:rPr>
                <w:rFonts w:hint="eastAsia" w:ascii="仿宋_GB2312" w:hAnsi="仿宋_GB2312" w:eastAsia="仿宋_GB2312" w:cs="仿宋_GB2312"/>
                <w:color w:val="auto"/>
                <w:kern w:val="0"/>
                <w:szCs w:val="21"/>
                <w:lang w:bidi="ar"/>
              </w:rPr>
              <w:t>①</w:t>
            </w:r>
            <w:r>
              <w:rPr>
                <w:rFonts w:hint="eastAsia" w:ascii="Times New Roman" w:hAnsi="Times New Roman"/>
                <w:bCs/>
                <w:color w:val="auto"/>
                <w:kern w:val="2"/>
                <w:sz w:val="21"/>
                <w:szCs w:val="21"/>
                <w:lang w:val="en-US"/>
              </w:rPr>
              <w:t xml:space="preserve">方案合理、阐述完整得5分；                                 </w:t>
            </w:r>
            <w:r>
              <w:rPr>
                <w:rFonts w:hint="eastAsia" w:ascii="仿宋_GB2312" w:hAnsi="仿宋_GB2312" w:eastAsia="仿宋_GB2312" w:cs="仿宋_GB2312"/>
                <w:color w:val="auto"/>
                <w:kern w:val="0"/>
                <w:szCs w:val="21"/>
                <w:lang w:bidi="ar"/>
              </w:rPr>
              <w:t>②</w:t>
            </w:r>
            <w:r>
              <w:rPr>
                <w:rFonts w:hint="eastAsia" w:ascii="Times New Roman" w:hAnsi="Times New Roman"/>
                <w:bCs/>
                <w:color w:val="auto"/>
                <w:kern w:val="2"/>
                <w:sz w:val="21"/>
                <w:szCs w:val="21"/>
                <w:lang w:val="en-US"/>
              </w:rPr>
              <w:t xml:space="preserve">方案基本可行、基本符合采购需求得3分；                     </w:t>
            </w:r>
            <w:r>
              <w:rPr>
                <w:rFonts w:hint="eastAsia" w:ascii="仿宋_GB2312" w:hAnsi="仿宋_GB2312" w:eastAsia="仿宋_GB2312" w:cs="仿宋_GB2312"/>
                <w:color w:val="auto"/>
                <w:kern w:val="0"/>
                <w:szCs w:val="21"/>
                <w:lang w:val="en-US" w:eastAsia="zh-CN" w:bidi="ar"/>
              </w:rPr>
              <w:t>③</w:t>
            </w:r>
            <w:r>
              <w:rPr>
                <w:rFonts w:hint="eastAsia" w:ascii="Times New Roman" w:hAnsi="Times New Roman"/>
                <w:bCs/>
                <w:color w:val="auto"/>
                <w:kern w:val="2"/>
                <w:sz w:val="21"/>
                <w:szCs w:val="21"/>
                <w:lang w:val="en-US"/>
              </w:rPr>
              <w:t xml:space="preserve">方案内容存在欠缺，项目匹配性不足的得1分；                  </w:t>
            </w:r>
            <w:r>
              <w:rPr>
                <w:rFonts w:hint="eastAsia" w:ascii="仿宋_GB2312" w:hAnsi="仿宋_GB2312" w:eastAsia="仿宋_GB2312" w:cs="仿宋_GB2312"/>
                <w:color w:val="auto"/>
                <w:kern w:val="0"/>
                <w:szCs w:val="21"/>
                <w:lang w:val="en-US" w:eastAsia="zh-CN" w:bidi="ar"/>
              </w:rPr>
              <w:t>④</w:t>
            </w:r>
            <w:r>
              <w:rPr>
                <w:rFonts w:hint="eastAsia" w:ascii="Times New Roman" w:hAnsi="Times New Roman"/>
                <w:bCs/>
                <w:color w:val="auto"/>
                <w:kern w:val="2"/>
                <w:sz w:val="21"/>
                <w:szCs w:val="21"/>
                <w:lang w:val="en-US"/>
              </w:rPr>
              <w:t>未提供不得分。</w:t>
            </w:r>
          </w:p>
        </w:tc>
        <w:tc>
          <w:tcPr>
            <w:tcW w:w="615" w:type="pct"/>
            <w:tcBorders>
              <w:left w:val="single" w:color="auto" w:sz="4" w:space="0"/>
              <w:right w:val="single" w:color="auto" w:sz="4" w:space="0"/>
            </w:tcBorders>
            <w:vAlign w:val="center"/>
          </w:tcPr>
          <w:p>
            <w:pPr>
              <w:tabs>
                <w:tab w:val="left" w:pos="-94"/>
                <w:tab w:val="left" w:pos="1620"/>
              </w:tabs>
              <w:snapToGrid w:val="0"/>
              <w:jc w:val="center"/>
              <w:textAlignment w:val="baseline"/>
              <w:outlineLvl w:val="1"/>
              <w:rPr>
                <w:rFonts w:hint="eastAsia" w:eastAsia="宋体"/>
                <w:bCs/>
                <w:color w:val="auto"/>
                <w:szCs w:val="21"/>
                <w:lang w:eastAsia="zh-CN"/>
              </w:rPr>
            </w:pPr>
            <w:r>
              <w:rPr>
                <w:rFonts w:hint="eastAsia"/>
                <w:bCs/>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12" w:type="pct"/>
            <w:vMerge w:val="continue"/>
            <w:tcBorders>
              <w:left w:val="single" w:color="auto" w:sz="4" w:space="0"/>
              <w:right w:val="single" w:color="auto" w:sz="4" w:space="0"/>
            </w:tcBorders>
            <w:vAlign w:val="center"/>
          </w:tcPr>
          <w:p>
            <w:pPr>
              <w:snapToGrid w:val="0"/>
              <w:spacing w:line="360" w:lineRule="auto"/>
              <w:jc w:val="center"/>
              <w:rPr>
                <w:color w:val="auto"/>
                <w:szCs w:val="21"/>
              </w:rPr>
            </w:pPr>
          </w:p>
        </w:tc>
        <w:tc>
          <w:tcPr>
            <w:tcW w:w="668" w:type="pct"/>
            <w:vMerge w:val="continue"/>
            <w:tcBorders>
              <w:left w:val="single" w:color="auto" w:sz="4" w:space="0"/>
              <w:right w:val="single" w:color="auto" w:sz="4" w:space="0"/>
            </w:tcBorders>
            <w:vAlign w:val="center"/>
          </w:tcPr>
          <w:p>
            <w:pPr>
              <w:snapToGrid w:val="0"/>
              <w:jc w:val="center"/>
              <w:rPr>
                <w:bCs/>
                <w:color w:val="auto"/>
                <w:szCs w:val="21"/>
              </w:rPr>
            </w:pPr>
          </w:p>
        </w:tc>
        <w:tc>
          <w:tcPr>
            <w:tcW w:w="3404" w:type="pct"/>
            <w:tcBorders>
              <w:top w:val="single" w:color="auto" w:sz="4" w:space="0"/>
              <w:left w:val="single" w:color="auto" w:sz="4" w:space="0"/>
              <w:bottom w:val="single" w:color="auto" w:sz="4" w:space="0"/>
              <w:right w:val="single" w:color="auto" w:sz="4" w:space="0"/>
            </w:tcBorders>
            <w:vAlign w:val="center"/>
          </w:tcPr>
          <w:p>
            <w:pPr>
              <w:snapToGrid w:val="0"/>
              <w:jc w:val="left"/>
              <w:rPr>
                <w:bCs/>
                <w:color w:val="auto"/>
                <w:szCs w:val="21"/>
              </w:rPr>
            </w:pPr>
            <w:r>
              <w:rPr>
                <w:rFonts w:hint="eastAsia"/>
                <w:bCs/>
                <w:color w:val="auto"/>
                <w:szCs w:val="21"/>
                <w:lang w:val="en-US" w:eastAsia="zh-CN"/>
              </w:rPr>
              <w:t>8.4</w:t>
            </w:r>
            <w:r>
              <w:rPr>
                <w:rFonts w:hint="eastAsia"/>
                <w:bCs/>
                <w:color w:val="auto"/>
                <w:szCs w:val="21"/>
              </w:rPr>
              <w:t>选择药物的合理性，对不同环境的用药措施及方法的可行性，根据内容详实情况打分。</w:t>
            </w:r>
          </w:p>
          <w:p>
            <w:pPr>
              <w:snapToGrid w:val="0"/>
              <w:jc w:val="left"/>
              <w:rPr>
                <w:bCs/>
                <w:color w:val="auto"/>
                <w:szCs w:val="21"/>
              </w:rPr>
            </w:pPr>
            <w:r>
              <w:rPr>
                <w:rFonts w:hint="eastAsia" w:ascii="仿宋_GB2312" w:hAnsi="仿宋_GB2312" w:eastAsia="仿宋_GB2312" w:cs="仿宋_GB2312"/>
                <w:color w:val="auto"/>
                <w:kern w:val="0"/>
                <w:szCs w:val="21"/>
                <w:lang w:bidi="ar"/>
              </w:rPr>
              <w:t>①</w:t>
            </w:r>
            <w:r>
              <w:rPr>
                <w:rFonts w:hint="eastAsia" w:ascii="Times New Roman" w:hAnsi="Times New Roman"/>
                <w:bCs/>
                <w:color w:val="auto"/>
                <w:kern w:val="2"/>
                <w:sz w:val="21"/>
                <w:szCs w:val="21"/>
                <w:lang w:val="en-US"/>
              </w:rPr>
              <w:t xml:space="preserve">方案合理、阐述完整得5分；                                 </w:t>
            </w:r>
            <w:r>
              <w:rPr>
                <w:rFonts w:hint="eastAsia" w:ascii="仿宋_GB2312" w:hAnsi="仿宋_GB2312" w:eastAsia="仿宋_GB2312" w:cs="仿宋_GB2312"/>
                <w:color w:val="auto"/>
                <w:kern w:val="0"/>
                <w:szCs w:val="21"/>
                <w:lang w:bidi="ar"/>
              </w:rPr>
              <w:t>②</w:t>
            </w:r>
            <w:r>
              <w:rPr>
                <w:rFonts w:hint="eastAsia" w:ascii="Times New Roman" w:hAnsi="Times New Roman"/>
                <w:bCs/>
                <w:color w:val="auto"/>
                <w:kern w:val="2"/>
                <w:sz w:val="21"/>
                <w:szCs w:val="21"/>
                <w:lang w:val="en-US"/>
              </w:rPr>
              <w:t xml:space="preserve">方案基本可行、基本符合采购需求得3分；                     </w:t>
            </w:r>
            <w:r>
              <w:rPr>
                <w:rFonts w:hint="eastAsia" w:ascii="仿宋_GB2312" w:hAnsi="仿宋_GB2312" w:eastAsia="仿宋_GB2312" w:cs="仿宋_GB2312"/>
                <w:color w:val="auto"/>
                <w:kern w:val="0"/>
                <w:szCs w:val="21"/>
                <w:lang w:val="en-US" w:eastAsia="zh-CN" w:bidi="ar"/>
              </w:rPr>
              <w:t>③</w:t>
            </w:r>
            <w:r>
              <w:rPr>
                <w:rFonts w:hint="eastAsia" w:ascii="Times New Roman" w:hAnsi="Times New Roman"/>
                <w:bCs/>
                <w:color w:val="auto"/>
                <w:kern w:val="2"/>
                <w:sz w:val="21"/>
                <w:szCs w:val="21"/>
                <w:lang w:val="en-US"/>
              </w:rPr>
              <w:t xml:space="preserve">方案内容存在欠缺，项目匹配性不足的得1分；                  </w:t>
            </w:r>
            <w:r>
              <w:rPr>
                <w:rFonts w:hint="eastAsia" w:ascii="仿宋_GB2312" w:hAnsi="仿宋_GB2312" w:eastAsia="仿宋_GB2312" w:cs="仿宋_GB2312"/>
                <w:color w:val="auto"/>
                <w:kern w:val="0"/>
                <w:szCs w:val="21"/>
                <w:lang w:val="en-US" w:eastAsia="zh-CN" w:bidi="ar"/>
              </w:rPr>
              <w:t>④</w:t>
            </w:r>
            <w:r>
              <w:rPr>
                <w:rFonts w:hint="eastAsia" w:ascii="Times New Roman" w:hAnsi="Times New Roman"/>
                <w:bCs/>
                <w:color w:val="auto"/>
                <w:kern w:val="2"/>
                <w:sz w:val="21"/>
                <w:szCs w:val="21"/>
                <w:lang w:val="en-US"/>
              </w:rPr>
              <w:t>未提供不得分。</w:t>
            </w:r>
          </w:p>
        </w:tc>
        <w:tc>
          <w:tcPr>
            <w:tcW w:w="615" w:type="pct"/>
            <w:tcBorders>
              <w:left w:val="single" w:color="auto" w:sz="4" w:space="0"/>
              <w:right w:val="single" w:color="auto" w:sz="4" w:space="0"/>
            </w:tcBorders>
            <w:vAlign w:val="center"/>
          </w:tcPr>
          <w:p>
            <w:pPr>
              <w:tabs>
                <w:tab w:val="left" w:pos="-94"/>
                <w:tab w:val="left" w:pos="1620"/>
              </w:tabs>
              <w:snapToGrid w:val="0"/>
              <w:jc w:val="center"/>
              <w:textAlignment w:val="baseline"/>
              <w:outlineLvl w:val="1"/>
              <w:rPr>
                <w:rFonts w:hint="eastAsia" w:eastAsia="宋体"/>
                <w:bCs/>
                <w:color w:val="auto"/>
                <w:szCs w:val="21"/>
                <w:lang w:eastAsia="zh-CN"/>
              </w:rPr>
            </w:pPr>
            <w:r>
              <w:rPr>
                <w:rFonts w:hint="eastAsia"/>
                <w:bCs/>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12" w:type="pct"/>
            <w:vMerge w:val="continue"/>
            <w:tcBorders>
              <w:left w:val="single" w:color="auto" w:sz="4" w:space="0"/>
              <w:bottom w:val="single" w:color="auto" w:sz="4" w:space="0"/>
              <w:right w:val="single" w:color="auto" w:sz="4" w:space="0"/>
            </w:tcBorders>
            <w:vAlign w:val="center"/>
          </w:tcPr>
          <w:p>
            <w:pPr>
              <w:snapToGrid w:val="0"/>
              <w:spacing w:line="360" w:lineRule="auto"/>
              <w:jc w:val="center"/>
              <w:rPr>
                <w:color w:val="auto"/>
                <w:szCs w:val="21"/>
              </w:rPr>
            </w:pPr>
          </w:p>
        </w:tc>
        <w:tc>
          <w:tcPr>
            <w:tcW w:w="668" w:type="pct"/>
            <w:vMerge w:val="continue"/>
            <w:tcBorders>
              <w:left w:val="single" w:color="auto" w:sz="4" w:space="0"/>
              <w:bottom w:val="single" w:color="auto" w:sz="4" w:space="0"/>
              <w:right w:val="single" w:color="auto" w:sz="4" w:space="0"/>
            </w:tcBorders>
            <w:vAlign w:val="center"/>
          </w:tcPr>
          <w:p>
            <w:pPr>
              <w:snapToGrid w:val="0"/>
              <w:jc w:val="center"/>
              <w:rPr>
                <w:bCs/>
                <w:color w:val="auto"/>
                <w:szCs w:val="21"/>
              </w:rPr>
            </w:pPr>
          </w:p>
        </w:tc>
        <w:tc>
          <w:tcPr>
            <w:tcW w:w="3404" w:type="pct"/>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bCs/>
                <w:color w:val="auto"/>
                <w:szCs w:val="21"/>
              </w:rPr>
            </w:pPr>
            <w:r>
              <w:rPr>
                <w:rFonts w:hint="eastAsia"/>
                <w:bCs/>
                <w:color w:val="auto"/>
                <w:szCs w:val="21"/>
                <w:lang w:val="en-US" w:eastAsia="zh-CN"/>
              </w:rPr>
              <w:t>8.5</w:t>
            </w:r>
            <w:r>
              <w:rPr>
                <w:rFonts w:hint="eastAsia"/>
                <w:bCs/>
                <w:color w:val="auto"/>
                <w:szCs w:val="21"/>
              </w:rPr>
              <w:t>所采取的技术和方法对外环境的适应情况，根据内容详实情况打分。</w:t>
            </w:r>
          </w:p>
          <w:p>
            <w:pPr>
              <w:snapToGrid w:val="0"/>
              <w:jc w:val="left"/>
              <w:rPr>
                <w:bCs/>
                <w:color w:val="auto"/>
                <w:szCs w:val="21"/>
              </w:rPr>
            </w:pPr>
            <w:r>
              <w:rPr>
                <w:rFonts w:hint="eastAsia" w:ascii="仿宋_GB2312" w:hAnsi="仿宋_GB2312" w:eastAsia="仿宋_GB2312" w:cs="仿宋_GB2312"/>
                <w:color w:val="auto"/>
                <w:kern w:val="0"/>
                <w:szCs w:val="21"/>
                <w:lang w:bidi="ar"/>
              </w:rPr>
              <w:t>①</w:t>
            </w:r>
            <w:r>
              <w:rPr>
                <w:rFonts w:hint="eastAsia" w:ascii="Times New Roman" w:hAnsi="Times New Roman"/>
                <w:bCs/>
                <w:color w:val="auto"/>
                <w:kern w:val="2"/>
                <w:sz w:val="21"/>
                <w:szCs w:val="21"/>
                <w:lang w:val="en-US"/>
              </w:rPr>
              <w:t xml:space="preserve">方案合理、阐述完整得5分；                                 </w:t>
            </w:r>
            <w:r>
              <w:rPr>
                <w:rFonts w:hint="eastAsia" w:ascii="仿宋_GB2312" w:hAnsi="仿宋_GB2312" w:eastAsia="仿宋_GB2312" w:cs="仿宋_GB2312"/>
                <w:color w:val="auto"/>
                <w:kern w:val="0"/>
                <w:szCs w:val="21"/>
                <w:lang w:bidi="ar"/>
              </w:rPr>
              <w:t>②</w:t>
            </w:r>
            <w:r>
              <w:rPr>
                <w:rFonts w:hint="eastAsia" w:ascii="Times New Roman" w:hAnsi="Times New Roman"/>
                <w:bCs/>
                <w:color w:val="auto"/>
                <w:kern w:val="2"/>
                <w:sz w:val="21"/>
                <w:szCs w:val="21"/>
                <w:lang w:val="en-US"/>
              </w:rPr>
              <w:t xml:space="preserve">方案基本可行、基本符合采购需求得3分；                     </w:t>
            </w:r>
            <w:r>
              <w:rPr>
                <w:rFonts w:hint="eastAsia" w:ascii="仿宋_GB2312" w:hAnsi="仿宋_GB2312" w:eastAsia="仿宋_GB2312" w:cs="仿宋_GB2312"/>
                <w:color w:val="auto"/>
                <w:kern w:val="0"/>
                <w:szCs w:val="21"/>
                <w:lang w:val="en-US" w:eastAsia="zh-CN" w:bidi="ar"/>
              </w:rPr>
              <w:t>③</w:t>
            </w:r>
            <w:r>
              <w:rPr>
                <w:rFonts w:hint="eastAsia" w:ascii="Times New Roman" w:hAnsi="Times New Roman"/>
                <w:bCs/>
                <w:color w:val="auto"/>
                <w:kern w:val="2"/>
                <w:sz w:val="21"/>
                <w:szCs w:val="21"/>
                <w:lang w:val="en-US"/>
              </w:rPr>
              <w:t xml:space="preserve">方案内容存在欠缺，项目匹配性不足的得1分；                  </w:t>
            </w:r>
            <w:r>
              <w:rPr>
                <w:rFonts w:hint="eastAsia" w:ascii="仿宋_GB2312" w:hAnsi="仿宋_GB2312" w:eastAsia="仿宋_GB2312" w:cs="仿宋_GB2312"/>
                <w:color w:val="auto"/>
                <w:kern w:val="0"/>
                <w:szCs w:val="21"/>
                <w:lang w:val="en-US" w:eastAsia="zh-CN" w:bidi="ar"/>
              </w:rPr>
              <w:t>④</w:t>
            </w:r>
            <w:r>
              <w:rPr>
                <w:rFonts w:hint="eastAsia" w:ascii="Times New Roman" w:hAnsi="Times New Roman"/>
                <w:bCs/>
                <w:color w:val="auto"/>
                <w:kern w:val="2"/>
                <w:sz w:val="21"/>
                <w:szCs w:val="21"/>
                <w:lang w:val="en-US"/>
              </w:rPr>
              <w:t>未提供不得分。</w:t>
            </w:r>
          </w:p>
        </w:tc>
        <w:tc>
          <w:tcPr>
            <w:tcW w:w="615" w:type="pct"/>
            <w:tcBorders>
              <w:left w:val="single" w:color="auto" w:sz="4" w:space="0"/>
              <w:bottom w:val="single" w:color="auto" w:sz="4" w:space="0"/>
              <w:right w:val="single" w:color="auto" w:sz="4" w:space="0"/>
            </w:tcBorders>
            <w:vAlign w:val="center"/>
          </w:tcPr>
          <w:p>
            <w:pPr>
              <w:tabs>
                <w:tab w:val="left" w:pos="-94"/>
                <w:tab w:val="left" w:pos="1620"/>
              </w:tabs>
              <w:snapToGrid w:val="0"/>
              <w:jc w:val="center"/>
              <w:textAlignment w:val="baseline"/>
              <w:outlineLvl w:val="1"/>
              <w:rPr>
                <w:rFonts w:hint="eastAsia" w:eastAsia="宋体"/>
                <w:bCs/>
                <w:color w:val="auto"/>
                <w:szCs w:val="21"/>
                <w:lang w:eastAsia="zh-CN"/>
              </w:rPr>
            </w:pPr>
            <w:r>
              <w:rPr>
                <w:rFonts w:hint="eastAsia"/>
                <w:bCs/>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12" w:type="pct"/>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eastAsia="宋体"/>
                <w:color w:val="auto"/>
                <w:szCs w:val="21"/>
                <w:lang w:eastAsia="zh-CN"/>
              </w:rPr>
            </w:pPr>
            <w:r>
              <w:rPr>
                <w:rFonts w:hint="eastAsia"/>
                <w:color w:val="auto"/>
                <w:szCs w:val="21"/>
                <w:lang w:val="en-US" w:eastAsia="zh-CN"/>
              </w:rPr>
              <w:t>9</w:t>
            </w:r>
          </w:p>
        </w:tc>
        <w:tc>
          <w:tcPr>
            <w:tcW w:w="668" w:type="pct"/>
            <w:vMerge w:val="restart"/>
            <w:tcBorders>
              <w:top w:val="single" w:color="auto" w:sz="4" w:space="0"/>
              <w:left w:val="single" w:color="auto" w:sz="4" w:space="0"/>
              <w:right w:val="single" w:color="auto" w:sz="4" w:space="0"/>
            </w:tcBorders>
            <w:vAlign w:val="center"/>
          </w:tcPr>
          <w:p>
            <w:pPr>
              <w:jc w:val="center"/>
              <w:rPr>
                <w:bCs/>
                <w:color w:val="auto"/>
                <w:szCs w:val="21"/>
              </w:rPr>
            </w:pPr>
            <w:r>
              <w:rPr>
                <w:rFonts w:hint="eastAsia"/>
                <w:bCs/>
                <w:color w:val="auto"/>
                <w:szCs w:val="21"/>
              </w:rPr>
              <w:t>实施方案</w:t>
            </w:r>
          </w:p>
        </w:tc>
        <w:tc>
          <w:tcPr>
            <w:tcW w:w="3404" w:type="pct"/>
            <w:tcBorders>
              <w:top w:val="single" w:color="auto" w:sz="4" w:space="0"/>
              <w:left w:val="single" w:color="auto" w:sz="4" w:space="0"/>
              <w:bottom w:val="single" w:color="auto" w:sz="4" w:space="0"/>
              <w:right w:val="single" w:color="auto" w:sz="4" w:space="0"/>
            </w:tcBorders>
            <w:vAlign w:val="center"/>
          </w:tcPr>
          <w:p>
            <w:pPr>
              <w:ind w:left="-50" w:firstLine="210" w:firstLineChars="100"/>
              <w:jc w:val="left"/>
              <w:rPr>
                <w:color w:val="auto"/>
                <w:szCs w:val="21"/>
              </w:rPr>
            </w:pPr>
            <w:r>
              <w:rPr>
                <w:rFonts w:hint="eastAsia"/>
                <w:color w:val="auto"/>
                <w:szCs w:val="21"/>
                <w:lang w:val="en-US" w:eastAsia="zh-CN"/>
              </w:rPr>
              <w:t>9.1</w:t>
            </w:r>
            <w:r>
              <w:rPr>
                <w:rFonts w:hint="eastAsia"/>
                <w:color w:val="auto"/>
                <w:szCs w:val="21"/>
              </w:rPr>
              <w:t>对完成除四害工作有完整的总体思路是否正确，实施细则是否完善</w:t>
            </w:r>
          </w:p>
          <w:p>
            <w:pPr>
              <w:snapToGrid w:val="0"/>
              <w:jc w:val="left"/>
              <w:rPr>
                <w:rFonts w:cs="宋体"/>
                <w:color w:val="auto"/>
                <w:szCs w:val="21"/>
              </w:rPr>
            </w:pPr>
            <w:r>
              <w:rPr>
                <w:rFonts w:hint="eastAsia" w:ascii="仿宋_GB2312" w:hAnsi="仿宋_GB2312" w:eastAsia="仿宋_GB2312" w:cs="仿宋_GB2312"/>
                <w:color w:val="auto"/>
                <w:kern w:val="0"/>
                <w:szCs w:val="21"/>
                <w:lang w:bidi="ar"/>
              </w:rPr>
              <w:t>①</w:t>
            </w:r>
            <w:r>
              <w:rPr>
                <w:rFonts w:hint="eastAsia" w:cs="宋体"/>
                <w:color w:val="auto"/>
                <w:szCs w:val="21"/>
              </w:rPr>
              <w:t>阐述全面，具有较强的针对性、可行性，</w:t>
            </w:r>
            <w:r>
              <w:rPr>
                <w:rFonts w:hint="eastAsia"/>
                <w:color w:val="auto"/>
                <w:szCs w:val="21"/>
              </w:rPr>
              <w:t>实施细则完善</w:t>
            </w:r>
            <w:r>
              <w:rPr>
                <w:rFonts w:hint="eastAsia" w:cs="宋体"/>
                <w:color w:val="auto"/>
                <w:szCs w:val="21"/>
              </w:rPr>
              <w:t>的得5分；</w:t>
            </w:r>
          </w:p>
          <w:p>
            <w:pPr>
              <w:snapToGrid w:val="0"/>
              <w:jc w:val="left"/>
              <w:rPr>
                <w:rFonts w:cs="宋体"/>
                <w:color w:val="auto"/>
                <w:szCs w:val="21"/>
              </w:rPr>
            </w:pPr>
            <w:r>
              <w:rPr>
                <w:rFonts w:hint="eastAsia" w:ascii="仿宋_GB2312" w:hAnsi="仿宋_GB2312" w:eastAsia="仿宋_GB2312" w:cs="仿宋_GB2312"/>
                <w:color w:val="auto"/>
                <w:kern w:val="0"/>
                <w:szCs w:val="21"/>
                <w:lang w:bidi="ar"/>
              </w:rPr>
              <w:t>②</w:t>
            </w:r>
            <w:r>
              <w:rPr>
                <w:rFonts w:hint="eastAsia" w:cs="宋体"/>
                <w:color w:val="auto"/>
                <w:szCs w:val="21"/>
              </w:rPr>
              <w:t>阐述较为全面，具有一定的针对性、可行性，</w:t>
            </w:r>
            <w:r>
              <w:rPr>
                <w:rFonts w:hint="eastAsia"/>
                <w:color w:val="auto"/>
                <w:szCs w:val="21"/>
              </w:rPr>
              <w:t>实施细则较完善</w:t>
            </w:r>
            <w:r>
              <w:rPr>
                <w:rFonts w:hint="eastAsia" w:cs="宋体"/>
                <w:color w:val="auto"/>
                <w:szCs w:val="21"/>
              </w:rPr>
              <w:t xml:space="preserve">的得3分；  </w:t>
            </w:r>
          </w:p>
          <w:p>
            <w:pPr>
              <w:snapToGrid w:val="0"/>
              <w:jc w:val="left"/>
              <w:rPr>
                <w:rFonts w:cs="宋体"/>
                <w:color w:val="auto"/>
                <w:szCs w:val="21"/>
              </w:rPr>
            </w:pPr>
            <w:r>
              <w:rPr>
                <w:rFonts w:hint="eastAsia" w:ascii="仿宋_GB2312" w:hAnsi="仿宋_GB2312" w:eastAsia="仿宋_GB2312" w:cs="仿宋_GB2312"/>
                <w:color w:val="auto"/>
                <w:kern w:val="0"/>
                <w:szCs w:val="21"/>
                <w:lang w:val="en-US" w:eastAsia="zh-CN" w:bidi="ar"/>
              </w:rPr>
              <w:t>③</w:t>
            </w:r>
            <w:r>
              <w:rPr>
                <w:rFonts w:hint="eastAsia" w:cs="宋体"/>
                <w:color w:val="auto"/>
                <w:szCs w:val="21"/>
              </w:rPr>
              <w:t>阐述不够全面，针对性、可行性一般，</w:t>
            </w:r>
            <w:r>
              <w:rPr>
                <w:rFonts w:hint="eastAsia"/>
                <w:color w:val="auto"/>
                <w:szCs w:val="21"/>
              </w:rPr>
              <w:t>实施细则不够完善</w:t>
            </w:r>
            <w:r>
              <w:rPr>
                <w:rFonts w:hint="eastAsia" w:cs="宋体"/>
                <w:color w:val="auto"/>
                <w:szCs w:val="21"/>
              </w:rPr>
              <w:t>的得1分；</w:t>
            </w:r>
          </w:p>
          <w:p>
            <w:pPr>
              <w:pStyle w:val="2"/>
              <w:rPr>
                <w:color w:val="auto"/>
              </w:rPr>
            </w:pPr>
            <w:r>
              <w:rPr>
                <w:rFonts w:hint="eastAsia" w:ascii="仿宋_GB2312" w:hAnsi="仿宋_GB2312" w:eastAsia="仿宋_GB2312" w:cs="仿宋_GB2312"/>
                <w:color w:val="auto"/>
                <w:kern w:val="0"/>
                <w:szCs w:val="21"/>
                <w:lang w:val="en-US" w:eastAsia="zh-CN" w:bidi="ar"/>
              </w:rPr>
              <w:t>④</w:t>
            </w:r>
            <w:r>
              <w:rPr>
                <w:rFonts w:hint="eastAsia" w:ascii="Times New Roman" w:hAnsi="Times New Roman" w:cs="宋体"/>
                <w:color w:val="auto"/>
                <w:kern w:val="2"/>
                <w:sz w:val="21"/>
                <w:szCs w:val="21"/>
                <w:lang w:val="en-US"/>
              </w:rPr>
              <w:t>未提供不得分。</w:t>
            </w:r>
          </w:p>
        </w:tc>
        <w:tc>
          <w:tcPr>
            <w:tcW w:w="615" w:type="pct"/>
            <w:tcBorders>
              <w:top w:val="single" w:color="auto" w:sz="4" w:space="0"/>
              <w:left w:val="single" w:color="auto" w:sz="4" w:space="0"/>
              <w:right w:val="single" w:color="auto" w:sz="4" w:space="0"/>
            </w:tcBorders>
            <w:vAlign w:val="center"/>
          </w:tcPr>
          <w:p>
            <w:pPr>
              <w:ind w:left="-50"/>
              <w:jc w:val="center"/>
              <w:rPr>
                <w:rFonts w:hint="eastAsia" w:eastAsia="宋体"/>
                <w:color w:val="auto"/>
                <w:szCs w:val="21"/>
                <w:lang w:eastAsia="zh-CN"/>
              </w:rPr>
            </w:pPr>
            <w:r>
              <w:rPr>
                <w:rFonts w:hint="eastAsia"/>
                <w:bCs/>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12" w:type="pct"/>
            <w:vMerge w:val="continue"/>
            <w:tcBorders>
              <w:left w:val="single" w:color="auto" w:sz="4" w:space="0"/>
              <w:right w:val="single" w:color="auto" w:sz="4" w:space="0"/>
            </w:tcBorders>
            <w:vAlign w:val="center"/>
          </w:tcPr>
          <w:p>
            <w:pPr>
              <w:snapToGrid w:val="0"/>
              <w:spacing w:line="360" w:lineRule="auto"/>
              <w:jc w:val="center"/>
              <w:rPr>
                <w:color w:val="auto"/>
                <w:szCs w:val="21"/>
              </w:rPr>
            </w:pPr>
          </w:p>
        </w:tc>
        <w:tc>
          <w:tcPr>
            <w:tcW w:w="668" w:type="pct"/>
            <w:vMerge w:val="continue"/>
            <w:tcBorders>
              <w:left w:val="single" w:color="auto" w:sz="4" w:space="0"/>
              <w:right w:val="single" w:color="auto" w:sz="4" w:space="0"/>
            </w:tcBorders>
            <w:vAlign w:val="center"/>
          </w:tcPr>
          <w:p>
            <w:pPr>
              <w:jc w:val="center"/>
              <w:rPr>
                <w:bCs/>
                <w:color w:val="auto"/>
                <w:szCs w:val="21"/>
              </w:rPr>
            </w:pPr>
          </w:p>
        </w:tc>
        <w:tc>
          <w:tcPr>
            <w:tcW w:w="3404" w:type="pct"/>
            <w:tcBorders>
              <w:top w:val="single" w:color="auto" w:sz="4" w:space="0"/>
              <w:left w:val="single" w:color="auto" w:sz="4" w:space="0"/>
              <w:bottom w:val="single" w:color="auto" w:sz="4" w:space="0"/>
              <w:right w:val="single" w:color="auto" w:sz="4" w:space="0"/>
            </w:tcBorders>
            <w:vAlign w:val="center"/>
          </w:tcPr>
          <w:p>
            <w:pPr>
              <w:ind w:left="-50"/>
              <w:jc w:val="left"/>
              <w:rPr>
                <w:color w:val="auto"/>
                <w:szCs w:val="21"/>
              </w:rPr>
            </w:pPr>
            <w:r>
              <w:rPr>
                <w:rFonts w:hint="eastAsia"/>
                <w:color w:val="auto"/>
                <w:szCs w:val="21"/>
                <w:lang w:val="en-US" w:eastAsia="zh-CN"/>
              </w:rPr>
              <w:t>9.2</w:t>
            </w:r>
            <w:r>
              <w:rPr>
                <w:rFonts w:hint="eastAsia"/>
                <w:color w:val="auto"/>
                <w:szCs w:val="21"/>
              </w:rPr>
              <w:t>对四害防治工作特点的认识情况</w:t>
            </w:r>
          </w:p>
          <w:p>
            <w:pPr>
              <w:pStyle w:val="2"/>
              <w:rPr>
                <w:color w:val="auto"/>
              </w:rPr>
            </w:pPr>
            <w:r>
              <w:rPr>
                <w:rFonts w:hint="eastAsia" w:ascii="仿宋_GB2312" w:hAnsi="仿宋_GB2312" w:eastAsia="仿宋_GB2312" w:cs="仿宋_GB2312"/>
                <w:color w:val="auto"/>
                <w:kern w:val="0"/>
                <w:szCs w:val="21"/>
                <w:lang w:bidi="ar"/>
              </w:rPr>
              <w:t>①</w:t>
            </w:r>
            <w:r>
              <w:rPr>
                <w:rFonts w:hint="eastAsia" w:ascii="Times New Roman" w:hAnsi="Times New Roman"/>
                <w:bCs/>
                <w:color w:val="auto"/>
                <w:kern w:val="2"/>
                <w:sz w:val="21"/>
                <w:szCs w:val="21"/>
                <w:lang w:val="en-US"/>
              </w:rPr>
              <w:t xml:space="preserve">方案合理、阐述完整得4分；                                 </w:t>
            </w:r>
            <w:r>
              <w:rPr>
                <w:rFonts w:hint="eastAsia" w:ascii="仿宋_GB2312" w:hAnsi="仿宋_GB2312" w:eastAsia="仿宋_GB2312" w:cs="仿宋_GB2312"/>
                <w:color w:val="auto"/>
                <w:kern w:val="0"/>
                <w:szCs w:val="21"/>
                <w:lang w:bidi="ar"/>
              </w:rPr>
              <w:t>②</w:t>
            </w:r>
            <w:r>
              <w:rPr>
                <w:rFonts w:hint="eastAsia" w:ascii="Times New Roman" w:hAnsi="Times New Roman"/>
                <w:bCs/>
                <w:color w:val="auto"/>
                <w:kern w:val="2"/>
                <w:sz w:val="21"/>
                <w:szCs w:val="21"/>
                <w:lang w:val="en-US"/>
              </w:rPr>
              <w:t xml:space="preserve">方案基本可行、基本符合采购需求得3分；                     </w:t>
            </w:r>
            <w:r>
              <w:rPr>
                <w:rFonts w:hint="eastAsia" w:ascii="仿宋_GB2312" w:hAnsi="仿宋_GB2312" w:eastAsia="仿宋_GB2312" w:cs="仿宋_GB2312"/>
                <w:color w:val="auto"/>
                <w:kern w:val="0"/>
                <w:szCs w:val="21"/>
                <w:lang w:val="en-US" w:eastAsia="zh-CN" w:bidi="ar"/>
              </w:rPr>
              <w:t>③</w:t>
            </w:r>
            <w:r>
              <w:rPr>
                <w:rFonts w:hint="eastAsia" w:ascii="Times New Roman" w:hAnsi="Times New Roman"/>
                <w:bCs/>
                <w:color w:val="auto"/>
                <w:kern w:val="2"/>
                <w:sz w:val="21"/>
                <w:szCs w:val="21"/>
                <w:lang w:val="en-US"/>
              </w:rPr>
              <w:t xml:space="preserve">方案内容存在欠缺，项目匹配性不足的得2分；                  </w:t>
            </w:r>
            <w:r>
              <w:rPr>
                <w:rFonts w:hint="eastAsia" w:ascii="仿宋_GB2312" w:hAnsi="仿宋_GB2312" w:eastAsia="仿宋_GB2312" w:cs="仿宋_GB2312"/>
                <w:color w:val="auto"/>
                <w:kern w:val="0"/>
                <w:szCs w:val="21"/>
                <w:lang w:val="en-US" w:eastAsia="zh-CN" w:bidi="ar"/>
              </w:rPr>
              <w:t>④</w:t>
            </w:r>
            <w:r>
              <w:rPr>
                <w:rFonts w:hint="eastAsia" w:ascii="Times New Roman" w:hAnsi="Times New Roman"/>
                <w:bCs/>
                <w:color w:val="auto"/>
                <w:kern w:val="2"/>
                <w:sz w:val="21"/>
                <w:szCs w:val="21"/>
                <w:lang w:val="en-US"/>
              </w:rPr>
              <w:t>未提供不得分。</w:t>
            </w:r>
          </w:p>
        </w:tc>
        <w:tc>
          <w:tcPr>
            <w:tcW w:w="615" w:type="pct"/>
            <w:tcBorders>
              <w:left w:val="single" w:color="auto" w:sz="4" w:space="0"/>
              <w:right w:val="single" w:color="auto" w:sz="4" w:space="0"/>
            </w:tcBorders>
            <w:vAlign w:val="center"/>
          </w:tcPr>
          <w:p>
            <w:pPr>
              <w:ind w:left="-50"/>
              <w:jc w:val="center"/>
              <w:rPr>
                <w:rFonts w:hint="eastAsia" w:eastAsia="宋体"/>
                <w:color w:val="auto"/>
                <w:szCs w:val="21"/>
                <w:lang w:eastAsia="zh-CN"/>
              </w:rPr>
            </w:pPr>
            <w:r>
              <w:rPr>
                <w:rFonts w:hint="eastAsia"/>
                <w:bCs/>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12" w:type="pct"/>
            <w:vMerge w:val="continue"/>
            <w:tcBorders>
              <w:left w:val="single" w:color="auto" w:sz="4" w:space="0"/>
              <w:right w:val="single" w:color="auto" w:sz="4" w:space="0"/>
            </w:tcBorders>
            <w:vAlign w:val="center"/>
          </w:tcPr>
          <w:p>
            <w:pPr>
              <w:snapToGrid w:val="0"/>
              <w:spacing w:line="360" w:lineRule="auto"/>
              <w:jc w:val="center"/>
              <w:rPr>
                <w:color w:val="auto"/>
                <w:szCs w:val="21"/>
              </w:rPr>
            </w:pPr>
          </w:p>
        </w:tc>
        <w:tc>
          <w:tcPr>
            <w:tcW w:w="668" w:type="pct"/>
            <w:vMerge w:val="continue"/>
            <w:tcBorders>
              <w:left w:val="single" w:color="auto" w:sz="4" w:space="0"/>
              <w:right w:val="single" w:color="auto" w:sz="4" w:space="0"/>
            </w:tcBorders>
            <w:vAlign w:val="center"/>
          </w:tcPr>
          <w:p>
            <w:pPr>
              <w:jc w:val="center"/>
              <w:rPr>
                <w:bCs/>
                <w:color w:val="auto"/>
                <w:szCs w:val="21"/>
              </w:rPr>
            </w:pPr>
          </w:p>
        </w:tc>
        <w:tc>
          <w:tcPr>
            <w:tcW w:w="3404" w:type="pct"/>
            <w:tcBorders>
              <w:top w:val="single" w:color="auto" w:sz="4" w:space="0"/>
              <w:left w:val="single" w:color="auto" w:sz="4" w:space="0"/>
              <w:bottom w:val="single" w:color="auto" w:sz="4" w:space="0"/>
              <w:right w:val="single" w:color="auto" w:sz="4" w:space="0"/>
            </w:tcBorders>
            <w:vAlign w:val="center"/>
          </w:tcPr>
          <w:p>
            <w:pPr>
              <w:ind w:left="-50"/>
              <w:jc w:val="left"/>
              <w:rPr>
                <w:color w:val="auto"/>
                <w:szCs w:val="21"/>
              </w:rPr>
            </w:pPr>
            <w:r>
              <w:rPr>
                <w:rFonts w:hint="eastAsia"/>
                <w:color w:val="auto"/>
                <w:szCs w:val="21"/>
                <w:lang w:val="en-US" w:eastAsia="zh-CN"/>
              </w:rPr>
              <w:t>9.3</w:t>
            </w:r>
            <w:r>
              <w:rPr>
                <w:rFonts w:hint="eastAsia"/>
                <w:color w:val="auto"/>
                <w:szCs w:val="21"/>
              </w:rPr>
              <w:t>对每种害虫防治的周期安排是否合理</w:t>
            </w:r>
          </w:p>
          <w:p>
            <w:pPr>
              <w:pStyle w:val="2"/>
              <w:rPr>
                <w:color w:val="auto"/>
              </w:rPr>
            </w:pPr>
            <w:r>
              <w:rPr>
                <w:rFonts w:hint="eastAsia" w:ascii="仿宋_GB2312" w:hAnsi="仿宋_GB2312" w:eastAsia="仿宋_GB2312" w:cs="仿宋_GB2312"/>
                <w:color w:val="auto"/>
                <w:kern w:val="0"/>
                <w:szCs w:val="21"/>
                <w:lang w:bidi="ar"/>
              </w:rPr>
              <w:t>①</w:t>
            </w:r>
            <w:r>
              <w:rPr>
                <w:rFonts w:hint="eastAsia" w:ascii="Times New Roman" w:hAnsi="Times New Roman"/>
                <w:bCs/>
                <w:color w:val="auto"/>
                <w:kern w:val="2"/>
                <w:sz w:val="21"/>
                <w:szCs w:val="21"/>
                <w:lang w:val="en-US"/>
              </w:rPr>
              <w:t xml:space="preserve">方案合理、阐述完整得4分；                                 </w:t>
            </w:r>
            <w:r>
              <w:rPr>
                <w:rFonts w:hint="eastAsia" w:ascii="仿宋_GB2312" w:hAnsi="仿宋_GB2312" w:eastAsia="仿宋_GB2312" w:cs="仿宋_GB2312"/>
                <w:color w:val="auto"/>
                <w:kern w:val="0"/>
                <w:szCs w:val="21"/>
                <w:lang w:bidi="ar"/>
              </w:rPr>
              <w:t>②</w:t>
            </w:r>
            <w:r>
              <w:rPr>
                <w:rFonts w:hint="eastAsia" w:ascii="Times New Roman" w:hAnsi="Times New Roman"/>
                <w:bCs/>
                <w:color w:val="auto"/>
                <w:kern w:val="2"/>
                <w:sz w:val="21"/>
                <w:szCs w:val="21"/>
                <w:lang w:val="en-US"/>
              </w:rPr>
              <w:t xml:space="preserve">方案基本可行、基本符合采购需求得3分；                     </w:t>
            </w:r>
            <w:r>
              <w:rPr>
                <w:rFonts w:hint="eastAsia" w:ascii="仿宋_GB2312" w:hAnsi="仿宋_GB2312" w:eastAsia="仿宋_GB2312" w:cs="仿宋_GB2312"/>
                <w:color w:val="auto"/>
                <w:kern w:val="0"/>
                <w:szCs w:val="21"/>
                <w:lang w:val="en-US" w:eastAsia="zh-CN" w:bidi="ar"/>
              </w:rPr>
              <w:t>③</w:t>
            </w:r>
            <w:r>
              <w:rPr>
                <w:rFonts w:hint="eastAsia" w:ascii="Times New Roman" w:hAnsi="Times New Roman"/>
                <w:bCs/>
                <w:color w:val="auto"/>
                <w:kern w:val="2"/>
                <w:sz w:val="21"/>
                <w:szCs w:val="21"/>
                <w:lang w:val="en-US"/>
              </w:rPr>
              <w:t xml:space="preserve">方案内容存在欠缺，项目匹配性不足的得2分；                  </w:t>
            </w:r>
            <w:r>
              <w:rPr>
                <w:rFonts w:hint="eastAsia" w:ascii="仿宋_GB2312" w:hAnsi="仿宋_GB2312" w:eastAsia="仿宋_GB2312" w:cs="仿宋_GB2312"/>
                <w:color w:val="auto"/>
                <w:kern w:val="0"/>
                <w:szCs w:val="21"/>
                <w:lang w:val="en-US" w:eastAsia="zh-CN" w:bidi="ar"/>
              </w:rPr>
              <w:t>④</w:t>
            </w:r>
            <w:r>
              <w:rPr>
                <w:rFonts w:hint="eastAsia" w:ascii="Times New Roman" w:hAnsi="Times New Roman"/>
                <w:bCs/>
                <w:color w:val="auto"/>
                <w:kern w:val="2"/>
                <w:sz w:val="21"/>
                <w:szCs w:val="21"/>
                <w:lang w:val="en-US"/>
              </w:rPr>
              <w:t>未提供不得分。</w:t>
            </w:r>
          </w:p>
        </w:tc>
        <w:tc>
          <w:tcPr>
            <w:tcW w:w="615" w:type="pct"/>
            <w:tcBorders>
              <w:left w:val="single" w:color="auto" w:sz="4" w:space="0"/>
              <w:right w:val="single" w:color="auto" w:sz="4" w:space="0"/>
            </w:tcBorders>
            <w:vAlign w:val="center"/>
          </w:tcPr>
          <w:p>
            <w:pPr>
              <w:ind w:left="-50"/>
              <w:jc w:val="center"/>
              <w:rPr>
                <w:rFonts w:hint="eastAsia" w:eastAsia="宋体"/>
                <w:color w:val="auto"/>
                <w:szCs w:val="21"/>
                <w:lang w:eastAsia="zh-CN"/>
              </w:rPr>
            </w:pPr>
            <w:r>
              <w:rPr>
                <w:rFonts w:hint="eastAsia"/>
                <w:bCs/>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12" w:type="pct"/>
            <w:vMerge w:val="continue"/>
            <w:tcBorders>
              <w:left w:val="single" w:color="auto" w:sz="4" w:space="0"/>
              <w:right w:val="single" w:color="auto" w:sz="4" w:space="0"/>
            </w:tcBorders>
            <w:vAlign w:val="center"/>
          </w:tcPr>
          <w:p>
            <w:pPr>
              <w:snapToGrid w:val="0"/>
              <w:spacing w:line="360" w:lineRule="auto"/>
              <w:jc w:val="center"/>
              <w:rPr>
                <w:color w:val="auto"/>
                <w:szCs w:val="21"/>
              </w:rPr>
            </w:pPr>
          </w:p>
        </w:tc>
        <w:tc>
          <w:tcPr>
            <w:tcW w:w="668" w:type="pct"/>
            <w:vMerge w:val="continue"/>
            <w:tcBorders>
              <w:left w:val="single" w:color="auto" w:sz="4" w:space="0"/>
              <w:right w:val="single" w:color="auto" w:sz="4" w:space="0"/>
            </w:tcBorders>
            <w:vAlign w:val="center"/>
          </w:tcPr>
          <w:p>
            <w:pPr>
              <w:jc w:val="center"/>
              <w:rPr>
                <w:bCs/>
                <w:color w:val="auto"/>
                <w:szCs w:val="21"/>
              </w:rPr>
            </w:pPr>
          </w:p>
        </w:tc>
        <w:tc>
          <w:tcPr>
            <w:tcW w:w="3404" w:type="pct"/>
            <w:tcBorders>
              <w:top w:val="single" w:color="auto" w:sz="4" w:space="0"/>
              <w:left w:val="single" w:color="auto" w:sz="4" w:space="0"/>
              <w:bottom w:val="single" w:color="auto" w:sz="4" w:space="0"/>
              <w:right w:val="single" w:color="auto" w:sz="4" w:space="0"/>
            </w:tcBorders>
            <w:vAlign w:val="center"/>
          </w:tcPr>
          <w:p>
            <w:pPr>
              <w:ind w:left="-50"/>
              <w:jc w:val="left"/>
              <w:rPr>
                <w:color w:val="auto"/>
                <w:szCs w:val="21"/>
              </w:rPr>
            </w:pPr>
            <w:r>
              <w:rPr>
                <w:rFonts w:hint="eastAsia"/>
                <w:color w:val="auto"/>
                <w:szCs w:val="21"/>
                <w:lang w:val="en-US" w:eastAsia="zh-CN"/>
              </w:rPr>
              <w:t>9.4</w:t>
            </w:r>
            <w:r>
              <w:rPr>
                <w:rFonts w:hint="eastAsia"/>
                <w:color w:val="auto"/>
                <w:szCs w:val="21"/>
              </w:rPr>
              <w:t>对每种害虫密度监测计划安排、监测方法是否科学合理</w:t>
            </w:r>
          </w:p>
          <w:p>
            <w:pPr>
              <w:pStyle w:val="2"/>
              <w:rPr>
                <w:color w:val="auto"/>
              </w:rPr>
            </w:pPr>
            <w:r>
              <w:rPr>
                <w:rFonts w:hint="eastAsia" w:ascii="仿宋_GB2312" w:hAnsi="仿宋_GB2312" w:eastAsia="仿宋_GB2312" w:cs="仿宋_GB2312"/>
                <w:color w:val="auto"/>
                <w:kern w:val="0"/>
                <w:szCs w:val="21"/>
                <w:lang w:bidi="ar"/>
              </w:rPr>
              <w:t>①</w:t>
            </w:r>
            <w:r>
              <w:rPr>
                <w:rFonts w:hint="eastAsia" w:ascii="Times New Roman" w:hAnsi="Times New Roman"/>
                <w:bCs/>
                <w:color w:val="auto"/>
                <w:kern w:val="2"/>
                <w:sz w:val="21"/>
                <w:szCs w:val="21"/>
                <w:lang w:val="en-US"/>
              </w:rPr>
              <w:t xml:space="preserve">方案合理、阐述完整得4分；                                 </w:t>
            </w:r>
            <w:r>
              <w:rPr>
                <w:rFonts w:hint="eastAsia" w:ascii="仿宋_GB2312" w:hAnsi="仿宋_GB2312" w:eastAsia="仿宋_GB2312" w:cs="仿宋_GB2312"/>
                <w:color w:val="auto"/>
                <w:kern w:val="0"/>
                <w:szCs w:val="21"/>
                <w:lang w:bidi="ar"/>
              </w:rPr>
              <w:t>②</w:t>
            </w:r>
            <w:r>
              <w:rPr>
                <w:rFonts w:hint="eastAsia" w:ascii="Times New Roman" w:hAnsi="Times New Roman"/>
                <w:bCs/>
                <w:color w:val="auto"/>
                <w:kern w:val="2"/>
                <w:sz w:val="21"/>
                <w:szCs w:val="21"/>
                <w:lang w:val="en-US"/>
              </w:rPr>
              <w:t xml:space="preserve">方案基本可行、基本符合采购需求得3分；                     </w:t>
            </w:r>
            <w:r>
              <w:rPr>
                <w:rFonts w:hint="eastAsia" w:ascii="仿宋_GB2312" w:hAnsi="仿宋_GB2312" w:eastAsia="仿宋_GB2312" w:cs="仿宋_GB2312"/>
                <w:color w:val="auto"/>
                <w:kern w:val="0"/>
                <w:szCs w:val="21"/>
                <w:lang w:val="en-US" w:eastAsia="zh-CN" w:bidi="ar"/>
              </w:rPr>
              <w:t>③</w:t>
            </w:r>
            <w:r>
              <w:rPr>
                <w:rFonts w:hint="eastAsia" w:ascii="Times New Roman" w:hAnsi="Times New Roman"/>
                <w:bCs/>
                <w:color w:val="auto"/>
                <w:kern w:val="2"/>
                <w:sz w:val="21"/>
                <w:szCs w:val="21"/>
                <w:lang w:val="en-US"/>
              </w:rPr>
              <w:t xml:space="preserve">方案内容存在欠缺，项目匹配性不足的得2分；                  </w:t>
            </w:r>
            <w:r>
              <w:rPr>
                <w:rFonts w:hint="eastAsia" w:ascii="仿宋_GB2312" w:hAnsi="仿宋_GB2312" w:eastAsia="仿宋_GB2312" w:cs="仿宋_GB2312"/>
                <w:color w:val="auto"/>
                <w:kern w:val="0"/>
                <w:szCs w:val="21"/>
                <w:lang w:val="en-US" w:eastAsia="zh-CN" w:bidi="ar"/>
              </w:rPr>
              <w:t>④</w:t>
            </w:r>
            <w:r>
              <w:rPr>
                <w:rFonts w:hint="eastAsia" w:ascii="Times New Roman" w:hAnsi="Times New Roman"/>
                <w:bCs/>
                <w:color w:val="auto"/>
                <w:kern w:val="2"/>
                <w:sz w:val="21"/>
                <w:szCs w:val="21"/>
                <w:lang w:val="en-US"/>
              </w:rPr>
              <w:t>未提供不得分。</w:t>
            </w:r>
          </w:p>
        </w:tc>
        <w:tc>
          <w:tcPr>
            <w:tcW w:w="615" w:type="pct"/>
            <w:tcBorders>
              <w:left w:val="single" w:color="auto" w:sz="4" w:space="0"/>
              <w:right w:val="single" w:color="auto" w:sz="4" w:space="0"/>
            </w:tcBorders>
            <w:vAlign w:val="center"/>
          </w:tcPr>
          <w:p>
            <w:pPr>
              <w:ind w:left="-50"/>
              <w:jc w:val="center"/>
              <w:rPr>
                <w:rFonts w:hint="eastAsia" w:eastAsia="宋体"/>
                <w:color w:val="auto"/>
                <w:szCs w:val="21"/>
                <w:lang w:eastAsia="zh-CN"/>
              </w:rPr>
            </w:pPr>
            <w:r>
              <w:rPr>
                <w:rFonts w:hint="eastAsia"/>
                <w:bCs/>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12" w:type="pct"/>
            <w:vMerge w:val="continue"/>
            <w:tcBorders>
              <w:left w:val="single" w:color="auto" w:sz="4" w:space="0"/>
              <w:right w:val="single" w:color="auto" w:sz="4" w:space="0"/>
            </w:tcBorders>
            <w:vAlign w:val="center"/>
          </w:tcPr>
          <w:p>
            <w:pPr>
              <w:snapToGrid w:val="0"/>
              <w:spacing w:line="360" w:lineRule="auto"/>
              <w:jc w:val="center"/>
              <w:rPr>
                <w:color w:val="auto"/>
                <w:szCs w:val="21"/>
              </w:rPr>
            </w:pPr>
          </w:p>
        </w:tc>
        <w:tc>
          <w:tcPr>
            <w:tcW w:w="668" w:type="pct"/>
            <w:vMerge w:val="continue"/>
            <w:tcBorders>
              <w:left w:val="single" w:color="auto" w:sz="4" w:space="0"/>
              <w:right w:val="single" w:color="auto" w:sz="4" w:space="0"/>
            </w:tcBorders>
            <w:vAlign w:val="center"/>
          </w:tcPr>
          <w:p>
            <w:pPr>
              <w:jc w:val="center"/>
              <w:rPr>
                <w:bCs/>
                <w:color w:val="auto"/>
                <w:szCs w:val="21"/>
              </w:rPr>
            </w:pPr>
          </w:p>
        </w:tc>
        <w:tc>
          <w:tcPr>
            <w:tcW w:w="3404" w:type="pct"/>
            <w:tcBorders>
              <w:top w:val="single" w:color="auto" w:sz="4" w:space="0"/>
              <w:left w:val="single" w:color="auto" w:sz="4" w:space="0"/>
              <w:bottom w:val="single" w:color="auto" w:sz="4" w:space="0"/>
              <w:right w:val="single" w:color="auto" w:sz="4" w:space="0"/>
            </w:tcBorders>
            <w:vAlign w:val="center"/>
          </w:tcPr>
          <w:p>
            <w:pPr>
              <w:ind w:left="-50"/>
              <w:jc w:val="left"/>
              <w:rPr>
                <w:color w:val="auto"/>
                <w:szCs w:val="21"/>
              </w:rPr>
            </w:pPr>
            <w:r>
              <w:rPr>
                <w:rFonts w:hint="eastAsia"/>
                <w:color w:val="auto"/>
                <w:szCs w:val="21"/>
                <w:lang w:val="en-US" w:eastAsia="zh-CN"/>
              </w:rPr>
              <w:t>9.5</w:t>
            </w:r>
            <w:r>
              <w:rPr>
                <w:rFonts w:hint="eastAsia"/>
                <w:color w:val="auto"/>
                <w:szCs w:val="21"/>
              </w:rPr>
              <w:t>人员组织和设备安排情况；</w:t>
            </w:r>
          </w:p>
          <w:p>
            <w:pPr>
              <w:pStyle w:val="2"/>
              <w:rPr>
                <w:color w:val="auto"/>
              </w:rPr>
            </w:pPr>
            <w:r>
              <w:rPr>
                <w:rFonts w:hint="eastAsia" w:ascii="仿宋_GB2312" w:hAnsi="仿宋_GB2312" w:eastAsia="仿宋_GB2312" w:cs="仿宋_GB2312"/>
                <w:color w:val="auto"/>
                <w:kern w:val="0"/>
                <w:szCs w:val="21"/>
                <w:lang w:bidi="ar"/>
              </w:rPr>
              <w:t>①</w:t>
            </w:r>
            <w:r>
              <w:rPr>
                <w:rFonts w:hint="eastAsia" w:ascii="Times New Roman" w:hAnsi="Times New Roman"/>
                <w:bCs/>
                <w:color w:val="auto"/>
                <w:kern w:val="2"/>
                <w:sz w:val="21"/>
                <w:szCs w:val="21"/>
                <w:lang w:val="en-US"/>
              </w:rPr>
              <w:t xml:space="preserve">方案合理、阐述完整得3分；                                 </w:t>
            </w:r>
            <w:r>
              <w:rPr>
                <w:rFonts w:hint="eastAsia" w:ascii="仿宋_GB2312" w:hAnsi="仿宋_GB2312" w:eastAsia="仿宋_GB2312" w:cs="仿宋_GB2312"/>
                <w:color w:val="auto"/>
                <w:kern w:val="0"/>
                <w:szCs w:val="21"/>
                <w:lang w:bidi="ar"/>
              </w:rPr>
              <w:t>②</w:t>
            </w:r>
            <w:r>
              <w:rPr>
                <w:rFonts w:hint="eastAsia" w:ascii="Times New Roman" w:hAnsi="Times New Roman"/>
                <w:bCs/>
                <w:color w:val="auto"/>
                <w:kern w:val="2"/>
                <w:sz w:val="21"/>
                <w:szCs w:val="21"/>
                <w:lang w:val="en-US"/>
              </w:rPr>
              <w:t xml:space="preserve">方案基本可行、基本符合采购需求得2分；                     </w:t>
            </w:r>
            <w:r>
              <w:rPr>
                <w:rFonts w:hint="eastAsia" w:ascii="仿宋_GB2312" w:hAnsi="仿宋_GB2312" w:eastAsia="仿宋_GB2312" w:cs="仿宋_GB2312"/>
                <w:color w:val="auto"/>
                <w:kern w:val="0"/>
                <w:szCs w:val="21"/>
                <w:lang w:val="en-US" w:eastAsia="zh-CN" w:bidi="ar"/>
              </w:rPr>
              <w:t>③</w:t>
            </w:r>
            <w:r>
              <w:rPr>
                <w:rFonts w:hint="eastAsia" w:ascii="Times New Roman" w:hAnsi="Times New Roman"/>
                <w:bCs/>
                <w:color w:val="auto"/>
                <w:kern w:val="2"/>
                <w:sz w:val="21"/>
                <w:szCs w:val="21"/>
                <w:lang w:val="en-US"/>
              </w:rPr>
              <w:t xml:space="preserve">方案内容存在欠缺，项目匹配性不足的得1分；                  </w:t>
            </w:r>
            <w:r>
              <w:rPr>
                <w:rFonts w:hint="eastAsia" w:ascii="仿宋_GB2312" w:hAnsi="仿宋_GB2312" w:eastAsia="仿宋_GB2312" w:cs="仿宋_GB2312"/>
                <w:color w:val="auto"/>
                <w:kern w:val="0"/>
                <w:szCs w:val="21"/>
                <w:lang w:val="en-US" w:eastAsia="zh-CN" w:bidi="ar"/>
              </w:rPr>
              <w:t>④</w:t>
            </w:r>
            <w:r>
              <w:rPr>
                <w:rFonts w:hint="eastAsia" w:ascii="Times New Roman" w:hAnsi="Times New Roman"/>
                <w:bCs/>
                <w:color w:val="auto"/>
                <w:kern w:val="2"/>
                <w:sz w:val="21"/>
                <w:szCs w:val="21"/>
                <w:lang w:val="en-US"/>
              </w:rPr>
              <w:t>未提供不得分。</w:t>
            </w:r>
          </w:p>
        </w:tc>
        <w:tc>
          <w:tcPr>
            <w:tcW w:w="615" w:type="pct"/>
            <w:tcBorders>
              <w:left w:val="single" w:color="auto" w:sz="4" w:space="0"/>
              <w:right w:val="single" w:color="auto" w:sz="4" w:space="0"/>
            </w:tcBorders>
            <w:vAlign w:val="center"/>
          </w:tcPr>
          <w:p>
            <w:pPr>
              <w:ind w:left="-50"/>
              <w:jc w:val="center"/>
              <w:rPr>
                <w:rFonts w:hint="default" w:eastAsia="宋体"/>
                <w:color w:val="auto"/>
                <w:szCs w:val="21"/>
                <w:lang w:val="en-US" w:eastAsia="zh-CN"/>
              </w:rPr>
            </w:pPr>
            <w:r>
              <w:rPr>
                <w:rFonts w:hint="eastAsia"/>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12" w:type="pct"/>
            <w:vMerge w:val="continue"/>
            <w:tcBorders>
              <w:left w:val="single" w:color="auto" w:sz="4" w:space="0"/>
              <w:right w:val="single" w:color="auto" w:sz="4" w:space="0"/>
            </w:tcBorders>
            <w:vAlign w:val="center"/>
          </w:tcPr>
          <w:p>
            <w:pPr>
              <w:snapToGrid w:val="0"/>
              <w:spacing w:line="360" w:lineRule="auto"/>
              <w:jc w:val="center"/>
              <w:rPr>
                <w:color w:val="auto"/>
                <w:szCs w:val="21"/>
              </w:rPr>
            </w:pPr>
          </w:p>
        </w:tc>
        <w:tc>
          <w:tcPr>
            <w:tcW w:w="668" w:type="pct"/>
            <w:vMerge w:val="continue"/>
            <w:tcBorders>
              <w:left w:val="single" w:color="auto" w:sz="4" w:space="0"/>
              <w:right w:val="single" w:color="auto" w:sz="4" w:space="0"/>
            </w:tcBorders>
            <w:vAlign w:val="center"/>
          </w:tcPr>
          <w:p>
            <w:pPr>
              <w:jc w:val="center"/>
              <w:rPr>
                <w:bCs/>
                <w:color w:val="auto"/>
                <w:szCs w:val="21"/>
              </w:rPr>
            </w:pPr>
          </w:p>
        </w:tc>
        <w:tc>
          <w:tcPr>
            <w:tcW w:w="3404" w:type="pct"/>
            <w:tcBorders>
              <w:top w:val="single" w:color="auto" w:sz="4" w:space="0"/>
              <w:left w:val="single" w:color="auto" w:sz="4" w:space="0"/>
              <w:bottom w:val="single" w:color="auto" w:sz="4" w:space="0"/>
              <w:right w:val="single" w:color="auto" w:sz="4" w:space="0"/>
            </w:tcBorders>
            <w:vAlign w:val="center"/>
          </w:tcPr>
          <w:p>
            <w:pPr>
              <w:ind w:left="-50"/>
              <w:jc w:val="left"/>
              <w:rPr>
                <w:color w:val="auto"/>
                <w:szCs w:val="21"/>
              </w:rPr>
            </w:pPr>
            <w:r>
              <w:rPr>
                <w:rFonts w:hint="eastAsia"/>
                <w:color w:val="auto"/>
                <w:szCs w:val="21"/>
                <w:lang w:val="en-US" w:eastAsia="zh-CN"/>
              </w:rPr>
              <w:t>9.6</w:t>
            </w:r>
            <w:r>
              <w:rPr>
                <w:rFonts w:hint="eastAsia"/>
                <w:color w:val="auto"/>
                <w:szCs w:val="21"/>
              </w:rPr>
              <w:t>与街道的配合承诺情况；</w:t>
            </w:r>
          </w:p>
          <w:p>
            <w:pPr>
              <w:ind w:left="-50"/>
              <w:jc w:val="left"/>
              <w:rPr>
                <w:color w:val="auto"/>
              </w:rPr>
            </w:pPr>
            <w:r>
              <w:rPr>
                <w:rFonts w:hint="eastAsia"/>
                <w:color w:val="auto"/>
                <w:szCs w:val="21"/>
              </w:rPr>
              <w:t>包括完成政府下达的指令性任务；</w:t>
            </w:r>
            <w:r>
              <w:rPr>
                <w:color w:val="auto"/>
                <w:szCs w:val="21"/>
              </w:rPr>
              <w:t>参加</w:t>
            </w:r>
            <w:r>
              <w:rPr>
                <w:rFonts w:cs="宋体"/>
                <w:color w:val="auto"/>
                <w:szCs w:val="21"/>
              </w:rPr>
              <w:t>市、区、街道爱卫办组织的其它除四害活动（包括要求承担的公益性服务）；向所服务社区低保户等困难家庭户无偿提供家庭用灭蟑、灭鼠药等除“四害”药品及技术指导，向所服务社区居民家庭无偿提供除“四害”技术指导</w:t>
            </w:r>
            <w:r>
              <w:rPr>
                <w:rFonts w:hint="eastAsia" w:cs="宋体"/>
                <w:color w:val="auto"/>
                <w:szCs w:val="21"/>
              </w:rPr>
              <w:t>等工作的承诺情况。</w:t>
            </w:r>
            <w:r>
              <w:rPr>
                <w:rFonts w:hint="eastAsia" w:cs="宋体"/>
                <w:color w:val="auto"/>
                <w:szCs w:val="21"/>
                <w:lang w:val="en-US" w:eastAsia="zh-CN"/>
              </w:rPr>
              <w:t>提供承诺函，格式自拟。</w:t>
            </w:r>
            <w:r>
              <w:rPr>
                <w:rFonts w:hint="eastAsia" w:cs="宋体"/>
                <w:color w:val="auto"/>
                <w:szCs w:val="21"/>
              </w:rPr>
              <w:t>承诺完全符合要求得2分，部分符合得1分，不符合不得分。</w:t>
            </w:r>
          </w:p>
        </w:tc>
        <w:tc>
          <w:tcPr>
            <w:tcW w:w="615" w:type="pct"/>
            <w:tcBorders>
              <w:left w:val="single" w:color="auto" w:sz="4" w:space="0"/>
              <w:right w:val="single" w:color="auto" w:sz="4" w:space="0"/>
            </w:tcBorders>
            <w:vAlign w:val="center"/>
          </w:tcPr>
          <w:p>
            <w:pPr>
              <w:ind w:left="-50"/>
              <w:jc w:val="center"/>
              <w:rPr>
                <w:rFonts w:hint="eastAsia" w:eastAsia="宋体"/>
                <w:color w:val="auto"/>
                <w:szCs w:val="21"/>
                <w:lang w:eastAsia="zh-CN"/>
              </w:rPr>
            </w:pPr>
            <w:r>
              <w:rPr>
                <w:rFonts w:hint="eastAsia"/>
                <w:bCs/>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312" w:type="pct"/>
            <w:vMerge w:val="continue"/>
            <w:tcBorders>
              <w:left w:val="single" w:color="auto" w:sz="4" w:space="0"/>
              <w:bottom w:val="single" w:color="auto" w:sz="4" w:space="0"/>
              <w:right w:val="single" w:color="auto" w:sz="4" w:space="0"/>
            </w:tcBorders>
            <w:vAlign w:val="center"/>
          </w:tcPr>
          <w:p>
            <w:pPr>
              <w:snapToGrid w:val="0"/>
              <w:spacing w:line="360" w:lineRule="auto"/>
              <w:jc w:val="center"/>
              <w:rPr>
                <w:color w:val="auto"/>
                <w:szCs w:val="21"/>
              </w:rPr>
            </w:pPr>
          </w:p>
        </w:tc>
        <w:tc>
          <w:tcPr>
            <w:tcW w:w="668" w:type="pct"/>
            <w:vMerge w:val="continue"/>
            <w:tcBorders>
              <w:left w:val="single" w:color="auto" w:sz="4" w:space="0"/>
              <w:bottom w:val="single" w:color="auto" w:sz="4" w:space="0"/>
              <w:right w:val="single" w:color="auto" w:sz="4" w:space="0"/>
            </w:tcBorders>
            <w:vAlign w:val="center"/>
          </w:tcPr>
          <w:p>
            <w:pPr>
              <w:jc w:val="center"/>
              <w:rPr>
                <w:bCs/>
                <w:color w:val="auto"/>
                <w:szCs w:val="21"/>
              </w:rPr>
            </w:pPr>
          </w:p>
        </w:tc>
        <w:tc>
          <w:tcPr>
            <w:tcW w:w="3404" w:type="pct"/>
            <w:tcBorders>
              <w:top w:val="single" w:color="auto" w:sz="4" w:space="0"/>
              <w:left w:val="single" w:color="auto" w:sz="4" w:space="0"/>
              <w:bottom w:val="single" w:color="auto" w:sz="4" w:space="0"/>
              <w:right w:val="single" w:color="auto" w:sz="4" w:space="0"/>
            </w:tcBorders>
            <w:vAlign w:val="center"/>
          </w:tcPr>
          <w:p>
            <w:pPr>
              <w:ind w:left="-50"/>
              <w:jc w:val="left"/>
              <w:rPr>
                <w:color w:val="auto"/>
                <w:szCs w:val="21"/>
              </w:rPr>
            </w:pPr>
            <w:r>
              <w:rPr>
                <w:rFonts w:hint="eastAsia"/>
                <w:color w:val="auto"/>
                <w:szCs w:val="21"/>
                <w:lang w:val="en-US" w:eastAsia="zh-CN"/>
              </w:rPr>
              <w:t xml:space="preserve">9.7 </w:t>
            </w:r>
            <w:r>
              <w:rPr>
                <w:rFonts w:hint="eastAsia"/>
                <w:color w:val="auto"/>
                <w:szCs w:val="21"/>
              </w:rPr>
              <w:t>对资料的收集和分析情况；</w:t>
            </w:r>
          </w:p>
          <w:p>
            <w:pPr>
              <w:pStyle w:val="2"/>
              <w:rPr>
                <w:color w:val="auto"/>
              </w:rPr>
            </w:pPr>
            <w:r>
              <w:rPr>
                <w:rFonts w:hint="eastAsia" w:ascii="仿宋_GB2312" w:hAnsi="仿宋_GB2312" w:eastAsia="仿宋_GB2312" w:cs="仿宋_GB2312"/>
                <w:color w:val="auto"/>
                <w:kern w:val="0"/>
                <w:szCs w:val="21"/>
                <w:lang w:bidi="ar"/>
              </w:rPr>
              <w:t>①</w:t>
            </w:r>
            <w:r>
              <w:rPr>
                <w:rFonts w:hint="eastAsia" w:ascii="Times New Roman" w:hAnsi="Times New Roman"/>
                <w:bCs/>
                <w:color w:val="auto"/>
                <w:kern w:val="2"/>
                <w:sz w:val="21"/>
                <w:szCs w:val="21"/>
                <w:lang w:val="en-US"/>
              </w:rPr>
              <w:t xml:space="preserve">方案合理、阐述完整得2分；                                 </w:t>
            </w:r>
            <w:r>
              <w:rPr>
                <w:rFonts w:hint="eastAsia" w:ascii="仿宋_GB2312" w:hAnsi="仿宋_GB2312" w:eastAsia="仿宋_GB2312" w:cs="仿宋_GB2312"/>
                <w:color w:val="auto"/>
                <w:kern w:val="0"/>
                <w:szCs w:val="21"/>
                <w:lang w:bidi="ar"/>
              </w:rPr>
              <w:t>②</w:t>
            </w:r>
            <w:r>
              <w:rPr>
                <w:rFonts w:hint="eastAsia" w:ascii="Times New Roman" w:hAnsi="Times New Roman"/>
                <w:bCs/>
                <w:color w:val="auto"/>
                <w:kern w:val="2"/>
                <w:sz w:val="21"/>
                <w:szCs w:val="21"/>
                <w:lang w:val="en-US"/>
              </w:rPr>
              <w:t xml:space="preserve">方案基本可行、基本符合采购需求得1分；                     </w:t>
            </w:r>
            <w:r>
              <w:rPr>
                <w:rFonts w:hint="eastAsia" w:ascii="仿宋_GB2312" w:hAnsi="仿宋_GB2312" w:eastAsia="仿宋_GB2312" w:cs="仿宋_GB2312"/>
                <w:color w:val="auto"/>
                <w:kern w:val="0"/>
                <w:szCs w:val="21"/>
                <w:lang w:val="en-US" w:eastAsia="zh-CN" w:bidi="ar"/>
              </w:rPr>
              <w:t>③</w:t>
            </w:r>
            <w:r>
              <w:rPr>
                <w:rFonts w:hint="eastAsia" w:ascii="Times New Roman" w:hAnsi="Times New Roman"/>
                <w:bCs/>
                <w:color w:val="auto"/>
                <w:kern w:val="2"/>
                <w:sz w:val="21"/>
                <w:szCs w:val="21"/>
                <w:lang w:val="en-US"/>
              </w:rPr>
              <w:t>方案内容存在欠缺，项目匹配性不足的、未提供不得分。</w:t>
            </w:r>
          </w:p>
        </w:tc>
        <w:tc>
          <w:tcPr>
            <w:tcW w:w="615" w:type="pct"/>
            <w:tcBorders>
              <w:left w:val="single" w:color="auto" w:sz="4" w:space="0"/>
              <w:bottom w:val="single" w:color="auto" w:sz="4" w:space="0"/>
              <w:right w:val="single" w:color="auto" w:sz="4" w:space="0"/>
            </w:tcBorders>
            <w:vAlign w:val="center"/>
          </w:tcPr>
          <w:p>
            <w:pPr>
              <w:ind w:left="-50"/>
              <w:jc w:val="center"/>
              <w:rPr>
                <w:rFonts w:hint="eastAsia" w:eastAsia="宋体"/>
                <w:bCs/>
                <w:color w:val="auto"/>
                <w:szCs w:val="21"/>
                <w:lang w:eastAsia="zh-CN"/>
              </w:rPr>
            </w:pPr>
            <w:r>
              <w:rPr>
                <w:rFonts w:hint="eastAsia"/>
                <w:bCs/>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1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eastAsia="宋体"/>
                <w:color w:val="auto"/>
                <w:szCs w:val="21"/>
                <w:lang w:val="en-US" w:eastAsia="zh-CN"/>
              </w:rPr>
            </w:pPr>
            <w:r>
              <w:rPr>
                <w:rFonts w:hint="eastAsia"/>
                <w:color w:val="auto"/>
                <w:szCs w:val="21"/>
                <w:lang w:val="en-US" w:eastAsia="zh-CN"/>
              </w:rPr>
              <w:t>10</w:t>
            </w:r>
          </w:p>
        </w:tc>
        <w:tc>
          <w:tcPr>
            <w:tcW w:w="4072" w:type="pct"/>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cs="宋体"/>
                <w:color w:val="auto"/>
                <w:szCs w:val="21"/>
              </w:rPr>
            </w:pPr>
            <w:r>
              <w:rPr>
                <w:rFonts w:hint="eastAsia" w:cs="宋体"/>
                <w:color w:val="auto"/>
                <w:szCs w:val="21"/>
              </w:rPr>
              <w:t>人员、安全、质量管理制度的可行性、合理性进行打分。</w:t>
            </w:r>
          </w:p>
          <w:p>
            <w:pPr>
              <w:snapToGrid w:val="0"/>
              <w:jc w:val="left"/>
              <w:rPr>
                <w:rFonts w:cs="宋体"/>
                <w:color w:val="auto"/>
                <w:szCs w:val="21"/>
              </w:rPr>
            </w:pPr>
            <w:r>
              <w:rPr>
                <w:rFonts w:hint="eastAsia" w:ascii="仿宋_GB2312" w:hAnsi="仿宋_GB2312" w:eastAsia="仿宋_GB2312" w:cs="仿宋_GB2312"/>
                <w:color w:val="auto"/>
                <w:kern w:val="0"/>
                <w:szCs w:val="21"/>
                <w:lang w:bidi="ar"/>
              </w:rPr>
              <w:t>①</w:t>
            </w:r>
            <w:r>
              <w:rPr>
                <w:rFonts w:hint="eastAsia" w:cs="宋体"/>
                <w:color w:val="auto"/>
                <w:szCs w:val="21"/>
              </w:rPr>
              <w:t>阐述全面，具有较强的针对性、可行性，方案明确的得3分；</w:t>
            </w:r>
          </w:p>
          <w:p>
            <w:pPr>
              <w:snapToGrid w:val="0"/>
              <w:jc w:val="left"/>
              <w:rPr>
                <w:rFonts w:cs="宋体"/>
                <w:color w:val="auto"/>
                <w:szCs w:val="21"/>
              </w:rPr>
            </w:pPr>
            <w:r>
              <w:rPr>
                <w:rFonts w:hint="eastAsia" w:ascii="仿宋_GB2312" w:hAnsi="仿宋_GB2312" w:eastAsia="仿宋_GB2312" w:cs="仿宋_GB2312"/>
                <w:color w:val="auto"/>
                <w:kern w:val="0"/>
                <w:szCs w:val="21"/>
                <w:lang w:bidi="ar"/>
              </w:rPr>
              <w:t>②</w:t>
            </w:r>
            <w:r>
              <w:rPr>
                <w:rFonts w:hint="eastAsia" w:cs="宋体"/>
                <w:color w:val="auto"/>
                <w:szCs w:val="21"/>
              </w:rPr>
              <w:t xml:space="preserve">阐述较为全面，具有一定的针对性、可行性，方案较为明确的得2分；  </w:t>
            </w:r>
          </w:p>
          <w:p>
            <w:pPr>
              <w:snapToGrid w:val="0"/>
              <w:jc w:val="left"/>
              <w:rPr>
                <w:rFonts w:cs="宋体"/>
                <w:color w:val="auto"/>
                <w:szCs w:val="21"/>
              </w:rPr>
            </w:pPr>
            <w:r>
              <w:rPr>
                <w:rFonts w:hint="eastAsia" w:ascii="仿宋_GB2312" w:hAnsi="仿宋_GB2312" w:eastAsia="仿宋_GB2312" w:cs="仿宋_GB2312"/>
                <w:color w:val="auto"/>
                <w:kern w:val="0"/>
                <w:szCs w:val="21"/>
                <w:lang w:val="en-US" w:eastAsia="zh-CN" w:bidi="ar"/>
              </w:rPr>
              <w:t>③</w:t>
            </w:r>
            <w:r>
              <w:rPr>
                <w:rFonts w:hint="eastAsia" w:cs="宋体"/>
                <w:color w:val="auto"/>
                <w:szCs w:val="21"/>
              </w:rPr>
              <w:t>阐述不够全面，针对性、可行性一般，方案不够明确的得1分；</w:t>
            </w:r>
          </w:p>
          <w:p>
            <w:pPr>
              <w:snapToGrid w:val="0"/>
              <w:jc w:val="left"/>
              <w:rPr>
                <w:color w:val="auto"/>
              </w:rPr>
            </w:pPr>
            <w:r>
              <w:rPr>
                <w:rFonts w:hint="eastAsia" w:ascii="仿宋_GB2312" w:hAnsi="仿宋_GB2312" w:eastAsia="仿宋_GB2312" w:cs="仿宋_GB2312"/>
                <w:color w:val="auto"/>
                <w:kern w:val="0"/>
                <w:szCs w:val="21"/>
                <w:lang w:val="en-US" w:eastAsia="zh-CN" w:bidi="ar"/>
              </w:rPr>
              <w:t>④</w:t>
            </w:r>
            <w:r>
              <w:rPr>
                <w:rFonts w:hint="eastAsia" w:cs="宋体"/>
                <w:color w:val="auto"/>
                <w:szCs w:val="21"/>
              </w:rPr>
              <w:t>未提供不得分。</w:t>
            </w:r>
          </w:p>
        </w:tc>
        <w:tc>
          <w:tcPr>
            <w:tcW w:w="61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宋体"/>
                <w:color w:val="auto"/>
                <w:szCs w:val="21"/>
                <w:lang w:eastAsia="zh-CN"/>
              </w:rPr>
            </w:pPr>
            <w:r>
              <w:rPr>
                <w:rFonts w:hint="eastAsia"/>
                <w:bCs/>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1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eastAsia="宋体"/>
                <w:color w:val="auto"/>
                <w:szCs w:val="21"/>
                <w:lang w:val="en-US" w:eastAsia="zh-CN"/>
              </w:rPr>
            </w:pPr>
            <w:r>
              <w:rPr>
                <w:rFonts w:hint="eastAsia"/>
                <w:color w:val="auto"/>
                <w:szCs w:val="21"/>
                <w:lang w:val="en-US" w:eastAsia="zh-CN"/>
              </w:rPr>
              <w:t>11</w:t>
            </w:r>
          </w:p>
        </w:tc>
        <w:tc>
          <w:tcPr>
            <w:tcW w:w="4072" w:type="pct"/>
            <w:gridSpan w:val="2"/>
            <w:tcBorders>
              <w:top w:val="single" w:color="auto" w:sz="4" w:space="0"/>
              <w:left w:val="single" w:color="auto" w:sz="4" w:space="0"/>
              <w:bottom w:val="single" w:color="auto" w:sz="4" w:space="0"/>
              <w:right w:val="single" w:color="auto" w:sz="4" w:space="0"/>
            </w:tcBorders>
            <w:vAlign w:val="center"/>
          </w:tcPr>
          <w:p>
            <w:pPr>
              <w:snapToGrid w:val="0"/>
              <w:jc w:val="left"/>
              <w:rPr>
                <w:color w:val="auto"/>
              </w:rPr>
            </w:pPr>
            <w:r>
              <w:rPr>
                <w:rFonts w:hint="eastAsia" w:cs="宋体"/>
                <w:color w:val="auto"/>
                <w:szCs w:val="21"/>
              </w:rPr>
              <w:t>突发事件应急措施、其它活动配合措施的可行性、针对性</w:t>
            </w:r>
            <w:r>
              <w:rPr>
                <w:rFonts w:hint="eastAsia"/>
                <w:color w:val="auto"/>
                <w:szCs w:val="21"/>
              </w:rPr>
              <w:t>进行打分</w:t>
            </w:r>
            <w:r>
              <w:rPr>
                <w:rFonts w:hint="eastAsia" w:cs="宋体"/>
                <w:color w:val="auto"/>
                <w:szCs w:val="21"/>
              </w:rPr>
              <w:t>。</w:t>
            </w:r>
          </w:p>
          <w:p>
            <w:pPr>
              <w:snapToGrid w:val="0"/>
              <w:jc w:val="left"/>
              <w:rPr>
                <w:rFonts w:cs="宋体"/>
                <w:color w:val="auto"/>
                <w:szCs w:val="21"/>
              </w:rPr>
            </w:pPr>
            <w:r>
              <w:rPr>
                <w:rFonts w:hint="eastAsia" w:ascii="仿宋_GB2312" w:hAnsi="仿宋_GB2312" w:eastAsia="仿宋_GB2312" w:cs="仿宋_GB2312"/>
                <w:color w:val="auto"/>
                <w:kern w:val="0"/>
                <w:szCs w:val="21"/>
                <w:lang w:bidi="ar"/>
              </w:rPr>
              <w:t>①</w:t>
            </w:r>
            <w:r>
              <w:rPr>
                <w:rFonts w:hint="eastAsia" w:cs="宋体"/>
                <w:color w:val="auto"/>
                <w:szCs w:val="21"/>
              </w:rPr>
              <w:t>阐述全面，具有较强的针对性、可行性，方案明确的得3分；</w:t>
            </w:r>
          </w:p>
          <w:p>
            <w:pPr>
              <w:snapToGrid w:val="0"/>
              <w:jc w:val="left"/>
              <w:rPr>
                <w:rFonts w:cs="宋体"/>
                <w:color w:val="auto"/>
                <w:szCs w:val="21"/>
              </w:rPr>
            </w:pPr>
            <w:r>
              <w:rPr>
                <w:rFonts w:hint="eastAsia" w:ascii="仿宋_GB2312" w:hAnsi="仿宋_GB2312" w:eastAsia="仿宋_GB2312" w:cs="仿宋_GB2312"/>
                <w:color w:val="auto"/>
                <w:kern w:val="0"/>
                <w:szCs w:val="21"/>
                <w:lang w:bidi="ar"/>
              </w:rPr>
              <w:t>②</w:t>
            </w:r>
            <w:r>
              <w:rPr>
                <w:rFonts w:hint="eastAsia" w:cs="宋体"/>
                <w:color w:val="auto"/>
                <w:szCs w:val="21"/>
              </w:rPr>
              <w:t xml:space="preserve">阐述较为全面，具有一定的针对性、可行性，方案较为明确的得2分；  </w:t>
            </w:r>
          </w:p>
          <w:p>
            <w:pPr>
              <w:snapToGrid w:val="0"/>
              <w:jc w:val="left"/>
              <w:rPr>
                <w:rFonts w:cs="宋体"/>
                <w:color w:val="auto"/>
                <w:szCs w:val="21"/>
              </w:rPr>
            </w:pPr>
            <w:r>
              <w:rPr>
                <w:rFonts w:hint="eastAsia" w:ascii="仿宋_GB2312" w:hAnsi="仿宋_GB2312" w:eastAsia="仿宋_GB2312" w:cs="仿宋_GB2312"/>
                <w:color w:val="auto"/>
                <w:kern w:val="0"/>
                <w:szCs w:val="21"/>
                <w:lang w:val="en-US" w:eastAsia="zh-CN" w:bidi="ar"/>
              </w:rPr>
              <w:t>③</w:t>
            </w:r>
            <w:r>
              <w:rPr>
                <w:rFonts w:hint="eastAsia" w:cs="宋体"/>
                <w:color w:val="auto"/>
                <w:szCs w:val="21"/>
              </w:rPr>
              <w:t>阐述不够全面，针对性、可行性一般，方案不够明确的得1分；</w:t>
            </w:r>
          </w:p>
          <w:p>
            <w:pPr>
              <w:snapToGrid w:val="0"/>
              <w:jc w:val="left"/>
              <w:rPr>
                <w:color w:val="auto"/>
              </w:rPr>
            </w:pPr>
            <w:r>
              <w:rPr>
                <w:rFonts w:hint="eastAsia" w:ascii="仿宋_GB2312" w:hAnsi="仿宋_GB2312" w:eastAsia="仿宋_GB2312" w:cs="仿宋_GB2312"/>
                <w:color w:val="auto"/>
                <w:kern w:val="0"/>
                <w:szCs w:val="21"/>
                <w:lang w:val="en-US" w:eastAsia="zh-CN" w:bidi="ar"/>
              </w:rPr>
              <w:t>④</w:t>
            </w:r>
            <w:r>
              <w:rPr>
                <w:rFonts w:hint="eastAsia" w:cs="宋体"/>
                <w:color w:val="auto"/>
                <w:szCs w:val="21"/>
              </w:rPr>
              <w:t>未提供不得分。</w:t>
            </w:r>
          </w:p>
        </w:tc>
        <w:tc>
          <w:tcPr>
            <w:tcW w:w="61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eastAsia="宋体"/>
                <w:color w:val="auto"/>
                <w:szCs w:val="21"/>
                <w:lang w:eastAsia="zh-CN"/>
              </w:rPr>
            </w:pPr>
            <w:r>
              <w:rPr>
                <w:rFonts w:hint="eastAsia"/>
                <w:bCs/>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1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eastAsia="宋体"/>
                <w:color w:val="auto"/>
                <w:szCs w:val="21"/>
                <w:lang w:val="en-US" w:eastAsia="zh-CN"/>
              </w:rPr>
            </w:pPr>
            <w:r>
              <w:rPr>
                <w:rFonts w:hint="eastAsia"/>
                <w:color w:val="auto"/>
                <w:szCs w:val="21"/>
                <w:lang w:val="en-US" w:eastAsia="zh-CN"/>
              </w:rPr>
              <w:t>12</w:t>
            </w:r>
          </w:p>
        </w:tc>
        <w:tc>
          <w:tcPr>
            <w:tcW w:w="4072" w:type="pct"/>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cs="宋体"/>
                <w:color w:val="auto"/>
                <w:szCs w:val="21"/>
              </w:rPr>
            </w:pPr>
            <w:r>
              <w:rPr>
                <w:rFonts w:hint="eastAsia" w:cs="宋体"/>
                <w:color w:val="auto"/>
                <w:szCs w:val="21"/>
              </w:rPr>
              <w:t>对服务组团的难点、要点和关键部分的阐述及实施意见的针对性、合理性进行打分。</w:t>
            </w:r>
          </w:p>
          <w:p>
            <w:pPr>
              <w:snapToGrid w:val="0"/>
              <w:jc w:val="left"/>
              <w:rPr>
                <w:rFonts w:cs="宋体"/>
                <w:color w:val="auto"/>
                <w:szCs w:val="21"/>
              </w:rPr>
            </w:pPr>
            <w:r>
              <w:rPr>
                <w:rFonts w:hint="eastAsia" w:ascii="仿宋_GB2312" w:hAnsi="仿宋_GB2312" w:eastAsia="仿宋_GB2312" w:cs="仿宋_GB2312"/>
                <w:color w:val="auto"/>
                <w:kern w:val="0"/>
                <w:szCs w:val="21"/>
                <w:lang w:bidi="ar"/>
              </w:rPr>
              <w:t>①</w:t>
            </w:r>
            <w:r>
              <w:rPr>
                <w:rFonts w:hint="eastAsia" w:cs="宋体"/>
                <w:color w:val="auto"/>
                <w:szCs w:val="21"/>
              </w:rPr>
              <w:t>阐述全面，具有较强的针对性、可行性，方案明确的得3分；</w:t>
            </w:r>
          </w:p>
          <w:p>
            <w:pPr>
              <w:snapToGrid w:val="0"/>
              <w:jc w:val="left"/>
              <w:rPr>
                <w:rFonts w:cs="宋体"/>
                <w:color w:val="auto"/>
                <w:szCs w:val="21"/>
              </w:rPr>
            </w:pPr>
            <w:r>
              <w:rPr>
                <w:rFonts w:hint="eastAsia" w:ascii="仿宋_GB2312" w:hAnsi="仿宋_GB2312" w:eastAsia="仿宋_GB2312" w:cs="仿宋_GB2312"/>
                <w:color w:val="auto"/>
                <w:kern w:val="0"/>
                <w:szCs w:val="21"/>
                <w:lang w:bidi="ar"/>
              </w:rPr>
              <w:t>②</w:t>
            </w:r>
            <w:r>
              <w:rPr>
                <w:rFonts w:hint="eastAsia" w:cs="宋体"/>
                <w:color w:val="auto"/>
                <w:szCs w:val="21"/>
              </w:rPr>
              <w:t xml:space="preserve">阐述较为全面，具有一定的针对性、可行性，方案较为明确的得2分；  </w:t>
            </w:r>
          </w:p>
          <w:p>
            <w:pPr>
              <w:snapToGrid w:val="0"/>
              <w:jc w:val="left"/>
              <w:rPr>
                <w:rFonts w:cs="宋体"/>
                <w:color w:val="auto"/>
                <w:szCs w:val="21"/>
              </w:rPr>
            </w:pPr>
            <w:r>
              <w:rPr>
                <w:rFonts w:hint="eastAsia" w:ascii="仿宋_GB2312" w:hAnsi="仿宋_GB2312" w:eastAsia="仿宋_GB2312" w:cs="仿宋_GB2312"/>
                <w:color w:val="auto"/>
                <w:kern w:val="0"/>
                <w:szCs w:val="21"/>
                <w:lang w:val="en-US" w:eastAsia="zh-CN" w:bidi="ar"/>
              </w:rPr>
              <w:t>③</w:t>
            </w:r>
            <w:r>
              <w:rPr>
                <w:rFonts w:hint="eastAsia" w:cs="宋体"/>
                <w:color w:val="auto"/>
                <w:szCs w:val="21"/>
              </w:rPr>
              <w:t>阐述不够全面，针对性、可行性一般，方案不够明确的得1分；</w:t>
            </w:r>
          </w:p>
          <w:p>
            <w:pPr>
              <w:snapToGrid w:val="0"/>
              <w:jc w:val="left"/>
              <w:rPr>
                <w:rFonts w:cs="宋体"/>
                <w:color w:val="auto"/>
                <w:szCs w:val="21"/>
              </w:rPr>
            </w:pPr>
            <w:r>
              <w:rPr>
                <w:rFonts w:hint="eastAsia" w:ascii="仿宋_GB2312" w:hAnsi="仿宋_GB2312" w:eastAsia="仿宋_GB2312" w:cs="仿宋_GB2312"/>
                <w:color w:val="auto"/>
                <w:kern w:val="0"/>
                <w:szCs w:val="21"/>
                <w:lang w:val="en-US" w:eastAsia="zh-CN" w:bidi="ar"/>
              </w:rPr>
              <w:t>④</w:t>
            </w:r>
            <w:r>
              <w:rPr>
                <w:rFonts w:hint="eastAsia" w:cs="宋体"/>
                <w:color w:val="auto"/>
                <w:szCs w:val="21"/>
              </w:rPr>
              <w:t>未提供不得分。</w:t>
            </w:r>
          </w:p>
        </w:tc>
        <w:tc>
          <w:tcPr>
            <w:tcW w:w="61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eastAsia="宋体"/>
                <w:color w:val="auto"/>
                <w:szCs w:val="21"/>
                <w:lang w:eastAsia="zh-CN"/>
              </w:rPr>
            </w:pPr>
            <w:r>
              <w:rPr>
                <w:rFonts w:hint="eastAsia"/>
                <w:bCs/>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12" w:type="pct"/>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Times New Roman" w:hAnsi="Times New Roman" w:eastAsia="宋体" w:cs="宋体"/>
                <w:color w:val="auto"/>
                <w:szCs w:val="21"/>
                <w:lang w:val="en-US" w:eastAsia="zh-CN"/>
              </w:rPr>
            </w:pPr>
            <w:r>
              <w:rPr>
                <w:rFonts w:hint="eastAsia" w:ascii="Times New Roman" w:hAnsi="Times New Roman" w:eastAsia="宋体" w:cs="宋体"/>
                <w:color w:val="auto"/>
                <w:szCs w:val="21"/>
                <w:lang w:val="en-US" w:eastAsia="zh-CN"/>
              </w:rPr>
              <w:t>13</w:t>
            </w:r>
          </w:p>
        </w:tc>
        <w:tc>
          <w:tcPr>
            <w:tcW w:w="4072" w:type="pct"/>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Times New Roman" w:hAnsi="Times New Roman" w:eastAsia="宋体" w:cs="宋体"/>
                <w:color w:val="auto"/>
                <w:szCs w:val="21"/>
                <w:lang w:eastAsia="zh-CN"/>
              </w:rPr>
            </w:pPr>
            <w:r>
              <w:rPr>
                <w:rFonts w:hint="eastAsia" w:ascii="Times New Roman" w:hAnsi="Times New Roman" w:eastAsia="宋体" w:cs="宋体"/>
                <w:color w:val="auto"/>
                <w:szCs w:val="21"/>
              </w:rPr>
              <w:t>拟投入项目负责人，根据项目负责人经验、履历、职称、组织协调能力等情况评分</w:t>
            </w:r>
            <w:r>
              <w:rPr>
                <w:rFonts w:hint="eastAsia" w:ascii="Times New Roman" w:hAnsi="Times New Roman" w:eastAsia="宋体" w:cs="宋体"/>
                <w:color w:val="auto"/>
                <w:szCs w:val="21"/>
                <w:lang w:eastAsia="zh-CN"/>
              </w:rPr>
              <w:t>。</w:t>
            </w:r>
          </w:p>
          <w:p>
            <w:pPr>
              <w:snapToGrid w:val="0"/>
              <w:jc w:val="left"/>
              <w:rPr>
                <w:rFonts w:hint="eastAsia" w:ascii="Times New Roman" w:hAnsi="Times New Roman" w:eastAsia="宋体" w:cs="宋体"/>
                <w:color w:val="auto"/>
                <w:szCs w:val="21"/>
              </w:rPr>
            </w:pPr>
            <w:r>
              <w:rPr>
                <w:rFonts w:hint="eastAsia" w:ascii="Times New Roman" w:hAnsi="Times New Roman" w:eastAsia="宋体" w:cs="宋体"/>
                <w:color w:val="auto"/>
                <w:szCs w:val="21"/>
              </w:rPr>
              <w:t>①</w:t>
            </w:r>
            <w:r>
              <w:rPr>
                <w:rFonts w:hint="eastAsia" w:ascii="Times New Roman" w:hAnsi="Times New Roman" w:eastAsia="宋体" w:cs="宋体"/>
                <w:color w:val="auto"/>
                <w:szCs w:val="21"/>
                <w:lang w:val="en-US" w:eastAsia="zh-CN"/>
              </w:rPr>
              <w:t>项目负责人经验丰富、</w:t>
            </w:r>
            <w:r>
              <w:rPr>
                <w:rFonts w:hint="eastAsia" w:ascii="Times New Roman" w:hAnsi="Times New Roman" w:eastAsia="宋体" w:cs="宋体"/>
                <w:color w:val="auto"/>
                <w:szCs w:val="21"/>
              </w:rPr>
              <w:t>能满足项目需求的得</w:t>
            </w:r>
            <w:r>
              <w:rPr>
                <w:rFonts w:hint="eastAsia" w:ascii="Times New Roman" w:hAnsi="Times New Roman" w:eastAsia="宋体" w:cs="宋体"/>
                <w:color w:val="auto"/>
                <w:szCs w:val="21"/>
                <w:lang w:val="en-US" w:eastAsia="zh-CN"/>
              </w:rPr>
              <w:t>5</w:t>
            </w:r>
            <w:r>
              <w:rPr>
                <w:rFonts w:hint="eastAsia" w:ascii="Times New Roman" w:hAnsi="Times New Roman" w:eastAsia="宋体" w:cs="宋体"/>
                <w:color w:val="auto"/>
                <w:szCs w:val="21"/>
              </w:rPr>
              <w:t>分；</w:t>
            </w:r>
          </w:p>
          <w:p>
            <w:pPr>
              <w:snapToGrid w:val="0"/>
              <w:jc w:val="left"/>
              <w:rPr>
                <w:rFonts w:hint="eastAsia" w:ascii="Times New Roman" w:hAnsi="Times New Roman" w:eastAsia="宋体" w:cs="宋体"/>
                <w:color w:val="auto"/>
                <w:szCs w:val="21"/>
              </w:rPr>
            </w:pPr>
            <w:r>
              <w:rPr>
                <w:rFonts w:hint="eastAsia" w:ascii="Times New Roman" w:hAnsi="Times New Roman" w:eastAsia="宋体" w:cs="宋体"/>
                <w:color w:val="auto"/>
                <w:szCs w:val="21"/>
              </w:rPr>
              <w:t>②</w:t>
            </w:r>
            <w:r>
              <w:rPr>
                <w:rFonts w:hint="eastAsia" w:ascii="Times New Roman" w:hAnsi="Times New Roman" w:eastAsia="宋体" w:cs="宋体"/>
                <w:color w:val="auto"/>
                <w:szCs w:val="21"/>
                <w:lang w:val="en-US" w:eastAsia="zh-CN"/>
              </w:rPr>
              <w:t>项目负责人</w:t>
            </w:r>
            <w:r>
              <w:rPr>
                <w:rFonts w:hint="eastAsia" w:ascii="Times New Roman" w:hAnsi="Times New Roman" w:eastAsia="宋体" w:cs="宋体"/>
                <w:color w:val="auto"/>
                <w:szCs w:val="21"/>
              </w:rPr>
              <w:t>缺乏经验或配备不清晰无法确保能满足项目需求的得</w:t>
            </w:r>
            <w:r>
              <w:rPr>
                <w:rFonts w:hint="eastAsia" w:ascii="Times New Roman" w:hAnsi="Times New Roman" w:eastAsia="宋体" w:cs="宋体"/>
                <w:color w:val="auto"/>
                <w:szCs w:val="21"/>
                <w:lang w:val="en-US" w:eastAsia="zh-CN"/>
              </w:rPr>
              <w:t>3</w:t>
            </w:r>
            <w:r>
              <w:rPr>
                <w:rFonts w:hint="eastAsia" w:ascii="Times New Roman" w:hAnsi="Times New Roman" w:eastAsia="宋体" w:cs="宋体"/>
                <w:color w:val="auto"/>
                <w:szCs w:val="21"/>
              </w:rPr>
              <w:t>分；</w:t>
            </w:r>
          </w:p>
          <w:p>
            <w:pPr>
              <w:snapToGrid w:val="0"/>
              <w:jc w:val="left"/>
              <w:rPr>
                <w:rFonts w:hint="eastAsia" w:ascii="Times New Roman" w:hAnsi="Times New Roman" w:eastAsia="宋体" w:cs="宋体"/>
                <w:color w:val="auto"/>
                <w:szCs w:val="21"/>
              </w:rPr>
            </w:pPr>
            <w:r>
              <w:rPr>
                <w:rFonts w:hint="eastAsia" w:ascii="Times New Roman" w:hAnsi="Times New Roman" w:eastAsia="宋体" w:cs="宋体"/>
                <w:color w:val="auto"/>
                <w:szCs w:val="21"/>
              </w:rPr>
              <w:t>③</w:t>
            </w:r>
            <w:r>
              <w:rPr>
                <w:rFonts w:hint="eastAsia" w:ascii="Times New Roman" w:hAnsi="Times New Roman" w:eastAsia="宋体" w:cs="宋体"/>
                <w:color w:val="auto"/>
                <w:szCs w:val="21"/>
                <w:lang w:val="en-US" w:eastAsia="zh-CN"/>
              </w:rPr>
              <w:t>项目负责人没有相关经验或</w:t>
            </w:r>
            <w:r>
              <w:rPr>
                <w:rFonts w:hint="eastAsia" w:ascii="Times New Roman" w:hAnsi="Times New Roman" w:eastAsia="宋体" w:cs="宋体"/>
                <w:color w:val="auto"/>
                <w:szCs w:val="21"/>
              </w:rPr>
              <w:t>无人员方案内容不得分</w:t>
            </w:r>
            <w:r>
              <w:rPr>
                <w:rFonts w:hint="eastAsia" w:ascii="Times New Roman" w:hAnsi="Times New Roman" w:eastAsia="宋体" w:cs="宋体"/>
                <w:color w:val="auto"/>
                <w:szCs w:val="21"/>
                <w:lang w:eastAsia="zh-CN"/>
              </w:rPr>
              <w:t>。</w:t>
            </w:r>
          </w:p>
        </w:tc>
        <w:tc>
          <w:tcPr>
            <w:tcW w:w="61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宋体" w:cs="宋体"/>
                <w:color w:val="auto"/>
                <w:szCs w:val="21"/>
                <w:lang w:val="en-US" w:eastAsia="zh-CN"/>
              </w:rPr>
            </w:pPr>
            <w:r>
              <w:rPr>
                <w:rFonts w:hint="eastAsia" w:ascii="Times New Roman" w:hAnsi="Times New Roman" w:eastAsia="宋体" w:cs="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12" w:type="pct"/>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Times New Roman" w:hAnsi="Times New Roman" w:eastAsia="宋体" w:cs="宋体"/>
                <w:color w:val="auto"/>
                <w:szCs w:val="21"/>
                <w:lang w:val="en-US" w:eastAsia="zh-CN"/>
              </w:rPr>
            </w:pPr>
            <w:r>
              <w:rPr>
                <w:rFonts w:hint="eastAsia" w:ascii="Times New Roman" w:hAnsi="Times New Roman" w:eastAsia="宋体" w:cs="宋体"/>
                <w:color w:val="auto"/>
                <w:szCs w:val="21"/>
                <w:lang w:val="en-US" w:eastAsia="zh-CN"/>
              </w:rPr>
              <w:t>14</w:t>
            </w:r>
          </w:p>
        </w:tc>
        <w:tc>
          <w:tcPr>
            <w:tcW w:w="4072" w:type="pct"/>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Times New Roman" w:hAnsi="Times New Roman" w:eastAsia="宋体" w:cs="宋体"/>
                <w:color w:val="auto"/>
                <w:szCs w:val="21"/>
              </w:rPr>
            </w:pPr>
            <w:r>
              <w:rPr>
                <w:rFonts w:hint="eastAsia" w:ascii="Times New Roman" w:hAnsi="Times New Roman" w:eastAsia="宋体" w:cs="宋体"/>
                <w:color w:val="auto"/>
                <w:szCs w:val="21"/>
              </w:rPr>
              <w:t>拟派本项目</w:t>
            </w:r>
            <w:r>
              <w:rPr>
                <w:rFonts w:hint="eastAsia" w:ascii="Times New Roman" w:hAnsi="Times New Roman" w:eastAsia="宋体" w:cs="宋体"/>
                <w:color w:val="auto"/>
                <w:szCs w:val="21"/>
                <w:lang w:val="en-US" w:eastAsia="zh-CN"/>
              </w:rPr>
              <w:t>从业</w:t>
            </w:r>
            <w:r>
              <w:rPr>
                <w:rFonts w:hint="eastAsia" w:ascii="Times New Roman" w:hAnsi="Times New Roman" w:eastAsia="宋体" w:cs="宋体"/>
                <w:color w:val="auto"/>
                <w:szCs w:val="21"/>
              </w:rPr>
              <w:t>人员，</w:t>
            </w:r>
            <w:r>
              <w:rPr>
                <w:rFonts w:hint="eastAsia" w:ascii="Times New Roman" w:hAnsi="Times New Roman" w:eastAsia="宋体" w:cs="宋体"/>
                <w:color w:val="auto"/>
                <w:szCs w:val="21"/>
                <w:lang w:val="en-US" w:eastAsia="zh-CN"/>
              </w:rPr>
              <w:t>从业</w:t>
            </w:r>
            <w:r>
              <w:rPr>
                <w:rFonts w:hint="eastAsia" w:ascii="Times New Roman" w:hAnsi="Times New Roman" w:eastAsia="宋体" w:cs="宋体"/>
                <w:color w:val="auto"/>
                <w:szCs w:val="21"/>
              </w:rPr>
              <w:t>人员配备、职责分</w:t>
            </w:r>
            <w:r>
              <w:rPr>
                <w:rFonts w:hint="eastAsia" w:ascii="Times New Roman" w:hAnsi="Times New Roman" w:eastAsia="宋体" w:cs="宋体"/>
                <w:color w:val="auto"/>
                <w:szCs w:val="21"/>
                <w:lang w:val="en-US" w:eastAsia="zh-CN"/>
              </w:rPr>
              <w:t>工情况</w:t>
            </w:r>
            <w:r>
              <w:rPr>
                <w:rFonts w:hint="eastAsia" w:ascii="Times New Roman" w:hAnsi="Times New Roman" w:eastAsia="宋体" w:cs="宋体"/>
                <w:color w:val="auto"/>
                <w:szCs w:val="21"/>
              </w:rPr>
              <w:t>、综合实力等。</w:t>
            </w:r>
          </w:p>
          <w:p>
            <w:pPr>
              <w:snapToGrid w:val="0"/>
              <w:jc w:val="left"/>
              <w:rPr>
                <w:rFonts w:hint="eastAsia" w:ascii="Times New Roman" w:hAnsi="Times New Roman" w:eastAsia="宋体" w:cs="宋体"/>
                <w:color w:val="auto"/>
                <w:szCs w:val="21"/>
              </w:rPr>
            </w:pPr>
            <w:r>
              <w:rPr>
                <w:rFonts w:hint="eastAsia" w:ascii="Times New Roman" w:hAnsi="Times New Roman" w:eastAsia="宋体" w:cs="宋体"/>
                <w:color w:val="auto"/>
                <w:szCs w:val="21"/>
              </w:rPr>
              <w:t>①</w:t>
            </w:r>
            <w:r>
              <w:rPr>
                <w:rFonts w:hint="eastAsia" w:ascii="Times New Roman" w:hAnsi="Times New Roman" w:eastAsia="宋体" w:cs="宋体"/>
                <w:color w:val="auto"/>
                <w:szCs w:val="21"/>
                <w:lang w:val="en-US" w:eastAsia="zh-CN"/>
              </w:rPr>
              <w:t>从业</w:t>
            </w:r>
            <w:r>
              <w:rPr>
                <w:rFonts w:hint="eastAsia" w:ascii="Times New Roman" w:hAnsi="Times New Roman" w:eastAsia="宋体" w:cs="宋体"/>
                <w:color w:val="auto"/>
                <w:szCs w:val="21"/>
              </w:rPr>
              <w:t>人员具有经验、人员齐备完全能满足项目需求的得</w:t>
            </w:r>
            <w:r>
              <w:rPr>
                <w:rFonts w:hint="eastAsia" w:ascii="Times New Roman" w:hAnsi="Times New Roman" w:eastAsia="宋体" w:cs="宋体"/>
                <w:color w:val="auto"/>
                <w:szCs w:val="21"/>
                <w:lang w:val="en-US" w:eastAsia="zh-CN"/>
              </w:rPr>
              <w:t>5</w:t>
            </w:r>
            <w:r>
              <w:rPr>
                <w:rFonts w:hint="eastAsia" w:ascii="Times New Roman" w:hAnsi="Times New Roman" w:eastAsia="宋体" w:cs="宋体"/>
                <w:color w:val="auto"/>
                <w:szCs w:val="21"/>
              </w:rPr>
              <w:t>分；</w:t>
            </w:r>
          </w:p>
          <w:p>
            <w:pPr>
              <w:snapToGrid w:val="0"/>
              <w:jc w:val="left"/>
              <w:rPr>
                <w:rFonts w:hint="eastAsia" w:ascii="Times New Roman" w:hAnsi="Times New Roman" w:eastAsia="宋体" w:cs="宋体"/>
                <w:color w:val="auto"/>
                <w:szCs w:val="21"/>
              </w:rPr>
            </w:pPr>
            <w:r>
              <w:rPr>
                <w:rFonts w:hint="eastAsia" w:ascii="Times New Roman" w:hAnsi="Times New Roman" w:eastAsia="宋体" w:cs="宋体"/>
                <w:color w:val="auto"/>
                <w:szCs w:val="21"/>
              </w:rPr>
              <w:t>②</w:t>
            </w:r>
            <w:r>
              <w:rPr>
                <w:rFonts w:hint="eastAsia" w:ascii="Times New Roman" w:hAnsi="Times New Roman" w:eastAsia="宋体" w:cs="宋体"/>
                <w:color w:val="auto"/>
                <w:szCs w:val="21"/>
                <w:lang w:val="en-US" w:eastAsia="zh-CN"/>
              </w:rPr>
              <w:t>从业</w:t>
            </w:r>
            <w:r>
              <w:rPr>
                <w:rFonts w:hint="eastAsia" w:ascii="Times New Roman" w:hAnsi="Times New Roman" w:eastAsia="宋体" w:cs="宋体"/>
                <w:color w:val="auto"/>
                <w:szCs w:val="21"/>
              </w:rPr>
              <w:t>人员缺乏经验或人员配备不清晰无法确保能满足项目需求的得</w:t>
            </w:r>
            <w:r>
              <w:rPr>
                <w:rFonts w:hint="eastAsia" w:ascii="Times New Roman" w:hAnsi="Times New Roman" w:eastAsia="宋体" w:cs="宋体"/>
                <w:color w:val="auto"/>
                <w:szCs w:val="21"/>
                <w:lang w:val="en-US" w:eastAsia="zh-CN"/>
              </w:rPr>
              <w:t>3</w:t>
            </w:r>
            <w:r>
              <w:rPr>
                <w:rFonts w:hint="eastAsia" w:ascii="Times New Roman" w:hAnsi="Times New Roman" w:eastAsia="宋体" w:cs="宋体"/>
                <w:color w:val="auto"/>
                <w:szCs w:val="21"/>
              </w:rPr>
              <w:t>分；</w:t>
            </w:r>
          </w:p>
          <w:p>
            <w:pPr>
              <w:snapToGrid w:val="0"/>
              <w:jc w:val="left"/>
              <w:rPr>
                <w:rFonts w:hint="eastAsia" w:ascii="Times New Roman" w:hAnsi="Times New Roman" w:eastAsia="宋体" w:cs="宋体"/>
                <w:color w:val="auto"/>
                <w:szCs w:val="21"/>
              </w:rPr>
            </w:pPr>
            <w:r>
              <w:rPr>
                <w:rFonts w:hint="eastAsia" w:ascii="Times New Roman" w:hAnsi="Times New Roman" w:eastAsia="宋体" w:cs="宋体"/>
                <w:color w:val="auto"/>
                <w:szCs w:val="21"/>
              </w:rPr>
              <w:t>③人员方案与项目内容无关或无人员方案内容不得分。</w:t>
            </w:r>
          </w:p>
        </w:tc>
        <w:tc>
          <w:tcPr>
            <w:tcW w:w="61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宋体" w:cs="宋体"/>
                <w:color w:val="auto"/>
                <w:szCs w:val="21"/>
                <w:lang w:val="en-US" w:eastAsia="zh-CN"/>
              </w:rPr>
            </w:pPr>
            <w:r>
              <w:rPr>
                <w:rFonts w:hint="eastAsia" w:ascii="Times New Roman" w:hAnsi="Times New Roman" w:eastAsia="宋体" w:cs="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12" w:type="pct"/>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Times New Roman" w:hAnsi="Times New Roman" w:eastAsia="宋体" w:cs="宋体"/>
                <w:color w:val="auto"/>
                <w:szCs w:val="21"/>
                <w:lang w:val="en-US" w:eastAsia="zh-CN"/>
              </w:rPr>
            </w:pPr>
            <w:r>
              <w:rPr>
                <w:rFonts w:hint="eastAsia" w:ascii="Times New Roman" w:hAnsi="Times New Roman" w:eastAsia="宋体" w:cs="宋体"/>
                <w:color w:val="auto"/>
                <w:szCs w:val="21"/>
                <w:lang w:val="en-US" w:eastAsia="zh-CN"/>
              </w:rPr>
              <w:t>15</w:t>
            </w:r>
          </w:p>
        </w:tc>
        <w:tc>
          <w:tcPr>
            <w:tcW w:w="4072" w:type="pct"/>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Times New Roman" w:hAnsi="Times New Roman" w:eastAsia="宋体" w:cs="宋体"/>
                <w:color w:val="auto"/>
                <w:szCs w:val="21"/>
              </w:rPr>
            </w:pPr>
            <w:r>
              <w:rPr>
                <w:rFonts w:hint="eastAsia" w:ascii="Times New Roman" w:hAnsi="Times New Roman" w:eastAsia="宋体" w:cs="宋体"/>
                <w:color w:val="auto"/>
                <w:szCs w:val="21"/>
              </w:rPr>
              <w:t>报价得分（10分）</w:t>
            </w:r>
          </w:p>
          <w:p>
            <w:pPr>
              <w:snapToGrid w:val="0"/>
              <w:jc w:val="left"/>
              <w:rPr>
                <w:rFonts w:hint="eastAsia" w:ascii="Times New Roman" w:hAnsi="Times New Roman" w:eastAsia="宋体" w:cs="宋体"/>
                <w:color w:val="auto"/>
                <w:szCs w:val="21"/>
              </w:rPr>
            </w:pPr>
            <w:r>
              <w:rPr>
                <w:rFonts w:hint="eastAsia" w:ascii="Times New Roman" w:hAnsi="Times New Roman" w:eastAsia="宋体" w:cs="宋体"/>
                <w:color w:val="auto"/>
                <w:szCs w:val="21"/>
              </w:rPr>
              <w:t>有效投标报价的最低价作为评标基准价，其最低报价为满分；按［投标报价得分=（评标基准价/投标报价）*10］的计算公式计算。</w:t>
            </w:r>
          </w:p>
          <w:p>
            <w:pPr>
              <w:snapToGrid w:val="0"/>
              <w:jc w:val="left"/>
              <w:rPr>
                <w:rFonts w:hint="eastAsia" w:ascii="Times New Roman" w:hAnsi="Times New Roman" w:eastAsia="宋体" w:cs="宋体"/>
                <w:color w:val="auto"/>
                <w:szCs w:val="21"/>
              </w:rPr>
            </w:pPr>
            <w:r>
              <w:rPr>
                <w:rFonts w:hint="eastAsia" w:ascii="Times New Roman" w:hAnsi="Times New Roman" w:eastAsia="宋体" w:cs="宋体"/>
                <w:color w:val="auto"/>
                <w:szCs w:val="21"/>
              </w:rPr>
              <w:t>评标过程中，不得去掉报价中的最高报价和最低报价。</w:t>
            </w:r>
          </w:p>
          <w:p>
            <w:pPr>
              <w:snapToGrid w:val="0"/>
              <w:jc w:val="left"/>
              <w:rPr>
                <w:rFonts w:hint="eastAsia" w:ascii="Times New Roman" w:hAnsi="Times New Roman" w:eastAsia="宋体" w:cs="宋体"/>
                <w:color w:val="auto"/>
                <w:szCs w:val="21"/>
              </w:rPr>
            </w:pPr>
            <w:r>
              <w:rPr>
                <w:rFonts w:hint="eastAsia" w:ascii="Times New Roman" w:hAnsi="Times New Roman" w:eastAsia="宋体" w:cs="宋体"/>
                <w:color w:val="auto"/>
                <w:szCs w:val="21"/>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1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宋体"/>
                <w:color w:val="auto"/>
                <w:szCs w:val="21"/>
                <w:lang w:val="en-US" w:eastAsia="zh-CN"/>
              </w:rPr>
            </w:pPr>
            <w:r>
              <w:rPr>
                <w:rFonts w:hint="eastAsia" w:ascii="Times New Roman" w:hAnsi="Times New Roman" w:eastAsia="宋体" w:cs="宋体"/>
                <w:color w:val="auto"/>
                <w:szCs w:val="21"/>
                <w:lang w:val="en-US" w:eastAsia="zh-CN"/>
              </w:rPr>
              <w:t>10</w:t>
            </w:r>
          </w:p>
        </w:tc>
      </w:tr>
    </w:tbl>
    <w:p>
      <w:pPr>
        <w:pStyle w:val="2"/>
        <w:rPr>
          <w:rFonts w:cs="宋体"/>
          <w:b/>
          <w:color w:val="auto"/>
          <w:sz w:val="32"/>
          <w:szCs w:val="20"/>
        </w:rPr>
      </w:pPr>
    </w:p>
    <w:p>
      <w:pPr>
        <w:rPr>
          <w:color w:val="auto"/>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32"/>
        </w:rPr>
      </w:pP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1.</w:t>
      </w:r>
      <w:r>
        <w:rPr>
          <w:rFonts w:hint="eastAsia" w:ascii="宋体" w:hAnsi="宋体" w:cs="宋体"/>
          <w:b/>
          <w:color w:val="auto"/>
          <w:kern w:val="0"/>
          <w:sz w:val="24"/>
          <w:lang w:val="en-US" w:eastAsia="zh-CN"/>
        </w:rPr>
        <w:t>1</w:t>
      </w:r>
      <w:r>
        <w:rPr>
          <w:rFonts w:hint="eastAsia" w:ascii="宋体" w:hAnsi="宋体" w:cs="宋体"/>
          <w:b/>
          <w:color w:val="auto"/>
          <w:kern w:val="0"/>
          <w:sz w:val="24"/>
        </w:rPr>
        <w:t>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ind w:firstLine="472" w:firstLineChars="196"/>
        <w:rPr>
          <w:rFonts w:hint="eastAsia" w:ascii="宋体" w:hAnsi="宋体" w:cs="宋体"/>
          <w:b/>
          <w:color w:val="auto"/>
          <w:kern w:val="0"/>
          <w:sz w:val="24"/>
        </w:rPr>
      </w:pPr>
      <w:r>
        <w:rPr>
          <w:rFonts w:hint="eastAsia" w:ascii="宋体" w:hAnsi="宋体" w:cs="宋体"/>
          <w:b/>
          <w:color w:val="auto"/>
          <w:kern w:val="0"/>
          <w:sz w:val="24"/>
          <w:lang w:val="en-US" w:eastAsia="zh-CN"/>
        </w:rPr>
        <w:t>1.2</w:t>
      </w:r>
      <w:r>
        <w:rPr>
          <w:rFonts w:hint="eastAsia" w:ascii="宋体" w:hAnsi="宋体" w:cs="宋体"/>
          <w:b/>
          <w:color w:val="auto"/>
          <w:kern w:val="0"/>
          <w:sz w:val="24"/>
        </w:rPr>
        <w:t>各标项</w:t>
      </w:r>
      <w:r>
        <w:rPr>
          <w:rFonts w:hint="eastAsia" w:ascii="宋体" w:hAnsi="宋体" w:cs="宋体"/>
          <w:b/>
          <w:color w:val="auto"/>
          <w:kern w:val="0"/>
          <w:sz w:val="24"/>
          <w:lang w:val="en-US" w:eastAsia="zh-CN"/>
        </w:rPr>
        <w:t>中标</w:t>
      </w:r>
      <w:r>
        <w:rPr>
          <w:rFonts w:hint="eastAsia" w:ascii="宋体" w:hAnsi="宋体" w:cs="宋体"/>
          <w:b/>
          <w:color w:val="auto"/>
          <w:kern w:val="0"/>
          <w:sz w:val="24"/>
        </w:rPr>
        <w:t>候选人确定原则：</w:t>
      </w:r>
    </w:p>
    <w:p>
      <w:pPr>
        <w:widowControl/>
        <w:adjustRightInd w:val="0"/>
        <w:snapToGrid w:val="0"/>
        <w:spacing w:line="400" w:lineRule="exact"/>
        <w:ind w:firstLine="422" w:firstLineChars="200"/>
        <w:jc w:val="left"/>
        <w:rPr>
          <w:rFonts w:cs="宋体"/>
          <w:b/>
          <w:bCs/>
          <w:color w:val="auto"/>
          <w:kern w:val="0"/>
          <w:szCs w:val="21"/>
        </w:rPr>
      </w:pPr>
      <w:r>
        <w:rPr>
          <w:rFonts w:hint="eastAsia" w:cs="宋体"/>
          <w:b/>
          <w:bCs/>
          <w:color w:val="auto"/>
          <w:kern w:val="0"/>
          <w:szCs w:val="21"/>
        </w:rPr>
        <w:t>供应商可同时参与多个标</w:t>
      </w:r>
      <w:r>
        <w:rPr>
          <w:rFonts w:hint="eastAsia" w:cs="宋体"/>
          <w:b/>
          <w:bCs/>
          <w:color w:val="auto"/>
          <w:kern w:val="0"/>
          <w:szCs w:val="21"/>
          <w:lang w:val="en-US" w:eastAsia="zh-CN"/>
        </w:rPr>
        <w:t>项</w:t>
      </w:r>
      <w:r>
        <w:rPr>
          <w:rFonts w:hint="eastAsia" w:cs="宋体"/>
          <w:b/>
          <w:bCs/>
          <w:color w:val="auto"/>
          <w:kern w:val="0"/>
          <w:szCs w:val="21"/>
        </w:rPr>
        <w:t>的投标，但只能在一个标段中</w:t>
      </w:r>
      <w:r>
        <w:rPr>
          <w:rFonts w:hint="eastAsia" w:cs="宋体"/>
          <w:b/>
          <w:bCs/>
          <w:color w:val="auto"/>
          <w:kern w:val="0"/>
          <w:szCs w:val="21"/>
          <w:lang w:val="en-US" w:eastAsia="zh-CN"/>
        </w:rPr>
        <w:t>中标</w:t>
      </w:r>
      <w:r>
        <w:rPr>
          <w:rFonts w:hint="eastAsia" w:cs="宋体"/>
          <w:b/>
          <w:bCs/>
          <w:color w:val="auto"/>
          <w:kern w:val="0"/>
          <w:szCs w:val="21"/>
        </w:rPr>
        <w:t>。本次评标顺序按照：标项一、标项二、标项三、标项四、标项五</w:t>
      </w:r>
      <w:r>
        <w:rPr>
          <w:rFonts w:hint="eastAsia" w:cs="宋体"/>
          <w:b/>
          <w:bCs/>
          <w:color w:val="auto"/>
          <w:kern w:val="0"/>
          <w:szCs w:val="21"/>
          <w:lang w:eastAsia="zh-CN"/>
        </w:rPr>
        <w:t>、</w:t>
      </w:r>
      <w:r>
        <w:rPr>
          <w:rFonts w:hint="eastAsia" w:cs="宋体"/>
          <w:b/>
          <w:bCs/>
          <w:color w:val="auto"/>
          <w:kern w:val="0"/>
          <w:szCs w:val="21"/>
          <w:lang w:val="en-US" w:eastAsia="zh-CN"/>
        </w:rPr>
        <w:t>标项六</w:t>
      </w:r>
      <w:r>
        <w:rPr>
          <w:rFonts w:hint="eastAsia" w:cs="宋体"/>
          <w:b/>
          <w:bCs/>
          <w:color w:val="auto"/>
          <w:kern w:val="0"/>
          <w:szCs w:val="21"/>
        </w:rPr>
        <w:t>的顺序进行评审。如已在前面标</w:t>
      </w:r>
      <w:r>
        <w:rPr>
          <w:rFonts w:hint="eastAsia" w:cs="宋体"/>
          <w:b/>
          <w:bCs/>
          <w:color w:val="auto"/>
          <w:kern w:val="0"/>
          <w:szCs w:val="21"/>
          <w:lang w:val="en-US" w:eastAsia="zh-CN"/>
        </w:rPr>
        <w:t>项</w:t>
      </w:r>
      <w:r>
        <w:rPr>
          <w:rFonts w:hint="eastAsia" w:cs="宋体"/>
          <w:b/>
          <w:bCs/>
          <w:color w:val="auto"/>
          <w:kern w:val="0"/>
          <w:szCs w:val="21"/>
        </w:rPr>
        <w:t>的评审中为第一</w:t>
      </w:r>
      <w:r>
        <w:rPr>
          <w:rFonts w:hint="eastAsia" w:cs="宋体"/>
          <w:b/>
          <w:bCs/>
          <w:color w:val="auto"/>
          <w:kern w:val="0"/>
          <w:szCs w:val="21"/>
          <w:lang w:val="en-US" w:eastAsia="zh-CN"/>
        </w:rPr>
        <w:t>中标</w:t>
      </w:r>
      <w:r>
        <w:rPr>
          <w:rFonts w:hint="eastAsia" w:cs="宋体"/>
          <w:b/>
          <w:bCs/>
          <w:color w:val="auto"/>
          <w:kern w:val="0"/>
          <w:szCs w:val="21"/>
        </w:rPr>
        <w:t>候选人，可继续参与后续标</w:t>
      </w:r>
      <w:r>
        <w:rPr>
          <w:rFonts w:hint="eastAsia" w:cs="宋体"/>
          <w:b/>
          <w:bCs/>
          <w:color w:val="auto"/>
          <w:kern w:val="0"/>
          <w:szCs w:val="21"/>
          <w:lang w:val="en-US" w:eastAsia="zh-CN"/>
        </w:rPr>
        <w:t>项</w:t>
      </w:r>
      <w:r>
        <w:rPr>
          <w:rFonts w:hint="eastAsia" w:cs="宋体"/>
          <w:b/>
          <w:bCs/>
          <w:color w:val="auto"/>
          <w:kern w:val="0"/>
          <w:szCs w:val="21"/>
        </w:rPr>
        <w:t>的评审，但不再推荐为第一</w:t>
      </w:r>
      <w:r>
        <w:rPr>
          <w:rFonts w:hint="eastAsia" w:cs="宋体"/>
          <w:b/>
          <w:bCs/>
          <w:color w:val="auto"/>
          <w:kern w:val="0"/>
          <w:szCs w:val="21"/>
          <w:lang w:val="en-US" w:eastAsia="zh-CN"/>
        </w:rPr>
        <w:t>中标</w:t>
      </w:r>
      <w:r>
        <w:rPr>
          <w:rFonts w:hint="eastAsia" w:cs="宋体"/>
          <w:b/>
          <w:bCs/>
          <w:color w:val="auto"/>
          <w:kern w:val="0"/>
          <w:szCs w:val="21"/>
        </w:rPr>
        <w:t>候选人。例如：标项一的第一</w:t>
      </w:r>
      <w:r>
        <w:rPr>
          <w:rFonts w:hint="eastAsia" w:cs="宋体"/>
          <w:b/>
          <w:bCs/>
          <w:color w:val="auto"/>
          <w:kern w:val="0"/>
          <w:szCs w:val="21"/>
          <w:lang w:val="en-US" w:eastAsia="zh-CN"/>
        </w:rPr>
        <w:t>中标</w:t>
      </w:r>
      <w:r>
        <w:rPr>
          <w:rFonts w:hint="eastAsia" w:cs="宋体"/>
          <w:b/>
          <w:bCs/>
          <w:color w:val="auto"/>
          <w:kern w:val="0"/>
          <w:szCs w:val="21"/>
        </w:rPr>
        <w:t>候选人同时参加标项二的项目，该单位进入标项二的评审，评审结果标项二综合得分排名第一的单位为标项一的第一</w:t>
      </w:r>
      <w:r>
        <w:rPr>
          <w:rFonts w:hint="eastAsia" w:cs="宋体"/>
          <w:b/>
          <w:bCs/>
          <w:color w:val="auto"/>
          <w:kern w:val="0"/>
          <w:szCs w:val="21"/>
          <w:lang w:val="en-US" w:eastAsia="zh-CN"/>
        </w:rPr>
        <w:t>中标</w:t>
      </w:r>
      <w:r>
        <w:rPr>
          <w:rFonts w:hint="eastAsia" w:cs="宋体"/>
          <w:b/>
          <w:bCs/>
          <w:color w:val="auto"/>
          <w:kern w:val="0"/>
          <w:szCs w:val="21"/>
        </w:rPr>
        <w:t>候选人，则标项二的第一</w:t>
      </w:r>
      <w:r>
        <w:rPr>
          <w:rFonts w:hint="eastAsia" w:cs="宋体"/>
          <w:b/>
          <w:bCs/>
          <w:color w:val="auto"/>
          <w:kern w:val="0"/>
          <w:szCs w:val="21"/>
          <w:lang w:val="en-US" w:eastAsia="zh-CN"/>
        </w:rPr>
        <w:t>中标</w:t>
      </w:r>
      <w:r>
        <w:rPr>
          <w:rFonts w:hint="eastAsia" w:cs="宋体"/>
          <w:b/>
          <w:bCs/>
          <w:color w:val="auto"/>
          <w:kern w:val="0"/>
          <w:szCs w:val="21"/>
        </w:rPr>
        <w:t>候选人为综合得分排名第二的单位，其余</w:t>
      </w:r>
      <w:r>
        <w:rPr>
          <w:rFonts w:hint="eastAsia" w:cs="宋体"/>
          <w:b/>
          <w:bCs/>
          <w:color w:val="auto"/>
          <w:kern w:val="0"/>
          <w:szCs w:val="21"/>
          <w:lang w:val="en-US" w:eastAsia="zh-CN"/>
        </w:rPr>
        <w:t>标项</w:t>
      </w:r>
      <w:r>
        <w:rPr>
          <w:rFonts w:hint="eastAsia" w:cs="宋体"/>
          <w:b/>
          <w:bCs/>
          <w:color w:val="auto"/>
          <w:kern w:val="0"/>
          <w:szCs w:val="21"/>
        </w:rPr>
        <w:t>以此类推。</w:t>
      </w:r>
      <w:r>
        <w:rPr>
          <w:rFonts w:hint="eastAsia" w:cs="宋体"/>
          <w:snapToGrid w:val="0"/>
          <w:color w:val="auto"/>
          <w:kern w:val="0"/>
          <w:szCs w:val="21"/>
          <w:lang w:val="zh-CN"/>
        </w:rPr>
        <w:t>得分相同的，按投标报价由低到高的顺序排列。得分和投标报价均相同的，按技术得分的高低顺序排列，计算结果按四舍五入取小数点后两位。</w:t>
      </w:r>
    </w:p>
    <w:p>
      <w:pPr>
        <w:pStyle w:val="2"/>
        <w:rPr>
          <w:rFonts w:hint="default" w:eastAsia="宋体"/>
          <w:color w:val="auto"/>
          <w:lang w:val="en-US" w:eastAsia="zh-CN"/>
        </w:rPr>
      </w:pP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hint="eastAsia" w:ascii="宋体" w:hAnsi="宋体" w:cs="宋体"/>
          <w:color w:val="auto"/>
          <w:kern w:val="0"/>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31"/>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7"/>
        <w:snapToGrid w:val="0"/>
        <w:spacing w:line="360" w:lineRule="auto"/>
        <w:ind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7"/>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7"/>
        <w:snapToGrid w:val="0"/>
        <w:spacing w:line="360" w:lineRule="auto"/>
        <w:rPr>
          <w:rFonts w:cs="宋体"/>
          <w:color w:val="auto"/>
        </w:rPr>
      </w:pPr>
      <w:r>
        <w:rPr>
          <w:rFonts w:hint="eastAsia" w:cs="宋体"/>
          <w:color w:val="auto"/>
        </w:rPr>
        <w:t>5.2出现影响采购公正的违法、违规行为的；</w:t>
      </w:r>
    </w:p>
    <w:p>
      <w:pPr>
        <w:pStyle w:val="27"/>
        <w:snapToGrid w:val="0"/>
        <w:spacing w:line="360" w:lineRule="auto"/>
        <w:rPr>
          <w:rFonts w:cs="宋体"/>
          <w:color w:val="auto"/>
        </w:rPr>
      </w:pPr>
      <w:r>
        <w:rPr>
          <w:rFonts w:hint="eastAsia" w:cs="宋体"/>
          <w:color w:val="auto"/>
        </w:rPr>
        <w:t>5.3投标人的报价均超过了采购预算，采购人不能支付的；</w:t>
      </w:r>
    </w:p>
    <w:p>
      <w:pPr>
        <w:pStyle w:val="27"/>
        <w:snapToGrid w:val="0"/>
        <w:spacing w:line="360" w:lineRule="auto"/>
        <w:rPr>
          <w:rFonts w:cs="宋体"/>
          <w:color w:val="auto"/>
        </w:rPr>
      </w:pPr>
      <w:r>
        <w:rPr>
          <w:rFonts w:hint="eastAsia" w:cs="宋体"/>
          <w:color w:val="auto"/>
        </w:rPr>
        <w:t>5.4因重大变故，采购任务取消的。</w:t>
      </w:r>
    </w:p>
    <w:p>
      <w:pPr>
        <w:pStyle w:val="27"/>
        <w:snapToGrid w:val="0"/>
        <w:spacing w:line="360" w:lineRule="auto"/>
        <w:rPr>
          <w:rFonts w:cs="宋体"/>
          <w:color w:val="auto"/>
        </w:rPr>
      </w:pPr>
      <w:r>
        <w:rPr>
          <w:rFonts w:hint="eastAsia" w:cs="宋体"/>
          <w:color w:val="auto"/>
        </w:rPr>
        <w:t>废标后，采购代理机构应当将废标理由通知所有投标人。</w:t>
      </w:r>
    </w:p>
    <w:p>
      <w:pPr>
        <w:pStyle w:val="27"/>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489"/>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7"/>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7"/>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7"/>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7"/>
        <w:snapToGrid w:val="0"/>
        <w:spacing w:line="360" w:lineRule="auto"/>
        <w:ind w:firstLine="0" w:firstLineChars="0"/>
        <w:rPr>
          <w:rFonts w:cs="宋体"/>
          <w:color w:val="auto"/>
        </w:rPr>
      </w:pPr>
    </w:p>
    <w:bookmarkEnd w:id="27"/>
    <w:p>
      <w:pPr>
        <w:rPr>
          <w:rFonts w:ascii="宋体" w:hAnsi="宋体" w:cs="宋体"/>
          <w:color w:val="auto"/>
          <w:sz w:val="24"/>
        </w:rPr>
      </w:pPr>
      <w:bookmarkStart w:id="417" w:name="第五部分"/>
      <w:bookmarkStart w:id="418" w:name="_Toc86217003"/>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widowControl/>
        <w:spacing w:line="360" w:lineRule="auto"/>
        <w:rPr>
          <w:rFonts w:cs="宋体"/>
          <w:b/>
          <w:color w:val="auto"/>
          <w:kern w:val="0"/>
          <w:sz w:val="24"/>
        </w:rPr>
      </w:pPr>
      <w:r>
        <w:rPr>
          <w:rFonts w:hint="eastAsia" w:cs="宋体"/>
          <w:b/>
          <w:color w:val="auto"/>
          <w:kern w:val="0"/>
          <w:sz w:val="24"/>
          <w:lang w:bidi="ar"/>
        </w:rPr>
        <w:t>（备注：采购文件中仅提供合同主要条款，最终合同以双方签章的书面文本为准。）</w:t>
      </w:r>
    </w:p>
    <w:p>
      <w:pPr>
        <w:snapToGrid w:val="0"/>
        <w:spacing w:line="360" w:lineRule="auto"/>
        <w:ind w:firstLine="420" w:firstLineChars="200"/>
        <w:rPr>
          <w:bCs/>
          <w:snapToGrid w:val="0"/>
          <w:color w:val="auto"/>
          <w:szCs w:val="21"/>
        </w:rPr>
      </w:pPr>
      <w:r>
        <w:rPr>
          <w:rFonts w:hint="eastAsia"/>
          <w:bCs/>
          <w:snapToGrid w:val="0"/>
          <w:color w:val="auto"/>
          <w:szCs w:val="21"/>
        </w:rPr>
        <w:t>合同将由</w:t>
      </w:r>
      <w:r>
        <w:rPr>
          <w:rFonts w:hint="eastAsia"/>
          <w:snapToGrid w:val="0"/>
          <w:color w:val="auto"/>
          <w:szCs w:val="21"/>
        </w:rPr>
        <w:t xml:space="preserve">杭州市西湖区卫生健康局 </w:t>
      </w:r>
      <w:r>
        <w:rPr>
          <w:rFonts w:hint="eastAsia"/>
          <w:bCs/>
          <w:snapToGrid w:val="0"/>
          <w:color w:val="auto"/>
          <w:szCs w:val="21"/>
        </w:rPr>
        <w:t>（以下简称甲方）、各街道（以下简称乙方）与经评审最终确定的中标人（以下简称丙方）结合本项目具体情况协商后签订。以下为招标人提出涉及丙方的主要条款，投标人在投标文件中应对其进行确认或拒绝。如投标人在其投标文件中未做拒绝或提出修改要求的，招标人将视作认同。</w:t>
      </w:r>
    </w:p>
    <w:p>
      <w:pPr>
        <w:snapToGrid w:val="0"/>
        <w:spacing w:line="360" w:lineRule="auto"/>
        <w:rPr>
          <w:snapToGrid w:val="0"/>
          <w:color w:val="auto"/>
          <w:szCs w:val="21"/>
        </w:rPr>
      </w:pPr>
      <w:r>
        <w:rPr>
          <w:rFonts w:hint="eastAsia"/>
          <w:snapToGrid w:val="0"/>
          <w:color w:val="auto"/>
          <w:szCs w:val="21"/>
        </w:rPr>
        <w:t>委托方1（以下简称甲方）：</w:t>
      </w:r>
      <w:r>
        <w:rPr>
          <w:rFonts w:hint="eastAsia"/>
          <w:snapToGrid w:val="0"/>
          <w:color w:val="auto"/>
          <w:szCs w:val="21"/>
          <w:u w:val="single"/>
        </w:rPr>
        <w:t xml:space="preserve">  杭州市西湖区卫生健康局</w:t>
      </w:r>
    </w:p>
    <w:p>
      <w:pPr>
        <w:snapToGrid w:val="0"/>
        <w:spacing w:line="360" w:lineRule="auto"/>
        <w:rPr>
          <w:snapToGrid w:val="0"/>
          <w:color w:val="auto"/>
          <w:szCs w:val="21"/>
          <w:u w:val="single"/>
        </w:rPr>
      </w:pPr>
      <w:r>
        <w:rPr>
          <w:rFonts w:hint="eastAsia"/>
          <w:snapToGrid w:val="0"/>
          <w:color w:val="auto"/>
          <w:szCs w:val="21"/>
        </w:rPr>
        <w:t>委托方2（以下简称乙方）：</w:t>
      </w:r>
      <w:r>
        <w:rPr>
          <w:rFonts w:hint="eastAsia"/>
          <w:snapToGrid w:val="0"/>
          <w:color w:val="auto"/>
          <w:szCs w:val="21"/>
          <w:u w:val="single"/>
        </w:rPr>
        <w:t xml:space="preserve">       各街道      </w:t>
      </w:r>
    </w:p>
    <w:p>
      <w:pPr>
        <w:snapToGrid w:val="0"/>
        <w:spacing w:line="360" w:lineRule="auto"/>
        <w:rPr>
          <w:snapToGrid w:val="0"/>
          <w:color w:val="auto"/>
          <w:szCs w:val="21"/>
          <w:u w:val="single"/>
        </w:rPr>
      </w:pPr>
      <w:r>
        <w:rPr>
          <w:rFonts w:hint="eastAsia"/>
          <w:snapToGrid w:val="0"/>
          <w:color w:val="auto"/>
          <w:szCs w:val="21"/>
        </w:rPr>
        <w:t xml:space="preserve">受委托方（以下简称丙方）： </w:t>
      </w:r>
      <w:r>
        <w:rPr>
          <w:rFonts w:hint="eastAsia"/>
          <w:snapToGrid w:val="0"/>
          <w:color w:val="auto"/>
          <w:szCs w:val="21"/>
          <w:u w:val="single"/>
        </w:rPr>
        <w:t xml:space="preserve">                      </w:t>
      </w:r>
    </w:p>
    <w:p>
      <w:pPr>
        <w:autoSpaceDE w:val="0"/>
        <w:autoSpaceDN w:val="0"/>
        <w:snapToGrid w:val="0"/>
        <w:spacing w:line="360" w:lineRule="auto"/>
        <w:jc w:val="left"/>
        <w:rPr>
          <w:color w:val="auto"/>
          <w:szCs w:val="21"/>
        </w:rPr>
      </w:pPr>
      <w:r>
        <w:rPr>
          <w:rFonts w:hint="eastAsia"/>
          <w:color w:val="auto"/>
          <w:szCs w:val="21"/>
        </w:rPr>
        <w:t>监证方：浙江省成套工程有限公司</w:t>
      </w:r>
    </w:p>
    <w:p>
      <w:pPr>
        <w:snapToGrid w:val="0"/>
        <w:spacing w:line="360" w:lineRule="auto"/>
        <w:rPr>
          <w:color w:val="auto"/>
        </w:rPr>
      </w:pPr>
    </w:p>
    <w:p>
      <w:pPr>
        <w:snapToGrid w:val="0"/>
        <w:spacing w:line="360" w:lineRule="auto"/>
        <w:ind w:firstLine="420" w:firstLineChars="200"/>
        <w:rPr>
          <w:color w:val="auto"/>
          <w:szCs w:val="21"/>
        </w:rPr>
      </w:pPr>
      <w:r>
        <w:rPr>
          <w:rFonts w:hint="eastAsia"/>
          <w:color w:val="auto"/>
          <w:szCs w:val="21"/>
          <w:u w:val="single"/>
        </w:rPr>
        <w:t xml:space="preserve">                  </w:t>
      </w:r>
      <w:r>
        <w:rPr>
          <w:rFonts w:hint="eastAsia"/>
          <w:color w:val="auto"/>
          <w:szCs w:val="21"/>
        </w:rPr>
        <w:t xml:space="preserve">  （以下简称甲方）、</w:t>
      </w:r>
      <w:r>
        <w:rPr>
          <w:rFonts w:hint="eastAsia"/>
          <w:color w:val="auto"/>
          <w:szCs w:val="21"/>
          <w:u w:val="single"/>
        </w:rPr>
        <w:t xml:space="preserve">           </w:t>
      </w:r>
      <w:r>
        <w:rPr>
          <w:rFonts w:hint="eastAsia"/>
          <w:color w:val="auto"/>
          <w:szCs w:val="21"/>
        </w:rPr>
        <w:t>（以下简称乙方）与</w:t>
      </w:r>
      <w:r>
        <w:rPr>
          <w:rFonts w:hint="eastAsia"/>
          <w:color w:val="auto"/>
          <w:szCs w:val="21"/>
          <w:u w:val="single"/>
        </w:rPr>
        <w:t xml:space="preserve">           </w:t>
      </w:r>
      <w:r>
        <w:rPr>
          <w:rFonts w:hint="eastAsia"/>
          <w:color w:val="auto"/>
          <w:szCs w:val="21"/>
        </w:rPr>
        <w:t>公司（以下简称丙方）根据</w:t>
      </w:r>
      <w:r>
        <w:rPr>
          <w:rFonts w:hint="eastAsia"/>
          <w:color w:val="auto"/>
          <w:szCs w:val="21"/>
          <w:u w:val="single"/>
        </w:rPr>
        <w:t xml:space="preserve"> </w:t>
      </w:r>
      <w:r>
        <w:rPr>
          <w:color w:val="auto"/>
          <w:szCs w:val="21"/>
          <w:u w:val="single"/>
        </w:rPr>
        <w:t>202</w:t>
      </w:r>
      <w:r>
        <w:rPr>
          <w:rFonts w:hint="eastAsia"/>
          <w:color w:val="auto"/>
          <w:szCs w:val="21"/>
          <w:u w:val="single"/>
        </w:rPr>
        <w:t>4年度杭州市西湖区公共环境除“四害”</w:t>
      </w:r>
      <w:r>
        <w:rPr>
          <w:rFonts w:hint="eastAsia"/>
          <w:color w:val="auto"/>
          <w:szCs w:val="21"/>
        </w:rPr>
        <w:t>招标文件，特签订本合同。</w:t>
      </w:r>
    </w:p>
    <w:p>
      <w:pPr>
        <w:pStyle w:val="27"/>
        <w:snapToGrid w:val="0"/>
        <w:ind w:firstLine="420"/>
        <w:rPr>
          <w:color w:val="auto"/>
          <w:sz w:val="21"/>
          <w:szCs w:val="21"/>
        </w:rPr>
      </w:pPr>
      <w:r>
        <w:rPr>
          <w:rFonts w:hint="eastAsia"/>
          <w:color w:val="auto"/>
          <w:sz w:val="21"/>
          <w:szCs w:val="21"/>
        </w:rPr>
        <w:t>一、承包范围:</w:t>
      </w:r>
    </w:p>
    <w:p>
      <w:pPr>
        <w:snapToGrid w:val="0"/>
        <w:spacing w:line="360" w:lineRule="auto"/>
        <w:ind w:firstLine="420" w:firstLineChars="200"/>
        <w:rPr>
          <w:bCs/>
          <w:color w:val="auto"/>
          <w:szCs w:val="21"/>
        </w:rPr>
      </w:pPr>
      <w:r>
        <w:rPr>
          <w:rFonts w:hint="eastAsia" w:cs="宋体"/>
          <w:color w:val="auto"/>
          <w:szCs w:val="21"/>
          <w:u w:val="single"/>
        </w:rPr>
        <w:t xml:space="preserve">          </w:t>
      </w:r>
      <w:r>
        <w:rPr>
          <w:rFonts w:hint="eastAsia" w:cs="宋体"/>
          <w:color w:val="auto"/>
          <w:szCs w:val="21"/>
        </w:rPr>
        <w:t>公共环境（</w:t>
      </w:r>
      <w:r>
        <w:rPr>
          <w:rFonts w:hint="eastAsia"/>
          <w:color w:val="auto"/>
          <w:szCs w:val="21"/>
        </w:rPr>
        <w:t>包括社区范围内的楼房屋顶、遮雨档板、车库车棚、棚顶跳台、窨缸窨井、绿地花坛、</w:t>
      </w:r>
      <w:r>
        <w:rPr>
          <w:rFonts w:hint="eastAsia" w:cs="宋体"/>
          <w:color w:val="auto"/>
          <w:szCs w:val="21"/>
        </w:rPr>
        <w:t>街道或社区管理的</w:t>
      </w:r>
      <w:r>
        <w:rPr>
          <w:rFonts w:hint="eastAsia"/>
          <w:color w:val="auto"/>
          <w:szCs w:val="21"/>
        </w:rPr>
        <w:t>公园、垃圾箱房等公用部位环境，社区内的溪流、池塘及景观水池等各类水体、大型蓄水池、电缆沟等</w:t>
      </w:r>
      <w:r>
        <w:rPr>
          <w:rFonts w:hint="eastAsia"/>
          <w:bCs/>
          <w:color w:val="auto"/>
          <w:szCs w:val="21"/>
        </w:rPr>
        <w:t>）灭鼠和蚊蝇、蟑螂的孳生消杀控制及</w:t>
      </w:r>
      <w:r>
        <w:rPr>
          <w:rFonts w:hint="eastAsia"/>
          <w:color w:val="auto"/>
          <w:szCs w:val="21"/>
        </w:rPr>
        <w:t>街道指定区域内“八小”行业的除“四害”控制工作</w:t>
      </w:r>
      <w:r>
        <w:rPr>
          <w:rFonts w:hint="eastAsia"/>
          <w:bCs/>
          <w:color w:val="auto"/>
          <w:szCs w:val="21"/>
        </w:rPr>
        <w:t>。</w:t>
      </w:r>
    </w:p>
    <w:p>
      <w:pPr>
        <w:pStyle w:val="27"/>
        <w:snapToGrid w:val="0"/>
        <w:ind w:firstLine="420"/>
        <w:rPr>
          <w:color w:val="auto"/>
          <w:sz w:val="21"/>
          <w:szCs w:val="21"/>
        </w:rPr>
      </w:pPr>
      <w:r>
        <w:rPr>
          <w:rFonts w:hint="eastAsia"/>
          <w:color w:val="auto"/>
          <w:sz w:val="21"/>
          <w:szCs w:val="21"/>
        </w:rPr>
        <w:t>二、承包内容:</w:t>
      </w:r>
    </w:p>
    <w:p>
      <w:pPr>
        <w:pStyle w:val="36"/>
        <w:spacing w:line="360" w:lineRule="auto"/>
        <w:ind w:firstLine="420" w:firstLineChars="200"/>
        <w:rPr>
          <w:rFonts w:hAnsi="宋体"/>
          <w:color w:val="auto"/>
        </w:rPr>
      </w:pPr>
      <w:r>
        <w:rPr>
          <w:rFonts w:hint="eastAsia" w:hAnsi="宋体" w:cs="宋体"/>
          <w:color w:val="auto"/>
        </w:rPr>
        <w:t>1.</w:t>
      </w:r>
      <w:r>
        <w:rPr>
          <w:rFonts w:hint="eastAsia" w:hAnsi="宋体"/>
          <w:color w:val="auto"/>
        </w:rPr>
        <w:t xml:space="preserve"> </w:t>
      </w:r>
      <w:r>
        <w:rPr>
          <w:rFonts w:hint="eastAsia" w:hAnsi="宋体" w:cs="宋体"/>
          <w:color w:val="auto"/>
        </w:rPr>
        <w:t>公共环境除四害所需药物及投放、喷洒及环境处理；社区除四害技防设施</w:t>
      </w:r>
      <w:r>
        <w:rPr>
          <w:rFonts w:hint="eastAsia" w:hAnsi="宋体"/>
          <w:color w:val="auto"/>
        </w:rPr>
        <w:t>(防蚊闸、毒鼠屋、捕蝇笼）</w:t>
      </w:r>
      <w:r>
        <w:rPr>
          <w:rFonts w:hint="eastAsia" w:hAnsi="宋体" w:cs="宋体"/>
          <w:color w:val="auto"/>
        </w:rPr>
        <w:t>的清理与维护。</w:t>
      </w:r>
      <w:r>
        <w:rPr>
          <w:rFonts w:hint="eastAsia" w:hAnsi="宋体"/>
          <w:color w:val="auto"/>
        </w:rPr>
        <w:t>合同价的10%金额用于购买</w:t>
      </w:r>
      <w:r>
        <w:rPr>
          <w:rFonts w:hint="eastAsia" w:hAnsi="宋体" w:cs="宋体"/>
          <w:color w:val="auto"/>
        </w:rPr>
        <w:t>社区除四害技防设施</w:t>
      </w:r>
      <w:r>
        <w:rPr>
          <w:rFonts w:hint="eastAsia" w:hAnsi="宋体"/>
          <w:color w:val="auto"/>
        </w:rPr>
        <w:t>(防蚊闸、毒鼠屋、捕蝇笼）。</w:t>
      </w:r>
    </w:p>
    <w:p>
      <w:pPr>
        <w:pStyle w:val="36"/>
        <w:spacing w:line="360" w:lineRule="auto"/>
        <w:ind w:firstLine="420" w:firstLineChars="200"/>
        <w:rPr>
          <w:rFonts w:hAnsi="宋体" w:cs="宋体"/>
          <w:color w:val="auto"/>
        </w:rPr>
      </w:pPr>
      <w:r>
        <w:rPr>
          <w:rFonts w:hint="eastAsia" w:hAnsi="宋体" w:cs="宋体"/>
          <w:color w:val="auto"/>
        </w:rPr>
        <w:t>2.</w:t>
      </w:r>
      <w:r>
        <w:rPr>
          <w:rFonts w:hAnsi="宋体" w:cs="宋体"/>
          <w:color w:val="auto"/>
        </w:rPr>
        <w:t xml:space="preserve"> 突发应急事件环境消杀</w:t>
      </w:r>
      <w:r>
        <w:rPr>
          <w:rFonts w:hint="eastAsia" w:hAnsi="宋体" w:cs="宋体"/>
          <w:color w:val="auto"/>
        </w:rPr>
        <w:t>；</w:t>
      </w:r>
      <w:r>
        <w:rPr>
          <w:rFonts w:hAnsi="宋体" w:cs="宋体"/>
          <w:color w:val="auto"/>
        </w:rPr>
        <w:t>市、区、街道爱卫办组织的其它除四害活动（包括要求承担的公益性服务）。</w:t>
      </w:r>
    </w:p>
    <w:p>
      <w:pPr>
        <w:pStyle w:val="36"/>
        <w:spacing w:line="360" w:lineRule="auto"/>
        <w:ind w:firstLine="420" w:firstLineChars="200"/>
        <w:rPr>
          <w:rFonts w:hAnsi="宋体"/>
          <w:color w:val="auto"/>
        </w:rPr>
      </w:pPr>
      <w:r>
        <w:rPr>
          <w:rFonts w:hint="eastAsia" w:hAnsi="宋体" w:cs="宋体"/>
          <w:color w:val="auto"/>
        </w:rPr>
        <w:t>3.</w:t>
      </w:r>
      <w:r>
        <w:rPr>
          <w:rFonts w:hint="eastAsia" w:hAnsi="宋体"/>
          <w:color w:val="auto"/>
        </w:rPr>
        <w:t xml:space="preserve"> </w:t>
      </w:r>
      <w:r>
        <w:rPr>
          <w:rFonts w:hint="eastAsia" w:hAnsi="宋体" w:cs="宋体"/>
          <w:color w:val="auto"/>
        </w:rPr>
        <w:t>协助街道开展除四害宣传工作、普及科学除害防病知识，推进单位除四害市场化运作。</w:t>
      </w:r>
    </w:p>
    <w:p>
      <w:pPr>
        <w:pStyle w:val="36"/>
        <w:spacing w:line="360" w:lineRule="auto"/>
        <w:ind w:firstLine="420" w:firstLineChars="200"/>
        <w:rPr>
          <w:rFonts w:hAnsi="宋体" w:cs="宋体"/>
          <w:color w:val="auto"/>
        </w:rPr>
      </w:pPr>
      <w:r>
        <w:rPr>
          <w:rFonts w:hint="eastAsia" w:hAnsi="宋体"/>
          <w:color w:val="auto"/>
        </w:rPr>
        <w:t>4．</w:t>
      </w:r>
      <w:r>
        <w:rPr>
          <w:rFonts w:hAnsi="宋体" w:cs="宋体"/>
          <w:color w:val="auto"/>
        </w:rPr>
        <w:t>向所服务社区低保户等困难家庭户无偿提供家庭用灭蟑、灭鼠药等除四害药品及技术指导，向所服务社区居民家庭无偿提供除四害技术指导。</w:t>
      </w:r>
    </w:p>
    <w:p>
      <w:pPr>
        <w:snapToGrid w:val="0"/>
        <w:spacing w:line="360" w:lineRule="auto"/>
        <w:ind w:firstLine="420" w:firstLineChars="200"/>
        <w:rPr>
          <w:color w:val="auto"/>
          <w:szCs w:val="21"/>
          <w:highlight w:val="none"/>
        </w:rPr>
      </w:pPr>
      <w:r>
        <w:rPr>
          <w:rFonts w:hint="eastAsia"/>
          <w:color w:val="auto"/>
          <w:highlight w:val="none"/>
        </w:rPr>
        <w:t>5.</w:t>
      </w:r>
      <w:r>
        <w:rPr>
          <w:rFonts w:hint="eastAsia"/>
          <w:color w:val="auto"/>
          <w:szCs w:val="21"/>
          <w:highlight w:val="none"/>
        </w:rPr>
        <w:t xml:space="preserve"> </w:t>
      </w:r>
      <w:r>
        <w:rPr>
          <w:rFonts w:hint="default" w:ascii="宋体" w:hAnsi="宋体" w:eastAsia="宋体" w:cs="宋体"/>
          <w:color w:val="auto"/>
          <w:highlight w:val="none"/>
          <w:lang w:val="en-US" w:eastAsia="zh-CN"/>
        </w:rPr>
        <w:t>PCO公司的消杀人员应定期到街道报到，每个街道固定作业人员不少于</w:t>
      </w:r>
      <w:r>
        <w:rPr>
          <w:rFonts w:hint="eastAsia" w:ascii="宋体" w:hAnsi="宋体" w:cs="宋体"/>
          <w:color w:val="auto"/>
          <w:highlight w:val="none"/>
          <w:u w:val="single"/>
          <w:lang w:val="en-US" w:eastAsia="zh-CN"/>
        </w:rPr>
        <w:t xml:space="preserve">   </w:t>
      </w:r>
      <w:r>
        <w:rPr>
          <w:rFonts w:hint="default" w:ascii="宋体" w:hAnsi="宋体" w:eastAsia="宋体" w:cs="宋体"/>
          <w:b/>
          <w:bCs/>
          <w:color w:val="auto"/>
          <w:highlight w:val="none"/>
          <w:lang w:val="en-US" w:eastAsia="zh-CN"/>
        </w:rPr>
        <w:t>人</w:t>
      </w:r>
      <w:r>
        <w:rPr>
          <w:rFonts w:hint="default" w:ascii="宋体" w:hAnsi="宋体" w:eastAsia="宋体" w:cs="宋体"/>
          <w:color w:val="auto"/>
          <w:highlight w:val="none"/>
          <w:lang w:val="en-US" w:eastAsia="zh-CN"/>
        </w:rPr>
        <w:t>，向街道分管人员汇报工作计划，并服从街道分配的具体工作任务。</w:t>
      </w:r>
    </w:p>
    <w:p>
      <w:pPr>
        <w:snapToGrid w:val="0"/>
        <w:spacing w:line="360" w:lineRule="auto"/>
        <w:ind w:firstLine="420" w:firstLineChars="200"/>
        <w:rPr>
          <w:rFonts w:cs="楷体"/>
          <w:snapToGrid w:val="0"/>
          <w:color w:val="auto"/>
          <w:kern w:val="0"/>
        </w:rPr>
      </w:pPr>
      <w:r>
        <w:rPr>
          <w:rFonts w:hint="eastAsia"/>
          <w:color w:val="auto"/>
          <w:szCs w:val="21"/>
        </w:rPr>
        <w:t xml:space="preserve">6. </w:t>
      </w:r>
      <w:r>
        <w:rPr>
          <w:rFonts w:hint="eastAsia"/>
          <w:color w:val="auto"/>
        </w:rPr>
        <w:t>做好</w:t>
      </w:r>
      <w:r>
        <w:rPr>
          <w:rFonts w:hint="eastAsia" w:cs="楷体"/>
          <w:snapToGrid w:val="0"/>
          <w:color w:val="auto"/>
          <w:kern w:val="0"/>
        </w:rPr>
        <w:t>服务区域“四害”密度监测工作、消杀工作计划和小结，并每月向市、区、街道爱卫办提交月密度监测报表、工作计划和小结以及消杀作业服务情况。</w:t>
      </w:r>
    </w:p>
    <w:p>
      <w:pPr>
        <w:snapToGrid w:val="0"/>
        <w:spacing w:line="360" w:lineRule="auto"/>
        <w:ind w:firstLine="420" w:firstLineChars="200"/>
        <w:rPr>
          <w:rFonts w:cs="楷体"/>
          <w:snapToGrid w:val="0"/>
          <w:color w:val="auto"/>
          <w:kern w:val="0"/>
        </w:rPr>
      </w:pPr>
      <w:r>
        <w:rPr>
          <w:rFonts w:hint="eastAsia" w:cs="楷体"/>
          <w:snapToGrid w:val="0"/>
          <w:color w:val="auto"/>
          <w:kern w:val="0"/>
        </w:rPr>
        <w:t>7.做好杭州市病媒生物控制水平C级以上等级省级评估考核工作和国家卫生城市复评病媒生物预防控制相关工作。</w:t>
      </w:r>
    </w:p>
    <w:p>
      <w:pPr>
        <w:pStyle w:val="27"/>
        <w:snapToGrid w:val="0"/>
        <w:ind w:firstLine="420"/>
        <w:rPr>
          <w:color w:val="auto"/>
          <w:sz w:val="21"/>
          <w:szCs w:val="21"/>
        </w:rPr>
      </w:pPr>
      <w:r>
        <w:rPr>
          <w:rFonts w:hint="eastAsia"/>
          <w:color w:val="auto"/>
          <w:sz w:val="21"/>
          <w:szCs w:val="21"/>
        </w:rPr>
        <w:t>三、承包合同期限:</w:t>
      </w:r>
    </w:p>
    <w:p>
      <w:pPr>
        <w:snapToGrid w:val="0"/>
        <w:spacing w:line="360" w:lineRule="auto"/>
        <w:ind w:firstLine="420" w:firstLineChars="200"/>
        <w:rPr>
          <w:rFonts w:hint="eastAsia"/>
          <w:color w:val="auto"/>
          <w:szCs w:val="21"/>
        </w:rPr>
      </w:pPr>
      <w:r>
        <w:rPr>
          <w:rFonts w:hint="eastAsia"/>
          <w:color w:val="auto"/>
          <w:szCs w:val="21"/>
        </w:rPr>
        <w:t>一年，自</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rPr>
        <w:t>日至</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rPr>
        <w:t>日。</w:t>
      </w:r>
    </w:p>
    <w:p>
      <w:pPr>
        <w:snapToGrid w:val="0"/>
        <w:spacing w:line="360" w:lineRule="auto"/>
        <w:ind w:firstLine="420" w:firstLineChars="200"/>
        <w:rPr>
          <w:color w:val="auto"/>
          <w:szCs w:val="21"/>
        </w:rPr>
      </w:pPr>
      <w:r>
        <w:rPr>
          <w:rFonts w:hint="eastAsia"/>
          <w:color w:val="auto"/>
          <w:szCs w:val="21"/>
        </w:rPr>
        <w:t>合同期内，丙方能严格履行合同，通过甲、乙双方的考核，甲方报经采购监管部门同意可以续签，</w:t>
      </w:r>
      <w:r>
        <w:rPr>
          <w:rFonts w:hint="eastAsia"/>
          <w:snapToGrid w:val="0"/>
          <w:color w:val="auto"/>
        </w:rPr>
        <w:t>合同履行期限最长不超过</w:t>
      </w:r>
      <w:r>
        <w:rPr>
          <w:rFonts w:hint="eastAsia"/>
          <w:snapToGrid w:val="0"/>
          <w:color w:val="auto"/>
          <w:lang w:val="en-US" w:eastAsia="zh-CN"/>
        </w:rPr>
        <w:t>1</w:t>
      </w:r>
      <w:r>
        <w:rPr>
          <w:rFonts w:hint="eastAsia"/>
          <w:snapToGrid w:val="0"/>
          <w:color w:val="auto"/>
        </w:rPr>
        <w:t>年</w:t>
      </w:r>
      <w:r>
        <w:rPr>
          <w:rFonts w:hint="eastAsia"/>
          <w:color w:val="auto"/>
          <w:szCs w:val="21"/>
        </w:rPr>
        <w:t>。</w:t>
      </w:r>
    </w:p>
    <w:p>
      <w:pPr>
        <w:pStyle w:val="27"/>
        <w:snapToGrid w:val="0"/>
        <w:ind w:firstLine="420"/>
        <w:rPr>
          <w:color w:val="auto"/>
          <w:sz w:val="21"/>
          <w:szCs w:val="21"/>
        </w:rPr>
      </w:pPr>
      <w:r>
        <w:rPr>
          <w:rFonts w:hint="eastAsia"/>
          <w:color w:val="auto"/>
          <w:sz w:val="21"/>
          <w:szCs w:val="21"/>
        </w:rPr>
        <w:t>四、承包工作要求:</w:t>
      </w:r>
    </w:p>
    <w:p>
      <w:pPr>
        <w:snapToGrid w:val="0"/>
        <w:spacing w:line="360" w:lineRule="auto"/>
        <w:ind w:firstLine="525" w:firstLineChars="250"/>
        <w:rPr>
          <w:color w:val="auto"/>
          <w:szCs w:val="21"/>
        </w:rPr>
      </w:pPr>
      <w:r>
        <w:rPr>
          <w:rFonts w:hint="eastAsia"/>
          <w:color w:val="auto"/>
          <w:szCs w:val="21"/>
        </w:rPr>
        <w:t>1、丙方须严格按照参加投标时提供的公共环境除四害实施方案、技术方案和“四害”密度监测工作计划执行；</w:t>
      </w:r>
    </w:p>
    <w:p>
      <w:pPr>
        <w:snapToGrid w:val="0"/>
        <w:spacing w:line="360" w:lineRule="auto"/>
        <w:ind w:firstLine="525" w:firstLineChars="250"/>
        <w:rPr>
          <w:color w:val="auto"/>
          <w:szCs w:val="21"/>
        </w:rPr>
      </w:pPr>
      <w:r>
        <w:rPr>
          <w:rFonts w:hint="eastAsia"/>
          <w:color w:val="auto"/>
          <w:szCs w:val="21"/>
        </w:rPr>
        <w:t>2、丙方除四害药物需选用符合国家规定要求的药物，药物使用剂量、浓度、时间、方法、配伍等符合技术规定，所消杀使用的药物购置发票复印件和有关证书及时报市、区爱卫办备案；</w:t>
      </w:r>
    </w:p>
    <w:p>
      <w:pPr>
        <w:snapToGrid w:val="0"/>
        <w:spacing w:line="360" w:lineRule="auto"/>
        <w:ind w:firstLine="525" w:firstLineChars="250"/>
        <w:rPr>
          <w:color w:val="auto"/>
          <w:szCs w:val="21"/>
        </w:rPr>
      </w:pPr>
      <w:r>
        <w:rPr>
          <w:rFonts w:hint="eastAsia"/>
          <w:color w:val="auto"/>
          <w:szCs w:val="21"/>
        </w:rPr>
        <w:t>3、丙方应科学规范地使用药物，确保人、禽的安全；合同执行期间不得发生因操作不规范而引起的安全事故和投诉事件。</w:t>
      </w:r>
    </w:p>
    <w:p>
      <w:pPr>
        <w:snapToGrid w:val="0"/>
        <w:spacing w:line="360" w:lineRule="auto"/>
        <w:ind w:firstLine="525" w:firstLineChars="250"/>
        <w:rPr>
          <w:color w:val="auto"/>
          <w:szCs w:val="21"/>
          <w:highlight w:val="none"/>
        </w:rPr>
      </w:pPr>
      <w:r>
        <w:rPr>
          <w:rFonts w:hint="eastAsia"/>
          <w:color w:val="auto"/>
          <w:szCs w:val="21"/>
          <w:highlight w:val="none"/>
        </w:rPr>
        <w:t>4、</w:t>
      </w:r>
      <w:r>
        <w:rPr>
          <w:rFonts w:hint="default" w:ascii="宋体" w:hAnsi="宋体" w:eastAsia="宋体" w:cs="宋体"/>
          <w:color w:val="auto"/>
          <w:highlight w:val="none"/>
          <w:lang w:val="en-US" w:eastAsia="zh-CN"/>
        </w:rPr>
        <w:t>PCO公司的消杀人员应定期到街道报到，每个街道固定作业人员不少于</w:t>
      </w:r>
      <w:r>
        <w:rPr>
          <w:rFonts w:hint="eastAsia" w:ascii="宋体" w:hAnsi="宋体" w:cs="宋体"/>
          <w:color w:val="auto"/>
          <w:highlight w:val="none"/>
          <w:u w:val="single"/>
          <w:lang w:val="en-US" w:eastAsia="zh-CN"/>
        </w:rPr>
        <w:t xml:space="preserve">   </w:t>
      </w:r>
      <w:r>
        <w:rPr>
          <w:rFonts w:hint="default" w:ascii="宋体" w:hAnsi="宋体" w:eastAsia="宋体" w:cs="宋体"/>
          <w:b/>
          <w:bCs/>
          <w:color w:val="auto"/>
          <w:highlight w:val="none"/>
          <w:lang w:val="en-US" w:eastAsia="zh-CN"/>
        </w:rPr>
        <w:t>人</w:t>
      </w:r>
      <w:r>
        <w:rPr>
          <w:rFonts w:hint="default" w:ascii="宋体" w:hAnsi="宋体" w:eastAsia="宋体" w:cs="宋体"/>
          <w:color w:val="auto"/>
          <w:highlight w:val="none"/>
          <w:lang w:val="en-US" w:eastAsia="zh-CN"/>
        </w:rPr>
        <w:t>，向街道分管人员汇报工作计划，并服从街道分配的具体工作任务。</w:t>
      </w:r>
    </w:p>
    <w:p>
      <w:pPr>
        <w:snapToGrid w:val="0"/>
        <w:spacing w:line="360" w:lineRule="auto"/>
        <w:ind w:firstLine="525" w:firstLineChars="250"/>
        <w:rPr>
          <w:color w:val="auto"/>
          <w:szCs w:val="21"/>
        </w:rPr>
      </w:pPr>
      <w:r>
        <w:rPr>
          <w:rFonts w:hint="eastAsia"/>
          <w:color w:val="auto"/>
          <w:szCs w:val="21"/>
        </w:rPr>
        <w:t>5、丙方应向承包组团的居民公示公司名称、负责人、联系电话，以及街道、区、市爱卫办监督电话。</w:t>
      </w:r>
    </w:p>
    <w:p>
      <w:pPr>
        <w:snapToGrid w:val="0"/>
        <w:spacing w:line="360" w:lineRule="auto"/>
        <w:ind w:firstLine="525" w:firstLineChars="250"/>
        <w:rPr>
          <w:color w:val="auto"/>
          <w:szCs w:val="21"/>
        </w:rPr>
      </w:pPr>
      <w:r>
        <w:rPr>
          <w:rFonts w:hint="eastAsia"/>
          <w:color w:val="auto"/>
          <w:szCs w:val="21"/>
        </w:rPr>
        <w:t>6、丙方应在作业后向社区提交工作单，并每月做好工作计划和工作小结，报市、区、街道爱卫办和社区干部。</w:t>
      </w:r>
    </w:p>
    <w:p>
      <w:pPr>
        <w:snapToGrid w:val="0"/>
        <w:spacing w:line="360" w:lineRule="auto"/>
        <w:ind w:firstLine="525" w:firstLineChars="250"/>
        <w:rPr>
          <w:color w:val="auto"/>
          <w:szCs w:val="21"/>
        </w:rPr>
      </w:pPr>
      <w:r>
        <w:rPr>
          <w:rFonts w:hint="eastAsia"/>
          <w:color w:val="auto"/>
          <w:szCs w:val="21"/>
        </w:rPr>
        <w:t>7、丙方做好工作计划、总结、密度监测、药械消耗及消杀工作记录表等资料的整理收集，并及时报送甲、乙方；并配合做好市、区爱卫办委托的第三方监测评估工作以及提供所需台账资料的审核等。</w:t>
      </w:r>
    </w:p>
    <w:p>
      <w:pPr>
        <w:snapToGrid w:val="0"/>
        <w:spacing w:line="360" w:lineRule="auto"/>
        <w:ind w:firstLine="525" w:firstLineChars="250"/>
        <w:rPr>
          <w:color w:val="auto"/>
          <w:szCs w:val="21"/>
        </w:rPr>
      </w:pPr>
      <w:r>
        <w:rPr>
          <w:rFonts w:hint="eastAsia"/>
          <w:color w:val="auto"/>
          <w:szCs w:val="21"/>
        </w:rPr>
        <w:t>五、考核标准：</w:t>
      </w:r>
    </w:p>
    <w:p>
      <w:pPr>
        <w:snapToGrid w:val="0"/>
        <w:spacing w:line="360" w:lineRule="auto"/>
        <w:ind w:firstLine="525" w:firstLineChars="250"/>
        <w:rPr>
          <w:color w:val="auto"/>
          <w:szCs w:val="21"/>
        </w:rPr>
      </w:pPr>
      <w:r>
        <w:rPr>
          <w:rFonts w:hint="eastAsia"/>
          <w:color w:val="auto"/>
          <w:szCs w:val="21"/>
        </w:rPr>
        <w:t>1.鼠密度控制标准: （1）春秋两季鼠药（下水道悬挂毒饵）的投放覆盖率98%以上、到位率95%以上；（2）每社区外环境鼠密度控制水平路径指数小于或等于3。</w:t>
      </w:r>
    </w:p>
    <w:p>
      <w:pPr>
        <w:snapToGrid w:val="0"/>
        <w:spacing w:line="360" w:lineRule="auto"/>
        <w:ind w:firstLine="525" w:firstLineChars="250"/>
        <w:rPr>
          <w:color w:val="auto"/>
          <w:szCs w:val="21"/>
        </w:rPr>
      </w:pPr>
      <w:r>
        <w:rPr>
          <w:rFonts w:hint="eastAsia"/>
          <w:color w:val="auto"/>
          <w:szCs w:val="21"/>
        </w:rPr>
        <w:t>2.蚊密度控制标准: 每社区小型积水蚊虫密度控制水平路径指数小于或等于0.5。</w:t>
      </w:r>
    </w:p>
    <w:p>
      <w:pPr>
        <w:snapToGrid w:val="0"/>
        <w:spacing w:line="360" w:lineRule="auto"/>
        <w:ind w:firstLine="525" w:firstLineChars="250"/>
        <w:rPr>
          <w:color w:val="auto"/>
          <w:szCs w:val="21"/>
        </w:rPr>
      </w:pPr>
      <w:r>
        <w:rPr>
          <w:rFonts w:hint="eastAsia"/>
          <w:color w:val="auto"/>
          <w:szCs w:val="21"/>
        </w:rPr>
        <w:t>3.蝇密度控制标准: 每社区蝇类孳生地阳性孳生小于或等于3%。</w:t>
      </w:r>
    </w:p>
    <w:p>
      <w:pPr>
        <w:snapToGrid w:val="0"/>
        <w:spacing w:line="360" w:lineRule="auto"/>
        <w:ind w:firstLine="525" w:firstLineChars="250"/>
        <w:rPr>
          <w:color w:val="auto"/>
          <w:szCs w:val="21"/>
        </w:rPr>
      </w:pPr>
      <w:r>
        <w:rPr>
          <w:rFonts w:hint="eastAsia"/>
          <w:color w:val="auto"/>
          <w:szCs w:val="21"/>
        </w:rPr>
        <w:t>4.灭</w:t>
      </w:r>
      <w:r>
        <w:rPr>
          <w:rFonts w:cs="宋体"/>
          <w:color w:val="auto"/>
          <w:szCs w:val="21"/>
        </w:rPr>
        <w:t>蟑螂</w:t>
      </w:r>
      <w:r>
        <w:rPr>
          <w:rFonts w:hint="eastAsia" w:cs="宋体"/>
          <w:color w:val="auto"/>
          <w:szCs w:val="21"/>
        </w:rPr>
        <w:t>标准：每社区</w:t>
      </w:r>
      <w:r>
        <w:rPr>
          <w:rFonts w:cs="宋体"/>
          <w:color w:val="auto"/>
          <w:szCs w:val="21"/>
        </w:rPr>
        <w:t>蟑螂</w:t>
      </w:r>
      <w:r>
        <w:rPr>
          <w:rFonts w:hint="eastAsia" w:cs="宋体"/>
          <w:color w:val="auto"/>
          <w:szCs w:val="21"/>
        </w:rPr>
        <w:t>成若虫侵害率</w:t>
      </w:r>
      <w:r>
        <w:rPr>
          <w:rFonts w:hint="eastAsia"/>
          <w:color w:val="auto"/>
          <w:szCs w:val="21"/>
        </w:rPr>
        <w:t>小于或等于3%</w:t>
      </w:r>
      <w:r>
        <w:rPr>
          <w:rFonts w:hint="eastAsia" w:cs="宋体"/>
          <w:color w:val="auto"/>
          <w:szCs w:val="21"/>
        </w:rPr>
        <w:t>。</w:t>
      </w:r>
    </w:p>
    <w:p>
      <w:pPr>
        <w:snapToGrid w:val="0"/>
        <w:spacing w:line="360" w:lineRule="auto"/>
        <w:ind w:firstLine="525" w:firstLineChars="250"/>
        <w:rPr>
          <w:color w:val="auto"/>
          <w:szCs w:val="21"/>
        </w:rPr>
      </w:pPr>
      <w:r>
        <w:rPr>
          <w:rFonts w:hint="eastAsia"/>
          <w:color w:val="auto"/>
          <w:szCs w:val="21"/>
        </w:rPr>
        <w:t>5.群众满意率达90%（含）以上。</w:t>
      </w:r>
    </w:p>
    <w:p>
      <w:pPr>
        <w:snapToGrid w:val="0"/>
        <w:spacing w:line="360" w:lineRule="auto"/>
        <w:ind w:firstLine="525" w:firstLineChars="250"/>
        <w:rPr>
          <w:color w:val="auto"/>
          <w:szCs w:val="21"/>
        </w:rPr>
      </w:pPr>
      <w:r>
        <w:rPr>
          <w:rFonts w:hint="eastAsia"/>
          <w:color w:val="auto"/>
          <w:szCs w:val="21"/>
        </w:rPr>
        <w:t>六、承包价:</w:t>
      </w:r>
    </w:p>
    <w:p>
      <w:pPr>
        <w:snapToGrid w:val="0"/>
        <w:spacing w:line="360" w:lineRule="auto"/>
        <w:ind w:firstLine="420" w:firstLineChars="200"/>
        <w:rPr>
          <w:color w:val="auto"/>
          <w:szCs w:val="21"/>
        </w:rPr>
      </w:pPr>
      <w:r>
        <w:rPr>
          <w:rFonts w:hint="eastAsia"/>
          <w:color w:val="auto"/>
          <w:szCs w:val="21"/>
        </w:rPr>
        <w:t>承包价：大写：</w:t>
      </w:r>
      <w:r>
        <w:rPr>
          <w:rFonts w:hint="eastAsia"/>
          <w:color w:val="auto"/>
          <w:szCs w:val="21"/>
          <w:u w:val="single"/>
        </w:rPr>
        <w:t xml:space="preserve">                   </w:t>
      </w:r>
      <w:r>
        <w:rPr>
          <w:rFonts w:hint="eastAsia"/>
          <w:color w:val="auto"/>
          <w:szCs w:val="21"/>
        </w:rPr>
        <w:t xml:space="preserve"> 元（￥</w:t>
      </w:r>
      <w:r>
        <w:rPr>
          <w:rFonts w:hint="eastAsia"/>
          <w:color w:val="auto"/>
          <w:szCs w:val="21"/>
          <w:u w:val="single"/>
        </w:rPr>
        <w:t xml:space="preserve">           </w:t>
      </w:r>
      <w:r>
        <w:rPr>
          <w:rFonts w:hint="eastAsia"/>
          <w:color w:val="auto"/>
          <w:szCs w:val="21"/>
        </w:rPr>
        <w:t>）。</w:t>
      </w:r>
    </w:p>
    <w:p>
      <w:pPr>
        <w:pStyle w:val="27"/>
        <w:snapToGrid w:val="0"/>
        <w:ind w:firstLine="420"/>
        <w:rPr>
          <w:color w:val="auto"/>
          <w:sz w:val="21"/>
          <w:szCs w:val="21"/>
        </w:rPr>
      </w:pPr>
      <w:r>
        <w:rPr>
          <w:rFonts w:hint="eastAsia"/>
          <w:color w:val="auto"/>
          <w:sz w:val="21"/>
          <w:szCs w:val="21"/>
        </w:rPr>
        <w:t>七、结算：</w:t>
      </w:r>
    </w:p>
    <w:p>
      <w:pPr>
        <w:snapToGrid w:val="0"/>
        <w:spacing w:line="360" w:lineRule="auto"/>
        <w:ind w:firstLine="420" w:firstLineChars="200"/>
        <w:rPr>
          <w:color w:val="auto"/>
          <w:szCs w:val="21"/>
        </w:rPr>
      </w:pPr>
      <w:r>
        <w:rPr>
          <w:rFonts w:hint="eastAsia"/>
          <w:color w:val="auto"/>
          <w:szCs w:val="21"/>
        </w:rPr>
        <w:t>全年承包价甲方支付</w:t>
      </w:r>
      <w:r>
        <w:rPr>
          <w:rFonts w:hint="eastAsia"/>
          <w:color w:val="auto"/>
          <w:szCs w:val="21"/>
          <w:u w:val="single"/>
        </w:rPr>
        <w:t xml:space="preserve"> 大写（    元） 小写（   元 ） 、乙方支付大写（    元） 小写（   元 ）              给丙方</w:t>
      </w:r>
      <w:r>
        <w:rPr>
          <w:rFonts w:hint="eastAsia"/>
          <w:color w:val="auto"/>
          <w:szCs w:val="21"/>
        </w:rPr>
        <w:t xml:space="preserve"> ；由市、区、街道爱卫办对中标单位的实施情况进行检查考核，达到质量要求，第一、第四季度支付年度承包价总额的各15%，第二、三季度支付年度承包价总额的各35%，承包金额按考核情况每季度支付一次；丙方未按实施方案、技术方案要求严格执行, 未达到质量要求的，甲方即时提出警告并责令限期改正，在限期内整改落实后，再予支付（扣除不达标项20%款额）；若经警告后未在限期内改正，或中标方中途自行退出，或确认其不能达到要求的, 甲、乙方可即时与丙方解除合同，另选其它单位。</w:t>
      </w:r>
    </w:p>
    <w:p>
      <w:pPr>
        <w:pStyle w:val="27"/>
        <w:snapToGrid w:val="0"/>
        <w:ind w:firstLine="420"/>
        <w:rPr>
          <w:color w:val="auto"/>
          <w:sz w:val="21"/>
          <w:szCs w:val="21"/>
        </w:rPr>
      </w:pPr>
      <w:r>
        <w:rPr>
          <w:rFonts w:hint="eastAsia"/>
          <w:color w:val="auto"/>
          <w:sz w:val="21"/>
          <w:szCs w:val="21"/>
        </w:rPr>
        <w:t>八、甲方的权利及义务：</w:t>
      </w:r>
    </w:p>
    <w:p>
      <w:pPr>
        <w:snapToGrid w:val="0"/>
        <w:spacing w:line="360" w:lineRule="auto"/>
        <w:ind w:firstLine="420" w:firstLineChars="200"/>
        <w:rPr>
          <w:color w:val="auto"/>
          <w:szCs w:val="21"/>
        </w:rPr>
      </w:pPr>
      <w:r>
        <w:rPr>
          <w:rFonts w:hint="eastAsia"/>
          <w:color w:val="auto"/>
          <w:szCs w:val="21"/>
        </w:rPr>
        <w:t>1、负责做好公共环境环卫基础设施建设、维护，督促保持环境清洁卫生；</w:t>
      </w:r>
    </w:p>
    <w:p>
      <w:pPr>
        <w:snapToGrid w:val="0"/>
        <w:spacing w:line="360" w:lineRule="auto"/>
        <w:ind w:firstLine="420" w:firstLineChars="200"/>
        <w:rPr>
          <w:color w:val="auto"/>
          <w:szCs w:val="21"/>
        </w:rPr>
      </w:pPr>
      <w:r>
        <w:rPr>
          <w:rFonts w:hint="eastAsia"/>
          <w:color w:val="auto"/>
          <w:szCs w:val="21"/>
        </w:rPr>
        <w:t>2、经常开展单位、社区的除四害工作的宣传；</w:t>
      </w:r>
    </w:p>
    <w:p>
      <w:pPr>
        <w:snapToGrid w:val="0"/>
        <w:spacing w:line="360" w:lineRule="auto"/>
        <w:ind w:firstLine="420" w:firstLineChars="200"/>
        <w:rPr>
          <w:color w:val="auto"/>
          <w:szCs w:val="21"/>
        </w:rPr>
      </w:pPr>
      <w:r>
        <w:rPr>
          <w:rFonts w:hint="eastAsia"/>
          <w:color w:val="auto"/>
          <w:szCs w:val="21"/>
        </w:rPr>
        <w:t>3、督促单位、社区落实除四害工作相关职责。</w:t>
      </w:r>
    </w:p>
    <w:p>
      <w:pPr>
        <w:snapToGrid w:val="0"/>
        <w:spacing w:line="360" w:lineRule="auto"/>
        <w:ind w:firstLine="420" w:firstLineChars="200"/>
        <w:rPr>
          <w:color w:val="auto"/>
          <w:szCs w:val="21"/>
        </w:rPr>
      </w:pPr>
      <w:r>
        <w:rPr>
          <w:rFonts w:hint="eastAsia"/>
          <w:color w:val="auto"/>
          <w:szCs w:val="21"/>
        </w:rPr>
        <w:t>九、</w:t>
      </w:r>
      <w:r>
        <w:rPr>
          <w:color w:val="auto"/>
          <w:szCs w:val="21"/>
        </w:rPr>
        <w:t>甲方未按第八条执行，丙方有权向甲方提出要求，也可以向甲方上级机关申诉，督促甲方执行。</w:t>
      </w:r>
    </w:p>
    <w:p>
      <w:pPr>
        <w:pStyle w:val="27"/>
        <w:snapToGrid w:val="0"/>
        <w:ind w:firstLine="420"/>
        <w:rPr>
          <w:color w:val="auto"/>
          <w:sz w:val="21"/>
          <w:szCs w:val="21"/>
        </w:rPr>
      </w:pPr>
      <w:r>
        <w:rPr>
          <w:rFonts w:hint="eastAsia"/>
          <w:color w:val="auto"/>
          <w:sz w:val="21"/>
          <w:szCs w:val="21"/>
        </w:rPr>
        <w:t>十、违约责任：</w:t>
      </w:r>
    </w:p>
    <w:p>
      <w:pPr>
        <w:pStyle w:val="27"/>
        <w:snapToGrid w:val="0"/>
        <w:ind w:firstLine="420"/>
        <w:rPr>
          <w:rFonts w:cs="宋体"/>
          <w:color w:val="auto"/>
          <w:sz w:val="21"/>
          <w:szCs w:val="21"/>
        </w:rPr>
      </w:pPr>
      <w:r>
        <w:rPr>
          <w:rFonts w:hint="eastAsia"/>
          <w:color w:val="auto"/>
          <w:sz w:val="21"/>
          <w:szCs w:val="21"/>
        </w:rPr>
        <w:t>1</w:t>
      </w:r>
      <w:r>
        <w:rPr>
          <w:rFonts w:hint="eastAsia" w:cs="宋体"/>
          <w:color w:val="auto"/>
          <w:sz w:val="21"/>
          <w:szCs w:val="21"/>
        </w:rPr>
        <w:t>、丙方未按第四条第</w:t>
      </w:r>
      <w:r>
        <w:rPr>
          <w:rFonts w:hint="eastAsia"/>
          <w:color w:val="auto"/>
          <w:sz w:val="21"/>
          <w:szCs w:val="21"/>
        </w:rPr>
        <w:t>1</w:t>
      </w:r>
      <w:r>
        <w:rPr>
          <w:rFonts w:hint="eastAsia" w:cs="宋体"/>
          <w:color w:val="auto"/>
          <w:sz w:val="21"/>
          <w:szCs w:val="21"/>
        </w:rPr>
        <w:t>、</w:t>
      </w:r>
      <w:r>
        <w:rPr>
          <w:rFonts w:hint="eastAsia"/>
          <w:color w:val="auto"/>
          <w:sz w:val="21"/>
          <w:szCs w:val="21"/>
        </w:rPr>
        <w:t>2</w:t>
      </w:r>
      <w:r>
        <w:rPr>
          <w:rFonts w:hint="eastAsia" w:cs="宋体"/>
          <w:color w:val="auto"/>
          <w:sz w:val="21"/>
          <w:szCs w:val="21"/>
        </w:rPr>
        <w:t>、</w:t>
      </w:r>
      <w:r>
        <w:rPr>
          <w:rFonts w:hint="eastAsia"/>
          <w:color w:val="auto"/>
          <w:sz w:val="21"/>
          <w:szCs w:val="21"/>
        </w:rPr>
        <w:t>4</w:t>
      </w:r>
      <w:r>
        <w:rPr>
          <w:rFonts w:hint="eastAsia" w:cs="宋体"/>
          <w:color w:val="auto"/>
          <w:sz w:val="21"/>
          <w:szCs w:val="21"/>
        </w:rPr>
        <w:t>、</w:t>
      </w:r>
      <w:r>
        <w:rPr>
          <w:rFonts w:hint="eastAsia"/>
          <w:color w:val="auto"/>
          <w:sz w:val="21"/>
          <w:szCs w:val="21"/>
        </w:rPr>
        <w:t>6</w:t>
      </w:r>
      <w:r>
        <w:rPr>
          <w:rFonts w:hint="eastAsia" w:cs="宋体"/>
          <w:color w:val="auto"/>
          <w:sz w:val="21"/>
          <w:szCs w:val="21"/>
        </w:rPr>
        <w:t>、</w:t>
      </w:r>
      <w:r>
        <w:rPr>
          <w:rFonts w:hint="eastAsia"/>
          <w:color w:val="auto"/>
          <w:sz w:val="21"/>
          <w:szCs w:val="21"/>
        </w:rPr>
        <w:t>7</w:t>
      </w:r>
      <w:r>
        <w:rPr>
          <w:rFonts w:hint="eastAsia" w:cs="宋体"/>
          <w:color w:val="auto"/>
          <w:sz w:val="21"/>
          <w:szCs w:val="21"/>
        </w:rPr>
        <w:t>款执行，甲方可即时提出警告，并进行扣款处理，其中抽查发现使用药物与投标文件提供的信息不一致或未按甲方要求使用的，每发现一次扣款</w:t>
      </w:r>
      <w:r>
        <w:rPr>
          <w:rFonts w:hint="eastAsia"/>
          <w:color w:val="auto"/>
          <w:sz w:val="21"/>
          <w:szCs w:val="21"/>
        </w:rPr>
        <w:t>5000-10000</w:t>
      </w:r>
      <w:r>
        <w:rPr>
          <w:rFonts w:hint="eastAsia" w:cs="宋体"/>
          <w:color w:val="auto"/>
          <w:sz w:val="21"/>
          <w:szCs w:val="21"/>
        </w:rPr>
        <w:t>元（如使用违禁药物一旦发现扣款后甲方有权立即终止合同，因使用违禁药物产生的一切后果由丙方承担一切经济及法律责任）。参与现场消杀作业的固定技术员工与投标文件中名单不相符的每人次扣款</w:t>
      </w:r>
      <w:r>
        <w:rPr>
          <w:rFonts w:hint="eastAsia"/>
          <w:color w:val="auto"/>
          <w:sz w:val="21"/>
          <w:szCs w:val="21"/>
        </w:rPr>
        <w:t>1000</w:t>
      </w:r>
      <w:r>
        <w:rPr>
          <w:rFonts w:hint="eastAsia" w:cs="宋体"/>
          <w:color w:val="auto"/>
          <w:sz w:val="21"/>
          <w:szCs w:val="21"/>
        </w:rPr>
        <w:t>元，未持证上岗作业的每人次扣款</w:t>
      </w:r>
      <w:r>
        <w:rPr>
          <w:rFonts w:hint="eastAsia"/>
          <w:color w:val="auto"/>
          <w:sz w:val="21"/>
          <w:szCs w:val="21"/>
        </w:rPr>
        <w:t>5000</w:t>
      </w:r>
      <w:r>
        <w:rPr>
          <w:rFonts w:hint="eastAsia" w:cs="宋体"/>
          <w:color w:val="auto"/>
          <w:sz w:val="21"/>
          <w:szCs w:val="21"/>
        </w:rPr>
        <w:t>元并移交卫生计生行政部门处理。若情节严重，确认丙方未达到要求的，甲、乙方有权终止合同，履约保证金不再退还，甲、乙方不再向丙方支付剩余款项。</w:t>
      </w:r>
    </w:p>
    <w:p>
      <w:pPr>
        <w:pStyle w:val="27"/>
        <w:snapToGrid w:val="0"/>
        <w:ind w:firstLine="420"/>
        <w:rPr>
          <w:rFonts w:cs="宋体"/>
          <w:color w:val="auto"/>
          <w:sz w:val="21"/>
          <w:szCs w:val="21"/>
        </w:rPr>
      </w:pPr>
      <w:r>
        <w:rPr>
          <w:rFonts w:hint="eastAsia"/>
          <w:color w:val="auto"/>
          <w:sz w:val="21"/>
          <w:szCs w:val="21"/>
        </w:rPr>
        <w:t>2</w:t>
      </w:r>
      <w:r>
        <w:rPr>
          <w:rFonts w:hint="eastAsia" w:cs="宋体"/>
          <w:color w:val="auto"/>
          <w:sz w:val="21"/>
          <w:szCs w:val="21"/>
        </w:rPr>
        <w:t>、如因丙方原因发生人、禽中毒责任事件，一切后果由丙方承担。</w:t>
      </w:r>
    </w:p>
    <w:p>
      <w:pPr>
        <w:pStyle w:val="27"/>
        <w:snapToGrid w:val="0"/>
        <w:ind w:firstLine="420"/>
        <w:rPr>
          <w:rFonts w:cs="宋体"/>
          <w:color w:val="auto"/>
          <w:sz w:val="21"/>
          <w:szCs w:val="21"/>
        </w:rPr>
      </w:pPr>
      <w:r>
        <w:rPr>
          <w:rFonts w:hint="eastAsia"/>
          <w:color w:val="auto"/>
          <w:sz w:val="21"/>
          <w:szCs w:val="21"/>
        </w:rPr>
        <w:t>3</w:t>
      </w:r>
      <w:r>
        <w:rPr>
          <w:rFonts w:hint="eastAsia" w:cs="宋体"/>
          <w:color w:val="auto"/>
          <w:sz w:val="21"/>
          <w:szCs w:val="21"/>
        </w:rPr>
        <w:t>、丙方在合同期内未能达到第四、五条要求，或在甲方上级检查时影响甲方成绩的，或甲、乙方委托第三方监测评估结果达不到标准要求的，即时提出警告，并限期改正，在限期内整改落实后，扣除不达标项季度金额的</w:t>
      </w:r>
      <w:r>
        <w:rPr>
          <w:rFonts w:hint="eastAsia"/>
          <w:color w:val="auto"/>
          <w:sz w:val="21"/>
          <w:szCs w:val="21"/>
        </w:rPr>
        <w:t>20%</w:t>
      </w:r>
      <w:r>
        <w:rPr>
          <w:rFonts w:hint="eastAsia" w:cs="宋体"/>
          <w:color w:val="auto"/>
          <w:sz w:val="21"/>
          <w:szCs w:val="21"/>
        </w:rPr>
        <w:t>；如在限期内整改落实后仍不能达到甲、乙方要求的，加倍扣款。若两次警告后未在限期内改正，或丙方中途自行退出，或甲、乙方确认丙方不能胜任公共环境除四害工作的，即时解除合同，余款不再支付。</w:t>
      </w:r>
    </w:p>
    <w:p>
      <w:pPr>
        <w:pStyle w:val="27"/>
        <w:snapToGrid w:val="0"/>
        <w:ind w:firstLine="420"/>
        <w:rPr>
          <w:color w:val="auto"/>
          <w:sz w:val="21"/>
          <w:szCs w:val="21"/>
        </w:rPr>
      </w:pPr>
      <w:r>
        <w:rPr>
          <w:rFonts w:hint="eastAsia"/>
          <w:color w:val="auto"/>
          <w:sz w:val="21"/>
          <w:szCs w:val="21"/>
        </w:rPr>
        <w:t>4.</w:t>
      </w:r>
      <w:r>
        <w:rPr>
          <w:rFonts w:hint="eastAsia" w:cs="宋体"/>
          <w:color w:val="auto"/>
          <w:sz w:val="21"/>
          <w:szCs w:val="21"/>
        </w:rPr>
        <w:t>丙方未按照招标中提供的服务方案进行实施的、或实施不彻底的、或实施后达不到预期效果的，视具体情况扣除合同价的</w:t>
      </w:r>
      <w:r>
        <w:rPr>
          <w:rFonts w:hint="eastAsia"/>
          <w:color w:val="auto"/>
          <w:sz w:val="21"/>
          <w:szCs w:val="21"/>
        </w:rPr>
        <w:t>10%-20%</w:t>
      </w:r>
      <w:r>
        <w:rPr>
          <w:rFonts w:hint="eastAsia" w:cs="宋体"/>
          <w:color w:val="auto"/>
          <w:sz w:val="21"/>
          <w:szCs w:val="21"/>
        </w:rPr>
        <w:t>；情节严重的，甲、乙方有权单方终止合同，并没收合同履约保证金，丙方向甲、乙方退还已支付的资金。</w:t>
      </w:r>
    </w:p>
    <w:p>
      <w:pPr>
        <w:pStyle w:val="27"/>
        <w:snapToGrid w:val="0"/>
        <w:ind w:firstLine="420"/>
        <w:rPr>
          <w:color w:val="auto"/>
          <w:sz w:val="21"/>
          <w:szCs w:val="21"/>
        </w:rPr>
      </w:pPr>
      <w:r>
        <w:rPr>
          <w:color w:val="auto"/>
          <w:sz w:val="21"/>
          <w:szCs w:val="21"/>
        </w:rPr>
        <w:t>十</w:t>
      </w:r>
      <w:r>
        <w:rPr>
          <w:rFonts w:hint="eastAsia"/>
          <w:color w:val="auto"/>
          <w:sz w:val="21"/>
          <w:szCs w:val="21"/>
        </w:rPr>
        <w:t>一</w:t>
      </w:r>
      <w:r>
        <w:rPr>
          <w:color w:val="auto"/>
          <w:sz w:val="21"/>
          <w:szCs w:val="21"/>
        </w:rPr>
        <w:t>、</w:t>
      </w:r>
      <w:r>
        <w:rPr>
          <w:rFonts w:hint="eastAsia"/>
          <w:color w:val="auto"/>
          <w:sz w:val="21"/>
          <w:szCs w:val="21"/>
        </w:rPr>
        <w:t>合同期内</w:t>
      </w:r>
      <w:r>
        <w:rPr>
          <w:color w:val="auto"/>
          <w:sz w:val="21"/>
          <w:szCs w:val="21"/>
        </w:rPr>
        <w:t>丙方不得转包；如转包，立即解除合同。</w:t>
      </w:r>
    </w:p>
    <w:p>
      <w:pPr>
        <w:pStyle w:val="27"/>
        <w:snapToGrid w:val="0"/>
        <w:ind w:firstLine="420"/>
        <w:rPr>
          <w:color w:val="auto"/>
          <w:sz w:val="21"/>
          <w:szCs w:val="21"/>
        </w:rPr>
      </w:pPr>
      <w:r>
        <w:rPr>
          <w:color w:val="auto"/>
          <w:sz w:val="21"/>
          <w:szCs w:val="21"/>
        </w:rPr>
        <w:t>十</w:t>
      </w:r>
      <w:r>
        <w:rPr>
          <w:rFonts w:hint="eastAsia"/>
          <w:color w:val="auto"/>
          <w:sz w:val="21"/>
          <w:szCs w:val="21"/>
        </w:rPr>
        <w:t>二</w:t>
      </w:r>
      <w:r>
        <w:rPr>
          <w:color w:val="auto"/>
          <w:sz w:val="21"/>
          <w:szCs w:val="21"/>
        </w:rPr>
        <w:t>、本合同一式</w:t>
      </w:r>
      <w:r>
        <w:rPr>
          <w:rFonts w:hint="eastAsia"/>
          <w:color w:val="auto"/>
          <w:sz w:val="21"/>
          <w:szCs w:val="21"/>
        </w:rPr>
        <w:t>六</w:t>
      </w:r>
      <w:r>
        <w:rPr>
          <w:color w:val="auto"/>
          <w:sz w:val="21"/>
          <w:szCs w:val="21"/>
        </w:rPr>
        <w:t>份，甲方</w:t>
      </w:r>
      <w:r>
        <w:rPr>
          <w:rFonts w:hint="eastAsia"/>
          <w:color w:val="auto"/>
          <w:sz w:val="21"/>
          <w:szCs w:val="21"/>
        </w:rPr>
        <w:t>、乙方各贰份</w:t>
      </w:r>
      <w:r>
        <w:rPr>
          <w:color w:val="auto"/>
          <w:sz w:val="21"/>
          <w:szCs w:val="21"/>
        </w:rPr>
        <w:t>，丙方一份，</w:t>
      </w:r>
      <w:r>
        <w:rPr>
          <w:rFonts w:hint="eastAsia"/>
          <w:color w:val="auto"/>
          <w:sz w:val="21"/>
          <w:szCs w:val="21"/>
        </w:rPr>
        <w:t>鉴证方执一份。</w:t>
      </w:r>
    </w:p>
    <w:p>
      <w:pPr>
        <w:pStyle w:val="27"/>
        <w:snapToGrid w:val="0"/>
        <w:ind w:firstLine="420"/>
        <w:rPr>
          <w:color w:val="auto"/>
          <w:sz w:val="21"/>
          <w:szCs w:val="21"/>
        </w:rPr>
      </w:pPr>
      <w:r>
        <w:rPr>
          <w:color w:val="auto"/>
          <w:sz w:val="21"/>
          <w:szCs w:val="21"/>
        </w:rPr>
        <w:t>十</w:t>
      </w:r>
      <w:r>
        <w:rPr>
          <w:rFonts w:hint="eastAsia"/>
          <w:color w:val="auto"/>
          <w:sz w:val="21"/>
          <w:szCs w:val="21"/>
        </w:rPr>
        <w:t>三</w:t>
      </w:r>
      <w:r>
        <w:rPr>
          <w:color w:val="auto"/>
          <w:sz w:val="21"/>
          <w:szCs w:val="21"/>
        </w:rPr>
        <w:t>、本合同自甲、</w:t>
      </w:r>
      <w:r>
        <w:rPr>
          <w:rFonts w:hint="eastAsia"/>
          <w:color w:val="auto"/>
          <w:sz w:val="21"/>
          <w:szCs w:val="21"/>
        </w:rPr>
        <w:t>乙、</w:t>
      </w:r>
      <w:r>
        <w:rPr>
          <w:color w:val="auto"/>
          <w:sz w:val="21"/>
          <w:szCs w:val="21"/>
        </w:rPr>
        <w:t>丙方</w:t>
      </w:r>
      <w:r>
        <w:rPr>
          <w:rFonts w:hint="eastAsia"/>
          <w:color w:val="auto"/>
          <w:sz w:val="21"/>
          <w:szCs w:val="21"/>
        </w:rPr>
        <w:t>及鉴证方</w:t>
      </w:r>
      <w:r>
        <w:rPr>
          <w:color w:val="auto"/>
          <w:sz w:val="21"/>
          <w:szCs w:val="21"/>
        </w:rPr>
        <w:t>签字</w:t>
      </w:r>
      <w:r>
        <w:rPr>
          <w:rFonts w:hint="eastAsia"/>
          <w:color w:val="auto"/>
          <w:sz w:val="21"/>
          <w:szCs w:val="21"/>
        </w:rPr>
        <w:t>盖章</w:t>
      </w:r>
      <w:r>
        <w:rPr>
          <w:color w:val="auto"/>
          <w:sz w:val="21"/>
          <w:szCs w:val="21"/>
        </w:rPr>
        <w:t>之日起生效。</w:t>
      </w:r>
    </w:p>
    <w:p>
      <w:pPr>
        <w:pStyle w:val="27"/>
        <w:snapToGrid w:val="0"/>
        <w:ind w:firstLine="420"/>
        <w:rPr>
          <w:color w:val="auto"/>
          <w:sz w:val="21"/>
          <w:szCs w:val="21"/>
        </w:rPr>
      </w:pPr>
      <w:r>
        <w:rPr>
          <w:color w:val="auto"/>
          <w:sz w:val="21"/>
          <w:szCs w:val="21"/>
        </w:rPr>
        <w:t>十</w:t>
      </w:r>
      <w:r>
        <w:rPr>
          <w:rFonts w:hint="eastAsia"/>
          <w:color w:val="auto"/>
          <w:sz w:val="21"/>
          <w:szCs w:val="21"/>
        </w:rPr>
        <w:t>四</w:t>
      </w:r>
      <w:r>
        <w:rPr>
          <w:color w:val="auto"/>
          <w:sz w:val="21"/>
          <w:szCs w:val="21"/>
        </w:rPr>
        <w:t>、其它：</w:t>
      </w:r>
    </w:p>
    <w:p>
      <w:pPr>
        <w:pStyle w:val="27"/>
        <w:numPr>
          <w:ilvl w:val="0"/>
          <w:numId w:val="2"/>
        </w:numPr>
        <w:tabs>
          <w:tab w:val="left" w:pos="1134"/>
          <w:tab w:val="clear" w:pos="1200"/>
        </w:tabs>
        <w:snapToGrid w:val="0"/>
        <w:ind w:left="0" w:right="-252" w:firstLine="420"/>
        <w:rPr>
          <w:color w:val="auto"/>
          <w:sz w:val="21"/>
          <w:szCs w:val="21"/>
        </w:rPr>
      </w:pPr>
      <w:r>
        <w:rPr>
          <w:rFonts w:hint="eastAsia"/>
          <w:color w:val="auto"/>
          <w:sz w:val="21"/>
          <w:szCs w:val="21"/>
        </w:rPr>
        <w:t>如2025、2026年因物价上涨或财政增加资金投入，相关调整以补充协议形式明确。</w:t>
      </w:r>
    </w:p>
    <w:p>
      <w:pPr>
        <w:pStyle w:val="27"/>
        <w:numPr>
          <w:ilvl w:val="0"/>
          <w:numId w:val="2"/>
        </w:numPr>
        <w:tabs>
          <w:tab w:val="left" w:pos="1134"/>
          <w:tab w:val="clear" w:pos="1200"/>
        </w:tabs>
        <w:snapToGrid w:val="0"/>
        <w:ind w:left="0" w:right="-252" w:firstLine="420"/>
        <w:rPr>
          <w:snapToGrid w:val="0"/>
          <w:color w:val="auto"/>
          <w:kern w:val="0"/>
          <w:sz w:val="21"/>
          <w:szCs w:val="21"/>
        </w:rPr>
      </w:pPr>
      <w:r>
        <w:rPr>
          <w:rFonts w:hint="eastAsia"/>
          <w:color w:val="auto"/>
          <w:sz w:val="21"/>
          <w:szCs w:val="21"/>
        </w:rPr>
        <w:t>合同期满，如新的财政预算未下达，但甲方确需丙方继续履行服务义务的，可三方协商后酌情延长1～2个月，具体以补充协议形式明确。</w:t>
      </w:r>
    </w:p>
    <w:p>
      <w:pPr>
        <w:jc w:val="center"/>
        <w:rPr>
          <w:color w:val="auto"/>
        </w:rPr>
      </w:pPr>
      <w:r>
        <w:rPr>
          <w:rFonts w:hint="eastAsia"/>
          <w:color w:val="auto"/>
        </w:rPr>
        <w:t xml:space="preserve"> </w:t>
      </w:r>
    </w:p>
    <w:p>
      <w:pPr>
        <w:snapToGrid w:val="0"/>
        <w:spacing w:line="360" w:lineRule="auto"/>
        <w:rPr>
          <w:b/>
          <w:snapToGrid w:val="0"/>
          <w:color w:val="auto"/>
          <w:kern w:val="0"/>
          <w:szCs w:val="21"/>
        </w:rPr>
      </w:pPr>
      <w:r>
        <w:rPr>
          <w:rFonts w:hint="eastAsia"/>
          <w:snapToGrid w:val="0"/>
          <w:color w:val="auto"/>
          <w:kern w:val="0"/>
          <w:szCs w:val="21"/>
        </w:rPr>
        <w:t>甲</w:t>
      </w:r>
      <w:r>
        <w:rPr>
          <w:snapToGrid w:val="0"/>
          <w:color w:val="auto"/>
          <w:kern w:val="0"/>
          <w:szCs w:val="21"/>
        </w:rPr>
        <w:t>方（公章）：</w:t>
      </w:r>
      <w:r>
        <w:rPr>
          <w:b/>
          <w:snapToGrid w:val="0"/>
          <w:color w:val="auto"/>
          <w:kern w:val="0"/>
          <w:szCs w:val="21"/>
        </w:rPr>
        <w:t xml:space="preserve"> </w:t>
      </w:r>
    </w:p>
    <w:p>
      <w:pPr>
        <w:snapToGrid w:val="0"/>
        <w:spacing w:line="360" w:lineRule="auto"/>
        <w:rPr>
          <w:snapToGrid w:val="0"/>
          <w:color w:val="auto"/>
          <w:kern w:val="0"/>
          <w:szCs w:val="21"/>
        </w:rPr>
      </w:pPr>
      <w:r>
        <w:rPr>
          <w:snapToGrid w:val="0"/>
          <w:color w:val="auto"/>
          <w:kern w:val="0"/>
          <w:szCs w:val="21"/>
        </w:rPr>
        <w:t>法定代表人或授权委托人：</w:t>
      </w:r>
    </w:p>
    <w:p>
      <w:pPr>
        <w:snapToGrid w:val="0"/>
        <w:spacing w:line="360" w:lineRule="auto"/>
        <w:rPr>
          <w:snapToGrid w:val="0"/>
          <w:color w:val="auto"/>
          <w:kern w:val="0"/>
          <w:szCs w:val="21"/>
        </w:rPr>
      </w:pPr>
      <w:r>
        <w:rPr>
          <w:snapToGrid w:val="0"/>
          <w:color w:val="auto"/>
          <w:kern w:val="0"/>
          <w:szCs w:val="21"/>
        </w:rPr>
        <w:t>地址：</w:t>
      </w:r>
    </w:p>
    <w:p>
      <w:pPr>
        <w:snapToGrid w:val="0"/>
        <w:spacing w:line="360" w:lineRule="auto"/>
        <w:rPr>
          <w:snapToGrid w:val="0"/>
          <w:color w:val="auto"/>
          <w:kern w:val="0"/>
          <w:szCs w:val="21"/>
        </w:rPr>
      </w:pPr>
      <w:r>
        <w:rPr>
          <w:snapToGrid w:val="0"/>
          <w:color w:val="auto"/>
          <w:kern w:val="0"/>
          <w:szCs w:val="21"/>
        </w:rPr>
        <w:t>邮编：</w:t>
      </w:r>
    </w:p>
    <w:p>
      <w:pPr>
        <w:snapToGrid w:val="0"/>
        <w:spacing w:line="360" w:lineRule="auto"/>
        <w:rPr>
          <w:snapToGrid w:val="0"/>
          <w:color w:val="auto"/>
          <w:kern w:val="0"/>
          <w:szCs w:val="21"/>
        </w:rPr>
      </w:pPr>
      <w:r>
        <w:rPr>
          <w:rFonts w:hint="eastAsia"/>
          <w:snapToGrid w:val="0"/>
          <w:color w:val="auto"/>
          <w:kern w:val="0"/>
          <w:szCs w:val="21"/>
        </w:rPr>
        <w:t>联系人：</w:t>
      </w:r>
    </w:p>
    <w:p>
      <w:pPr>
        <w:snapToGrid w:val="0"/>
        <w:spacing w:line="360" w:lineRule="auto"/>
        <w:rPr>
          <w:snapToGrid w:val="0"/>
          <w:color w:val="auto"/>
          <w:kern w:val="0"/>
          <w:szCs w:val="21"/>
        </w:rPr>
      </w:pPr>
      <w:r>
        <w:rPr>
          <w:snapToGrid w:val="0"/>
          <w:color w:val="auto"/>
          <w:kern w:val="0"/>
          <w:szCs w:val="21"/>
        </w:rPr>
        <w:t>电话：</w:t>
      </w:r>
    </w:p>
    <w:p>
      <w:pPr>
        <w:snapToGrid w:val="0"/>
        <w:spacing w:line="360" w:lineRule="auto"/>
        <w:rPr>
          <w:snapToGrid w:val="0"/>
          <w:color w:val="auto"/>
          <w:kern w:val="0"/>
          <w:szCs w:val="21"/>
        </w:rPr>
      </w:pPr>
      <w:r>
        <w:rPr>
          <w:snapToGrid w:val="0"/>
          <w:color w:val="auto"/>
          <w:kern w:val="0"/>
          <w:szCs w:val="21"/>
        </w:rPr>
        <w:t>传真：</w:t>
      </w:r>
    </w:p>
    <w:p>
      <w:pPr>
        <w:snapToGrid w:val="0"/>
        <w:spacing w:line="360" w:lineRule="auto"/>
        <w:rPr>
          <w:snapToGrid w:val="0"/>
          <w:color w:val="auto"/>
          <w:kern w:val="0"/>
          <w:szCs w:val="21"/>
        </w:rPr>
      </w:pPr>
      <w:r>
        <w:rPr>
          <w:snapToGrid w:val="0"/>
          <w:color w:val="auto"/>
          <w:kern w:val="0"/>
          <w:szCs w:val="21"/>
        </w:rPr>
        <w:t>开户银行：</w:t>
      </w:r>
    </w:p>
    <w:p>
      <w:pPr>
        <w:snapToGrid w:val="0"/>
        <w:spacing w:line="360" w:lineRule="auto"/>
        <w:rPr>
          <w:snapToGrid w:val="0"/>
          <w:color w:val="auto"/>
          <w:kern w:val="0"/>
          <w:szCs w:val="21"/>
        </w:rPr>
      </w:pPr>
      <w:r>
        <w:rPr>
          <w:snapToGrid w:val="0"/>
          <w:color w:val="auto"/>
          <w:kern w:val="0"/>
          <w:szCs w:val="21"/>
        </w:rPr>
        <w:t>帐号：</w:t>
      </w:r>
    </w:p>
    <w:p>
      <w:pPr>
        <w:snapToGrid w:val="0"/>
        <w:spacing w:line="360" w:lineRule="auto"/>
        <w:rPr>
          <w:snapToGrid w:val="0"/>
          <w:color w:val="auto"/>
          <w:kern w:val="0"/>
          <w:szCs w:val="21"/>
        </w:rPr>
      </w:pPr>
    </w:p>
    <w:p>
      <w:pPr>
        <w:snapToGrid w:val="0"/>
        <w:spacing w:line="360" w:lineRule="auto"/>
        <w:rPr>
          <w:snapToGrid w:val="0"/>
          <w:color w:val="auto"/>
          <w:kern w:val="0"/>
          <w:szCs w:val="21"/>
        </w:rPr>
      </w:pPr>
      <w:r>
        <w:rPr>
          <w:rFonts w:hint="eastAsia"/>
          <w:snapToGrid w:val="0"/>
          <w:color w:val="auto"/>
          <w:kern w:val="0"/>
          <w:szCs w:val="21"/>
        </w:rPr>
        <w:t>乙</w:t>
      </w:r>
      <w:r>
        <w:rPr>
          <w:snapToGrid w:val="0"/>
          <w:color w:val="auto"/>
          <w:kern w:val="0"/>
          <w:szCs w:val="21"/>
        </w:rPr>
        <w:t>方（公章）</w:t>
      </w:r>
      <w:r>
        <w:rPr>
          <w:rFonts w:hint="eastAsia"/>
          <w:snapToGrid w:val="0"/>
          <w:color w:val="auto"/>
          <w:kern w:val="0"/>
          <w:szCs w:val="21"/>
        </w:rPr>
        <w:t xml:space="preserve">： </w:t>
      </w:r>
      <w:r>
        <w:rPr>
          <w:snapToGrid w:val="0"/>
          <w:color w:val="auto"/>
          <w:kern w:val="0"/>
          <w:szCs w:val="21"/>
        </w:rPr>
        <w:t xml:space="preserve">                                      </w:t>
      </w:r>
      <w:r>
        <w:rPr>
          <w:rFonts w:hint="eastAsia"/>
          <w:snapToGrid w:val="0"/>
          <w:color w:val="auto"/>
          <w:kern w:val="0"/>
          <w:szCs w:val="21"/>
        </w:rPr>
        <w:t>丙方（公章）</w:t>
      </w:r>
    </w:p>
    <w:p>
      <w:pPr>
        <w:snapToGrid w:val="0"/>
        <w:spacing w:line="360" w:lineRule="auto"/>
        <w:rPr>
          <w:snapToGrid w:val="0"/>
          <w:color w:val="auto"/>
          <w:kern w:val="0"/>
          <w:szCs w:val="21"/>
        </w:rPr>
      </w:pPr>
      <w:r>
        <w:rPr>
          <w:snapToGrid w:val="0"/>
          <w:color w:val="auto"/>
          <w:kern w:val="0"/>
          <w:szCs w:val="21"/>
        </w:rPr>
        <w:t>法定代表人或授权委托人：</w:t>
      </w:r>
      <w:r>
        <w:rPr>
          <w:rFonts w:hint="eastAsia"/>
          <w:snapToGrid w:val="0"/>
          <w:color w:val="auto"/>
          <w:kern w:val="0"/>
          <w:szCs w:val="21"/>
        </w:rPr>
        <w:t xml:space="preserve"> </w:t>
      </w:r>
      <w:r>
        <w:rPr>
          <w:snapToGrid w:val="0"/>
          <w:color w:val="auto"/>
          <w:kern w:val="0"/>
          <w:szCs w:val="21"/>
        </w:rPr>
        <w:t xml:space="preserve">                            法定代表人或授权委托人： </w:t>
      </w:r>
    </w:p>
    <w:p>
      <w:pPr>
        <w:snapToGrid w:val="0"/>
        <w:spacing w:line="360" w:lineRule="auto"/>
        <w:rPr>
          <w:snapToGrid w:val="0"/>
          <w:color w:val="auto"/>
          <w:kern w:val="0"/>
          <w:szCs w:val="21"/>
        </w:rPr>
      </w:pPr>
      <w:r>
        <w:rPr>
          <w:snapToGrid w:val="0"/>
          <w:color w:val="auto"/>
          <w:kern w:val="0"/>
          <w:szCs w:val="21"/>
        </w:rPr>
        <w:t>地址：</w:t>
      </w:r>
      <w:r>
        <w:rPr>
          <w:rFonts w:hint="eastAsia"/>
          <w:snapToGrid w:val="0"/>
          <w:color w:val="auto"/>
          <w:kern w:val="0"/>
          <w:szCs w:val="21"/>
        </w:rPr>
        <w:t xml:space="preserve"> </w:t>
      </w:r>
      <w:r>
        <w:rPr>
          <w:snapToGrid w:val="0"/>
          <w:color w:val="auto"/>
          <w:kern w:val="0"/>
          <w:szCs w:val="21"/>
        </w:rPr>
        <w:t xml:space="preserve">                                              地址：</w:t>
      </w:r>
      <w:r>
        <w:rPr>
          <w:rFonts w:hint="eastAsia"/>
          <w:snapToGrid w:val="0"/>
          <w:color w:val="auto"/>
          <w:kern w:val="0"/>
          <w:szCs w:val="21"/>
        </w:rPr>
        <w:t xml:space="preserve"> </w:t>
      </w:r>
    </w:p>
    <w:p>
      <w:pPr>
        <w:snapToGrid w:val="0"/>
        <w:spacing w:line="360" w:lineRule="auto"/>
        <w:rPr>
          <w:snapToGrid w:val="0"/>
          <w:color w:val="auto"/>
          <w:kern w:val="0"/>
          <w:szCs w:val="21"/>
        </w:rPr>
      </w:pPr>
      <w:r>
        <w:rPr>
          <w:snapToGrid w:val="0"/>
          <w:color w:val="auto"/>
          <w:kern w:val="0"/>
          <w:szCs w:val="21"/>
        </w:rPr>
        <w:t>邮编：</w:t>
      </w:r>
      <w:r>
        <w:rPr>
          <w:rFonts w:hint="eastAsia"/>
          <w:snapToGrid w:val="0"/>
          <w:color w:val="auto"/>
          <w:kern w:val="0"/>
          <w:szCs w:val="21"/>
        </w:rPr>
        <w:t xml:space="preserve"> </w:t>
      </w:r>
      <w:r>
        <w:rPr>
          <w:snapToGrid w:val="0"/>
          <w:color w:val="auto"/>
          <w:kern w:val="0"/>
          <w:szCs w:val="21"/>
        </w:rPr>
        <w:t xml:space="preserve">                                              邮编：</w:t>
      </w:r>
    </w:p>
    <w:p>
      <w:pPr>
        <w:snapToGrid w:val="0"/>
        <w:spacing w:line="360" w:lineRule="auto"/>
        <w:rPr>
          <w:snapToGrid w:val="0"/>
          <w:color w:val="auto"/>
          <w:kern w:val="0"/>
          <w:szCs w:val="21"/>
        </w:rPr>
      </w:pPr>
      <w:r>
        <w:rPr>
          <w:rFonts w:hint="eastAsia"/>
          <w:snapToGrid w:val="0"/>
          <w:color w:val="auto"/>
          <w:kern w:val="0"/>
          <w:szCs w:val="21"/>
        </w:rPr>
        <w:t xml:space="preserve">联系人： </w:t>
      </w:r>
      <w:r>
        <w:rPr>
          <w:snapToGrid w:val="0"/>
          <w:color w:val="auto"/>
          <w:kern w:val="0"/>
          <w:szCs w:val="21"/>
        </w:rPr>
        <w:t xml:space="preserve">                                            </w:t>
      </w:r>
      <w:r>
        <w:rPr>
          <w:rFonts w:hint="eastAsia"/>
          <w:snapToGrid w:val="0"/>
          <w:color w:val="auto"/>
          <w:kern w:val="0"/>
          <w:szCs w:val="21"/>
        </w:rPr>
        <w:t>联系人：</w:t>
      </w:r>
    </w:p>
    <w:p>
      <w:pPr>
        <w:snapToGrid w:val="0"/>
        <w:spacing w:line="360" w:lineRule="auto"/>
        <w:rPr>
          <w:snapToGrid w:val="0"/>
          <w:color w:val="auto"/>
          <w:kern w:val="0"/>
          <w:szCs w:val="21"/>
        </w:rPr>
      </w:pPr>
      <w:r>
        <w:rPr>
          <w:snapToGrid w:val="0"/>
          <w:color w:val="auto"/>
          <w:kern w:val="0"/>
          <w:szCs w:val="21"/>
        </w:rPr>
        <w:t>电话：</w:t>
      </w:r>
      <w:r>
        <w:rPr>
          <w:rFonts w:hint="eastAsia"/>
          <w:snapToGrid w:val="0"/>
          <w:color w:val="auto"/>
          <w:kern w:val="0"/>
          <w:szCs w:val="21"/>
        </w:rPr>
        <w:t xml:space="preserve">区号 </w:t>
      </w:r>
      <w:r>
        <w:rPr>
          <w:snapToGrid w:val="0"/>
          <w:color w:val="auto"/>
          <w:kern w:val="0"/>
          <w:szCs w:val="21"/>
        </w:rPr>
        <w:t>–</w:t>
      </w:r>
      <w:r>
        <w:rPr>
          <w:rFonts w:hint="eastAsia"/>
          <w:snapToGrid w:val="0"/>
          <w:color w:val="auto"/>
          <w:kern w:val="0"/>
          <w:szCs w:val="21"/>
        </w:rPr>
        <w:t xml:space="preserve"> 办公固话   +手机 </w:t>
      </w:r>
      <w:r>
        <w:rPr>
          <w:snapToGrid w:val="0"/>
          <w:color w:val="auto"/>
          <w:kern w:val="0"/>
          <w:szCs w:val="21"/>
        </w:rPr>
        <w:t xml:space="preserve">                       电话：</w:t>
      </w:r>
      <w:r>
        <w:rPr>
          <w:rFonts w:hint="eastAsia"/>
          <w:snapToGrid w:val="0"/>
          <w:color w:val="auto"/>
          <w:kern w:val="0"/>
          <w:szCs w:val="21"/>
        </w:rPr>
        <w:t xml:space="preserve">区号 </w:t>
      </w:r>
      <w:r>
        <w:rPr>
          <w:snapToGrid w:val="0"/>
          <w:color w:val="auto"/>
          <w:kern w:val="0"/>
          <w:szCs w:val="21"/>
        </w:rPr>
        <w:t>–</w:t>
      </w:r>
      <w:r>
        <w:rPr>
          <w:rFonts w:hint="eastAsia"/>
          <w:snapToGrid w:val="0"/>
          <w:color w:val="auto"/>
          <w:kern w:val="0"/>
          <w:szCs w:val="21"/>
        </w:rPr>
        <w:t xml:space="preserve"> 办公固话   +手机</w:t>
      </w:r>
    </w:p>
    <w:p>
      <w:pPr>
        <w:snapToGrid w:val="0"/>
        <w:spacing w:line="360" w:lineRule="auto"/>
        <w:rPr>
          <w:snapToGrid w:val="0"/>
          <w:color w:val="auto"/>
          <w:kern w:val="0"/>
          <w:szCs w:val="21"/>
        </w:rPr>
      </w:pPr>
      <w:r>
        <w:rPr>
          <w:snapToGrid w:val="0"/>
          <w:color w:val="auto"/>
          <w:kern w:val="0"/>
          <w:szCs w:val="21"/>
        </w:rPr>
        <w:t>传真：</w:t>
      </w:r>
      <w:r>
        <w:rPr>
          <w:rFonts w:hint="eastAsia"/>
          <w:snapToGrid w:val="0"/>
          <w:color w:val="auto"/>
          <w:kern w:val="0"/>
          <w:szCs w:val="21"/>
        </w:rPr>
        <w:t xml:space="preserve">区号 </w:t>
      </w:r>
      <w:r>
        <w:rPr>
          <w:snapToGrid w:val="0"/>
          <w:color w:val="auto"/>
          <w:kern w:val="0"/>
          <w:szCs w:val="21"/>
        </w:rPr>
        <w:t xml:space="preserve">                                          传真：</w:t>
      </w:r>
      <w:r>
        <w:rPr>
          <w:rFonts w:hint="eastAsia"/>
          <w:snapToGrid w:val="0"/>
          <w:color w:val="auto"/>
          <w:kern w:val="0"/>
          <w:szCs w:val="21"/>
        </w:rPr>
        <w:t>区号</w:t>
      </w:r>
      <w:r>
        <w:rPr>
          <w:snapToGrid w:val="0"/>
          <w:color w:val="auto"/>
          <w:kern w:val="0"/>
          <w:szCs w:val="21"/>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line="360" w:lineRule="auto"/>
        <w:rPr>
          <w:snapToGrid w:val="0"/>
          <w:color w:val="auto"/>
          <w:kern w:val="0"/>
          <w:szCs w:val="21"/>
        </w:rPr>
      </w:pPr>
      <w:bookmarkStart w:id="419" w:name="_Toc322952589"/>
      <w:r>
        <w:rPr>
          <w:snapToGrid w:val="0"/>
          <w:color w:val="auto"/>
          <w:kern w:val="0"/>
          <w:szCs w:val="21"/>
        </w:rPr>
        <w:t>开户银行：</w:t>
      </w:r>
      <w:bookmarkEnd w:id="419"/>
      <w:r>
        <w:rPr>
          <w:rFonts w:hint="eastAsia"/>
          <w:snapToGrid w:val="0"/>
          <w:color w:val="auto"/>
          <w:kern w:val="0"/>
          <w:szCs w:val="21"/>
        </w:rPr>
        <w:t xml:space="preserve"> </w:t>
      </w:r>
      <w:r>
        <w:rPr>
          <w:snapToGrid w:val="0"/>
          <w:color w:val="auto"/>
          <w:kern w:val="0"/>
          <w:szCs w:val="21"/>
        </w:rPr>
        <w:t xml:space="preserve">                                          开户银行：</w:t>
      </w:r>
    </w:p>
    <w:p>
      <w:pPr>
        <w:snapToGrid w:val="0"/>
        <w:spacing w:line="360" w:lineRule="auto"/>
        <w:rPr>
          <w:snapToGrid w:val="0"/>
          <w:color w:val="auto"/>
          <w:kern w:val="0"/>
          <w:szCs w:val="21"/>
        </w:rPr>
      </w:pPr>
      <w:r>
        <w:rPr>
          <w:snapToGrid w:val="0"/>
          <w:color w:val="auto"/>
          <w:kern w:val="0"/>
          <w:szCs w:val="21"/>
        </w:rPr>
        <w:t>帐号：</w:t>
      </w:r>
      <w:r>
        <w:rPr>
          <w:rFonts w:hint="eastAsia"/>
          <w:snapToGrid w:val="0"/>
          <w:color w:val="auto"/>
          <w:kern w:val="0"/>
          <w:szCs w:val="21"/>
        </w:rPr>
        <w:t xml:space="preserve"> </w:t>
      </w:r>
      <w:r>
        <w:rPr>
          <w:snapToGrid w:val="0"/>
          <w:color w:val="auto"/>
          <w:kern w:val="0"/>
          <w:szCs w:val="21"/>
        </w:rPr>
        <w:t xml:space="preserve">                                              帐号：</w:t>
      </w:r>
    </w:p>
    <w:p>
      <w:pPr>
        <w:pStyle w:val="235"/>
        <w:jc w:val="center"/>
        <w:rPr>
          <w:rFonts w:hint="eastAsia" w:ascii="宋体" w:hAnsi="宋体" w:cs="宋体"/>
          <w:b/>
          <w:color w:val="auto"/>
          <w:sz w:val="36"/>
          <w:szCs w:val="20"/>
        </w:rPr>
      </w:pPr>
    </w:p>
    <w:p>
      <w:pPr>
        <w:pStyle w:val="235"/>
        <w:jc w:val="center"/>
        <w:rPr>
          <w:rFonts w:hint="eastAsia" w:ascii="宋体" w:hAnsi="宋体" w:cs="宋体"/>
          <w:b/>
          <w:color w:val="auto"/>
          <w:sz w:val="36"/>
          <w:szCs w:val="20"/>
        </w:rPr>
      </w:pPr>
    </w:p>
    <w:p>
      <w:pPr>
        <w:pStyle w:val="235"/>
        <w:jc w:val="center"/>
        <w:rPr>
          <w:rFonts w:hint="eastAsia" w:ascii="宋体" w:hAnsi="宋体" w:cs="宋体"/>
          <w:b/>
          <w:color w:val="auto"/>
          <w:sz w:val="36"/>
          <w:szCs w:val="20"/>
        </w:rPr>
      </w:pPr>
    </w:p>
    <w:p>
      <w:pPr>
        <w:pStyle w:val="236"/>
        <w:rPr>
          <w:rFonts w:hint="eastAsia" w:ascii="宋体" w:hAnsi="宋体" w:cs="宋体"/>
          <w:b/>
          <w:color w:val="auto"/>
          <w:sz w:val="36"/>
          <w:szCs w:val="20"/>
        </w:rPr>
      </w:pPr>
    </w:p>
    <w:p>
      <w:pPr>
        <w:rPr>
          <w:rFonts w:hint="eastAsia" w:ascii="宋体" w:hAnsi="宋体" w:cs="宋体"/>
          <w:b/>
          <w:color w:val="auto"/>
          <w:sz w:val="36"/>
          <w:szCs w:val="20"/>
        </w:rPr>
      </w:pPr>
    </w:p>
    <w:p>
      <w:pPr>
        <w:pStyle w:val="2"/>
        <w:rPr>
          <w:rFonts w:hint="eastAsia" w:ascii="宋体" w:hAnsi="宋体" w:cs="宋体"/>
          <w:b/>
          <w:color w:val="auto"/>
          <w:sz w:val="36"/>
          <w:szCs w:val="20"/>
        </w:rPr>
      </w:pPr>
    </w:p>
    <w:p>
      <w:pPr>
        <w:pStyle w:val="2"/>
        <w:rPr>
          <w:rFonts w:hint="eastAsia" w:ascii="宋体" w:hAnsi="宋体" w:cs="宋体"/>
          <w:b/>
          <w:color w:val="auto"/>
          <w:sz w:val="36"/>
          <w:szCs w:val="20"/>
        </w:rPr>
      </w:pPr>
    </w:p>
    <w:p>
      <w:pPr>
        <w:pStyle w:val="2"/>
        <w:rPr>
          <w:rFonts w:hint="eastAsia" w:ascii="宋体" w:hAnsi="宋体" w:cs="宋体"/>
          <w:b/>
          <w:color w:val="auto"/>
          <w:sz w:val="36"/>
          <w:szCs w:val="20"/>
        </w:rPr>
      </w:pPr>
    </w:p>
    <w:p>
      <w:pPr>
        <w:pStyle w:val="235"/>
        <w:jc w:val="center"/>
        <w:rPr>
          <w:rFonts w:hint="eastAsia" w:ascii="宋体" w:hAnsi="宋体" w:cs="宋体"/>
          <w:b/>
          <w:color w:val="auto"/>
          <w:sz w:val="36"/>
          <w:szCs w:val="20"/>
        </w:rPr>
      </w:pPr>
    </w:p>
    <w:p>
      <w:pPr>
        <w:pStyle w:val="235"/>
        <w:jc w:val="center"/>
        <w:rPr>
          <w:rFonts w:ascii="宋体" w:hAnsi="宋体" w:cs="宋体"/>
          <w:b/>
          <w:color w:val="auto"/>
          <w:sz w:val="36"/>
          <w:szCs w:val="20"/>
        </w:rPr>
      </w:pPr>
      <w:r>
        <w:rPr>
          <w:rFonts w:hint="eastAsia" w:ascii="宋体" w:hAnsi="宋体" w:cs="宋体"/>
          <w:b/>
          <w:color w:val="auto"/>
          <w:sz w:val="36"/>
          <w:szCs w:val="20"/>
        </w:rPr>
        <w:t>第六部分</w:t>
      </w:r>
      <w:bookmarkEnd w:id="417"/>
      <w:r>
        <w:rPr>
          <w:rFonts w:hint="eastAsia" w:ascii="宋体" w:hAnsi="宋体" w:cs="宋体"/>
          <w:b/>
          <w:color w:val="auto"/>
          <w:sz w:val="36"/>
          <w:szCs w:val="20"/>
        </w:rPr>
        <w:t xml:space="preserve"> </w:t>
      </w:r>
      <w:bookmarkEnd w:id="418"/>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杭州市西湖区卫生健康局、浙江省成套工程有限公司：</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仿宋" w:hAnsi="仿宋" w:eastAsia="仿宋"/>
          <w:color w:val="auto"/>
          <w:sz w:val="24"/>
          <w:u w:val="single"/>
        </w:rPr>
        <w:t>2024年度杭州市西湖区公共环境除“四害”项目</w:t>
      </w:r>
      <w:r>
        <w:rPr>
          <w:rFonts w:hint="eastAsia" w:ascii="宋体" w:hAnsi="宋体" w:cs="宋体"/>
          <w:color w:val="auto"/>
          <w:sz w:val="24"/>
        </w:rPr>
        <w:t>【招标编号：ZJCT5-2024056】政府采购活动，郑重承诺：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（根据招标公告落实政府采购政策需满足的资格要求选择提供相应的材料；未要求的，无需提供）</w:t>
      </w:r>
      <w:r>
        <w:rPr>
          <w:rFonts w:hint="eastAsia" w:ascii="宋体" w:hAnsi="宋体" w:cs="宋体"/>
          <w:color w:val="auto"/>
          <w:sz w:val="24"/>
          <w:lang w:val="en-US" w:eastAsia="zh-CN"/>
        </w:rPr>
        <w:t xml:space="preserve">               </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b/>
          <w:bCs/>
          <w:color w:val="auto"/>
          <w:sz w:val="24"/>
          <w:lang w:val="en-US" w:eastAsia="zh-CN"/>
        </w:rPr>
        <w:t>本项目需要提供</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jc w:val="left"/>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jc w:val="left"/>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left="479" w:leftChars="228"/>
        <w:jc w:val="left"/>
        <w:rPr>
          <w:rFonts w:ascii="宋体" w:hAnsi="宋体" w:cs="宋体"/>
          <w:color w:val="auto"/>
          <w:sz w:val="24"/>
        </w:rPr>
      </w:pPr>
      <w:r>
        <w:rPr>
          <w:rFonts w:hint="eastAsia" w:ascii="宋体" w:hAnsi="宋体" w:cs="宋体"/>
          <w:color w:val="auto"/>
          <w:sz w:val="24"/>
        </w:rPr>
        <w:t>（4）符合性审查料………………………………………………………………（页码）</w:t>
      </w:r>
    </w:p>
    <w:p>
      <w:pPr>
        <w:snapToGrid w:val="0"/>
        <w:spacing w:line="360" w:lineRule="auto"/>
        <w:ind w:left="479" w:leftChars="228"/>
        <w:jc w:val="left"/>
        <w:rPr>
          <w:rFonts w:ascii="宋体" w:hAnsi="宋体" w:cs="宋体"/>
          <w:color w:val="auto"/>
          <w:sz w:val="24"/>
        </w:rPr>
      </w:pPr>
      <w:r>
        <w:rPr>
          <w:rFonts w:hint="eastAsia" w:ascii="宋体" w:hAnsi="宋体" w:cs="宋体"/>
          <w:color w:val="auto"/>
          <w:sz w:val="24"/>
        </w:rPr>
        <w:t>（5）评标标准相应的商务技术资料……………………………………………（页码）</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（6）主要消杀药品一览表………………………………………………………（页码） </w:t>
      </w:r>
    </w:p>
    <w:p>
      <w:pPr>
        <w:snapToGrid w:val="0"/>
        <w:spacing w:line="360" w:lineRule="auto"/>
        <w:ind w:left="479" w:leftChars="228"/>
        <w:jc w:val="left"/>
        <w:rPr>
          <w:rFonts w:ascii="宋体" w:hAnsi="宋体" w:cs="宋体"/>
          <w:color w:val="auto"/>
          <w:sz w:val="24"/>
        </w:rPr>
      </w:pPr>
      <w:r>
        <w:rPr>
          <w:rFonts w:hint="eastAsia" w:ascii="宋体" w:hAnsi="宋体" w:cs="宋体"/>
          <w:color w:val="auto"/>
          <w:sz w:val="24"/>
        </w:rPr>
        <w:t>（7）投标标的清单………………………………………………………………（页码）   （8）商务技术偏离表……………………………………………………………（页码）</w:t>
      </w:r>
    </w:p>
    <w:p>
      <w:pPr>
        <w:snapToGrid w:val="0"/>
        <w:spacing w:line="360" w:lineRule="auto"/>
        <w:ind w:left="479" w:leftChars="228"/>
        <w:jc w:val="left"/>
        <w:rPr>
          <w:rFonts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rPr>
        <w:t>9</w:t>
      </w:r>
      <w:r>
        <w:rPr>
          <w:rFonts w:hint="eastAsia" w:ascii="宋体" w:hAnsi="宋体" w:cs="宋体"/>
          <w:color w:val="auto"/>
          <w:sz w:val="24"/>
          <w:lang w:val="zh-CN"/>
        </w:rPr>
        <w:t>）政府采购供应商廉洁自律承诺书</w:t>
      </w:r>
      <w:r>
        <w:rPr>
          <w:rFonts w:hint="eastAsia" w:ascii="宋体" w:hAnsi="宋体" w:cs="宋体"/>
          <w:color w:val="auto"/>
          <w:sz w:val="24"/>
        </w:rPr>
        <w:t>…………………………………………（页码）</w:t>
      </w:r>
    </w:p>
    <w:p>
      <w:pPr>
        <w:snapToGrid w:val="0"/>
        <w:spacing w:line="360" w:lineRule="auto"/>
        <w:ind w:left="479" w:leftChars="228"/>
        <w:jc w:val="left"/>
        <w:rPr>
          <w:rFonts w:ascii="宋体" w:hAnsi="宋体" w:cs="宋体"/>
          <w:color w:val="auto"/>
          <w:sz w:val="24"/>
        </w:rPr>
      </w:pPr>
      <w:r>
        <w:rPr>
          <w:rFonts w:hint="eastAsia" w:ascii="宋体" w:hAnsi="宋体" w:cs="宋体"/>
          <w:color w:val="auto"/>
          <w:sz w:val="24"/>
        </w:rPr>
        <w:t>（10</w:t>
      </w:r>
      <w:r>
        <w:rPr>
          <w:rFonts w:hint="eastAsia" w:ascii="宋体" w:hAnsi="宋体" w:cs="宋体"/>
          <w:color w:val="auto"/>
          <w:sz w:val="24"/>
          <w:lang w:val="zh-CN"/>
        </w:rPr>
        <w:t>）</w:t>
      </w:r>
      <w:r>
        <w:rPr>
          <w:rFonts w:hint="eastAsia" w:ascii="宋体" w:hAnsi="宋体" w:cs="宋体"/>
          <w:color w:val="auto"/>
          <w:sz w:val="24"/>
        </w:rPr>
        <w:t>代理服务费支付承诺书……………………………………………………（页码）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center"/>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杭州市西湖区卫生健康局、浙江省成套工程有限公司：</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仿宋" w:hAnsi="仿宋" w:eastAsia="仿宋"/>
          <w:color w:val="auto"/>
          <w:sz w:val="24"/>
          <w:u w:val="single"/>
        </w:rPr>
        <w:t>2024年度杭州市西湖区公共环境除“四害”项目</w:t>
      </w:r>
      <w:r>
        <w:rPr>
          <w:rFonts w:hint="eastAsia" w:ascii="宋体" w:hAnsi="宋体" w:cs="宋体"/>
          <w:color w:val="auto"/>
          <w:sz w:val="24"/>
        </w:rPr>
        <w:t>活动【招标编号：ZJCT5-2024056】招标的有关活动，并对此项目进行投标。为此：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落实政府采购政策需满足的资格要求；</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4"/>
        <w:rPr>
          <w:color w:val="auto"/>
          <w:lang w:val="en-US"/>
        </w:rPr>
      </w:pPr>
    </w:p>
    <w:p>
      <w:pPr>
        <w:rPr>
          <w:color w:val="auto"/>
          <w:lang w:val="en-US"/>
        </w:rPr>
      </w:pPr>
    </w:p>
    <w:p>
      <w:pPr>
        <w:rPr>
          <w:color w:val="auto"/>
          <w:lang w:val="en-US"/>
        </w:rPr>
      </w:pPr>
    </w:p>
    <w:p>
      <w:pPr>
        <w:rPr>
          <w:color w:val="auto"/>
          <w:lang w:val="en-US"/>
        </w:rPr>
      </w:pPr>
    </w:p>
    <w:p>
      <w:pPr>
        <w:jc w:val="center"/>
        <w:rPr>
          <w:rFonts w:ascii="宋体" w:hAnsi="宋体" w:cs="宋体"/>
          <w:b/>
          <w:color w:val="auto"/>
          <w:kern w:val="0"/>
          <w:sz w:val="32"/>
          <w:szCs w:val="32"/>
        </w:rPr>
      </w:pPr>
    </w:p>
    <w:p>
      <w:pPr>
        <w:pStyle w:val="2"/>
        <w:rPr>
          <w:color w:val="auto"/>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杭州市西湖区卫生健康局、浙江省成套工程有限公司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仿宋" w:hAnsi="仿宋" w:eastAsia="仿宋"/>
          <w:color w:val="auto"/>
          <w:sz w:val="24"/>
          <w:u w:val="single"/>
        </w:rPr>
        <w:t>2024年度杭州市西湖区公共环境除“四害”项目</w:t>
      </w:r>
      <w:r>
        <w:rPr>
          <w:rFonts w:hint="eastAsia" w:ascii="宋体" w:hAnsi="宋体" w:cs="宋体"/>
          <w:color w:val="auto"/>
          <w:sz w:val="24"/>
        </w:rPr>
        <w:t>活动【招标编号：ZJCT5-2024056】</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杭州市西湖区卫生健康局、浙江省成套工程有限公司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仿宋" w:hAnsi="仿宋" w:eastAsia="仿宋"/>
          <w:color w:val="auto"/>
          <w:sz w:val="24"/>
          <w:u w:val="single"/>
        </w:rPr>
        <w:t>2024年度杭州市西湖区公共环境除“四害”项目</w:t>
      </w:r>
      <w:r>
        <w:rPr>
          <w:rFonts w:hint="eastAsia" w:ascii="宋体" w:hAnsi="宋体" w:cs="宋体"/>
          <w:color w:val="auto"/>
          <w:sz w:val="24"/>
        </w:rPr>
        <w:t>活动【招标编号：ZJCT5-2024056】</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rPr>
            </w:pPr>
            <w:r>
              <w:rPr>
                <w:rFonts w:hint="eastAsia" w:hAnsi="宋体" w:cs="宋体"/>
                <w:bCs/>
                <w:color w:val="auto"/>
                <w:sz w:val="24"/>
              </w:rPr>
              <w:t>正面：                                 反面：</w:t>
            </w:r>
          </w:p>
          <w:p>
            <w:pPr>
              <w:pStyle w:val="149"/>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24"/>
        <w:rPr>
          <w:rFonts w:hAnsi="宋体" w:cs="宋体"/>
          <w:b/>
          <w:color w:val="auto"/>
          <w:kern w:val="0"/>
          <w:sz w:val="32"/>
          <w:szCs w:val="32"/>
        </w:rPr>
      </w:pPr>
    </w:p>
    <w:p>
      <w:pPr>
        <w:pStyle w:val="25"/>
        <w:rPr>
          <w:rFonts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六、主要消杀药品一览表</w:t>
      </w:r>
    </w:p>
    <w:p>
      <w:pPr>
        <w:tabs>
          <w:tab w:val="left" w:pos="4860"/>
        </w:tabs>
        <w:spacing w:line="588" w:lineRule="exact"/>
        <w:ind w:right="1560"/>
        <w:rPr>
          <w:rFonts w:cs="宋体"/>
          <w:color w:val="auto"/>
          <w:spacing w:val="6"/>
          <w:szCs w:val="21"/>
        </w:rPr>
      </w:pPr>
    </w:p>
    <w:tbl>
      <w:tblPr>
        <w:tblStyle w:val="63"/>
        <w:tblW w:w="85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2199"/>
        <w:gridCol w:w="1437"/>
        <w:gridCol w:w="1814"/>
        <w:gridCol w:w="2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709" w:type="dxa"/>
            <w:vAlign w:val="center"/>
          </w:tcPr>
          <w:p>
            <w:pPr>
              <w:jc w:val="center"/>
              <w:rPr>
                <w:color w:val="auto"/>
              </w:rPr>
            </w:pPr>
            <w:r>
              <w:rPr>
                <w:rFonts w:hint="eastAsia"/>
                <w:color w:val="auto"/>
              </w:rPr>
              <w:t>序号</w:t>
            </w:r>
          </w:p>
        </w:tc>
        <w:tc>
          <w:tcPr>
            <w:tcW w:w="2199" w:type="dxa"/>
            <w:vAlign w:val="center"/>
          </w:tcPr>
          <w:p>
            <w:pPr>
              <w:jc w:val="center"/>
              <w:rPr>
                <w:color w:val="auto"/>
              </w:rPr>
            </w:pPr>
            <w:r>
              <w:rPr>
                <w:rFonts w:hint="eastAsia"/>
                <w:color w:val="auto"/>
              </w:rPr>
              <w:t>商品名称</w:t>
            </w:r>
          </w:p>
        </w:tc>
        <w:tc>
          <w:tcPr>
            <w:tcW w:w="1437" w:type="dxa"/>
            <w:vAlign w:val="center"/>
          </w:tcPr>
          <w:p>
            <w:pPr>
              <w:jc w:val="center"/>
              <w:rPr>
                <w:color w:val="auto"/>
              </w:rPr>
            </w:pPr>
            <w:r>
              <w:rPr>
                <w:rFonts w:hint="eastAsia"/>
                <w:color w:val="auto"/>
              </w:rPr>
              <w:t>有效成分</w:t>
            </w:r>
          </w:p>
        </w:tc>
        <w:tc>
          <w:tcPr>
            <w:tcW w:w="1814" w:type="dxa"/>
            <w:vAlign w:val="center"/>
          </w:tcPr>
          <w:p>
            <w:pPr>
              <w:jc w:val="center"/>
              <w:rPr>
                <w:color w:val="auto"/>
              </w:rPr>
            </w:pPr>
            <w:r>
              <w:rPr>
                <w:rFonts w:hint="eastAsia"/>
                <w:color w:val="auto"/>
              </w:rPr>
              <w:t>防治对象</w:t>
            </w:r>
          </w:p>
        </w:tc>
        <w:tc>
          <w:tcPr>
            <w:tcW w:w="2415" w:type="dxa"/>
            <w:vAlign w:val="center"/>
          </w:tcPr>
          <w:p>
            <w:pPr>
              <w:jc w:val="center"/>
              <w:rPr>
                <w:color w:val="auto"/>
              </w:rPr>
            </w:pPr>
            <w:r>
              <w:rPr>
                <w:rFonts w:hint="eastAsia"/>
                <w:color w:val="auto"/>
              </w:rPr>
              <w:t>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709" w:type="dxa"/>
            <w:vAlign w:val="center"/>
          </w:tcPr>
          <w:p>
            <w:pPr>
              <w:jc w:val="center"/>
              <w:rPr>
                <w:color w:val="auto"/>
              </w:rPr>
            </w:pPr>
            <w:r>
              <w:rPr>
                <w:rFonts w:hint="eastAsia"/>
                <w:color w:val="auto"/>
              </w:rPr>
              <w:t>1</w:t>
            </w:r>
          </w:p>
        </w:tc>
        <w:tc>
          <w:tcPr>
            <w:tcW w:w="2199" w:type="dxa"/>
            <w:vAlign w:val="center"/>
          </w:tcPr>
          <w:p>
            <w:pPr>
              <w:jc w:val="center"/>
              <w:rPr>
                <w:color w:val="auto"/>
              </w:rPr>
            </w:pPr>
          </w:p>
        </w:tc>
        <w:tc>
          <w:tcPr>
            <w:tcW w:w="1437" w:type="dxa"/>
            <w:vAlign w:val="center"/>
          </w:tcPr>
          <w:p>
            <w:pPr>
              <w:jc w:val="center"/>
              <w:rPr>
                <w:color w:val="auto"/>
              </w:rPr>
            </w:pPr>
          </w:p>
        </w:tc>
        <w:tc>
          <w:tcPr>
            <w:tcW w:w="1814" w:type="dxa"/>
            <w:vAlign w:val="center"/>
          </w:tcPr>
          <w:p>
            <w:pPr>
              <w:jc w:val="center"/>
              <w:rPr>
                <w:color w:val="auto"/>
              </w:rPr>
            </w:pPr>
          </w:p>
        </w:tc>
        <w:tc>
          <w:tcPr>
            <w:tcW w:w="2415"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709" w:type="dxa"/>
            <w:vAlign w:val="center"/>
          </w:tcPr>
          <w:p>
            <w:pPr>
              <w:jc w:val="center"/>
              <w:rPr>
                <w:rFonts w:cs="宋体"/>
                <w:color w:val="auto"/>
              </w:rPr>
            </w:pPr>
            <w:r>
              <w:rPr>
                <w:rFonts w:hint="eastAsia" w:cs="宋体"/>
                <w:color w:val="auto"/>
              </w:rPr>
              <w:t>2</w:t>
            </w:r>
          </w:p>
        </w:tc>
        <w:tc>
          <w:tcPr>
            <w:tcW w:w="2199" w:type="dxa"/>
            <w:vAlign w:val="center"/>
          </w:tcPr>
          <w:p>
            <w:pPr>
              <w:jc w:val="center"/>
              <w:rPr>
                <w:color w:val="auto"/>
              </w:rPr>
            </w:pPr>
          </w:p>
        </w:tc>
        <w:tc>
          <w:tcPr>
            <w:tcW w:w="1437" w:type="dxa"/>
            <w:vAlign w:val="center"/>
          </w:tcPr>
          <w:p>
            <w:pPr>
              <w:jc w:val="center"/>
              <w:rPr>
                <w:color w:val="auto"/>
              </w:rPr>
            </w:pPr>
          </w:p>
        </w:tc>
        <w:tc>
          <w:tcPr>
            <w:tcW w:w="1814" w:type="dxa"/>
            <w:vAlign w:val="center"/>
          </w:tcPr>
          <w:p>
            <w:pPr>
              <w:jc w:val="center"/>
              <w:rPr>
                <w:color w:val="auto"/>
              </w:rPr>
            </w:pPr>
          </w:p>
        </w:tc>
        <w:tc>
          <w:tcPr>
            <w:tcW w:w="2415"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709" w:type="dxa"/>
            <w:vAlign w:val="center"/>
          </w:tcPr>
          <w:p>
            <w:pPr>
              <w:jc w:val="center"/>
              <w:rPr>
                <w:rFonts w:cs="宋体"/>
                <w:color w:val="auto"/>
              </w:rPr>
            </w:pPr>
            <w:r>
              <w:rPr>
                <w:rFonts w:hint="eastAsia" w:cs="宋体"/>
                <w:color w:val="auto"/>
              </w:rPr>
              <w:t>3</w:t>
            </w:r>
          </w:p>
        </w:tc>
        <w:tc>
          <w:tcPr>
            <w:tcW w:w="2199" w:type="dxa"/>
            <w:vAlign w:val="center"/>
          </w:tcPr>
          <w:p>
            <w:pPr>
              <w:jc w:val="center"/>
              <w:rPr>
                <w:color w:val="auto"/>
              </w:rPr>
            </w:pPr>
          </w:p>
        </w:tc>
        <w:tc>
          <w:tcPr>
            <w:tcW w:w="1437" w:type="dxa"/>
            <w:vAlign w:val="center"/>
          </w:tcPr>
          <w:p>
            <w:pPr>
              <w:jc w:val="center"/>
              <w:rPr>
                <w:color w:val="auto"/>
              </w:rPr>
            </w:pPr>
          </w:p>
        </w:tc>
        <w:tc>
          <w:tcPr>
            <w:tcW w:w="1814" w:type="dxa"/>
            <w:vAlign w:val="center"/>
          </w:tcPr>
          <w:p>
            <w:pPr>
              <w:jc w:val="center"/>
              <w:rPr>
                <w:color w:val="auto"/>
              </w:rPr>
            </w:pPr>
          </w:p>
        </w:tc>
        <w:tc>
          <w:tcPr>
            <w:tcW w:w="2415"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709" w:type="dxa"/>
            <w:vAlign w:val="center"/>
          </w:tcPr>
          <w:p>
            <w:pPr>
              <w:jc w:val="center"/>
              <w:rPr>
                <w:rFonts w:cs="宋体"/>
                <w:color w:val="auto"/>
              </w:rPr>
            </w:pPr>
            <w:r>
              <w:rPr>
                <w:rFonts w:hint="eastAsia" w:cs="宋体"/>
                <w:color w:val="auto"/>
              </w:rPr>
              <w:t>4</w:t>
            </w:r>
          </w:p>
        </w:tc>
        <w:tc>
          <w:tcPr>
            <w:tcW w:w="2199" w:type="dxa"/>
            <w:vAlign w:val="center"/>
          </w:tcPr>
          <w:p>
            <w:pPr>
              <w:jc w:val="center"/>
              <w:rPr>
                <w:color w:val="auto"/>
              </w:rPr>
            </w:pPr>
          </w:p>
        </w:tc>
        <w:tc>
          <w:tcPr>
            <w:tcW w:w="1437" w:type="dxa"/>
            <w:vAlign w:val="center"/>
          </w:tcPr>
          <w:p>
            <w:pPr>
              <w:jc w:val="center"/>
              <w:rPr>
                <w:color w:val="auto"/>
              </w:rPr>
            </w:pPr>
          </w:p>
        </w:tc>
        <w:tc>
          <w:tcPr>
            <w:tcW w:w="1814" w:type="dxa"/>
            <w:vAlign w:val="center"/>
          </w:tcPr>
          <w:p>
            <w:pPr>
              <w:jc w:val="center"/>
              <w:rPr>
                <w:color w:val="auto"/>
              </w:rPr>
            </w:pPr>
          </w:p>
        </w:tc>
        <w:tc>
          <w:tcPr>
            <w:tcW w:w="2415"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709" w:type="dxa"/>
            <w:vAlign w:val="center"/>
          </w:tcPr>
          <w:p>
            <w:pPr>
              <w:jc w:val="center"/>
              <w:rPr>
                <w:rFonts w:cs="宋体"/>
                <w:color w:val="auto"/>
              </w:rPr>
            </w:pPr>
            <w:r>
              <w:rPr>
                <w:rFonts w:hint="eastAsia" w:cs="宋体"/>
                <w:color w:val="auto"/>
              </w:rPr>
              <w:t>5</w:t>
            </w:r>
          </w:p>
        </w:tc>
        <w:tc>
          <w:tcPr>
            <w:tcW w:w="2199" w:type="dxa"/>
            <w:vAlign w:val="center"/>
          </w:tcPr>
          <w:p>
            <w:pPr>
              <w:jc w:val="center"/>
              <w:rPr>
                <w:color w:val="auto"/>
              </w:rPr>
            </w:pPr>
          </w:p>
        </w:tc>
        <w:tc>
          <w:tcPr>
            <w:tcW w:w="1437" w:type="dxa"/>
            <w:vAlign w:val="center"/>
          </w:tcPr>
          <w:p>
            <w:pPr>
              <w:jc w:val="center"/>
              <w:rPr>
                <w:color w:val="auto"/>
              </w:rPr>
            </w:pPr>
          </w:p>
        </w:tc>
        <w:tc>
          <w:tcPr>
            <w:tcW w:w="1814" w:type="dxa"/>
            <w:vAlign w:val="center"/>
          </w:tcPr>
          <w:p>
            <w:pPr>
              <w:jc w:val="center"/>
              <w:rPr>
                <w:color w:val="auto"/>
              </w:rPr>
            </w:pPr>
          </w:p>
        </w:tc>
        <w:tc>
          <w:tcPr>
            <w:tcW w:w="2415"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709" w:type="dxa"/>
            <w:vAlign w:val="center"/>
          </w:tcPr>
          <w:p>
            <w:pPr>
              <w:jc w:val="center"/>
              <w:rPr>
                <w:rFonts w:cs="宋体"/>
                <w:color w:val="auto"/>
              </w:rPr>
            </w:pPr>
            <w:r>
              <w:rPr>
                <w:rFonts w:hint="eastAsia" w:cs="宋体"/>
                <w:color w:val="auto"/>
              </w:rPr>
              <w:t>6</w:t>
            </w:r>
          </w:p>
        </w:tc>
        <w:tc>
          <w:tcPr>
            <w:tcW w:w="2199" w:type="dxa"/>
            <w:vAlign w:val="center"/>
          </w:tcPr>
          <w:p>
            <w:pPr>
              <w:jc w:val="center"/>
              <w:rPr>
                <w:color w:val="auto"/>
              </w:rPr>
            </w:pPr>
          </w:p>
        </w:tc>
        <w:tc>
          <w:tcPr>
            <w:tcW w:w="1437" w:type="dxa"/>
            <w:vAlign w:val="center"/>
          </w:tcPr>
          <w:p>
            <w:pPr>
              <w:jc w:val="center"/>
              <w:rPr>
                <w:color w:val="auto"/>
              </w:rPr>
            </w:pPr>
          </w:p>
        </w:tc>
        <w:tc>
          <w:tcPr>
            <w:tcW w:w="1814" w:type="dxa"/>
            <w:vAlign w:val="center"/>
          </w:tcPr>
          <w:p>
            <w:pPr>
              <w:jc w:val="center"/>
              <w:rPr>
                <w:color w:val="auto"/>
              </w:rPr>
            </w:pPr>
          </w:p>
        </w:tc>
        <w:tc>
          <w:tcPr>
            <w:tcW w:w="2415"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709" w:type="dxa"/>
            <w:vAlign w:val="center"/>
          </w:tcPr>
          <w:p>
            <w:pPr>
              <w:jc w:val="center"/>
              <w:rPr>
                <w:rFonts w:cs="宋体"/>
                <w:color w:val="auto"/>
              </w:rPr>
            </w:pPr>
            <w:r>
              <w:rPr>
                <w:rFonts w:hint="eastAsia" w:cs="宋体"/>
                <w:color w:val="auto"/>
              </w:rPr>
              <w:t>7</w:t>
            </w:r>
          </w:p>
        </w:tc>
        <w:tc>
          <w:tcPr>
            <w:tcW w:w="2199" w:type="dxa"/>
            <w:vAlign w:val="center"/>
          </w:tcPr>
          <w:p>
            <w:pPr>
              <w:jc w:val="center"/>
              <w:rPr>
                <w:color w:val="auto"/>
              </w:rPr>
            </w:pPr>
          </w:p>
        </w:tc>
        <w:tc>
          <w:tcPr>
            <w:tcW w:w="1437" w:type="dxa"/>
            <w:vAlign w:val="center"/>
          </w:tcPr>
          <w:p>
            <w:pPr>
              <w:jc w:val="center"/>
              <w:rPr>
                <w:color w:val="auto"/>
              </w:rPr>
            </w:pPr>
          </w:p>
        </w:tc>
        <w:tc>
          <w:tcPr>
            <w:tcW w:w="1814" w:type="dxa"/>
            <w:vAlign w:val="center"/>
          </w:tcPr>
          <w:p>
            <w:pPr>
              <w:jc w:val="center"/>
              <w:rPr>
                <w:color w:val="auto"/>
              </w:rPr>
            </w:pPr>
          </w:p>
        </w:tc>
        <w:tc>
          <w:tcPr>
            <w:tcW w:w="2415"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709" w:type="dxa"/>
            <w:vAlign w:val="center"/>
          </w:tcPr>
          <w:p>
            <w:pPr>
              <w:jc w:val="center"/>
              <w:rPr>
                <w:rFonts w:cs="宋体"/>
                <w:color w:val="auto"/>
              </w:rPr>
            </w:pPr>
            <w:r>
              <w:rPr>
                <w:rFonts w:hint="eastAsia" w:cs="宋体"/>
                <w:color w:val="auto"/>
              </w:rPr>
              <w:t>8</w:t>
            </w:r>
          </w:p>
        </w:tc>
        <w:tc>
          <w:tcPr>
            <w:tcW w:w="2199" w:type="dxa"/>
            <w:vAlign w:val="center"/>
          </w:tcPr>
          <w:p>
            <w:pPr>
              <w:jc w:val="center"/>
              <w:rPr>
                <w:color w:val="auto"/>
              </w:rPr>
            </w:pPr>
          </w:p>
        </w:tc>
        <w:tc>
          <w:tcPr>
            <w:tcW w:w="1437" w:type="dxa"/>
            <w:vAlign w:val="center"/>
          </w:tcPr>
          <w:p>
            <w:pPr>
              <w:spacing w:line="480" w:lineRule="exact"/>
              <w:jc w:val="center"/>
              <w:rPr>
                <w:rFonts w:ascii="仿宋_GB2312" w:hAnsi="仿宋_GB2312" w:eastAsia="仿宋_GB2312" w:cs="仿宋_GB2312"/>
                <w:color w:val="auto"/>
                <w:sz w:val="28"/>
                <w:szCs w:val="28"/>
              </w:rPr>
            </w:pPr>
          </w:p>
        </w:tc>
        <w:tc>
          <w:tcPr>
            <w:tcW w:w="1814" w:type="dxa"/>
            <w:vAlign w:val="center"/>
          </w:tcPr>
          <w:p>
            <w:pPr>
              <w:jc w:val="center"/>
              <w:rPr>
                <w:color w:val="auto"/>
              </w:rPr>
            </w:pPr>
          </w:p>
        </w:tc>
        <w:tc>
          <w:tcPr>
            <w:tcW w:w="2415"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709" w:type="dxa"/>
            <w:vAlign w:val="center"/>
          </w:tcPr>
          <w:p>
            <w:pPr>
              <w:jc w:val="center"/>
              <w:rPr>
                <w:rFonts w:cs="宋体"/>
                <w:color w:val="auto"/>
              </w:rPr>
            </w:pPr>
            <w:r>
              <w:rPr>
                <w:rFonts w:hint="eastAsia" w:cs="宋体"/>
                <w:color w:val="auto"/>
              </w:rPr>
              <w:t>9</w:t>
            </w:r>
          </w:p>
        </w:tc>
        <w:tc>
          <w:tcPr>
            <w:tcW w:w="2199" w:type="dxa"/>
            <w:vAlign w:val="center"/>
          </w:tcPr>
          <w:p>
            <w:pPr>
              <w:jc w:val="center"/>
              <w:rPr>
                <w:color w:val="auto"/>
              </w:rPr>
            </w:pPr>
          </w:p>
        </w:tc>
        <w:tc>
          <w:tcPr>
            <w:tcW w:w="1437" w:type="dxa"/>
            <w:vAlign w:val="center"/>
          </w:tcPr>
          <w:p>
            <w:pPr>
              <w:jc w:val="center"/>
              <w:rPr>
                <w:color w:val="auto"/>
              </w:rPr>
            </w:pPr>
          </w:p>
        </w:tc>
        <w:tc>
          <w:tcPr>
            <w:tcW w:w="1814" w:type="dxa"/>
            <w:vAlign w:val="center"/>
          </w:tcPr>
          <w:p>
            <w:pPr>
              <w:jc w:val="center"/>
              <w:rPr>
                <w:color w:val="auto"/>
              </w:rPr>
            </w:pPr>
          </w:p>
        </w:tc>
        <w:tc>
          <w:tcPr>
            <w:tcW w:w="2415"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709" w:type="dxa"/>
            <w:vAlign w:val="center"/>
          </w:tcPr>
          <w:p>
            <w:pPr>
              <w:jc w:val="center"/>
              <w:rPr>
                <w:rFonts w:cs="宋体"/>
                <w:color w:val="auto"/>
              </w:rPr>
            </w:pPr>
            <w:r>
              <w:rPr>
                <w:rFonts w:hint="eastAsia" w:cs="宋体"/>
                <w:color w:val="auto"/>
              </w:rPr>
              <w:t>10</w:t>
            </w:r>
          </w:p>
        </w:tc>
        <w:tc>
          <w:tcPr>
            <w:tcW w:w="2199" w:type="dxa"/>
            <w:vAlign w:val="center"/>
          </w:tcPr>
          <w:p>
            <w:pPr>
              <w:jc w:val="center"/>
              <w:rPr>
                <w:color w:val="auto"/>
              </w:rPr>
            </w:pPr>
          </w:p>
        </w:tc>
        <w:tc>
          <w:tcPr>
            <w:tcW w:w="1437" w:type="dxa"/>
            <w:vAlign w:val="center"/>
          </w:tcPr>
          <w:p>
            <w:pPr>
              <w:jc w:val="center"/>
              <w:rPr>
                <w:color w:val="auto"/>
              </w:rPr>
            </w:pPr>
          </w:p>
        </w:tc>
        <w:tc>
          <w:tcPr>
            <w:tcW w:w="1814" w:type="dxa"/>
            <w:vAlign w:val="center"/>
          </w:tcPr>
          <w:p>
            <w:pPr>
              <w:jc w:val="center"/>
              <w:rPr>
                <w:color w:val="auto"/>
              </w:rPr>
            </w:pPr>
          </w:p>
        </w:tc>
        <w:tc>
          <w:tcPr>
            <w:tcW w:w="2415"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709" w:type="dxa"/>
            <w:vAlign w:val="center"/>
          </w:tcPr>
          <w:p>
            <w:pPr>
              <w:jc w:val="center"/>
              <w:rPr>
                <w:rFonts w:cs="宋体"/>
                <w:color w:val="auto"/>
              </w:rPr>
            </w:pPr>
            <w:r>
              <w:rPr>
                <w:rFonts w:cs="宋体"/>
                <w:color w:val="auto"/>
              </w:rPr>
              <w:t>……</w:t>
            </w:r>
          </w:p>
        </w:tc>
        <w:tc>
          <w:tcPr>
            <w:tcW w:w="2199" w:type="dxa"/>
            <w:vAlign w:val="center"/>
          </w:tcPr>
          <w:p>
            <w:pPr>
              <w:jc w:val="center"/>
              <w:rPr>
                <w:color w:val="auto"/>
              </w:rPr>
            </w:pPr>
          </w:p>
        </w:tc>
        <w:tc>
          <w:tcPr>
            <w:tcW w:w="1437" w:type="dxa"/>
            <w:vAlign w:val="center"/>
          </w:tcPr>
          <w:p>
            <w:pPr>
              <w:jc w:val="center"/>
              <w:rPr>
                <w:color w:val="auto"/>
              </w:rPr>
            </w:pPr>
          </w:p>
        </w:tc>
        <w:tc>
          <w:tcPr>
            <w:tcW w:w="1814" w:type="dxa"/>
            <w:vAlign w:val="center"/>
          </w:tcPr>
          <w:p>
            <w:pPr>
              <w:jc w:val="center"/>
              <w:rPr>
                <w:color w:val="auto"/>
              </w:rPr>
            </w:pPr>
          </w:p>
        </w:tc>
        <w:tc>
          <w:tcPr>
            <w:tcW w:w="2415" w:type="dxa"/>
            <w:vAlign w:val="center"/>
          </w:tcPr>
          <w:p>
            <w:pPr>
              <w:jc w:val="center"/>
              <w:rPr>
                <w:color w:val="auto"/>
              </w:rPr>
            </w:pPr>
          </w:p>
        </w:tc>
      </w:tr>
    </w:tbl>
    <w:p>
      <w:pPr>
        <w:tabs>
          <w:tab w:val="left" w:pos="4860"/>
        </w:tabs>
        <w:spacing w:line="588" w:lineRule="exact"/>
        <w:ind w:right="1560" w:firstLine="444" w:firstLineChars="200"/>
        <w:rPr>
          <w:rFonts w:cs="宋体"/>
          <w:color w:val="auto"/>
          <w:spacing w:val="6"/>
          <w:szCs w:val="21"/>
        </w:rPr>
      </w:pPr>
      <w:r>
        <w:rPr>
          <w:rFonts w:hint="eastAsia" w:cs="宋体"/>
          <w:color w:val="auto"/>
          <w:spacing w:val="6"/>
          <w:szCs w:val="21"/>
        </w:rPr>
        <w:t>1、药品存储方案、使用配比情况后附（如有）</w:t>
      </w:r>
    </w:p>
    <w:p>
      <w:pPr>
        <w:tabs>
          <w:tab w:val="left" w:pos="4860"/>
        </w:tabs>
        <w:spacing w:line="588" w:lineRule="exact"/>
        <w:ind w:right="1560" w:firstLine="444" w:firstLineChars="200"/>
        <w:rPr>
          <w:rFonts w:cs="宋体"/>
          <w:color w:val="auto"/>
          <w:spacing w:val="6"/>
          <w:szCs w:val="21"/>
        </w:rPr>
      </w:pPr>
      <w:r>
        <w:rPr>
          <w:rFonts w:hint="eastAsia" w:cs="宋体"/>
          <w:color w:val="auto"/>
          <w:spacing w:val="6"/>
          <w:szCs w:val="21"/>
        </w:rPr>
        <w:t>2、药品三证后附（如有）</w:t>
      </w:r>
    </w:p>
    <w:p>
      <w:pPr>
        <w:pStyle w:val="26"/>
        <w:rPr>
          <w:color w:val="auto"/>
        </w:rPr>
      </w:pPr>
    </w:p>
    <w:p>
      <w:pPr>
        <w:jc w:val="center"/>
        <w:rPr>
          <w:rFonts w:ascii="宋体" w:hAnsi="宋体" w:cs="宋体"/>
          <w:b/>
          <w:color w:val="auto"/>
          <w:kern w:val="0"/>
          <w:sz w:val="32"/>
          <w:szCs w:val="32"/>
        </w:rPr>
      </w:pPr>
    </w:p>
    <w:p>
      <w:pPr>
        <w:pStyle w:val="2"/>
        <w:rPr>
          <w:color w:val="auto"/>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七、投标标的清单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八、商务技术偏离表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九</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杭州市西湖区卫生健康局、浙江省成套工程有限公司</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pPr>
    </w:p>
    <w:p>
      <w:pPr>
        <w:pStyle w:val="4"/>
        <w:rPr>
          <w:rFonts w:ascii="宋体" w:hAnsi="宋体" w:cs="宋体"/>
          <w:color w:val="auto"/>
          <w:sz w:val="24"/>
        </w:rPr>
      </w:pPr>
    </w:p>
    <w:p>
      <w:pPr>
        <w:rPr>
          <w:rFonts w:ascii="宋体" w:hAnsi="宋体" w:cs="宋体"/>
          <w:b/>
          <w:bCs/>
          <w:color w:val="auto"/>
          <w:sz w:val="24"/>
        </w:rPr>
      </w:pPr>
    </w:p>
    <w:p>
      <w:pPr>
        <w:pStyle w:val="4"/>
        <w:rPr>
          <w:color w:val="auto"/>
        </w:rPr>
      </w:pPr>
    </w:p>
    <w:p>
      <w:pPr>
        <w:jc w:val="center"/>
        <w:rPr>
          <w:rFonts w:hAnsi="宋体"/>
          <w:b/>
          <w:color w:val="auto"/>
        </w:rPr>
      </w:pPr>
      <w:r>
        <w:rPr>
          <w:rFonts w:hint="eastAsia" w:ascii="宋体" w:hAnsi="宋体" w:cs="宋体"/>
          <w:b/>
          <w:color w:val="auto"/>
          <w:sz w:val="36"/>
          <w:szCs w:val="20"/>
        </w:rPr>
        <w:t>十、代理服务费支付承诺书</w:t>
      </w:r>
    </w:p>
    <w:p>
      <w:pPr>
        <w:spacing w:line="360" w:lineRule="auto"/>
        <w:jc w:val="center"/>
        <w:rPr>
          <w:rFonts w:hAnsi="宋体"/>
          <w:b/>
          <w:bCs/>
          <w:color w:val="auto"/>
          <w:sz w:val="30"/>
          <w:szCs w:val="30"/>
        </w:rPr>
      </w:pPr>
    </w:p>
    <w:p>
      <w:pPr>
        <w:snapToGrid w:val="0"/>
        <w:spacing w:line="360" w:lineRule="auto"/>
        <w:rPr>
          <w:rFonts w:ascii="宋体" w:hAnsi="宋体"/>
          <w:color w:val="auto"/>
          <w:spacing w:val="20"/>
          <w:sz w:val="24"/>
          <w:u w:val="single"/>
        </w:rPr>
      </w:pPr>
    </w:p>
    <w:p>
      <w:pPr>
        <w:snapToGrid w:val="0"/>
        <w:spacing w:line="360" w:lineRule="auto"/>
        <w:rPr>
          <w:rFonts w:ascii="宋体" w:hAnsi="宋体"/>
          <w:color w:val="auto"/>
          <w:spacing w:val="20"/>
          <w:sz w:val="24"/>
        </w:rPr>
      </w:pPr>
      <w:r>
        <w:rPr>
          <w:rFonts w:hint="eastAsia" w:ascii="宋体" w:hAnsi="宋体"/>
          <w:color w:val="auto"/>
          <w:spacing w:val="20"/>
          <w:sz w:val="24"/>
        </w:rPr>
        <w:t>致：浙江省成套工程有限公司：</w:t>
      </w:r>
    </w:p>
    <w:p>
      <w:pPr>
        <w:snapToGrid w:val="0"/>
        <w:spacing w:line="360" w:lineRule="auto"/>
        <w:rPr>
          <w:rFonts w:ascii="宋体" w:hAnsi="宋体"/>
          <w:color w:val="auto"/>
          <w:spacing w:val="20"/>
          <w:sz w:val="24"/>
        </w:rPr>
      </w:pPr>
    </w:p>
    <w:p>
      <w:pPr>
        <w:snapToGrid w:val="0"/>
        <w:spacing w:line="360" w:lineRule="auto"/>
        <w:ind w:firstLine="630"/>
        <w:jc w:val="left"/>
        <w:rPr>
          <w:rFonts w:ascii="宋体" w:hAnsi="宋体"/>
          <w:color w:val="auto"/>
          <w:spacing w:val="20"/>
          <w:sz w:val="24"/>
        </w:rPr>
      </w:pPr>
      <w:r>
        <w:rPr>
          <w:rFonts w:hint="eastAsia" w:ascii="宋体" w:hAnsi="宋体"/>
          <w:color w:val="auto"/>
          <w:spacing w:val="20"/>
          <w:sz w:val="24"/>
        </w:rPr>
        <w:t>我公司</w:t>
      </w:r>
      <w:r>
        <w:rPr>
          <w:rFonts w:hint="eastAsia" w:ascii="宋体" w:hAnsi="宋体"/>
          <w:color w:val="auto"/>
          <w:sz w:val="24"/>
        </w:rPr>
        <w:t>已认真阅读了</w:t>
      </w:r>
      <w:r>
        <w:rPr>
          <w:rFonts w:hint="eastAsia" w:ascii="仿宋" w:hAnsi="仿宋" w:eastAsia="仿宋"/>
          <w:color w:val="auto"/>
          <w:sz w:val="24"/>
          <w:u w:val="single"/>
        </w:rPr>
        <w:t>2024年度杭州市西湖区公共环境除“四害”项目项目</w:t>
      </w:r>
      <w:r>
        <w:rPr>
          <w:rFonts w:hint="eastAsia" w:ascii="宋体" w:hAnsi="宋体"/>
          <w:color w:val="auto"/>
          <w:sz w:val="24"/>
        </w:rPr>
        <w:t>招标文件（项目编号：ZJCT5-2024056</w:t>
      </w:r>
      <w:r>
        <w:rPr>
          <w:rFonts w:hint="eastAsia" w:ascii="宋体" w:hAnsi="宋体"/>
          <w:color w:val="auto"/>
          <w:spacing w:val="20"/>
          <w:sz w:val="24"/>
        </w:rPr>
        <w:t>）并在此承诺：</w:t>
      </w:r>
    </w:p>
    <w:p>
      <w:pPr>
        <w:snapToGrid w:val="0"/>
        <w:spacing w:line="360" w:lineRule="auto"/>
        <w:ind w:firstLine="630"/>
        <w:rPr>
          <w:rFonts w:ascii="宋体" w:hAnsi="宋体"/>
          <w:color w:val="auto"/>
          <w:sz w:val="24"/>
        </w:rPr>
      </w:pPr>
      <w:r>
        <w:rPr>
          <w:rFonts w:hint="eastAsia" w:ascii="宋体" w:hAnsi="宋体"/>
          <w:color w:val="auto"/>
          <w:sz w:val="24"/>
        </w:rPr>
        <w:t>如中标，我公司将自中标公告发布之日起5个工作日内按招标文件规定的标准（金额）一次性向采购代理机构支付代理服务费。</w:t>
      </w:r>
    </w:p>
    <w:p>
      <w:pPr>
        <w:snapToGrid w:val="0"/>
        <w:spacing w:line="360" w:lineRule="auto"/>
        <w:ind w:firstLine="630"/>
        <w:rPr>
          <w:rFonts w:ascii="宋体" w:hAnsi="宋体"/>
          <w:color w:val="auto"/>
          <w:sz w:val="24"/>
        </w:rPr>
      </w:pPr>
    </w:p>
    <w:p>
      <w:pPr>
        <w:snapToGrid w:val="0"/>
        <w:spacing w:line="360" w:lineRule="auto"/>
        <w:ind w:firstLine="630"/>
        <w:rPr>
          <w:rFonts w:ascii="宋体" w:hAnsi="宋体"/>
          <w:color w:val="auto"/>
          <w:sz w:val="24"/>
        </w:rPr>
      </w:pPr>
    </w:p>
    <w:p>
      <w:pPr>
        <w:snapToGrid w:val="0"/>
        <w:spacing w:line="360" w:lineRule="auto"/>
        <w:ind w:firstLine="630"/>
        <w:rPr>
          <w:rFonts w:ascii="宋体" w:hAnsi="宋体"/>
          <w:color w:val="auto"/>
          <w:sz w:val="24"/>
        </w:rPr>
      </w:pPr>
    </w:p>
    <w:p>
      <w:pPr>
        <w:snapToGrid w:val="0"/>
        <w:spacing w:line="360" w:lineRule="auto"/>
        <w:ind w:firstLine="630"/>
        <w:rPr>
          <w:rFonts w:ascii="宋体" w:hAnsi="宋体"/>
          <w:color w:val="auto"/>
          <w:sz w:val="24"/>
        </w:rPr>
      </w:pPr>
    </w:p>
    <w:p>
      <w:pPr>
        <w:snapToGrid w:val="0"/>
        <w:spacing w:line="360" w:lineRule="auto"/>
        <w:rPr>
          <w:rFonts w:ascii="宋体" w:hAnsi="宋体"/>
          <w:color w:val="auto"/>
          <w:sz w:val="24"/>
          <w:szCs w:val="20"/>
        </w:rPr>
      </w:pPr>
      <w:r>
        <w:rPr>
          <w:rFonts w:hint="eastAsia" w:ascii="宋体" w:hAnsi="宋体"/>
          <w:color w:val="auto"/>
          <w:sz w:val="24"/>
        </w:rPr>
        <w:t>承诺方（投标人）法定名称</w:t>
      </w:r>
      <w:r>
        <w:rPr>
          <w:rFonts w:ascii="宋体" w:hAnsi="宋体"/>
          <w:color w:val="auto"/>
          <w:sz w:val="24"/>
        </w:rPr>
        <w:t>:__________</w:t>
      </w:r>
      <w:r>
        <w:rPr>
          <w:rFonts w:hint="eastAsia" w:ascii="宋体" w:hAnsi="宋体"/>
          <w:color w:val="auto"/>
          <w:sz w:val="24"/>
          <w:u w:val="single"/>
        </w:rPr>
        <w:t>（盖章）</w:t>
      </w:r>
      <w:r>
        <w:rPr>
          <w:rFonts w:ascii="宋体" w:hAnsi="宋体"/>
          <w:color w:val="auto"/>
          <w:sz w:val="24"/>
        </w:rPr>
        <w:t>_________</w:t>
      </w:r>
    </w:p>
    <w:p>
      <w:pPr>
        <w:snapToGrid w:val="0"/>
        <w:spacing w:line="360" w:lineRule="auto"/>
        <w:rPr>
          <w:rFonts w:ascii="宋体" w:hAnsi="宋体"/>
          <w:color w:val="auto"/>
          <w:sz w:val="24"/>
        </w:rPr>
      </w:pPr>
      <w:r>
        <w:rPr>
          <w:rFonts w:hint="eastAsia" w:ascii="宋体" w:hAnsi="宋体"/>
          <w:color w:val="auto"/>
          <w:sz w:val="24"/>
        </w:rPr>
        <w:t>承诺方（投标人）法定地址</w:t>
      </w:r>
      <w:r>
        <w:rPr>
          <w:rFonts w:ascii="宋体" w:hAnsi="宋体"/>
          <w:color w:val="auto"/>
          <w:sz w:val="24"/>
        </w:rPr>
        <w:t>:__________</w:t>
      </w:r>
      <w:r>
        <w:rPr>
          <w:rFonts w:hint="eastAsia" w:ascii="宋体" w:hAnsi="宋体"/>
          <w:color w:val="auto"/>
          <w:sz w:val="24"/>
          <w:u w:val="single"/>
        </w:rPr>
        <w:t xml:space="preserve">         </w:t>
      </w:r>
      <w:r>
        <w:rPr>
          <w:rFonts w:ascii="宋体" w:hAnsi="宋体"/>
          <w:color w:val="auto"/>
          <w:sz w:val="24"/>
        </w:rPr>
        <w:t xml:space="preserve">_________                   </w:t>
      </w:r>
    </w:p>
    <w:p>
      <w:pPr>
        <w:snapToGrid w:val="0"/>
        <w:spacing w:line="360" w:lineRule="auto"/>
        <w:rPr>
          <w:rFonts w:ascii="宋体" w:hAnsi="宋体"/>
          <w:color w:val="auto"/>
          <w:sz w:val="24"/>
          <w:u w:val="single"/>
        </w:rPr>
      </w:pPr>
      <w:r>
        <w:rPr>
          <w:rFonts w:hint="eastAsia" w:ascii="宋体" w:hAnsi="宋体"/>
          <w:color w:val="auto"/>
          <w:sz w:val="24"/>
        </w:rPr>
        <w:t>联系电话：</w:t>
      </w:r>
      <w:r>
        <w:rPr>
          <w:rFonts w:hint="eastAsia" w:ascii="宋体" w:hAnsi="宋体"/>
          <w:color w:val="auto"/>
          <w:sz w:val="24"/>
          <w:u w:val="single"/>
        </w:rPr>
        <w:t xml:space="preserve">             </w:t>
      </w:r>
      <w:r>
        <w:rPr>
          <w:rFonts w:hint="eastAsia" w:ascii="宋体" w:hAnsi="宋体"/>
          <w:color w:val="auto"/>
          <w:sz w:val="24"/>
        </w:rPr>
        <w:t xml:space="preserve">    联系传真：</w:t>
      </w:r>
      <w:r>
        <w:rPr>
          <w:rFonts w:hint="eastAsia" w:ascii="宋体" w:hAnsi="宋体"/>
          <w:color w:val="auto"/>
          <w:sz w:val="24"/>
          <w:u w:val="single"/>
        </w:rPr>
        <w:t xml:space="preserve">               </w:t>
      </w:r>
    </w:p>
    <w:p>
      <w:pPr>
        <w:snapToGrid w:val="0"/>
        <w:spacing w:line="360" w:lineRule="auto"/>
        <w:rPr>
          <w:rFonts w:ascii="宋体" w:hAnsi="宋体"/>
          <w:color w:val="auto"/>
          <w:spacing w:val="20"/>
          <w:sz w:val="24"/>
        </w:rPr>
      </w:pPr>
      <w:r>
        <w:rPr>
          <w:rFonts w:hint="eastAsia" w:ascii="宋体" w:hAnsi="宋体"/>
          <w:color w:val="auto"/>
          <w:sz w:val="24"/>
        </w:rPr>
        <w:t>承诺日期</w:t>
      </w:r>
      <w:r>
        <w:rPr>
          <w:rFonts w:ascii="宋体" w:hAnsi="宋体"/>
          <w:color w:val="auto"/>
          <w:sz w:val="24"/>
        </w:rPr>
        <w:t>:_____</w:t>
      </w:r>
      <w:r>
        <w:rPr>
          <w:rFonts w:hint="eastAsia" w:ascii="宋体" w:hAnsi="宋体"/>
          <w:color w:val="auto"/>
          <w:sz w:val="24"/>
        </w:rPr>
        <w:t>年</w:t>
      </w:r>
      <w:r>
        <w:rPr>
          <w:rFonts w:ascii="宋体" w:hAnsi="宋体"/>
          <w:color w:val="auto"/>
          <w:sz w:val="24"/>
        </w:rPr>
        <w:t>___</w:t>
      </w:r>
      <w:r>
        <w:rPr>
          <w:rFonts w:hint="eastAsia" w:ascii="宋体" w:hAnsi="宋体"/>
          <w:color w:val="auto"/>
          <w:sz w:val="24"/>
        </w:rPr>
        <w:t>月</w:t>
      </w:r>
      <w:r>
        <w:rPr>
          <w:rFonts w:ascii="宋体" w:hAnsi="宋体"/>
          <w:color w:val="auto"/>
          <w:sz w:val="24"/>
        </w:rPr>
        <w:t>___</w:t>
      </w:r>
      <w:r>
        <w:rPr>
          <w:rFonts w:hint="eastAsia" w:ascii="宋体" w:hAnsi="宋体"/>
          <w:color w:val="auto"/>
          <w:sz w:val="24"/>
        </w:rPr>
        <w:t>日</w:t>
      </w:r>
    </w:p>
    <w:p>
      <w:pPr>
        <w:rPr>
          <w:rFonts w:ascii="宋体" w:hAnsi="宋体" w:cs="宋体"/>
          <w:color w:val="auto"/>
        </w:rPr>
      </w:pPr>
      <w:r>
        <w:rPr>
          <w:rFonts w:ascii="宋体" w:hAnsi="宋体" w:cs="宋体"/>
          <w:color w:val="auto"/>
        </w:rPr>
        <w:br w:type="page"/>
      </w:r>
    </w:p>
    <w:p>
      <w:pPr>
        <w:pStyle w:val="4"/>
        <w:rPr>
          <w:color w:val="auto"/>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杭州市西湖区卫生健康局、浙江省成套工程有限公司</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olor w:val="auto"/>
          <w:sz w:val="24"/>
          <w:u w:val="single"/>
        </w:rPr>
        <w:t>2024年度杭州市西湖区公共环境除“四害”项目</w:t>
      </w:r>
      <w:r>
        <w:rPr>
          <w:rFonts w:hint="eastAsia" w:ascii="宋体" w:hAnsi="宋体" w:cs="宋体"/>
          <w:color w:val="auto"/>
          <w:sz w:val="24"/>
        </w:rPr>
        <w:t>活动</w:t>
      </w:r>
      <w:r>
        <w:rPr>
          <w:rFonts w:hint="eastAsia" w:ascii="宋体" w:hAnsi="宋体" w:cs="宋体"/>
          <w:color w:val="auto"/>
          <w:kern w:val="0"/>
          <w:sz w:val="24"/>
          <w:lang w:val="zh-CN"/>
        </w:rPr>
        <w:t>【招标编号：</w:t>
      </w:r>
      <w:r>
        <w:rPr>
          <w:rFonts w:hint="eastAsia" w:ascii="宋体" w:hAnsi="宋体" w:cs="宋体"/>
          <w:color w:val="auto"/>
          <w:sz w:val="24"/>
        </w:rPr>
        <w:t>ZJCT5-2024056】的实施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p>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420" w:name="OLE_LINK14"/>
      <w:bookmarkStart w:id="421" w:name="OLE_LINK13"/>
      <w:r>
        <w:rPr>
          <w:rFonts w:hint="eastAsia" w:ascii="宋体" w:hAnsi="宋体" w:cs="宋体"/>
          <w:b/>
          <w:color w:val="auto"/>
          <w:spacing w:val="6"/>
          <w:sz w:val="32"/>
          <w:szCs w:val="32"/>
        </w:rPr>
        <w:t>残疾人福利性单位声明函</w:t>
      </w:r>
    </w:p>
    <w:bookmarkEnd w:id="420"/>
    <w:bookmarkEnd w:id="421"/>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杭州市西湖区卫生健康局</w:t>
      </w:r>
      <w:r>
        <w:rPr>
          <w:rFonts w:hint="eastAsia" w:ascii="宋体" w:hAnsi="宋体" w:cs="宋体"/>
          <w:color w:val="auto"/>
          <w:sz w:val="24"/>
        </w:rPr>
        <w:t>_单位的_</w:t>
      </w:r>
      <w:r>
        <w:rPr>
          <w:rFonts w:hint="eastAsia" w:ascii="仿宋" w:hAnsi="仿宋" w:eastAsia="仿宋"/>
          <w:color w:val="auto"/>
          <w:sz w:val="24"/>
          <w:u w:val="single"/>
        </w:rPr>
        <w:t>2024年度杭州市西湖区公共环境除“四害”项目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杭州市西湖区卫生健康局、浙江省成套工程有限公司：</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你方组织的2024年度杭州市西湖区公共环境除“四害”项目活动【招标编号：ZJCT5-2024056】</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仿宋" w:hAnsi="仿宋" w:eastAsia="仿宋"/>
          <w:color w:val="auto"/>
          <w:sz w:val="24"/>
          <w:u w:val="single"/>
        </w:rPr>
        <w:t>2024年度杭州市西湖区公共环境除“四害”项目</w:t>
      </w:r>
      <w:r>
        <w:rPr>
          <w:rFonts w:hint="eastAsia" w:ascii="宋体" w:hAnsi="宋体" w:cs="宋体"/>
          <w:color w:val="auto"/>
          <w:sz w:val="24"/>
        </w:rPr>
        <w:t>活动【招标编号：ZJCT5-2024056】</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422"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422"/>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423"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423"/>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2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24"/>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仿宋" w:hAnsi="仿宋" w:eastAsia="仿宋"/>
          <w:color w:val="auto"/>
          <w:sz w:val="24"/>
          <w:u w:val="single"/>
        </w:rPr>
        <w:t>2024年度杭州市西湖区公共环境除“四害”项目</w:t>
      </w:r>
      <w:r>
        <w:rPr>
          <w:rFonts w:hint="eastAsia" w:ascii="宋体" w:hAnsi="宋体" w:cs="宋体"/>
          <w:color w:val="auto"/>
          <w:sz w:val="24"/>
        </w:rPr>
        <w:t>活动【招标编号：ZJCT5-2024056】</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4"/>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杭州市西湖区卫生健康局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仿宋" w:hAnsi="仿宋" w:eastAsia="仿宋"/>
          <w:color w:val="auto"/>
          <w:sz w:val="24"/>
          <w:u w:val="single"/>
        </w:rPr>
        <w:t>2024年度杭州市西湖区公共环境除“四害”项目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kern w:val="0"/>
          <w:sz w:val="24"/>
          <w:u w:val="single"/>
        </w:rPr>
        <w:t>其他未列明行业</w:t>
      </w:r>
      <w:r>
        <w:rPr>
          <w:rFonts w:hint="eastAsia" w:ascii="宋体" w:hAnsi="宋体" w:cs="宋体"/>
          <w:color w:val="auto"/>
          <w:sz w:val="24"/>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color w:val="auto"/>
          <w:lang w:val="en-US"/>
        </w:rPr>
      </w:pPr>
    </w:p>
    <w:p>
      <w:pPr>
        <w:spacing w:line="360" w:lineRule="auto"/>
        <w:ind w:right="420"/>
        <w:rPr>
          <w:rFonts w:ascii="宋体" w:hAnsi="宋体" w:cs="宋体"/>
          <w:color w:val="auto"/>
        </w:rPr>
      </w:pPr>
    </w:p>
    <w:p>
      <w:pPr>
        <w:pStyle w:val="4"/>
        <w:rPr>
          <w:rFonts w:ascii="宋体" w:hAnsi="宋体" w:cs="宋体"/>
          <w:color w:val="auto"/>
        </w:rPr>
      </w:pPr>
    </w:p>
    <w:p>
      <w:pPr>
        <w:rPr>
          <w:rFonts w:ascii="宋体" w:hAnsi="宋体" w:cs="宋体"/>
          <w:color w:val="auto"/>
        </w:rPr>
      </w:pPr>
    </w:p>
    <w:p>
      <w:pPr>
        <w:pStyle w:val="4"/>
        <w:rPr>
          <w:rFonts w:ascii="宋体" w:hAnsi="宋体" w:cs="宋体"/>
          <w:color w:val="auto"/>
        </w:rPr>
      </w:pPr>
    </w:p>
    <w:p>
      <w:pPr>
        <w:rPr>
          <w:rFonts w:ascii="宋体" w:hAnsi="宋体" w:cs="宋体"/>
          <w:color w:val="auto"/>
        </w:rPr>
      </w:pPr>
    </w:p>
    <w:p>
      <w:pPr>
        <w:pStyle w:val="4"/>
        <w:rPr>
          <w:rFonts w:ascii="宋体" w:hAnsi="宋体" w:cs="宋体"/>
          <w:color w:val="auto"/>
        </w:rPr>
      </w:pPr>
    </w:p>
    <w:p>
      <w:pPr>
        <w:rPr>
          <w:rFonts w:ascii="宋体" w:hAnsi="宋体" w:cs="宋体"/>
          <w:color w:val="auto"/>
        </w:rPr>
      </w:pPr>
    </w:p>
    <w:p>
      <w:pPr>
        <w:pStyle w:val="4"/>
        <w:rPr>
          <w:rFonts w:ascii="宋体" w:hAnsi="宋体" w:cs="宋体"/>
          <w:color w:val="auto"/>
        </w:rPr>
      </w:pPr>
    </w:p>
    <w:p>
      <w:pPr>
        <w:rPr>
          <w:rFonts w:ascii="宋体" w:hAnsi="宋体" w:cs="宋体"/>
          <w:color w:val="auto"/>
        </w:rPr>
      </w:pPr>
    </w:p>
    <w:p>
      <w:pPr>
        <w:pStyle w:val="4"/>
        <w:rPr>
          <w:rFonts w:ascii="宋体" w:hAnsi="宋体" w:cs="宋体"/>
          <w:color w:val="auto"/>
        </w:rPr>
      </w:pPr>
    </w:p>
    <w:p>
      <w:pPr>
        <w:rPr>
          <w:rFonts w:ascii="宋体" w:hAnsi="宋体" w:cs="宋体"/>
          <w:color w:val="auto"/>
        </w:rPr>
      </w:pPr>
    </w:p>
    <w:p>
      <w:pPr>
        <w:pStyle w:val="4"/>
        <w:rPr>
          <w:rFonts w:ascii="宋体" w:hAnsi="宋体" w:cs="宋体"/>
          <w:color w:val="auto"/>
        </w:rPr>
      </w:pPr>
    </w:p>
    <w:p>
      <w:pPr>
        <w:rPr>
          <w:rFonts w:ascii="宋体" w:hAnsi="宋体" w:cs="宋体"/>
          <w:color w:val="auto"/>
        </w:rPr>
      </w:pPr>
    </w:p>
    <w:p>
      <w:pPr>
        <w:pStyle w:val="4"/>
        <w:rPr>
          <w:rFonts w:ascii="宋体" w:hAnsi="宋体" w:cs="宋体"/>
          <w:color w:val="auto"/>
        </w:rPr>
      </w:pPr>
    </w:p>
    <w:p>
      <w:pPr>
        <w:rPr>
          <w:rFonts w:ascii="宋体" w:hAnsi="宋体" w:cs="宋体"/>
          <w:color w:val="auto"/>
        </w:rPr>
      </w:pPr>
    </w:p>
    <w:p>
      <w:pPr>
        <w:pStyle w:val="4"/>
        <w:rPr>
          <w:rFonts w:ascii="宋体" w:hAnsi="宋体" w:cs="宋体"/>
          <w:color w:val="auto"/>
        </w:rPr>
      </w:pPr>
    </w:p>
    <w:p>
      <w:pPr>
        <w:rPr>
          <w:rFonts w:ascii="宋体" w:hAnsi="宋体" w:cs="宋体"/>
          <w:color w:val="auto"/>
        </w:rPr>
      </w:pPr>
    </w:p>
    <w:p>
      <w:pPr>
        <w:pStyle w:val="4"/>
        <w:rPr>
          <w:rFonts w:ascii="宋体" w:hAnsi="宋体" w:cs="宋体"/>
          <w:color w:val="auto"/>
        </w:rPr>
      </w:pPr>
    </w:p>
    <w:p>
      <w:pPr>
        <w:rPr>
          <w:rFonts w:ascii="宋体" w:hAnsi="宋体" w:cs="宋体"/>
          <w:color w:val="auto"/>
        </w:rPr>
      </w:pPr>
    </w:p>
    <w:p>
      <w:pPr>
        <w:pStyle w:val="4"/>
        <w:rPr>
          <w:rFonts w:ascii="宋体" w:hAnsi="宋体" w:cs="宋体"/>
          <w:color w:val="auto"/>
        </w:rPr>
      </w:pPr>
    </w:p>
    <w:p>
      <w:pPr>
        <w:rPr>
          <w:rFonts w:ascii="宋体" w:hAnsi="宋体" w:cs="宋体"/>
          <w:color w:val="auto"/>
        </w:rPr>
      </w:pPr>
    </w:p>
    <w:p>
      <w:pPr>
        <w:pStyle w:val="4"/>
        <w:rPr>
          <w:rFonts w:ascii="宋体" w:hAnsi="宋体" w:cs="宋体"/>
          <w:color w:val="auto"/>
        </w:rPr>
      </w:pPr>
    </w:p>
    <w:p>
      <w:pPr>
        <w:rPr>
          <w:rFonts w:ascii="宋体" w:hAnsi="宋体" w:cs="宋体"/>
          <w:color w:val="auto"/>
        </w:rPr>
      </w:pPr>
    </w:p>
    <w:p>
      <w:pPr>
        <w:pStyle w:val="4"/>
        <w:rPr>
          <w:color w:val="auto"/>
        </w:rPr>
      </w:pPr>
    </w:p>
    <w:p>
      <w:pPr>
        <w:tabs>
          <w:tab w:val="left" w:pos="4860"/>
        </w:tabs>
        <w:snapToGrid w:val="0"/>
        <w:spacing w:before="120" w:after="120" w:line="360" w:lineRule="auto"/>
        <w:ind w:right="1560"/>
        <w:jc w:val="center"/>
        <w:outlineLvl w:val="0"/>
        <w:rPr>
          <w:rStyle w:val="967"/>
          <w:rFonts w:ascii="宋体"/>
          <w:b/>
          <w:color w:val="auto"/>
          <w:sz w:val="30"/>
          <w:szCs w:val="30"/>
        </w:rPr>
      </w:pPr>
      <w:r>
        <w:rPr>
          <w:rStyle w:val="967"/>
          <w:rFonts w:hint="eastAsia" w:ascii="宋体" w:hAnsi="宋体"/>
          <w:b/>
          <w:color w:val="auto"/>
          <w:sz w:val="30"/>
          <w:szCs w:val="30"/>
        </w:rPr>
        <w:t xml:space="preserve">        第七部分</w:t>
      </w:r>
      <w:r>
        <w:rPr>
          <w:rStyle w:val="967"/>
          <w:rFonts w:ascii="宋体" w:hAnsi="宋体"/>
          <w:b/>
          <w:color w:val="auto"/>
          <w:sz w:val="30"/>
          <w:szCs w:val="30"/>
        </w:rPr>
        <w:t xml:space="preserve">  </w:t>
      </w:r>
      <w:r>
        <w:rPr>
          <w:rStyle w:val="967"/>
          <w:rFonts w:hint="eastAsia" w:ascii="宋体" w:hAnsi="宋体"/>
          <w:b/>
          <w:color w:val="auto"/>
          <w:sz w:val="30"/>
          <w:szCs w:val="30"/>
        </w:rPr>
        <w:t>其它</w:t>
      </w:r>
    </w:p>
    <w:p>
      <w:pPr>
        <w:pStyle w:val="969"/>
        <w:snapToGrid w:val="0"/>
        <w:spacing w:line="500" w:lineRule="exact"/>
        <w:jc w:val="center"/>
        <w:rPr>
          <w:rStyle w:val="967"/>
          <w:rFonts w:hAnsi="宋体"/>
          <w:b/>
          <w:color w:val="auto"/>
          <w:sz w:val="28"/>
          <w:szCs w:val="28"/>
        </w:rPr>
      </w:pPr>
      <w:r>
        <w:rPr>
          <w:rStyle w:val="967"/>
          <w:rFonts w:hint="eastAsia" w:hAnsi="宋体"/>
          <w:b/>
          <w:color w:val="auto"/>
          <w:sz w:val="28"/>
          <w:szCs w:val="28"/>
        </w:rPr>
        <w:t>政府采购活动现场确认声明书</w:t>
      </w:r>
    </w:p>
    <w:p>
      <w:pPr>
        <w:pStyle w:val="969"/>
        <w:snapToGrid w:val="0"/>
        <w:spacing w:line="360" w:lineRule="auto"/>
        <w:jc w:val="both"/>
        <w:rPr>
          <w:rStyle w:val="967"/>
          <w:rFonts w:hAnsi="宋体"/>
          <w:color w:val="auto"/>
          <w:kern w:val="0"/>
          <w:szCs w:val="21"/>
          <w:u w:val="single"/>
        </w:rPr>
      </w:pPr>
    </w:p>
    <w:p>
      <w:pPr>
        <w:pStyle w:val="969"/>
        <w:snapToGrid w:val="0"/>
        <w:spacing w:line="360" w:lineRule="auto"/>
        <w:jc w:val="both"/>
        <w:rPr>
          <w:rStyle w:val="967"/>
          <w:rFonts w:hAnsi="宋体"/>
          <w:b/>
          <w:color w:val="auto"/>
          <w:szCs w:val="21"/>
        </w:rPr>
      </w:pPr>
      <w:r>
        <w:rPr>
          <w:rStyle w:val="967"/>
          <w:rFonts w:hint="eastAsia" w:hAnsi="宋体"/>
          <w:color w:val="auto"/>
          <w:kern w:val="0"/>
          <w:szCs w:val="21"/>
          <w:u w:val="single" w:color="000000"/>
        </w:rPr>
        <w:t>浙江省成套工程有限公司</w:t>
      </w:r>
      <w:r>
        <w:rPr>
          <w:rStyle w:val="967"/>
          <w:rFonts w:hint="eastAsia" w:hAnsi="宋体"/>
          <w:color w:val="auto"/>
          <w:kern w:val="0"/>
          <w:szCs w:val="21"/>
        </w:rPr>
        <w:t>：</w:t>
      </w:r>
    </w:p>
    <w:p>
      <w:pPr>
        <w:spacing w:line="360" w:lineRule="auto"/>
        <w:ind w:firstLine="444" w:firstLineChars="200"/>
        <w:rPr>
          <w:rStyle w:val="967"/>
          <w:rFonts w:hAnsi="宋体"/>
          <w:color w:val="auto"/>
          <w:spacing w:val="6"/>
          <w:szCs w:val="21"/>
        </w:rPr>
      </w:pPr>
      <w:r>
        <w:rPr>
          <w:rStyle w:val="967"/>
          <w:rFonts w:hint="eastAsia" w:hAnsi="宋体"/>
          <w:color w:val="auto"/>
          <w:spacing w:val="6"/>
          <w:szCs w:val="21"/>
        </w:rPr>
        <w:t>本人</w:t>
      </w:r>
      <w:r>
        <w:rPr>
          <w:rStyle w:val="967"/>
          <w:rFonts w:hAnsi="宋体"/>
          <w:color w:val="auto"/>
          <w:spacing w:val="6"/>
          <w:szCs w:val="21"/>
          <w:u w:val="single" w:color="000000"/>
        </w:rPr>
        <w:t xml:space="preserve">        </w:t>
      </w:r>
      <w:r>
        <w:rPr>
          <w:rStyle w:val="967"/>
          <w:rFonts w:hAnsi="宋体"/>
          <w:color w:val="auto"/>
          <w:spacing w:val="6"/>
          <w:szCs w:val="21"/>
        </w:rPr>
        <w:t>(</w:t>
      </w:r>
      <w:r>
        <w:rPr>
          <w:rStyle w:val="967"/>
          <w:rFonts w:hint="eastAsia" w:hAnsi="宋体"/>
          <w:color w:val="auto"/>
          <w:spacing w:val="6"/>
          <w:szCs w:val="21"/>
        </w:rPr>
        <w:t>授权代表姓名），经由</w:t>
      </w:r>
      <w:r>
        <w:rPr>
          <w:rStyle w:val="967"/>
          <w:rFonts w:hAnsi="宋体"/>
          <w:color w:val="auto"/>
          <w:spacing w:val="6"/>
          <w:szCs w:val="21"/>
        </w:rPr>
        <w:t xml:space="preserve"> </w:t>
      </w:r>
      <w:r>
        <w:rPr>
          <w:rStyle w:val="967"/>
          <w:rFonts w:hAnsi="宋体"/>
          <w:color w:val="auto"/>
          <w:spacing w:val="6"/>
          <w:szCs w:val="21"/>
          <w:u w:val="single" w:color="000000"/>
        </w:rPr>
        <w:t xml:space="preserve">               </w:t>
      </w:r>
      <w:r>
        <w:rPr>
          <w:rStyle w:val="967"/>
          <w:rFonts w:hint="eastAsia" w:hAnsi="宋体"/>
          <w:color w:val="auto"/>
          <w:spacing w:val="6"/>
          <w:szCs w:val="21"/>
        </w:rPr>
        <w:t>（单位）</w:t>
      </w:r>
      <w:r>
        <w:rPr>
          <w:rStyle w:val="967"/>
          <w:rFonts w:hAnsi="宋体"/>
          <w:color w:val="auto"/>
          <w:spacing w:val="6"/>
          <w:szCs w:val="21"/>
          <w:u w:val="single" w:color="000000"/>
        </w:rPr>
        <w:t xml:space="preserve">        </w:t>
      </w:r>
      <w:r>
        <w:rPr>
          <w:rStyle w:val="967"/>
          <w:rFonts w:hint="eastAsia" w:hAnsi="宋体"/>
          <w:color w:val="auto"/>
          <w:spacing w:val="6"/>
          <w:szCs w:val="21"/>
        </w:rPr>
        <w:t>（法定代表人姓名）合法授权参加</w:t>
      </w:r>
      <w:r>
        <w:rPr>
          <w:rStyle w:val="967"/>
          <w:rFonts w:hint="eastAsia" w:hAnsi="宋体"/>
          <w:color w:val="auto"/>
          <w:spacing w:val="6"/>
          <w:szCs w:val="21"/>
          <w:u w:val="single"/>
        </w:rPr>
        <w:t xml:space="preserve"> 2024年度杭州市西湖区公共环境除“四害”项目</w:t>
      </w:r>
      <w:r>
        <w:rPr>
          <w:rStyle w:val="967"/>
          <w:rFonts w:hint="eastAsia" w:hAnsi="宋体"/>
          <w:color w:val="auto"/>
          <w:spacing w:val="6"/>
          <w:szCs w:val="21"/>
          <w:u w:val="single" w:color="000000"/>
        </w:rPr>
        <w:t>活动</w:t>
      </w:r>
      <w:r>
        <w:rPr>
          <w:rStyle w:val="967"/>
          <w:rFonts w:hint="eastAsia" w:hAnsi="宋体"/>
          <w:color w:val="auto"/>
          <w:spacing w:val="6"/>
          <w:szCs w:val="21"/>
        </w:rPr>
        <w:t>（编号：</w:t>
      </w:r>
      <w:r>
        <w:rPr>
          <w:rStyle w:val="967"/>
          <w:rFonts w:hint="eastAsia" w:hAnsi="宋体"/>
          <w:color w:val="auto"/>
          <w:spacing w:val="6"/>
          <w:szCs w:val="21"/>
          <w:u w:val="single" w:color="000000"/>
        </w:rPr>
        <w:t>ZJCT5-2024056</w:t>
      </w:r>
      <w:r>
        <w:rPr>
          <w:rStyle w:val="967"/>
          <w:rFonts w:hint="eastAsia" w:hAnsi="宋体"/>
          <w:color w:val="auto"/>
          <w:spacing w:val="6"/>
          <w:szCs w:val="21"/>
        </w:rPr>
        <w:t>）政府采购活动，经与本单位法人代表（负责人）联系确认，现就有关公平竞争事项郑重声明如下：</w:t>
      </w:r>
      <w:r>
        <w:rPr>
          <w:rStyle w:val="967"/>
          <w:rFonts w:hAnsi="宋体"/>
          <w:color w:val="auto"/>
          <w:spacing w:val="6"/>
          <w:szCs w:val="21"/>
        </w:rPr>
        <w:t xml:space="preserve"> </w:t>
      </w:r>
    </w:p>
    <w:p>
      <w:pPr>
        <w:pStyle w:val="970"/>
        <w:numPr>
          <w:ilvl w:val="0"/>
          <w:numId w:val="3"/>
        </w:numPr>
        <w:snapToGrid w:val="0"/>
        <w:spacing w:line="360" w:lineRule="auto"/>
        <w:ind w:firstLine="396" w:firstLineChars="189"/>
        <w:rPr>
          <w:rStyle w:val="967"/>
          <w:rFonts w:ascii="宋体"/>
          <w:color w:val="auto"/>
          <w:kern w:val="0"/>
          <w:szCs w:val="21"/>
        </w:rPr>
      </w:pPr>
      <w:r>
        <w:rPr>
          <w:rStyle w:val="967"/>
          <w:rFonts w:hint="eastAsia" w:ascii="宋体" w:hAnsi="宋体"/>
          <w:color w:val="auto"/>
          <w:kern w:val="0"/>
          <w:szCs w:val="21"/>
        </w:rPr>
        <w:t>本单位与采购人之间</w:t>
      </w:r>
      <w:r>
        <w:rPr>
          <w:rStyle w:val="967"/>
          <w:rFonts w:ascii="宋体" w:hAnsi="宋体"/>
          <w:color w:val="auto"/>
          <w:kern w:val="0"/>
          <w:szCs w:val="21"/>
        </w:rPr>
        <w:t xml:space="preserve"> </w:t>
      </w:r>
      <w:r>
        <w:rPr>
          <w:rStyle w:val="967"/>
          <w:rFonts w:hint="eastAsia" w:ascii="宋体" w:hAnsi="宋体"/>
          <w:color w:val="auto"/>
          <w:kern w:val="0"/>
          <w:szCs w:val="21"/>
        </w:rPr>
        <w:t>□不存在利害关系</w:t>
      </w:r>
      <w:r>
        <w:rPr>
          <w:rStyle w:val="967"/>
          <w:rFonts w:ascii="宋体" w:hAnsi="宋体"/>
          <w:color w:val="auto"/>
          <w:kern w:val="0"/>
          <w:szCs w:val="21"/>
        </w:rPr>
        <w:t xml:space="preserve"> </w:t>
      </w:r>
      <w:r>
        <w:rPr>
          <w:rStyle w:val="967"/>
          <w:rFonts w:hint="eastAsia" w:ascii="宋体" w:hAnsi="宋体"/>
          <w:color w:val="auto"/>
          <w:kern w:val="0"/>
          <w:szCs w:val="21"/>
        </w:rPr>
        <w:t>□存在下列利害关系：</w:t>
      </w:r>
    </w:p>
    <w:p>
      <w:pPr>
        <w:pStyle w:val="970"/>
        <w:snapToGrid w:val="0"/>
        <w:spacing w:line="360" w:lineRule="auto"/>
        <w:ind w:firstLine="200"/>
        <w:rPr>
          <w:rStyle w:val="967"/>
          <w:rFonts w:ascii="宋体"/>
          <w:color w:val="auto"/>
          <w:kern w:val="0"/>
          <w:szCs w:val="21"/>
        </w:rPr>
      </w:pPr>
      <w:r>
        <w:rPr>
          <w:rStyle w:val="967"/>
          <w:rFonts w:ascii="宋体" w:hAnsi="宋体"/>
          <w:color w:val="auto"/>
          <w:kern w:val="0"/>
          <w:szCs w:val="21"/>
        </w:rPr>
        <w:t xml:space="preserve">  A.</w:t>
      </w:r>
      <w:r>
        <w:rPr>
          <w:rStyle w:val="967"/>
          <w:rFonts w:hint="eastAsia" w:ascii="宋体" w:hAnsi="宋体"/>
          <w:color w:val="auto"/>
          <w:kern w:val="0"/>
          <w:szCs w:val="21"/>
        </w:rPr>
        <w:t>投资关系</w:t>
      </w:r>
      <w:r>
        <w:rPr>
          <w:rStyle w:val="967"/>
          <w:rFonts w:ascii="宋体" w:hAnsi="宋体"/>
          <w:color w:val="auto"/>
          <w:kern w:val="0"/>
          <w:szCs w:val="21"/>
        </w:rPr>
        <w:t xml:space="preserve">    B.</w:t>
      </w:r>
      <w:r>
        <w:rPr>
          <w:rStyle w:val="967"/>
          <w:rFonts w:hint="eastAsia" w:ascii="宋体" w:hAnsi="宋体"/>
          <w:color w:val="auto"/>
          <w:kern w:val="0"/>
          <w:szCs w:val="21"/>
        </w:rPr>
        <w:t>行政隶属关系</w:t>
      </w:r>
      <w:r>
        <w:rPr>
          <w:rStyle w:val="967"/>
          <w:rFonts w:ascii="宋体" w:hAnsi="宋体"/>
          <w:color w:val="auto"/>
          <w:kern w:val="0"/>
          <w:szCs w:val="21"/>
        </w:rPr>
        <w:t xml:space="preserve">    C.</w:t>
      </w:r>
      <w:r>
        <w:rPr>
          <w:rStyle w:val="967"/>
          <w:rFonts w:hint="eastAsia" w:ascii="宋体" w:hAnsi="宋体"/>
          <w:color w:val="auto"/>
          <w:kern w:val="0"/>
          <w:szCs w:val="21"/>
        </w:rPr>
        <w:t>业务指导关系</w:t>
      </w:r>
    </w:p>
    <w:p>
      <w:pPr>
        <w:pStyle w:val="970"/>
        <w:snapToGrid w:val="0"/>
        <w:spacing w:line="360" w:lineRule="auto"/>
        <w:ind w:firstLine="200"/>
        <w:rPr>
          <w:rStyle w:val="967"/>
          <w:rFonts w:ascii="宋体"/>
          <w:color w:val="auto"/>
          <w:kern w:val="0"/>
          <w:szCs w:val="21"/>
        </w:rPr>
      </w:pPr>
      <w:r>
        <w:rPr>
          <w:rStyle w:val="967"/>
          <w:rFonts w:ascii="宋体" w:hAnsi="宋体"/>
          <w:color w:val="auto"/>
          <w:kern w:val="0"/>
          <w:szCs w:val="21"/>
        </w:rPr>
        <w:t xml:space="preserve">  D.</w:t>
      </w:r>
      <w:r>
        <w:rPr>
          <w:rStyle w:val="967"/>
          <w:rFonts w:hint="eastAsia" w:ascii="宋体" w:hAnsi="宋体"/>
          <w:color w:val="auto"/>
          <w:kern w:val="0"/>
          <w:szCs w:val="21"/>
        </w:rPr>
        <w:t>其他可能</w:t>
      </w:r>
      <w:r>
        <w:rPr>
          <w:rStyle w:val="967"/>
          <w:rFonts w:hint="eastAsia" w:ascii="宋体" w:hAnsi="宋体"/>
          <w:color w:val="auto"/>
          <w:szCs w:val="21"/>
        </w:rPr>
        <w:t>影响采购公正的</w:t>
      </w:r>
      <w:r>
        <w:rPr>
          <w:rStyle w:val="967"/>
          <w:rFonts w:hint="eastAsia" w:ascii="宋体" w:hAnsi="宋体"/>
          <w:color w:val="auto"/>
          <w:kern w:val="0"/>
          <w:szCs w:val="21"/>
        </w:rPr>
        <w:t>利害关系</w:t>
      </w:r>
      <w:r>
        <w:rPr>
          <w:rStyle w:val="967"/>
          <w:rFonts w:hint="eastAsia" w:ascii="宋体" w:hAnsi="宋体"/>
          <w:color w:val="auto"/>
          <w:kern w:val="0"/>
          <w:szCs w:val="21"/>
          <w:u w:val="single" w:color="000000"/>
        </w:rPr>
        <w:t>（如有，请如实说明）</w:t>
      </w:r>
      <w:r>
        <w:rPr>
          <w:rStyle w:val="967"/>
          <w:rFonts w:ascii="宋体" w:hAnsi="宋体"/>
          <w:color w:val="auto"/>
          <w:kern w:val="0"/>
          <w:szCs w:val="21"/>
          <w:u w:val="single" w:color="000000"/>
        </w:rPr>
        <w:t xml:space="preserve">                 </w:t>
      </w:r>
      <w:r>
        <w:rPr>
          <w:rStyle w:val="967"/>
          <w:rFonts w:hint="eastAsia" w:ascii="宋体" w:hAnsi="宋体"/>
          <w:color w:val="auto"/>
          <w:kern w:val="0"/>
          <w:szCs w:val="21"/>
        </w:rPr>
        <w:t>。</w:t>
      </w:r>
    </w:p>
    <w:p>
      <w:pPr>
        <w:pStyle w:val="970"/>
        <w:snapToGrid w:val="0"/>
        <w:spacing w:line="360" w:lineRule="auto"/>
        <w:ind w:firstLine="200"/>
        <w:rPr>
          <w:rStyle w:val="967"/>
          <w:rFonts w:ascii="宋体"/>
          <w:color w:val="auto"/>
          <w:kern w:val="0"/>
          <w:szCs w:val="21"/>
        </w:rPr>
      </w:pPr>
      <w:r>
        <w:rPr>
          <w:rStyle w:val="967"/>
          <w:rFonts w:ascii="宋体" w:hAnsi="宋体"/>
          <w:color w:val="auto"/>
          <w:spacing w:val="6"/>
          <w:szCs w:val="21"/>
        </w:rPr>
        <w:t xml:space="preserve">  </w:t>
      </w:r>
      <w:r>
        <w:rPr>
          <w:rStyle w:val="967"/>
          <w:rFonts w:hint="eastAsia" w:ascii="宋体" w:hAnsi="宋体"/>
          <w:color w:val="auto"/>
          <w:spacing w:val="6"/>
          <w:szCs w:val="21"/>
        </w:rPr>
        <w:t>二、</w:t>
      </w:r>
      <w:r>
        <w:rPr>
          <w:rStyle w:val="967"/>
          <w:rFonts w:hint="eastAsia" w:ascii="宋体" w:hAnsi="宋体"/>
          <w:color w:val="auto"/>
          <w:kern w:val="0"/>
          <w:szCs w:val="21"/>
        </w:rPr>
        <w:t>现已清楚知道参加本项目采购活动的其他所有供应商名称，本单位</w:t>
      </w:r>
      <w:r>
        <w:rPr>
          <w:rStyle w:val="967"/>
          <w:rFonts w:ascii="宋体" w:hAnsi="宋体"/>
          <w:color w:val="auto"/>
          <w:kern w:val="0"/>
          <w:szCs w:val="21"/>
        </w:rPr>
        <w:t xml:space="preserve"> </w:t>
      </w:r>
      <w:r>
        <w:rPr>
          <w:rStyle w:val="967"/>
          <w:rFonts w:hint="eastAsia" w:ascii="宋体" w:hAnsi="宋体"/>
          <w:color w:val="auto"/>
          <w:kern w:val="0"/>
          <w:szCs w:val="21"/>
        </w:rPr>
        <w:t>□与其他所有供应商之间均不存在利害关系</w:t>
      </w:r>
      <w:r>
        <w:rPr>
          <w:rStyle w:val="967"/>
          <w:rFonts w:ascii="宋体" w:hAnsi="宋体"/>
          <w:color w:val="auto"/>
          <w:kern w:val="0"/>
          <w:szCs w:val="21"/>
        </w:rPr>
        <w:t xml:space="preserve"> </w:t>
      </w:r>
      <w:r>
        <w:rPr>
          <w:rStyle w:val="967"/>
          <w:rFonts w:hint="eastAsia" w:ascii="宋体" w:hAnsi="宋体"/>
          <w:color w:val="auto"/>
          <w:kern w:val="0"/>
          <w:szCs w:val="21"/>
        </w:rPr>
        <w:t>□与</w:t>
      </w:r>
      <w:r>
        <w:rPr>
          <w:rStyle w:val="967"/>
          <w:rFonts w:ascii="宋体" w:hAnsi="宋体"/>
          <w:color w:val="auto"/>
          <w:kern w:val="0"/>
          <w:szCs w:val="21"/>
          <w:u w:val="single" w:color="000000"/>
        </w:rPr>
        <w:t xml:space="preserve">           </w:t>
      </w:r>
      <w:r>
        <w:rPr>
          <w:rStyle w:val="967"/>
          <w:rFonts w:hint="eastAsia" w:ascii="宋体" w:hAnsi="宋体"/>
          <w:color w:val="auto"/>
          <w:kern w:val="0"/>
          <w:szCs w:val="21"/>
          <w:u w:val="single" w:color="000000"/>
        </w:rPr>
        <w:t>（供应商名称）</w:t>
      </w:r>
      <w:r>
        <w:rPr>
          <w:rStyle w:val="967"/>
          <w:rFonts w:hint="eastAsia" w:ascii="宋体" w:hAnsi="宋体"/>
          <w:color w:val="auto"/>
          <w:kern w:val="0"/>
          <w:szCs w:val="21"/>
        </w:rPr>
        <w:t>之间存在下列利害关系：</w:t>
      </w:r>
    </w:p>
    <w:p>
      <w:pPr>
        <w:pStyle w:val="969"/>
        <w:snapToGrid w:val="0"/>
        <w:spacing w:line="360" w:lineRule="auto"/>
        <w:ind w:firstLine="200"/>
        <w:jc w:val="both"/>
        <w:rPr>
          <w:rStyle w:val="967"/>
          <w:rFonts w:hAnsi="宋体"/>
          <w:color w:val="auto"/>
          <w:kern w:val="0"/>
          <w:szCs w:val="21"/>
        </w:rPr>
      </w:pPr>
      <w:r>
        <w:rPr>
          <w:rStyle w:val="967"/>
          <w:rFonts w:hAnsi="宋体"/>
          <w:color w:val="auto"/>
          <w:kern w:val="0"/>
          <w:szCs w:val="21"/>
        </w:rPr>
        <w:t xml:space="preserve">  A.</w:t>
      </w:r>
      <w:r>
        <w:rPr>
          <w:rStyle w:val="967"/>
          <w:rFonts w:hint="eastAsia" w:hAnsi="宋体"/>
          <w:color w:val="auto"/>
          <w:kern w:val="0"/>
          <w:szCs w:val="21"/>
        </w:rPr>
        <w:t>法定代表人或负责人或实际控制人是同一人</w:t>
      </w:r>
    </w:p>
    <w:p>
      <w:pPr>
        <w:pStyle w:val="969"/>
        <w:snapToGrid w:val="0"/>
        <w:spacing w:line="360" w:lineRule="auto"/>
        <w:ind w:firstLine="200"/>
        <w:jc w:val="both"/>
        <w:rPr>
          <w:rStyle w:val="967"/>
          <w:rFonts w:hAnsi="宋体"/>
          <w:color w:val="auto"/>
          <w:spacing w:val="6"/>
          <w:szCs w:val="21"/>
        </w:rPr>
      </w:pPr>
      <w:r>
        <w:rPr>
          <w:rStyle w:val="967"/>
          <w:rFonts w:hAnsi="宋体"/>
          <w:color w:val="auto"/>
          <w:kern w:val="0"/>
          <w:szCs w:val="21"/>
        </w:rPr>
        <w:t xml:space="preserve">  B.</w:t>
      </w:r>
      <w:r>
        <w:rPr>
          <w:rStyle w:val="967"/>
          <w:rFonts w:hint="eastAsia" w:hAnsi="宋体"/>
          <w:color w:val="auto"/>
          <w:kern w:val="0"/>
          <w:szCs w:val="21"/>
        </w:rPr>
        <w:t>法定代表人或负责人或实际控制人是夫妻关系</w:t>
      </w:r>
    </w:p>
    <w:p>
      <w:pPr>
        <w:pStyle w:val="969"/>
        <w:snapToGrid w:val="0"/>
        <w:spacing w:line="360" w:lineRule="auto"/>
        <w:ind w:firstLine="200"/>
        <w:jc w:val="both"/>
        <w:rPr>
          <w:rStyle w:val="967"/>
          <w:rFonts w:hAnsi="宋体"/>
          <w:color w:val="auto"/>
          <w:spacing w:val="6"/>
          <w:szCs w:val="21"/>
        </w:rPr>
      </w:pPr>
      <w:r>
        <w:rPr>
          <w:rStyle w:val="967"/>
          <w:rFonts w:hAnsi="宋体"/>
          <w:color w:val="auto"/>
          <w:kern w:val="0"/>
          <w:szCs w:val="21"/>
        </w:rPr>
        <w:t xml:space="preserve">  C.</w:t>
      </w:r>
      <w:r>
        <w:rPr>
          <w:rStyle w:val="967"/>
          <w:rFonts w:hint="eastAsia" w:hAnsi="宋体"/>
          <w:color w:val="auto"/>
          <w:kern w:val="0"/>
          <w:szCs w:val="21"/>
        </w:rPr>
        <w:t>法定代表人或负责人或实际控制人是直系血亲关系</w:t>
      </w:r>
    </w:p>
    <w:p>
      <w:pPr>
        <w:pStyle w:val="969"/>
        <w:snapToGrid w:val="0"/>
        <w:spacing w:line="360" w:lineRule="auto"/>
        <w:ind w:firstLine="200"/>
        <w:jc w:val="both"/>
        <w:rPr>
          <w:rStyle w:val="967"/>
          <w:rFonts w:hAnsi="宋体"/>
          <w:color w:val="auto"/>
          <w:spacing w:val="6"/>
          <w:szCs w:val="21"/>
        </w:rPr>
      </w:pPr>
      <w:r>
        <w:rPr>
          <w:rStyle w:val="967"/>
          <w:rFonts w:hAnsi="宋体"/>
          <w:color w:val="auto"/>
          <w:kern w:val="0"/>
          <w:szCs w:val="21"/>
        </w:rPr>
        <w:t xml:space="preserve">  D.</w:t>
      </w:r>
      <w:r>
        <w:rPr>
          <w:rStyle w:val="967"/>
          <w:rFonts w:hint="eastAsia" w:hAnsi="宋体"/>
          <w:color w:val="auto"/>
          <w:kern w:val="0"/>
          <w:szCs w:val="21"/>
        </w:rPr>
        <w:t>法定代表人或负责人或实际控制人存在三代以内旁系血亲关系</w:t>
      </w:r>
    </w:p>
    <w:p>
      <w:pPr>
        <w:pStyle w:val="969"/>
        <w:snapToGrid w:val="0"/>
        <w:spacing w:line="360" w:lineRule="auto"/>
        <w:ind w:firstLine="200"/>
        <w:jc w:val="both"/>
        <w:rPr>
          <w:rStyle w:val="967"/>
          <w:rFonts w:hAnsi="宋体"/>
          <w:color w:val="auto"/>
          <w:kern w:val="0"/>
          <w:szCs w:val="21"/>
        </w:rPr>
      </w:pPr>
      <w:r>
        <w:rPr>
          <w:rStyle w:val="967"/>
          <w:rFonts w:hAnsi="宋体"/>
          <w:color w:val="auto"/>
          <w:kern w:val="0"/>
          <w:szCs w:val="21"/>
        </w:rPr>
        <w:t xml:space="preserve">  E.</w:t>
      </w:r>
      <w:r>
        <w:rPr>
          <w:rStyle w:val="967"/>
          <w:rFonts w:hint="eastAsia" w:hAnsi="宋体"/>
          <w:color w:val="auto"/>
          <w:kern w:val="0"/>
          <w:szCs w:val="21"/>
        </w:rPr>
        <w:t>法定代表人或负责人或实际控制人存在近姻亲关系</w:t>
      </w:r>
    </w:p>
    <w:p>
      <w:pPr>
        <w:pStyle w:val="969"/>
        <w:snapToGrid w:val="0"/>
        <w:spacing w:line="360" w:lineRule="auto"/>
        <w:ind w:firstLine="200"/>
        <w:jc w:val="both"/>
        <w:rPr>
          <w:rStyle w:val="967"/>
          <w:rFonts w:hAnsi="宋体"/>
          <w:color w:val="auto"/>
          <w:kern w:val="0"/>
          <w:szCs w:val="21"/>
        </w:rPr>
      </w:pPr>
      <w:r>
        <w:rPr>
          <w:rStyle w:val="967"/>
          <w:rFonts w:hAnsi="宋体"/>
          <w:color w:val="auto"/>
          <w:kern w:val="0"/>
          <w:szCs w:val="21"/>
        </w:rPr>
        <w:t xml:space="preserve">  F.</w:t>
      </w:r>
      <w:r>
        <w:rPr>
          <w:rStyle w:val="967"/>
          <w:rFonts w:hint="eastAsia" w:hAnsi="宋体"/>
          <w:color w:val="auto"/>
          <w:kern w:val="0"/>
          <w:szCs w:val="21"/>
        </w:rPr>
        <w:t>法定代表人或负责人或实际控制人存在股份控制或实际控制关系</w:t>
      </w:r>
    </w:p>
    <w:p>
      <w:pPr>
        <w:pStyle w:val="969"/>
        <w:snapToGrid w:val="0"/>
        <w:spacing w:line="360" w:lineRule="auto"/>
        <w:ind w:firstLine="200"/>
        <w:jc w:val="both"/>
        <w:rPr>
          <w:rStyle w:val="967"/>
          <w:rFonts w:hAnsi="宋体"/>
          <w:color w:val="auto"/>
          <w:kern w:val="0"/>
          <w:szCs w:val="21"/>
        </w:rPr>
      </w:pPr>
      <w:r>
        <w:rPr>
          <w:rStyle w:val="967"/>
          <w:rFonts w:hAnsi="宋体"/>
          <w:color w:val="auto"/>
          <w:kern w:val="0"/>
          <w:szCs w:val="21"/>
        </w:rPr>
        <w:t xml:space="preserve">  G.</w:t>
      </w:r>
      <w:r>
        <w:rPr>
          <w:rStyle w:val="967"/>
          <w:rFonts w:hint="eastAsia" w:hAnsi="宋体"/>
          <w:color w:val="auto"/>
          <w:kern w:val="0"/>
          <w:szCs w:val="21"/>
        </w:rPr>
        <w:t>存在共同直接或间接投资设立子公司、联营企业和合营企业情况</w:t>
      </w:r>
    </w:p>
    <w:p>
      <w:pPr>
        <w:pStyle w:val="969"/>
        <w:snapToGrid w:val="0"/>
        <w:spacing w:line="360" w:lineRule="auto"/>
        <w:ind w:firstLine="200"/>
        <w:jc w:val="both"/>
        <w:rPr>
          <w:rStyle w:val="967"/>
          <w:rFonts w:hAnsi="宋体"/>
          <w:color w:val="auto"/>
          <w:szCs w:val="21"/>
        </w:rPr>
      </w:pPr>
      <w:r>
        <w:rPr>
          <w:rStyle w:val="967"/>
          <w:rFonts w:hAnsi="宋体"/>
          <w:color w:val="auto"/>
          <w:kern w:val="0"/>
          <w:szCs w:val="21"/>
        </w:rPr>
        <w:t xml:space="preserve">  H.</w:t>
      </w:r>
      <w:r>
        <w:rPr>
          <w:rStyle w:val="967"/>
          <w:rFonts w:hint="eastAsia" w:hAnsi="宋体"/>
          <w:color w:val="auto"/>
          <w:kern w:val="0"/>
          <w:szCs w:val="21"/>
        </w:rPr>
        <w:t>存在分级代理或代销关系、同一生产制造商关系、</w:t>
      </w:r>
      <w:r>
        <w:rPr>
          <w:rStyle w:val="967"/>
          <w:rFonts w:hint="eastAsia" w:hAnsi="宋体"/>
          <w:color w:val="auto"/>
          <w:szCs w:val="21"/>
        </w:rPr>
        <w:t>管理关系、重要业务（占主营业务收入</w:t>
      </w:r>
      <w:r>
        <w:rPr>
          <w:rStyle w:val="967"/>
          <w:rFonts w:hAnsi="宋体"/>
          <w:color w:val="auto"/>
          <w:szCs w:val="21"/>
        </w:rPr>
        <w:t>50%</w:t>
      </w:r>
      <w:r>
        <w:rPr>
          <w:rStyle w:val="967"/>
          <w:rFonts w:hint="eastAsia" w:hAnsi="宋体"/>
          <w:color w:val="auto"/>
          <w:szCs w:val="21"/>
        </w:rPr>
        <w:t>以上）或重要财务往来关系（如融资）等其他实质性控制关系</w:t>
      </w:r>
    </w:p>
    <w:p>
      <w:pPr>
        <w:pStyle w:val="969"/>
        <w:snapToGrid w:val="0"/>
        <w:spacing w:line="360" w:lineRule="auto"/>
        <w:ind w:firstLine="200"/>
        <w:jc w:val="both"/>
        <w:rPr>
          <w:rStyle w:val="967"/>
          <w:rFonts w:hAnsi="宋体"/>
          <w:color w:val="auto"/>
          <w:spacing w:val="6"/>
          <w:szCs w:val="21"/>
        </w:rPr>
      </w:pPr>
      <w:r>
        <w:rPr>
          <w:rStyle w:val="967"/>
          <w:rFonts w:hAnsi="宋体"/>
          <w:color w:val="auto"/>
          <w:szCs w:val="21"/>
        </w:rPr>
        <w:t xml:space="preserve">   I</w:t>
      </w:r>
      <w:r>
        <w:rPr>
          <w:rStyle w:val="967"/>
          <w:rFonts w:hAnsi="宋体"/>
          <w:color w:val="auto"/>
          <w:kern w:val="0"/>
          <w:szCs w:val="21"/>
        </w:rPr>
        <w:t>.</w:t>
      </w:r>
      <w:r>
        <w:rPr>
          <w:rStyle w:val="967"/>
          <w:rFonts w:hint="eastAsia" w:hAnsi="宋体"/>
          <w:color w:val="auto"/>
          <w:szCs w:val="21"/>
        </w:rPr>
        <w:t>其他利害关系情况</w:t>
      </w:r>
      <w:r>
        <w:rPr>
          <w:rStyle w:val="967"/>
          <w:rFonts w:hAnsi="宋体"/>
          <w:color w:val="auto"/>
          <w:szCs w:val="21"/>
          <w:u w:val="single" w:color="000000"/>
        </w:rPr>
        <w:t xml:space="preserve">                              </w:t>
      </w:r>
      <w:r>
        <w:rPr>
          <w:rStyle w:val="967"/>
          <w:rFonts w:hint="eastAsia" w:hAnsi="宋体"/>
          <w:color w:val="auto"/>
          <w:kern w:val="0"/>
          <w:szCs w:val="21"/>
        </w:rPr>
        <w:t>。</w:t>
      </w:r>
    </w:p>
    <w:p>
      <w:pPr>
        <w:pStyle w:val="970"/>
        <w:numPr>
          <w:ilvl w:val="0"/>
          <w:numId w:val="4"/>
        </w:numPr>
        <w:snapToGrid w:val="0"/>
        <w:spacing w:line="360" w:lineRule="auto"/>
        <w:ind w:firstLine="396" w:firstLineChars="189"/>
        <w:rPr>
          <w:rStyle w:val="967"/>
          <w:rFonts w:ascii="宋体"/>
          <w:color w:val="auto"/>
          <w:kern w:val="0"/>
          <w:szCs w:val="21"/>
        </w:rPr>
      </w:pPr>
      <w:r>
        <w:rPr>
          <w:rStyle w:val="967"/>
          <w:rFonts w:hint="eastAsia" w:ascii="宋体" w:hAnsi="宋体"/>
          <w:color w:val="auto"/>
          <w:szCs w:val="21"/>
        </w:rPr>
        <w:t>现已清楚知道并</w:t>
      </w:r>
      <w:r>
        <w:rPr>
          <w:rStyle w:val="967"/>
          <w:rFonts w:hint="eastAsia" w:ascii="宋体" w:hAnsi="宋体"/>
          <w:color w:val="auto"/>
          <w:kern w:val="0"/>
          <w:szCs w:val="21"/>
        </w:rPr>
        <w:t>严格遵守政府采购法律法规和现场纪律。</w:t>
      </w:r>
    </w:p>
    <w:p>
      <w:pPr>
        <w:pStyle w:val="970"/>
        <w:numPr>
          <w:ilvl w:val="0"/>
          <w:numId w:val="4"/>
        </w:numPr>
        <w:snapToGrid w:val="0"/>
        <w:spacing w:line="360" w:lineRule="auto"/>
        <w:ind w:firstLine="396" w:firstLineChars="189"/>
        <w:rPr>
          <w:rStyle w:val="967"/>
          <w:rFonts w:ascii="宋体"/>
          <w:color w:val="auto"/>
          <w:kern w:val="0"/>
          <w:szCs w:val="21"/>
        </w:rPr>
      </w:pPr>
      <w:r>
        <w:rPr>
          <w:rStyle w:val="967"/>
          <w:rFonts w:hint="eastAsia" w:ascii="宋体" w:hAnsi="宋体"/>
          <w:color w:val="auto"/>
          <w:kern w:val="0"/>
          <w:szCs w:val="21"/>
        </w:rPr>
        <w:t>我发现</w:t>
      </w:r>
      <w:r>
        <w:rPr>
          <w:rStyle w:val="967"/>
          <w:rFonts w:ascii="宋体" w:hAnsi="宋体"/>
          <w:color w:val="auto"/>
          <w:kern w:val="0"/>
          <w:szCs w:val="21"/>
          <w:u w:val="single" w:color="000000"/>
        </w:rPr>
        <w:t xml:space="preserve">                    </w:t>
      </w:r>
      <w:r>
        <w:rPr>
          <w:rStyle w:val="967"/>
          <w:rFonts w:hint="eastAsia" w:ascii="宋体" w:hAnsi="宋体"/>
          <w:color w:val="auto"/>
          <w:kern w:val="0"/>
          <w:szCs w:val="21"/>
        </w:rPr>
        <w:t>供应商之间存在或可能存在上述第二条第</w:t>
      </w:r>
      <w:r>
        <w:rPr>
          <w:rStyle w:val="967"/>
          <w:rFonts w:ascii="宋体" w:hAnsi="宋体"/>
          <w:color w:val="auto"/>
          <w:kern w:val="0"/>
          <w:szCs w:val="21"/>
          <w:u w:val="single" w:color="000000"/>
        </w:rPr>
        <w:t xml:space="preserve">        </w:t>
      </w:r>
      <w:r>
        <w:rPr>
          <w:rStyle w:val="967"/>
          <w:rFonts w:hint="eastAsia" w:ascii="宋体" w:hAnsi="宋体"/>
          <w:color w:val="auto"/>
          <w:kern w:val="0"/>
          <w:szCs w:val="21"/>
        </w:rPr>
        <w:t>项利害关系。</w:t>
      </w:r>
    </w:p>
    <w:p>
      <w:pPr>
        <w:pStyle w:val="970"/>
        <w:snapToGrid w:val="0"/>
        <w:spacing w:line="360" w:lineRule="auto"/>
        <w:rPr>
          <w:rStyle w:val="967"/>
          <w:rFonts w:ascii="宋体"/>
          <w:color w:val="auto"/>
          <w:kern w:val="0"/>
          <w:szCs w:val="21"/>
        </w:rPr>
      </w:pPr>
    </w:p>
    <w:p>
      <w:pPr>
        <w:pStyle w:val="969"/>
        <w:snapToGrid w:val="0"/>
        <w:spacing w:line="360" w:lineRule="auto"/>
        <w:ind w:firstLine="420" w:firstLineChars="200"/>
        <w:jc w:val="both"/>
        <w:rPr>
          <w:rStyle w:val="967"/>
          <w:rFonts w:hAnsi="宋体"/>
          <w:color w:val="auto"/>
          <w:szCs w:val="21"/>
        </w:rPr>
      </w:pPr>
      <w:r>
        <w:rPr>
          <w:rStyle w:val="967"/>
          <w:rFonts w:hAnsi="宋体"/>
          <w:color w:val="auto"/>
          <w:szCs w:val="21"/>
        </w:rPr>
        <w:t xml:space="preserve">                                                      </w:t>
      </w:r>
      <w:r>
        <w:rPr>
          <w:rStyle w:val="967"/>
          <w:rFonts w:hint="eastAsia" w:hAnsi="宋体"/>
          <w:color w:val="auto"/>
          <w:szCs w:val="21"/>
        </w:rPr>
        <w:t>（供应商代表签名）</w:t>
      </w:r>
    </w:p>
    <w:p>
      <w:pPr>
        <w:snapToGrid w:val="0"/>
        <w:spacing w:line="360" w:lineRule="auto"/>
        <w:jc w:val="right"/>
        <w:rPr>
          <w:rStyle w:val="967"/>
          <w:rFonts w:ascii="宋体"/>
          <w:color w:val="auto"/>
          <w:szCs w:val="21"/>
        </w:rPr>
      </w:pPr>
      <w:r>
        <w:rPr>
          <w:rStyle w:val="967"/>
          <w:rFonts w:ascii="宋体" w:hAnsi="宋体"/>
          <w:color w:val="auto"/>
          <w:szCs w:val="21"/>
        </w:rPr>
        <w:t xml:space="preserve">                             </w:t>
      </w:r>
      <w:r>
        <w:rPr>
          <w:rStyle w:val="967"/>
          <w:rFonts w:hint="eastAsia" w:ascii="宋体" w:hAnsi="宋体"/>
          <w:color w:val="auto"/>
          <w:szCs w:val="21"/>
        </w:rPr>
        <w:t>2024年7月</w:t>
      </w:r>
      <w:r>
        <w:rPr>
          <w:rStyle w:val="967"/>
          <w:rFonts w:hint="eastAsia" w:ascii="宋体" w:hAnsi="宋体"/>
          <w:color w:val="auto"/>
          <w:szCs w:val="21"/>
          <w:lang w:val="en-US" w:eastAsia="zh-CN"/>
        </w:rPr>
        <w:t>30</w:t>
      </w:r>
      <w:r>
        <w:rPr>
          <w:rStyle w:val="967"/>
          <w:rFonts w:hint="eastAsia" w:ascii="宋体" w:hAnsi="宋体"/>
          <w:color w:val="auto"/>
          <w:szCs w:val="21"/>
        </w:rPr>
        <w:t xml:space="preserve"> 日</w:t>
      </w: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Futura Bk">
    <w:altName w:val="Segoe Print"/>
    <w:panose1 w:val="020B0602020204020303"/>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25" w:name="_Toc91899912"/>
    <w:bookmarkStart w:id="426" w:name="_Toc36110187"/>
    <w:bookmarkStart w:id="427" w:name="_Toc131845147"/>
    <w:bookmarkStart w:id="428" w:name="_Toc164085800"/>
    <w:r>
      <w:rPr>
        <w:rFonts w:hint="eastAsia" w:ascii="仿宋_GB2312" w:eastAsia="仿宋_GB2312"/>
        <w:kern w:val="0"/>
        <w:szCs w:val="21"/>
      </w:rPr>
      <w:t xml:space="preserve"> 页</w:t>
    </w:r>
    <w:bookmarkEnd w:id="425"/>
    <w:bookmarkEnd w:id="426"/>
    <w:bookmarkEnd w:id="427"/>
    <w:bookmarkEnd w:id="42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杭州市</w:t>
    </w:r>
    <w:r>
      <w:t>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浙江省</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浙江省</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w:t>
    </w:r>
    <w:r>
      <w:rPr>
        <w:rFonts w:hint="eastAsia"/>
      </w:rPr>
      <w:t>浙江省</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浙江省</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浙江省</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 xml:space="preserve">                                </w:t>
    </w:r>
    <w:r>
      <w:rPr>
        <w:rFonts w:hint="eastAsia"/>
      </w:rPr>
      <w:t xml:space="preserve">         浙江省</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浙江省</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浙江省</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w:t>
    </w:r>
    <w:r>
      <w:rPr>
        <w:rFonts w:hint="eastAsia"/>
      </w:rPr>
      <w:t>浙江省</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singleLevel"/>
    <w:tmpl w:val="00000011"/>
    <w:lvl w:ilvl="0" w:tentative="0">
      <w:start w:val="1"/>
      <w:numFmt w:val="chineseCounting"/>
      <w:suff w:val="nothing"/>
      <w:lvlText w:val="%1、"/>
      <w:lvlJc w:val="left"/>
      <w:rPr>
        <w:rFonts w:cs="Times New Roman"/>
      </w:rPr>
    </w:lvl>
  </w:abstractNum>
  <w:abstractNum w:abstractNumId="1">
    <w:nsid w:val="00000012"/>
    <w:multiLevelType w:val="singleLevel"/>
    <w:tmpl w:val="00000012"/>
    <w:lvl w:ilvl="0" w:tentative="0">
      <w:start w:val="3"/>
      <w:numFmt w:val="chineseCounting"/>
      <w:suff w:val="nothing"/>
      <w:lvlText w:val="%1、"/>
      <w:lvlJc w:val="left"/>
      <w:rPr>
        <w:rFonts w:cs="Times New Roman"/>
      </w:rPr>
    </w:lvl>
  </w:abstractNum>
  <w:abstractNum w:abstractNumId="2">
    <w:nsid w:val="00000013"/>
    <w:multiLevelType w:val="multilevel"/>
    <w:tmpl w:val="00000013"/>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652F76FB"/>
    <w:multiLevelType w:val="multilevel"/>
    <w:tmpl w:val="652F76FB"/>
    <w:lvl w:ilvl="0" w:tentative="0">
      <w:start w:val="1"/>
      <w:numFmt w:val="japaneseCounting"/>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YzcyYzJlOGRjMDUxM2U1NDVlYzU0YmUzNjUyZW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A6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3A8E"/>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6CC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2E94"/>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1A6"/>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4010"/>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6F0"/>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4D80"/>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326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62D0"/>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4B"/>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296E"/>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498"/>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2E63"/>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AD3"/>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77993"/>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816"/>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0D1"/>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89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1ED"/>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516"/>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1C0"/>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362"/>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0F4"/>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D0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A29"/>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B7F"/>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B4"/>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6F49"/>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0EB"/>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2C5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6F8D"/>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2C7"/>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6E5"/>
    <w:rsid w:val="00E60811"/>
    <w:rsid w:val="00E60AB8"/>
    <w:rsid w:val="00E60F2D"/>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871"/>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596"/>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52C"/>
    <w:rsid w:val="00FF5C6A"/>
    <w:rsid w:val="00FF651D"/>
    <w:rsid w:val="00FF6843"/>
    <w:rsid w:val="00FF6C25"/>
    <w:rsid w:val="010651D9"/>
    <w:rsid w:val="010A6669"/>
    <w:rsid w:val="011F6449"/>
    <w:rsid w:val="01236AFB"/>
    <w:rsid w:val="019F7441"/>
    <w:rsid w:val="01B37585"/>
    <w:rsid w:val="01D55165"/>
    <w:rsid w:val="01DF6BF8"/>
    <w:rsid w:val="01E943A0"/>
    <w:rsid w:val="01EC2C57"/>
    <w:rsid w:val="025F0711"/>
    <w:rsid w:val="026B2E25"/>
    <w:rsid w:val="02824D4D"/>
    <w:rsid w:val="02DC4B10"/>
    <w:rsid w:val="02DD76CE"/>
    <w:rsid w:val="02F36323"/>
    <w:rsid w:val="02F5619C"/>
    <w:rsid w:val="0326446A"/>
    <w:rsid w:val="032D5555"/>
    <w:rsid w:val="036634D2"/>
    <w:rsid w:val="0378063E"/>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1D38"/>
    <w:rsid w:val="06493CA7"/>
    <w:rsid w:val="065A6178"/>
    <w:rsid w:val="066F1CF3"/>
    <w:rsid w:val="06930BB8"/>
    <w:rsid w:val="07245D42"/>
    <w:rsid w:val="07264C62"/>
    <w:rsid w:val="07280E5C"/>
    <w:rsid w:val="0779354C"/>
    <w:rsid w:val="08061376"/>
    <w:rsid w:val="08452D77"/>
    <w:rsid w:val="086401F8"/>
    <w:rsid w:val="08751CAA"/>
    <w:rsid w:val="087E4C40"/>
    <w:rsid w:val="08A871D0"/>
    <w:rsid w:val="08B376A5"/>
    <w:rsid w:val="08D66AD6"/>
    <w:rsid w:val="08DA33A3"/>
    <w:rsid w:val="08E80F13"/>
    <w:rsid w:val="08EE6740"/>
    <w:rsid w:val="09335624"/>
    <w:rsid w:val="0944690F"/>
    <w:rsid w:val="09535675"/>
    <w:rsid w:val="095F057D"/>
    <w:rsid w:val="09642282"/>
    <w:rsid w:val="09733572"/>
    <w:rsid w:val="09772C16"/>
    <w:rsid w:val="098353B5"/>
    <w:rsid w:val="09891DDF"/>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460DCC"/>
    <w:rsid w:val="0E5604B2"/>
    <w:rsid w:val="0E6D5D79"/>
    <w:rsid w:val="0E9D0089"/>
    <w:rsid w:val="0EB803EE"/>
    <w:rsid w:val="0EF94D4B"/>
    <w:rsid w:val="0F3B57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8B69A0"/>
    <w:rsid w:val="19932372"/>
    <w:rsid w:val="19A20DD5"/>
    <w:rsid w:val="19AE03F1"/>
    <w:rsid w:val="1A071A03"/>
    <w:rsid w:val="1A1F16AE"/>
    <w:rsid w:val="1A3B5C77"/>
    <w:rsid w:val="1A984BAD"/>
    <w:rsid w:val="1AB8220E"/>
    <w:rsid w:val="1AE4166C"/>
    <w:rsid w:val="1AF06CFB"/>
    <w:rsid w:val="1AF11B8D"/>
    <w:rsid w:val="1B11359C"/>
    <w:rsid w:val="1B2A271F"/>
    <w:rsid w:val="1B502705"/>
    <w:rsid w:val="1B530544"/>
    <w:rsid w:val="1B713184"/>
    <w:rsid w:val="1BA209CF"/>
    <w:rsid w:val="1BB4777D"/>
    <w:rsid w:val="1BC02A25"/>
    <w:rsid w:val="1BD75AB8"/>
    <w:rsid w:val="1C0459C2"/>
    <w:rsid w:val="1C1B3B4A"/>
    <w:rsid w:val="1C88086E"/>
    <w:rsid w:val="1D266CE1"/>
    <w:rsid w:val="1D3963AF"/>
    <w:rsid w:val="1D6A673C"/>
    <w:rsid w:val="1D9247AE"/>
    <w:rsid w:val="1DB567EC"/>
    <w:rsid w:val="1DF51A98"/>
    <w:rsid w:val="1E3D060F"/>
    <w:rsid w:val="1E3F7D2E"/>
    <w:rsid w:val="1E403214"/>
    <w:rsid w:val="1E4134E4"/>
    <w:rsid w:val="1E5062B3"/>
    <w:rsid w:val="1E523514"/>
    <w:rsid w:val="1E714A66"/>
    <w:rsid w:val="1E802593"/>
    <w:rsid w:val="1E8B6156"/>
    <w:rsid w:val="1EA703CC"/>
    <w:rsid w:val="1EB7330C"/>
    <w:rsid w:val="1F0A0FF3"/>
    <w:rsid w:val="1F1B35C8"/>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BE4580"/>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E01C36"/>
    <w:rsid w:val="28311D94"/>
    <w:rsid w:val="28333E1D"/>
    <w:rsid w:val="28454BD6"/>
    <w:rsid w:val="28455253"/>
    <w:rsid w:val="28551971"/>
    <w:rsid w:val="285B1C53"/>
    <w:rsid w:val="289F7086"/>
    <w:rsid w:val="28C02B57"/>
    <w:rsid w:val="28C32028"/>
    <w:rsid w:val="28CC490F"/>
    <w:rsid w:val="28DD6B59"/>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0F643D"/>
    <w:rsid w:val="2E4B082A"/>
    <w:rsid w:val="2E5D4E86"/>
    <w:rsid w:val="2E5D790B"/>
    <w:rsid w:val="2E9A3C18"/>
    <w:rsid w:val="2EBB0FEE"/>
    <w:rsid w:val="2EC63002"/>
    <w:rsid w:val="2EC97183"/>
    <w:rsid w:val="2F0A6B38"/>
    <w:rsid w:val="2F946CCB"/>
    <w:rsid w:val="2FD25781"/>
    <w:rsid w:val="2FDC745C"/>
    <w:rsid w:val="2FEE7267"/>
    <w:rsid w:val="2FFD7934"/>
    <w:rsid w:val="30733ACD"/>
    <w:rsid w:val="308C3862"/>
    <w:rsid w:val="309379D8"/>
    <w:rsid w:val="30A270F7"/>
    <w:rsid w:val="30B70452"/>
    <w:rsid w:val="30DF1478"/>
    <w:rsid w:val="30EC586F"/>
    <w:rsid w:val="314550B7"/>
    <w:rsid w:val="31633599"/>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E053A"/>
    <w:rsid w:val="354D7158"/>
    <w:rsid w:val="358D5588"/>
    <w:rsid w:val="363A3B40"/>
    <w:rsid w:val="365302AE"/>
    <w:rsid w:val="36607A0A"/>
    <w:rsid w:val="366E227C"/>
    <w:rsid w:val="366F2E0D"/>
    <w:rsid w:val="367B6A5C"/>
    <w:rsid w:val="36A74ADA"/>
    <w:rsid w:val="36AD60D5"/>
    <w:rsid w:val="36B224F9"/>
    <w:rsid w:val="36EC0CC9"/>
    <w:rsid w:val="373F410B"/>
    <w:rsid w:val="378B3228"/>
    <w:rsid w:val="37EE7094"/>
    <w:rsid w:val="38296C89"/>
    <w:rsid w:val="383002EB"/>
    <w:rsid w:val="38586797"/>
    <w:rsid w:val="38754708"/>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222D3E"/>
    <w:rsid w:val="3D3C7F39"/>
    <w:rsid w:val="3D440F09"/>
    <w:rsid w:val="3D4504A0"/>
    <w:rsid w:val="3D8734BB"/>
    <w:rsid w:val="3D9A11D4"/>
    <w:rsid w:val="3DA16D89"/>
    <w:rsid w:val="3DA364BE"/>
    <w:rsid w:val="3DB145AA"/>
    <w:rsid w:val="3DE041CB"/>
    <w:rsid w:val="3E0D48F6"/>
    <w:rsid w:val="3E1868B4"/>
    <w:rsid w:val="3E377251"/>
    <w:rsid w:val="3E42664B"/>
    <w:rsid w:val="3E5A7334"/>
    <w:rsid w:val="3E7B5D6B"/>
    <w:rsid w:val="3E7C5F11"/>
    <w:rsid w:val="3E843E66"/>
    <w:rsid w:val="3E8F51FE"/>
    <w:rsid w:val="3E926F87"/>
    <w:rsid w:val="3E9A59DE"/>
    <w:rsid w:val="3EAF4836"/>
    <w:rsid w:val="3EC33DFA"/>
    <w:rsid w:val="3F060E16"/>
    <w:rsid w:val="3F1D1096"/>
    <w:rsid w:val="3F2F0234"/>
    <w:rsid w:val="3F6363FE"/>
    <w:rsid w:val="3F756B8F"/>
    <w:rsid w:val="3F95482B"/>
    <w:rsid w:val="3FBA6DA0"/>
    <w:rsid w:val="4019356B"/>
    <w:rsid w:val="40514D2B"/>
    <w:rsid w:val="40592157"/>
    <w:rsid w:val="406E1CAE"/>
    <w:rsid w:val="40A0133A"/>
    <w:rsid w:val="40C31A53"/>
    <w:rsid w:val="40FF545D"/>
    <w:rsid w:val="410067C8"/>
    <w:rsid w:val="418F0D2A"/>
    <w:rsid w:val="41D01505"/>
    <w:rsid w:val="42474939"/>
    <w:rsid w:val="424C3C57"/>
    <w:rsid w:val="42613FF3"/>
    <w:rsid w:val="42660D96"/>
    <w:rsid w:val="428667D2"/>
    <w:rsid w:val="42A10637"/>
    <w:rsid w:val="42CD1CE0"/>
    <w:rsid w:val="42E1381E"/>
    <w:rsid w:val="42ED6459"/>
    <w:rsid w:val="42FE58DD"/>
    <w:rsid w:val="43174B3D"/>
    <w:rsid w:val="434B790E"/>
    <w:rsid w:val="4360274F"/>
    <w:rsid w:val="43977AB6"/>
    <w:rsid w:val="43A3342B"/>
    <w:rsid w:val="43C77C27"/>
    <w:rsid w:val="43DE09EE"/>
    <w:rsid w:val="44002FAD"/>
    <w:rsid w:val="4472015A"/>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341D77"/>
    <w:rsid w:val="477B778F"/>
    <w:rsid w:val="478203EC"/>
    <w:rsid w:val="47B025FA"/>
    <w:rsid w:val="4809698F"/>
    <w:rsid w:val="4811697D"/>
    <w:rsid w:val="485B3536"/>
    <w:rsid w:val="487A3E25"/>
    <w:rsid w:val="488B5503"/>
    <w:rsid w:val="48937E21"/>
    <w:rsid w:val="489A0361"/>
    <w:rsid w:val="48B94FF3"/>
    <w:rsid w:val="48D56438"/>
    <w:rsid w:val="48E37AAB"/>
    <w:rsid w:val="48FD4B4C"/>
    <w:rsid w:val="490A68E0"/>
    <w:rsid w:val="491055FE"/>
    <w:rsid w:val="495F5B3E"/>
    <w:rsid w:val="496F77D7"/>
    <w:rsid w:val="497654FD"/>
    <w:rsid w:val="49B64211"/>
    <w:rsid w:val="49E56AF9"/>
    <w:rsid w:val="49F6167F"/>
    <w:rsid w:val="4A064FA0"/>
    <w:rsid w:val="4A16615C"/>
    <w:rsid w:val="4A4424D7"/>
    <w:rsid w:val="4A6D3755"/>
    <w:rsid w:val="4AB82D0F"/>
    <w:rsid w:val="4AEB7664"/>
    <w:rsid w:val="4AFD7C19"/>
    <w:rsid w:val="4B0567D1"/>
    <w:rsid w:val="4B236AAE"/>
    <w:rsid w:val="4B707271"/>
    <w:rsid w:val="4B9739F7"/>
    <w:rsid w:val="4BEE2503"/>
    <w:rsid w:val="4C245A30"/>
    <w:rsid w:val="4C880D71"/>
    <w:rsid w:val="4CB6685F"/>
    <w:rsid w:val="4CC367FE"/>
    <w:rsid w:val="4D077F3C"/>
    <w:rsid w:val="4D123355"/>
    <w:rsid w:val="4D2A3B31"/>
    <w:rsid w:val="4D312C52"/>
    <w:rsid w:val="4D905305"/>
    <w:rsid w:val="4D964A72"/>
    <w:rsid w:val="4D9C1254"/>
    <w:rsid w:val="4DE418FB"/>
    <w:rsid w:val="4E793892"/>
    <w:rsid w:val="4E800872"/>
    <w:rsid w:val="4EC569ED"/>
    <w:rsid w:val="4ED50EA1"/>
    <w:rsid w:val="4EEC050C"/>
    <w:rsid w:val="4F104EC3"/>
    <w:rsid w:val="4F47354A"/>
    <w:rsid w:val="4F911C54"/>
    <w:rsid w:val="4FE625E0"/>
    <w:rsid w:val="5021480F"/>
    <w:rsid w:val="50962ECB"/>
    <w:rsid w:val="50A42E38"/>
    <w:rsid w:val="50A4577F"/>
    <w:rsid w:val="50AD025B"/>
    <w:rsid w:val="50B73D1F"/>
    <w:rsid w:val="50BD5BC9"/>
    <w:rsid w:val="50C11EEE"/>
    <w:rsid w:val="50E97CFC"/>
    <w:rsid w:val="50FA4028"/>
    <w:rsid w:val="51003A80"/>
    <w:rsid w:val="510D65B7"/>
    <w:rsid w:val="511157AB"/>
    <w:rsid w:val="5142540C"/>
    <w:rsid w:val="518832C8"/>
    <w:rsid w:val="519D3C50"/>
    <w:rsid w:val="51A0432A"/>
    <w:rsid w:val="51A86090"/>
    <w:rsid w:val="51B7396D"/>
    <w:rsid w:val="51F9664C"/>
    <w:rsid w:val="522E4CC3"/>
    <w:rsid w:val="5244713B"/>
    <w:rsid w:val="52615633"/>
    <w:rsid w:val="526F4DE4"/>
    <w:rsid w:val="52977FD4"/>
    <w:rsid w:val="52A25790"/>
    <w:rsid w:val="52A96B6F"/>
    <w:rsid w:val="52B45975"/>
    <w:rsid w:val="52D94AA4"/>
    <w:rsid w:val="52EA3A62"/>
    <w:rsid w:val="52F50BB8"/>
    <w:rsid w:val="53097272"/>
    <w:rsid w:val="53364538"/>
    <w:rsid w:val="53544462"/>
    <w:rsid w:val="5397158E"/>
    <w:rsid w:val="54013861"/>
    <w:rsid w:val="540D63ED"/>
    <w:rsid w:val="54355050"/>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25644"/>
    <w:rsid w:val="566B6D1E"/>
    <w:rsid w:val="56D952A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051F3"/>
    <w:rsid w:val="58917D2F"/>
    <w:rsid w:val="5894085C"/>
    <w:rsid w:val="58AE4F0C"/>
    <w:rsid w:val="58B85899"/>
    <w:rsid w:val="58E363A9"/>
    <w:rsid w:val="595E1678"/>
    <w:rsid w:val="596D5BD4"/>
    <w:rsid w:val="597E3DD8"/>
    <w:rsid w:val="5998051F"/>
    <w:rsid w:val="59F80043"/>
    <w:rsid w:val="5A09252F"/>
    <w:rsid w:val="5A0B2778"/>
    <w:rsid w:val="5A2A7C7B"/>
    <w:rsid w:val="5A3E2560"/>
    <w:rsid w:val="5A5D3B6E"/>
    <w:rsid w:val="5A637A76"/>
    <w:rsid w:val="5A6D33BA"/>
    <w:rsid w:val="5A792B1F"/>
    <w:rsid w:val="5A874767"/>
    <w:rsid w:val="5AA85BE2"/>
    <w:rsid w:val="5AAD6F28"/>
    <w:rsid w:val="5AD63A24"/>
    <w:rsid w:val="5B070568"/>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81F1D"/>
    <w:rsid w:val="5F6D0B1D"/>
    <w:rsid w:val="5F8D0B82"/>
    <w:rsid w:val="5FCC5339"/>
    <w:rsid w:val="5FE34A5B"/>
    <w:rsid w:val="5FFE1E36"/>
    <w:rsid w:val="60232584"/>
    <w:rsid w:val="6061266D"/>
    <w:rsid w:val="606D23E7"/>
    <w:rsid w:val="607330CE"/>
    <w:rsid w:val="60825176"/>
    <w:rsid w:val="609F2AC4"/>
    <w:rsid w:val="60FA2EE8"/>
    <w:rsid w:val="61054A27"/>
    <w:rsid w:val="610A52BC"/>
    <w:rsid w:val="61125CAE"/>
    <w:rsid w:val="611D2366"/>
    <w:rsid w:val="61421856"/>
    <w:rsid w:val="615227C4"/>
    <w:rsid w:val="61654E3F"/>
    <w:rsid w:val="618214C4"/>
    <w:rsid w:val="6182292A"/>
    <w:rsid w:val="619F7F92"/>
    <w:rsid w:val="61A81611"/>
    <w:rsid w:val="61AE372C"/>
    <w:rsid w:val="61C948C9"/>
    <w:rsid w:val="61D93576"/>
    <w:rsid w:val="61F94C26"/>
    <w:rsid w:val="62000E56"/>
    <w:rsid w:val="624F3E49"/>
    <w:rsid w:val="62632286"/>
    <w:rsid w:val="62885958"/>
    <w:rsid w:val="62F40B65"/>
    <w:rsid w:val="62F810F9"/>
    <w:rsid w:val="62FC2CFE"/>
    <w:rsid w:val="63024505"/>
    <w:rsid w:val="634540EE"/>
    <w:rsid w:val="635600A5"/>
    <w:rsid w:val="635B1DB5"/>
    <w:rsid w:val="63711FED"/>
    <w:rsid w:val="63880DDC"/>
    <w:rsid w:val="638D750D"/>
    <w:rsid w:val="63AC6CC0"/>
    <w:rsid w:val="64055776"/>
    <w:rsid w:val="64240056"/>
    <w:rsid w:val="643E143A"/>
    <w:rsid w:val="64491666"/>
    <w:rsid w:val="64561E9B"/>
    <w:rsid w:val="648B6EEF"/>
    <w:rsid w:val="64C158BF"/>
    <w:rsid w:val="64CE2EAA"/>
    <w:rsid w:val="653C3090"/>
    <w:rsid w:val="65854376"/>
    <w:rsid w:val="658767BE"/>
    <w:rsid w:val="65892531"/>
    <w:rsid w:val="65F362B8"/>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81BD9"/>
    <w:rsid w:val="6C196F71"/>
    <w:rsid w:val="6C226FCB"/>
    <w:rsid w:val="6C31226F"/>
    <w:rsid w:val="6C552F0B"/>
    <w:rsid w:val="6C8C67B7"/>
    <w:rsid w:val="6C9D744C"/>
    <w:rsid w:val="6D167928"/>
    <w:rsid w:val="6D26299B"/>
    <w:rsid w:val="6D4772EC"/>
    <w:rsid w:val="6D4E40C2"/>
    <w:rsid w:val="6D9078AF"/>
    <w:rsid w:val="6DAA3FEF"/>
    <w:rsid w:val="6DC0172B"/>
    <w:rsid w:val="6DCB690C"/>
    <w:rsid w:val="6DD41A5B"/>
    <w:rsid w:val="6DF43C2E"/>
    <w:rsid w:val="6DF51CA3"/>
    <w:rsid w:val="6E8335BD"/>
    <w:rsid w:val="6E8E12EF"/>
    <w:rsid w:val="6E972936"/>
    <w:rsid w:val="6ED446C5"/>
    <w:rsid w:val="6F2A7D94"/>
    <w:rsid w:val="6F3D2634"/>
    <w:rsid w:val="6F8331F1"/>
    <w:rsid w:val="6F854968"/>
    <w:rsid w:val="6FA475BA"/>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541D1F"/>
    <w:rsid w:val="73C0646E"/>
    <w:rsid w:val="742222F5"/>
    <w:rsid w:val="74476126"/>
    <w:rsid w:val="74706664"/>
    <w:rsid w:val="747F3682"/>
    <w:rsid w:val="749C4185"/>
    <w:rsid w:val="75067759"/>
    <w:rsid w:val="752C5F18"/>
    <w:rsid w:val="752E6DCD"/>
    <w:rsid w:val="7551380D"/>
    <w:rsid w:val="75600BE5"/>
    <w:rsid w:val="7564475C"/>
    <w:rsid w:val="7583797F"/>
    <w:rsid w:val="75D20F1D"/>
    <w:rsid w:val="75DA2C18"/>
    <w:rsid w:val="75F54412"/>
    <w:rsid w:val="761D08E0"/>
    <w:rsid w:val="765D347C"/>
    <w:rsid w:val="76826699"/>
    <w:rsid w:val="76BA1F01"/>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5618C6"/>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CF37FA"/>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BA5CF0"/>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99"/>
    <w:rPr>
      <w:rFonts w:ascii="宋体" w:hAnsi="宋体" w:eastAsia="宋体" w:cs="Times New Roman"/>
      <w:sz w:val="24"/>
      <w:szCs w:val="22"/>
      <w:lang w:val="zh-CN" w:eastAsia="zh-CN" w:bidi="ar-SA"/>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3"/>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28"/>
    <w:link w:val="267"/>
    <w:qFormat/>
    <w:uiPriority w:val="0"/>
    <w:pPr>
      <w:spacing w:line="480" w:lineRule="exact"/>
      <w:ind w:firstLine="480" w:firstLineChars="200"/>
    </w:pPr>
    <w:rPr>
      <w:rFonts w:ascii="宋体" w:hAnsi="宋体"/>
      <w:sz w:val="24"/>
    </w:rPr>
  </w:style>
  <w:style w:type="paragraph" w:styleId="28">
    <w:name w:val="Body Text First Indent 2"/>
    <w:basedOn w:val="27"/>
    <w:link w:val="121"/>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5"/>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1"/>
    <w:qFormat/>
    <w:uiPriority w:val="0"/>
    <w:pPr>
      <w:ind w:left="100" w:leftChars="2500"/>
    </w:pPr>
    <w:rPr>
      <w:rFonts w:ascii="宋体"/>
      <w:sz w:val="24"/>
      <w:szCs w:val="21"/>
      <w:lang w:val="zh-CN"/>
    </w:rPr>
  </w:style>
  <w:style w:type="paragraph" w:styleId="40">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1">
    <w:name w:val="endnote text"/>
    <w:basedOn w:val="1"/>
    <w:link w:val="934"/>
    <w:qFormat/>
    <w:uiPriority w:val="0"/>
    <w:rPr>
      <w:lang w:val="zh-CN"/>
    </w:rPr>
  </w:style>
  <w:style w:type="paragraph" w:styleId="42">
    <w:name w:val="Balloon Text"/>
    <w:basedOn w:val="1"/>
    <w:link w:val="188"/>
    <w:qFormat/>
    <w:uiPriority w:val="0"/>
    <w:rPr>
      <w:sz w:val="18"/>
      <w:szCs w:val="18"/>
    </w:rPr>
  </w:style>
  <w:style w:type="paragraph" w:styleId="43">
    <w:name w:val="footer"/>
    <w:basedOn w:val="1"/>
    <w:link w:val="385"/>
    <w:qFormat/>
    <w:uiPriority w:val="99"/>
    <w:pPr>
      <w:tabs>
        <w:tab w:val="center" w:pos="4153"/>
        <w:tab w:val="right" w:pos="8306"/>
      </w:tabs>
      <w:snapToGrid w:val="0"/>
      <w:jc w:val="left"/>
    </w:pPr>
    <w:rPr>
      <w:sz w:val="18"/>
      <w:szCs w:val="18"/>
    </w:rPr>
  </w:style>
  <w:style w:type="paragraph" w:styleId="44">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4"/>
    <w:qFormat/>
    <w:uiPriority w:val="0"/>
    <w:pPr>
      <w:spacing w:after="120" w:line="480" w:lineRule="auto"/>
    </w:pPr>
  </w:style>
  <w:style w:type="paragraph" w:styleId="59">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6"/>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UserStyle_0"/>
    <w:qFormat/>
    <w:uiPriority w:val="0"/>
    <w:pPr>
      <w:textAlignment w:val="baseline"/>
    </w:pPr>
    <w:rPr>
      <w:rFonts w:ascii="Arial" w:hAnsi="Arial" w:eastAsia="宋体" w:cs="Times New Roman"/>
      <w:color w:val="000000"/>
      <w:sz w:val="24"/>
      <w:szCs w:val="24"/>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28"/>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9"/>
    <w:qFormat/>
    <w:uiPriority w:val="0"/>
    <w:rPr>
      <w:rFonts w:ascii="宋体"/>
      <w:kern w:val="2"/>
      <w:sz w:val="24"/>
      <w:szCs w:val="21"/>
      <w:lang w:val="zh-CN"/>
    </w:rPr>
  </w:style>
  <w:style w:type="character" w:customStyle="1" w:styleId="182">
    <w:name w:val="标题 9 字符"/>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2"/>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3"/>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236"/>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3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7"/>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1"/>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9"/>
    <w:qFormat/>
    <w:uiPriority w:val="0"/>
    <w:rPr>
      <w:rFonts w:ascii="黑体" w:hAnsi="Courier New" w:eastAsia="黑体"/>
    </w:rPr>
  </w:style>
  <w:style w:type="character" w:customStyle="1" w:styleId="304">
    <w:name w:val="正文文本 2 字符1"/>
    <w:link w:val="58"/>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0"/>
    <w:qFormat/>
    <w:uiPriority w:val="0"/>
    <w:rPr>
      <w:b/>
      <w:bCs/>
      <w:kern w:val="2"/>
      <w:sz w:val="24"/>
      <w:szCs w:val="24"/>
    </w:rPr>
  </w:style>
  <w:style w:type="character" w:customStyle="1" w:styleId="310">
    <w:name w:val="正文文本缩进 2 字符"/>
    <w:link w:val="40"/>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3"/>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2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99"/>
    <w:rPr>
      <w:kern w:val="2"/>
      <w:sz w:val="21"/>
      <w:szCs w:val="24"/>
    </w:rPr>
  </w:style>
  <w:style w:type="character" w:customStyle="1" w:styleId="347">
    <w:name w:val="签名 字符"/>
    <w:link w:val="45"/>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5"/>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3"/>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4"/>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5"/>
    <w:next w:val="235"/>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5"/>
    <w:next w:val="235"/>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0"/>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41"/>
    <w:qFormat/>
    <w:uiPriority w:val="0"/>
    <w:rPr>
      <w:kern w:val="2"/>
      <w:sz w:val="21"/>
      <w:szCs w:val="24"/>
      <w:lang w:val="zh-CN"/>
    </w:rPr>
  </w:style>
  <w:style w:type="character" w:customStyle="1" w:styleId="935">
    <w:name w:val="无间隔 字符"/>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NormalCharacter"/>
    <w:semiHidden/>
    <w:qFormat/>
    <w:uiPriority w:val="0"/>
  </w:style>
  <w:style w:type="paragraph" w:customStyle="1" w:styleId="968">
    <w:name w:val="HtmlNormal"/>
    <w:basedOn w:val="1"/>
    <w:qFormat/>
    <w:uiPriority w:val="0"/>
    <w:pPr>
      <w:shd w:val="clear" w:color="auto" w:fill="FFFFFF"/>
      <w:spacing w:before="100" w:beforeAutospacing="1" w:after="100" w:afterAutospacing="1"/>
      <w:jc w:val="left"/>
    </w:pPr>
    <w:rPr>
      <w:rFonts w:ascii="Century Gothic" w:hAnsi="Century Gothic"/>
      <w:kern w:val="0"/>
      <w:sz w:val="18"/>
      <w:szCs w:val="18"/>
    </w:rPr>
  </w:style>
  <w:style w:type="paragraph" w:customStyle="1" w:styleId="969">
    <w:name w:val="UserStyle_67"/>
    <w:basedOn w:val="970"/>
    <w:qFormat/>
    <w:uiPriority w:val="0"/>
    <w:pPr>
      <w:jc w:val="left"/>
    </w:pPr>
    <w:rPr>
      <w:rFonts w:ascii="宋体" w:hAnsi="Courier New"/>
    </w:rPr>
  </w:style>
  <w:style w:type="paragraph" w:customStyle="1" w:styleId="970">
    <w:name w:val="UserStyle_68"/>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971">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972">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37967</Words>
  <Characters>40023</Characters>
  <Lines>336</Lines>
  <Paragraphs>94</Paragraphs>
  <TotalTime>91</TotalTime>
  <ScaleCrop>false</ScaleCrop>
  <LinksUpToDate>false</LinksUpToDate>
  <CharactersWithSpaces>45819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ID龙井茶</cp:lastModifiedBy>
  <cp:lastPrinted>2024-07-09T09:02:37Z</cp:lastPrinted>
  <dcterms:modified xsi:type="dcterms:W3CDTF">2024-07-09T09:25:38Z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8BFFCC73F73B4BE5BA3FA61D810B3188</vt:lpwstr>
  </property>
</Properties>
</file>