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1"/>
      </w:pPr>
      <w:r>
        <w:rPr>
          <w:b/>
          <w:sz w:val="36"/>
        </w:rPr>
        <w:t>第三章 技术、服务及其他要求</w:t>
      </w:r>
    </w:p>
    <w:p>
      <w:pPr>
        <w:pStyle w:val="4"/>
        <w:ind w:firstLine="480"/>
        <w:jc w:val="left"/>
      </w:pPr>
      <w:r>
        <w:t>（注：本章的技术、服务及其他要求中，带“★”的要求为实质性要求。采购人、代理机构应当根据项目实际要求合理设定，并在第五章符合性审查中明确响应要求。）</w:t>
      </w:r>
    </w:p>
    <w:p>
      <w:pPr>
        <w:pStyle w:val="4"/>
        <w:jc w:val="left"/>
        <w:outlineLvl w:val="2"/>
      </w:pPr>
      <w:r>
        <w:rPr>
          <w:b/>
          <w:sz w:val="28"/>
        </w:rPr>
        <w:t>3.1.采购项目概况</w:t>
      </w:r>
    </w:p>
    <w:p>
      <w:pPr>
        <w:pStyle w:val="4"/>
        <w:ind w:firstLine="480"/>
        <w:jc w:val="left"/>
      </w:pPr>
      <w:r>
        <w:t>完成74座小型水库和6段堤防17.97千米白蚁等害堤动物隐患检查，4座水库白蚁等害堤动物危害治理，74座小型水库白蚁危害监测</w:t>
      </w:r>
    </w:p>
    <w:p>
      <w:pPr>
        <w:pStyle w:val="4"/>
        <w:jc w:val="left"/>
        <w:outlineLvl w:val="2"/>
      </w:pPr>
      <w:r>
        <w:rPr>
          <w:b/>
          <w:sz w:val="28"/>
        </w:rPr>
        <w:t>3.2.采购内容</w:t>
      </w:r>
    </w:p>
    <w:p>
      <w:pPr>
        <w:pStyle w:val="4"/>
        <w:jc w:val="left"/>
      </w:pPr>
      <w:r>
        <w:t>采购包1：</w:t>
      </w:r>
    </w:p>
    <w:p>
      <w:pPr>
        <w:pStyle w:val="4"/>
        <w:jc w:val="left"/>
      </w:pPr>
      <w:r>
        <w:t>采购包预算金额（元）: 1,220,000.00</w:t>
      </w:r>
    </w:p>
    <w:p>
      <w:pPr>
        <w:pStyle w:val="4"/>
        <w:jc w:val="left"/>
      </w:pPr>
      <w:r>
        <w:t>采购包最高限价（元）: 1,220,000.00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2"/>
        <w:gridCol w:w="785"/>
        <w:gridCol w:w="804"/>
        <w:gridCol w:w="821"/>
        <w:gridCol w:w="1279"/>
        <w:gridCol w:w="785"/>
        <w:gridCol w:w="785"/>
        <w:gridCol w:w="785"/>
        <w:gridCol w:w="786"/>
        <w:gridCol w:w="620"/>
        <w:gridCol w:w="6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center"/>
            </w:pPr>
            <w:r>
              <w:t>序号</w:t>
            </w:r>
          </w:p>
        </w:tc>
        <w:tc>
          <w:tcPr>
            <w:tcW w:w="821" w:type="dxa"/>
          </w:tcPr>
          <w:p>
            <w:pPr>
              <w:pStyle w:val="4"/>
              <w:jc w:val="center"/>
            </w:pPr>
            <w:r>
              <w:t>采购品目名称</w:t>
            </w:r>
          </w:p>
        </w:tc>
        <w:tc>
          <w:tcPr>
            <w:tcW w:w="821" w:type="dxa"/>
          </w:tcPr>
          <w:p>
            <w:pPr>
              <w:pStyle w:val="4"/>
              <w:jc w:val="center"/>
            </w:pPr>
            <w:r>
              <w:t>标的名称</w:t>
            </w:r>
          </w:p>
        </w:tc>
        <w:tc>
          <w:tcPr>
            <w:tcW w:w="821" w:type="dxa"/>
          </w:tcPr>
          <w:p>
            <w:pPr>
              <w:pStyle w:val="4"/>
              <w:jc w:val="center"/>
            </w:pPr>
            <w:r>
              <w:t>数量</w:t>
            </w:r>
            <w:r>
              <w:br w:type="textWrapping"/>
            </w:r>
            <w:r>
              <w:t>(计量单位)</w:t>
            </w:r>
          </w:p>
        </w:tc>
        <w:tc>
          <w:tcPr>
            <w:tcW w:w="821" w:type="dxa"/>
          </w:tcPr>
          <w:p>
            <w:pPr>
              <w:pStyle w:val="4"/>
              <w:jc w:val="center"/>
            </w:pPr>
            <w:r>
              <w:t>标的金额 （元）</w:t>
            </w:r>
          </w:p>
        </w:tc>
        <w:tc>
          <w:tcPr>
            <w:tcW w:w="821" w:type="dxa"/>
          </w:tcPr>
          <w:p>
            <w:pPr>
              <w:pStyle w:val="4"/>
              <w:jc w:val="center"/>
            </w:pPr>
            <w:r>
              <w:t>所属行业</w:t>
            </w:r>
          </w:p>
        </w:tc>
        <w:tc>
          <w:tcPr>
            <w:tcW w:w="821" w:type="dxa"/>
          </w:tcPr>
          <w:p>
            <w:pPr>
              <w:pStyle w:val="4"/>
              <w:jc w:val="center"/>
            </w:pPr>
            <w:r>
              <w:t>是否涉及核心产品</w:t>
            </w:r>
          </w:p>
        </w:tc>
        <w:tc>
          <w:tcPr>
            <w:tcW w:w="821" w:type="dxa"/>
          </w:tcPr>
          <w:p>
            <w:pPr>
              <w:pStyle w:val="4"/>
              <w:jc w:val="center"/>
            </w:pPr>
            <w:r>
              <w:t>是否涉及采购进口产品</w:t>
            </w:r>
          </w:p>
        </w:tc>
        <w:tc>
          <w:tcPr>
            <w:tcW w:w="821" w:type="dxa"/>
          </w:tcPr>
          <w:p>
            <w:pPr>
              <w:pStyle w:val="4"/>
              <w:jc w:val="center"/>
            </w:pPr>
            <w:r>
              <w:t>是否涉及强制采购节能产品</w:t>
            </w:r>
          </w:p>
        </w:tc>
        <w:tc>
          <w:tcPr>
            <w:tcW w:w="639" w:type="dxa"/>
          </w:tcPr>
          <w:p>
            <w:pPr>
              <w:pStyle w:val="4"/>
              <w:jc w:val="center"/>
            </w:pPr>
            <w:r>
              <w:t>是否涉及优先采购节能产品</w:t>
            </w:r>
          </w:p>
        </w:tc>
        <w:tc>
          <w:tcPr>
            <w:tcW w:w="639" w:type="dxa"/>
          </w:tcPr>
          <w:p>
            <w:pPr>
              <w:pStyle w:val="4"/>
              <w:jc w:val="center"/>
            </w:pPr>
            <w:r>
              <w:t>是否涉及优先采购环境标志产品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pPr>
              <w:pStyle w:val="4"/>
              <w:jc w:val="left"/>
            </w:pPr>
            <w:r>
              <w:t>1</w:t>
            </w:r>
          </w:p>
        </w:tc>
        <w:tc>
          <w:tcPr>
            <w:tcW w:w="821" w:type="dxa"/>
          </w:tcPr>
          <w:p>
            <w:pPr>
              <w:pStyle w:val="4"/>
              <w:jc w:val="left"/>
            </w:pPr>
            <w:r>
              <w:t>工程项目管理服务</w:t>
            </w:r>
          </w:p>
        </w:tc>
        <w:tc>
          <w:tcPr>
            <w:tcW w:w="821" w:type="dxa"/>
          </w:tcPr>
          <w:p>
            <w:pPr>
              <w:pStyle w:val="4"/>
              <w:jc w:val="left"/>
            </w:pPr>
            <w:r>
              <w:t>蓬溪县2024年中央水利发展资金支持水利工程白蚁等害堤动物防治</w:t>
            </w:r>
          </w:p>
        </w:tc>
        <w:tc>
          <w:tcPr>
            <w:tcW w:w="821" w:type="dxa"/>
          </w:tcPr>
          <w:p>
            <w:pPr>
              <w:pStyle w:val="4"/>
              <w:jc w:val="right"/>
            </w:pPr>
            <w:r>
              <w:t>1.00（项）</w:t>
            </w:r>
          </w:p>
        </w:tc>
        <w:tc>
          <w:tcPr>
            <w:tcW w:w="821" w:type="dxa"/>
          </w:tcPr>
          <w:p>
            <w:pPr>
              <w:pStyle w:val="4"/>
              <w:jc w:val="right"/>
            </w:pPr>
            <w:r>
              <w:t>1,220,000.00</w:t>
            </w:r>
          </w:p>
        </w:tc>
        <w:tc>
          <w:tcPr>
            <w:tcW w:w="821" w:type="dxa"/>
          </w:tcPr>
          <w:p>
            <w:pPr>
              <w:pStyle w:val="4"/>
              <w:jc w:val="left"/>
            </w:pPr>
            <w:r>
              <w:t>其他未列明行业</w:t>
            </w:r>
          </w:p>
        </w:tc>
        <w:tc>
          <w:tcPr>
            <w:tcW w:w="821" w:type="dxa"/>
          </w:tcPr>
          <w:p>
            <w:pPr>
              <w:pStyle w:val="4"/>
              <w:jc w:val="left"/>
            </w:pPr>
            <w:r>
              <w:t>否</w:t>
            </w:r>
          </w:p>
        </w:tc>
        <w:tc>
          <w:tcPr>
            <w:tcW w:w="821" w:type="dxa"/>
          </w:tcPr>
          <w:p>
            <w:pPr>
              <w:pStyle w:val="4"/>
              <w:jc w:val="left"/>
            </w:pPr>
            <w:r>
              <w:t>否</w:t>
            </w:r>
          </w:p>
        </w:tc>
        <w:tc>
          <w:tcPr>
            <w:tcW w:w="821" w:type="dxa"/>
          </w:tcPr>
          <w:p>
            <w:pPr>
              <w:pStyle w:val="4"/>
              <w:jc w:val="left"/>
            </w:pPr>
            <w:r>
              <w:t>否</w:t>
            </w:r>
          </w:p>
        </w:tc>
        <w:tc>
          <w:tcPr>
            <w:tcW w:w="639" w:type="dxa"/>
          </w:tcPr>
          <w:p>
            <w:pPr>
              <w:pStyle w:val="4"/>
              <w:jc w:val="left"/>
            </w:pPr>
            <w:r>
              <w:t>否</w:t>
            </w:r>
          </w:p>
        </w:tc>
        <w:tc>
          <w:tcPr>
            <w:tcW w:w="639" w:type="dxa"/>
          </w:tcPr>
          <w:p>
            <w:pPr>
              <w:pStyle w:val="4"/>
              <w:jc w:val="left"/>
            </w:pPr>
            <w:r>
              <w:t>否</w:t>
            </w:r>
          </w:p>
        </w:tc>
      </w:tr>
    </w:tbl>
    <w:p>
      <w:pPr>
        <w:pStyle w:val="4"/>
        <w:ind w:firstLine="480"/>
        <w:jc w:val="left"/>
        <w:outlineLvl w:val="3"/>
      </w:pPr>
      <w:r>
        <w:rPr>
          <w:b/>
          <w:sz w:val="24"/>
        </w:rPr>
        <w:t>报价要求</w:t>
      </w:r>
    </w:p>
    <w:p>
      <w:pPr>
        <w:pStyle w:val="4"/>
        <w:jc w:val="left"/>
      </w:pPr>
      <w:r>
        <w:t>采购包1：</w:t>
      </w:r>
    </w:p>
    <w:p>
      <w:pPr>
        <w:pStyle w:val="4"/>
        <w:jc w:val="left"/>
      </w:pPr>
      <w:r>
        <w:t>（1）报价要求：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9"/>
        <w:gridCol w:w="1466"/>
        <w:gridCol w:w="977"/>
        <w:gridCol w:w="1173"/>
        <w:gridCol w:w="1279"/>
        <w:gridCol w:w="977"/>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9" w:type="dxa"/>
          </w:tcPr>
          <w:p>
            <w:pPr>
              <w:pStyle w:val="4"/>
              <w:jc w:val="center"/>
            </w:pPr>
            <w:r>
              <w:t>序号</w:t>
            </w:r>
          </w:p>
        </w:tc>
        <w:tc>
          <w:tcPr>
            <w:tcW w:w="1466" w:type="dxa"/>
          </w:tcPr>
          <w:p>
            <w:pPr>
              <w:pStyle w:val="4"/>
              <w:jc w:val="center"/>
            </w:pPr>
            <w:r>
              <w:t>报价内容</w:t>
            </w:r>
          </w:p>
        </w:tc>
        <w:tc>
          <w:tcPr>
            <w:tcW w:w="977" w:type="dxa"/>
          </w:tcPr>
          <w:p>
            <w:pPr>
              <w:pStyle w:val="4"/>
              <w:jc w:val="center"/>
            </w:pPr>
            <w:r>
              <w:t>数量</w:t>
            </w:r>
          </w:p>
        </w:tc>
        <w:tc>
          <w:tcPr>
            <w:tcW w:w="1173" w:type="dxa"/>
          </w:tcPr>
          <w:p>
            <w:pPr>
              <w:pStyle w:val="4"/>
              <w:jc w:val="center"/>
            </w:pPr>
            <w:r>
              <w:t>单价</w:t>
            </w:r>
          </w:p>
        </w:tc>
        <w:tc>
          <w:tcPr>
            <w:tcW w:w="1173" w:type="dxa"/>
          </w:tcPr>
          <w:p>
            <w:pPr>
              <w:pStyle w:val="4"/>
              <w:jc w:val="center"/>
            </w:pPr>
            <w:r>
              <w:t>最高限价</w:t>
            </w:r>
          </w:p>
        </w:tc>
        <w:tc>
          <w:tcPr>
            <w:tcW w:w="977" w:type="dxa"/>
          </w:tcPr>
          <w:p>
            <w:pPr>
              <w:pStyle w:val="4"/>
              <w:jc w:val="center"/>
            </w:pPr>
            <w:r>
              <w:t>价款形式</w:t>
            </w:r>
          </w:p>
        </w:tc>
        <w:tc>
          <w:tcPr>
            <w:tcW w:w="1661" w:type="dxa"/>
          </w:tcPr>
          <w:p>
            <w:pPr>
              <w:pStyle w:val="4"/>
              <w:jc w:val="center"/>
            </w:pPr>
            <w:r>
              <w:t>报价说明</w:t>
            </w:r>
          </w:p>
        </w:tc>
      </w:tr>
      <w:tr>
        <w:tblPrEx>
          <w:tblCellMar>
            <w:top w:w="0" w:type="dxa"/>
            <w:left w:w="108" w:type="dxa"/>
            <w:bottom w:w="0" w:type="dxa"/>
            <w:right w:w="108" w:type="dxa"/>
          </w:tblCellMar>
        </w:tblPrEx>
        <w:tc>
          <w:tcPr>
            <w:tcW w:w="879" w:type="dxa"/>
          </w:tcPr>
          <w:p>
            <w:pPr>
              <w:pStyle w:val="4"/>
              <w:jc w:val="left"/>
            </w:pPr>
            <w:r>
              <w:t>1</w:t>
            </w:r>
          </w:p>
        </w:tc>
        <w:tc>
          <w:tcPr>
            <w:tcW w:w="1466" w:type="dxa"/>
          </w:tcPr>
          <w:p>
            <w:pPr>
              <w:pStyle w:val="4"/>
              <w:jc w:val="left"/>
            </w:pPr>
            <w:r>
              <w:t>蓬溪县2024年中央水利发展资金支持水利工程白蚁等害堤动物防治</w:t>
            </w:r>
          </w:p>
        </w:tc>
        <w:tc>
          <w:tcPr>
            <w:tcW w:w="977" w:type="dxa"/>
          </w:tcPr>
          <w:p>
            <w:pPr>
              <w:pStyle w:val="4"/>
              <w:jc w:val="right"/>
            </w:pPr>
            <w:r>
              <w:t>/</w:t>
            </w:r>
          </w:p>
        </w:tc>
        <w:tc>
          <w:tcPr>
            <w:tcW w:w="1173" w:type="dxa"/>
          </w:tcPr>
          <w:p>
            <w:pPr>
              <w:pStyle w:val="4"/>
              <w:jc w:val="right"/>
            </w:pPr>
            <w:r>
              <w:t>/</w:t>
            </w:r>
          </w:p>
        </w:tc>
        <w:tc>
          <w:tcPr>
            <w:tcW w:w="1173" w:type="dxa"/>
          </w:tcPr>
          <w:p>
            <w:pPr>
              <w:pStyle w:val="4"/>
              <w:jc w:val="right"/>
            </w:pPr>
            <w:r>
              <w:t>1,220,000.00</w:t>
            </w:r>
          </w:p>
        </w:tc>
        <w:tc>
          <w:tcPr>
            <w:tcW w:w="977" w:type="dxa"/>
          </w:tcPr>
          <w:p>
            <w:pPr>
              <w:pStyle w:val="4"/>
              <w:jc w:val="left"/>
            </w:pPr>
            <w:r>
              <w:t>总价</w:t>
            </w:r>
          </w:p>
        </w:tc>
        <w:tc>
          <w:tcPr>
            <w:tcW w:w="1661" w:type="dxa"/>
          </w:tcPr>
          <w:p>
            <w:pPr>
              <w:pStyle w:val="4"/>
              <w:jc w:val="left"/>
            </w:pPr>
            <w:r>
              <w:t>无</w:t>
            </w:r>
          </w:p>
        </w:tc>
      </w:tr>
    </w:tbl>
    <w:p>
      <w:pPr>
        <w:pStyle w:val="4"/>
        <w:ind w:firstLine="480"/>
        <w:jc w:val="left"/>
      </w:pPr>
      <w:r>
        <w:t>★注：供应商响应产品应当明确品牌和规格型号并指向唯一产品，不能指向唯一产品的，应通过报价表备注栏补充说明。</w:t>
      </w:r>
    </w:p>
    <w:p>
      <w:pPr>
        <w:pStyle w:val="4"/>
        <w:ind w:firstLine="480"/>
        <w:jc w:val="left"/>
        <w:outlineLvl w:val="3"/>
      </w:pPr>
      <w:r>
        <w:rPr>
          <w:b/>
          <w:sz w:val="24"/>
        </w:rPr>
        <w:t>本项目涉及采购进口产品：</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t>序号</w:t>
            </w:r>
          </w:p>
        </w:tc>
        <w:tc>
          <w:tcPr>
            <w:tcW w:w="2492" w:type="dxa"/>
          </w:tcPr>
          <w:p>
            <w:pPr>
              <w:pStyle w:val="4"/>
              <w:jc w:val="center"/>
            </w:pPr>
            <w:r>
              <w:t>采购品目名称</w:t>
            </w:r>
          </w:p>
        </w:tc>
        <w:tc>
          <w:tcPr>
            <w:tcW w:w="2492" w:type="dxa"/>
          </w:tcPr>
          <w:p>
            <w:pPr>
              <w:pStyle w:val="4"/>
              <w:jc w:val="center"/>
            </w:pPr>
            <w:r>
              <w:t>标的名称</w:t>
            </w:r>
          </w:p>
        </w:tc>
        <w:tc>
          <w:tcPr>
            <w:tcW w:w="2492" w:type="dxa"/>
          </w:tcPr>
          <w:p>
            <w:pPr>
              <w:pStyle w:val="4"/>
              <w:jc w:val="center"/>
            </w:pPr>
            <w:r>
              <w:t>产品名称</w:t>
            </w:r>
          </w:p>
        </w:tc>
      </w:tr>
      <w:tr>
        <w:tblPrEx>
          <w:tblCellMar>
            <w:top w:w="0" w:type="dxa"/>
            <w:left w:w="108" w:type="dxa"/>
            <w:bottom w:w="0" w:type="dxa"/>
            <w:right w:w="108" w:type="dxa"/>
          </w:tblCellMar>
        </w:tblPrEx>
        <w:tc>
          <w:tcPr>
            <w:tcW w:w="8307" w:type="dxa"/>
            <w:gridSpan w:val="4"/>
          </w:tcPr>
          <w:p>
            <w:pPr>
              <w:pStyle w:val="4"/>
              <w:jc w:val="center"/>
            </w:pPr>
            <w:r>
              <w:t>不涉及</w:t>
            </w:r>
          </w:p>
        </w:tc>
      </w:tr>
    </w:tbl>
    <w:p>
      <w:pPr>
        <w:pStyle w:val="4"/>
        <w:ind w:firstLine="480"/>
        <w:jc w:val="left"/>
      </w:pPr>
      <w:r>
        <w:t>★注：不涉及采购进口产品时，供应商不得提供进口产品进行响应；涉及采购进口产品时，如国产产品满足采购需求，也可提供国产产品进行响应。</w:t>
      </w:r>
    </w:p>
    <w:p>
      <w:pPr>
        <w:pStyle w:val="4"/>
        <w:ind w:firstLine="480"/>
        <w:jc w:val="left"/>
        <w:outlineLvl w:val="3"/>
      </w:pPr>
      <w:r>
        <w:rPr>
          <w:b/>
          <w:sz w:val="24"/>
        </w:rPr>
        <w:t>本项目涉及强制采购节能产品：</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t>序号</w:t>
            </w:r>
          </w:p>
        </w:tc>
        <w:tc>
          <w:tcPr>
            <w:tcW w:w="2492" w:type="dxa"/>
          </w:tcPr>
          <w:p>
            <w:pPr>
              <w:pStyle w:val="4"/>
              <w:jc w:val="center"/>
            </w:pPr>
            <w:r>
              <w:t>采购品目名称</w:t>
            </w:r>
          </w:p>
        </w:tc>
        <w:tc>
          <w:tcPr>
            <w:tcW w:w="2492" w:type="dxa"/>
          </w:tcPr>
          <w:p>
            <w:pPr>
              <w:pStyle w:val="4"/>
              <w:jc w:val="center"/>
            </w:pPr>
            <w:r>
              <w:t>标的名称</w:t>
            </w:r>
          </w:p>
        </w:tc>
        <w:tc>
          <w:tcPr>
            <w:tcW w:w="2492" w:type="dxa"/>
          </w:tcPr>
          <w:p>
            <w:pPr>
              <w:pStyle w:val="4"/>
              <w:jc w:val="center"/>
            </w:pPr>
            <w: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4"/>
              <w:jc w:val="center"/>
            </w:pPr>
            <w:r>
              <w:t>不涉及</w:t>
            </w:r>
          </w:p>
        </w:tc>
      </w:tr>
    </w:tbl>
    <w:p>
      <w:pPr>
        <w:pStyle w:val="4"/>
        <w:ind w:firstLine="480"/>
        <w:jc w:val="left"/>
      </w:pPr>
      <w: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pPr>
        <w:pStyle w:val="4"/>
        <w:ind w:firstLine="480"/>
        <w:jc w:val="left"/>
      </w:pPr>
      <w:r>
        <w:rPr>
          <w:b/>
        </w:rPr>
        <w:t>本项目涉及优先采购节能产品：</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t>序号</w:t>
            </w:r>
          </w:p>
        </w:tc>
        <w:tc>
          <w:tcPr>
            <w:tcW w:w="2492" w:type="dxa"/>
          </w:tcPr>
          <w:p>
            <w:pPr>
              <w:pStyle w:val="4"/>
              <w:jc w:val="center"/>
            </w:pPr>
            <w:r>
              <w:t>采购品目名称</w:t>
            </w:r>
          </w:p>
        </w:tc>
        <w:tc>
          <w:tcPr>
            <w:tcW w:w="2492" w:type="dxa"/>
          </w:tcPr>
          <w:p>
            <w:pPr>
              <w:pStyle w:val="4"/>
              <w:jc w:val="center"/>
            </w:pPr>
            <w:r>
              <w:t>标的名称</w:t>
            </w:r>
          </w:p>
        </w:tc>
        <w:tc>
          <w:tcPr>
            <w:tcW w:w="2492" w:type="dxa"/>
          </w:tcPr>
          <w:p>
            <w:pPr>
              <w:pStyle w:val="4"/>
              <w:jc w:val="center"/>
            </w:pPr>
            <w:r>
              <w:t>产品名称</w:t>
            </w:r>
          </w:p>
        </w:tc>
      </w:tr>
      <w:tr>
        <w:tblPrEx>
          <w:tblCellMar>
            <w:top w:w="0" w:type="dxa"/>
            <w:left w:w="108" w:type="dxa"/>
            <w:bottom w:w="0" w:type="dxa"/>
            <w:right w:w="108" w:type="dxa"/>
          </w:tblCellMar>
        </w:tblPrEx>
        <w:tc>
          <w:tcPr>
            <w:tcW w:w="8307" w:type="dxa"/>
            <w:gridSpan w:val="4"/>
          </w:tcPr>
          <w:p>
            <w:pPr>
              <w:pStyle w:val="4"/>
              <w:jc w:val="center"/>
            </w:pPr>
            <w:r>
              <w:t>不涉及</w:t>
            </w:r>
          </w:p>
        </w:tc>
      </w:tr>
    </w:tbl>
    <w:p>
      <w:pPr>
        <w:pStyle w:val="4"/>
        <w:ind w:firstLine="480"/>
        <w:jc w:val="left"/>
      </w:pPr>
      <w: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pPr>
        <w:pStyle w:val="4"/>
        <w:ind w:firstLine="480"/>
        <w:jc w:val="left"/>
        <w:outlineLvl w:val="3"/>
      </w:pPr>
      <w:r>
        <w:rPr>
          <w:b/>
          <w:sz w:val="24"/>
        </w:rPr>
        <w:t>本项目涉及优先采购环境标志产品：</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t>序号</w:t>
            </w:r>
          </w:p>
        </w:tc>
        <w:tc>
          <w:tcPr>
            <w:tcW w:w="2492" w:type="dxa"/>
          </w:tcPr>
          <w:p>
            <w:pPr>
              <w:pStyle w:val="4"/>
              <w:jc w:val="center"/>
            </w:pPr>
            <w:r>
              <w:t>采购品目名称</w:t>
            </w:r>
          </w:p>
        </w:tc>
        <w:tc>
          <w:tcPr>
            <w:tcW w:w="2492" w:type="dxa"/>
          </w:tcPr>
          <w:p>
            <w:pPr>
              <w:pStyle w:val="4"/>
              <w:jc w:val="center"/>
            </w:pPr>
            <w:r>
              <w:t>标的名称</w:t>
            </w:r>
          </w:p>
        </w:tc>
        <w:tc>
          <w:tcPr>
            <w:tcW w:w="2492" w:type="dxa"/>
          </w:tcPr>
          <w:p>
            <w:pPr>
              <w:pStyle w:val="4"/>
              <w:jc w:val="center"/>
            </w:pPr>
            <w:r>
              <w:t>产品名称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pPr>
              <w:pStyle w:val="4"/>
              <w:jc w:val="center"/>
            </w:pPr>
            <w:r>
              <w:t>不涉及</w:t>
            </w:r>
          </w:p>
        </w:tc>
      </w:tr>
    </w:tbl>
    <w:p>
      <w:pPr>
        <w:pStyle w:val="4"/>
        <w:ind w:firstLine="480"/>
        <w:jc w:val="left"/>
      </w:pPr>
      <w: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pPr>
        <w:pStyle w:val="4"/>
        <w:jc w:val="left"/>
        <w:outlineLvl w:val="2"/>
      </w:pPr>
      <w:r>
        <w:rPr>
          <w:b/>
          <w:sz w:val="28"/>
        </w:rPr>
        <w:t>3.3.技术要求</w:t>
      </w:r>
    </w:p>
    <w:p>
      <w:pPr>
        <w:pStyle w:val="4"/>
        <w:jc w:val="left"/>
      </w:pPr>
      <w:r>
        <w:t>采购包1：</w:t>
      </w:r>
    </w:p>
    <w:p>
      <w:pPr>
        <w:pStyle w:val="4"/>
        <w:jc w:val="left"/>
      </w:pPr>
      <w:r>
        <w:t>标的名称：蓬溪县2024年中央水利发展资金支持水利工程白蚁等害堤动物防治</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3"/>
        <w:gridCol w:w="1200"/>
        <w:gridCol w:w="65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3" w:type="dxa"/>
          </w:tcPr>
          <w:p>
            <w:pPr>
              <w:pStyle w:val="4"/>
              <w:jc w:val="left"/>
            </w:pPr>
            <w:r>
              <w:t>序号</w:t>
            </w:r>
          </w:p>
        </w:tc>
        <w:tc>
          <w:tcPr>
            <w:tcW w:w="1200" w:type="dxa"/>
          </w:tcPr>
          <w:p>
            <w:pPr>
              <w:pStyle w:val="4"/>
              <w:jc w:val="left"/>
            </w:pPr>
            <w:r>
              <w:t>符号标识</w:t>
            </w:r>
          </w:p>
        </w:tc>
        <w:tc>
          <w:tcPr>
            <w:tcW w:w="6519" w:type="dxa"/>
          </w:tcPr>
          <w:p>
            <w:pPr>
              <w:pStyle w:val="4"/>
              <w:jc w:val="left"/>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3" w:type="dxa"/>
          </w:tcPr>
          <w:p>
            <w:pPr>
              <w:pStyle w:val="4"/>
              <w:jc w:val="left"/>
            </w:pPr>
            <w:r>
              <w:t>1</w:t>
            </w:r>
          </w:p>
        </w:tc>
        <w:tc>
          <w:tcPr>
            <w:tcW w:w="1200" w:type="dxa"/>
          </w:tcPr>
          <w:p>
            <w:bookmarkStart w:id="0" w:name="_GoBack"/>
            <w:bookmarkEnd w:id="0"/>
          </w:p>
        </w:tc>
        <w:tc>
          <w:tcPr>
            <w:tcW w:w="6519" w:type="dxa"/>
          </w:tcPr>
          <w:p>
            <w:pPr>
              <w:pStyle w:val="4"/>
              <w:ind w:firstLine="482"/>
              <w:jc w:val="both"/>
            </w:pPr>
            <w:r>
              <w:rPr>
                <w:rFonts w:ascii="宋体" w:hAnsi="宋体" w:eastAsia="宋体" w:cs="宋体"/>
                <w:b/>
                <w:sz w:val="24"/>
              </w:rPr>
              <w:t>标注“★”号的条款（白蚁智能监测装置技术参数要求、普通白蚁诱杀监测装置技术参数要求除外）均为本次磋商采购项目的实质性要求，供应商磋商前应全部满足。</w:t>
            </w:r>
          </w:p>
          <w:p>
            <w:pPr>
              <w:pStyle w:val="4"/>
              <w:spacing w:after="120"/>
              <w:ind w:firstLine="602"/>
              <w:jc w:val="both"/>
            </w:pPr>
            <w:r>
              <w:rPr>
                <w:rFonts w:ascii="宋体" w:hAnsi="宋体" w:eastAsia="宋体" w:cs="宋体"/>
                <w:b/>
                <w:sz w:val="30"/>
              </w:rPr>
              <w:t>一、项目概述</w:t>
            </w:r>
          </w:p>
          <w:p>
            <w:pPr>
              <w:pStyle w:val="4"/>
              <w:spacing w:after="120"/>
              <w:ind w:firstLine="480"/>
              <w:jc w:val="both"/>
            </w:pPr>
            <w:r>
              <w:rPr>
                <w:rFonts w:ascii="宋体" w:hAnsi="宋体" w:eastAsia="宋体" w:cs="宋体"/>
                <w:sz w:val="24"/>
              </w:rPr>
              <w:t>本项目共1个包，为提高区域内水库大坝安全，杜绝白蚁危害，完成74座小型水库和6段堤防17.97千米白蚁等害堤动物隐患检查，4座水库白蚁等害堤动物危害治理，74座小型水库白蚁危害监测。</w:t>
            </w:r>
          </w:p>
          <w:p>
            <w:pPr>
              <w:pStyle w:val="4"/>
              <w:ind w:firstLine="602"/>
              <w:jc w:val="both"/>
            </w:pPr>
            <w:r>
              <w:rPr>
                <w:rFonts w:ascii="宋体" w:hAnsi="宋体" w:eastAsia="宋体" w:cs="宋体"/>
                <w:b/>
                <w:sz w:val="30"/>
              </w:rPr>
              <w:t>★二、技术服务内容及要求</w:t>
            </w:r>
          </w:p>
          <w:p>
            <w:pPr>
              <w:pStyle w:val="4"/>
              <w:ind w:firstLine="562"/>
              <w:jc w:val="both"/>
            </w:pPr>
            <w:r>
              <w:rPr>
                <w:rFonts w:ascii="宋体" w:hAnsi="宋体" w:eastAsia="宋体" w:cs="宋体"/>
                <w:b/>
                <w:sz w:val="28"/>
              </w:rPr>
              <w:t>（一）普查要求</w:t>
            </w:r>
          </w:p>
          <w:p>
            <w:pPr>
              <w:pStyle w:val="4"/>
              <w:spacing w:after="120"/>
              <w:ind w:firstLine="480"/>
              <w:jc w:val="both"/>
            </w:pPr>
            <w:r>
              <w:rPr>
                <w:rFonts w:ascii="宋体" w:hAnsi="宋体" w:eastAsia="宋体" w:cs="宋体"/>
                <w:sz w:val="24"/>
              </w:rPr>
              <w:t>完成74座小型水库和6段堤防17.97千米白蚁等害堤动物隐患检查，4座水库白蚁等害堤动物危害治理，74座小型水库白蚁危害监测。</w:t>
            </w:r>
          </w:p>
          <w:p>
            <w:pPr>
              <w:pStyle w:val="4"/>
              <w:ind w:firstLine="482"/>
              <w:jc w:val="both"/>
            </w:pPr>
            <w:r>
              <w:rPr>
                <w:rFonts w:ascii="宋体" w:hAnsi="宋体" w:eastAsia="宋体" w:cs="宋体"/>
                <w:b/>
                <w:sz w:val="24"/>
              </w:rPr>
              <w:t>1、白蚁检测方法</w:t>
            </w:r>
          </w:p>
          <w:p>
            <w:pPr>
              <w:pStyle w:val="4"/>
              <w:ind w:firstLine="480"/>
              <w:jc w:val="both"/>
            </w:pPr>
            <w:r>
              <w:rPr>
                <w:rFonts w:ascii="宋体" w:hAnsi="宋体" w:eastAsia="宋体" w:cs="宋体"/>
                <w:sz w:val="24"/>
              </w:rPr>
              <w:t>目前蚁情检查主要依靠人工通过表面迹象查找判定白蚁危害程度及部位，通过定期检查掌握白蚁危害动态。</w:t>
            </w:r>
          </w:p>
          <w:p>
            <w:pPr>
              <w:pStyle w:val="4"/>
              <w:ind w:firstLine="482"/>
              <w:jc w:val="both"/>
            </w:pPr>
            <w:r>
              <w:rPr>
                <w:rFonts w:ascii="宋体" w:hAnsi="宋体" w:eastAsia="宋体" w:cs="宋体"/>
                <w:b/>
                <w:sz w:val="24"/>
              </w:rPr>
              <w:t>2、检查范围</w:t>
            </w:r>
            <w:r>
              <w:rPr>
                <w:rFonts w:ascii="宋体" w:hAnsi="宋体" w:eastAsia="宋体" w:cs="宋体"/>
                <w:sz w:val="24"/>
              </w:rPr>
              <w:t>：包括蚁患区和蚁源区。</w:t>
            </w:r>
          </w:p>
          <w:p>
            <w:pPr>
              <w:pStyle w:val="4"/>
              <w:ind w:firstLine="480"/>
              <w:jc w:val="both"/>
            </w:pPr>
            <w:r>
              <w:rPr>
                <w:rFonts w:ascii="宋体" w:hAnsi="宋体" w:eastAsia="宋体" w:cs="宋体"/>
                <w:sz w:val="24"/>
              </w:rPr>
              <w:t>蚁患区为受白蚁危害的水利工程主体及其周边区域。检查范围为小型水库主体工程管理范围及其以外50米范围、堤防工程施工范围红线内。</w:t>
            </w:r>
          </w:p>
          <w:p>
            <w:pPr>
              <w:pStyle w:val="4"/>
              <w:spacing w:after="120"/>
              <w:ind w:firstLine="480"/>
              <w:jc w:val="both"/>
            </w:pPr>
            <w:r>
              <w:rPr>
                <w:rFonts w:ascii="宋体" w:hAnsi="宋体" w:eastAsia="宋体" w:cs="宋体"/>
                <w:sz w:val="24"/>
              </w:rPr>
              <w:t>蚁源区是指蚁患区之外一定范围内存在白蚁危害，且可能转移危害到水利工程主体的区域。土石坝蚁源区宜按蚁患区外50m范围考虑；土质堤防蚁源区宜按蚁患区外50m范围考虑。</w:t>
            </w:r>
          </w:p>
          <w:p>
            <w:pPr>
              <w:pStyle w:val="4"/>
              <w:ind w:firstLine="482"/>
              <w:jc w:val="both"/>
            </w:pPr>
            <w:r>
              <w:rPr>
                <w:rFonts w:ascii="宋体" w:hAnsi="宋体" w:eastAsia="宋体" w:cs="宋体"/>
                <w:b/>
                <w:sz w:val="24"/>
              </w:rPr>
              <w:t>3、检查内容</w:t>
            </w:r>
            <w:r>
              <w:rPr>
                <w:rFonts w:ascii="宋体" w:hAnsi="宋体" w:eastAsia="宋体" w:cs="宋体"/>
                <w:sz w:val="24"/>
              </w:rPr>
              <w:t>：泥被泥线、分群孔和蚁道。</w:t>
            </w:r>
          </w:p>
          <w:p>
            <w:pPr>
              <w:pStyle w:val="4"/>
              <w:ind w:firstLine="480"/>
              <w:jc w:val="both"/>
            </w:pPr>
            <w:r>
              <w:rPr>
                <w:rFonts w:ascii="宋体" w:hAnsi="宋体" w:eastAsia="宋体" w:cs="宋体"/>
                <w:sz w:val="24"/>
              </w:rPr>
              <w:t>泥被泥线是指白蚁在外出活动时的遮蔽物。工蚁从巢内搬出均匀小土粒加上它的唾液制成薄层泥皮，厚度1mm左右，覆盖在取食物上或土面上。泥被成片，泥线成条。</w:t>
            </w:r>
          </w:p>
          <w:p>
            <w:pPr>
              <w:pStyle w:val="4"/>
              <w:ind w:firstLine="480"/>
              <w:jc w:val="both"/>
            </w:pPr>
            <w:r>
              <w:rPr>
                <w:rFonts w:ascii="宋体" w:hAnsi="宋体" w:eastAsia="宋体" w:cs="宋体"/>
                <w:sz w:val="24"/>
              </w:rPr>
              <w:t>分群孔又称分飞孔、移植孔、羽化孔。是在白蚁分群季节里，巢内发育成熟的长翅繁殖蚁从巢内爬出地面，进行移植分飞专用的孔道。</w:t>
            </w:r>
          </w:p>
          <w:p>
            <w:pPr>
              <w:pStyle w:val="4"/>
              <w:ind w:firstLine="480"/>
              <w:jc w:val="both"/>
            </w:pPr>
            <w:r>
              <w:rPr>
                <w:rFonts w:ascii="宋体" w:hAnsi="宋体" w:eastAsia="宋体" w:cs="宋体"/>
                <w:sz w:val="24"/>
              </w:rPr>
              <w:t>蚁道也称蚁路。指白蚁外出觅食、取水，或者为连接各巢腔而修筑的通路，也是白蚁活动时避光、避敌害的系统。</w:t>
            </w:r>
          </w:p>
          <w:p>
            <w:pPr>
              <w:pStyle w:val="4"/>
              <w:ind w:firstLine="482"/>
              <w:jc w:val="both"/>
            </w:pPr>
            <w:r>
              <w:rPr>
                <w:rFonts w:ascii="宋体" w:hAnsi="宋体" w:eastAsia="宋体" w:cs="宋体"/>
                <w:b/>
                <w:sz w:val="24"/>
              </w:rPr>
              <w:t>4、具体检查内容包括</w:t>
            </w:r>
            <w:r>
              <w:rPr>
                <w:rFonts w:ascii="宋体" w:hAnsi="宋体" w:eastAsia="宋体" w:cs="宋体"/>
                <w:sz w:val="24"/>
              </w:rPr>
              <w:t>：</w:t>
            </w:r>
          </w:p>
          <w:p>
            <w:pPr>
              <w:pStyle w:val="4"/>
              <w:ind w:firstLine="480"/>
              <w:jc w:val="both"/>
            </w:pPr>
            <w:r>
              <w:rPr>
                <w:rFonts w:ascii="宋体" w:hAnsi="宋体" w:eastAsia="宋体" w:cs="宋体"/>
                <w:sz w:val="24"/>
              </w:rPr>
              <w:t>4.1、依据水利工程主体是否有散浸、漏水、跌窝等现象，辨析是否由白蚁危害引起。</w:t>
            </w:r>
          </w:p>
          <w:p>
            <w:pPr>
              <w:pStyle w:val="4"/>
              <w:ind w:firstLine="480"/>
              <w:jc w:val="both"/>
            </w:pPr>
            <w:r>
              <w:rPr>
                <w:rFonts w:ascii="宋体" w:hAnsi="宋体" w:eastAsia="宋体" w:cs="宋体"/>
                <w:sz w:val="24"/>
              </w:rPr>
              <w:t>4.2、水库大坝、堤防迎水面浪渣中是否有白蚁蛀蚀痕迹。</w:t>
            </w:r>
          </w:p>
          <w:p>
            <w:pPr>
              <w:pStyle w:val="4"/>
              <w:ind w:firstLine="480"/>
              <w:jc w:val="both"/>
            </w:pPr>
            <w:r>
              <w:rPr>
                <w:rFonts w:ascii="宋体" w:hAnsi="宋体" w:eastAsia="宋体" w:cs="宋体"/>
                <w:sz w:val="24"/>
              </w:rPr>
              <w:t>4.3、检查工程表面泥被、泥线的分布密度、分飞孔数量和真菌指示物等。</w:t>
            </w:r>
          </w:p>
          <w:p>
            <w:pPr>
              <w:pStyle w:val="4"/>
              <w:ind w:firstLine="480"/>
              <w:jc w:val="both"/>
            </w:pPr>
            <w:r>
              <w:rPr>
                <w:rFonts w:ascii="宋体" w:hAnsi="宋体" w:eastAsia="宋体" w:cs="宋体"/>
                <w:sz w:val="24"/>
              </w:rPr>
              <w:t>4.4、蚁患区、蚁源区范围内树木和植被上泥被、泥线分布情况。</w:t>
            </w:r>
          </w:p>
          <w:p>
            <w:pPr>
              <w:pStyle w:val="4"/>
              <w:ind w:firstLine="480"/>
              <w:jc w:val="both"/>
            </w:pPr>
            <w:r>
              <w:rPr>
                <w:rFonts w:ascii="宋体" w:hAnsi="宋体" w:eastAsia="宋体" w:cs="宋体"/>
                <w:sz w:val="24"/>
              </w:rPr>
              <w:t>4.5、借助仪器设备探测水利工程主体是否有白蚁巢穴。</w:t>
            </w:r>
          </w:p>
          <w:p>
            <w:pPr>
              <w:pStyle w:val="4"/>
              <w:ind w:firstLine="482"/>
              <w:jc w:val="both"/>
            </w:pPr>
            <w:r>
              <w:rPr>
                <w:rFonts w:ascii="宋体" w:hAnsi="宋体" w:eastAsia="宋体" w:cs="宋体"/>
                <w:b/>
                <w:sz w:val="24"/>
              </w:rPr>
              <w:t>5、检查方法</w:t>
            </w:r>
            <w:r>
              <w:rPr>
                <w:rFonts w:ascii="宋体" w:hAnsi="宋体" w:eastAsia="宋体" w:cs="宋体"/>
                <w:sz w:val="24"/>
              </w:rPr>
              <w:t>：人工法。</w:t>
            </w:r>
          </w:p>
          <w:p>
            <w:pPr>
              <w:pStyle w:val="4"/>
              <w:ind w:firstLine="480"/>
              <w:jc w:val="both"/>
            </w:pPr>
            <w:r>
              <w:rPr>
                <w:rFonts w:ascii="宋体" w:hAnsi="宋体" w:eastAsia="宋体" w:cs="宋体"/>
                <w:sz w:val="24"/>
              </w:rPr>
              <w:t>人工法主要有迹查法、锹铲法和引诱法。</w:t>
            </w:r>
          </w:p>
          <w:p>
            <w:pPr>
              <w:pStyle w:val="4"/>
              <w:ind w:firstLine="480"/>
              <w:jc w:val="both"/>
            </w:pPr>
            <w:r>
              <w:rPr>
                <w:rFonts w:ascii="宋体" w:hAnsi="宋体" w:eastAsia="宋体" w:cs="宋体"/>
                <w:sz w:val="24"/>
              </w:rPr>
              <w:t>（1）迹查法是由白蚁防治专业技术人员在工程主体和蚁源区根据白蚁活动时留下的地表迹象和真菌指示物来判断是否有白蚁危害。</w:t>
            </w:r>
          </w:p>
          <w:p>
            <w:pPr>
              <w:pStyle w:val="4"/>
              <w:ind w:firstLine="480"/>
              <w:jc w:val="both"/>
            </w:pPr>
            <w:r>
              <w:rPr>
                <w:rFonts w:ascii="宋体" w:hAnsi="宋体" w:eastAsia="宋体" w:cs="宋体"/>
                <w:sz w:val="24"/>
              </w:rPr>
              <w:t>（2）锹铲法是在白蚁经常活动的部位，用工具翻开白蚁喜食的植物根部，查看是否有白蚁活体或蚁路等活动迹象。</w:t>
            </w:r>
          </w:p>
          <w:p>
            <w:pPr>
              <w:pStyle w:val="4"/>
              <w:ind w:firstLine="480"/>
              <w:jc w:val="both"/>
            </w:pPr>
            <w:r>
              <w:rPr>
                <w:rFonts w:ascii="宋体" w:hAnsi="宋体" w:eastAsia="宋体" w:cs="宋体"/>
                <w:sz w:val="24"/>
              </w:rPr>
              <w:t>（3）引诱法。在堤坝表面难以发现白蚁的地表活动象征时，可以采用引诱法诱来白蚁。引诱白蚁的方法多种多样，需因地制宜地选择白蚁最爱食的饵料作为白蚁的诱饵剂。</w:t>
            </w:r>
          </w:p>
          <w:p>
            <w:pPr>
              <w:pStyle w:val="4"/>
              <w:ind w:firstLine="482"/>
              <w:jc w:val="both"/>
            </w:pPr>
            <w:r>
              <w:rPr>
                <w:rFonts w:ascii="宋体" w:hAnsi="宋体" w:eastAsia="宋体" w:cs="宋体"/>
                <w:b/>
                <w:sz w:val="24"/>
              </w:rPr>
              <w:t>6、危害等级</w:t>
            </w:r>
            <w:r>
              <w:rPr>
                <w:rFonts w:ascii="宋体" w:hAnsi="宋体" w:eastAsia="宋体" w:cs="宋体"/>
                <w:sz w:val="24"/>
              </w:rPr>
              <w:t>：水利工程白蚁危害等级分Ⅰ级、Ⅱ级、Ⅲ级。</w:t>
            </w:r>
          </w:p>
          <w:p>
            <w:pPr>
              <w:pStyle w:val="4"/>
              <w:ind w:firstLine="480"/>
              <w:jc w:val="both"/>
            </w:pPr>
            <w:r>
              <w:rPr>
                <w:rFonts w:ascii="宋体" w:hAnsi="宋体" w:eastAsia="宋体" w:cs="宋体"/>
                <w:sz w:val="24"/>
              </w:rPr>
              <w:t>Ⅰ级：危害堤坝白蚁初建群体处于发展期、蚁巢很小很浅，蚁道系统不发达，还不能对堤坝造成损害。</w:t>
            </w:r>
          </w:p>
          <w:p>
            <w:pPr>
              <w:pStyle w:val="4"/>
              <w:ind w:firstLine="480"/>
              <w:jc w:val="both"/>
            </w:pPr>
            <w:r>
              <w:rPr>
                <w:rFonts w:ascii="宋体" w:hAnsi="宋体" w:eastAsia="宋体" w:cs="宋体"/>
                <w:sz w:val="24"/>
              </w:rPr>
              <w:t>Ⅱ级：危害堤坝白蚁群体已发育成熟，蚁巢和蚁道系统发达但还没有破坏堤坝结构的完整性，但在汛期高水位的情况下，堤坝会出现散浸，湿坡等一般险情。</w:t>
            </w:r>
          </w:p>
          <w:p>
            <w:pPr>
              <w:pStyle w:val="4"/>
              <w:ind w:firstLine="480"/>
              <w:jc w:val="both"/>
            </w:pPr>
            <w:r>
              <w:rPr>
                <w:rFonts w:ascii="宋体" w:hAnsi="宋体" w:eastAsia="宋体" w:cs="宋体"/>
                <w:sz w:val="24"/>
              </w:rPr>
              <w:t>Ⅲ级：危害堤坝白蚁群体成熟且达到一定规模蚁巢和蚁道系统已经破坏了堤坝主体的完整性，在汛期高水位的情况下、堤坝容易出现严重的险情或导致堤坝垮塌。</w:t>
            </w:r>
          </w:p>
          <w:p>
            <w:pPr>
              <w:pStyle w:val="4"/>
              <w:ind w:firstLine="482"/>
              <w:jc w:val="both"/>
            </w:pPr>
            <w:r>
              <w:rPr>
                <w:rFonts w:ascii="宋体" w:hAnsi="宋体" w:eastAsia="宋体" w:cs="宋体"/>
                <w:b/>
                <w:sz w:val="24"/>
              </w:rPr>
              <w:t>7、检查记录与报告</w:t>
            </w:r>
            <w:r>
              <w:rPr>
                <w:rFonts w:ascii="宋体" w:hAnsi="宋体" w:eastAsia="宋体" w:cs="宋体"/>
                <w:sz w:val="24"/>
              </w:rPr>
              <w:t>:</w:t>
            </w:r>
          </w:p>
          <w:p>
            <w:pPr>
              <w:pStyle w:val="4"/>
              <w:ind w:firstLine="480"/>
              <w:jc w:val="both"/>
            </w:pPr>
            <w:r>
              <w:rPr>
                <w:rFonts w:ascii="宋体" w:hAnsi="宋体" w:eastAsia="宋体" w:cs="宋体"/>
                <w:sz w:val="24"/>
              </w:rPr>
              <w:t>根据白蚁地表活动痕迹或仪器探测到有白蚁隐患位置，应在水利工程白蚁普查登记表中绘制分布示意图，并及时编写检查报告。</w:t>
            </w:r>
          </w:p>
          <w:p>
            <w:pPr>
              <w:pStyle w:val="4"/>
              <w:ind w:firstLine="480"/>
              <w:jc w:val="both"/>
            </w:pPr>
            <w:r>
              <w:rPr>
                <w:rFonts w:ascii="宋体" w:hAnsi="宋体" w:eastAsia="宋体" w:cs="宋体"/>
                <w:sz w:val="24"/>
              </w:rPr>
              <w:t>检查报告应包括工程概况、普查情况和防治建议。普查单位应及时向主管部门汇报白蚁检查结果，出具整治意见报告。</w:t>
            </w:r>
          </w:p>
          <w:p>
            <w:pPr>
              <w:pStyle w:val="4"/>
              <w:numPr>
                <w:ilvl w:val="0"/>
                <w:numId w:val="1"/>
              </w:numPr>
              <w:jc w:val="both"/>
            </w:pPr>
            <w:r>
              <w:rPr>
                <w:rFonts w:ascii="宋体" w:hAnsi="宋体" w:eastAsia="宋体" w:cs="宋体"/>
                <w:sz w:val="28"/>
              </w:rPr>
              <w:t>施工要求</w:t>
            </w:r>
          </w:p>
          <w:p>
            <w:pPr>
              <w:pStyle w:val="4"/>
              <w:ind w:firstLine="480"/>
              <w:jc w:val="left"/>
            </w:pPr>
            <w:r>
              <w:rPr>
                <w:rFonts w:ascii="宋体" w:hAnsi="宋体" w:eastAsia="宋体" w:cs="宋体"/>
                <w:sz w:val="24"/>
              </w:rPr>
              <w:t>结合蚁情检查和白蚁危害等级评定结果，组织编制工程白蚁防治方案，作为防治施工方案的编制依据。</w:t>
            </w:r>
          </w:p>
          <w:p>
            <w:pPr>
              <w:pStyle w:val="4"/>
              <w:ind w:firstLine="480"/>
              <w:jc w:val="left"/>
            </w:pPr>
            <w:r>
              <w:rPr>
                <w:rFonts w:ascii="宋体" w:hAnsi="宋体" w:eastAsia="宋体" w:cs="宋体"/>
                <w:sz w:val="24"/>
              </w:rPr>
              <w:t>对普查成果其中达到Ⅱ～Ⅲ级危害的水库，主要选取人工挖巢、设置药物土壤屏障隔离沟、设置药物网幕、坝体表面及蚁患区施药、埋设诱杀包等措施进行白蚁等害堤动物危害防治，杀灭现有白蚁,预防外界白蚁的侵入,保障水库安全运行，达到治理效果。</w:t>
            </w:r>
          </w:p>
          <w:p>
            <w:pPr>
              <w:pStyle w:val="4"/>
              <w:ind w:firstLine="472"/>
              <w:jc w:val="both"/>
            </w:pPr>
            <w:r>
              <w:rPr>
                <w:rFonts w:ascii="宋体" w:hAnsi="宋体" w:eastAsia="宋体" w:cs="宋体"/>
                <w:sz w:val="24"/>
              </w:rPr>
              <w:t>1、第一阶段：消灭现存白蚁。</w:t>
            </w:r>
          </w:p>
          <w:p>
            <w:pPr>
              <w:pStyle w:val="4"/>
              <w:ind w:firstLine="476"/>
              <w:jc w:val="both"/>
            </w:pPr>
            <w:r>
              <w:rPr>
                <w:rFonts w:ascii="宋体" w:hAnsi="宋体" w:eastAsia="宋体" w:cs="宋体"/>
                <w:sz w:val="24"/>
              </w:rPr>
              <w:t>1.1清除现存白蚁窝巢，进行人工挖巢治理：</w:t>
            </w:r>
          </w:p>
          <w:p>
            <w:pPr>
              <w:pStyle w:val="4"/>
              <w:ind w:firstLine="448"/>
              <w:jc w:val="both"/>
            </w:pPr>
            <w:r>
              <w:rPr>
                <w:rFonts w:ascii="宋体" w:hAnsi="宋体" w:eastAsia="宋体" w:cs="宋体"/>
                <w:sz w:val="24"/>
              </w:rPr>
              <w:t>因白蚁生活具有一定的规律性，它均栖息在黏性土质里，并建有固定的巢穴。蚁巢不仅是白蚁生活的的大本营更是声息繁殖的中心。应采取以下方式清除堤防现存蚁患。</w:t>
            </w:r>
          </w:p>
          <w:p>
            <w:pPr>
              <w:pStyle w:val="4"/>
              <w:ind w:firstLine="472"/>
              <w:jc w:val="both"/>
            </w:pPr>
            <w:r>
              <w:rPr>
                <w:rFonts w:ascii="宋体" w:hAnsi="宋体" w:eastAsia="宋体" w:cs="宋体"/>
                <w:sz w:val="24"/>
              </w:rPr>
              <w:t>挖巢：通过有丰富实际治理经验的技术人员，根据白蚁外出活动取食时所修建的泥线或分飞孔跟踪开挖，直接清除水库大坝体内白蚁窝巢，并捕抓蚁巢内蚁王、蚁后，同时清除主巢周边副巢；</w:t>
            </w:r>
          </w:p>
          <w:p>
            <w:pPr>
              <w:pStyle w:val="4"/>
              <w:ind w:firstLine="468"/>
              <w:jc w:val="both"/>
            </w:pPr>
            <w:r>
              <w:rPr>
                <w:rFonts w:ascii="宋体" w:hAnsi="宋体" w:eastAsia="宋体" w:cs="宋体"/>
                <w:sz w:val="24"/>
              </w:rPr>
              <w:t>巢内施药：清除主、副巢后，应及时对巢内进行施药，彻底杀灭残余白蚁；回填夯实：最后对所挖槽腔进行夯实回填处理，恢复坝体原貌。</w:t>
            </w:r>
          </w:p>
          <w:p>
            <w:pPr>
              <w:pStyle w:val="4"/>
              <w:ind w:firstLine="472"/>
              <w:jc w:val="both"/>
            </w:pPr>
            <w:r>
              <w:rPr>
                <w:rFonts w:ascii="宋体" w:hAnsi="宋体" w:eastAsia="宋体" w:cs="宋体"/>
                <w:sz w:val="24"/>
              </w:rPr>
              <w:t>人工挖巢能直接有效的消灭蚁巢繁殖蚁，使蚁群失去繁衍能力，清除菌圃能使蚁群失去栖息地的大本营，治理效果显著、一目了然。</w:t>
            </w:r>
          </w:p>
          <w:p>
            <w:pPr>
              <w:pStyle w:val="4"/>
              <w:ind w:firstLine="456"/>
              <w:jc w:val="both"/>
            </w:pPr>
            <w:r>
              <w:rPr>
                <w:rFonts w:ascii="宋体" w:hAnsi="宋体" w:eastAsia="宋体" w:cs="宋体"/>
                <w:sz w:val="24"/>
              </w:rPr>
              <w:t>1.2施工位置：</w:t>
            </w:r>
          </w:p>
          <w:p>
            <w:pPr>
              <w:pStyle w:val="4"/>
              <w:ind w:firstLine="480"/>
              <w:jc w:val="both"/>
            </w:pPr>
            <w:r>
              <w:rPr>
                <w:rFonts w:ascii="宋体" w:hAnsi="宋体" w:eastAsia="宋体" w:cs="宋体"/>
                <w:sz w:val="24"/>
              </w:rPr>
              <w:t>小型水库主体工程管理范围及其以外50米范围。</w:t>
            </w:r>
          </w:p>
          <w:p>
            <w:pPr>
              <w:pStyle w:val="4"/>
              <w:ind w:firstLine="468"/>
              <w:jc w:val="both"/>
            </w:pPr>
            <w:r>
              <w:rPr>
                <w:rFonts w:ascii="宋体" w:hAnsi="宋体" w:eastAsia="宋体" w:cs="宋体"/>
                <w:sz w:val="24"/>
              </w:rPr>
              <w:t>1.3技术要求：</w:t>
            </w:r>
          </w:p>
          <w:p>
            <w:pPr>
              <w:pStyle w:val="4"/>
              <w:ind w:firstLine="472"/>
              <w:jc w:val="both"/>
            </w:pPr>
            <w:r>
              <w:rPr>
                <w:rFonts w:ascii="宋体" w:hAnsi="宋体" w:eastAsia="宋体" w:cs="宋体"/>
                <w:sz w:val="24"/>
              </w:rPr>
              <w:t>挖巢治理需在无雨天进行，对坝体及周边范围内白蚁主巢进行挖除后，对周边的副巢必须清除干净，主副巢必须进行药杀处理，回填打夯必须严实（每20公分夯实一次），同时在挖巢的过程中要随时注意做好防护，防止滑坡、塌方等安全事故发生。</w:t>
            </w:r>
          </w:p>
          <w:p>
            <w:pPr>
              <w:pStyle w:val="4"/>
              <w:ind w:firstLine="468"/>
              <w:jc w:val="both"/>
            </w:pPr>
            <w:r>
              <w:rPr>
                <w:rFonts w:ascii="宋体" w:hAnsi="宋体" w:eastAsia="宋体" w:cs="宋体"/>
                <w:sz w:val="24"/>
              </w:rPr>
              <w:t>1.4治理时间：</w:t>
            </w:r>
          </w:p>
          <w:p>
            <w:pPr>
              <w:pStyle w:val="4"/>
              <w:ind w:firstLine="468"/>
              <w:jc w:val="both"/>
            </w:pPr>
            <w:r>
              <w:rPr>
                <w:rFonts w:ascii="宋体" w:hAnsi="宋体" w:eastAsia="宋体" w:cs="宋体"/>
                <w:sz w:val="24"/>
              </w:rPr>
              <w:t>因白蚁挖巢治理主要是依据白蚁外露迹象而进行开挖的一种灭治工作，所以开挖时间应在除险加固工程其它项目之前，避免因坝体表面遭破坏导致挖巢不彻底现象。</w:t>
            </w:r>
          </w:p>
          <w:p>
            <w:pPr>
              <w:pStyle w:val="4"/>
              <w:ind w:firstLine="480"/>
              <w:jc w:val="both"/>
            </w:pPr>
            <w:r>
              <w:rPr>
                <w:rFonts w:ascii="宋体" w:hAnsi="宋体" w:eastAsia="宋体" w:cs="宋体"/>
                <w:sz w:val="24"/>
              </w:rPr>
              <w:t>2、第二阶段：防止白蚁再次入侵</w:t>
            </w:r>
          </w:p>
          <w:p>
            <w:pPr>
              <w:pStyle w:val="4"/>
              <w:ind w:firstLine="476"/>
              <w:jc w:val="both"/>
            </w:pPr>
            <w:r>
              <w:rPr>
                <w:rFonts w:ascii="宋体" w:hAnsi="宋体" w:eastAsia="宋体" w:cs="宋体"/>
                <w:sz w:val="24"/>
              </w:rPr>
              <w:t>2.1药物综合防治：</w:t>
            </w:r>
          </w:p>
          <w:p>
            <w:pPr>
              <w:pStyle w:val="4"/>
              <w:ind w:firstLine="472"/>
              <w:jc w:val="both"/>
            </w:pPr>
            <w:r>
              <w:rPr>
                <w:rFonts w:ascii="宋体" w:hAnsi="宋体" w:eastAsia="宋体" w:cs="宋体"/>
                <w:sz w:val="24"/>
              </w:rPr>
              <w:t>水库坝体挖巢完工后，对坝体表面系统的进行药物处理，让坝表浅土层形成一个广泛的地下药物屏障，能有效预防大坝遭受白蚁二次危害。</w:t>
            </w:r>
          </w:p>
          <w:p>
            <w:pPr>
              <w:pStyle w:val="4"/>
              <w:ind w:firstLine="476"/>
              <w:jc w:val="both"/>
            </w:pPr>
            <w:r>
              <w:rPr>
                <w:rFonts w:ascii="宋体" w:hAnsi="宋体" w:eastAsia="宋体" w:cs="宋体"/>
                <w:sz w:val="24"/>
              </w:rPr>
              <w:t>2.2施工位置：</w:t>
            </w:r>
          </w:p>
          <w:p>
            <w:pPr>
              <w:pStyle w:val="4"/>
              <w:ind w:firstLine="480"/>
              <w:jc w:val="both"/>
            </w:pPr>
            <w:r>
              <w:rPr>
                <w:rFonts w:ascii="宋体" w:hAnsi="宋体" w:eastAsia="宋体" w:cs="宋体"/>
                <w:sz w:val="24"/>
              </w:rPr>
              <w:t>小型水库主体工程管理范围及其以外50米范围。</w:t>
            </w:r>
          </w:p>
          <w:p>
            <w:pPr>
              <w:pStyle w:val="4"/>
              <w:ind w:firstLine="476"/>
              <w:jc w:val="both"/>
            </w:pPr>
            <w:r>
              <w:rPr>
                <w:rFonts w:ascii="宋体" w:hAnsi="宋体" w:eastAsia="宋体" w:cs="宋体"/>
                <w:sz w:val="24"/>
              </w:rPr>
              <w:t>2.3技术要求：</w:t>
            </w:r>
          </w:p>
          <w:p>
            <w:pPr>
              <w:pStyle w:val="4"/>
              <w:ind w:firstLine="476"/>
              <w:jc w:val="both"/>
            </w:pPr>
            <w:r>
              <w:rPr>
                <w:rFonts w:ascii="宋体" w:hAnsi="宋体" w:eastAsia="宋体" w:cs="宋体"/>
                <w:sz w:val="24"/>
              </w:rPr>
              <w:t>2.3.1喷洒药物必须环保；</w:t>
            </w:r>
          </w:p>
          <w:p>
            <w:pPr>
              <w:pStyle w:val="4"/>
              <w:ind w:firstLine="476"/>
              <w:jc w:val="both"/>
            </w:pPr>
            <w:r>
              <w:rPr>
                <w:rFonts w:ascii="宋体" w:hAnsi="宋体" w:eastAsia="宋体" w:cs="宋体"/>
                <w:sz w:val="24"/>
              </w:rPr>
              <w:t>2.3.2药械管理员严格按规定管理和使用药物；</w:t>
            </w:r>
          </w:p>
          <w:p>
            <w:pPr>
              <w:pStyle w:val="4"/>
              <w:ind w:firstLine="476"/>
              <w:jc w:val="both"/>
            </w:pPr>
            <w:r>
              <w:rPr>
                <w:rFonts w:ascii="宋体" w:hAnsi="宋体" w:eastAsia="宋体" w:cs="宋体"/>
                <w:sz w:val="24"/>
              </w:rPr>
              <w:t>2.3.3施用药物时，按规定佩带防护用具；</w:t>
            </w:r>
          </w:p>
          <w:p>
            <w:pPr>
              <w:pStyle w:val="4"/>
              <w:ind w:firstLine="476"/>
              <w:jc w:val="both"/>
            </w:pPr>
            <w:r>
              <w:rPr>
                <w:rFonts w:ascii="宋体" w:hAnsi="宋体" w:eastAsia="宋体" w:cs="宋体"/>
                <w:sz w:val="24"/>
              </w:rPr>
              <w:t>2.3.4药物施工时，不准吸烟，施工完毕必须洗手，洗脸；</w:t>
            </w:r>
          </w:p>
          <w:p>
            <w:pPr>
              <w:pStyle w:val="4"/>
              <w:ind w:firstLine="476"/>
              <w:jc w:val="both"/>
            </w:pPr>
            <w:r>
              <w:rPr>
                <w:rFonts w:ascii="宋体" w:hAnsi="宋体" w:eastAsia="宋体" w:cs="宋体"/>
                <w:sz w:val="24"/>
              </w:rPr>
              <w:t>2.3.5施药时确保无遗漏。</w:t>
            </w:r>
          </w:p>
          <w:p>
            <w:pPr>
              <w:pStyle w:val="4"/>
              <w:ind w:firstLine="476"/>
              <w:jc w:val="both"/>
            </w:pPr>
            <w:r>
              <w:rPr>
                <w:rFonts w:ascii="宋体" w:hAnsi="宋体" w:eastAsia="宋体" w:cs="宋体"/>
                <w:sz w:val="24"/>
              </w:rPr>
              <w:t>2.4施工时间安排：</w:t>
            </w:r>
          </w:p>
          <w:p>
            <w:pPr>
              <w:pStyle w:val="4"/>
              <w:ind w:firstLine="472"/>
              <w:jc w:val="both"/>
            </w:pPr>
            <w:r>
              <w:rPr>
                <w:rFonts w:ascii="宋体" w:hAnsi="宋体" w:eastAsia="宋体" w:cs="宋体"/>
                <w:sz w:val="24"/>
              </w:rPr>
              <w:t>综合施药时间应安排在坝体坡面整理基本成型之后进行（土建部分）。保证药物不因其它工程产生流失、疏漏现象，保证药物防治效果。</w:t>
            </w:r>
          </w:p>
          <w:p>
            <w:pPr>
              <w:pStyle w:val="4"/>
              <w:spacing w:after="120"/>
              <w:ind w:firstLine="552"/>
              <w:jc w:val="both"/>
            </w:pPr>
            <w:r>
              <w:rPr>
                <w:rFonts w:ascii="宋体" w:hAnsi="宋体" w:eastAsia="宋体" w:cs="宋体"/>
                <w:sz w:val="28"/>
              </w:rPr>
              <w:t>（三）防治方法：（根据水利部发布的《水利工程白蚁防治技术指南（试行）》要求进行治理）</w:t>
            </w:r>
          </w:p>
          <w:p>
            <w:pPr>
              <w:pStyle w:val="4"/>
              <w:ind w:firstLine="472"/>
              <w:jc w:val="both"/>
            </w:pPr>
            <w:r>
              <w:rPr>
                <w:rFonts w:ascii="宋体" w:hAnsi="宋体" w:eastAsia="宋体" w:cs="宋体"/>
                <w:sz w:val="24"/>
              </w:rPr>
              <w:t>1、人工开挖主、副巢：(必须清除蚁王、蚁后，并清理出所有副巢。白蚁主巢是白蚁活动、发展、繁殖的地方，通过白蚁的泥被、泥线，找出蚁道挖出蚁巢及主副巢并抓出蚁王、蚁后，用专用的灭白蚁防治药剂吡虫啉对巢内进行灭杀处理，并回填夯实。)人工挖巢能直接有效的消灭蚁巢繁殖蚁，使蚁群失去繁衍能力，清除菌圃能使蚁群失去栖息地的大本营，治理效果显著一目了然。</w:t>
            </w:r>
          </w:p>
          <w:p>
            <w:pPr>
              <w:pStyle w:val="4"/>
              <w:ind w:firstLine="476"/>
              <w:jc w:val="both"/>
            </w:pPr>
            <w:r>
              <w:rPr>
                <w:rFonts w:ascii="宋体" w:hAnsi="宋体" w:eastAsia="宋体" w:cs="宋体"/>
                <w:sz w:val="24"/>
              </w:rPr>
              <w:t>2、开挖诱杀点：就是在大坝连接周边白蚁活动的地方开挖（长×宽×深=30×30×30cm）的诱杀点，内置白蚁喜食的引诱原料（吡虫啉粉剂混合锯木灰，每个诱杀点投放混合物用量为300g），再喷上白蚁防治专用药剂，此方法可以灭杀周山活动的零散白蚁，以达到彻底消灭的防治效果。</w:t>
            </w:r>
          </w:p>
          <w:p>
            <w:pPr>
              <w:pStyle w:val="4"/>
              <w:ind w:firstLine="476"/>
              <w:jc w:val="both"/>
            </w:pPr>
            <w:r>
              <w:rPr>
                <w:rFonts w:ascii="宋体" w:hAnsi="宋体" w:eastAsia="宋体" w:cs="宋体"/>
                <w:sz w:val="24"/>
              </w:rPr>
              <w:t>3、投放诱杀药包：在水库大坝两端连接周边投放诱杀药包，诱杀包投放密度为1个/6㎡，有新生白蚁的需要加大投放密度。（其主要原料为白蚁喜食的 纤维物质和白蚁专用药剂经过特殊工艺加工配制而成，具有高效、低毒、无臭等特点，是堤坝白蚁灭杀的一种较为理想防治药物），由于白蚁活动隐蔽，种群数 量众多，而水库白蚁的防治又一定的特殊性，常规防治方法往往难以达到理想的效果，投放诱杀药包方法充分利用了白蚁的社会行为特点，针对性强，效果最佳，近年来广泛应用于水库白蚁防治。</w:t>
            </w:r>
          </w:p>
          <w:p>
            <w:pPr>
              <w:pStyle w:val="4"/>
              <w:ind w:firstLine="476"/>
              <w:jc w:val="left"/>
            </w:pPr>
            <w:r>
              <w:rPr>
                <w:rFonts w:ascii="宋体" w:hAnsi="宋体" w:eastAsia="宋体" w:cs="宋体"/>
                <w:sz w:val="24"/>
              </w:rPr>
              <w:t>4、隔离沟开挖回填：沿坝体背水坡两边坝肩与山体交接处开挖隔离沟，其沟深一般不少于40cm、沟宽不少于40cm，然后每回填10cm喷一次药，直至填满夯实（注：隔离沟长度，应结合水库坝肩地理环境而定），保证所回填土方中含药量不低于100g/m3</w:t>
            </w:r>
            <w:r>
              <w:rPr>
                <w:rFonts w:ascii="calibri, &quot;sans-serif&quot;" w:hAnsi="calibri, &quot;sans-serif&quot;" w:eastAsia="calibri, &quot;sans-serif&quot;" w:cs="calibri, &quot;sans-serif&quot;"/>
                <w:sz w:val="21"/>
              </w:rPr>
              <w:t xml:space="preserve"> </w:t>
            </w:r>
            <w:r>
              <w:rPr>
                <w:rFonts w:ascii="宋体" w:hAnsi="宋体" w:eastAsia="宋体" w:cs="宋体"/>
                <w:sz w:val="24"/>
              </w:rPr>
              <w:t>。此方法能有效地阻止周边白蚁因上坝取食、吸水而群体转移坝体建巢现象产生；</w:t>
            </w:r>
          </w:p>
          <w:p>
            <w:pPr>
              <w:pStyle w:val="4"/>
              <w:ind w:firstLine="464"/>
              <w:jc w:val="both"/>
            </w:pPr>
            <w:r>
              <w:rPr>
                <w:rFonts w:ascii="宋体" w:hAnsi="宋体" w:eastAsia="宋体" w:cs="宋体"/>
                <w:sz w:val="24"/>
              </w:rPr>
              <w:t>5、坝面表层药物处理：采用“≥10%吡虫啉悬浮剂”浓度液（1：200）对坝体表面进行全面的喷洒，施药时保证坝体不留空白，有效地杀灭坝体新生群体；</w:t>
            </w:r>
          </w:p>
          <w:p>
            <w:pPr>
              <w:pStyle w:val="4"/>
              <w:spacing w:after="120"/>
              <w:ind w:firstLine="476"/>
              <w:jc w:val="both"/>
            </w:pPr>
            <w:r>
              <w:rPr>
                <w:rFonts w:ascii="宋体" w:hAnsi="宋体" w:eastAsia="宋体" w:cs="宋体"/>
                <w:sz w:val="24"/>
              </w:rPr>
              <w:t>6、坝面打孔灌药：对大坝迎水坡水位线以上、坝顶及背水坡部位采用钢钎进行打孔，其规格为孔深不少于30-50CM，打孔直径为2-3CM，孔距为1M×1M梅花桩布置，每孔投放白蚁防治药剂后用土封口，让药物渗透融入坝体浅土层，形成有效地药物屏障。该方法既能有效地毒杀白蚁，同时还能预防白蚁再次入侵（堤坝白蚁来源在没有自身传播和周边蔓延的前提下，是通过繁殖蚁分飞传播，一旦坝体表层形成毒土层，外来白蚁繁殖蚁无法入土生存）。</w:t>
            </w:r>
          </w:p>
          <w:p>
            <w:pPr>
              <w:pStyle w:val="4"/>
              <w:ind w:firstLine="476"/>
              <w:jc w:val="both"/>
            </w:pPr>
            <w:r>
              <w:rPr>
                <w:rFonts w:ascii="宋体" w:hAnsi="宋体" w:eastAsia="宋体" w:cs="宋体"/>
                <w:sz w:val="24"/>
              </w:rPr>
              <w:t>7、白蚁智能监测装置:整体要求：主要由白蚁监测装置和配套软件（蚁情可视化数据管理中心平台、人工巡检小程序终端）组成；白蚁监测控制装置进行监测点白蚁数据的采集与传输；蚁情可视化数据管理中心平台可对整个监测区域的所有装置采集的数据进行汇总及 GIS 展示,并实时提供电话及短信预警服务，监测区蚁情再无盲区，人工巡检小程序主要配合白蚁监测站巡检工作，进行监测巡检签到，并实时回传监测点图文信息及反馈相应的蚁情处理意见到平台。</w:t>
            </w:r>
          </w:p>
          <w:p>
            <w:pPr>
              <w:pStyle w:val="4"/>
              <w:ind w:firstLine="468"/>
              <w:jc w:val="both"/>
            </w:pPr>
            <w:r>
              <w:rPr>
                <w:rFonts w:ascii="宋体" w:hAnsi="宋体" w:eastAsia="宋体" w:cs="宋体"/>
                <w:sz w:val="24"/>
              </w:rPr>
              <w:t>配套软件（蚁情可视化数据管理中心平台、人工巡检小程序终端）支持蚁情触发自动上报机制、支持软件平台预警、小程序联动预警、短信预警、软件平台支持GIS测点分布管理、任务影像图文上报等。</w:t>
            </w:r>
          </w:p>
          <w:p>
            <w:pPr>
              <w:pStyle w:val="4"/>
              <w:ind w:firstLine="468"/>
              <w:jc w:val="both"/>
            </w:pPr>
            <w:r>
              <w:rPr>
                <w:rFonts w:ascii="宋体" w:hAnsi="宋体" w:eastAsia="宋体" w:cs="宋体"/>
                <w:sz w:val="24"/>
              </w:rPr>
              <w:t>白蚁智能监测装置共计1308套，每套装置标配白蚁诱导饵料数量≥6块；电子触发数量≥2个。</w:t>
            </w:r>
          </w:p>
          <w:p>
            <w:pPr>
              <w:pStyle w:val="4"/>
              <w:ind w:firstLine="468"/>
              <w:jc w:val="both"/>
            </w:pPr>
            <w:r>
              <w:rPr>
                <w:rFonts w:ascii="宋体" w:hAnsi="宋体" w:eastAsia="宋体" w:cs="宋体"/>
                <w:sz w:val="24"/>
              </w:rPr>
              <w:t>白蚁智能监测装置技术参数要求如下：</w:t>
            </w:r>
          </w:p>
          <w:p>
            <w:pPr>
              <w:pStyle w:val="4"/>
              <w:ind w:firstLine="468"/>
              <w:jc w:val="both"/>
            </w:pPr>
            <w:r>
              <w:rPr>
                <w:rFonts w:ascii="宋体" w:hAnsi="宋体" w:eastAsia="宋体" w:cs="宋体"/>
                <w:sz w:val="24"/>
              </w:rPr>
              <w:t>（1）电子触发要求：监测装置采用接触类信号线性变化的传感器，当白蚁引诱到装置中后，啃食饵料时会触发装置内传感器信号异常。</w:t>
            </w:r>
          </w:p>
          <w:p>
            <w:pPr>
              <w:pStyle w:val="4"/>
              <w:ind w:firstLine="480"/>
              <w:jc w:val="both"/>
            </w:pPr>
            <w:r>
              <w:rPr>
                <w:rFonts w:ascii="仿宋" w:hAnsi="仿宋" w:eastAsia="仿宋" w:cs="仿宋"/>
                <w:sz w:val="24"/>
              </w:rPr>
              <w:t>（2）</w:t>
            </w:r>
            <w:r>
              <w:rPr>
                <w:rFonts w:ascii="宋体" w:hAnsi="宋体" w:eastAsia="宋体" w:cs="宋体"/>
                <w:sz w:val="24"/>
              </w:rPr>
              <w:t>诱导饵料要求：饵料在完整的情况下，可以持续使用，如果饵料被白蚁啃食或损坏，则需要更换。</w:t>
            </w:r>
          </w:p>
          <w:p>
            <w:pPr>
              <w:pStyle w:val="4"/>
              <w:ind w:firstLine="468"/>
              <w:jc w:val="both"/>
            </w:pPr>
            <w:r>
              <w:rPr>
                <w:rFonts w:ascii="宋体" w:hAnsi="宋体" w:eastAsia="宋体" w:cs="宋体"/>
                <w:sz w:val="24"/>
              </w:rPr>
              <w:t>（3）通讯模组：采用AIOT无线全网通支持移动/联通/电信。</w:t>
            </w:r>
          </w:p>
          <w:p>
            <w:pPr>
              <w:pStyle w:val="4"/>
              <w:ind w:firstLine="468"/>
              <w:jc w:val="both"/>
            </w:pPr>
            <w:r>
              <w:rPr>
                <w:rFonts w:ascii="宋体" w:hAnsi="宋体" w:eastAsia="宋体" w:cs="宋体"/>
                <w:sz w:val="24"/>
              </w:rPr>
              <w:t>（4）供电：可充电锂电池，电池使用寿命≥5年。</w:t>
            </w:r>
          </w:p>
          <w:p>
            <w:pPr>
              <w:pStyle w:val="4"/>
              <w:ind w:firstLine="468"/>
              <w:jc w:val="both"/>
            </w:pPr>
            <w:r>
              <w:rPr>
                <w:rFonts w:ascii="宋体" w:hAnsi="宋体" w:eastAsia="宋体" w:cs="宋体"/>
                <w:sz w:val="24"/>
              </w:rPr>
              <w:t>（5）续航时间：≥3年。</w:t>
            </w:r>
          </w:p>
          <w:p>
            <w:pPr>
              <w:pStyle w:val="4"/>
              <w:ind w:firstLine="468"/>
              <w:jc w:val="both"/>
            </w:pPr>
            <w:r>
              <w:rPr>
                <w:rFonts w:ascii="宋体" w:hAnsi="宋体" w:eastAsia="宋体" w:cs="宋体"/>
                <w:sz w:val="24"/>
              </w:rPr>
              <w:t>（6）通讯协议：RESTHTTP/MQTT/TCP/IP/DDS/JMS等支持多协议定制。</w:t>
            </w:r>
          </w:p>
          <w:p>
            <w:pPr>
              <w:pStyle w:val="4"/>
              <w:ind w:firstLine="468"/>
              <w:jc w:val="both"/>
            </w:pPr>
            <w:r>
              <w:rPr>
                <w:rFonts w:ascii="宋体" w:hAnsi="宋体" w:eastAsia="宋体" w:cs="宋体"/>
                <w:sz w:val="24"/>
              </w:rPr>
              <w:t>（7）防护等级：PCB电子仓防护等级≥IP68。</w:t>
            </w:r>
          </w:p>
          <w:p>
            <w:pPr>
              <w:pStyle w:val="4"/>
              <w:ind w:firstLine="468"/>
              <w:jc w:val="both"/>
            </w:pPr>
            <w:r>
              <w:rPr>
                <w:rFonts w:ascii="宋体" w:hAnsi="宋体" w:eastAsia="宋体" w:cs="宋体"/>
                <w:sz w:val="24"/>
              </w:rPr>
              <w:t>◆（8）工作温度：-10-80℃（提供第三方检测机构出具的检测报告复印件）。</w:t>
            </w:r>
          </w:p>
          <w:p>
            <w:pPr>
              <w:pStyle w:val="4"/>
              <w:ind w:firstLine="468"/>
              <w:jc w:val="both"/>
            </w:pPr>
            <w:r>
              <w:rPr>
                <w:rFonts w:ascii="宋体" w:hAnsi="宋体" w:eastAsia="宋体" w:cs="宋体"/>
                <w:sz w:val="24"/>
              </w:rPr>
              <w:t>（9）工作湿度：能在高湿环境下仍保持正常工作，并在退湿后仍能正常传输。</w:t>
            </w:r>
          </w:p>
          <w:p>
            <w:pPr>
              <w:pStyle w:val="4"/>
              <w:ind w:firstLine="468"/>
              <w:jc w:val="both"/>
            </w:pPr>
            <w:r>
              <w:rPr>
                <w:rFonts w:ascii="宋体" w:hAnsi="宋体" w:eastAsia="宋体" w:cs="宋体"/>
                <w:sz w:val="24"/>
              </w:rPr>
              <w:t>（10）外观尺寸材质：尺寸≥高195mm×口径136mm；材质HDPE防腐寿命：≥10年。</w:t>
            </w:r>
          </w:p>
          <w:p>
            <w:pPr>
              <w:pStyle w:val="4"/>
              <w:ind w:firstLine="468"/>
              <w:jc w:val="both"/>
            </w:pPr>
            <w:r>
              <w:rPr>
                <w:rFonts w:ascii="宋体" w:hAnsi="宋体" w:eastAsia="宋体" w:cs="宋体"/>
                <w:sz w:val="24"/>
              </w:rPr>
              <w:t>（11）支持便捷模块化维护更换饵料、电池模组。</w:t>
            </w:r>
          </w:p>
          <w:p>
            <w:pPr>
              <w:pStyle w:val="4"/>
              <w:ind w:firstLine="468"/>
              <w:jc w:val="both"/>
            </w:pPr>
            <w:r>
              <w:rPr>
                <w:rFonts w:ascii="宋体" w:hAnsi="宋体" w:eastAsia="宋体" w:cs="宋体"/>
                <w:sz w:val="24"/>
              </w:rPr>
              <w:t>（12）工作电压：工作电压4.2~3.2V。</w:t>
            </w:r>
          </w:p>
          <w:p>
            <w:pPr>
              <w:pStyle w:val="4"/>
              <w:ind w:firstLine="468"/>
              <w:jc w:val="both"/>
            </w:pPr>
            <w:r>
              <w:rPr>
                <w:rFonts w:ascii="宋体" w:hAnsi="宋体" w:eastAsia="宋体" w:cs="宋体"/>
                <w:sz w:val="24"/>
              </w:rPr>
              <w:t>◆（13）装置防水性能：在水中浸泡不小于8小时，无渗水产生（提供第三方检测机构出具的检测报告复印件）。</w:t>
            </w:r>
          </w:p>
          <w:p>
            <w:pPr>
              <w:pStyle w:val="4"/>
              <w:ind w:firstLine="468"/>
              <w:jc w:val="both"/>
            </w:pPr>
            <w:r>
              <w:rPr>
                <w:rFonts w:ascii="宋体" w:hAnsi="宋体" w:eastAsia="宋体" w:cs="宋体"/>
                <w:sz w:val="24"/>
              </w:rPr>
              <w:t>◆（14）装置防腐蚀性能：在中性盐雾中放置24小时，外观无明显腐蚀（提供第三方检测机构出具的检测报告复印件）。</w:t>
            </w:r>
          </w:p>
          <w:p>
            <w:pPr>
              <w:pStyle w:val="4"/>
              <w:ind w:firstLine="468"/>
              <w:jc w:val="both"/>
            </w:pPr>
            <w:r>
              <w:rPr>
                <w:rFonts w:ascii="宋体" w:hAnsi="宋体" w:eastAsia="宋体" w:cs="宋体"/>
                <w:sz w:val="24"/>
              </w:rPr>
              <w:t>（15）装置对白蚁侵入后的报警率应不低于95%。</w:t>
            </w:r>
          </w:p>
          <w:p>
            <w:pPr>
              <w:pStyle w:val="4"/>
              <w:ind w:firstLine="468"/>
              <w:jc w:val="both"/>
            </w:pPr>
            <w:r>
              <w:rPr>
                <w:rFonts w:ascii="宋体" w:hAnsi="宋体" w:eastAsia="宋体" w:cs="宋体"/>
                <w:sz w:val="24"/>
              </w:rPr>
              <w:t>（16）装置对无白蚁侵入的误报率应不大于5%。</w:t>
            </w:r>
          </w:p>
          <w:p>
            <w:pPr>
              <w:pStyle w:val="4"/>
              <w:ind w:firstLine="476"/>
              <w:jc w:val="both"/>
            </w:pPr>
            <w:r>
              <w:rPr>
                <w:rFonts w:ascii="宋体" w:hAnsi="宋体" w:eastAsia="宋体" w:cs="宋体"/>
                <w:sz w:val="24"/>
              </w:rPr>
              <w:t>8、普通白蚁诱杀监测装置：普通白蚁诱杀监测装置共计1020套，每套标配白蚁诱导饵料数量≥2块。</w:t>
            </w:r>
          </w:p>
          <w:p>
            <w:pPr>
              <w:pStyle w:val="4"/>
              <w:ind w:firstLine="468"/>
              <w:jc w:val="both"/>
            </w:pPr>
            <w:r>
              <w:rPr>
                <w:rFonts w:ascii="宋体" w:hAnsi="宋体" w:eastAsia="宋体" w:cs="宋体"/>
                <w:sz w:val="24"/>
              </w:rPr>
              <w:t>普通白蚁诱杀监测装置技术参数要求如下：</w:t>
            </w:r>
          </w:p>
          <w:p>
            <w:pPr>
              <w:pStyle w:val="4"/>
              <w:ind w:firstLine="468"/>
              <w:jc w:val="both"/>
            </w:pPr>
            <w:r>
              <w:rPr>
                <w:rFonts w:ascii="宋体" w:hAnsi="宋体" w:eastAsia="宋体" w:cs="宋体"/>
                <w:sz w:val="24"/>
              </w:rPr>
              <w:t>（1）诱导饵料要求：饵料在完整的情况下，可以持续使用，如果饵料被白蚁啃食或损坏，则需要更换。</w:t>
            </w:r>
          </w:p>
          <w:p>
            <w:pPr>
              <w:pStyle w:val="4"/>
              <w:ind w:firstLine="468"/>
              <w:jc w:val="both"/>
            </w:pPr>
            <w:r>
              <w:rPr>
                <w:rFonts w:ascii="宋体" w:hAnsi="宋体" w:eastAsia="宋体" w:cs="宋体"/>
                <w:sz w:val="24"/>
              </w:rPr>
              <w:t>（2）饵料舱：高≥25cm，底部直径≥8cm，桶口直径≥13cm。</w:t>
            </w:r>
          </w:p>
          <w:p>
            <w:pPr>
              <w:pStyle w:val="4"/>
              <w:ind w:firstLine="468"/>
              <w:jc w:val="both"/>
            </w:pPr>
            <w:r>
              <w:rPr>
                <w:rFonts w:ascii="宋体" w:hAnsi="宋体" w:eastAsia="宋体" w:cs="宋体"/>
                <w:sz w:val="24"/>
              </w:rPr>
              <w:t>（3）壳盖：直径≥12.5cm。</w:t>
            </w:r>
          </w:p>
          <w:p>
            <w:pPr>
              <w:pStyle w:val="4"/>
              <w:ind w:firstLine="468"/>
              <w:jc w:val="both"/>
            </w:pPr>
            <w:r>
              <w:rPr>
                <w:rFonts w:ascii="宋体" w:hAnsi="宋体" w:eastAsia="宋体" w:cs="宋体"/>
                <w:sz w:val="24"/>
              </w:rPr>
              <w:t>（4）木块：宽度≥4cm，高度≥3cm，长度≥15cm。</w:t>
            </w:r>
          </w:p>
          <w:p>
            <w:pPr>
              <w:pStyle w:val="4"/>
              <w:ind w:firstLine="468"/>
              <w:jc w:val="both"/>
            </w:pPr>
            <w:r>
              <w:rPr>
                <w:rFonts w:ascii="宋体" w:hAnsi="宋体" w:eastAsia="宋体" w:cs="宋体"/>
                <w:sz w:val="24"/>
              </w:rPr>
              <w:t>◆（5）装置耐腐蚀性能：监测装置壳体在中性盐雾中放置24小时，装置表面无明显腐蚀（提供第三方检测机构出具的检测报告复印件）。</w:t>
            </w:r>
          </w:p>
          <w:p>
            <w:pPr>
              <w:pStyle w:val="4"/>
              <w:ind w:firstLine="468"/>
              <w:jc w:val="both"/>
            </w:pPr>
            <w:r>
              <w:rPr>
                <w:rFonts w:ascii="宋体" w:hAnsi="宋体" w:eastAsia="宋体" w:cs="宋体"/>
                <w:sz w:val="24"/>
              </w:rPr>
              <w:t>◆（6）装置环保性能：测装置壳体符合环保性要求，壳体材料对土壤无污染（提供第三方检测机构出具的检测报告复印件）。</w:t>
            </w:r>
          </w:p>
          <w:p>
            <w:pPr>
              <w:pStyle w:val="4"/>
              <w:ind w:firstLine="544"/>
              <w:jc w:val="both"/>
            </w:pPr>
            <w:r>
              <w:rPr>
                <w:rFonts w:ascii="宋体" w:hAnsi="宋体" w:eastAsia="宋体" w:cs="宋体"/>
                <w:sz w:val="28"/>
              </w:rPr>
              <w:t>（四）防治效果质量保障要求：</w:t>
            </w:r>
          </w:p>
          <w:p>
            <w:pPr>
              <w:pStyle w:val="4"/>
              <w:ind w:firstLine="464"/>
              <w:jc w:val="both"/>
            </w:pPr>
            <w:r>
              <w:rPr>
                <w:rFonts w:ascii="宋体" w:hAnsi="宋体" w:eastAsia="宋体" w:cs="宋体"/>
                <w:sz w:val="24"/>
              </w:rPr>
              <w:t>1、白蚁防治效果达到99%以上，蚁源区效果达到95%以上；</w:t>
            </w:r>
          </w:p>
          <w:p>
            <w:pPr>
              <w:pStyle w:val="4"/>
              <w:ind w:firstLine="468"/>
              <w:jc w:val="both"/>
            </w:pPr>
            <w:r>
              <w:rPr>
                <w:rFonts w:ascii="宋体" w:hAnsi="宋体" w:eastAsia="宋体" w:cs="宋体"/>
                <w:sz w:val="24"/>
              </w:rPr>
              <w:t>2、指派专人负责做好工程日志，详细记录每日施工进度和效果；</w:t>
            </w:r>
          </w:p>
          <w:p>
            <w:pPr>
              <w:pStyle w:val="4"/>
              <w:ind w:firstLine="468"/>
              <w:jc w:val="both"/>
            </w:pPr>
            <w:r>
              <w:rPr>
                <w:rFonts w:ascii="宋体" w:hAnsi="宋体" w:eastAsia="宋体" w:cs="宋体"/>
                <w:sz w:val="24"/>
              </w:rPr>
              <w:t>3、接受业主现场负责人监管督导，及时协调工作中遇到的问题；</w:t>
            </w:r>
          </w:p>
          <w:p>
            <w:pPr>
              <w:pStyle w:val="4"/>
              <w:ind w:firstLine="476"/>
              <w:jc w:val="both"/>
            </w:pPr>
            <w:r>
              <w:rPr>
                <w:rFonts w:ascii="宋体" w:hAnsi="宋体" w:eastAsia="宋体" w:cs="宋体"/>
                <w:sz w:val="24"/>
              </w:rPr>
              <w:t>4、安全施工，保证工程施工中无安全事故。</w:t>
            </w:r>
          </w:p>
          <w:p>
            <w:pPr>
              <w:pStyle w:val="4"/>
              <w:ind w:firstLine="540"/>
              <w:jc w:val="both"/>
            </w:pPr>
            <w:r>
              <w:rPr>
                <w:rFonts w:ascii="宋体" w:hAnsi="宋体" w:eastAsia="宋体" w:cs="宋体"/>
                <w:sz w:val="28"/>
              </w:rPr>
              <w:t>（五）药物要求</w:t>
            </w:r>
          </w:p>
          <w:p>
            <w:pPr>
              <w:pStyle w:val="4"/>
              <w:ind w:firstLine="468"/>
              <w:jc w:val="both"/>
            </w:pPr>
            <w:r>
              <w:rPr>
                <w:rFonts w:ascii="宋体" w:hAnsi="宋体" w:eastAsia="宋体" w:cs="宋体"/>
                <w:sz w:val="24"/>
              </w:rPr>
              <w:t>1、防治药物技术参数要求：</w:t>
            </w:r>
          </w:p>
          <w:tbl>
            <w:tblPr>
              <w:tblStyle w:val="2"/>
              <w:tblW w:w="0" w:type="auto"/>
              <w:tblInd w:w="1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08"/>
              <w:gridCol w:w="218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pStyle w:val="4"/>
                    <w:jc w:val="center"/>
                  </w:pPr>
                  <w:r>
                    <w:rPr>
                      <w:rFonts w:ascii="宋体" w:hAnsi="宋体" w:eastAsia="宋体" w:cs="宋体"/>
                      <w:sz w:val="24"/>
                    </w:rPr>
                    <w:t>序号</w:t>
                  </w:r>
                </w:p>
              </w:tc>
              <w:tc>
                <w:tcPr>
                  <w:tcW w:w="2187" w:type="dxa"/>
                  <w:tcBorders>
                    <w:top w:val="single" w:color="000000" w:sz="4" w:space="0"/>
                    <w:left w:val="nil"/>
                    <w:bottom w:val="single" w:color="000000" w:sz="4" w:space="0"/>
                    <w:right w:val="single" w:color="000000" w:sz="4" w:space="0"/>
                  </w:tcBorders>
                  <w:tcMar>
                    <w:top w:w="0" w:type="dxa"/>
                    <w:left w:w="0" w:type="dxa"/>
                    <w:bottom w:w="0" w:type="dxa"/>
                    <w:right w:w="0" w:type="dxa"/>
                  </w:tcMar>
                </w:tcPr>
                <w:p>
                  <w:pPr>
                    <w:pStyle w:val="4"/>
                    <w:jc w:val="center"/>
                  </w:pPr>
                  <w:r>
                    <w:rPr>
                      <w:rFonts w:ascii="宋体" w:hAnsi="宋体" w:eastAsia="宋体" w:cs="宋体"/>
                      <w:sz w:val="24"/>
                    </w:rPr>
                    <w:t>成分和含量要求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08" w:type="dxa"/>
                  <w:tcBorders>
                    <w:top w:val="nil"/>
                    <w:left w:val="single" w:color="000000" w:sz="4" w:space="0"/>
                    <w:bottom w:val="single" w:color="000000" w:sz="4" w:space="0"/>
                    <w:right w:val="single" w:color="000000" w:sz="4" w:space="0"/>
                  </w:tcBorders>
                  <w:tcMar>
                    <w:top w:w="0" w:type="dxa"/>
                    <w:left w:w="0" w:type="dxa"/>
                    <w:bottom w:w="0" w:type="dxa"/>
                    <w:right w:w="0" w:type="dxa"/>
                  </w:tcMar>
                </w:tcPr>
                <w:p>
                  <w:pPr>
                    <w:pStyle w:val="4"/>
                    <w:jc w:val="center"/>
                  </w:pPr>
                  <w:r>
                    <w:rPr>
                      <w:rFonts w:ascii="宋体" w:hAnsi="宋体" w:eastAsia="宋体" w:cs="宋体"/>
                      <w:sz w:val="24"/>
                    </w:rPr>
                    <w:t>(1)</w:t>
                  </w:r>
                </w:p>
              </w:tc>
              <w:tc>
                <w:tcPr>
                  <w:tcW w:w="2187" w:type="dxa"/>
                  <w:tcBorders>
                    <w:top w:val="nil"/>
                    <w:left w:val="nil"/>
                    <w:bottom w:val="single" w:color="000000" w:sz="4" w:space="0"/>
                    <w:right w:val="single" w:color="000000" w:sz="4" w:space="0"/>
                  </w:tcBorders>
                  <w:tcMar>
                    <w:top w:w="0" w:type="dxa"/>
                    <w:left w:w="0" w:type="dxa"/>
                    <w:bottom w:w="0" w:type="dxa"/>
                    <w:right w:w="0" w:type="dxa"/>
                  </w:tcMar>
                </w:tcPr>
                <w:p>
                  <w:pPr>
                    <w:pStyle w:val="4"/>
                    <w:jc w:val="center"/>
                  </w:pPr>
                  <w:r>
                    <w:rPr>
                      <w:rFonts w:ascii="宋体" w:hAnsi="宋体" w:eastAsia="宋体" w:cs="宋体"/>
                      <w:sz w:val="24"/>
                    </w:rPr>
                    <w:t>≥10%吡虫啉悬浮剂(以农药登记证书为准)</w:t>
                  </w:r>
                </w:p>
              </w:tc>
            </w:tr>
          </w:tbl>
          <w:p>
            <w:pPr>
              <w:pStyle w:val="4"/>
              <w:ind w:firstLine="472"/>
              <w:jc w:val="both"/>
            </w:pPr>
            <w:r>
              <w:rPr>
                <w:rFonts w:ascii="宋体" w:hAnsi="宋体" w:eastAsia="宋体" w:cs="宋体"/>
                <w:sz w:val="24"/>
              </w:rPr>
              <w:t>根据《农药管理条例》相关规定，供应商在本项目实施过程中使用的防治药物应具备农药登记证和生产批准证或生产许可证（须提供承诺函，格式自拟)。</w:t>
            </w:r>
          </w:p>
          <w:p>
            <w:pPr>
              <w:pStyle w:val="4"/>
              <w:ind w:firstLine="488"/>
              <w:jc w:val="both"/>
            </w:pPr>
            <w:r>
              <w:rPr>
                <w:rFonts w:ascii="宋体" w:hAnsi="宋体" w:eastAsia="宋体" w:cs="宋体"/>
                <w:sz w:val="24"/>
              </w:rPr>
              <w:t>2、设置毒土隔离墙：毒土隔离墙是断绝坝外白蚁修筑蚁道通往体筑巢繁殖的有效措施，需在坝周围及坝脚设置纵横隔离墙，每个隔离墙投入专杀白蚁药剂，分层回填，每层厚度不超过10cm，先平铺，后夯实，以阻断周边白蚁上坝建巢危害。</w:t>
            </w:r>
          </w:p>
          <w:p>
            <w:pPr>
              <w:pStyle w:val="4"/>
              <w:ind w:firstLine="488"/>
              <w:jc w:val="both"/>
            </w:pPr>
            <w:r>
              <w:rPr>
                <w:rFonts w:ascii="宋体" w:hAnsi="宋体" w:eastAsia="宋体" w:cs="宋体"/>
                <w:sz w:val="24"/>
              </w:rPr>
              <w:t>3、破坏周边白蚁生存环境：对水库大坝的坝脚及周围由于地形复杂，植被茂密，杂草树木较多，是白蚁生长，繁殖活动的地方，为了预防白蚁上坝，减少虫口来源，需在坝周围植被复杂地带挖坑投药，杀灭四周白蚁群体，降低虫口基数，更好的保护大坝。</w:t>
            </w:r>
          </w:p>
          <w:p>
            <w:pPr>
              <w:pStyle w:val="4"/>
              <w:ind w:firstLine="554"/>
              <w:jc w:val="both"/>
            </w:pPr>
            <w:r>
              <w:rPr>
                <w:rFonts w:ascii="宋体" w:hAnsi="宋体" w:eastAsia="宋体" w:cs="宋体"/>
                <w:b/>
                <w:sz w:val="28"/>
              </w:rPr>
              <w:t>（六）安全要求</w:t>
            </w:r>
          </w:p>
          <w:p>
            <w:pPr>
              <w:pStyle w:val="4"/>
              <w:ind w:firstLine="476"/>
              <w:jc w:val="both"/>
            </w:pPr>
            <w:r>
              <w:rPr>
                <w:rFonts w:ascii="宋体" w:hAnsi="宋体" w:eastAsia="宋体" w:cs="宋体"/>
                <w:sz w:val="24"/>
              </w:rPr>
              <w:t>供应商须提供《安全承诺书》，应包含但不限于以下内容：</w:t>
            </w:r>
          </w:p>
          <w:p>
            <w:pPr>
              <w:pStyle w:val="4"/>
              <w:ind w:firstLine="472"/>
              <w:jc w:val="both"/>
            </w:pPr>
            <w:r>
              <w:rPr>
                <w:rFonts w:ascii="宋体" w:hAnsi="宋体" w:eastAsia="宋体" w:cs="宋体"/>
                <w:sz w:val="24"/>
              </w:rPr>
              <w:t>1、承诺在白蚁防治期间，严格按照相关法律法规，明确安全责任，服从相关主管部门的日常管理和检查。</w:t>
            </w:r>
          </w:p>
          <w:p>
            <w:pPr>
              <w:pStyle w:val="4"/>
              <w:ind w:firstLine="472"/>
              <w:jc w:val="both"/>
            </w:pPr>
            <w:r>
              <w:rPr>
                <w:rFonts w:ascii="宋体" w:hAnsi="宋体" w:eastAsia="宋体" w:cs="宋体"/>
                <w:sz w:val="24"/>
              </w:rPr>
              <w:t>2、承诺对本单位白蚁防治人员进行安全教育，有健全的安全管理制度和培训教育记录，保证白蚁防治人员安全、规范操作。</w:t>
            </w:r>
          </w:p>
          <w:p>
            <w:pPr>
              <w:pStyle w:val="4"/>
              <w:ind w:firstLine="472"/>
              <w:jc w:val="both"/>
            </w:pPr>
            <w:r>
              <w:rPr>
                <w:rFonts w:ascii="宋体" w:hAnsi="宋体" w:eastAsia="宋体" w:cs="宋体"/>
                <w:sz w:val="24"/>
              </w:rPr>
              <w:t>3、承诺文明防治，设立现场安全负责人，保证白蚁防治人员和主管单位及第三方人员、财产安全。</w:t>
            </w:r>
          </w:p>
          <w:p>
            <w:pPr>
              <w:pStyle w:val="4"/>
              <w:spacing w:after="120"/>
              <w:ind w:firstLine="602"/>
              <w:jc w:val="both"/>
            </w:pPr>
            <w:r>
              <w:rPr>
                <w:rFonts w:ascii="宋体" w:hAnsi="宋体" w:eastAsia="宋体" w:cs="宋体"/>
                <w:b/>
                <w:sz w:val="30"/>
              </w:rPr>
              <w:t>★三、商务要求</w:t>
            </w:r>
          </w:p>
          <w:p>
            <w:pPr>
              <w:pStyle w:val="4"/>
              <w:spacing w:after="120"/>
              <w:ind w:firstLine="480"/>
              <w:jc w:val="both"/>
            </w:pPr>
            <w:r>
              <w:t>1</w:t>
            </w:r>
            <w:r>
              <w:rPr>
                <w:rFonts w:ascii="宋体" w:hAnsi="宋体" w:eastAsia="宋体" w:cs="宋体"/>
                <w:sz w:val="24"/>
              </w:rPr>
              <w:t>、质量保修范围和保修期：保证质量3年，在质量保证期内定期进行跟踪服务，保证水库主、副坝体在合同期内无蚁害情况下运行，在保证期内发现新生蚁害免费防治。</w:t>
            </w:r>
          </w:p>
          <w:p>
            <w:pPr>
              <w:pStyle w:val="4"/>
              <w:spacing w:after="120"/>
              <w:ind w:firstLine="480"/>
              <w:jc w:val="both"/>
            </w:pPr>
            <w:r>
              <w:t>2</w:t>
            </w:r>
            <w:r>
              <w:rPr>
                <w:rFonts w:ascii="宋体" w:hAnsi="宋体" w:eastAsia="宋体" w:cs="宋体"/>
                <w:sz w:val="24"/>
              </w:rPr>
              <w:t>、其他要求：本项目自供应商签订合同之日起至提交成果验收合格之日止，供应商将负责该项目实施过程中的人身安全、财产安全、环境安全。因项目实施过程中造成的直接或间接损失，均由供应商自行承担。</w:t>
            </w:r>
          </w:p>
        </w:tc>
      </w:tr>
    </w:tbl>
    <w:p>
      <w:pPr>
        <w:pStyle w:val="4"/>
        <w:jc w:val="left"/>
        <w:outlineLvl w:val="2"/>
      </w:pPr>
      <w:r>
        <w:rPr>
          <w:b/>
          <w:sz w:val="28"/>
        </w:rPr>
        <w:t>3.4.服务要求</w:t>
      </w:r>
    </w:p>
    <w:p>
      <w:pPr>
        <w:pStyle w:val="4"/>
        <w:jc w:val="left"/>
        <w:outlineLvl w:val="3"/>
      </w:pPr>
      <w:r>
        <w:rPr>
          <w:b/>
          <w:sz w:val="24"/>
        </w:rPr>
        <w:t>3.4.1服务内容要求</w:t>
      </w:r>
    </w:p>
    <w:p>
      <w:pPr>
        <w:pStyle w:val="4"/>
        <w:ind w:firstLine="480"/>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 xml:space="preserve"> 序号</w:t>
            </w:r>
          </w:p>
        </w:tc>
        <w:tc>
          <w:tcPr>
            <w:tcW w:w="2076" w:type="dxa"/>
          </w:tcPr>
          <w:p>
            <w:pPr>
              <w:pStyle w:val="4"/>
              <w:jc w:val="left"/>
            </w:pPr>
            <w:r>
              <w:t xml:space="preserve"> 符号标识</w:t>
            </w:r>
          </w:p>
        </w:tc>
        <w:tc>
          <w:tcPr>
            <w:tcW w:w="2076" w:type="dxa"/>
          </w:tcPr>
          <w:p>
            <w:pPr>
              <w:pStyle w:val="4"/>
              <w:jc w:val="left"/>
            </w:pPr>
            <w:r>
              <w:t xml:space="preserve"> 要求名称</w:t>
            </w:r>
          </w:p>
        </w:tc>
        <w:tc>
          <w:tcPr>
            <w:tcW w:w="2076" w:type="dxa"/>
          </w:tcPr>
          <w:p>
            <w:pPr>
              <w:pStyle w:val="4"/>
              <w:jc w:val="left"/>
            </w:pPr>
            <w:r>
              <w:t xml:space="preserve"> 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1</w:t>
            </w:r>
          </w:p>
        </w:tc>
        <w:tc>
          <w:tcPr>
            <w:tcW w:w="2076" w:type="dxa"/>
          </w:tcPr>
          <w:p/>
        </w:tc>
        <w:tc>
          <w:tcPr>
            <w:tcW w:w="2076" w:type="dxa"/>
          </w:tcPr>
          <w:p>
            <w:pPr>
              <w:pStyle w:val="4"/>
              <w:jc w:val="left"/>
            </w:pPr>
            <w:r>
              <w:t>服务要求</w:t>
            </w:r>
          </w:p>
        </w:tc>
        <w:tc>
          <w:tcPr>
            <w:tcW w:w="2076" w:type="dxa"/>
          </w:tcPr>
          <w:p>
            <w:pPr>
              <w:pStyle w:val="4"/>
              <w:jc w:val="left"/>
            </w:pPr>
            <w:r>
              <w:t>服务要求与技术要求相同</w:t>
            </w:r>
          </w:p>
        </w:tc>
      </w:tr>
    </w:tbl>
    <w:p>
      <w:pPr>
        <w:pStyle w:val="4"/>
        <w:jc w:val="left"/>
        <w:outlineLvl w:val="3"/>
      </w:pPr>
      <w:r>
        <w:rPr>
          <w:b/>
          <w:sz w:val="24"/>
        </w:rPr>
        <w:t>3.4.2.商务要求</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序号</w:t>
            </w:r>
          </w:p>
        </w:tc>
        <w:tc>
          <w:tcPr>
            <w:tcW w:w="2076" w:type="dxa"/>
          </w:tcPr>
          <w:p>
            <w:pPr>
              <w:pStyle w:val="4"/>
              <w:jc w:val="left"/>
            </w:pPr>
            <w:r>
              <w:t>符号标识</w:t>
            </w:r>
          </w:p>
        </w:tc>
        <w:tc>
          <w:tcPr>
            <w:tcW w:w="2076" w:type="dxa"/>
          </w:tcPr>
          <w:p>
            <w:pPr>
              <w:pStyle w:val="4"/>
              <w:jc w:val="left"/>
            </w:pPr>
            <w:r>
              <w:t>商务要求名称</w:t>
            </w:r>
          </w:p>
        </w:tc>
        <w:tc>
          <w:tcPr>
            <w:tcW w:w="2076" w:type="dxa"/>
          </w:tcPr>
          <w:p>
            <w:pPr>
              <w:pStyle w:val="4"/>
              <w:jc w:val="left"/>
            </w:pPr>
            <w:r>
              <w:t>商务要求内容</w:t>
            </w:r>
          </w:p>
        </w:tc>
      </w:tr>
      <w:tr>
        <w:tblPrEx>
          <w:tblCellMar>
            <w:top w:w="0" w:type="dxa"/>
            <w:left w:w="108" w:type="dxa"/>
            <w:bottom w:w="0" w:type="dxa"/>
            <w:right w:w="108" w:type="dxa"/>
          </w:tblCellMar>
        </w:tblPrEx>
        <w:tc>
          <w:tcPr>
            <w:tcW w:w="2076" w:type="dxa"/>
          </w:tcPr>
          <w:p>
            <w:pPr>
              <w:pStyle w:val="4"/>
              <w:jc w:val="left"/>
            </w:pPr>
            <w:r>
              <w:t>1</w:t>
            </w:r>
          </w:p>
        </w:tc>
        <w:tc>
          <w:tcPr>
            <w:tcW w:w="2076" w:type="dxa"/>
          </w:tcPr>
          <w:p>
            <w:pPr>
              <w:pStyle w:val="4"/>
              <w:jc w:val="left"/>
            </w:pPr>
            <w:r>
              <w:t>★</w:t>
            </w:r>
          </w:p>
        </w:tc>
        <w:tc>
          <w:tcPr>
            <w:tcW w:w="2076" w:type="dxa"/>
          </w:tcPr>
          <w:p>
            <w:pPr>
              <w:pStyle w:val="4"/>
              <w:jc w:val="left"/>
            </w:pPr>
            <w:r>
              <w:t>服务期限</w:t>
            </w:r>
          </w:p>
        </w:tc>
        <w:tc>
          <w:tcPr>
            <w:tcW w:w="2076" w:type="dxa"/>
          </w:tcPr>
          <w:p>
            <w:pPr>
              <w:pStyle w:val="4"/>
              <w:jc w:val="left"/>
            </w:pPr>
            <w:r>
              <w:t>自合同签订之日起90日</w:t>
            </w:r>
          </w:p>
        </w:tc>
      </w:tr>
      <w:tr>
        <w:tblPrEx>
          <w:tblCellMar>
            <w:top w:w="0" w:type="dxa"/>
            <w:left w:w="108" w:type="dxa"/>
            <w:bottom w:w="0" w:type="dxa"/>
            <w:right w:w="108" w:type="dxa"/>
          </w:tblCellMar>
        </w:tblPrEx>
        <w:tc>
          <w:tcPr>
            <w:tcW w:w="2076" w:type="dxa"/>
          </w:tcPr>
          <w:p>
            <w:pPr>
              <w:pStyle w:val="4"/>
              <w:jc w:val="left"/>
            </w:pPr>
            <w:r>
              <w:t>2</w:t>
            </w:r>
          </w:p>
        </w:tc>
        <w:tc>
          <w:tcPr>
            <w:tcW w:w="2076" w:type="dxa"/>
          </w:tcPr>
          <w:p>
            <w:pPr>
              <w:pStyle w:val="4"/>
              <w:jc w:val="left"/>
            </w:pPr>
            <w:r>
              <w:t>★</w:t>
            </w:r>
          </w:p>
        </w:tc>
        <w:tc>
          <w:tcPr>
            <w:tcW w:w="2076" w:type="dxa"/>
          </w:tcPr>
          <w:p>
            <w:pPr>
              <w:pStyle w:val="4"/>
              <w:jc w:val="left"/>
            </w:pPr>
            <w:r>
              <w:t>服务地点</w:t>
            </w:r>
          </w:p>
        </w:tc>
        <w:tc>
          <w:tcPr>
            <w:tcW w:w="2076" w:type="dxa"/>
          </w:tcPr>
          <w:p>
            <w:pPr>
              <w:pStyle w:val="4"/>
              <w:jc w:val="left"/>
            </w:pPr>
            <w:r>
              <w:t>采购人指定地点</w:t>
            </w:r>
          </w:p>
        </w:tc>
      </w:tr>
      <w:tr>
        <w:tblPrEx>
          <w:tblCellMar>
            <w:top w:w="0" w:type="dxa"/>
            <w:left w:w="108" w:type="dxa"/>
            <w:bottom w:w="0" w:type="dxa"/>
            <w:right w:w="108" w:type="dxa"/>
          </w:tblCellMar>
        </w:tblPrEx>
        <w:tc>
          <w:tcPr>
            <w:tcW w:w="2076" w:type="dxa"/>
          </w:tcPr>
          <w:p>
            <w:pPr>
              <w:pStyle w:val="4"/>
              <w:jc w:val="left"/>
            </w:pPr>
            <w:r>
              <w:t>3</w:t>
            </w:r>
          </w:p>
        </w:tc>
        <w:tc>
          <w:tcPr>
            <w:tcW w:w="2076" w:type="dxa"/>
          </w:tcPr>
          <w:p>
            <w:pPr>
              <w:pStyle w:val="4"/>
              <w:jc w:val="left"/>
            </w:pPr>
            <w:r>
              <w:t>★</w:t>
            </w:r>
          </w:p>
        </w:tc>
        <w:tc>
          <w:tcPr>
            <w:tcW w:w="2076" w:type="dxa"/>
          </w:tcPr>
          <w:p>
            <w:pPr>
              <w:pStyle w:val="4"/>
              <w:jc w:val="left"/>
            </w:pPr>
            <w:r>
              <w:t>验收、交付标准和方法</w:t>
            </w:r>
          </w:p>
        </w:tc>
        <w:tc>
          <w:tcPr>
            <w:tcW w:w="2076" w:type="dxa"/>
          </w:tcPr>
          <w:p>
            <w:pPr>
              <w:pStyle w:val="4"/>
              <w:jc w:val="left"/>
            </w:pPr>
            <w:r>
              <w:t>按国家有关规定以及采购人磋商文件的质量要求和技术指标，中标人的投标文件及承诺与本合同约定进行验收。</w:t>
            </w:r>
          </w:p>
        </w:tc>
      </w:tr>
      <w:tr>
        <w:tblPrEx>
          <w:tblCellMar>
            <w:top w:w="0" w:type="dxa"/>
            <w:left w:w="108" w:type="dxa"/>
            <w:bottom w:w="0" w:type="dxa"/>
            <w:right w:w="108" w:type="dxa"/>
          </w:tblCellMar>
        </w:tblPrEx>
        <w:tc>
          <w:tcPr>
            <w:tcW w:w="2076" w:type="dxa"/>
          </w:tcPr>
          <w:p>
            <w:pPr>
              <w:pStyle w:val="4"/>
              <w:jc w:val="left"/>
            </w:pPr>
            <w:r>
              <w:t>4</w:t>
            </w:r>
          </w:p>
        </w:tc>
        <w:tc>
          <w:tcPr>
            <w:tcW w:w="2076" w:type="dxa"/>
          </w:tcPr>
          <w:p>
            <w:pPr>
              <w:pStyle w:val="4"/>
              <w:jc w:val="left"/>
            </w:pPr>
            <w:r>
              <w:t>★</w:t>
            </w:r>
          </w:p>
        </w:tc>
        <w:tc>
          <w:tcPr>
            <w:tcW w:w="2076" w:type="dxa"/>
          </w:tcPr>
          <w:p>
            <w:pPr>
              <w:pStyle w:val="4"/>
              <w:jc w:val="left"/>
            </w:pPr>
            <w:r>
              <w:t>支付方式</w:t>
            </w:r>
          </w:p>
        </w:tc>
        <w:tc>
          <w:tcPr>
            <w:tcW w:w="2076" w:type="dxa"/>
          </w:tcPr>
          <w:p>
            <w:pPr>
              <w:pStyle w:val="4"/>
              <w:jc w:val="left"/>
            </w:pPr>
            <w:r>
              <w:t>分期付款</w:t>
            </w:r>
          </w:p>
        </w:tc>
      </w:tr>
      <w:tr>
        <w:tblPrEx>
          <w:tblCellMar>
            <w:top w:w="0" w:type="dxa"/>
            <w:left w:w="108" w:type="dxa"/>
            <w:bottom w:w="0" w:type="dxa"/>
            <w:right w:w="108" w:type="dxa"/>
          </w:tblCellMar>
        </w:tblPrEx>
        <w:tc>
          <w:tcPr>
            <w:tcW w:w="2076" w:type="dxa"/>
          </w:tcPr>
          <w:p>
            <w:pPr>
              <w:pStyle w:val="4"/>
              <w:jc w:val="left"/>
            </w:pPr>
            <w:r>
              <w:t>5</w:t>
            </w:r>
          </w:p>
        </w:tc>
        <w:tc>
          <w:tcPr>
            <w:tcW w:w="2076" w:type="dxa"/>
          </w:tcPr>
          <w:p>
            <w:pPr>
              <w:pStyle w:val="4"/>
              <w:jc w:val="left"/>
            </w:pPr>
            <w:r>
              <w:t>★</w:t>
            </w:r>
          </w:p>
        </w:tc>
        <w:tc>
          <w:tcPr>
            <w:tcW w:w="2076" w:type="dxa"/>
          </w:tcPr>
          <w:p>
            <w:pPr>
              <w:pStyle w:val="4"/>
              <w:jc w:val="left"/>
            </w:pPr>
            <w:r>
              <w:t>支付约定</w:t>
            </w:r>
          </w:p>
        </w:tc>
        <w:tc>
          <w:tcPr>
            <w:tcW w:w="2076" w:type="dxa"/>
          </w:tcPr>
          <w:p>
            <w:pPr>
              <w:pStyle w:val="4"/>
              <w:jc w:val="left"/>
            </w:pPr>
            <w:r>
              <w:t>1、合同签订后，达到付款条件起14日内，支付合同总金额的20.00%</w:t>
            </w:r>
          </w:p>
          <w:p>
            <w:pPr>
              <w:pStyle w:val="4"/>
              <w:jc w:val="left"/>
            </w:pPr>
            <w:r>
              <w:t>2、 白蚁防治完工验收后，达到付款条件起14日内，支付合同总金额的80.00%</w:t>
            </w:r>
          </w:p>
        </w:tc>
      </w:tr>
      <w:tr>
        <w:tblPrEx>
          <w:tblCellMar>
            <w:top w:w="0" w:type="dxa"/>
            <w:left w:w="108" w:type="dxa"/>
            <w:bottom w:w="0" w:type="dxa"/>
            <w:right w:w="108" w:type="dxa"/>
          </w:tblCellMar>
        </w:tblPrEx>
        <w:tc>
          <w:tcPr>
            <w:tcW w:w="2076" w:type="dxa"/>
          </w:tcPr>
          <w:p>
            <w:pPr>
              <w:pStyle w:val="4"/>
              <w:jc w:val="left"/>
            </w:pPr>
            <w:r>
              <w:t>6</w:t>
            </w:r>
          </w:p>
        </w:tc>
        <w:tc>
          <w:tcPr>
            <w:tcW w:w="2076" w:type="dxa"/>
          </w:tcPr>
          <w:p>
            <w:pPr>
              <w:pStyle w:val="4"/>
              <w:jc w:val="left"/>
            </w:pPr>
            <w:r>
              <w:t>★</w:t>
            </w:r>
          </w:p>
        </w:tc>
        <w:tc>
          <w:tcPr>
            <w:tcW w:w="2076" w:type="dxa"/>
          </w:tcPr>
          <w:p>
            <w:pPr>
              <w:pStyle w:val="4"/>
              <w:jc w:val="left"/>
            </w:pPr>
            <w:r>
              <w:t>违约责任与解决争议的方法</w:t>
            </w:r>
          </w:p>
        </w:tc>
        <w:tc>
          <w:tcPr>
            <w:tcW w:w="2076" w:type="dxa"/>
          </w:tcPr>
          <w:p>
            <w:pPr>
              <w:pStyle w:val="4"/>
              <w:jc w:val="left"/>
            </w:pPr>
            <w:r>
              <w:t>合同中约定</w:t>
            </w:r>
          </w:p>
        </w:tc>
      </w:tr>
    </w:tbl>
    <w:p>
      <w:pPr>
        <w:pStyle w:val="4"/>
        <w:jc w:val="left"/>
        <w:outlineLvl w:val="2"/>
      </w:pPr>
      <w:r>
        <w:rPr>
          <w:b/>
          <w:sz w:val="28"/>
        </w:rPr>
        <w:t>3.5.其他要求</w:t>
      </w:r>
    </w:p>
    <w:p>
      <w:pPr>
        <w:pStyle w:val="4"/>
        <w:ind w:firstLine="480"/>
        <w:jc w:val="left"/>
        <w:rPr>
          <w:rFonts w:hint="eastAsia"/>
          <w:lang w:val="en-US" w:eastAsia="zh-Hans"/>
        </w:rPr>
      </w:pPr>
      <w:r>
        <w:t>采购包1：</w:t>
      </w:r>
      <w:r>
        <w:rPr>
          <w:rFonts w:hint="eastAsia"/>
          <w:lang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 w:name="calibri, &quot;sans-serif&quo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bullet"/>
      <w:lvlText w:val=""/>
      <w:lvlJc w:val="left"/>
      <w:pPr>
        <w:ind w:left="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ZTFhZGM1ODBjMzkxZDg5OWE3MzE4NDViM2QzYjQifQ=="/>
  </w:docVars>
  <w:rsids>
    <w:rsidRoot w:val="53B52B8D"/>
    <w:rsid w:val="069A1311"/>
    <w:rsid w:val="177F50ED"/>
    <w:rsid w:val="232A43C0"/>
    <w:rsid w:val="409C45B6"/>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30179</Words>
  <Characters>31483</Characters>
  <Lines>0</Lines>
  <Paragraphs>0</Paragraphs>
  <TotalTime>1</TotalTime>
  <ScaleCrop>false</ScaleCrop>
  <LinksUpToDate>false</LinksUpToDate>
  <CharactersWithSpaces>31693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银care</cp:lastModifiedBy>
  <dcterms:modified xsi:type="dcterms:W3CDTF">2024-07-04T08:17:00Z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C5ECB9602A8249A89496754989A06F10_12</vt:lpwstr>
  </property>
</Properties>
</file>