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一、面积</w:t>
      </w:r>
    </w:p>
    <w:tbl>
      <w:tblPr>
        <w:tblW w:w="72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45"/>
        <w:gridCol w:w="172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一号餐厅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二号餐厅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教工餐厅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一号餐厅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1054.378㎡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三号餐厅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974.95㎡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四号餐厅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1166.5㎡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留学生餐厅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971.95㎡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教工餐厅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1050.57㎡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附中餐厅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2225㎡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hint="eastAsia" w:ascii="宋体" w:hAnsi="宋体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14"/>
        <w:tblW w:w="5000" w:type="pct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988"/>
        <w:gridCol w:w="1676"/>
        <w:gridCol w:w="614"/>
        <w:gridCol w:w="4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7" w:type="dxa"/>
            <w:vAlign w:val="center"/>
          </w:tcPr>
          <w:p>
            <w:pPr>
              <w:pStyle w:val="7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灭害区域</w:t>
            </w:r>
          </w:p>
        </w:tc>
        <w:tc>
          <w:tcPr>
            <w:tcW w:w="988" w:type="dxa"/>
            <w:vAlign w:val="center"/>
          </w:tcPr>
          <w:p>
            <w:pPr>
              <w:pStyle w:val="7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灭害种类</w:t>
            </w:r>
          </w:p>
        </w:tc>
        <w:tc>
          <w:tcPr>
            <w:tcW w:w="1676" w:type="dxa"/>
            <w:vAlign w:val="center"/>
          </w:tcPr>
          <w:p>
            <w:pPr>
              <w:pStyle w:val="7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服务要求</w:t>
            </w:r>
          </w:p>
        </w:tc>
        <w:tc>
          <w:tcPr>
            <w:tcW w:w="614" w:type="dxa"/>
            <w:vAlign w:val="center"/>
          </w:tcPr>
          <w:p>
            <w:pPr>
              <w:pStyle w:val="7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人工</w:t>
            </w:r>
          </w:p>
        </w:tc>
        <w:tc>
          <w:tcPr>
            <w:tcW w:w="613" w:type="dxa"/>
            <w:vAlign w:val="center"/>
          </w:tcPr>
          <w:p>
            <w:pPr>
              <w:pStyle w:val="7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7" w:type="dxa"/>
            <w:vMerge w:val="restart"/>
            <w:vAlign w:val="center"/>
          </w:tcPr>
          <w:p>
            <w:pPr>
              <w:pStyle w:val="7"/>
              <w:snapToGrid w:val="0"/>
              <w:spacing w:after="0"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新疆师范大学餐厅</w:t>
            </w:r>
          </w:p>
          <w:p>
            <w:pPr>
              <w:pStyle w:val="7"/>
              <w:snapToGrid w:val="0"/>
              <w:spacing w:after="0"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vMerge w:val="restart"/>
            <w:vAlign w:val="center"/>
          </w:tcPr>
          <w:p>
            <w:pPr>
              <w:pStyle w:val="7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蟑螂、老鼠、臭虫、小飞虫、潮湿虫、蚂蚁、飞蛾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auto"/>
              <w:ind w:firstLine="420" w:firstLineChars="200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师范大学昆仑校区。温泉校区学校餐厅灭虫害工作，每月一次，随时有问题随时处理，服务期一年。</w:t>
            </w:r>
          </w:p>
        </w:tc>
        <w:tc>
          <w:tcPr>
            <w:tcW w:w="614" w:type="dxa"/>
            <w:vAlign w:val="center"/>
          </w:tcPr>
          <w:p>
            <w:pPr>
              <w:pStyle w:val="7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2-3人</w:t>
            </w:r>
          </w:p>
        </w:tc>
        <w:tc>
          <w:tcPr>
            <w:tcW w:w="613" w:type="dxa"/>
            <w:vAlign w:val="center"/>
          </w:tcPr>
          <w:p>
            <w:pPr>
              <w:pStyle w:val="7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7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2-3人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107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2-3人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7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2-3人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07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ind w:firstLine="210" w:firstLineChars="10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7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4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2-3人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5"/>
            <w:vAlign w:val="center"/>
          </w:tcPr>
          <w:p>
            <w:pPr>
              <w:pStyle w:val="7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备注：每月定期更换鼠药，定期消杀，平时发生虫害问题随叫随到，2小时响应</w:t>
            </w:r>
          </w:p>
        </w:tc>
      </w:tr>
    </w:tbl>
    <w:p>
      <w:pPr>
        <w:widowControl/>
        <w:tabs>
          <w:tab w:val="right" w:pos="8306"/>
        </w:tabs>
        <w:spacing w:line="42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、服务期：一年</w:t>
      </w:r>
    </w:p>
    <w:p>
      <w:pPr>
        <w:widowControl/>
        <w:tabs>
          <w:tab w:val="right" w:pos="8306"/>
        </w:tabs>
        <w:spacing w:line="42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、服务要求：</w:t>
      </w:r>
    </w:p>
    <w:p>
      <w:pPr>
        <w:widowControl/>
        <w:tabs>
          <w:tab w:val="right" w:pos="8306"/>
        </w:tabs>
        <w:spacing w:line="420" w:lineRule="exact"/>
        <w:ind w:firstLine="480" w:firstLineChars="200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灭鼠：按照国家消杀比例数据，15平方米标准房间，布放20×20厘米滑石粉块两块，一夜后阳性粉块不超过3％（抽样100间宿舍，每间布放2块，阳性粉块不超过6块即不超过3间）；有鼠洞、鼠粪、鼠咬等痕迹的房间不超过2％，重点单位防鼠设施不合格处不超过5％（抽样100间宿舍，目测调查鼠洞、鼠粪、鼠咬等痕迹的房间不超过2间）。</w:t>
      </w:r>
    </w:p>
    <w:p>
      <w:pPr>
        <w:widowControl/>
        <w:tabs>
          <w:tab w:val="right" w:pos="8306"/>
        </w:tabs>
        <w:spacing w:line="420" w:lineRule="exact"/>
        <w:ind w:firstLine="480" w:firstLineChars="200"/>
        <w:jc w:val="left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灭蟑</w:t>
      </w:r>
      <w:r>
        <w:rPr>
          <w:rFonts w:hint="eastAsia" w:ascii="宋体" w:hAnsi="宋体"/>
          <w:kern w:val="0"/>
          <w:sz w:val="24"/>
          <w:szCs w:val="24"/>
        </w:rPr>
        <w:t>：按照国家消杀比例数据，须达到室内有成虫或若虫阳性房间不超过3％（抽样100间宿舍，成虫或若虫阳性房间不超3间），平均每间房内成虫不超过5只，小虫不超过10只；有活虫卵鞘房间不超过2％（抽样100间宿舍，活虫卵鞘房间不超过2间），平均每间房不超过4只；有虫粪便蜕皮等虫迹的房间不超过5％（抽样100间宿舍，有虫粪便蜕皮等虫迹的房间不超过5间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000000"/>
    <w:rsid w:val="3FE93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uiPriority w:val="0"/>
    <w:pPr>
      <w:keepNext/>
      <w:keepLines/>
      <w:spacing w:before="200" w:after="0"/>
      <w:outlineLvl w:val="2"/>
    </w:pPr>
    <w:rPr>
      <w:rFonts w:ascii="Cambria" w:hAnsi="Cambria" w:eastAsia="宋体"/>
      <w:b/>
      <w:bCs/>
      <w:color w:val="4F81BD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正文文本1"/>
    <w:basedOn w:val="1"/>
    <w:uiPriority w:val="0"/>
  </w:style>
  <w:style w:type="paragraph" w:customStyle="1" w:styleId="8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9">
    <w:name w:val="批注框文本 Char"/>
    <w:link w:val="8"/>
    <w:semiHidden/>
    <w:qFormat/>
    <w:uiPriority w:val="0"/>
    <w:rPr>
      <w:kern w:val="2"/>
      <w:sz w:val="18"/>
      <w:szCs w:val="18"/>
    </w:r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link w:val="10"/>
    <w:uiPriority w:val="0"/>
    <w:rPr>
      <w:sz w:val="18"/>
      <w:szCs w:val="18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link w:val="12"/>
    <w:uiPriority w:val="0"/>
    <w:rPr>
      <w:sz w:val="18"/>
      <w:szCs w:val="18"/>
    </w:rPr>
  </w:style>
  <w:style w:type="table" w:customStyle="1" w:styleId="14">
    <w:name w:val="网格型1"/>
    <w:basedOn w:val="6"/>
    <w:qFormat/>
    <w:uiPriority w:val="0"/>
    <w:pPr>
      <w:spacing w:after="0" w:line="240" w:lineRule="auto"/>
    </w:pPr>
  </w:style>
  <w:style w:type="character" w:customStyle="1" w:styleId="15">
    <w:name w:val="超链接1"/>
    <w:link w:val="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2024-06-25T09:13:15Z</dcterms:created>
  <dc:creator>郑莉(107622013010110)</dc:creator>
  <cp:lastModifiedBy>郑莉(107622013010110)</cp:lastModifiedBy>
  <dcterms:modified xsi:type="dcterms:W3CDTF">2024-06-25T09:14:20Z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9E59DF4BAA04426E9D839DC817B6559A</vt:lpwstr>
  </property>
</Properties>
</file>