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3.1.采购项目概况</w:t>
      </w:r>
    </w:p>
    <w:p>
      <w:pPr>
        <w:pStyle w:val="4"/>
        <w:ind w:firstLine="480"/>
        <w:jc w:val="left"/>
      </w:pPr>
      <w:r>
        <w:t>成都地处四川盆地西部，气候终年温暖潮湿，适宜白蚁生长繁衍，是白蚁危害较为严重的地区之一。成都市龙泉驿区白蚁防治管理中心拟通过本次采购项目确定一名供应商提供专业技术服务，对成都市龙泉驿区新建和既有房屋开展白蚁防治工作，预防白蚁孳生，减少已有白蚁危害，保障房屋建筑的安全。</w:t>
      </w:r>
    </w:p>
    <w:p>
      <w:pPr>
        <w:pStyle w:val="4"/>
        <w:jc w:val="left"/>
        <w:outlineLvl w:val="2"/>
      </w:pPr>
      <w:r>
        <w:rPr>
          <w:b/>
          <w:sz w:val="28"/>
        </w:rPr>
        <w:t>3.2.采购内容</w:t>
      </w:r>
    </w:p>
    <w:p>
      <w:pPr>
        <w:pStyle w:val="4"/>
        <w:jc w:val="left"/>
      </w:pPr>
      <w:r>
        <w:t>采购包1：</w:t>
      </w:r>
    </w:p>
    <w:p>
      <w:pPr>
        <w:pStyle w:val="4"/>
        <w:jc w:val="left"/>
      </w:pPr>
      <w:r>
        <w:t>采购包预算金额（元）: 800,000.00</w:t>
      </w:r>
    </w:p>
    <w:p>
      <w:pPr>
        <w:pStyle w:val="4"/>
        <w:jc w:val="left"/>
      </w:pPr>
      <w:r>
        <w:t>采购包最高限价（元）: 800,000.00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809"/>
        <w:gridCol w:w="809"/>
        <w:gridCol w:w="821"/>
        <w:gridCol w:w="1128"/>
        <w:gridCol w:w="809"/>
        <w:gridCol w:w="809"/>
        <w:gridCol w:w="809"/>
        <w:gridCol w:w="809"/>
        <w:gridCol w:w="632"/>
        <w:gridCol w:w="6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序号</w:t>
            </w:r>
          </w:p>
        </w:tc>
        <w:tc>
          <w:tcPr>
            <w:tcW w:w="821" w:type="dxa"/>
          </w:tcPr>
          <w:p>
            <w:pPr>
              <w:pStyle w:val="4"/>
              <w:jc w:val="left"/>
            </w:pPr>
            <w:r>
              <w:t>采购品目名称</w:t>
            </w:r>
          </w:p>
        </w:tc>
        <w:tc>
          <w:tcPr>
            <w:tcW w:w="821" w:type="dxa"/>
          </w:tcPr>
          <w:p>
            <w:pPr>
              <w:pStyle w:val="4"/>
              <w:jc w:val="left"/>
            </w:pPr>
            <w:r>
              <w:t>标的名称</w:t>
            </w:r>
          </w:p>
        </w:tc>
        <w:tc>
          <w:tcPr>
            <w:tcW w:w="821" w:type="dxa"/>
          </w:tcPr>
          <w:p>
            <w:pPr>
              <w:pStyle w:val="4"/>
              <w:jc w:val="left"/>
            </w:pPr>
            <w:r>
              <w:t>数量</w:t>
            </w:r>
          </w:p>
        </w:tc>
        <w:tc>
          <w:tcPr>
            <w:tcW w:w="821" w:type="dxa"/>
          </w:tcPr>
          <w:p>
            <w:pPr>
              <w:pStyle w:val="4"/>
              <w:jc w:val="left"/>
            </w:pPr>
            <w:r>
              <w:t>标的金额 （元）</w:t>
            </w:r>
          </w:p>
        </w:tc>
        <w:tc>
          <w:tcPr>
            <w:tcW w:w="821" w:type="dxa"/>
          </w:tcPr>
          <w:p>
            <w:pPr>
              <w:pStyle w:val="4"/>
              <w:jc w:val="left"/>
            </w:pPr>
            <w:r>
              <w:t>所属行业</w:t>
            </w:r>
          </w:p>
        </w:tc>
        <w:tc>
          <w:tcPr>
            <w:tcW w:w="821" w:type="dxa"/>
          </w:tcPr>
          <w:p>
            <w:pPr>
              <w:pStyle w:val="4"/>
              <w:jc w:val="left"/>
            </w:pPr>
            <w:r>
              <w:t>是否涉及核心产品</w:t>
            </w:r>
          </w:p>
        </w:tc>
        <w:tc>
          <w:tcPr>
            <w:tcW w:w="821" w:type="dxa"/>
          </w:tcPr>
          <w:p>
            <w:pPr>
              <w:pStyle w:val="4"/>
              <w:jc w:val="left"/>
            </w:pPr>
            <w:r>
              <w:t>是否涉及采购进口产品</w:t>
            </w:r>
          </w:p>
        </w:tc>
        <w:tc>
          <w:tcPr>
            <w:tcW w:w="821" w:type="dxa"/>
          </w:tcPr>
          <w:p>
            <w:pPr>
              <w:pStyle w:val="4"/>
              <w:jc w:val="left"/>
            </w:pPr>
            <w:r>
              <w:t>是否涉及强制采购节能产品</w:t>
            </w:r>
          </w:p>
        </w:tc>
        <w:tc>
          <w:tcPr>
            <w:tcW w:w="639" w:type="dxa"/>
          </w:tcPr>
          <w:p>
            <w:pPr>
              <w:pStyle w:val="4"/>
              <w:jc w:val="left"/>
            </w:pPr>
            <w:r>
              <w:t>是否涉及优先采购节能产品</w:t>
            </w:r>
          </w:p>
        </w:tc>
        <w:tc>
          <w:tcPr>
            <w:tcW w:w="639" w:type="dxa"/>
          </w:tcPr>
          <w:p>
            <w:pPr>
              <w:pStyle w:val="4"/>
              <w:jc w:val="left"/>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其他服务</w:t>
            </w:r>
          </w:p>
        </w:tc>
        <w:tc>
          <w:tcPr>
            <w:tcW w:w="821" w:type="dxa"/>
          </w:tcPr>
          <w:p>
            <w:pPr>
              <w:pStyle w:val="4"/>
              <w:jc w:val="left"/>
            </w:pPr>
            <w:r>
              <w:t>白蚁防治服务</w:t>
            </w:r>
          </w:p>
        </w:tc>
        <w:tc>
          <w:tcPr>
            <w:tcW w:w="821" w:type="dxa"/>
          </w:tcPr>
          <w:p>
            <w:pPr>
              <w:pStyle w:val="4"/>
              <w:jc w:val="right"/>
            </w:pPr>
            <w:r>
              <w:t>1.00（项）</w:t>
            </w:r>
          </w:p>
        </w:tc>
        <w:tc>
          <w:tcPr>
            <w:tcW w:w="821" w:type="dxa"/>
          </w:tcPr>
          <w:p>
            <w:pPr>
              <w:pStyle w:val="4"/>
              <w:jc w:val="right"/>
            </w:pPr>
            <w:r>
              <w:t>800,000.00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jc w:val="left"/>
        <w:outlineLvl w:val="3"/>
      </w:pPr>
      <w:r>
        <w:rPr>
          <w:b/>
          <w:sz w:val="24"/>
        </w:rPr>
        <w:t>报价要求</w:t>
      </w:r>
    </w:p>
    <w:p>
      <w:pPr>
        <w:pStyle w:val="4"/>
        <w:ind w:firstLine="480"/>
        <w:jc w:val="left"/>
      </w:pPr>
      <w:r>
        <w:t>采购包1：</w:t>
      </w:r>
    </w:p>
    <w:p>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759"/>
        <w:gridCol w:w="977"/>
        <w:gridCol w:w="977"/>
        <w:gridCol w:w="1466"/>
        <w:gridCol w:w="977"/>
        <w:gridCol w:w="14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4"/>
              <w:jc w:val="left"/>
            </w:pPr>
            <w:r>
              <w:t>序号</w:t>
            </w:r>
          </w:p>
        </w:tc>
        <w:tc>
          <w:tcPr>
            <w:tcW w:w="1759" w:type="dxa"/>
          </w:tcPr>
          <w:p>
            <w:pPr>
              <w:pStyle w:val="4"/>
              <w:jc w:val="left"/>
            </w:pPr>
            <w:r>
              <w:t>报价内容</w:t>
            </w:r>
          </w:p>
        </w:tc>
        <w:tc>
          <w:tcPr>
            <w:tcW w:w="977" w:type="dxa"/>
          </w:tcPr>
          <w:p>
            <w:pPr>
              <w:pStyle w:val="4"/>
              <w:jc w:val="left"/>
            </w:pPr>
            <w:r>
              <w:t>计量单位</w:t>
            </w:r>
          </w:p>
        </w:tc>
        <w:tc>
          <w:tcPr>
            <w:tcW w:w="977" w:type="dxa"/>
          </w:tcPr>
          <w:p>
            <w:pPr>
              <w:pStyle w:val="4"/>
              <w:jc w:val="left"/>
            </w:pPr>
            <w:r>
              <w:t>报价单位</w:t>
            </w:r>
          </w:p>
        </w:tc>
        <w:tc>
          <w:tcPr>
            <w:tcW w:w="1466" w:type="dxa"/>
          </w:tcPr>
          <w:p>
            <w:pPr>
              <w:pStyle w:val="4"/>
              <w:jc w:val="left"/>
            </w:pPr>
            <w:r>
              <w:t>最高限价</w:t>
            </w:r>
          </w:p>
        </w:tc>
        <w:tc>
          <w:tcPr>
            <w:tcW w:w="977" w:type="dxa"/>
          </w:tcPr>
          <w:p>
            <w:pPr>
              <w:pStyle w:val="4"/>
              <w:jc w:val="left"/>
            </w:pPr>
            <w:r>
              <w:t>价款形式</w:t>
            </w:r>
          </w:p>
        </w:tc>
        <w:tc>
          <w:tcPr>
            <w:tcW w:w="1466" w:type="dxa"/>
          </w:tcPr>
          <w:p>
            <w:pPr>
              <w:pStyle w:val="4"/>
              <w:jc w:val="left"/>
            </w:pPr>
            <w:r>
              <w:t>报价说明</w:t>
            </w:r>
          </w:p>
        </w:tc>
      </w:tr>
      <w:tr>
        <w:tblPrEx>
          <w:tblCellMar>
            <w:top w:w="0" w:type="dxa"/>
            <w:left w:w="108" w:type="dxa"/>
            <w:bottom w:w="0" w:type="dxa"/>
            <w:right w:w="108" w:type="dxa"/>
          </w:tblCellMar>
        </w:tblPrEx>
        <w:tc>
          <w:tcPr>
            <w:tcW w:w="684" w:type="dxa"/>
          </w:tcPr>
          <w:p>
            <w:pPr>
              <w:pStyle w:val="4"/>
              <w:jc w:val="left"/>
            </w:pPr>
            <w:r>
              <w:t>1</w:t>
            </w:r>
          </w:p>
        </w:tc>
        <w:tc>
          <w:tcPr>
            <w:tcW w:w="1759" w:type="dxa"/>
          </w:tcPr>
          <w:p>
            <w:pPr>
              <w:pStyle w:val="4"/>
              <w:jc w:val="left"/>
            </w:pPr>
            <w:r>
              <w:t>白蚁防治服务</w:t>
            </w:r>
          </w:p>
        </w:tc>
        <w:tc>
          <w:tcPr>
            <w:tcW w:w="977" w:type="dxa"/>
          </w:tcPr>
          <w:p>
            <w:pPr>
              <w:pStyle w:val="4"/>
              <w:jc w:val="left"/>
            </w:pPr>
            <w:r>
              <w:t>项</w:t>
            </w:r>
          </w:p>
        </w:tc>
        <w:tc>
          <w:tcPr>
            <w:tcW w:w="977" w:type="dxa"/>
          </w:tcPr>
          <w:p>
            <w:pPr>
              <w:pStyle w:val="4"/>
              <w:jc w:val="left"/>
            </w:pPr>
            <w:r>
              <w:t>%</w:t>
            </w:r>
          </w:p>
        </w:tc>
        <w:tc>
          <w:tcPr>
            <w:tcW w:w="1466" w:type="dxa"/>
          </w:tcPr>
          <w:p>
            <w:pPr>
              <w:pStyle w:val="4"/>
              <w:jc w:val="right"/>
            </w:pPr>
            <w:r>
              <w:t>不设定</w:t>
            </w:r>
          </w:p>
        </w:tc>
        <w:tc>
          <w:tcPr>
            <w:tcW w:w="977" w:type="dxa"/>
          </w:tcPr>
          <w:p>
            <w:pPr>
              <w:pStyle w:val="4"/>
              <w:jc w:val="left"/>
            </w:pPr>
            <w:r>
              <w:t>下浮率</w:t>
            </w:r>
          </w:p>
        </w:tc>
        <w:tc>
          <w:tcPr>
            <w:tcW w:w="1466" w:type="dxa"/>
          </w:tcPr>
          <w:p>
            <w:pPr>
              <w:pStyle w:val="4"/>
              <w:jc w:val="left"/>
            </w:pPr>
            <w:r>
              <w:t>无</w:t>
            </w:r>
          </w:p>
        </w:tc>
      </w:tr>
    </w:tbl>
    <w:p>
      <w:pPr>
        <w:pStyle w:val="4"/>
        <w:ind w:firstLine="480"/>
        <w:jc w:val="left"/>
      </w:pPr>
      <w:r>
        <w:t>★注：供应商响应产品应当明确品牌和规格型号并指向唯一产品，不能指向唯一产品的，应通过报价表备注栏补充说明。</w:t>
      </w:r>
    </w:p>
    <w:p>
      <w:pPr>
        <w:pStyle w:val="4"/>
        <w:jc w:val="left"/>
        <w:outlineLvl w:val="3"/>
      </w:pPr>
      <w:r>
        <w:rPr>
          <w:b/>
          <w:sz w:val="24"/>
        </w:rPr>
        <w:t>本项目涉及采购进口产品：</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jc w:val="left"/>
        <w:outlineLvl w:val="3"/>
      </w:pPr>
      <w:r>
        <w:rPr>
          <w:b/>
          <w:sz w:val="24"/>
        </w:rPr>
        <w:t>本项目涉及强制采购节能产品：</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pPr>
        <w:pStyle w:val="4"/>
        <w:jc w:val="left"/>
      </w:pPr>
      <w:r>
        <w:rPr>
          <w:b/>
        </w:rPr>
        <w:t>本项目涉及优先采购节能产品：</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outlineLvl w:val="3"/>
      </w:pPr>
      <w:r>
        <w:rPr>
          <w:b/>
          <w:sz w:val="24"/>
        </w:rPr>
        <w:t>本项目涉及优先采购环境标志产品：</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3.3.技术要求</w:t>
      </w:r>
    </w:p>
    <w:p>
      <w:pPr>
        <w:pStyle w:val="4"/>
        <w:jc w:val="left"/>
      </w:pPr>
      <w:r>
        <w:t>采购包1：</w:t>
      </w:r>
    </w:p>
    <w:p>
      <w:pPr>
        <w:pStyle w:val="4"/>
        <w:jc w:val="left"/>
      </w:pPr>
      <w:r>
        <w:t>标的名称：白蚁防治服务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01"/>
        <w:gridCol w:w="2602"/>
        <w:gridCol w:w="33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 xml:space="preserve"> 序号</w:t>
            </w:r>
          </w:p>
        </w:tc>
        <w:tc>
          <w:tcPr>
            <w:tcW w:w="2769" w:type="dxa"/>
          </w:tcPr>
          <w:p>
            <w:pPr>
              <w:pStyle w:val="4"/>
              <w:jc w:val="left"/>
            </w:pPr>
            <w:r>
              <w:t xml:space="preserve"> 符号标识</w:t>
            </w:r>
          </w:p>
        </w:tc>
        <w:tc>
          <w:tcPr>
            <w:tcW w:w="2769" w:type="dxa"/>
          </w:tcPr>
          <w:p>
            <w:pPr>
              <w:pStyle w:val="4"/>
              <w:jc w:val="left"/>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pPr>
              <w:pStyle w:val="4"/>
              <w:jc w:val="left"/>
            </w:pPr>
            <w:r>
              <w:t>★</w:t>
            </w:r>
          </w:p>
        </w:tc>
        <w:tc>
          <w:tcPr>
            <w:tcW w:w="2769" w:type="dxa"/>
          </w:tcPr>
          <w:p>
            <w:pPr>
              <w:pStyle w:val="4"/>
              <w:ind w:firstLine="480"/>
              <w:jc w:val="both"/>
            </w:pPr>
            <w:r>
              <w:rPr>
                <w:rFonts w:ascii="仿宋" w:hAnsi="仿宋" w:eastAsia="仿宋" w:cs="仿宋"/>
                <w:b/>
                <w:sz w:val="24"/>
              </w:rPr>
              <w:t>一、最高限价</w:t>
            </w:r>
          </w:p>
          <w:p>
            <w:pPr>
              <w:pStyle w:val="4"/>
              <w:ind w:firstLine="482"/>
              <w:jc w:val="center"/>
            </w:pPr>
            <w:r>
              <w:rPr>
                <w:rFonts w:ascii="仿宋" w:hAnsi="仿宋" w:eastAsia="仿宋" w:cs="仿宋"/>
                <w:b/>
                <w:sz w:val="24"/>
              </w:rPr>
              <w:t>表1  白蚁防治服务（不含药物）采购最高限价</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578"/>
              <w:gridCol w:w="525"/>
              <w:gridCol w:w="630"/>
              <w:gridCol w:w="9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6"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1"/>
                    </w:rPr>
                    <w:t>类别</w:t>
                  </w:r>
                </w:p>
              </w:tc>
              <w:tc>
                <w:tcPr>
                  <w:tcW w:w="3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1"/>
                    </w:rPr>
                    <w:t>最高</w:t>
                  </w:r>
                  <w:r>
                    <w:br w:type="textWrapping"/>
                  </w:r>
                  <w:r>
                    <w:rPr>
                      <w:rFonts w:ascii="仿宋" w:hAnsi="仿宋" w:eastAsia="仿宋" w:cs="仿宋"/>
                      <w:b/>
                      <w:sz w:val="21"/>
                    </w:rPr>
                    <w:t>限价</w:t>
                  </w:r>
                </w:p>
              </w:tc>
              <w:tc>
                <w:tcPr>
                  <w:tcW w:w="11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1"/>
                    </w:rPr>
                    <w:t>费用结算方式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新建</w:t>
                  </w:r>
                  <w:r>
                    <w:br w:type="textWrapping"/>
                  </w:r>
                  <w:r>
                    <w:rPr>
                      <w:rFonts w:ascii="仿宋" w:hAnsi="仿宋" w:eastAsia="仿宋" w:cs="仿宋"/>
                      <w:sz w:val="21"/>
                    </w:rPr>
                    <w:t>预防</w:t>
                  </w:r>
                </w:p>
              </w:tc>
              <w:tc>
                <w:tcPr>
                  <w:tcW w:w="2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药物屏障</w:t>
                  </w:r>
                  <w:r>
                    <w:br w:type="textWrapping"/>
                  </w:r>
                  <w:r>
                    <w:rPr>
                      <w:rFonts w:ascii="仿宋" w:hAnsi="仿宋" w:eastAsia="仿宋" w:cs="仿宋"/>
                      <w:sz w:val="21"/>
                    </w:rPr>
                    <w:t>(元/m</w:t>
                  </w:r>
                  <w:r>
                    <w:rPr>
                      <w:rFonts w:ascii="仿宋" w:hAnsi="仿宋" w:eastAsia="仿宋" w:cs="仿宋"/>
                      <w:sz w:val="21"/>
                      <w:vertAlign w:val="superscript"/>
                    </w:rPr>
                    <w:t>2</w:t>
                  </w:r>
                  <w:r>
                    <w:rPr>
                      <w:rFonts w:ascii="仿宋" w:hAnsi="仿宋" w:eastAsia="仿宋" w:cs="仿宋"/>
                      <w:sz w:val="21"/>
                    </w:rPr>
                    <w:t>)</w:t>
                  </w:r>
                </w:p>
              </w:tc>
              <w:tc>
                <w:tcPr>
                  <w:tcW w:w="6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室内地坪</w:t>
                  </w:r>
                  <w:r>
                    <w:br w:type="textWrapping"/>
                  </w:r>
                  <w:r>
                    <w:rPr>
                      <w:rFonts w:ascii="仿宋" w:hAnsi="仿宋" w:eastAsia="仿宋" w:cs="仿宋"/>
                      <w:sz w:val="21"/>
                    </w:rPr>
                    <w:t>(含基坑)</w:t>
                  </w:r>
                </w:p>
              </w:tc>
              <w:tc>
                <w:tcPr>
                  <w:tcW w:w="301"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1.00</w:t>
                  </w:r>
                </w:p>
              </w:tc>
              <w:tc>
                <w:tcPr>
                  <w:tcW w:w="11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室内地坪(含基坑)施药面积×1×（1-下浮率）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vMerge w:val="continue"/>
                  <w:tcBorders>
                    <w:top w:val="nil"/>
                    <w:left w:val="single" w:color="000000" w:sz="4" w:space="0"/>
                    <w:bottom w:val="single" w:color="000000" w:sz="4" w:space="0"/>
                    <w:right w:val="single" w:color="000000" w:sz="4" w:space="0"/>
                  </w:tcBorders>
                </w:tcPr>
                <w:p/>
              </w:tc>
              <w:tc>
                <w:tcPr>
                  <w:tcW w:w="282" w:type="dxa"/>
                  <w:vMerge w:val="continue"/>
                  <w:tcBorders>
                    <w:top w:val="nil"/>
                    <w:left w:val="single" w:color="000000" w:sz="4" w:space="0"/>
                    <w:bottom w:val="single" w:color="000000" w:sz="4" w:space="0"/>
                    <w:right w:val="single" w:color="000000" w:sz="4" w:space="0"/>
                  </w:tcBorders>
                </w:tcPr>
                <w:p/>
              </w:tc>
              <w:tc>
                <w:tcPr>
                  <w:tcW w:w="6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散水</w:t>
                  </w:r>
                </w:p>
              </w:tc>
              <w:tc>
                <w:tcPr>
                  <w:tcW w:w="301" w:type="dxa"/>
                  <w:vMerge w:val="continue"/>
                  <w:tcBorders>
                    <w:top w:val="single" w:color="000000" w:sz="4" w:space="0"/>
                    <w:left w:val="single" w:color="000000" w:sz="4" w:space="0"/>
                    <w:bottom w:val="single" w:color="000000" w:sz="4" w:space="0"/>
                    <w:right w:val="single" w:color="000000" w:sz="4" w:space="0"/>
                  </w:tcBorders>
                </w:tcPr>
                <w:p/>
              </w:tc>
              <w:tc>
                <w:tcPr>
                  <w:tcW w:w="1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散水施药面积×1×（1-下浮率）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vMerge w:val="continue"/>
                  <w:tcBorders>
                    <w:top w:val="nil"/>
                    <w:left w:val="single" w:color="000000" w:sz="4" w:space="0"/>
                    <w:bottom w:val="single" w:color="000000" w:sz="4" w:space="0"/>
                    <w:right w:val="single" w:color="000000" w:sz="4" w:space="0"/>
                  </w:tcBorders>
                </w:tcPr>
                <w:p/>
              </w:tc>
              <w:tc>
                <w:tcPr>
                  <w:tcW w:w="282" w:type="dxa"/>
                  <w:vMerge w:val="continue"/>
                  <w:tcBorders>
                    <w:top w:val="nil"/>
                    <w:left w:val="single" w:color="000000" w:sz="4" w:space="0"/>
                    <w:bottom w:val="single" w:color="000000" w:sz="4" w:space="0"/>
                    <w:right w:val="single" w:color="000000" w:sz="4" w:space="0"/>
                  </w:tcBorders>
                </w:tcPr>
                <w:p/>
              </w:tc>
              <w:tc>
                <w:tcPr>
                  <w:tcW w:w="6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1-3层门窗洞</w:t>
                  </w:r>
                </w:p>
              </w:tc>
              <w:tc>
                <w:tcPr>
                  <w:tcW w:w="301" w:type="dxa"/>
                  <w:vMerge w:val="continue"/>
                  <w:tcBorders>
                    <w:top w:val="single" w:color="000000" w:sz="4" w:space="0"/>
                    <w:left w:val="single" w:color="000000" w:sz="4" w:space="0"/>
                    <w:bottom w:val="single" w:color="000000" w:sz="4" w:space="0"/>
                    <w:right w:val="single" w:color="000000" w:sz="4" w:space="0"/>
                  </w:tcBorders>
                </w:tcPr>
                <w:p/>
              </w:tc>
              <w:tc>
                <w:tcPr>
                  <w:tcW w:w="1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施工面积×1×（1-下浮率）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灭治(元/户)</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200</w:t>
                  </w:r>
                </w:p>
              </w:tc>
              <w:tc>
                <w:tcPr>
                  <w:tcW w:w="1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灭治数量×200×（1-下浮率）</w:t>
                  </w:r>
                </w:p>
              </w:tc>
            </w:tr>
          </w:tbl>
          <w:p>
            <w:pPr>
              <w:pStyle w:val="4"/>
              <w:jc w:val="both"/>
            </w:pPr>
            <w:r>
              <w:rPr>
                <w:rFonts w:ascii="仿宋" w:hAnsi="仿宋" w:eastAsia="仿宋" w:cs="仿宋"/>
                <w:b/>
                <w:sz w:val="24"/>
              </w:rPr>
              <w:t>表2  白蚁防治服务（含药物）采购最高限价</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578"/>
              <w:gridCol w:w="525"/>
              <w:gridCol w:w="630"/>
              <w:gridCol w:w="9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6"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1"/>
                    </w:rPr>
                    <w:t>类别</w:t>
                  </w:r>
                </w:p>
              </w:tc>
              <w:tc>
                <w:tcPr>
                  <w:tcW w:w="3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1"/>
                    </w:rPr>
                    <w:t>最高</w:t>
                  </w:r>
                  <w:r>
                    <w:br w:type="textWrapping"/>
                  </w:r>
                  <w:r>
                    <w:rPr>
                      <w:rFonts w:ascii="仿宋" w:hAnsi="仿宋" w:eastAsia="仿宋" w:cs="仿宋"/>
                      <w:b/>
                      <w:sz w:val="21"/>
                    </w:rPr>
                    <w:t>限价</w:t>
                  </w:r>
                </w:p>
              </w:tc>
              <w:tc>
                <w:tcPr>
                  <w:tcW w:w="11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1"/>
                    </w:rPr>
                    <w:t>费用结算方式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新建</w:t>
                  </w:r>
                  <w:r>
                    <w:br w:type="textWrapping"/>
                  </w:r>
                  <w:r>
                    <w:rPr>
                      <w:rFonts w:ascii="仿宋" w:hAnsi="仿宋" w:eastAsia="仿宋" w:cs="仿宋"/>
                      <w:sz w:val="21"/>
                    </w:rPr>
                    <w:t>预防</w:t>
                  </w:r>
                </w:p>
              </w:tc>
              <w:tc>
                <w:tcPr>
                  <w:tcW w:w="2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药物屏障</w:t>
                  </w:r>
                  <w:r>
                    <w:br w:type="textWrapping"/>
                  </w:r>
                  <w:r>
                    <w:rPr>
                      <w:rFonts w:ascii="仿宋" w:hAnsi="仿宋" w:eastAsia="仿宋" w:cs="仿宋"/>
                      <w:sz w:val="21"/>
                    </w:rPr>
                    <w:t>(元/m</w:t>
                  </w:r>
                  <w:r>
                    <w:rPr>
                      <w:rFonts w:ascii="仿宋" w:hAnsi="仿宋" w:eastAsia="仿宋" w:cs="仿宋"/>
                      <w:sz w:val="21"/>
                      <w:vertAlign w:val="superscript"/>
                    </w:rPr>
                    <w:t>2</w:t>
                  </w:r>
                  <w:r>
                    <w:rPr>
                      <w:rFonts w:ascii="仿宋" w:hAnsi="仿宋" w:eastAsia="仿宋" w:cs="仿宋"/>
                      <w:sz w:val="21"/>
                    </w:rPr>
                    <w:t>)</w:t>
                  </w:r>
                </w:p>
              </w:tc>
              <w:tc>
                <w:tcPr>
                  <w:tcW w:w="6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室内地坪</w:t>
                  </w:r>
                  <w:r>
                    <w:br w:type="textWrapping"/>
                  </w:r>
                  <w:r>
                    <w:rPr>
                      <w:rFonts w:ascii="仿宋" w:hAnsi="仿宋" w:eastAsia="仿宋" w:cs="仿宋"/>
                      <w:sz w:val="21"/>
                    </w:rPr>
                    <w:t>(含基坑)</w:t>
                  </w:r>
                </w:p>
              </w:tc>
              <w:tc>
                <w:tcPr>
                  <w:tcW w:w="301"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1.20</w:t>
                  </w:r>
                </w:p>
              </w:tc>
              <w:tc>
                <w:tcPr>
                  <w:tcW w:w="11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室内地坪(含基坑)施药面积×1.2×（1-下浮率）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vMerge w:val="continue"/>
                  <w:tcBorders>
                    <w:top w:val="nil"/>
                    <w:left w:val="single" w:color="000000" w:sz="4" w:space="0"/>
                    <w:bottom w:val="single" w:color="000000" w:sz="4" w:space="0"/>
                    <w:right w:val="single" w:color="000000" w:sz="4" w:space="0"/>
                  </w:tcBorders>
                </w:tcPr>
                <w:p/>
              </w:tc>
              <w:tc>
                <w:tcPr>
                  <w:tcW w:w="282" w:type="dxa"/>
                  <w:vMerge w:val="continue"/>
                  <w:tcBorders>
                    <w:top w:val="nil"/>
                    <w:left w:val="single" w:color="000000" w:sz="4" w:space="0"/>
                    <w:bottom w:val="single" w:color="000000" w:sz="4" w:space="0"/>
                    <w:right w:val="single" w:color="000000" w:sz="4" w:space="0"/>
                  </w:tcBorders>
                </w:tcPr>
                <w:p/>
              </w:tc>
              <w:tc>
                <w:tcPr>
                  <w:tcW w:w="6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散水</w:t>
                  </w:r>
                </w:p>
              </w:tc>
              <w:tc>
                <w:tcPr>
                  <w:tcW w:w="301" w:type="dxa"/>
                  <w:vMerge w:val="continue"/>
                  <w:tcBorders>
                    <w:top w:val="single" w:color="000000" w:sz="4" w:space="0"/>
                    <w:left w:val="single" w:color="000000" w:sz="4" w:space="0"/>
                    <w:bottom w:val="single" w:color="000000" w:sz="4" w:space="0"/>
                    <w:right w:val="single" w:color="000000" w:sz="4" w:space="0"/>
                  </w:tcBorders>
                </w:tcPr>
                <w:p/>
              </w:tc>
              <w:tc>
                <w:tcPr>
                  <w:tcW w:w="1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散水施药面积×1.2×（1-下浮率）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vMerge w:val="continue"/>
                  <w:tcBorders>
                    <w:top w:val="nil"/>
                    <w:left w:val="single" w:color="000000" w:sz="4" w:space="0"/>
                    <w:bottom w:val="single" w:color="000000" w:sz="4" w:space="0"/>
                    <w:right w:val="single" w:color="000000" w:sz="4" w:space="0"/>
                  </w:tcBorders>
                </w:tcPr>
                <w:p/>
              </w:tc>
              <w:tc>
                <w:tcPr>
                  <w:tcW w:w="282" w:type="dxa"/>
                  <w:vMerge w:val="continue"/>
                  <w:tcBorders>
                    <w:top w:val="nil"/>
                    <w:left w:val="single" w:color="000000" w:sz="4" w:space="0"/>
                    <w:bottom w:val="single" w:color="000000" w:sz="4" w:space="0"/>
                    <w:right w:val="single" w:color="000000" w:sz="4" w:space="0"/>
                  </w:tcBorders>
                </w:tcPr>
                <w:p/>
              </w:tc>
              <w:tc>
                <w:tcPr>
                  <w:tcW w:w="6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1-3层门窗洞</w:t>
                  </w:r>
                </w:p>
              </w:tc>
              <w:tc>
                <w:tcPr>
                  <w:tcW w:w="301" w:type="dxa"/>
                  <w:vMerge w:val="continue"/>
                  <w:tcBorders>
                    <w:top w:val="single" w:color="000000" w:sz="4" w:space="0"/>
                    <w:left w:val="single" w:color="000000" w:sz="4" w:space="0"/>
                    <w:bottom w:val="single" w:color="000000" w:sz="4" w:space="0"/>
                    <w:right w:val="single" w:color="000000" w:sz="4" w:space="0"/>
                  </w:tcBorders>
                </w:tcPr>
                <w:p/>
              </w:tc>
              <w:tc>
                <w:tcPr>
                  <w:tcW w:w="1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施工面积×1.2×（1-下浮率）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灭治(元/户)</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200</w:t>
                  </w:r>
                </w:p>
              </w:tc>
              <w:tc>
                <w:tcPr>
                  <w:tcW w:w="1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1"/>
                    </w:rPr>
                    <w:t>灭治数量×200×（1-下浮率）</w:t>
                  </w:r>
                </w:p>
              </w:tc>
            </w:tr>
          </w:tbl>
          <w:p>
            <w:pPr>
              <w:pStyle w:val="4"/>
              <w:ind w:firstLine="482"/>
              <w:jc w:val="both"/>
            </w:pPr>
            <w:r>
              <w:rPr>
                <w:rFonts w:ascii="仿宋" w:hAnsi="仿宋" w:eastAsia="仿宋" w:cs="仿宋"/>
                <w:b/>
                <w:sz w:val="24"/>
              </w:rPr>
              <w:t>二、服务内容及技术要求</w:t>
            </w:r>
          </w:p>
          <w:p>
            <w:pPr>
              <w:pStyle w:val="4"/>
              <w:ind w:firstLine="480"/>
              <w:jc w:val="both"/>
            </w:pPr>
            <w:r>
              <w:rPr>
                <w:rFonts w:ascii="仿宋" w:hAnsi="仿宋" w:eastAsia="仿宋" w:cs="仿宋"/>
                <w:sz w:val="24"/>
              </w:rPr>
              <w:t>（一）新建房屋白蚁预防施工服务：成都市龙泉驿区范围内的新建房屋白蚁预防施工服务。</w:t>
            </w:r>
          </w:p>
          <w:p>
            <w:pPr>
              <w:pStyle w:val="4"/>
              <w:ind w:firstLine="480"/>
              <w:jc w:val="both"/>
            </w:pPr>
            <w:r>
              <w:rPr>
                <w:rFonts w:ascii="仿宋" w:hAnsi="仿宋" w:eastAsia="仿宋" w:cs="仿宋"/>
                <w:sz w:val="24"/>
              </w:rPr>
              <w:t>1.采用药物屏障技术进行新建房屋白蚁预防的，药物屏障服务预计施药面积为68.8万㎡；</w:t>
            </w:r>
          </w:p>
          <w:p>
            <w:pPr>
              <w:pStyle w:val="4"/>
              <w:ind w:firstLine="480"/>
              <w:jc w:val="both"/>
            </w:pPr>
            <w:r>
              <w:rPr>
                <w:rFonts w:ascii="仿宋" w:hAnsi="仿宋" w:eastAsia="仿宋" w:cs="仿宋"/>
                <w:sz w:val="24"/>
              </w:rPr>
              <w:t xml:space="preserve">2.白蚁防治药物成分和含量要求。采购人按相关标准提供合格的白蚁防治所需的白蚁防治药物，采购人未提供药物的情况下，供应商须自备药物，药物要求：防治对象为“白蚁”的联苯菊酯悬浮剂、联苯菊酯水乳剂、吡虫啉，符合《中华人民共和国农药管理条例》和国家现行有关产品标准的规定，使用的防治药物应具备农药三证(①农药登记证；②生产批准证或生产许可证；③企业标准)，具有明确标签、说明书和合格证。严禁使用国家明令禁止生产、撤销登记或禁止使用的药物，并承诺回收全部农药包装废弃物并合法处置；（供应商响应时须对此提供承诺函，格式自拟）。   </w:t>
            </w:r>
          </w:p>
          <w:p>
            <w:pPr>
              <w:pStyle w:val="4"/>
              <w:ind w:firstLine="480"/>
              <w:jc w:val="both"/>
            </w:pPr>
            <w:r>
              <w:rPr>
                <w:rFonts w:ascii="仿宋" w:hAnsi="仿宋" w:eastAsia="仿宋" w:cs="仿宋"/>
                <w:sz w:val="24"/>
              </w:rPr>
              <w:t>3.供应商须在投标文件中提供《安全承诺书》，格式自拟，应包含但不限于以下内容：</w:t>
            </w:r>
          </w:p>
          <w:p>
            <w:pPr>
              <w:pStyle w:val="4"/>
              <w:ind w:firstLine="480"/>
              <w:jc w:val="both"/>
            </w:pPr>
            <w:r>
              <w:rPr>
                <w:rFonts w:ascii="仿宋" w:hAnsi="仿宋" w:eastAsia="仿宋" w:cs="仿宋"/>
                <w:sz w:val="24"/>
              </w:rPr>
              <w:t>3.1承诺在白蚁防治期间，严格按照相关法律法规，明确安全责任，服从相关主管部门的日常管理和检查。</w:t>
            </w:r>
          </w:p>
          <w:p>
            <w:pPr>
              <w:pStyle w:val="4"/>
              <w:ind w:firstLine="480"/>
              <w:jc w:val="both"/>
            </w:pPr>
            <w:r>
              <w:rPr>
                <w:rFonts w:ascii="仿宋" w:hAnsi="仿宋" w:eastAsia="仿宋" w:cs="仿宋"/>
                <w:sz w:val="24"/>
              </w:rPr>
              <w:t>3.2承诺对本单位白蚁防治人员进行安全教育，有健全的安全管理制度和培训教育记录，保证白蚁防治人员安全、规范操作。</w:t>
            </w:r>
          </w:p>
          <w:p>
            <w:pPr>
              <w:pStyle w:val="4"/>
              <w:ind w:firstLine="480"/>
              <w:jc w:val="both"/>
            </w:pPr>
            <w:r>
              <w:rPr>
                <w:rFonts w:ascii="仿宋" w:hAnsi="仿宋" w:eastAsia="仿宋" w:cs="仿宋"/>
                <w:sz w:val="24"/>
              </w:rPr>
              <w:t>3.3承诺文明防治，保证现场不出现安全事故，设立现场安全负责人，向相关主管部门解释实施情况，保证白蚁防治人员和主管单位及第三方人员、财产安全。如因防治服务发生任何意外或造成人员伤亡，由成交供应商完全负责。</w:t>
            </w:r>
          </w:p>
          <w:p>
            <w:pPr>
              <w:pStyle w:val="4"/>
              <w:ind w:firstLine="480"/>
              <w:jc w:val="both"/>
            </w:pPr>
            <w:r>
              <w:rPr>
                <w:rFonts w:ascii="仿宋" w:hAnsi="仿宋" w:eastAsia="仿宋" w:cs="仿宋"/>
                <w:sz w:val="24"/>
              </w:rPr>
              <w:t>4.技术标准</w:t>
            </w:r>
          </w:p>
          <w:p>
            <w:pPr>
              <w:pStyle w:val="4"/>
              <w:ind w:firstLine="480"/>
              <w:jc w:val="both"/>
            </w:pPr>
            <w:r>
              <w:rPr>
                <w:rFonts w:ascii="仿宋" w:hAnsi="仿宋" w:eastAsia="仿宋" w:cs="仿宋"/>
                <w:sz w:val="24"/>
              </w:rPr>
              <w:t>中华人民共和国行业标准《房屋白蚁预防技术规程》（JGJ/T 245-2011）、四川省工程建设地方标准《白蚁防治技术规程》（DB51/T5012-2013）和四川省工程建设地方标准《四川省城镇房屋白蚁预防工程药物土壤屏障检测和评价技术标准》（DBJ51/T 194-2022）。</w:t>
            </w:r>
          </w:p>
          <w:p>
            <w:pPr>
              <w:pStyle w:val="4"/>
              <w:ind w:firstLine="480"/>
              <w:jc w:val="both"/>
            </w:pPr>
            <w:r>
              <w:rPr>
                <w:rFonts w:ascii="仿宋" w:hAnsi="仿宋" w:eastAsia="仿宋" w:cs="仿宋"/>
                <w:sz w:val="24"/>
              </w:rPr>
              <w:t>（二）房屋白蚁灭治施工服务：成都市龙泉驿区范围内的房屋白蚁灭治施工服务。2024年包治期内的房屋白蚁灭治施工服务预计处理户数为560户。</w:t>
            </w:r>
          </w:p>
          <w:p>
            <w:pPr>
              <w:pStyle w:val="4"/>
              <w:ind w:firstLine="480"/>
              <w:jc w:val="both"/>
            </w:pPr>
            <w:r>
              <w:rPr>
                <w:rFonts w:ascii="仿宋" w:hAnsi="仿宋" w:eastAsia="仿宋" w:cs="仿宋"/>
                <w:sz w:val="24"/>
              </w:rPr>
              <w:t>（三）供应商应具备开展白蚁防治施工专用的车辆至少1辆及设施设备至少1个（专用喷洒或喷粉设备）</w:t>
            </w:r>
          </w:p>
          <w:p>
            <w:pPr>
              <w:pStyle w:val="4"/>
              <w:ind w:firstLine="480"/>
              <w:jc w:val="both"/>
            </w:pPr>
            <w:r>
              <w:rPr>
                <w:rFonts w:ascii="仿宋" w:hAnsi="仿宋" w:eastAsia="仿宋" w:cs="仿宋"/>
                <w:sz w:val="24"/>
              </w:rPr>
              <w:t>备注：</w:t>
            </w:r>
          </w:p>
          <w:p>
            <w:pPr>
              <w:pStyle w:val="4"/>
              <w:ind w:firstLine="480"/>
              <w:jc w:val="both"/>
            </w:pPr>
            <w:r>
              <w:rPr>
                <w:rFonts w:ascii="仿宋" w:hAnsi="仿宋" w:eastAsia="仿宋" w:cs="仿宋"/>
                <w:sz w:val="24"/>
              </w:rPr>
              <w:t>车辆：（1）车辆为自有机动车辆的需提供提供行驶证复印件、购买发票、机动车登记证复印件，机动车辆为租赁车辆还需提供租赁合同复印件；（2）评审要求的复印件可用扫描件代替。</w:t>
            </w:r>
          </w:p>
          <w:p>
            <w:pPr>
              <w:pStyle w:val="4"/>
              <w:ind w:firstLine="480"/>
              <w:jc w:val="both"/>
            </w:pPr>
            <w:r>
              <w:rPr>
                <w:rFonts w:ascii="仿宋" w:hAnsi="仿宋" w:eastAsia="仿宋" w:cs="仿宋"/>
                <w:sz w:val="24"/>
              </w:rPr>
              <w:t>专用喷洒或喷粉设备：（1）提供购买凭证或发票复印件，租赁设备还需提供租赁合同复印件；（2）评审要求的复印件可用扫描件代替。</w:t>
            </w:r>
          </w:p>
          <w:p>
            <w:pPr>
              <w:pStyle w:val="4"/>
              <w:ind w:firstLine="480"/>
              <w:jc w:val="both"/>
            </w:pPr>
            <w:r>
              <w:rPr>
                <w:rFonts w:ascii="仿宋" w:hAnsi="仿宋" w:eastAsia="仿宋" w:cs="仿宋"/>
                <w:sz w:val="24"/>
              </w:rPr>
              <w:t>（四）供应商在采用药物屏障技术进行新建房屋白蚁预防施工时须对每个工程每次施工的过程进行影像收集，并做好标记及时提交至采购人。</w:t>
            </w:r>
          </w:p>
          <w:p>
            <w:pPr>
              <w:pStyle w:val="4"/>
              <w:ind w:firstLine="480"/>
              <w:jc w:val="both"/>
            </w:pPr>
            <w:r>
              <w:rPr>
                <w:rFonts w:ascii="仿宋" w:hAnsi="仿宋" w:eastAsia="仿宋" w:cs="仿宋"/>
                <w:sz w:val="24"/>
              </w:rPr>
              <w:t>（五）强化白蚁灭治效率和水平的提升，尤其是在每年白蚁分飞期间(3月-5月)，在采购人将灭治任务分配给供应商后，供应商须于24小时内(含24小时)联系受蚁害的业主，同时在采购人将灭治任务分配给供应商后的3天内(含3天)上门对其蚁害完成灭治处理。</w:t>
            </w:r>
          </w:p>
          <w:p>
            <w:pPr>
              <w:pStyle w:val="4"/>
              <w:ind w:firstLine="480"/>
              <w:jc w:val="both"/>
            </w:pPr>
            <w:r>
              <w:rPr>
                <w:rFonts w:ascii="仿宋" w:hAnsi="仿宋" w:eastAsia="仿宋" w:cs="仿宋"/>
                <w:sz w:val="24"/>
              </w:rPr>
              <w:t>（六）人员要求：供应商拟派团队人员应不少于6人，其中至少明确1名项目负责人。</w:t>
            </w:r>
          </w:p>
          <w:p>
            <w:pPr>
              <w:pStyle w:val="4"/>
              <w:ind w:firstLine="480"/>
              <w:jc w:val="both"/>
            </w:pPr>
            <w:r>
              <w:rPr>
                <w:rFonts w:ascii="仿宋" w:hAnsi="仿宋" w:eastAsia="仿宋" w:cs="仿宋"/>
                <w:sz w:val="24"/>
              </w:rPr>
              <w:t>三</w:t>
            </w:r>
            <w:r>
              <w:rPr>
                <w:rFonts w:ascii="仿宋" w:hAnsi="仿宋" w:eastAsia="仿宋" w:cs="仿宋"/>
                <w:b/>
                <w:sz w:val="24"/>
              </w:rPr>
              <w:t>、服务其他要求</w:t>
            </w:r>
          </w:p>
          <w:p>
            <w:pPr>
              <w:pStyle w:val="4"/>
              <w:ind w:firstLine="480"/>
              <w:jc w:val="both"/>
            </w:pPr>
            <w:r>
              <w:rPr>
                <w:rFonts w:ascii="仿宋" w:hAnsi="仿宋" w:eastAsia="仿宋" w:cs="仿宋"/>
                <w:sz w:val="24"/>
              </w:rPr>
              <w:t>签订政府采购合同后，由采购人根据实际情况派遣任务。采购人按1个月为一个考核周期对该供应商服务内容进行考核，若考核合格则采购人根据服务量和考核结果支付该考核周期服务费，若有任意一项服务内容考核得分＜60分，则直接不支付该考核周期对应项全部白蚁防治服务费，并与该供应商解除白蚁防治服务合同，取消其续签合同的权利，由采购人另行组织采购确定服务供应商。采购人会提前将合同解除相关情况书面告知该供应商，在合同解除前，该供应商须继续提供白蚁防治服务工作及与另行确定的服务供应商做好移交工作。另行确定的服务供应商正式入场后，前期已签订的白蚁防治服务合同终止。采购人按考核结果60分的标准支付其过渡期间的白蚁防治服务费(《房屋白蚁防治服务质量考核制度》第三十四条)。</w:t>
            </w:r>
          </w:p>
          <w:p>
            <w:pPr>
              <w:pStyle w:val="4"/>
              <w:ind w:firstLine="482"/>
              <w:jc w:val="both"/>
            </w:pPr>
            <w:r>
              <w:rPr>
                <w:rFonts w:ascii="仿宋" w:hAnsi="仿宋" w:eastAsia="仿宋" w:cs="仿宋"/>
                <w:b/>
                <w:sz w:val="24"/>
              </w:rPr>
              <w:t>四、考核制度</w:t>
            </w:r>
          </w:p>
          <w:p>
            <w:pPr>
              <w:pStyle w:val="4"/>
              <w:ind w:firstLine="480"/>
              <w:jc w:val="both"/>
            </w:pPr>
            <w:r>
              <w:rPr>
                <w:rFonts w:ascii="仿宋" w:hAnsi="仿宋" w:eastAsia="仿宋" w:cs="仿宋"/>
                <w:sz w:val="24"/>
              </w:rPr>
              <w:t>主要参照相关技术标准：中华人民共和国行业标准《房屋白蚁预防技术规程》（JGJ/T 245-2011）、四川省工程建设地方标准《白蚁防治技术规程》（DB51/T5012-2013）和四川省工程建设地方标准《四川省城镇房屋白蚁预防工程药物土壤屏障检测和评价技术标准》（DBJ51/T 194-2022）及成都市房屋安全事务中心制定的有关考核制度执行。</w:t>
            </w:r>
          </w:p>
          <w:p>
            <w:pPr>
              <w:pStyle w:val="4"/>
              <w:ind w:firstLine="480"/>
              <w:jc w:val="both"/>
            </w:pPr>
            <w:r>
              <w:t xml:space="preserve"> </w:t>
            </w:r>
          </w:p>
        </w:tc>
      </w:tr>
    </w:tbl>
    <w:p>
      <w:pPr>
        <w:pStyle w:val="4"/>
        <w:jc w:val="left"/>
        <w:outlineLvl w:val="2"/>
      </w:pPr>
      <w:r>
        <w:rPr>
          <w:b/>
          <w:sz w:val="28"/>
        </w:rPr>
        <w:t>3.4.服务要求</w:t>
      </w:r>
    </w:p>
    <w:p>
      <w:pPr>
        <w:pStyle w:val="4"/>
        <w:jc w:val="left"/>
        <w:outlineLvl w:val="3"/>
      </w:pPr>
      <w:r>
        <w:rPr>
          <w:b/>
          <w:sz w:val="24"/>
        </w:rPr>
        <w:t>3.4.1.服务内容要求</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 xml:space="preserve"> 序号</w:t>
            </w:r>
          </w:p>
        </w:tc>
        <w:tc>
          <w:tcPr>
            <w:tcW w:w="2076" w:type="dxa"/>
          </w:tcPr>
          <w:p>
            <w:pPr>
              <w:pStyle w:val="4"/>
              <w:jc w:val="left"/>
            </w:pPr>
            <w:r>
              <w:t xml:space="preserve"> 符号标识</w:t>
            </w:r>
          </w:p>
        </w:tc>
        <w:tc>
          <w:tcPr>
            <w:tcW w:w="2076" w:type="dxa"/>
          </w:tcPr>
          <w:p>
            <w:pPr>
              <w:pStyle w:val="4"/>
              <w:jc w:val="left"/>
            </w:pPr>
            <w:r>
              <w:t xml:space="preserve"> 要求名称</w:t>
            </w:r>
          </w:p>
        </w:tc>
        <w:tc>
          <w:tcPr>
            <w:tcW w:w="2076" w:type="dxa"/>
          </w:tcPr>
          <w:p>
            <w:pPr>
              <w:pStyle w:val="4"/>
              <w:jc w:val="left"/>
            </w:pPr>
            <w:r>
              <w:t xml:space="preserve"> 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tc>
        <w:tc>
          <w:tcPr>
            <w:tcW w:w="2076" w:type="dxa"/>
          </w:tcPr>
          <w:p>
            <w:pPr>
              <w:pStyle w:val="4"/>
              <w:jc w:val="left"/>
            </w:pPr>
            <w:r>
              <w:t>其他要求</w:t>
            </w:r>
          </w:p>
        </w:tc>
        <w:tc>
          <w:tcPr>
            <w:tcW w:w="2076" w:type="dxa"/>
          </w:tcPr>
          <w:p>
            <w:pPr>
              <w:pStyle w:val="4"/>
              <w:ind w:firstLine="422"/>
              <w:jc w:val="both"/>
            </w:pPr>
            <w:r>
              <w:rPr>
                <w:rFonts w:ascii="仿宋" w:hAnsi="仿宋" w:eastAsia="仿宋" w:cs="仿宋"/>
                <w:sz w:val="24"/>
              </w:rPr>
              <w:t>1、供应商需按招标文件要求提供车辆及设备证明材料。</w:t>
            </w:r>
          </w:p>
          <w:p>
            <w:pPr>
              <w:pStyle w:val="4"/>
              <w:ind w:firstLine="480"/>
              <w:jc w:val="both"/>
            </w:pPr>
            <w:r>
              <w:rPr>
                <w:rFonts w:ascii="仿宋" w:hAnsi="仿宋" w:eastAsia="仿宋" w:cs="仿宋"/>
                <w:sz w:val="24"/>
              </w:rPr>
              <w:t>2、供应商需按招标文件要求提供人员证明材料。</w:t>
            </w:r>
          </w:p>
          <w:p>
            <w:pPr>
              <w:pStyle w:val="4"/>
              <w:ind w:firstLine="480"/>
              <w:jc w:val="both"/>
            </w:pPr>
            <w:r>
              <w:rPr>
                <w:rFonts w:ascii="仿宋" w:hAnsi="仿宋" w:eastAsia="仿宋" w:cs="仿宋"/>
                <w:sz w:val="24"/>
              </w:rPr>
              <w:t>3、供应商需为本项目提供服务方案，至少包括：①白蚁防治服务总体技术方案；②白蚁防治服务实施方案；③服务质量保证和承诺；④工作进度计划及保证措施。</w:t>
            </w:r>
          </w:p>
          <w:p>
            <w:pPr>
              <w:pStyle w:val="4"/>
              <w:ind w:firstLine="480"/>
              <w:jc w:val="both"/>
            </w:pPr>
            <w:r>
              <w:rPr>
                <w:rFonts w:ascii="仿宋" w:hAnsi="仿宋" w:eastAsia="仿宋" w:cs="仿宋"/>
                <w:sz w:val="24"/>
              </w:rPr>
              <w:t>4、供应商需为本项目提供应急方案，至少包括：①应急事件分析；②应急处理实施流程；③应急响应方式；④应急处理过程中的安全防护措施。</w:t>
            </w:r>
          </w:p>
          <w:p>
            <w:pPr>
              <w:pStyle w:val="4"/>
              <w:ind w:firstLine="480"/>
              <w:jc w:val="both"/>
            </w:pPr>
            <w:r>
              <w:rPr>
                <w:rFonts w:ascii="仿宋" w:hAnsi="仿宋" w:eastAsia="仿宋" w:cs="仿宋"/>
                <w:sz w:val="24"/>
              </w:rPr>
              <w:t>5、供应商按要求提供业绩证明材料。</w:t>
            </w:r>
          </w:p>
        </w:tc>
      </w:tr>
    </w:tbl>
    <w:p>
      <w:pPr>
        <w:pStyle w:val="4"/>
        <w:jc w:val="left"/>
        <w:outlineLvl w:val="3"/>
      </w:pPr>
      <w:r>
        <w:rPr>
          <w:b/>
          <w:sz w:val="24"/>
        </w:rPr>
        <w:t>3.4.2.商务要求</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符号标识</w:t>
            </w:r>
          </w:p>
        </w:tc>
        <w:tc>
          <w:tcPr>
            <w:tcW w:w="2076" w:type="dxa"/>
          </w:tcPr>
          <w:p>
            <w:pPr>
              <w:pStyle w:val="4"/>
              <w:jc w:val="left"/>
            </w:pPr>
            <w:r>
              <w:t>商务要求名称</w:t>
            </w:r>
          </w:p>
        </w:tc>
        <w:tc>
          <w:tcPr>
            <w:tcW w:w="2076" w:type="dxa"/>
          </w:tcPr>
          <w:p>
            <w:pPr>
              <w:pStyle w:val="4"/>
              <w:jc w:val="left"/>
            </w:pPr>
            <w: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服务期限</w:t>
            </w:r>
          </w:p>
        </w:tc>
        <w:tc>
          <w:tcPr>
            <w:tcW w:w="2076" w:type="dxa"/>
          </w:tcPr>
          <w:p>
            <w:pPr>
              <w:pStyle w:val="4"/>
              <w:jc w:val="left"/>
            </w:pPr>
            <w: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服务地点</w:t>
            </w:r>
          </w:p>
        </w:tc>
        <w:tc>
          <w:tcPr>
            <w:tcW w:w="2076" w:type="dxa"/>
          </w:tcPr>
          <w:p>
            <w:pPr>
              <w:pStyle w:val="4"/>
              <w:jc w:val="left"/>
            </w:pPr>
            <w:r>
              <w:t>采购人指定地点（龙泉驿区范围内）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验收、交付标准和方法</w:t>
            </w:r>
          </w:p>
        </w:tc>
        <w:tc>
          <w:tcPr>
            <w:tcW w:w="2076" w:type="dxa"/>
          </w:tcPr>
          <w:p>
            <w:pPr>
              <w:pStyle w:val="4"/>
              <w:jc w:val="left"/>
            </w:pPr>
            <w:r>
              <w:t>按国家有关规定以及采购文件的质量要求和技术指标、中标供应商的投标文件及承诺与合同约定标准进行验收；采购人、中标供应商双方如对质量要求和技术指标的约定标准有相互抵触或异议的事项，由采购人在采购文件与投标文件中按质量要求和技术指标比较优胜的原则确定该项的约定标准进行验收。其他未尽事宜参照《财政部关于进一步加强政府采购需求和履约验收管理的指导意见》(财库〔2016〕205号))的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支付方式</w:t>
            </w:r>
          </w:p>
        </w:tc>
        <w:tc>
          <w:tcPr>
            <w:tcW w:w="2076" w:type="dxa"/>
          </w:tcPr>
          <w:p>
            <w:pPr>
              <w:pStyle w:val="4"/>
              <w:jc w:val="left"/>
            </w:pPr>
            <w: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支付约定</w:t>
            </w:r>
          </w:p>
        </w:tc>
        <w:tc>
          <w:tcPr>
            <w:tcW w:w="2076" w:type="dxa"/>
          </w:tcPr>
          <w:p>
            <w:pPr>
              <w:pStyle w:val="4"/>
              <w:jc w:val="left"/>
            </w:pPr>
            <w:r>
              <w:t>1、按月支付。采购人根据《房屋白蚁防治服务质量考核制度》对中标供应商进行考核，每1个月为一个考核周期，考核合格后由采购人根据服务量和考核结果支付该考核周期内的服务费，每次结算时应由中标供应商提供结算依据(施工记录)，经采购人审核并出具合法有效完整的完税发票及凭证资料后，达到付款条件起10日内，据实情况说明为支付该周期服务费的95%。在服务缺陷责任期(自该考核周期服务验收合格之日起计算缺陷责任期)满2年后，采购人在中标供应商未违反有关规定且对应考核周期内的服务验收合格的情况下支付剩余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违约责任与解决争议的方法</w:t>
            </w:r>
          </w:p>
        </w:tc>
        <w:tc>
          <w:tcPr>
            <w:tcW w:w="2076" w:type="dxa"/>
          </w:tcPr>
          <w:p>
            <w:pPr>
              <w:pStyle w:val="4"/>
              <w:jc w:val="left"/>
            </w:pPr>
            <w:r>
              <w:t>（一）违约责任 1.供应商必须遵守采购合同并执行合同中的各项规定，保证采购合同的正常履行。 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 3.供应商必须遵守采购合同按时完成合同相关工作，若由于供应商原因导致合同迟延履行，供应商应承担采购合同中约定的履约保证金。 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 5.有下列情形之一的，当事人可以解除合同： 5.1因不可抗力致使不能实现合同目的(由于非供应商或采购人原因，致使合同实质性条款无法实现的)； 5.2当事人一方迟延履行主要债务，经催告后在合理期限内仍未履行； 5.3当事人一方迟延履行债务或者有其他违约行为致使不能实现合同目的； 5.4法律规定的其他情形。 (二)解决争议的方法 1.因服务的质量问题发生争议，由采购人或其指定的第三方机构进行质量鉴定。服务符合标准的，鉴定费由采购人承担；服务不符合质量标准的，鉴定费由供应商承担。 2.合同履行期间，若双方发生争议，可协商或由有关部门调解解决，协商或调解不成的， 向采购人所在地人民法院起诉。</w:t>
            </w:r>
          </w:p>
        </w:tc>
      </w:tr>
    </w:tbl>
    <w:p>
      <w:pPr>
        <w:pStyle w:val="4"/>
        <w:jc w:val="left"/>
        <w:outlineLvl w:val="2"/>
      </w:pPr>
      <w:r>
        <w:rPr>
          <w:b/>
          <w:sz w:val="28"/>
        </w:rPr>
        <w:t>3.5.其他要求</w:t>
      </w:r>
    </w:p>
    <w:p>
      <w:pPr>
        <w:pStyle w:val="4"/>
        <w:ind w:firstLine="480"/>
        <w:jc w:val="left"/>
      </w:pPr>
      <w:r>
        <w:t>采购包1：</w:t>
      </w:r>
    </w:p>
    <w:p>
      <w:pPr>
        <w:pStyle w:val="4"/>
        <w:jc w:val="left"/>
      </w:pPr>
      <w:r>
        <w:t>★一补充商务条款：1、本项目采购预算80万元/年；2、服务期限（以此为准）：三年。合同一年一签，考核通过且财政资金落实后签订下一年度合同。二、特别说明：（本说明无需供应商进行响应，按要求报价即可）：1、本项目采用统一下浮率形式报价，即只有一个下浮率。基于“单价最高限价”进行下浮，0%≤供应商所报的统一下浮率＜100%。（统一下浮率定义：如“单价最高限价”为100元，中标人的统一下浮率为20%，则该产品的中标单价金额=100×（1-20%），即80元。）2、合同签订总金额暂定为项目的预算价，但最终以实际数量进行据实结算，最终结算金额不超过项目的采购预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ZTk1NjM2MzY3NzYwY2FmNGUzMTcxNTM3NTEzM2YifQ=="/>
  </w:docVars>
  <w:rsids>
    <w:rsidRoot w:val="00000000"/>
    <w:rsid w:val="65BF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2024-06-26T08:05:52Z</dcterms:created>
  <dc:creator>Administrator</dc:creator>
  <cp:lastModifiedBy>憨*^o^*憨</cp:lastModifiedBy>
  <dcterms:modified xsi:type="dcterms:W3CDTF">2024-06-26T08:06:02Z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E0565150E37E440FA173731006940A11_12</vt:lpwstr>
  </property>
</Properties>
</file>