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70" w:firstLineChars="8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第四部分  项目说明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bookmarkStart w:id="0" w:name="_Toc14168424"/>
      <w:bookmarkStart w:id="1" w:name="_Toc13826001"/>
      <w:bookmarkStart w:id="2" w:name="_Toc450661208"/>
      <w:bookmarkStart w:id="3" w:name="_Toc376519828"/>
      <w:bookmarkStart w:id="4" w:name="_Toc429301346"/>
      <w:r>
        <w:rPr>
          <w:rFonts w:hint="eastAsia" w:ascii="宋体" w:hAnsi="宋体" w:eastAsia="宋体" w:cs="宋体"/>
          <w:b/>
          <w:bCs w:val="0"/>
          <w:kern w:val="0"/>
          <w:sz w:val="24"/>
          <w:szCs w:val="24"/>
          <w:highlight w:val="none"/>
          <w:lang w:val="en-US" w:eastAsia="zh-CN"/>
        </w:rPr>
        <w:t>一、项目概况：</w:t>
      </w:r>
    </w:p>
    <w:p>
      <w:pPr>
        <w:keepNext w:val="0"/>
        <w:keepLines w:val="0"/>
        <w:pageBreakBefore w:val="0"/>
        <w:kinsoku/>
        <w:wordWrap/>
        <w:overflowPunct/>
        <w:topLinePunct w:val="0"/>
        <w:autoSpaceDE/>
        <w:autoSpaceDN/>
        <w:bidi w:val="0"/>
        <w:snapToGrid/>
        <w:spacing w:line="360" w:lineRule="auto"/>
        <w:ind w:firstLine="480"/>
        <w:jc w:val="both"/>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1、本项目为</w:t>
      </w:r>
      <w:r>
        <w:rPr>
          <w:rFonts w:hint="eastAsia" w:ascii="宋体" w:hAnsi="宋体" w:cs="宋体"/>
          <w:b/>
          <w:bCs w:val="0"/>
          <w:kern w:val="0"/>
          <w:sz w:val="24"/>
          <w:szCs w:val="24"/>
          <w:highlight w:val="none"/>
          <w:lang w:val="en-US" w:eastAsia="zh-CN"/>
        </w:rPr>
        <w:t>济宁市第一人民医院全院消杀服务项目</w:t>
      </w:r>
      <w:r>
        <w:rPr>
          <w:rFonts w:hint="eastAsia" w:ascii="宋体" w:hAnsi="宋体" w:eastAsia="宋体" w:cs="宋体"/>
          <w:b/>
          <w:bCs w:val="0"/>
          <w:kern w:val="0"/>
          <w:sz w:val="24"/>
          <w:szCs w:val="24"/>
          <w:highlight w:val="none"/>
          <w:lang w:val="en-US" w:eastAsia="zh-CN"/>
        </w:rPr>
        <w:t>，主要包括：三个院区消杀服务。</w:t>
      </w:r>
    </w:p>
    <w:p>
      <w:pPr>
        <w:keepNext w:val="0"/>
        <w:keepLines w:val="0"/>
        <w:pageBreakBefore w:val="0"/>
        <w:kinsoku/>
        <w:wordWrap/>
        <w:overflowPunct/>
        <w:topLinePunct w:val="0"/>
        <w:autoSpaceDE/>
        <w:autoSpaceDN/>
        <w:bidi w:val="0"/>
        <w:snapToGrid/>
        <w:spacing w:line="360" w:lineRule="auto"/>
        <w:ind w:firstLine="480"/>
        <w:jc w:val="both"/>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2、包组划分及预算：20万元，共一个包组。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二、服务内容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消杀服务</w:t>
      </w:r>
      <w:r>
        <w:rPr>
          <w:rFonts w:hint="eastAsia" w:ascii="宋体" w:hAnsi="宋体" w:eastAsia="宋体" w:cs="宋体"/>
          <w:color w:val="000000"/>
          <w:sz w:val="24"/>
          <w:szCs w:val="24"/>
          <w:highlight w:val="none"/>
          <w:lang w:val="en-US" w:eastAsia="zh-CN"/>
        </w:rPr>
        <w:t>范围</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w:t>
      </w:r>
      <w:r>
        <w:rPr>
          <w:rFonts w:hint="eastAsia" w:ascii="宋体" w:hAnsi="宋体" w:cs="宋体"/>
          <w:color w:val="000000"/>
          <w:sz w:val="24"/>
          <w:szCs w:val="24"/>
          <w:highlight w:val="none"/>
          <w:lang w:val="en-US" w:eastAsia="zh-CN"/>
        </w:rPr>
        <w:t>济宁市第一人民医院全院消杀服务项目</w:t>
      </w:r>
      <w:r>
        <w:rPr>
          <w:rFonts w:hint="eastAsia" w:ascii="宋体" w:hAnsi="宋体" w:eastAsia="宋体" w:cs="宋体"/>
          <w:color w:val="000000"/>
          <w:sz w:val="24"/>
          <w:szCs w:val="24"/>
          <w:highlight w:val="none"/>
        </w:rPr>
        <w:t>。主要包括：</w:t>
      </w:r>
      <w:r>
        <w:rPr>
          <w:rFonts w:hint="eastAsia" w:ascii="宋体" w:hAnsi="宋体" w:eastAsia="宋体" w:cs="宋体"/>
          <w:color w:val="000000"/>
          <w:sz w:val="24"/>
          <w:szCs w:val="24"/>
          <w:highlight w:val="none"/>
          <w:lang w:val="en-US" w:eastAsia="zh-CN"/>
        </w:rPr>
        <w:t>总院区</w:t>
      </w:r>
      <w:r>
        <w:rPr>
          <w:rFonts w:hint="eastAsia" w:ascii="宋体" w:hAnsi="宋体" w:eastAsia="宋体" w:cs="宋体"/>
          <w:color w:val="000000"/>
          <w:sz w:val="24"/>
          <w:szCs w:val="24"/>
          <w:highlight w:val="none"/>
        </w:rPr>
        <w:t>院内全部建筑、院区</w:t>
      </w:r>
      <w:r>
        <w:rPr>
          <w:rFonts w:hint="eastAsia" w:ascii="宋体" w:hAnsi="宋体" w:eastAsia="宋体" w:cs="宋体"/>
          <w:color w:val="000000"/>
          <w:sz w:val="24"/>
          <w:szCs w:val="24"/>
          <w:highlight w:val="none"/>
          <w:lang w:val="en-US" w:eastAsia="zh-CN"/>
        </w:rPr>
        <w:t>外</w:t>
      </w:r>
      <w:r>
        <w:rPr>
          <w:rFonts w:hint="eastAsia" w:ascii="宋体" w:hAnsi="宋体" w:eastAsia="宋体" w:cs="宋体"/>
          <w:color w:val="000000"/>
          <w:sz w:val="24"/>
          <w:szCs w:val="24"/>
          <w:highlight w:val="none"/>
        </w:rPr>
        <w:t>环境</w:t>
      </w:r>
      <w:r>
        <w:rPr>
          <w:rFonts w:hint="eastAsia" w:ascii="宋体" w:hAnsi="宋体" w:eastAsia="宋体" w:cs="宋体"/>
          <w:color w:val="000000"/>
          <w:sz w:val="24"/>
          <w:szCs w:val="24"/>
          <w:highlight w:val="none"/>
          <w:lang w:val="en-US" w:eastAsia="zh-CN"/>
        </w:rPr>
        <w:t>及其他附属区域；</w:t>
      </w:r>
      <w:r>
        <w:rPr>
          <w:rFonts w:hint="eastAsia" w:ascii="宋体" w:hAnsi="宋体" w:eastAsia="宋体" w:cs="宋体"/>
          <w:color w:val="000000"/>
          <w:sz w:val="24"/>
          <w:szCs w:val="24"/>
          <w:highlight w:val="none"/>
        </w:rPr>
        <w:t>东院区院内全部建筑、院区</w:t>
      </w:r>
      <w:r>
        <w:rPr>
          <w:rFonts w:hint="eastAsia" w:ascii="宋体" w:hAnsi="宋体" w:eastAsia="宋体" w:cs="宋体"/>
          <w:color w:val="000000"/>
          <w:sz w:val="24"/>
          <w:szCs w:val="24"/>
          <w:highlight w:val="none"/>
          <w:lang w:val="en-US" w:eastAsia="zh-CN"/>
        </w:rPr>
        <w:t>外</w:t>
      </w:r>
      <w:r>
        <w:rPr>
          <w:rFonts w:hint="eastAsia" w:ascii="宋体" w:hAnsi="宋体" w:eastAsia="宋体" w:cs="宋体"/>
          <w:color w:val="000000"/>
          <w:sz w:val="24"/>
          <w:szCs w:val="24"/>
          <w:highlight w:val="none"/>
        </w:rPr>
        <w:t>环境；西院区院内全部建筑、院区</w:t>
      </w:r>
      <w:r>
        <w:rPr>
          <w:rFonts w:hint="eastAsia" w:ascii="宋体" w:hAnsi="宋体" w:eastAsia="宋体" w:cs="宋体"/>
          <w:color w:val="000000"/>
          <w:sz w:val="24"/>
          <w:szCs w:val="24"/>
          <w:highlight w:val="none"/>
          <w:lang w:val="en-US" w:eastAsia="zh-CN"/>
        </w:rPr>
        <w:t>外</w:t>
      </w:r>
      <w:r>
        <w:rPr>
          <w:rFonts w:hint="eastAsia" w:ascii="宋体" w:hAnsi="宋体" w:eastAsia="宋体" w:cs="宋体"/>
          <w:color w:val="000000"/>
          <w:sz w:val="24"/>
          <w:szCs w:val="24"/>
          <w:highlight w:val="none"/>
        </w:rPr>
        <w:t>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）消杀服务防治对象：</w:t>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蚊、蝇、鼠、蟑螂为主的害虫及病媒生物预防控制工作。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kern w:val="0"/>
          <w:sz w:val="24"/>
          <w:szCs w:val="24"/>
          <w:highlight w:val="none"/>
          <w:lang w:val="en-US" w:eastAsia="zh-CN"/>
        </w:rPr>
      </w:pPr>
      <w:bookmarkStart w:id="6" w:name="_GoBack"/>
      <w:r>
        <w:rPr>
          <w:rFonts w:hint="eastAsia" w:ascii="宋体" w:hAnsi="宋体" w:eastAsia="宋体" w:cs="宋体"/>
          <w:b/>
          <w:bCs/>
          <w:color w:val="FF0000"/>
          <w:kern w:val="0"/>
          <w:sz w:val="24"/>
          <w:szCs w:val="24"/>
          <w:highlight w:val="none"/>
        </w:rPr>
        <w:t>★</w:t>
      </w:r>
      <w:bookmarkEnd w:id="6"/>
      <w:r>
        <w:rPr>
          <w:rFonts w:hint="eastAsia" w:ascii="宋体" w:hAnsi="宋体" w:eastAsia="宋体" w:cs="宋体"/>
          <w:b/>
          <w:bCs w:val="0"/>
          <w:kern w:val="0"/>
          <w:sz w:val="24"/>
          <w:szCs w:val="24"/>
          <w:highlight w:val="none"/>
          <w:lang w:val="en-US" w:eastAsia="zh-CN"/>
        </w:rPr>
        <w:t>三、技术标准和要求：</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bookmarkStart w:id="5" w:name="_Toc513541154"/>
      <w:r>
        <w:rPr>
          <w:rFonts w:hint="eastAsia" w:ascii="宋体" w:hAnsi="宋体" w:eastAsia="宋体" w:cs="宋体"/>
          <w:sz w:val="24"/>
          <w:szCs w:val="24"/>
          <w:highlight w:val="none"/>
        </w:rPr>
        <w:t>1、消杀范围区域及频次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278"/>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区域</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各院区门诊楼内所有科室</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各院区病房所有病室</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各院区行政办公区域</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各院区后勤保障设备设施区域</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各院区食堂区域</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各院区污水处理站区域</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各院区医疗废物暂存处区域</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各院区生活垃圾存放点及垃圾站</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各院区外环境及地上停车区</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各院区地下停车场区域</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各院区下水道、化粪池周边</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2"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527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总院区其它区域</w:t>
            </w:r>
          </w:p>
        </w:tc>
        <w:tc>
          <w:tcPr>
            <w:tcW w:w="2708"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Style w:val="13"/>
                <w:rFonts w:hint="eastAsia" w:ascii="宋体" w:hAnsi="宋体" w:eastAsia="宋体" w:cs="宋体"/>
                <w:sz w:val="24"/>
                <w:szCs w:val="24"/>
                <w:highlight w:val="none"/>
              </w:rPr>
              <w:t>1次/周</w:t>
            </w:r>
          </w:p>
        </w:tc>
      </w:tr>
    </w:tbl>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2、消杀用药指导目录</w:t>
      </w:r>
    </w:p>
    <w:tbl>
      <w:tblPr>
        <w:tblStyle w:val="8"/>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8"/>
        <w:gridCol w:w="1225"/>
        <w:gridCol w:w="914"/>
        <w:gridCol w:w="1118"/>
        <w:gridCol w:w="1739"/>
        <w:gridCol w:w="1690"/>
        <w:gridCol w:w="1193"/>
      </w:tblGrid>
      <w:tr>
        <w:tblPrEx>
          <w:tblCellMar>
            <w:top w:w="0" w:type="dxa"/>
            <w:left w:w="0" w:type="dxa"/>
            <w:bottom w:w="0" w:type="dxa"/>
            <w:right w:w="0" w:type="dxa"/>
          </w:tblCellMar>
        </w:tblPrEx>
        <w:trPr>
          <w:trHeight w:val="562" w:hRule="atLeast"/>
          <w:jc w:val="center"/>
        </w:trPr>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药品名称</w:t>
            </w:r>
          </w:p>
        </w:tc>
        <w:tc>
          <w:tcPr>
            <w:tcW w:w="12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有效成分</w:t>
            </w:r>
          </w:p>
        </w:tc>
        <w:tc>
          <w:tcPr>
            <w:tcW w:w="91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剂型</w:t>
            </w:r>
          </w:p>
        </w:tc>
        <w:tc>
          <w:tcPr>
            <w:tcW w:w="11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防控对象</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ind w:firstLine="240" w:firstLineChars="100"/>
              <w:rPr>
                <w:rStyle w:val="13"/>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适用范围</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使用器械</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color w:val="333333"/>
                <w:sz w:val="24"/>
                <w:szCs w:val="24"/>
                <w:highlight w:val="none"/>
                <w:lang w:val="en-US" w:eastAsia="zh-CN"/>
              </w:rPr>
            </w:pPr>
            <w:r>
              <w:rPr>
                <w:rStyle w:val="13"/>
                <w:rFonts w:hint="eastAsia" w:ascii="宋体" w:hAnsi="宋体" w:eastAsia="宋体" w:cs="宋体"/>
                <w:color w:val="333333"/>
                <w:sz w:val="24"/>
                <w:szCs w:val="24"/>
                <w:highlight w:val="none"/>
                <w:lang w:val="en-US" w:eastAsia="zh-CN"/>
              </w:rPr>
              <w:t>毒性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杀蟑胶饵</w:t>
            </w:r>
          </w:p>
        </w:tc>
        <w:tc>
          <w:tcPr>
            <w:tcW w:w="12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氟虫氰</w:t>
            </w:r>
          </w:p>
        </w:tc>
        <w:tc>
          <w:tcPr>
            <w:tcW w:w="91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饵剂（针剂、方便贴）</w:t>
            </w:r>
          </w:p>
        </w:tc>
        <w:tc>
          <w:tcPr>
            <w:tcW w:w="11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蟑螂</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室内灭蟑，点施</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rPr>
              <w:t>直接使用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Style w:val="13"/>
                <w:rFonts w:hint="eastAsia" w:ascii="宋体" w:hAnsi="宋体" w:eastAsia="宋体" w:cs="宋体"/>
                <w:color w:val="333333"/>
                <w:sz w:val="24"/>
                <w:szCs w:val="24"/>
                <w:highlight w:val="none"/>
                <w:lang w:val="en-US" w:eastAsia="zh-CN"/>
              </w:rPr>
            </w:pPr>
            <w:r>
              <w:rPr>
                <w:rStyle w:val="13"/>
                <w:rFonts w:hint="eastAsia" w:ascii="宋体" w:hAnsi="宋体" w:eastAsia="宋体" w:cs="宋体"/>
                <w:color w:val="333333"/>
                <w:sz w:val="24"/>
                <w:szCs w:val="24"/>
                <w:highlight w:val="none"/>
                <w:lang w:val="en-US" w:eastAsia="zh-CN"/>
              </w:rPr>
              <w:t>低毒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1098"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氯氟醚.顺式氯氰菊酯</w:t>
            </w:r>
          </w:p>
        </w:tc>
        <w:tc>
          <w:tcPr>
            <w:tcW w:w="1225" w:type="dxa"/>
            <w:tcBorders>
              <w:top w:val="single" w:color="000000" w:sz="4" w:space="0"/>
              <w:left w:val="single" w:color="000000" w:sz="4" w:space="0"/>
              <w:bottom w:val="single" w:color="000000" w:sz="4" w:space="0"/>
              <w:right w:val="single" w:color="auto"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氯氟醚+顺式氯氰菊酯</w:t>
            </w:r>
          </w:p>
        </w:tc>
        <w:tc>
          <w:tcPr>
            <w:tcW w:w="914" w:type="dxa"/>
            <w:tcBorders>
              <w:top w:val="single" w:color="000000" w:sz="4" w:space="0"/>
              <w:left w:val="single" w:color="auto"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可湿性粉剂</w:t>
            </w:r>
          </w:p>
        </w:tc>
        <w:tc>
          <w:tcPr>
            <w:tcW w:w="11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蚊、蝇、蟑螂</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Style w:val="13"/>
                <w:rFonts w:hint="eastAsia" w:ascii="宋体" w:hAnsi="宋体" w:eastAsia="宋体" w:cs="宋体"/>
                <w:color w:val="333333"/>
                <w:sz w:val="24"/>
                <w:szCs w:val="24"/>
                <w:highlight w:val="none"/>
              </w:rPr>
              <w:t>室内外灭</w:t>
            </w:r>
            <w:r>
              <w:rPr>
                <w:rFonts w:hint="eastAsia" w:ascii="宋体" w:hAnsi="宋体" w:eastAsia="宋体" w:cs="宋体"/>
                <w:color w:val="333333"/>
                <w:sz w:val="24"/>
                <w:szCs w:val="24"/>
                <w:highlight w:val="none"/>
                <w:lang w:bidi="ar-SA"/>
              </w:rPr>
              <w:t>蚊、蝇、蟑螂</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背负式喷雾器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333333"/>
                <w:sz w:val="24"/>
                <w:szCs w:val="24"/>
                <w:highlight w:val="none"/>
              </w:rPr>
            </w:pPr>
            <w:r>
              <w:rPr>
                <w:rStyle w:val="13"/>
                <w:rFonts w:hint="eastAsia" w:ascii="宋体" w:hAnsi="宋体" w:eastAsia="宋体" w:cs="宋体"/>
                <w:color w:val="333333"/>
                <w:sz w:val="24"/>
                <w:szCs w:val="24"/>
                <w:highlight w:val="none"/>
                <w:lang w:val="en-US" w:eastAsia="zh-CN"/>
              </w:rPr>
              <w:t>低毒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1098"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氯氟醚.氯菊酯</w:t>
            </w:r>
          </w:p>
        </w:tc>
        <w:tc>
          <w:tcPr>
            <w:tcW w:w="1225" w:type="dxa"/>
            <w:tcBorders>
              <w:top w:val="single" w:color="000000" w:sz="4" w:space="0"/>
              <w:left w:val="single" w:color="000000" w:sz="4" w:space="0"/>
              <w:bottom w:val="single" w:color="000000" w:sz="4" w:space="0"/>
              <w:right w:val="single" w:color="auto"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氯氟醚+氯菊酯</w:t>
            </w:r>
          </w:p>
        </w:tc>
        <w:tc>
          <w:tcPr>
            <w:tcW w:w="914" w:type="dxa"/>
            <w:tcBorders>
              <w:top w:val="single" w:color="000000" w:sz="4" w:space="0"/>
              <w:left w:val="single" w:color="auto"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水乳剂</w:t>
            </w:r>
          </w:p>
        </w:tc>
        <w:tc>
          <w:tcPr>
            <w:tcW w:w="11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蚊</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室内灭蚊子</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超低容量喷雾器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Style w:val="13"/>
                <w:rFonts w:hint="eastAsia" w:ascii="宋体" w:hAnsi="宋体" w:eastAsia="宋体" w:cs="宋体"/>
                <w:color w:val="333333"/>
                <w:sz w:val="24"/>
                <w:szCs w:val="24"/>
                <w:highlight w:val="none"/>
                <w:lang w:val="en-US" w:eastAsia="zh-CN"/>
              </w:rPr>
              <w:t>低毒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jc w:val="center"/>
        </w:trPr>
        <w:tc>
          <w:tcPr>
            <w:tcW w:w="1098"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高氯.毒死蜱</w:t>
            </w:r>
          </w:p>
        </w:tc>
        <w:tc>
          <w:tcPr>
            <w:tcW w:w="1225" w:type="dxa"/>
            <w:tcBorders>
              <w:top w:val="single" w:color="000000" w:sz="4" w:space="0"/>
              <w:left w:val="single" w:color="000000" w:sz="4" w:space="0"/>
              <w:bottom w:val="single" w:color="000000" w:sz="4" w:space="0"/>
              <w:right w:val="single" w:color="auto"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高效氯氰菊酯+毒死蜱</w:t>
            </w:r>
          </w:p>
        </w:tc>
        <w:tc>
          <w:tcPr>
            <w:tcW w:w="914" w:type="dxa"/>
            <w:tcBorders>
              <w:top w:val="single" w:color="000000" w:sz="4" w:space="0"/>
              <w:left w:val="single" w:color="auto"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乳油</w:t>
            </w:r>
          </w:p>
        </w:tc>
        <w:tc>
          <w:tcPr>
            <w:tcW w:w="11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蚊、蝇</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室外灭蚊、蝇</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Fonts w:hint="eastAsia" w:ascii="宋体" w:hAnsi="宋体" w:eastAsia="宋体" w:cs="宋体"/>
                <w:color w:val="333333"/>
                <w:sz w:val="24"/>
                <w:szCs w:val="24"/>
                <w:highlight w:val="none"/>
                <w:lang w:bidi="ar-SA"/>
              </w:rPr>
              <w:t>背负式喷雾器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snapToGrid/>
              <w:spacing w:line="360" w:lineRule="auto"/>
              <w:ind w:firstLine="0"/>
              <w:jc w:val="center"/>
              <w:rPr>
                <w:rFonts w:hint="eastAsia" w:ascii="宋体" w:hAnsi="宋体" w:eastAsia="宋体" w:cs="宋体"/>
                <w:color w:val="333333"/>
                <w:sz w:val="24"/>
                <w:szCs w:val="24"/>
                <w:highlight w:val="none"/>
                <w:lang w:bidi="ar-SA"/>
              </w:rPr>
            </w:pPr>
            <w:r>
              <w:rPr>
                <w:rStyle w:val="13"/>
                <w:rFonts w:hint="eastAsia" w:ascii="宋体" w:hAnsi="宋体" w:eastAsia="宋体" w:cs="宋体"/>
                <w:color w:val="333333"/>
                <w:sz w:val="24"/>
                <w:szCs w:val="24"/>
                <w:highlight w:val="none"/>
                <w:lang w:val="en-US" w:eastAsia="zh-CN"/>
              </w:rPr>
              <w:t>低毒</w:t>
            </w:r>
          </w:p>
        </w:tc>
      </w:tr>
    </w:tbl>
    <w:p>
      <w:pPr>
        <w:pStyle w:val="12"/>
        <w:keepNext w:val="0"/>
        <w:keepLines w:val="0"/>
        <w:pageBreakBefore w:val="0"/>
        <w:kinsoku/>
        <w:wordWrap/>
        <w:overflowPunct/>
        <w:topLinePunct w:val="0"/>
        <w:autoSpaceDE/>
        <w:autoSpaceDN/>
        <w:bidi w:val="0"/>
        <w:snapToGrid/>
        <w:spacing w:line="360" w:lineRule="auto"/>
        <w:ind w:firstLine="0"/>
        <w:jc w:val="left"/>
        <w:rPr>
          <w:rFonts w:hint="eastAsia"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lang w:bidi="ar-SA"/>
        </w:rPr>
        <w:t>注：</w:t>
      </w:r>
      <w:r>
        <w:rPr>
          <w:rFonts w:hint="eastAsia" w:ascii="宋体" w:hAnsi="宋体" w:eastAsia="宋体" w:cs="宋体"/>
          <w:color w:val="333333"/>
          <w:sz w:val="24"/>
          <w:szCs w:val="24"/>
          <w:highlight w:val="none"/>
          <w:lang w:val="en-US" w:eastAsia="zh-CN" w:bidi="ar-SA"/>
        </w:rPr>
        <w:t>投标人消杀用药的药品制造商必须具备有效的</w:t>
      </w:r>
      <w:r>
        <w:rPr>
          <w:rFonts w:hint="eastAsia" w:ascii="宋体" w:hAnsi="宋体" w:eastAsia="宋体" w:cs="宋体"/>
          <w:color w:val="333333"/>
          <w:sz w:val="24"/>
          <w:szCs w:val="24"/>
          <w:highlight w:val="none"/>
          <w:lang w:bidi="ar-SA"/>
        </w:rPr>
        <w:t>《农药登记证》、《农药生产许可证》或农药生产批准文件</w:t>
      </w:r>
      <w:r>
        <w:rPr>
          <w:rFonts w:hint="eastAsia" w:ascii="宋体" w:hAnsi="宋体" w:eastAsia="宋体" w:cs="宋体"/>
          <w:color w:val="333333"/>
          <w:sz w:val="24"/>
          <w:szCs w:val="24"/>
          <w:highlight w:val="none"/>
          <w:lang w:eastAsia="zh-CN" w:bidi="ar-SA"/>
        </w:rPr>
        <w:t>，</w:t>
      </w:r>
      <w:r>
        <w:rPr>
          <w:rFonts w:hint="eastAsia" w:ascii="宋体" w:hAnsi="宋体" w:eastAsia="宋体" w:cs="宋体"/>
          <w:color w:val="333333"/>
          <w:sz w:val="24"/>
          <w:szCs w:val="24"/>
          <w:highlight w:val="none"/>
          <w:lang w:val="en-US" w:eastAsia="zh-CN" w:bidi="ar-SA"/>
        </w:rPr>
        <w:t>中标人须提供药品制造商上述证件</w:t>
      </w:r>
      <w:r>
        <w:rPr>
          <w:rFonts w:hint="eastAsia" w:ascii="宋体" w:hAnsi="宋体" w:eastAsia="宋体" w:cs="宋体"/>
          <w:color w:val="333333"/>
          <w:sz w:val="24"/>
          <w:szCs w:val="24"/>
          <w:highlight w:val="none"/>
          <w:lang w:bidi="ar-SA"/>
        </w:rPr>
        <w:t>复印件</w:t>
      </w:r>
      <w:r>
        <w:rPr>
          <w:rFonts w:hint="eastAsia" w:ascii="宋体" w:hAnsi="宋体" w:eastAsia="宋体" w:cs="宋体"/>
          <w:color w:val="333333"/>
          <w:sz w:val="24"/>
          <w:szCs w:val="24"/>
          <w:highlight w:val="none"/>
          <w:lang w:eastAsia="zh-CN" w:bidi="ar-SA"/>
        </w:rPr>
        <w:t>（</w:t>
      </w:r>
      <w:r>
        <w:rPr>
          <w:rFonts w:hint="eastAsia" w:ascii="宋体" w:hAnsi="宋体" w:eastAsia="宋体" w:cs="宋体"/>
          <w:color w:val="333333"/>
          <w:sz w:val="24"/>
          <w:szCs w:val="24"/>
          <w:highlight w:val="none"/>
          <w:lang w:bidi="ar-SA"/>
        </w:rPr>
        <w:t>加盖药品制造商单位公章</w:t>
      </w:r>
      <w:r>
        <w:rPr>
          <w:rFonts w:hint="eastAsia" w:ascii="宋体" w:hAnsi="宋体" w:eastAsia="宋体" w:cs="宋体"/>
          <w:color w:val="333333"/>
          <w:sz w:val="24"/>
          <w:szCs w:val="24"/>
          <w:highlight w:val="none"/>
          <w:lang w:eastAsia="zh-CN" w:bidi="ar-SA"/>
        </w:rPr>
        <w:t>）及</w:t>
      </w:r>
      <w:r>
        <w:rPr>
          <w:rFonts w:hint="eastAsia" w:ascii="宋体" w:hAnsi="宋体" w:eastAsia="宋体" w:cs="宋体"/>
          <w:color w:val="333333"/>
          <w:sz w:val="24"/>
          <w:szCs w:val="24"/>
          <w:highlight w:val="none"/>
          <w:lang w:val="en-US" w:eastAsia="zh-CN" w:bidi="ar-SA"/>
        </w:rPr>
        <w:t>该项目使用药品生产厂家本批次药品质量保证函原件，供招标人查验，合格后药品方可用于本项目消杀，否则招标人将取消中标人中标资格。</w:t>
      </w:r>
      <w:r>
        <w:rPr>
          <w:rFonts w:hint="eastAsia" w:ascii="宋体" w:hAnsi="宋体" w:eastAsia="宋体" w:cs="宋体"/>
          <w:color w:val="333333"/>
          <w:sz w:val="24"/>
          <w:szCs w:val="24"/>
          <w:highlight w:val="none"/>
          <w:lang w:bidi="ar-SA"/>
        </w:rPr>
        <w:t>本项目消杀用药严禁使用敌敌畏及对人体有害药物</w:t>
      </w:r>
      <w:r>
        <w:rPr>
          <w:rFonts w:hint="eastAsia" w:ascii="宋体" w:hAnsi="宋体" w:eastAsia="宋体" w:cs="宋体"/>
          <w:color w:val="333333"/>
          <w:sz w:val="24"/>
          <w:szCs w:val="24"/>
          <w:highlight w:val="none"/>
          <w:lang w:eastAsia="zh-CN" w:bidi="ar-SA"/>
        </w:rPr>
        <w:t>。</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应具备的主要设备器械、工具及材料要求：</w:t>
      </w:r>
    </w:p>
    <w:tbl>
      <w:tblPr>
        <w:tblStyle w:val="8"/>
        <w:tblW w:w="9198" w:type="dxa"/>
        <w:jc w:val="center"/>
        <w:tblLayout w:type="fixed"/>
        <w:tblCellMar>
          <w:top w:w="0" w:type="dxa"/>
          <w:left w:w="0" w:type="dxa"/>
          <w:bottom w:w="0" w:type="dxa"/>
          <w:right w:w="0" w:type="dxa"/>
        </w:tblCellMar>
      </w:tblPr>
      <w:tblGrid>
        <w:gridCol w:w="2620"/>
        <w:gridCol w:w="2905"/>
        <w:gridCol w:w="1755"/>
        <w:gridCol w:w="1918"/>
      </w:tblGrid>
      <w:tr>
        <w:tblPrEx>
          <w:tblCellMar>
            <w:top w:w="0" w:type="dxa"/>
            <w:left w:w="0" w:type="dxa"/>
            <w:bottom w:w="0" w:type="dxa"/>
            <w:right w:w="0" w:type="dxa"/>
          </w:tblCellMar>
        </w:tblPrEx>
        <w:trPr>
          <w:trHeight w:val="457"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设备、工具或材料名称</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最低配置数量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作用方式</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使用区域</w:t>
            </w:r>
          </w:p>
        </w:tc>
      </w:tr>
      <w:tr>
        <w:tblPrEx>
          <w:tblCellMar>
            <w:top w:w="0" w:type="dxa"/>
            <w:left w:w="0" w:type="dxa"/>
            <w:bottom w:w="0" w:type="dxa"/>
            <w:right w:w="0" w:type="dxa"/>
          </w:tblCellMar>
        </w:tblPrEx>
        <w:trPr>
          <w:trHeight w:val="471"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充电背负式喷雾器</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台</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空间及滞留消杀</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外环境</w:t>
            </w:r>
          </w:p>
        </w:tc>
      </w:tr>
      <w:tr>
        <w:tblPrEx>
          <w:tblCellMar>
            <w:top w:w="0" w:type="dxa"/>
            <w:left w:w="0" w:type="dxa"/>
            <w:bottom w:w="0" w:type="dxa"/>
            <w:right w:w="0" w:type="dxa"/>
          </w:tblCellMar>
        </w:tblPrEx>
        <w:trPr>
          <w:trHeight w:val="457"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电动超低容量喷雾器</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台</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喷洒消杀</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几乎所有区域</w:t>
            </w:r>
          </w:p>
        </w:tc>
      </w:tr>
      <w:tr>
        <w:tblPrEx>
          <w:tblCellMar>
            <w:top w:w="0" w:type="dxa"/>
            <w:left w:w="0" w:type="dxa"/>
            <w:bottom w:w="0" w:type="dxa"/>
            <w:right w:w="0" w:type="dxa"/>
          </w:tblCellMar>
        </w:tblPrEx>
        <w:trPr>
          <w:trHeight w:val="904"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粘鼠板（屋）</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根据实际情况足量配置，需满足采购人使用需求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粘捕</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所有区域</w:t>
            </w:r>
          </w:p>
        </w:tc>
      </w:tr>
      <w:tr>
        <w:tblPrEx>
          <w:tblCellMar>
            <w:top w:w="0" w:type="dxa"/>
            <w:left w:w="0" w:type="dxa"/>
            <w:bottom w:w="0" w:type="dxa"/>
            <w:right w:w="0" w:type="dxa"/>
          </w:tblCellMar>
        </w:tblPrEx>
        <w:trPr>
          <w:trHeight w:val="904"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鼠夹、鼠笼</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根据实际情况足量配置，需满足采购人使用需求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抓捕</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所有区域</w:t>
            </w:r>
          </w:p>
        </w:tc>
      </w:tr>
      <w:tr>
        <w:tblPrEx>
          <w:tblCellMar>
            <w:top w:w="0" w:type="dxa"/>
            <w:left w:w="0" w:type="dxa"/>
            <w:bottom w:w="0" w:type="dxa"/>
            <w:right w:w="0" w:type="dxa"/>
          </w:tblCellMar>
        </w:tblPrEx>
        <w:trPr>
          <w:trHeight w:val="904"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鼠饵站</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根据实际情况足量配置，需满足采购人使用需求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投诱饵</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外环境</w:t>
            </w:r>
          </w:p>
        </w:tc>
      </w:tr>
      <w:tr>
        <w:tblPrEx>
          <w:tblCellMar>
            <w:top w:w="0" w:type="dxa"/>
            <w:left w:w="0" w:type="dxa"/>
            <w:bottom w:w="0" w:type="dxa"/>
            <w:right w:w="0" w:type="dxa"/>
          </w:tblCellMar>
        </w:tblPrEx>
        <w:trPr>
          <w:trHeight w:val="904"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各种捕捉笼</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根据实际情况足量配置，需满足采购人使用需求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诱捕</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所有区域</w:t>
            </w:r>
          </w:p>
        </w:tc>
      </w:tr>
      <w:tr>
        <w:tblPrEx>
          <w:tblCellMar>
            <w:top w:w="0" w:type="dxa"/>
            <w:left w:w="0" w:type="dxa"/>
            <w:bottom w:w="0" w:type="dxa"/>
            <w:right w:w="0" w:type="dxa"/>
          </w:tblCellMar>
        </w:tblPrEx>
        <w:trPr>
          <w:trHeight w:val="913"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蟑螂屋</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根据实际情况足量配置，需满足采购人使用需求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诱捕</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内环境</w:t>
            </w:r>
          </w:p>
        </w:tc>
      </w:tr>
    </w:tbl>
    <w:p>
      <w:pPr>
        <w:pStyle w:val="12"/>
        <w:keepNext w:val="0"/>
        <w:keepLines w:val="0"/>
        <w:pageBreakBefore w:val="0"/>
        <w:kinsoku/>
        <w:wordWrap/>
        <w:overflowPunct/>
        <w:topLinePunct w:val="0"/>
        <w:autoSpaceDE/>
        <w:autoSpaceDN/>
        <w:bidi w:val="0"/>
        <w:snapToGrid/>
        <w:spacing w:line="360" w:lineRule="auto"/>
        <w:ind w:firstLine="0"/>
        <w:jc w:val="left"/>
        <w:rPr>
          <w:rFonts w:hint="eastAsia" w:ascii="宋体" w:hAnsi="宋体" w:eastAsia="宋体" w:cs="宋体"/>
          <w:color w:val="333333"/>
          <w:sz w:val="24"/>
          <w:szCs w:val="24"/>
          <w:highlight w:val="none"/>
          <w:lang w:bidi="ar-SA"/>
        </w:rPr>
      </w:pPr>
    </w:p>
    <w:p>
      <w:pPr>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、消杀防治时间</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全年蚊蝇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老鼠、蟑螂</w:t>
      </w:r>
      <w:r>
        <w:rPr>
          <w:rFonts w:hint="eastAsia" w:ascii="宋体" w:hAnsi="宋体" w:eastAsia="宋体" w:cs="宋体"/>
          <w:sz w:val="24"/>
          <w:szCs w:val="24"/>
          <w:highlight w:val="none"/>
        </w:rPr>
        <w:t>消杀工作。</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全年对所有辖区进行灭鼠。</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全年对毒饵站定时投放毒饵含整理毒饵站、布药等）</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全年对所有辖区进行灭蟑，每季度不低于一次。</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注：1、按计划服务进行消杀后，并随时接科室服务报告电话，按约定时间提供消杀服务。</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2、如果出现特殊情况急需消杀时，能及时到达现场进行消杀。</w:t>
      </w:r>
    </w:p>
    <w:p>
      <w:pPr>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消杀防治标准</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消杀防控要求不低于国家爱卫会（1997）第5号除‘四害’标准</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济宁市任城区爱国卫生运动委员会文件 济爱卫办发〔2020〕1号标准及要求</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2、居民住宅、单位内外环境各种存水容器和积水中，蚊幼虫及蛹的阳性率不超过3％。</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3、重点单位有蝇房间不超过1％，其它单位不超过3％，平均每阳性房间不超过3只；重点单位防蝇设施不合格房间不超过5％。</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居住区标准：居住区应采取综合措施消灭老鼠，鼠密度用粉迹法测定不得超过3％，鼠迹不超过5处。居住区应及时排除积水，对消防缸（池）、下水道应采取防护、消杀措施，预防蚊幼孳生，蚊幼和蛹的检出率不得超过国家规定的标准。</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5、其它标准：走廊、电梯间、公共区、卫生间等蚊蝇只数不超过5%。</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6、蚊防控标准：积水中三龄幼虫或蛹的检出阳性不超过3%。</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7、蝇防控标准：蝇类滋生地三龄幼虫或蛹的检出不超过3%。</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8、害虫防控标准：室内外有害虫成虫或幼虫阳性房间不超过3%。</w:t>
      </w:r>
    </w:p>
    <w:p>
      <w:pPr>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、其它要求</w:t>
      </w:r>
    </w:p>
    <w:bookmarkEnd w:id="5"/>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1、院方指定专人负责督导消杀工作，如入室进行消杀、检测等工作情况，督促执行合同有关规定。对存在的问题书面通知整改并予以相应经济扣除。</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2、乙方严格执行济宁市政府有关管理规定，接受市、区、街道办（镇）爱卫办监督检查。</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3、乙方应建立规章制度，做好检查、处理、监测工作并做好记录，以备查验。</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4、乙方工作人员遵守院方的各项规章制度，服从院方的管理。</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5、乙方所有工作人员根据医院要求统一着装、佩戴工作证上岗，按医院作息要求考勤打卡，文明作业。</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6、对工作人员定期进行培训、考核、奖惩。并书面资料备案。</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7、与各科室及时沟通协调，做好消杀记录，整理好材料入档。</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为满足院方管理和质量要求，总院区每日工作人员不低于4名（含夜间1人值班），东院区每日工作人员不低于4名（含夜间1人值班），西院区每日工作人员不低于3名（含夜间1人值班），严格按照要求执行各项，管理、指导、监督、检查工作。</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9、乙方工作人员在院工作期间发生一切相关安全措施由乙方负全责，甲方不承担任何责任。</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10、对甲方人员财产及第三方造成的伤害由乙方承担，涉及法律责任的承担法律责任。</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11、各院区毒饵站定时投饵，并负责毒饵站的维护及补缺工作，相关费用含在报价中。</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12、防治实施完毕后，由当地市疾控中心进行监测，并提供出俱市疾控中心监测的书面报告，（市疾控部门监测报告及费用由乙方承担）。</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13、主动配合医院‘迎检迎查’、‘创城’等应急突发事件，增加消杀频次，加派消杀人员，如有需要，在非消杀防控时间需配合院方做好消杀防控工作，相关费用含在报价中。</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14、使用国家标准药品和器械，春秋两季灭鼠投放毒饵要及时补充，保证毒饵足量。</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15、每个院区设置的工作人员年龄不得大于55周岁，需经院方主管部门同意后方可上岗，中途不得随意更换人员，工作时间参照医院工作时间执行；</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16、乙方值班电话应保持 24 小时畅通，若未及时接听，影响正常工作的；</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17、如接到科室工作人员、病陪人投诉或医院回访反馈问题，经调查情况属实的；</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18、未按照消杀范围区域及频次进行作业的，每个点/处；</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19、对违反以上条款及影响医院形象的院方可对乙方予以不低于500元/次的经济服务费扣除。</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20、院科级领导在巡视检查中发现消杀工作存在相关问题的，可对乙方进行500-5000元服务费扣除。</w:t>
      </w:r>
    </w:p>
    <w:p>
      <w:pPr>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七、报价及付款方式</w:t>
      </w:r>
    </w:p>
    <w:p>
      <w:pPr>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（一）报价要求：</w:t>
      </w:r>
    </w:p>
    <w:bookmarkEnd w:id="0"/>
    <w:bookmarkEnd w:id="1"/>
    <w:bookmarkEnd w:id="2"/>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1、本项目为固定总价合同。报价包含人工费、药品费、工器具费、利润、税金、管理费、保险等一切费用。</w:t>
      </w:r>
    </w:p>
    <w:bookmarkEnd w:id="3"/>
    <w:bookmarkEnd w:id="4"/>
    <w:p>
      <w:pPr>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color w:val="FF0000"/>
          <w:kern w:val="0"/>
          <w:sz w:val="24"/>
          <w:szCs w:val="24"/>
          <w:highlight w:val="none"/>
          <w:lang w:eastAsia="zh-CN"/>
        </w:rPr>
        <w:t>※</w:t>
      </w:r>
      <w:r>
        <w:rPr>
          <w:rFonts w:hint="eastAsia" w:ascii="宋体" w:hAnsi="宋体" w:eastAsia="宋体" w:cs="宋体"/>
          <w:b/>
          <w:bCs/>
          <w:sz w:val="24"/>
          <w:szCs w:val="24"/>
          <w:highlight w:val="none"/>
          <w:lang w:val="en-US" w:eastAsia="zh-CN"/>
        </w:rPr>
        <w:t>（二）付款方式：</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月经主管部门考核后（乙方服务质量及工作人员的工作态度由主管科室监督），按照甲方财务流程结算。次月付上月服务费，按月付款，每月开具国家正规发票。若乙方出具虚假发票，一切法律后果均有乙方承担。</w:t>
      </w:r>
    </w:p>
    <w:p>
      <w:pPr>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color w:val="FF0000"/>
          <w:kern w:val="0"/>
          <w:sz w:val="24"/>
          <w:szCs w:val="24"/>
          <w:highlight w:val="none"/>
        </w:rPr>
        <w:t>★</w:t>
      </w:r>
      <w:r>
        <w:rPr>
          <w:rFonts w:hint="eastAsia" w:ascii="宋体" w:hAnsi="宋体" w:eastAsia="宋体" w:cs="宋体"/>
          <w:b/>
          <w:bCs/>
          <w:sz w:val="24"/>
          <w:szCs w:val="24"/>
          <w:highlight w:val="none"/>
          <w:lang w:val="en-US" w:eastAsia="zh-CN"/>
        </w:rPr>
        <w:t>（三）服务期：一年</w:t>
      </w:r>
    </w:p>
    <w:p>
      <w:pPr>
        <w:keepNext w:val="0"/>
        <w:keepLines w:val="0"/>
        <w:pageBreakBefore w:val="0"/>
        <w:widowControl/>
        <w:tabs>
          <w:tab w:val="left" w:pos="9515"/>
        </w:tabs>
        <w:kinsoku/>
        <w:wordWrap/>
        <w:overflowPunct/>
        <w:topLinePunct w:val="0"/>
        <w:autoSpaceDE/>
        <w:autoSpaceDN/>
        <w:bidi w:val="0"/>
        <w:adjustRightInd/>
        <w:snapToGrid/>
        <w:spacing w:line="360" w:lineRule="auto"/>
        <w:ind w:right="0" w:rightChars="0" w:firstLine="482" w:firstLineChars="200"/>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八、甲方权利义务</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1、协助乙方解决工作现场遇到的特殊问题。</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2、甲方对乙方提供的服务享有监督权和检查权，有权对乙方服务提出意见和建议的权利。</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3、甲方对乙方的服务质量不满意时有权提出异议和要求返工；如不满意乙方后勤维修的服务，可责令乙方及时调换。</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4、投标方所提供人员必须符合甲方的用工要求。包括年龄、身体健康状况及工种技术等。一旦任用，投标方不得随意调换人员，以保证工作的连续性。</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5、投标方人员所用工具材料由乙方提供，浪费造成返工部分，用料由投标方承担。</w:t>
      </w:r>
    </w:p>
    <w:p>
      <w:pPr>
        <w:keepNext w:val="0"/>
        <w:keepLines w:val="0"/>
        <w:pageBreakBefore w:val="0"/>
        <w:widowControl/>
        <w:tabs>
          <w:tab w:val="left" w:pos="9515"/>
        </w:tabs>
        <w:kinsoku/>
        <w:wordWrap/>
        <w:overflowPunct/>
        <w:topLinePunct w:val="0"/>
        <w:autoSpaceDE/>
        <w:autoSpaceDN/>
        <w:bidi w:val="0"/>
        <w:adjustRightInd/>
        <w:snapToGrid/>
        <w:spacing w:line="360" w:lineRule="auto"/>
        <w:ind w:right="0" w:rightChars="0" w:firstLine="482" w:firstLineChars="200"/>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九、乙方权利义务</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1、乙方按照甲方要求配置人员，为甲方提供相应服务工作；</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2、乙方提供的人员应身体健康、诚实勤劳、有责任心。</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3、乙方人员应严格按照操作规范、标准进行工作，确保质量及安全。</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4、乙方人员应爱惜甲方提供的各种作业工具。</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5、乙方人员在工作期间，必须遵守甲方的规章制度，服从甲方的安排。</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6、乙方应全力配合甲方特殊时期的大检查工作，按照检查标准做好工作。</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7、乙方负责对所有人员的全面管理工作，并承担人员的劳动用工及安全责任。</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8、甲方在工作集中时，投标方有义务无偿提供机动人员来帮助甲方解决实际困难，以保证医院的正常运转。</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9、乙方在作业中应严格要求其人员，做好各种防护措施，不得擅自挪用甲方的物品或进入与其维修及负责作业无关的区域。</w:t>
      </w:r>
    </w:p>
    <w:p>
      <w:pPr>
        <w:keepNext w:val="0"/>
        <w:keepLines w:val="0"/>
        <w:pageBreakBefore w:val="0"/>
        <w:kinsoku/>
        <w:wordWrap/>
        <w:overflowPunct/>
        <w:topLinePunct w:val="0"/>
        <w:autoSpaceDE/>
        <w:autoSpaceDN/>
        <w:bidi w:val="0"/>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10、乙方应遵守医院各项制度及规定，服从院方管理人员管理。制定管理规定、人员岗位职责与应急预案，加强管理与岗位培训。</w:t>
      </w:r>
    </w:p>
    <w:p>
      <w:pPr>
        <w:keepNext w:val="0"/>
        <w:keepLines w:val="0"/>
        <w:pageBreakBefore w:val="0"/>
        <w:kinsoku/>
        <w:wordWrap/>
        <w:overflowPunct/>
        <w:topLinePunct w:val="0"/>
        <w:autoSpaceDE/>
        <w:autoSpaceDN/>
        <w:bidi w:val="0"/>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11、本项目如发现挂靠、转包、违法分包行为，立刻解除合同，并将其列入不良信誉企业黑名单。</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十、工作时间：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夏季   正常班6：00——14:00</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小夜班14：00——22：00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冬季   正常班7：00——15:00</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小夜班15：00——22：00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注：周六、周日与节假日正常上班。保障人员编制满员，在岗在位，不得因其他地方有消杀任务离岗。</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十一、违约责任</w:t>
      </w:r>
      <w:r>
        <w:rPr>
          <w:rFonts w:hint="eastAsia" w:ascii="宋体" w:hAnsi="宋体" w:eastAsia="宋体" w:cs="宋体"/>
          <w:b/>
          <w:bCs/>
          <w:kern w:val="2"/>
          <w:sz w:val="24"/>
          <w:szCs w:val="24"/>
          <w:highlight w:val="none"/>
          <w:lang w:val="en-US" w:eastAsia="zh-CN" w:bidi="ar-SA"/>
        </w:rPr>
        <w:tab/>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1、在合同规定的工作范围内，</w:t>
      </w:r>
      <w:r>
        <w:rPr>
          <w:rFonts w:hint="eastAsia" w:ascii="宋体" w:hAnsi="宋体" w:eastAsia="宋体" w:cs="宋体"/>
          <w:sz w:val="24"/>
          <w:szCs w:val="24"/>
          <w:highlight w:val="none"/>
        </w:rPr>
        <w:t>投标方不能提供相应技术人员完成相应工作，甲方有权安排外包单位处理，费用从当年未支付合同款中扣除。</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2、投标方管理人员及工作人员必须服从甲方管理人员的管理及工作安排。不服从或与甲方管理人员发生争执，甲方有权对投标方人员进行</w:t>
      </w:r>
      <w:r>
        <w:rPr>
          <w:rFonts w:hint="eastAsia" w:ascii="宋体" w:hAnsi="宋体" w:eastAsia="宋体" w:cs="宋体"/>
          <w:sz w:val="24"/>
          <w:szCs w:val="24"/>
          <w:highlight w:val="none"/>
          <w:lang w:val="en-US" w:eastAsia="zh-CN"/>
        </w:rPr>
        <w:t>处理</w:t>
      </w:r>
      <w:r>
        <w:rPr>
          <w:rFonts w:hint="eastAsia" w:ascii="宋体" w:hAnsi="宋体" w:eastAsia="宋体" w:cs="宋体"/>
          <w:sz w:val="24"/>
          <w:szCs w:val="24"/>
          <w:highlight w:val="none"/>
        </w:rPr>
        <w:t>、辞退，直至终止合同。</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无故更换项目成员，甲方有权拒绝支付费用，如需更换项目成员，需向甲方提书面申请，经甲方批准同意后方可更换同等岗位成员，如乙方未经甲方同意私自更换项目成员有权扣除当月应付款的10%并责令乙方改正，且甲方有权终止合同，并追究乙方违约造成的损失。</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乙方工作人员工作失职，不遵守服务工作标准及操作规程，甲方视情节轻重给予处理。引起纠纷或造成他人生命财产损害等责任事故，由乙方负责赔偿全部损失并承担相关法律责任。</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、本协议未尽事宜，双方协商签订书面补充协议解决，书面补充协议与本协议具有同等法律效力。</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6、一方不按期履行合同，并经另一方提示后30日内仍不履行合同的，履行合同的一方可以解除合同，不履行合同的一方对另一方的损失承担赔偿责任。</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、双方一致同意就本协议执行所发生争议及纠纷，应本着互利互让的原则协商解决；协商未果，应依法向约定的合同签订地有管辖权的人民法院提起诉讼。</w:t>
      </w:r>
    </w:p>
    <w:p>
      <w:pPr>
        <w:keepNext w:val="0"/>
        <w:keepLines w:val="0"/>
        <w:pageBreakBefore w:val="0"/>
        <w:widowControl/>
        <w:tabs>
          <w:tab w:val="left" w:pos="9515"/>
        </w:tabs>
        <w:kinsoku/>
        <w:wordWrap/>
        <w:overflowPunct/>
        <w:topLinePunct w:val="0"/>
        <w:autoSpaceDE/>
        <w:autoSpaceDN/>
        <w:bidi w:val="0"/>
        <w:adjustRightInd/>
        <w:snapToGrid/>
        <w:spacing w:line="360" w:lineRule="auto"/>
        <w:ind w:right="0" w:rightChars="0" w:firstLine="482" w:firstLineChars="200"/>
        <w:textAlignment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十二</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实质性响应条款</w:t>
      </w:r>
      <w:r>
        <w:rPr>
          <w:rFonts w:hint="eastAsia" w:ascii="宋体" w:hAnsi="宋体" w:eastAsia="宋体" w:cs="宋体"/>
          <w:b/>
          <w:color w:val="auto"/>
          <w:sz w:val="24"/>
          <w:szCs w:val="24"/>
          <w:highlight w:val="none"/>
          <w:lang w:eastAsia="zh-CN"/>
        </w:rPr>
        <w:t>：</w:t>
      </w:r>
    </w:p>
    <w:p>
      <w:pPr>
        <w:keepNext w:val="0"/>
        <w:keepLines w:val="0"/>
        <w:pageBreakBefore w:val="0"/>
        <w:widowControl/>
        <w:tabs>
          <w:tab w:val="left" w:pos="9515"/>
        </w:tabs>
        <w:kinsoku/>
        <w:wordWrap/>
        <w:overflowPunct/>
        <w:topLinePunct w:val="0"/>
        <w:autoSpaceDE/>
        <w:autoSpaceDN/>
        <w:bidi w:val="0"/>
        <w:adjustRightInd/>
        <w:snapToGrid/>
        <w:spacing w:line="360" w:lineRule="auto"/>
        <w:ind w:right="0" w:rightChars="0" w:firstLine="482" w:firstLineChars="200"/>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以上</w:t>
      </w:r>
      <w:r>
        <w:rPr>
          <w:rFonts w:hint="eastAsia" w:ascii="宋体" w:hAnsi="宋体" w:eastAsia="宋体" w:cs="宋体"/>
          <w:b/>
          <w:bCs/>
          <w:color w:val="auto"/>
          <w:sz w:val="24"/>
          <w:szCs w:val="24"/>
          <w:highlight w:val="none"/>
        </w:rPr>
        <w:t>标注</w:t>
      </w:r>
      <w:r>
        <w:rPr>
          <w:rFonts w:hint="eastAsia" w:ascii="宋体" w:hAnsi="宋体" w:eastAsia="宋体" w:cs="宋体"/>
          <w:b/>
          <w:bCs/>
          <w:color w:val="auto"/>
          <w:kern w:val="0"/>
          <w:sz w:val="24"/>
          <w:szCs w:val="24"/>
          <w:highlight w:val="none"/>
        </w:rPr>
        <w:t xml:space="preserve"> </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FF0000"/>
          <w:kern w:val="0"/>
          <w:sz w:val="24"/>
          <w:szCs w:val="24"/>
          <w:highlight w:val="none"/>
        </w:rPr>
        <w:t>★</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符号的为实质性条款。不允许负偏离，否则按无效投标处理。</w:t>
      </w:r>
      <w:r>
        <w:rPr>
          <w:rFonts w:hint="eastAsia" w:ascii="宋体" w:hAnsi="宋体" w:eastAsia="宋体" w:cs="宋体"/>
          <w:b/>
          <w:bCs/>
          <w:color w:val="auto"/>
          <w:kern w:val="0"/>
          <w:sz w:val="24"/>
          <w:szCs w:val="24"/>
          <w:highlight w:val="none"/>
          <w:lang w:val="en-US" w:eastAsia="zh-CN"/>
        </w:rPr>
        <w:t>标注“</w:t>
      </w:r>
      <w:r>
        <w:rPr>
          <w:rFonts w:hint="eastAsia" w:ascii="宋体" w:hAnsi="宋体" w:eastAsia="宋体" w:cs="宋体"/>
          <w:b/>
          <w:bCs/>
          <w:color w:val="FF0000"/>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”符号的为谈判过程中可能实质性变动的内容。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rPr>
          <w:rFonts w:hint="eastAsia" w:ascii="宋体" w:hAnsi="宋体" w:eastAsia="宋体" w:cs="宋体"/>
          <w:sz w:val="24"/>
          <w:szCs w:val="24"/>
          <w:highlight w:val="none"/>
        </w:rPr>
      </w:pPr>
    </w:p>
    <w:sectPr>
      <w:pgSz w:w="11906" w:h="16838"/>
      <w:pgMar w:top="1440" w:right="1417" w:bottom="115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mJjNDA4MTRlZTc4ZjM1ZGEyZGFiZDlmZjJmZDkifQ=="/>
  </w:docVars>
  <w:rsids>
    <w:rsidRoot w:val="00000000"/>
    <w:rsid w:val="00046CA0"/>
    <w:rsid w:val="00BA1A55"/>
    <w:rsid w:val="013B009A"/>
    <w:rsid w:val="01C506B1"/>
    <w:rsid w:val="02896CCE"/>
    <w:rsid w:val="03A367B9"/>
    <w:rsid w:val="04074446"/>
    <w:rsid w:val="05F05F58"/>
    <w:rsid w:val="06930D7E"/>
    <w:rsid w:val="074F3A0C"/>
    <w:rsid w:val="07E07FF3"/>
    <w:rsid w:val="083019FE"/>
    <w:rsid w:val="084762C4"/>
    <w:rsid w:val="089D7C92"/>
    <w:rsid w:val="08A76D63"/>
    <w:rsid w:val="09521BCF"/>
    <w:rsid w:val="09935912"/>
    <w:rsid w:val="0B4D38DE"/>
    <w:rsid w:val="0BD936D7"/>
    <w:rsid w:val="0C090C0B"/>
    <w:rsid w:val="0C402010"/>
    <w:rsid w:val="0C4A1EDF"/>
    <w:rsid w:val="0C855C58"/>
    <w:rsid w:val="0D740437"/>
    <w:rsid w:val="0E4D72EC"/>
    <w:rsid w:val="0E7D2EA5"/>
    <w:rsid w:val="0EA77ABC"/>
    <w:rsid w:val="0F3B5718"/>
    <w:rsid w:val="0F4277E5"/>
    <w:rsid w:val="0FD541B5"/>
    <w:rsid w:val="0FF02D9D"/>
    <w:rsid w:val="104921DA"/>
    <w:rsid w:val="105477D0"/>
    <w:rsid w:val="11AA498A"/>
    <w:rsid w:val="12062D4C"/>
    <w:rsid w:val="123C49E8"/>
    <w:rsid w:val="126A32DB"/>
    <w:rsid w:val="127C300E"/>
    <w:rsid w:val="144B0EEA"/>
    <w:rsid w:val="147541B9"/>
    <w:rsid w:val="163836F0"/>
    <w:rsid w:val="16AD5139"/>
    <w:rsid w:val="16D939C6"/>
    <w:rsid w:val="16E21F48"/>
    <w:rsid w:val="171E28E6"/>
    <w:rsid w:val="19263CD4"/>
    <w:rsid w:val="193F08F1"/>
    <w:rsid w:val="19516FA3"/>
    <w:rsid w:val="1A9257CE"/>
    <w:rsid w:val="1AFC2F3E"/>
    <w:rsid w:val="1B3637C3"/>
    <w:rsid w:val="1B486183"/>
    <w:rsid w:val="1BB76E65"/>
    <w:rsid w:val="1BC75406"/>
    <w:rsid w:val="1BCA4DEA"/>
    <w:rsid w:val="1C20471D"/>
    <w:rsid w:val="1D1F1166"/>
    <w:rsid w:val="1EEB57A3"/>
    <w:rsid w:val="1F3D19BF"/>
    <w:rsid w:val="1F576995"/>
    <w:rsid w:val="1FAF4216"/>
    <w:rsid w:val="20C519C8"/>
    <w:rsid w:val="21153ED8"/>
    <w:rsid w:val="21303322"/>
    <w:rsid w:val="21836900"/>
    <w:rsid w:val="218E68BA"/>
    <w:rsid w:val="22166536"/>
    <w:rsid w:val="22B42350"/>
    <w:rsid w:val="23475E03"/>
    <w:rsid w:val="236A1C89"/>
    <w:rsid w:val="23792C1E"/>
    <w:rsid w:val="24747FE9"/>
    <w:rsid w:val="24955A4A"/>
    <w:rsid w:val="2505174B"/>
    <w:rsid w:val="25070E5D"/>
    <w:rsid w:val="2556149D"/>
    <w:rsid w:val="25B763DF"/>
    <w:rsid w:val="25F969F8"/>
    <w:rsid w:val="25FE1C0D"/>
    <w:rsid w:val="26C37006"/>
    <w:rsid w:val="273B094A"/>
    <w:rsid w:val="275C5AB2"/>
    <w:rsid w:val="27FB0808"/>
    <w:rsid w:val="280451E0"/>
    <w:rsid w:val="28DB0D2D"/>
    <w:rsid w:val="2A347DCF"/>
    <w:rsid w:val="2B4C75CA"/>
    <w:rsid w:val="2B886A64"/>
    <w:rsid w:val="2B8A1858"/>
    <w:rsid w:val="2B9E289E"/>
    <w:rsid w:val="2BA2368E"/>
    <w:rsid w:val="2BF54BFD"/>
    <w:rsid w:val="2C4E2ECE"/>
    <w:rsid w:val="2CA14FEA"/>
    <w:rsid w:val="2CA35DC9"/>
    <w:rsid w:val="2D482013"/>
    <w:rsid w:val="2D6D7CCB"/>
    <w:rsid w:val="2D946457"/>
    <w:rsid w:val="2E9524D7"/>
    <w:rsid w:val="2F9914E3"/>
    <w:rsid w:val="2FEA2B60"/>
    <w:rsid w:val="2FF74804"/>
    <w:rsid w:val="30556F21"/>
    <w:rsid w:val="30ED53AB"/>
    <w:rsid w:val="3148438F"/>
    <w:rsid w:val="32DB4B25"/>
    <w:rsid w:val="333E1EEE"/>
    <w:rsid w:val="33641229"/>
    <w:rsid w:val="33A1247D"/>
    <w:rsid w:val="33CC574C"/>
    <w:rsid w:val="346B5926"/>
    <w:rsid w:val="34CC65D3"/>
    <w:rsid w:val="35373099"/>
    <w:rsid w:val="354B444E"/>
    <w:rsid w:val="35812566"/>
    <w:rsid w:val="35AA386B"/>
    <w:rsid w:val="3623361D"/>
    <w:rsid w:val="367F7369"/>
    <w:rsid w:val="37065166"/>
    <w:rsid w:val="37092813"/>
    <w:rsid w:val="37D746BF"/>
    <w:rsid w:val="37DD15AA"/>
    <w:rsid w:val="37EB4B24"/>
    <w:rsid w:val="3852678F"/>
    <w:rsid w:val="39111E53"/>
    <w:rsid w:val="39754190"/>
    <w:rsid w:val="39E5225C"/>
    <w:rsid w:val="3A3E08B6"/>
    <w:rsid w:val="3A5C0A76"/>
    <w:rsid w:val="3A8328DC"/>
    <w:rsid w:val="3A924819"/>
    <w:rsid w:val="3B245E6D"/>
    <w:rsid w:val="3C1F4887"/>
    <w:rsid w:val="3C801BBA"/>
    <w:rsid w:val="3CC7795C"/>
    <w:rsid w:val="3D534526"/>
    <w:rsid w:val="3DC61E40"/>
    <w:rsid w:val="3DD11BB1"/>
    <w:rsid w:val="3F316B30"/>
    <w:rsid w:val="409E221E"/>
    <w:rsid w:val="40C57F07"/>
    <w:rsid w:val="41262ADB"/>
    <w:rsid w:val="416A2100"/>
    <w:rsid w:val="417F09B9"/>
    <w:rsid w:val="41D74E79"/>
    <w:rsid w:val="41FA7D66"/>
    <w:rsid w:val="42DA5063"/>
    <w:rsid w:val="4383063D"/>
    <w:rsid w:val="43A01E09"/>
    <w:rsid w:val="44015EA1"/>
    <w:rsid w:val="449A0F4E"/>
    <w:rsid w:val="44AE49FA"/>
    <w:rsid w:val="44D83825"/>
    <w:rsid w:val="44F20D8A"/>
    <w:rsid w:val="45A1630C"/>
    <w:rsid w:val="45DC2C9F"/>
    <w:rsid w:val="461D1232"/>
    <w:rsid w:val="464F5C99"/>
    <w:rsid w:val="469043B7"/>
    <w:rsid w:val="46D544C0"/>
    <w:rsid w:val="47BD70E3"/>
    <w:rsid w:val="47E0136E"/>
    <w:rsid w:val="485A1120"/>
    <w:rsid w:val="486A35F7"/>
    <w:rsid w:val="4880045B"/>
    <w:rsid w:val="48B545A9"/>
    <w:rsid w:val="4A084BAC"/>
    <w:rsid w:val="4A370FED"/>
    <w:rsid w:val="4A653DAC"/>
    <w:rsid w:val="4AC568B5"/>
    <w:rsid w:val="4B4B4B8B"/>
    <w:rsid w:val="4B4C358F"/>
    <w:rsid w:val="4BF76488"/>
    <w:rsid w:val="4C547C35"/>
    <w:rsid w:val="4E4D0DDF"/>
    <w:rsid w:val="4E555EE6"/>
    <w:rsid w:val="4F4C0B11"/>
    <w:rsid w:val="4F4C1097"/>
    <w:rsid w:val="4F870321"/>
    <w:rsid w:val="5019366F"/>
    <w:rsid w:val="50F43794"/>
    <w:rsid w:val="515D7F69"/>
    <w:rsid w:val="536015B5"/>
    <w:rsid w:val="539574B0"/>
    <w:rsid w:val="554C225B"/>
    <w:rsid w:val="55713605"/>
    <w:rsid w:val="559044CB"/>
    <w:rsid w:val="573828A1"/>
    <w:rsid w:val="579E445A"/>
    <w:rsid w:val="57EA769F"/>
    <w:rsid w:val="58052F20"/>
    <w:rsid w:val="587873A1"/>
    <w:rsid w:val="587F504B"/>
    <w:rsid w:val="58C93E1A"/>
    <w:rsid w:val="59C55661"/>
    <w:rsid w:val="59E46DEF"/>
    <w:rsid w:val="5A1530F9"/>
    <w:rsid w:val="5CB12E81"/>
    <w:rsid w:val="5EFF7FB1"/>
    <w:rsid w:val="5F7B4836"/>
    <w:rsid w:val="5F85487D"/>
    <w:rsid w:val="5F8E26EE"/>
    <w:rsid w:val="5FFC4EA1"/>
    <w:rsid w:val="607602AB"/>
    <w:rsid w:val="61073070"/>
    <w:rsid w:val="61E80A62"/>
    <w:rsid w:val="639808F7"/>
    <w:rsid w:val="63B514A9"/>
    <w:rsid w:val="64275C72"/>
    <w:rsid w:val="66862C89"/>
    <w:rsid w:val="66A31A8D"/>
    <w:rsid w:val="67C717AB"/>
    <w:rsid w:val="67D225ED"/>
    <w:rsid w:val="68594ED5"/>
    <w:rsid w:val="68664B20"/>
    <w:rsid w:val="6949691B"/>
    <w:rsid w:val="69763F9D"/>
    <w:rsid w:val="699A7177"/>
    <w:rsid w:val="6A5F2B0C"/>
    <w:rsid w:val="6A7C7DDD"/>
    <w:rsid w:val="6A8813AE"/>
    <w:rsid w:val="6ACB3360"/>
    <w:rsid w:val="6AD22940"/>
    <w:rsid w:val="6ADA0BC1"/>
    <w:rsid w:val="6B243303"/>
    <w:rsid w:val="6B2A277C"/>
    <w:rsid w:val="6CC22541"/>
    <w:rsid w:val="6DD56D43"/>
    <w:rsid w:val="6DD83511"/>
    <w:rsid w:val="6E053C7E"/>
    <w:rsid w:val="6E101829"/>
    <w:rsid w:val="6E2148DC"/>
    <w:rsid w:val="6E384D2A"/>
    <w:rsid w:val="6ED053E9"/>
    <w:rsid w:val="6FD76303"/>
    <w:rsid w:val="705767E7"/>
    <w:rsid w:val="706E4EB9"/>
    <w:rsid w:val="70FD4647"/>
    <w:rsid w:val="71112545"/>
    <w:rsid w:val="71754026"/>
    <w:rsid w:val="71C07997"/>
    <w:rsid w:val="72200435"/>
    <w:rsid w:val="724A54B2"/>
    <w:rsid w:val="72BC2352"/>
    <w:rsid w:val="72D86DFB"/>
    <w:rsid w:val="72E15E16"/>
    <w:rsid w:val="738B5D9F"/>
    <w:rsid w:val="7399049F"/>
    <w:rsid w:val="73E02A81"/>
    <w:rsid w:val="740873D3"/>
    <w:rsid w:val="7491561A"/>
    <w:rsid w:val="749C01C9"/>
    <w:rsid w:val="74C220C0"/>
    <w:rsid w:val="74EE0377"/>
    <w:rsid w:val="76650B0D"/>
    <w:rsid w:val="76D81541"/>
    <w:rsid w:val="77067D67"/>
    <w:rsid w:val="771D599D"/>
    <w:rsid w:val="77D940FA"/>
    <w:rsid w:val="77E65C7D"/>
    <w:rsid w:val="77E958C7"/>
    <w:rsid w:val="7856493A"/>
    <w:rsid w:val="785E3A65"/>
    <w:rsid w:val="78C7160B"/>
    <w:rsid w:val="79112886"/>
    <w:rsid w:val="794F1733"/>
    <w:rsid w:val="7AE26587"/>
    <w:rsid w:val="7C305719"/>
    <w:rsid w:val="7D9836D6"/>
    <w:rsid w:val="7DC664BB"/>
    <w:rsid w:val="7E282B4B"/>
    <w:rsid w:val="7E995FD1"/>
    <w:rsid w:val="7EC565EC"/>
    <w:rsid w:val="7F150737"/>
    <w:rsid w:val="7F8C5A91"/>
    <w:rsid w:val="7FB9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tabs>
        <w:tab w:val="left" w:pos="864"/>
      </w:tabs>
      <w:spacing w:before="280" w:beforeLines="0" w:after="290" w:afterLines="0" w:line="376" w:lineRule="auto"/>
      <w:ind w:left="864" w:hanging="144" w:firstLineChars="0"/>
      <w:jc w:val="both"/>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500" w:lineRule="exact"/>
      <w:ind w:firstLine="444" w:firstLineChars="185"/>
    </w:pPr>
    <w:rPr>
      <w:rFonts w:asciiTheme="minorHAnsi" w:hAnsiTheme="minorHAnsi" w:cstheme="minorBidi"/>
      <w:sz w:val="24"/>
    </w:rPr>
  </w:style>
  <w:style w:type="paragraph" w:styleId="5">
    <w:name w:val="toa heading"/>
    <w:basedOn w:val="1"/>
    <w:next w:val="1"/>
    <w:qFormat/>
    <w:uiPriority w:val="0"/>
    <w:pPr>
      <w:keepNext w:val="0"/>
      <w:keepLines w:val="0"/>
      <w:widowControl w:val="0"/>
      <w:suppressLineNumbers w:val="0"/>
      <w:spacing w:before="120" w:beforeAutospacing="0" w:after="0" w:afterAutospacing="0"/>
      <w:ind w:left="0" w:right="0"/>
      <w:jc w:val="both"/>
    </w:pPr>
    <w:rPr>
      <w:rFonts w:ascii="Arial" w:hAnsi="Arial" w:eastAsia="宋体" w:cs="Times New Roman"/>
      <w:kern w:val="2"/>
      <w:sz w:val="24"/>
      <w:szCs w:val="24"/>
      <w:lang w:val="en-US" w:eastAsia="zh-CN" w:bidi="ar"/>
    </w:rPr>
  </w:style>
  <w:style w:type="paragraph" w:styleId="6">
    <w:name w:val="Body Text"/>
    <w:basedOn w:val="1"/>
    <w:next w:val="1"/>
    <w:qFormat/>
    <w:uiPriority w:val="99"/>
    <w:pPr>
      <w:widowControl w:val="0"/>
      <w:kinsoku/>
      <w:adjustRightInd/>
      <w:snapToGrid/>
      <w:textAlignment w:val="auto"/>
    </w:pPr>
    <w:rPr>
      <w:rFonts w:ascii="宋体" w:hAnsi="宋体" w:eastAsia="宋体" w:cs="宋体"/>
      <w:snapToGrid/>
      <w:color w:val="auto"/>
      <w:sz w:val="24"/>
      <w:szCs w:val="24"/>
      <w:lang w:eastAsia="en-US"/>
    </w:rPr>
  </w:style>
  <w:style w:type="paragraph" w:styleId="7">
    <w:name w:val="Body Text First Indent"/>
    <w:basedOn w:val="6"/>
    <w:qFormat/>
    <w:uiPriority w:val="0"/>
    <w:pPr>
      <w:tabs>
        <w:tab w:val="left" w:pos="567"/>
      </w:tabs>
      <w:ind w:firstLine="420" w:firstLineChars="100"/>
    </w:pPr>
  </w:style>
  <w:style w:type="paragraph" w:customStyle="1" w:styleId="10">
    <w:name w:val="No Spacing1"/>
    <w:qFormat/>
    <w:uiPriority w:val="99"/>
    <w:pPr>
      <w:widowControl w:val="0"/>
      <w:jc w:val="both"/>
    </w:pPr>
    <w:rPr>
      <w:rFonts w:ascii="Calibri" w:hAnsi="Calibri" w:eastAsia="等线" w:cs="等线"/>
      <w:kern w:val="2"/>
      <w:sz w:val="21"/>
      <w:szCs w:val="22"/>
      <w:lang w:val="en-US" w:eastAsia="zh-CN" w:bidi="ar-SA"/>
    </w:rPr>
  </w:style>
  <w:style w:type="character" w:customStyle="1" w:styleId="11">
    <w:name w:val="font41"/>
    <w:basedOn w:val="9"/>
    <w:qFormat/>
    <w:uiPriority w:val="0"/>
    <w:rPr>
      <w:rFonts w:hint="eastAsia" w:ascii="宋体" w:hAnsi="宋体" w:eastAsia="宋体" w:cs="宋体"/>
      <w:b/>
      <w:color w:val="000000"/>
      <w:sz w:val="36"/>
      <w:szCs w:val="36"/>
      <w:u w:val="none"/>
    </w:rPr>
  </w:style>
  <w:style w:type="paragraph" w:customStyle="1" w:styleId="12">
    <w:name w:val="样式 首行缩进:  2 字符"/>
    <w:basedOn w:val="1"/>
    <w:qFormat/>
    <w:uiPriority w:val="0"/>
    <w:pPr>
      <w:keepNext w:val="0"/>
      <w:keepLines w:val="0"/>
      <w:widowControl w:val="0"/>
      <w:suppressLineNumbers w:val="0"/>
      <w:spacing w:before="0" w:beforeAutospacing="0" w:after="0" w:afterAutospacing="0"/>
      <w:ind w:left="0" w:right="0" w:firstLine="560"/>
      <w:jc w:val="both"/>
    </w:pPr>
    <w:rPr>
      <w:rFonts w:hint="default" w:ascii="Times New Roman" w:hAnsi="Times New Roman" w:eastAsia="仿宋_GB2312" w:cs="Times New Roman"/>
      <w:kern w:val="2"/>
      <w:sz w:val="24"/>
      <w:szCs w:val="20"/>
      <w:lang w:val="en-US" w:eastAsia="zh-CN" w:bidi="ar"/>
    </w:rPr>
  </w:style>
  <w:style w:type="character" w:customStyle="1" w:styleId="13">
    <w:name w:val="UserStyle_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3987</Words>
  <Characters>4046</Characters>
  <Lines>0</Lines>
  <Paragraphs>0</Paragraphs>
  <TotalTime>3</TotalTime>
  <ScaleCrop>false</ScaleCrop>
  <LinksUpToDate>false</LinksUpToDate>
  <CharactersWithSpaces>4088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2022-06-22T03:02:00Z</dcterms:created>
  <dc:creator>hp</dc:creator>
  <cp:lastModifiedBy>Administrator</cp:lastModifiedBy>
  <cp:lastPrinted>2023-05-18T01:54:00Z</cp:lastPrinted>
  <dcterms:modified xsi:type="dcterms:W3CDTF">2024-06-07T07:51:38Z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C094551C637F4BF09388D37261A313BE_13</vt:lpwstr>
  </property>
</Properties>
</file>