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440115-2024-02657</w:t>
      </w:r>
    </w:p>
    <w:p>
      <w:pPr>
        <w:pStyle w:val="null3"/>
        <w:jc w:val="center"/>
        <w:outlineLvl w:val="3"/>
      </w:pPr>
      <w:r>
        <w:rPr>
          <w:sz w:val="24"/>
          <w:b/>
        </w:rPr>
        <w:t>采购项目编号：</w:t>
      </w:r>
      <w:r>
        <w:rPr>
          <w:sz w:val="24"/>
          <w:b/>
        </w:rPr>
        <w:t>ZJNSC2024-128</w:t>
      </w:r>
    </w:p>
    <w:p>
      <w:pPr>
        <w:pStyle w:val="null3"/>
        <w:jc w:val="center"/>
        <w:outlineLvl w:val="3"/>
      </w:pPr>
      <w:r>
        <w:rPr>
          <w:sz w:val="24"/>
          <w:b/>
        </w:rPr>
        <w:t>项目名称：</w:t>
      </w:r>
      <w:r>
        <w:rPr>
          <w:sz w:val="24"/>
          <w:b/>
        </w:rPr>
        <w:t>2024年度万顷沙镇除“四害”及白蚁、红火蚁防控消杀服务项目</w:t>
      </w:r>
    </w:p>
    <w:p>
      <w:pPr>
        <w:pStyle w:val="null3"/>
        <w:jc w:val="center"/>
        <w:outlineLvl w:val="3"/>
      </w:pPr>
      <w:r>
        <w:rPr>
          <w:sz w:val="24"/>
          <w:b/>
        </w:rPr>
        <w:t>采购人：</w:t>
      </w:r>
      <w:r>
        <w:rPr>
          <w:sz w:val="24"/>
          <w:b/>
        </w:rPr>
        <w:t>广州市南沙区万顷沙镇人民政府</w:t>
      </w:r>
    </w:p>
    <w:p>
      <w:pPr>
        <w:pStyle w:val="null3"/>
        <w:jc w:val="center"/>
        <w:outlineLvl w:val="3"/>
      </w:pPr>
      <w:r>
        <w:rPr>
          <w:sz w:val="24"/>
          <w:b/>
        </w:rPr>
        <w:t>采购代理机构：</w:t>
      </w:r>
      <w:r>
        <w:rPr>
          <w:sz w:val="24"/>
          <w:b/>
        </w:rPr>
        <w:t>中基科技（广州）有限公司南沙招标代理分公司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中基科技（广州）有限公司南沙招标代理分公司</w:t>
      </w:r>
      <w:r>
        <w:rPr/>
        <w:t>受</w:t>
      </w:r>
      <w:r>
        <w:rPr/>
        <w:t>广州市南沙区万顷沙镇人民政府</w:t>
      </w:r>
      <w:r>
        <w:rPr/>
        <w:t>的委托，采用</w:t>
      </w:r>
      <w:r>
        <w:rPr/>
        <w:t>竞争性磋商</w:t>
      </w:r>
      <w:r>
        <w:rPr/>
        <w:t>方式组织采购</w:t>
      </w:r>
      <w:r>
        <w:rPr/>
        <w:t>2024年度万顷沙镇除“四害”及白蚁、红火蚁防控消杀服务项目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2024年度万顷沙镇除“四害”及白蚁、红火蚁防控消杀服务项目</w:t>
      </w:r>
    </w:p>
    <w:p>
      <w:pPr>
        <w:pStyle w:val="null3"/>
        <w:ind w:firstLine="480"/>
      </w:pPr>
      <w:r>
        <w:rPr/>
        <w:t>采购计划编号：</w:t>
      </w:r>
      <w:r>
        <w:rPr/>
        <w:t>440115-2024-02657</w:t>
      </w:r>
    </w:p>
    <w:p>
      <w:pPr>
        <w:pStyle w:val="null3"/>
        <w:ind w:firstLine="480"/>
      </w:pPr>
      <w:r>
        <w:rPr/>
        <w:t>采购项目编号：</w:t>
      </w:r>
      <w:r>
        <w:rPr/>
        <w:t>ZJNSC2024-128</w:t>
      </w:r>
    </w:p>
    <w:p>
      <w:pPr>
        <w:pStyle w:val="null3"/>
        <w:ind w:firstLine="480"/>
      </w:pPr>
      <w:r>
        <w:rPr/>
        <w:t>采购方式：</w:t>
      </w:r>
      <w:r>
        <w:rPr/>
        <w:t>竞争性磋商</w:t>
      </w:r>
    </w:p>
    <w:p>
      <w:pPr>
        <w:pStyle w:val="null3"/>
        <w:ind w:firstLine="480"/>
      </w:pPr>
      <w:r>
        <w:rPr/>
        <w:t>预算金额：</w:t>
      </w:r>
      <w:r>
        <w:rPr/>
        <w:t>1,130,000.00</w:t>
      </w:r>
      <w:r>
        <w:rPr/>
        <w:t>元</w:t>
      </w:r>
    </w:p>
    <w:p>
      <w:pPr>
        <w:pStyle w:val="null3"/>
        <w:outlineLvl w:val="3"/>
      </w:pPr>
      <w:r>
        <w:rPr>
          <w:sz w:val="24"/>
          <w:b/>
        </w:rPr>
        <w:t>2.项目内容及需求情况（采购项目技术规格、参数及要求）</w:t>
      </w:r>
    </w:p>
    <w:p>
      <w:pPr>
        <w:pStyle w:val="null3"/>
      </w:pPr>
      <w:r>
        <w:rPr/>
        <w:t>采购包1(2024年度万顷沙镇除“四害”及白蚁、红火蚁防控消杀服务项目):</w:t>
      </w:r>
    </w:p>
    <w:p>
      <w:pPr>
        <w:pStyle w:val="null3"/>
      </w:pPr>
      <w:r>
        <w:rPr/>
        <w:t>采购包预算金额：1,130,000.00元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其他城镇公共卫生服务</w:t>
            </w:r>
          </w:p>
        </w:tc>
        <w:tc>
          <w:tcPr>
            <w:tcW w:type="dxa" w:w="2136"/>
          </w:tcPr>
          <w:p>
            <w:pPr>
              <w:pStyle w:val="null3"/>
            </w:pPr>
            <w:r>
              <w:rPr/>
              <w:t>除“四害”及白蚁、红火蚁防控消杀服务项目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2）有依法缴纳税收和社会保障资金的良好记录：按响应文件格式与要求提供《响应承诺函》。</w:t>
      </w:r>
    </w:p>
    <w:p>
      <w:pPr>
        <w:pStyle w:val="null3"/>
      </w:pPr>
      <w:r>
        <w:rPr/>
        <w:t>3）具有良好的商业信誉和健全的财务会计制度：按响应文件格式与要求提供《响应承诺函》。</w:t>
      </w:r>
    </w:p>
    <w:p>
      <w:pPr>
        <w:pStyle w:val="null3"/>
      </w:pPr>
      <w:r>
        <w:rPr/>
        <w:t>4）履行合同所必需的设备和专业技术能力：按响应文件格式与要求提供《响应承诺函》。</w:t>
      </w:r>
    </w:p>
    <w:p>
      <w:pPr>
        <w:pStyle w:val="null3"/>
      </w:pPr>
      <w:r>
        <w:rPr/>
        <w:t>5）参加采购活动前3年内，在经营活动中没有重大违法记录：在经营活动中没有重大违法记录，按响应文件格式与要求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采购包1（2024年度万顷沙镇除“四害”及白蚁、红火蚁防控消杀服务项目）：</w:t>
      </w:r>
      <w:r>
        <w:rPr/>
        <w:t>本合同包属于专门面向中小企业采购的项目。 供应商须为符合本项目采购标的对应行业划分标准的中型企业或小型企业或微型企业（监狱企业、残疾人福利单位视同小型、微型企业）。注：中小企业以供应商填写的《中小企业声明函》（按响应文件格式与要求）为判定标准，残疾人福利性单位以供应商填写的《残疾人福利性单位声明函》（按响应文件格式与要求）为判定标准，监狱企业须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采购包1（2024年度万顷沙镇除“四害”及白蚁、红火蚁防控消杀服务项目）：</w:t>
      </w:r>
    </w:p>
    <w:p>
      <w:pPr>
        <w:pStyle w:val="null3"/>
      </w:pPr>
      <w:r>
        <w:rPr/>
        <w:t>1)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2)单位负责人为同一人或者存在直接控股、管理关系的不同供应商，不得同时参加本采购项目（或合同包）投标（响应）。为本项目提供整体设计、规范编制或者项目管理、 监理、 检测等服务的供应商，不得再参与本项目投标（响应）。本合同包不接受联合体投标。符合法律、行政法规规定的其他条件。（按响应文件格式与要求提供《响应承诺函》）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广州市南沙区万顷沙镇人民政府</w:t>
      </w:r>
    </w:p>
    <w:p>
      <w:pPr>
        <w:pStyle w:val="null3"/>
        <w:ind w:firstLine="480"/>
      </w:pPr>
      <w:r>
        <w:rPr/>
        <w:t>地址：</w:t>
      </w:r>
      <w:r>
        <w:rPr/>
        <w:t>广州市南沙区万顷沙镇光明路49号</w:t>
      </w:r>
    </w:p>
    <w:p>
      <w:pPr>
        <w:pStyle w:val="null3"/>
        <w:ind w:firstLine="480"/>
      </w:pPr>
      <w:r>
        <w:rPr/>
        <w:t>联系方式：</w:t>
      </w:r>
      <w:r>
        <w:rPr/>
        <w:t>020-84529679</w:t>
      </w:r>
    </w:p>
    <w:p>
      <w:pPr>
        <w:pStyle w:val="null3"/>
        <w:outlineLvl w:val="3"/>
      </w:pPr>
      <w:r>
        <w:rPr>
          <w:sz w:val="24"/>
          <w:b/>
        </w:rPr>
        <w:t>2.采购代理机构信息</w:t>
      </w:r>
    </w:p>
    <w:p>
      <w:pPr>
        <w:pStyle w:val="null3"/>
        <w:ind w:firstLine="480"/>
      </w:pPr>
      <w:r>
        <w:rPr/>
        <w:t>名称：</w:t>
      </w:r>
      <w:r>
        <w:rPr/>
        <w:t>中基科技（广州）有限公司南沙招标代理分公司</w:t>
      </w:r>
    </w:p>
    <w:p>
      <w:pPr>
        <w:pStyle w:val="null3"/>
        <w:ind w:firstLine="480"/>
      </w:pPr>
      <w:r>
        <w:rPr/>
        <w:t xml:space="preserve"> 地址：</w:t>
      </w:r>
      <w:r>
        <w:rPr/>
        <w:t>广州市南沙区南沙街成汇街2号603房</w:t>
      </w:r>
    </w:p>
    <w:p>
      <w:pPr>
        <w:pStyle w:val="null3"/>
        <w:ind w:firstLine="480"/>
      </w:pPr>
      <w:r>
        <w:rPr/>
        <w:t xml:space="preserve"> 联系方式：</w:t>
      </w:r>
      <w:r>
        <w:rPr/>
        <w:t>020-84889086</w:t>
      </w:r>
    </w:p>
    <w:p>
      <w:pPr>
        <w:pStyle w:val="null3"/>
        <w:outlineLvl w:val="3"/>
      </w:pPr>
      <w:r>
        <w:rPr>
          <w:sz w:val="24"/>
          <w:b/>
        </w:rPr>
        <w:t xml:space="preserve"> 3.项目联系方式</w:t>
      </w:r>
    </w:p>
    <w:p>
      <w:pPr>
        <w:pStyle w:val="null3"/>
        <w:ind w:firstLine="480"/>
      </w:pPr>
      <w:r>
        <w:rPr/>
        <w:t xml:space="preserve"> 项目联系人：</w:t>
      </w:r>
      <w:r>
        <w:rPr/>
        <w:t>叶小姐</w:t>
      </w:r>
    </w:p>
    <w:p>
      <w:pPr>
        <w:pStyle w:val="null3"/>
        <w:ind w:firstLine="480"/>
      </w:pPr>
      <w:r>
        <w:rPr/>
        <w:t xml:space="preserve"> 电话：</w:t>
      </w:r>
      <w:r>
        <w:rPr/>
        <w:t>020-84889086</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中基科技（广州）有限公司南沙招标代理分公司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一)本项目属性：服务类。本项目采购标的对应的中小企业划分标准所属行业为：其他未列明行业。供应商享受中小企业扶持政策的，需根据本项目类别填写《中小企业声明函（服务）》。《中小企业声明函》中相关企业[承接企业]所属行业应当与采购标的所属行业相一致。供应商提供的声明函中填写的内容有误，将可能导致无法享受相关中小企业扶持政策。若所提供的声明函内容不实的，属于提供虚假材料谋取中标，依照《中华人民共和国政府采购法》等国家有关规定追究相应责任。</w:t>
      </w:r>
      <w:r>
        <w:br/>
      </w:r>
      <w:r>
        <w:rPr/>
        <w:t xml:space="preserve"> (二)按照《广州市财政局转发广东省财政厅关于印发省本级政府购买服务指导性目录的通知》（穗财行〔2022〕138号），本次采购项目属于“传染病防控服务”，为政府购买服务项目。</w:t>
      </w:r>
      <w:r>
        <w:br/>
      </w:r>
      <w:r>
        <w:rPr/>
        <w:t xml:space="preserve"> (三)合同包为最小投标单位。供应商须对所投合同包的采购标的进行整体投标，任何只对合同包采购标的其中一部分内容、数量进行的投标都被视为无效投标。</w:t>
      </w:r>
      <w:r>
        <w:br/>
      </w:r>
      <w:r>
        <w:rPr/>
        <w:t xml:space="preserve"> (四)为落实政府采购政策需满足的要求：</w:t>
      </w:r>
      <w:r>
        <w:br/>
      </w:r>
      <w:r>
        <w:rPr/>
        <w:t xml:space="preserve"> 1、《政府采购促进中小企业发展管理办法》（财库〔2020〕46号）、《关于运用政府采购政策支持脱贫攻坚的通知》（财库〔2019〕27号）、《关于调整优化节能产品、环境标志产品政府采购执行机制的通知》（财库〔2019〕9号）、《关于促进残疾人就业政府采购政策的通知》（财库〔2017〕141号)、《关于政府采购支持监狱企业发展有关问题的通知》(财库〔2014〕68号)、《关于环境标志产品政府采购实施的意见》（财库〔2006〕90号）等；</w:t>
      </w:r>
      <w:r>
        <w:br/>
      </w:r>
      <w:r>
        <w:rPr/>
        <w:t xml:space="preserve"> 根据《广州市财政局 中国人民银行广州分行营业部关于开展广州市政府采购合同线上融资业务的通知》（穗财采〔2020〕9号）的要求，为贯彻落实国务院支持和促进优化营商环境的决策部署，进一步发挥政府采购政策导向作用和中国人民银行征信中心应收账款融资服务平台（以下简称“中征应收账款融资服务平台”）的融资服务功能，推动政府采购合同线上融资，发挥政府采购扶持中小企业发展的政策功能，缓解中小企业融资难、融资贵的问题，帮助企业渡过难关，实现应收账款融资回款账户锁定，结合《关于开展省级政府采购合同融资工作的通知》（粤财采购〔2020〕6号）、《关于进一步深化小微企业金融服务的意见》（银发〔2018〕162号）规定，本项目欢迎参与政府采购活动并中标的中小微企业，通过“中征应收账款融资服务平台”向银行线上申请融资服务。</w:t>
      </w:r>
    </w:p>
    <w:p>
      <w:pPr>
        <w:pStyle w:val="null3"/>
      </w:pPr>
      <w:r>
        <w:rPr/>
        <w:t>采购包1（2024年度万顷沙镇除“四害”及白蚁、红火蚁防控消杀服务项目）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服务费按季度结算。采购人在收齐上级部门下发的每个考核期内的各期监测报告后，及时出具考评结果并通知成交供应商，成交供应商根据考评结果开具等额正式发票，并提交工作台账、工作总结、第三方监测报告、合同等相关结算文件，采购人在收齐成交供应商结算文件且审核无误后，在15日内予以付款（如有扣款，扣除后支付）。 因采购人使用的是财政资金，前述条款约定的采购人付款时间为采购人向政府财政支付部门提出办理财政支付申请手续的时间(不含政府财政支付部门审核的时间)，采购人在规定时间内向政府财政支付部门提出办理支付申请手续后即视为采购人已经按期支付应付费用，成交供应商不得因费用拨付滞后而影响正常工作开展和工作质量。</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1期：1、采购人应当在收到成交供应商项目验收建议之日7日内按照合同的约定对履约情况进行验收，对每一项技术、服务、安全标准的履约情况进行确认。 2、验收由采购人组织相关人员依照有关标准、项目及合同要求进行。党政综合办公室组织相关人员负责对白蚁消杀服务项目的验收工作；农业农村技术服务中心组织相关人员负责对红火蚁防控服务项目，农田灭鼠指导和提供灭鼠、灭红火蚁药物服务的验收工作；公共服务办公室组织相关人员负责除“四害”消杀服务项目的验收工作。 3、验收完毕由采购人及成交供应商在验收报告上盖章确认。 4、成交供应商开展的相关工作及提交的工作报告应得到采购人认同、验收后方为完成合同内容。对验收不合格的部分，成交供应商应在采购人规定时间内及时整改完善直至合格。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项目预算</w:t>
            </w:r>
          </w:p>
        </w:tc>
        <w:tc>
          <w:tcPr>
            <w:tcW w:type="dxa" w:w="2076"/>
          </w:tcPr>
          <w:p>
            <w:pPr>
              <w:pStyle w:val="null3"/>
              <w:jc w:val="left"/>
            </w:pPr>
            <w:r>
              <w:rPr/>
              <w:t>项目总预算为113万元，其中突发性服务费用10万元（每件突发应急消杀处置事件服务费用为2万元，不超出10万元，超出的服务费用由服务方承担，突发应急事件消杀处置服务个数，按每年实际发生计算，据实结算。）</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投标报价包括但不限于“四害”及白蚁、红火蚁防控消杀的药物、器械、人工、税费及其他供应商履行本合同义务所需的全部费用。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其他城镇公共卫生服务</w:t>
            </w:r>
          </w:p>
        </w:tc>
        <w:tc>
          <w:tcPr>
            <w:tcW w:type="dxa" w:w="933"/>
          </w:tcPr>
          <w:p>
            <w:pPr>
              <w:pStyle w:val="null3"/>
              <w:jc w:val="left"/>
            </w:pPr>
            <w:r>
              <w:rPr/>
              <w:t>除“四害”及白蚁、红火蚁防控消杀服务项目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1,130,000.00</w:t>
            </w:r>
          </w:p>
        </w:tc>
        <w:tc>
          <w:tcPr>
            <w:tcW w:type="dxa" w:w="933"/>
          </w:tcPr>
          <w:p>
            <w:pPr>
              <w:pStyle w:val="null3"/>
              <w:jc w:val="right"/>
            </w:pPr>
            <w:r>
              <w:rPr/>
              <w:t>1,130,000.00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除“四害”及白蚁、红火蚁防控消杀服务项目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rPr>
              <w:t>一、项目概况</w:t>
            </w:r>
            <w:r>
              <w:br/>
            </w:r>
            <w:r>
              <w:rPr/>
              <w:t xml:space="preserve"> 采购标的需实现的功能或者目标：为进一步扎实推进以防蚊灭蚊为重点的爱国卫生运动，预防和控制鼠、蚊、蝇、蟑螂（以下简称“四害”）、白蚁及红火蚁的危害，按照南沙区关于“病媒生物防制”工作的要求和标准，通过采取综合防制措施，消除“四害”孳生地和红火蚁及白蚁出现地，使“四害”、红火蚁和白蚁等有害生物得到有效控制，通过聘请专业消杀公司组织实施消杀，确保全镇辖内“四害”、红火蚁和白蚁密度控制在国家规定标准以内。</w:t>
            </w:r>
          </w:p>
        </w:tc>
      </w:tr>
      <w:tr>
        <w:tc>
          <w:tcPr>
            <w:tcW w:type="dxa" w:w="2076"/>
          </w:tcPr>
          <w:p/>
        </w:tc>
        <w:tc>
          <w:tcPr>
            <w:tcW w:type="dxa" w:w="415"/>
          </w:tcPr>
          <w:p>
            <w:pPr>
              <w:pStyle w:val="null3"/>
            </w:pPr>
            <w:r>
              <w:rPr/>
              <w:t>2</w:t>
            </w:r>
          </w:p>
        </w:tc>
        <w:tc>
          <w:tcPr>
            <w:tcW w:type="dxa" w:w="5814"/>
          </w:tcPr>
          <w:p>
            <w:pPr>
              <w:pStyle w:val="null3"/>
            </w:pPr>
            <w:r>
              <w:rPr>
                <w:b/>
              </w:rPr>
              <w:t>二、项目内容</w:t>
            </w:r>
            <w:r>
              <w:br/>
            </w:r>
            <w:r>
              <w:rPr>
                <w:b/>
              </w:rPr>
              <w:t xml:space="preserve">   （一）日常服务内容</w:t>
            </w:r>
          </w:p>
          <w:tbl>
            <w:tblPr>
              <w:tblBorders>
                <w:top w:val="none" w:color="000000" w:sz="4"/>
                <w:left w:val="none" w:color="000000" w:sz="4"/>
                <w:bottom w:val="none" w:color="000000" w:sz="4"/>
                <w:right w:val="none" w:color="000000" w:sz="4"/>
                <w:insideH w:val="none"/>
                <w:insideV w:val="none"/>
              </w:tblBorders>
            </w:tblPr>
            <w:tblGrid>
              <w:gridCol w:w="619"/>
              <w:gridCol w:w="2342"/>
              <w:gridCol w:w="1022"/>
              <w:gridCol w:w="1613"/>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服务范围</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频率</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1.全镇16条村居辖区公共区域、镇政府各内设机构及镇设置的5个事业单位、镇敬老院、镇工疗站、派出所内外环境；</w:t>
                  </w:r>
                </w:p>
                <w:p>
                  <w:pPr>
                    <w:pStyle w:val="null3"/>
                    <w:jc w:val="left"/>
                  </w:pPr>
                  <w:r>
                    <w:rPr>
                      <w:sz w:val="21"/>
                    </w:rPr>
                    <w:t>2.对农区、鱼塘进行灭鼠指导，提供灭鼠药品给村居进行农田防控，每年合计提供灭鼠药品不少于3吨。</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除四害（鼠、蚊、蝇、蟑螂），翻盆倒罐、清除蚊虫孳生地、鼠迹鼠粪</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灭蚊：4次/月；</w:t>
                  </w:r>
                </w:p>
                <w:p>
                  <w:pPr>
                    <w:pStyle w:val="null3"/>
                    <w:jc w:val="center"/>
                  </w:pPr>
                  <w:r>
                    <w:rPr>
                      <w:sz w:val="21"/>
                    </w:rPr>
                    <w:t>灭鼠：4次/月；</w:t>
                  </w:r>
                </w:p>
                <w:p>
                  <w:pPr>
                    <w:pStyle w:val="null3"/>
                    <w:jc w:val="center"/>
                  </w:pPr>
                  <w:r>
                    <w:rPr>
                      <w:sz w:val="21"/>
                    </w:rPr>
                    <w:t>灭蝇：4次/月；</w:t>
                  </w:r>
                </w:p>
                <w:p>
                  <w:pPr>
                    <w:pStyle w:val="null3"/>
                    <w:jc w:val="center"/>
                  </w:pPr>
                  <w:r>
                    <w:rPr>
                      <w:sz w:val="21"/>
                    </w:rPr>
                    <w:t>灭蟑：4次/月。</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镇政府各内设机构及镇设置的5个事业单位、镇敬老院、镇工疗站、派出所内外环境。</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白蚁防治</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每月2次</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w:t>
                  </w:r>
                  <w:r>
                    <w:rPr>
                      <w:sz w:val="21"/>
                    </w:rPr>
                    <w:t>全镇16个村（居）、辖内学校、镇敬老院、工疗站、公园、广场、公路边的行人路和绿化林带公共区域由服务方进行防控；</w:t>
                  </w:r>
                </w:p>
                <w:p>
                  <w:pPr>
                    <w:pStyle w:val="null3"/>
                    <w:jc w:val="left"/>
                  </w:pPr>
                  <w:r>
                    <w:rPr>
                      <w:sz w:val="21"/>
                    </w:rPr>
                    <w:t>2.</w:t>
                  </w:r>
                  <w:r>
                    <w:rPr>
                      <w:sz w:val="21"/>
                    </w:rPr>
                    <w:t>对农区、鱼塘进行红火蚁防控指导，提供红火蚁防控药品给村（居）、塘主进行农田、鱼塘防控，鱼塘总面积约3.5万亩，塘基约0.7万亩，每年合计提供药品不少于3吨。</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红火蚁防控</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每年4至5月、10至11月为重点防控期，除天气问题，应每天安排人员进行防控，保证每个月对16个村（社区）、辖内学校、镇敬老院、镇工疗站、公园、广场、公路边的行人路和绿化林带公共区域防控一次。</w:t>
                  </w:r>
                </w:p>
              </w:tc>
            </w:tr>
          </w:tbl>
          <w:p>
            <w:pPr>
              <w:pStyle w:val="null3"/>
            </w:pPr>
            <w:r>
              <w:rPr/>
              <w:t>（二）突发性应急服务内容</w:t>
            </w:r>
            <w:r>
              <w:br/>
            </w:r>
            <w:r>
              <w:rPr/>
              <w:t xml:space="preserve"> 1.疫点应急消杀服务。对突发的登革热疫情提供专业的疫点应急消杀处置服务，做到人员、药械和消杀处置行动及时到位，严格控制疫情扩散。疫点消杀处置范围为病例半径400米之内的空间范围全覆盖（核心区为病例半径200米，警戒区为核心区外扩展半径200米空间范围），警戒区与核心区同步处理。疫点消杀处置服务包括清除蚊虫孳生地、灭杀成蚊及消杀处置效果监测等处置措施。每疫点连续消杀3天后，实施蚊媒密度监测措施，监测指数不达标的，再次实施消杀处置，直到监测指数达标或区疾控中心检验合格为止。疫点首轮应急处置后，每隔5-7天消杀处置一次，总消杀处置次数不少于5次（首轮消杀处置不达标的，总消杀处置次数不少于6次），直到25天内没有续发病例，该处疫点应急消杀工作才算结束。若疫点处置后，25天内核心区出现新增病例，服务方须继续实施新一轮消杀行动，新增病例经上级疾病预防控制中心复核为续发病例的，该疫点消杀费用只按一个疫点结算，如经上级疾病预防控制中心复核后排除续发病例的，按新增疫点结算。本项目在突发登革热疫情出现疫点时，按实际发生的疫点消杀数量结算，无疫情无疫点不产生费用。</w:t>
            </w:r>
            <w:r>
              <w:br/>
            </w:r>
            <w:r>
              <w:rPr/>
              <w:t xml:space="preserve"> 2.根据上级爱卫部门和镇公共服务办公室通知开展的统一消杀行动。除日常消杀工作外，根据上级爱卫部门工作要求，组织开展的全辖区灭蚊、灭鼠等四害防制统一行动。辖内有迎检任务、重大活动或其他突发任务时，镇公共服务办公室要求开展的消杀服务。本项目按实际发生的消杀次数结算，以书面通知为准，无相关消杀服务不产生费用。</w:t>
            </w:r>
          </w:p>
        </w:tc>
      </w:tr>
      <w:tr>
        <w:tc>
          <w:tcPr>
            <w:tcW w:type="dxa" w:w="2076"/>
          </w:tcPr>
          <w:p/>
        </w:tc>
        <w:tc>
          <w:tcPr>
            <w:tcW w:type="dxa" w:w="415"/>
          </w:tcPr>
          <w:p>
            <w:pPr>
              <w:pStyle w:val="null3"/>
            </w:pPr>
            <w:r>
              <w:rPr/>
              <w:t>3</w:t>
            </w:r>
          </w:p>
        </w:tc>
        <w:tc>
          <w:tcPr>
            <w:tcW w:type="dxa" w:w="5814"/>
          </w:tcPr>
          <w:p>
            <w:pPr>
              <w:pStyle w:val="null3"/>
            </w:pPr>
            <w:r>
              <w:rPr>
                <w:b/>
              </w:rPr>
              <w:t>三、需执行国家相关标准、行业标准、地方标准或者其他标准、规范</w:t>
            </w:r>
            <w:r>
              <w:br/>
            </w:r>
            <w:r>
              <w:rPr/>
              <w:t xml:space="preserve"> （一）消杀要求及质量标准</w:t>
            </w:r>
            <w:r>
              <w:br/>
            </w:r>
            <w:r>
              <w:rPr/>
              <w:t xml:space="preserve"> 1、灭蚊工作</w:t>
            </w:r>
            <w:r>
              <w:br/>
            </w:r>
            <w:r>
              <w:rPr/>
              <w:t xml:space="preserve"> 按照全国爱卫会除四害的标准（详见“四、全国爱卫会除四害标准”），每月四次对消杀服务范围进行全面消杀，完成每月的工作台账和档案资料，配合做好每月市、区、镇三级的监测工作，对监测中出现的情况马上作出相应的整改。 </w:t>
            </w:r>
            <w:r>
              <w:br/>
            </w:r>
            <w:r>
              <w:rPr/>
              <w:t xml:space="preserve"> 2、灭鼠工作</w:t>
            </w:r>
            <w:r>
              <w:br/>
            </w:r>
            <w:r>
              <w:rPr/>
              <w:t xml:space="preserve"> 每月四次在消杀服务范围进行灭鼠，发现有鼠洞及时堵鼠洞并投放鼠饵，鼠屋保障有鼠饵，鼠饵严禁随意投放，要有明确标识牌，鼠尸由成交供应商作无害化处理。</w:t>
            </w:r>
            <w:r>
              <w:br/>
            </w:r>
            <w:r>
              <w:rPr/>
              <w:t xml:space="preserve"> 农田用毒饵站，每月在农田投放灭鼠药品，建议不要长期使用同一种药物，以免产生抗药性。全镇随机选取不少于3个调查点，每月进行鼠类密度调查监测，填写“鼠类数量监测调查记录表”。</w:t>
            </w:r>
            <w:r>
              <w:br/>
            </w:r>
            <w:r>
              <w:rPr/>
              <w:t xml:space="preserve"> 3、灭蝇工作</w:t>
            </w:r>
            <w:r>
              <w:br/>
            </w:r>
            <w:r>
              <w:rPr/>
              <w:t xml:space="preserve"> 成交供应商每月四次在消杀服务范围内使用超低容量喷洒，从而达到灭蝇效果。</w:t>
            </w:r>
            <w:r>
              <w:br/>
            </w:r>
            <w:r>
              <w:rPr/>
              <w:t xml:space="preserve"> 4、灭蟑工作</w:t>
            </w:r>
            <w:r>
              <w:br/>
            </w:r>
            <w:r>
              <w:rPr/>
              <w:t xml:space="preserve"> 成交供应商每月四次在消杀服务范围内沙井、下水道定期施喷灭蟑烟雾，从而达到灭蟑效果。</w:t>
            </w:r>
            <w:r>
              <w:br/>
            </w:r>
            <w:r>
              <w:rPr/>
              <w:t xml:space="preserve"> 5.灭蚁（红火蚁、白蚁）工作。</w:t>
            </w:r>
            <w:r>
              <w:br/>
            </w:r>
            <w:r>
              <w:rPr/>
              <w:t xml:space="preserve"> （1）在消杀服务范围内开展灭蚁工作。</w:t>
            </w:r>
            <w:r>
              <w:br/>
            </w:r>
            <w:r>
              <w:rPr/>
              <w:t xml:space="preserve"> （2）白蚁服务人员应具有白蚁防治行业协会颁发的有效期内白蚁防治技术培训合格证书以及执业证，每次服务必须随身佩戴。</w:t>
            </w:r>
            <w:r>
              <w:br/>
            </w:r>
            <w:r>
              <w:rPr/>
              <w:t xml:space="preserve"> （3）全年红火蚁发生面积控制在3000亩以下，4级及5级疫情面积控制在总发生面积的2%以下。</w:t>
            </w:r>
            <w:r>
              <w:br/>
            </w:r>
            <w:r>
              <w:rPr/>
              <w:t xml:space="preserve"> （二）药品要求</w:t>
            </w:r>
            <w:r>
              <w:br/>
            </w:r>
            <w:r>
              <w:rPr/>
              <w:t xml:space="preserve"> 在化学防制中，注重科学合理用药，不使用国家禁用的药物。</w:t>
            </w:r>
            <w:r>
              <w:br/>
            </w:r>
            <w:r>
              <w:rPr/>
              <w:t xml:space="preserve"> （三）器械要求</w:t>
            </w:r>
            <w:r>
              <w:br/>
            </w:r>
            <w:r>
              <w:rPr/>
              <w:t xml:space="preserve"> 使用器械符合国家安全标准。</w:t>
            </w:r>
            <w:r>
              <w:br/>
            </w:r>
            <w:r>
              <w:rPr/>
              <w:t xml:space="preserve"> （四）服务质量及考核</w:t>
            </w:r>
            <w:r>
              <w:br/>
            </w:r>
            <w:r>
              <w:rPr/>
              <w:t xml:space="preserve"> 1、在市、区、镇监测中，出现布雷图指数超标的情况，达一级风险的，每条村居每次扣减当月1000元服务费并马上作出整改；达二级风险的，每条村居每次扣减当月2500元服务费并马上作出整改；达三级风险的，每条村居每次扣减当月5000元服务费并马上作出整改。</w:t>
            </w:r>
            <w:r>
              <w:br/>
            </w:r>
            <w:r>
              <w:rPr/>
              <w:t xml:space="preserve"> 2.在市、区、镇监测中，红火蚁4级以上疫情控制在总发生面积的2%以下，达到2%-3%的，每次扣减当月1000元服务费并马上作出整改；达3%-4%的，每次扣减当月2500元服务费并马上作出整改；超过4%的，每次扣减当月5000元服务费并马上作出整改。全年红火蚁发生面积超过3000亩的，扣罚合同价款的2.5%。</w:t>
            </w:r>
            <w:r>
              <w:br/>
            </w:r>
            <w:r>
              <w:rPr/>
              <w:t xml:space="preserve"> 3、每月定期检查：对服务区域进行全面的检查，发现红火蚁或白蚁害情即施传染性药物或采取其他有效灭杀措施。在绿化带、蚁路及其它红火蚁或白蚁经常活动的地方施具有效预防药物。对建筑物易滋生白蚁的位置（如木门框、木地板及其他木家具等）设置诱杀点及使用预防药物。</w:t>
            </w:r>
            <w:r>
              <w:br/>
            </w:r>
            <w:r>
              <w:rPr/>
              <w:t xml:space="preserve"> 4、所有药物及器械均由成交供应商提供，严禁使用明文禁用药物。成交供应商需注意药物的使用安全，投（施）药时需防护的部分，应向采购人提出，并采取有效的防护措施。布放诱杀箱时应用标牌标记，并做好防护提示。如采购人发现红火蚁或白蚁侵害情况，成交供应商应无条件配合处理。</w:t>
            </w:r>
            <w:r>
              <w:br/>
            </w:r>
            <w:r>
              <w:rPr/>
              <w:t xml:space="preserve"> 5、登革热高峰期和出现登革热疫情时期，应配合相关部门做好消杀工作，如突发应急服务费用达到封顶金额，或遇其他突发紧急情况，应无条件配合增加消杀次数。</w:t>
            </w:r>
            <w:r>
              <w:br/>
            </w:r>
            <w:r>
              <w:rPr/>
              <w:t xml:space="preserve"> 6、每月服务工作未能按要求完成的，第一次给予警告，并在24小时内完成整改，第二次扣罚合同价款5%并在24小时内完成整改，第三次采购人有权单方面终止本项目合同。如发生安全生产事故，采购人亦有权单方面解除本项目合同。</w:t>
            </w:r>
            <w:r>
              <w:br/>
            </w:r>
            <w:r>
              <w:rPr/>
              <w:t xml:space="preserve"> 7、每月按照要求提交当月服务工作总结、工作台账和服务照片，若未能按时提交扣罚合同价款的1%。</w:t>
            </w:r>
            <w:r>
              <w:br/>
            </w:r>
            <w:r>
              <w:rPr/>
              <w:t xml:space="preserve"> 8、发现不穿统一工作服及不佩带证件上岗作业的，第一次给予警告，第二次给予扣罚合同价款的1%。</w:t>
            </w:r>
            <w:r>
              <w:br/>
            </w:r>
            <w:r>
              <w:rPr/>
              <w:t xml:space="preserve"> 9、成交供应商须积极配合采购人日常巡查工作。</w:t>
            </w:r>
            <w:r>
              <w:br/>
            </w:r>
            <w:r>
              <w:rPr/>
              <w:t xml:space="preserve"> 10、考评：</w:t>
            </w:r>
            <w:r>
              <w:br/>
            </w:r>
            <w:r>
              <w:rPr/>
              <w:t xml:space="preserve"> （1）采购人每月对服务外包范围内的除“四害”及白蚁、红火蚁防控消杀质量进行群众满意度调查至少一次，每次调查按百分制打分，分优秀（100分-90分（含））、良好（90分-80分（含））、差评（80分以下）三个档次；</w:t>
            </w:r>
            <w:r>
              <w:br/>
            </w:r>
            <w:r>
              <w:rPr/>
              <w:t xml:space="preserve"> （2）消杀服务调查属优秀的为达标；属良好的，每次扣2000元违约金；属差评的，每次扣5000元违约金；属差评累计三次，采购人有权单方面终止本项目合同。</w:t>
            </w:r>
            <w:r>
              <w:br/>
            </w:r>
            <w:r>
              <w:rPr/>
              <w:t xml:space="preserve"> （3）考核评分表</w:t>
            </w:r>
          </w:p>
          <w:tbl>
            <w:tblPr>
              <w:tblBorders>
                <w:top w:val="none" w:color="000000" w:sz="4"/>
                <w:left w:val="none" w:color="000000" w:sz="4"/>
                <w:bottom w:val="none" w:color="000000" w:sz="4"/>
                <w:right w:val="none" w:color="000000" w:sz="4"/>
                <w:insideH w:val="none"/>
                <w:insideV w:val="none"/>
              </w:tblBorders>
            </w:tblPr>
            <w:tblGrid>
              <w:gridCol w:w="623"/>
              <w:gridCol w:w="494"/>
              <w:gridCol w:w="517"/>
              <w:gridCol w:w="3316"/>
              <w:gridCol w:w="647"/>
            </w:tblGrid>
            <w:tr>
              <w:tc>
                <w:tcPr>
                  <w:tcW w:type="dxa" w:w="1117"/>
                  <w:gridSpan w:val="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517"/>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331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647"/>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扣分</w:t>
                  </w:r>
                </w:p>
              </w:tc>
            </w:tr>
            <w:tr>
              <w:tc>
                <w:tcPr>
                  <w:tcW w:type="dxa" w:w="623"/>
                  <w:vMerge w:val="restart"/>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考核</w:t>
                  </w:r>
                </w:p>
                <w:p>
                  <w:pPr>
                    <w:pStyle w:val="null3"/>
                    <w:jc w:val="center"/>
                  </w:pPr>
                  <w:r>
                    <w:rPr>
                      <w:sz w:val="21"/>
                    </w:rPr>
                    <w:t>内容</w:t>
                  </w:r>
                </w:p>
              </w:tc>
              <w:tc>
                <w:tcPr>
                  <w:tcW w:type="dxa" w:w="494"/>
                  <w:vMerge w:val="restart"/>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100</w:t>
                  </w:r>
                  <w:r>
                    <w:rPr>
                      <w:sz w:val="21"/>
                    </w:rPr>
                    <w:t>分</w:t>
                  </w: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按要求进行消杀，未达要求的，每</w:t>
                  </w:r>
                  <w:r>
                    <w:rPr>
                      <w:sz w:val="21"/>
                    </w:rPr>
                    <w:t>1</w:t>
                  </w:r>
                  <w:r>
                    <w:rPr>
                      <w:sz w:val="21"/>
                    </w:rPr>
                    <w:t>次</w:t>
                  </w:r>
                </w:p>
              </w:tc>
              <w:tc>
                <w:tcPr>
                  <w:tcW w:type="dxa" w:w="647"/>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2.5</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按每次消杀任务要求投入器械，每缺</w:t>
                  </w:r>
                  <w:r>
                    <w:rPr>
                      <w:sz w:val="21"/>
                    </w:rPr>
                    <w:t>1</w:t>
                  </w:r>
                  <w:r>
                    <w:rPr>
                      <w:sz w:val="21"/>
                    </w:rPr>
                    <w:t>台</w:t>
                  </w:r>
                </w:p>
              </w:tc>
              <w:tc>
                <w:tcPr>
                  <w:tcW w:type="dxa" w:w="64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每月监测布雷图指数超标，达一级扣</w:t>
                  </w:r>
                  <w:r>
                    <w:rPr>
                      <w:sz w:val="21"/>
                    </w:rPr>
                    <w:t>2</w:t>
                  </w:r>
                  <w:r>
                    <w:rPr>
                      <w:sz w:val="21"/>
                    </w:rPr>
                    <w:t>分</w:t>
                  </w:r>
                  <w:r>
                    <w:rPr>
                      <w:sz w:val="21"/>
                    </w:rPr>
                    <w:t>/</w:t>
                  </w:r>
                  <w:r>
                    <w:rPr>
                      <w:sz w:val="21"/>
                    </w:rPr>
                    <w:t>条村居，达二级扣</w:t>
                  </w:r>
                  <w:r>
                    <w:rPr>
                      <w:sz w:val="21"/>
                    </w:rPr>
                    <w:t>4</w:t>
                  </w:r>
                  <w:r>
                    <w:rPr>
                      <w:sz w:val="21"/>
                    </w:rPr>
                    <w:t>分</w:t>
                  </w:r>
                  <w:r>
                    <w:rPr>
                      <w:sz w:val="21"/>
                    </w:rPr>
                    <w:t>/</w:t>
                  </w:r>
                  <w:r>
                    <w:rPr>
                      <w:sz w:val="21"/>
                    </w:rPr>
                    <w:t>条村居，达三级扣</w:t>
                  </w:r>
                  <w:r>
                    <w:rPr>
                      <w:sz w:val="21"/>
                    </w:rPr>
                    <w:t>8</w:t>
                  </w:r>
                  <w:r>
                    <w:rPr>
                      <w:sz w:val="21"/>
                    </w:rPr>
                    <w:t>分</w:t>
                  </w:r>
                  <w:r>
                    <w:rPr>
                      <w:sz w:val="21"/>
                    </w:rPr>
                    <w:t>/</w:t>
                  </w:r>
                  <w:r>
                    <w:rPr>
                      <w:sz w:val="21"/>
                    </w:rPr>
                    <w:t>条村居</w:t>
                  </w:r>
                </w:p>
              </w:tc>
              <w:tc>
                <w:tcPr>
                  <w:tcW w:type="dxa" w:w="64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2/4/8</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按采购人要求报送周记、工作计划、工作记录、药品台账、工作照片等资料，每缺一项</w:t>
                  </w:r>
                </w:p>
              </w:tc>
              <w:tc>
                <w:tcPr>
                  <w:tcW w:type="dxa" w:w="64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消杀过程不得使用违禁药品或无效药物，未达要求的</w:t>
                  </w:r>
                </w:p>
              </w:tc>
              <w:tc>
                <w:tcPr>
                  <w:tcW w:type="dxa" w:w="64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消杀人员配备防护装备，未达要求的</w:t>
                  </w:r>
                </w:p>
              </w:tc>
              <w:tc>
                <w:tcPr>
                  <w:tcW w:type="dxa" w:w="64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消杀人员工作时穿着工作服装并戴带工作证件，未达要求的，每人</w:t>
                  </w:r>
                </w:p>
              </w:tc>
              <w:tc>
                <w:tcPr>
                  <w:tcW w:type="dxa" w:w="64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积极配合进行应急消杀，未达要求的</w:t>
                  </w:r>
                </w:p>
              </w:tc>
              <w:tc>
                <w:tcPr>
                  <w:tcW w:type="dxa" w:w="64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3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公共区域蚊及蚊蚴指标达标，未达要求的，或被上级通报批评，每通报一次的</w:t>
                  </w:r>
                </w:p>
              </w:tc>
              <w:tc>
                <w:tcPr>
                  <w:tcW w:type="dxa" w:w="647"/>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5</w:t>
                  </w:r>
                </w:p>
              </w:tc>
            </w:tr>
            <w:tr>
              <w:tc>
                <w:tcPr>
                  <w:tcW w:type="dxa" w:w="623"/>
                  <w:vMerge/>
                  <w:tcBorders>
                    <w:top w:val="none" w:color="000000" w:sz="4"/>
                    <w:left w:val="single" w:color="000000" w:sz="8"/>
                    <w:bottom w:val="single" w:color="000000" w:sz="8"/>
                    <w:right w:val="single" w:color="000000" w:sz="4"/>
                  </w:tcBorders>
                </w:tcPr>
                <w:p/>
              </w:tc>
              <w:tc>
                <w:tcPr>
                  <w:tcW w:type="dxa" w:w="494"/>
                  <w:vMerge/>
                  <w:tcBorders>
                    <w:top w:val="none" w:color="000000" w:sz="4"/>
                    <w:left w:val="none" w:color="000000" w:sz="4"/>
                    <w:bottom w:val="single" w:color="000000" w:sz="8"/>
                    <w:right w:val="single" w:color="000000" w:sz="4"/>
                  </w:tcBorders>
                </w:tcPr>
                <w:p/>
              </w:tc>
              <w:tc>
                <w:tcPr>
                  <w:tcW w:type="dxa" w:w="517"/>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5</w:t>
                  </w:r>
                </w:p>
              </w:tc>
              <w:tc>
                <w:tcPr>
                  <w:tcW w:type="dxa" w:w="331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left"/>
                  </w:pPr>
                  <w:r>
                    <w:rPr>
                      <w:sz w:val="21"/>
                    </w:rPr>
                    <w:t>积极配合采购人开展各项迎检工作，未达要求的</w:t>
                  </w:r>
                </w:p>
              </w:tc>
              <w:tc>
                <w:tcPr>
                  <w:tcW w:type="dxa" w:w="647"/>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bl>
          <w:p/>
        </w:tc>
      </w:tr>
      <w:tr>
        <w:tc>
          <w:tcPr>
            <w:tcW w:type="dxa" w:w="2076"/>
          </w:tcPr>
          <w:p/>
        </w:tc>
        <w:tc>
          <w:tcPr>
            <w:tcW w:type="dxa" w:w="415"/>
          </w:tcPr>
          <w:p>
            <w:pPr>
              <w:pStyle w:val="null3"/>
            </w:pPr>
            <w:r>
              <w:rPr/>
              <w:t>4</w:t>
            </w:r>
          </w:p>
        </w:tc>
        <w:tc>
          <w:tcPr>
            <w:tcW w:type="dxa" w:w="5814"/>
          </w:tcPr>
          <w:p>
            <w:pPr>
              <w:pStyle w:val="null3"/>
            </w:pPr>
            <w:r>
              <w:rPr>
                <w:b/>
              </w:rPr>
              <w:t>四、全国爱卫会除四害标准</w:t>
            </w:r>
            <w:r>
              <w:br/>
            </w:r>
            <w:r>
              <w:rPr/>
              <w:t xml:space="preserve"> 1、灭鼠标准</w:t>
            </w:r>
            <w:r>
              <w:br/>
            </w:r>
            <w:r>
              <w:rPr/>
              <w:t xml:space="preserve"> （1）15平方米标准房间布放20×20厘米滑石粉块两块，一夜后阳性粉块不超过3％；有鼠洞、鼠粪、鼠咬等痕迹的房间不超过2％；重点单位防鼠设施不合格处不超过5％。</w:t>
            </w:r>
            <w:r>
              <w:br/>
            </w:r>
            <w:r>
              <w:rPr/>
              <w:t xml:space="preserve"> （2）不同类型的外环境累计2000米，鼠迹不超过5处。</w:t>
            </w:r>
            <w:r>
              <w:br/>
            </w:r>
            <w:r>
              <w:rPr/>
              <w:t xml:space="preserve"> 2、灭蚊标准</w:t>
            </w:r>
            <w:r>
              <w:br/>
            </w:r>
            <w:r>
              <w:rPr/>
              <w:t xml:space="preserve"> （1）居民住宅、单位内外环境各种存水容器和积水中，蚊幼虫及蛹的阳性率不超过3％。</w:t>
            </w:r>
            <w:r>
              <w:br/>
            </w:r>
            <w:r>
              <w:rPr/>
              <w:t xml:space="preserve"> （2）用500ml收集勺采集城区内大中型水体中的蚊幼虫或蛹阳性率不超过3％，阳性勺内幼虫或蛹的平均数不超过5只。</w:t>
            </w:r>
            <w:r>
              <w:br/>
            </w:r>
            <w:r>
              <w:rPr/>
              <w:t xml:space="preserve"> （3）特殊场所白天人诱蚊30分钟，平均每人次诱获成蚊数不超过1只。</w:t>
            </w:r>
            <w:r>
              <w:br/>
            </w:r>
            <w:r>
              <w:rPr/>
              <w:t xml:space="preserve"> 3、灭蝇标准</w:t>
            </w:r>
            <w:r>
              <w:br/>
            </w:r>
            <w:r>
              <w:rPr/>
              <w:t xml:space="preserve"> （1）重点单位有蝇房间不超过1％，其它单位不超过3％，平均每阳性房间不超过3只；重点单位防蝇设施不合格房间不超过5％；加工、销售直接入口食品的场所不得有蝇。</w:t>
            </w:r>
            <w:r>
              <w:br/>
            </w:r>
            <w:r>
              <w:rPr/>
              <w:t xml:space="preserve"> （2）蝇类孳生地得到有效治理，幼虫和蛹的检出率不超过3％。</w:t>
            </w:r>
            <w:r>
              <w:br/>
            </w:r>
            <w:r>
              <w:rPr/>
              <w:t xml:space="preserve"> 4、灭蟑螂标准</w:t>
            </w:r>
            <w:r>
              <w:br/>
            </w:r>
            <w:r>
              <w:rPr/>
              <w:t xml:space="preserve"> （1）室内有蟑螂成虫或若虫阳性房间不超过3％，平均每间房大蠊不超过5只，小蠊不超过10只。</w:t>
            </w:r>
            <w:r>
              <w:br/>
            </w:r>
            <w:r>
              <w:rPr/>
              <w:t xml:space="preserve"> （2）有活蟑螂卵鞘房间不超过2％，平均每间房不超过4只。</w:t>
            </w:r>
            <w:r>
              <w:br/>
            </w:r>
            <w:r>
              <w:rPr/>
              <w:t xml:space="preserve"> （3）有蟑螂粪便蜕皮等蟑迹的房间不超过5％。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1.采购代理机构：本项目是指中基科技（广州）有限公司南沙招标代理分公司，负责整个采购活动的组织，依法负责编制和发布磋商文件，对磋商文件拥有最终的解释权，不以任何身份出任磋商小组成员。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广州市南沙区万顷沙镇人民政府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采购机构代理服务收费标准：成交供应商需缴纳招标代理服务费（不含税）和税费。本项目的招标代理服务费（不含税）收费标准以采购预算金额为计算基数，按差额定率累进法计算： 采购预算【100万（含）以下】：1.50%； 采购预算【100万（不含）-500万（含）】：0.80%。 增值税税费为招标代理服务费（不含税）的1%。 招标代理服务费（不含税）和税费由成交供应商在领取《中标通知书》前一次性向采购代理机构交纳。</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关小姐</w:t>
      </w:r>
    </w:p>
    <w:p>
      <w:pPr>
        <w:pStyle w:val="null3"/>
        <w:ind w:firstLine="480"/>
      </w:pPr>
      <w:r>
        <w:rPr/>
        <w:t>电话：</w:t>
      </w:r>
      <w:r>
        <w:rPr/>
        <w:t>020-84889086</w:t>
      </w:r>
    </w:p>
    <w:p>
      <w:pPr>
        <w:pStyle w:val="null3"/>
        <w:ind w:firstLine="480"/>
      </w:pPr>
      <w:r>
        <w:rPr/>
        <w:t>传真：</w:t>
      </w:r>
      <w:r>
        <w:rPr/>
        <w:t>/</w:t>
      </w:r>
    </w:p>
    <w:p>
      <w:pPr>
        <w:pStyle w:val="null3"/>
        <w:ind w:firstLine="480"/>
      </w:pPr>
      <w:r>
        <w:rPr/>
        <w:t>邮箱：</w:t>
      </w:r>
      <w:r>
        <w:rPr/>
        <w:t>zhongjikeji@qq.com</w:t>
      </w:r>
    </w:p>
    <w:p>
      <w:pPr>
        <w:pStyle w:val="null3"/>
        <w:ind w:firstLine="480"/>
      </w:pPr>
      <w:r>
        <w:rPr/>
        <w:t>地址：</w:t>
      </w:r>
      <w:r>
        <w:rPr/>
        <w:t>广州市南沙区南沙街成汇街2号603房</w:t>
      </w:r>
    </w:p>
    <w:p>
      <w:pPr>
        <w:pStyle w:val="null3"/>
        <w:ind w:firstLine="480"/>
      </w:pPr>
      <w:r>
        <w:rPr/>
        <w:t>邮编：</w:t>
      </w:r>
      <w:r>
        <w:rPr/>
        <w:t>511400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政府采购监督管理机构名称：广州市南沙区财政局财政监督管理处</w:t>
      </w:r>
    </w:p>
    <w:p>
      <w:pPr>
        <w:pStyle w:val="null3"/>
      </w:pPr>
      <w:r>
        <w:rPr/>
        <w:t>地 址：广州市南沙区凤凰大道1号D栋3楼</w:t>
      </w:r>
    </w:p>
    <w:p>
      <w:pPr>
        <w:pStyle w:val="null3"/>
      </w:pPr>
      <w:r>
        <w:rPr/>
        <w:t>电 话：020-39078089</w:t>
      </w:r>
    </w:p>
    <w:p>
      <w:pPr>
        <w:pStyle w:val="null3"/>
      </w:pPr>
      <w:r>
        <w:rPr/>
        <w:t>邮 编：511455</w:t>
      </w:r>
    </w:p>
    <w:p>
      <w:pPr>
        <w:pStyle w:val="null3"/>
      </w:pPr>
      <w:r>
        <w:rPr/>
        <w:t>传 真：020-84986648</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(2024年度万顷沙镇除“四害”及白蚁、红火蚁防控消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中基科技（广州）有限公司南沙招标代理分公司</w:t>
      </w:r>
      <w:r>
        <w:rPr/>
        <w:t>统一对外发布。</w:t>
      </w:r>
    </w:p>
    <w:p>
      <w:pPr>
        <w:pStyle w:val="null3"/>
        <w:ind w:firstLine="480"/>
      </w:pPr>
      <w:r>
        <w:rPr/>
        <w:t>（2）对</w:t>
      </w:r>
      <w:r>
        <w:rPr/>
        <w:t>中基科技（广州）有限公司南沙招标代理分公司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采购包1（2024年度万顷沙镇除“四害”及白蚁、红火蚁防控消杀服务项目）：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采购包1（2024年度万顷沙镇除“四害”及白蚁、红火蚁防控消杀服务项目）：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按响应文件格式与要求提供《响应承诺函》。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按响应文件格式与要求提供《响应承诺函》。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按响应文件格式与要求提供《响应承诺函》。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在经营活动中没有重大违法记录，按响应文件格式与要求提供《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严重失信主体名单或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单位负责人为同一人或者存在直接控股、管理关系的不同供应商，不得同时参加本采购项目（或合同包）投标（响应）。为本项目提供整体设计、规范编制或者项目管理、 监理、 检测等服务的供应商，不得再参与本项目投标（响应）。本合同包不接受联合体投标。符合法律、行政法规规定的其他条件。（按响应文件格式与要求提供《响应承诺函》）</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本合同包属于专门面向中小企业采购的项目。 供应商须为符合本项目采购标的对应行业划分标准的中型企业或小型企业或微型企业（监狱企业、残疾人福利单位视同小型、微型企业）。注：中小企业以供应商填写的《中小企业声明函》（按响应文件格式与要求）为判定标准，残疾人福利性单位以供应商填写的《残疾人福利性单位声明函》（按响应文件格式与要求）为判定标准，监狱企业须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采购包1（2024年度万顷沙镇除“四害”及白蚁、红火蚁防控消杀服务项目）：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投标有效期不少于招标文件中载明的投标有效期（见《响应承诺函》相关内容）</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投标报价是固定价且未超过本项目预算总价</w:t>
            </w:r>
          </w:p>
        </w:tc>
      </w:tr>
      <w:tr>
        <w:tc>
          <w:tcPr>
            <w:tcW w:type="dxa" w:w="890"/>
          </w:tcPr>
          <w:p>
            <w:pPr>
              <w:pStyle w:val="null3"/>
            </w:pPr>
            <w:r>
              <w:rPr/>
              <w:t>3</w:t>
            </w:r>
          </w:p>
        </w:tc>
        <w:tc>
          <w:tcPr>
            <w:tcW w:type="dxa" w:w="3178"/>
          </w:tcPr>
          <w:p>
            <w:pPr>
              <w:pStyle w:val="null3"/>
            </w:pPr>
            <w:r>
              <w:rPr/>
              <w:t>实质性条款</w:t>
            </w:r>
          </w:p>
        </w:tc>
        <w:tc>
          <w:tcPr>
            <w:tcW w:type="dxa" w:w="4238"/>
          </w:tcPr>
          <w:p>
            <w:pPr>
              <w:pStyle w:val="null3"/>
            </w:pPr>
            <w:r>
              <w:rPr/>
              <w:t>有提交《实质性响应一览表》；响应文件完全满足招标文件用户需求书以“★”标明的实质性条款的要求</w:t>
            </w:r>
          </w:p>
        </w:tc>
      </w:tr>
      <w:tr>
        <w:tc>
          <w:tcPr>
            <w:tcW w:type="dxa" w:w="890"/>
          </w:tcPr>
          <w:p>
            <w:pPr>
              <w:pStyle w:val="null3"/>
            </w:pPr>
            <w:r>
              <w:rPr/>
              <w:t>4</w:t>
            </w:r>
          </w:p>
        </w:tc>
        <w:tc>
          <w:tcPr>
            <w:tcW w:type="dxa" w:w="3178"/>
          </w:tcPr>
          <w:p>
            <w:pPr>
              <w:pStyle w:val="null3"/>
            </w:pPr>
            <w:r>
              <w:rPr/>
              <w:t>签名和盖章</w:t>
            </w:r>
          </w:p>
        </w:tc>
        <w:tc>
          <w:tcPr>
            <w:tcW w:type="dxa" w:w="4238"/>
          </w:tcPr>
          <w:p>
            <w:pPr>
              <w:pStyle w:val="null3"/>
            </w:pPr>
            <w:r>
              <w:rPr/>
              <w:t>响应文件已按响应文件格式与要求进行签名和盖章（电子印章）。投标格式中的“签章”为“供应商盖章”。</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响应文件没有采购人不能接受的附加条件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未出现法律、法规、规章和招标文件规定的其他无效情形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采购包1(2024年度万顷沙镇除“四害”及白蚁、红火蚁防控消杀服务项目):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对本项目服务内容、重点难点的把握情况1 (2.0分)</w:t>
            </w:r>
            <w:r>
              <w:rPr/>
              <w:t>，（等次分值选择：</w:t>
            </w:r>
            <w:r>
              <w:rPr/>
              <w:t>0.0;</w:t>
            </w:r>
            <w:r>
              <w:rPr/>
              <w:t>1.0;</w:t>
            </w:r>
            <w:r>
              <w:rPr/>
              <w:t>2.0;</w:t>
            </w:r>
            <w:r>
              <w:rPr/>
              <w:t>）</w:t>
            </w:r>
          </w:p>
        </w:tc>
        <w:tc>
          <w:tcPr>
            <w:tcW w:type="dxa" w:w="5076"/>
          </w:tcPr>
          <w:p>
            <w:pPr>
              <w:pStyle w:val="null3"/>
              <w:jc w:val="left"/>
            </w:pPr>
            <w:r>
              <w:rPr/>
              <w:t>根据供应商提供的对本项目服务内容、重点难点的把握情况（包括但不限于①对本项目服务内容把握情况；②重点难点把握情况等） 进行评审： 每提供一项上述内容得1分，最高得2分。</w:t>
            </w:r>
          </w:p>
        </w:tc>
      </w:tr>
      <w:tr>
        <w:tc>
          <w:tcPr>
            <w:tcW w:type="dxa" w:w="922"/>
            <w:gridSpan w:val="2"/>
            <w:vMerge/>
          </w:tcPr>
          <w:p/>
        </w:tc>
        <w:tc>
          <w:tcPr>
            <w:tcW w:type="dxa" w:w="2307"/>
          </w:tcPr>
          <w:p>
            <w:pPr>
              <w:pStyle w:val="null3"/>
              <w:jc w:val="left"/>
            </w:pPr>
            <w:r>
              <w:rPr/>
              <w:t>对本项目服务内容、重点难点的把握情况2 (7.0分)</w:t>
            </w:r>
            <w:r>
              <w:rPr/>
              <w:t>，（等次分值选择：</w:t>
            </w:r>
            <w:r>
              <w:rPr/>
              <w:t>0.0;</w:t>
            </w:r>
            <w:r>
              <w:rPr/>
              <w:t>1.0;</w:t>
            </w:r>
            <w:r>
              <w:rPr/>
              <w:t>3.0;</w:t>
            </w:r>
            <w:r>
              <w:rPr/>
              <w:t>5.0;</w:t>
            </w:r>
            <w:r>
              <w:rPr/>
              <w:t>7.0;</w:t>
            </w:r>
            <w:r>
              <w:rPr/>
              <w:t>）</w:t>
            </w:r>
          </w:p>
        </w:tc>
        <w:tc>
          <w:tcPr>
            <w:tcW w:type="dxa" w:w="5076"/>
          </w:tcPr>
          <w:p>
            <w:pPr>
              <w:pStyle w:val="null3"/>
              <w:jc w:val="left"/>
            </w:pPr>
            <w:r>
              <w:rPr/>
              <w:t>如供应商提供的方案已包含上述所有内容，则根据以下评审标准进行评审： 1、熟悉了解本次采购项目实施区域环境现状，对本项目服务内容熟悉，了解本项目服务重点，具有针对性，能详细说明辖区内的工作难点、重点，具备有效可行的实施能力，得7分； 2、对本次采购项目实施区域环境现状较为清楚，对本项目服务内容熟悉，比较了解本项目服务重点，具备一定的实施能力，得5分； 3、对本次采购项目实施区域环境现状基本了解，对本项目服务内容基本熟悉，对本项目服务重点基本了解，基本有实施能力，得3分； 4、对本次采购项目实施区域环境现状不了解，对本项目服务内容不熟悉，对本项目服务重点不了解，实施能力一般，得1分。 注：不提供的不得分。</w:t>
            </w:r>
          </w:p>
        </w:tc>
      </w:tr>
      <w:tr>
        <w:tc>
          <w:tcPr>
            <w:tcW w:type="dxa" w:w="922"/>
            <w:gridSpan w:val="2"/>
            <w:vMerge/>
          </w:tcPr>
          <w:p/>
        </w:tc>
        <w:tc>
          <w:tcPr>
            <w:tcW w:type="dxa" w:w="2307"/>
          </w:tcPr>
          <w:p>
            <w:pPr>
              <w:pStyle w:val="null3"/>
              <w:jc w:val="left"/>
            </w:pPr>
            <w:r>
              <w:rPr/>
              <w:t>服务方案1 (2.0分)</w:t>
            </w:r>
            <w:r>
              <w:rPr/>
              <w:t>，（等次分值选择：</w:t>
            </w:r>
            <w:r>
              <w:rPr/>
              <w:t>0.0;</w:t>
            </w:r>
            <w:r>
              <w:rPr/>
              <w:t>1.0;</w:t>
            </w:r>
            <w:r>
              <w:rPr/>
              <w:t>2.0;</w:t>
            </w:r>
            <w:r>
              <w:rPr/>
              <w:t>）</w:t>
            </w:r>
          </w:p>
        </w:tc>
        <w:tc>
          <w:tcPr>
            <w:tcW w:type="dxa" w:w="5076"/>
          </w:tcPr>
          <w:p>
            <w:pPr>
              <w:pStyle w:val="null3"/>
              <w:jc w:val="left"/>
            </w:pPr>
            <w:r>
              <w:rPr/>
              <w:t>根据供应商提供的服务方案（包括但不限于①对本项目的作业模式、总体模式；②配套措施等）进行评审： 每提供一项上述内容得1分，最高得2分。</w:t>
            </w:r>
          </w:p>
        </w:tc>
      </w:tr>
      <w:tr>
        <w:tc>
          <w:tcPr>
            <w:tcW w:type="dxa" w:w="922"/>
            <w:gridSpan w:val="2"/>
            <w:vMerge/>
          </w:tcPr>
          <w:p/>
        </w:tc>
        <w:tc>
          <w:tcPr>
            <w:tcW w:type="dxa" w:w="2307"/>
          </w:tcPr>
          <w:p>
            <w:pPr>
              <w:pStyle w:val="null3"/>
              <w:jc w:val="left"/>
            </w:pPr>
            <w:r>
              <w:rPr/>
              <w:t>服务方案2 (8.0分)</w:t>
            </w:r>
            <w:r>
              <w:rPr/>
              <w:t>，（等次分值选择：</w:t>
            </w:r>
            <w:r>
              <w:rPr/>
              <w:t>0.0;</w:t>
            </w:r>
            <w:r>
              <w:rPr/>
              <w:t>1.0;</w:t>
            </w:r>
            <w:r>
              <w:rPr/>
              <w:t>3.0;</w:t>
            </w:r>
            <w:r>
              <w:rPr/>
              <w:t>5.0;</w:t>
            </w:r>
            <w:r>
              <w:rPr/>
              <w:t>8.0;</w:t>
            </w:r>
            <w:r>
              <w:rPr/>
              <w:t>）</w:t>
            </w:r>
          </w:p>
        </w:tc>
        <w:tc>
          <w:tcPr>
            <w:tcW w:type="dxa" w:w="5076"/>
          </w:tcPr>
          <w:p>
            <w:pPr>
              <w:pStyle w:val="null3"/>
              <w:jc w:val="left"/>
            </w:pPr>
            <w:r>
              <w:rPr/>
              <w:t>如供应商提供的方案已包含上述所有内容，则根据以下评审标准进行评审： 1、服务方案架构完整详细，科学合理，针对性及可行性强，得8分； 2、服务方案架构较完整，较科学合理，针对性及可行性较强，得5分； 3、服务方案架构基本完整，基本科学合理，基本具有针对性及可行性，得3分； 4、服务方案有较多缺漏，科学合理性一般，针对性及可行性一般，得1分。 注：不提供的不得分。</w:t>
            </w:r>
          </w:p>
        </w:tc>
      </w:tr>
      <w:tr>
        <w:tc>
          <w:tcPr>
            <w:tcW w:type="dxa" w:w="922"/>
            <w:gridSpan w:val="2"/>
            <w:vMerge/>
          </w:tcPr>
          <w:p/>
        </w:tc>
        <w:tc>
          <w:tcPr>
            <w:tcW w:type="dxa" w:w="2307"/>
          </w:tcPr>
          <w:p>
            <w:pPr>
              <w:pStyle w:val="null3"/>
              <w:jc w:val="left"/>
            </w:pPr>
            <w:r>
              <w:rPr/>
              <w:t>应急保障方案1 (2.0分)</w:t>
            </w:r>
            <w:r>
              <w:rPr/>
              <w:t>，（等次分值选择：</w:t>
            </w:r>
            <w:r>
              <w:rPr/>
              <w:t>0.0;</w:t>
            </w:r>
            <w:r>
              <w:rPr/>
              <w:t>1.0;</w:t>
            </w:r>
            <w:r>
              <w:rPr/>
              <w:t>2.0;</w:t>
            </w:r>
            <w:r>
              <w:rPr/>
              <w:t>）</w:t>
            </w:r>
          </w:p>
        </w:tc>
        <w:tc>
          <w:tcPr>
            <w:tcW w:type="dxa" w:w="5076"/>
          </w:tcPr>
          <w:p>
            <w:pPr>
              <w:pStyle w:val="null3"/>
              <w:jc w:val="left"/>
            </w:pPr>
            <w:r>
              <w:rPr/>
              <w:t>根据供应商提供的应急保障方案（包括但不限于①应急保障方案；②应急响应情况等）进行评审： 每提供一项上述内容得1分，最高得2分。</w:t>
            </w:r>
          </w:p>
        </w:tc>
      </w:tr>
      <w:tr>
        <w:tc>
          <w:tcPr>
            <w:tcW w:type="dxa" w:w="922"/>
            <w:gridSpan w:val="2"/>
            <w:vMerge/>
          </w:tcPr>
          <w:p/>
        </w:tc>
        <w:tc>
          <w:tcPr>
            <w:tcW w:type="dxa" w:w="2307"/>
          </w:tcPr>
          <w:p>
            <w:pPr>
              <w:pStyle w:val="null3"/>
              <w:jc w:val="left"/>
            </w:pPr>
            <w:r>
              <w:rPr/>
              <w:t>应急保障方案2 (8.0分)</w:t>
            </w:r>
            <w:r>
              <w:rPr/>
              <w:t>，（等次分值选择：</w:t>
            </w:r>
            <w:r>
              <w:rPr/>
              <w:t>0.0;</w:t>
            </w:r>
            <w:r>
              <w:rPr/>
              <w:t>1.0;</w:t>
            </w:r>
            <w:r>
              <w:rPr/>
              <w:t>3.0;</w:t>
            </w:r>
            <w:r>
              <w:rPr/>
              <w:t>5.0;</w:t>
            </w:r>
            <w:r>
              <w:rPr/>
              <w:t>8.0;</w:t>
            </w:r>
            <w:r>
              <w:rPr/>
              <w:t>）</w:t>
            </w:r>
          </w:p>
        </w:tc>
        <w:tc>
          <w:tcPr>
            <w:tcW w:type="dxa" w:w="5076"/>
          </w:tcPr>
          <w:p>
            <w:pPr>
              <w:pStyle w:val="null3"/>
              <w:jc w:val="left"/>
            </w:pPr>
            <w:r>
              <w:rPr/>
              <w:t>如供应商提供的方案已包含上述所有内容，则根据以下评审标准进行评审： 1、应急保障方案完整详细，针对突发事件能够迅速响应，方案亮点多，可操作性强，得8分； 2、应急保障方案较完整，针对突发事件能够较快响应，方案亮点较多，可操作性较强，得5分； 3、应急保障方案基本完整，针对突发事件基本能够准时响应，方案有亮点，基本可操作，得3分； 4、应急保障方案有较多缺漏，针对突发事件的响应有延迟，基本无亮点，可操作性一般，得1分。 注：不提供的不得分。</w:t>
            </w:r>
          </w:p>
        </w:tc>
      </w:tr>
      <w:tr>
        <w:tc>
          <w:tcPr>
            <w:tcW w:type="dxa" w:w="922"/>
            <w:gridSpan w:val="2"/>
            <w:vMerge/>
          </w:tcPr>
          <w:p/>
        </w:tc>
        <w:tc>
          <w:tcPr>
            <w:tcW w:type="dxa" w:w="2307"/>
          </w:tcPr>
          <w:p>
            <w:pPr>
              <w:pStyle w:val="null3"/>
              <w:jc w:val="left"/>
            </w:pPr>
            <w:r>
              <w:rPr/>
              <w:t>组织措施及消杀灭效评估方案1 (2.0分)</w:t>
            </w:r>
            <w:r>
              <w:rPr/>
              <w:t>，（等次分值选择：</w:t>
            </w:r>
            <w:r>
              <w:rPr/>
              <w:t>0.0;</w:t>
            </w:r>
            <w:r>
              <w:rPr/>
              <w:t>1.0;</w:t>
            </w:r>
            <w:r>
              <w:rPr/>
              <w:t>2.0;</w:t>
            </w:r>
            <w:r>
              <w:rPr/>
              <w:t>）</w:t>
            </w:r>
          </w:p>
        </w:tc>
        <w:tc>
          <w:tcPr>
            <w:tcW w:type="dxa" w:w="5076"/>
          </w:tcPr>
          <w:p>
            <w:pPr>
              <w:pStyle w:val="null3"/>
              <w:jc w:val="left"/>
            </w:pPr>
            <w:r>
              <w:rPr/>
              <w:t>根据供应商提供的组织措施及消杀灭效评估方案（包括但不限于①管理组织结构；②消杀灭效评估方案等）进行评审： 每提供一项上述内容得1分，最高得2分。</w:t>
            </w:r>
          </w:p>
        </w:tc>
      </w:tr>
      <w:tr>
        <w:tc>
          <w:tcPr>
            <w:tcW w:type="dxa" w:w="922"/>
            <w:gridSpan w:val="2"/>
            <w:vMerge/>
          </w:tcPr>
          <w:p/>
        </w:tc>
        <w:tc>
          <w:tcPr>
            <w:tcW w:type="dxa" w:w="2307"/>
          </w:tcPr>
          <w:p>
            <w:pPr>
              <w:pStyle w:val="null3"/>
              <w:jc w:val="left"/>
            </w:pPr>
            <w:r>
              <w:rPr/>
              <w:t>组织措施及消杀灭效评估方案2 (8.0分)</w:t>
            </w:r>
            <w:r>
              <w:rPr/>
              <w:t>，（等次分值选择：</w:t>
            </w:r>
            <w:r>
              <w:rPr/>
              <w:t>0.0;</w:t>
            </w:r>
            <w:r>
              <w:rPr/>
              <w:t>1.0;</w:t>
            </w:r>
            <w:r>
              <w:rPr/>
              <w:t>3.0;</w:t>
            </w:r>
            <w:r>
              <w:rPr/>
              <w:t>5.0;</w:t>
            </w:r>
            <w:r>
              <w:rPr/>
              <w:t>8.0;</w:t>
            </w:r>
            <w:r>
              <w:rPr/>
              <w:t>）</w:t>
            </w:r>
          </w:p>
        </w:tc>
        <w:tc>
          <w:tcPr>
            <w:tcW w:type="dxa" w:w="5076"/>
          </w:tcPr>
          <w:p>
            <w:pPr>
              <w:pStyle w:val="null3"/>
              <w:jc w:val="left"/>
            </w:pPr>
            <w:r>
              <w:rPr/>
              <w:t>如供应商提供的方案已包含上述所有内容，则根据以下评审标准进行评审： 1、管理组织结构科学合理、有详细的消杀灭效评估方案，灭效方案详细、可行性强，得8分； 2、管理组织结构较合理、有较详细的消杀灭效评估方案，灭效方案较详细、可行性较强，得5分； 3、管理组织结构基本合理、有消杀灭效评估方案，灭效方案基本合理，基本可行，得3分； 4、管理组织结构不合理、有消杀灭效评估方案，灭效方案一般，可行性一般，得1分； 注：不提供的不得分。</w:t>
            </w:r>
          </w:p>
        </w:tc>
      </w:tr>
      <w:tr>
        <w:tc>
          <w:tcPr>
            <w:tcW w:type="dxa" w:w="922"/>
            <w:gridSpan w:val="2"/>
            <w:vMerge/>
          </w:tcPr>
          <w:p/>
        </w:tc>
        <w:tc>
          <w:tcPr>
            <w:tcW w:type="dxa" w:w="2307"/>
          </w:tcPr>
          <w:p>
            <w:pPr>
              <w:pStyle w:val="null3"/>
              <w:jc w:val="left"/>
            </w:pPr>
            <w:r>
              <w:rPr/>
              <w:t>拟投入的药物情况1 (2.0分)</w:t>
            </w:r>
            <w:r>
              <w:rPr/>
              <w:t>，（等次分值选择：</w:t>
            </w:r>
            <w:r>
              <w:rPr/>
              <w:t>0.0;</w:t>
            </w:r>
            <w:r>
              <w:rPr/>
              <w:t>1.0;</w:t>
            </w:r>
            <w:r>
              <w:rPr/>
              <w:t>2.0;</w:t>
            </w:r>
            <w:r>
              <w:rPr/>
              <w:t>）</w:t>
            </w:r>
          </w:p>
        </w:tc>
        <w:tc>
          <w:tcPr>
            <w:tcW w:type="dxa" w:w="5076"/>
          </w:tcPr>
          <w:p>
            <w:pPr>
              <w:pStyle w:val="null3"/>
              <w:jc w:val="left"/>
            </w:pPr>
            <w:r>
              <w:rPr/>
              <w:t>根据供应商提供的拟投入的药物情况（包括但不限于①药物配置品类；②药物管理等）进行评审： 每提供一项上述内容得1分，最高得2分。</w:t>
            </w:r>
          </w:p>
        </w:tc>
      </w:tr>
      <w:tr>
        <w:tc>
          <w:tcPr>
            <w:tcW w:type="dxa" w:w="922"/>
            <w:gridSpan w:val="2"/>
            <w:vMerge/>
          </w:tcPr>
          <w:p/>
        </w:tc>
        <w:tc>
          <w:tcPr>
            <w:tcW w:type="dxa" w:w="2307"/>
          </w:tcPr>
          <w:p>
            <w:pPr>
              <w:pStyle w:val="null3"/>
              <w:jc w:val="left"/>
            </w:pPr>
            <w:r>
              <w:rPr/>
              <w:t>拟投入的药物情况2 (6.0分)</w:t>
            </w:r>
            <w:r>
              <w:rPr/>
              <w:t>，（等次分值选择：</w:t>
            </w:r>
            <w:r>
              <w:rPr/>
              <w:t>0.0;</w:t>
            </w:r>
            <w:r>
              <w:rPr/>
              <w:t>1.0;</w:t>
            </w:r>
            <w:r>
              <w:rPr/>
              <w:t>2.0;</w:t>
            </w:r>
            <w:r>
              <w:rPr/>
              <w:t>4.0;</w:t>
            </w:r>
            <w:r>
              <w:rPr/>
              <w:t>6.0;</w:t>
            </w:r>
            <w:r>
              <w:rPr/>
              <w:t>）</w:t>
            </w:r>
          </w:p>
        </w:tc>
        <w:tc>
          <w:tcPr>
            <w:tcW w:type="dxa" w:w="5076"/>
          </w:tcPr>
          <w:p>
            <w:pPr>
              <w:pStyle w:val="null3"/>
              <w:jc w:val="left"/>
            </w:pPr>
            <w:r>
              <w:rPr/>
              <w:t>如供应商提供的方案已包含上述所有内容，则根据以下评审标准进行评审： 1、药物效果好、安全性高，药物配置品类的科学合理，对投入药物的管理科学合理、具有可行性，得6分； 2、药物效果较好、安全性较高，药物配置品类较科学合理，对投入药物的管理较科学合理、较具有可行性，得4分； 3、药物效果和安全性基本满足要求，药物配置品类基本科学合理，对投入药物的管理基本合理、基本可行，得2分； 4、药物效果较差、安全性较差，药物配置品类不科学合理，对投入药物的管理不科学合理、可行性一般，得1分。 注：不提供的不得分。</w:t>
            </w:r>
          </w:p>
        </w:tc>
      </w:tr>
      <w:tr>
        <w:tc>
          <w:tcPr>
            <w:tcW w:type="dxa" w:w="922"/>
            <w:gridSpan w:val="2"/>
            <w:vMerge/>
          </w:tcPr>
          <w:p/>
        </w:tc>
        <w:tc>
          <w:tcPr>
            <w:tcW w:type="dxa" w:w="2307"/>
          </w:tcPr>
          <w:p>
            <w:pPr>
              <w:pStyle w:val="null3"/>
              <w:jc w:val="left"/>
            </w:pPr>
            <w:r>
              <w:rPr/>
              <w:t>安全保障措施1 (2.0分)</w:t>
            </w:r>
            <w:r>
              <w:rPr/>
              <w:t>，（等次分值选择：</w:t>
            </w:r>
            <w:r>
              <w:rPr/>
              <w:t>0.0;</w:t>
            </w:r>
            <w:r>
              <w:rPr/>
              <w:t>1.0;</w:t>
            </w:r>
            <w:r>
              <w:rPr/>
              <w:t>2.0;</w:t>
            </w:r>
            <w:r>
              <w:rPr/>
              <w:t>）</w:t>
            </w:r>
          </w:p>
        </w:tc>
        <w:tc>
          <w:tcPr>
            <w:tcW w:type="dxa" w:w="5076"/>
          </w:tcPr>
          <w:p>
            <w:pPr>
              <w:pStyle w:val="null3"/>
              <w:jc w:val="left"/>
            </w:pPr>
            <w:r>
              <w:rPr/>
              <w:t>根据供应商提供的安全保障措施（包括但不限于①安全保障措施；②安全事故预防机制等）进行评审： 每提供一项上述内容得1分，最高得2分。</w:t>
            </w:r>
          </w:p>
        </w:tc>
      </w:tr>
      <w:tr>
        <w:tc>
          <w:tcPr>
            <w:tcW w:type="dxa" w:w="922"/>
            <w:gridSpan w:val="2"/>
            <w:vMerge/>
          </w:tcPr>
          <w:p/>
        </w:tc>
        <w:tc>
          <w:tcPr>
            <w:tcW w:type="dxa" w:w="2307"/>
          </w:tcPr>
          <w:p>
            <w:pPr>
              <w:pStyle w:val="null3"/>
              <w:jc w:val="left"/>
            </w:pPr>
            <w:r>
              <w:rPr/>
              <w:t>安全保障措施2 (6.0分)</w:t>
            </w:r>
            <w:r>
              <w:rPr/>
              <w:t>，（等次分值选择：</w:t>
            </w:r>
            <w:r>
              <w:rPr/>
              <w:t>0.0;</w:t>
            </w:r>
            <w:r>
              <w:rPr/>
              <w:t>1.0;</w:t>
            </w:r>
            <w:r>
              <w:rPr/>
              <w:t>2.0;</w:t>
            </w:r>
            <w:r>
              <w:rPr/>
              <w:t>4.0;</w:t>
            </w:r>
            <w:r>
              <w:rPr/>
              <w:t>6.0;</w:t>
            </w:r>
            <w:r>
              <w:rPr/>
              <w:t>）</w:t>
            </w:r>
          </w:p>
        </w:tc>
        <w:tc>
          <w:tcPr>
            <w:tcW w:type="dxa" w:w="5076"/>
          </w:tcPr>
          <w:p>
            <w:pPr>
              <w:pStyle w:val="null3"/>
              <w:jc w:val="left"/>
            </w:pPr>
            <w:r>
              <w:rPr/>
              <w:t>如供应商提供的方案已包含上述所有内容，则根据以下评审标准进行评审： 1、安全保障措施详细、具体，安全事故预防机制成熟，措施具有可行性和针对性，得6分； 2、安全保障措施较详细、具体，安全事故预防机制较成熟，措施较具有可行性和针对性，得4分； 3、安全保障措施基本详细，安全事故预防机制基本成熟，基本具有可行性和针对性，得2分； 4、安全保障措施不详细，安全事故预防机制不成熟，可行性和针对性一般，得1分。 注：不提供的不得分。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r>
              <w:rPr/>
              <w:t>，（等次分值选择：</w:t>
            </w:r>
            <w:r>
              <w:rPr/>
              <w:t>0.0;</w:t>
            </w:r>
            <w:r>
              <w:rPr/>
              <w:t>1.0;</w:t>
            </w:r>
            <w:r>
              <w:rPr/>
              <w:t>2.0;</w:t>
            </w:r>
            <w:r>
              <w:rPr/>
              <w:t>3.0;</w:t>
            </w:r>
            <w:r>
              <w:rPr/>
              <w:t>4.0;</w:t>
            </w:r>
            <w:r>
              <w:rPr/>
              <w:t>5.0;</w:t>
            </w:r>
            <w:r>
              <w:rPr/>
              <w:t>6.0;</w:t>
            </w:r>
            <w:r>
              <w:rPr/>
              <w:t>7.0;</w:t>
            </w:r>
            <w:r>
              <w:rPr/>
              <w:t>8.0;</w:t>
            </w:r>
            <w:r>
              <w:rPr/>
              <w:t>）</w:t>
            </w:r>
          </w:p>
        </w:tc>
        <w:tc>
          <w:tcPr>
            <w:tcW w:type="dxa" w:w="5076"/>
          </w:tcPr>
          <w:p>
            <w:pPr>
              <w:pStyle w:val="null3"/>
              <w:jc w:val="left"/>
            </w:pPr>
            <w:r>
              <w:rPr/>
              <w:t>2019年1月1日（以合同签订时间为准）至今同类型“消杀（包括除四害或白蚁或红火蚁防控）”业绩，每提供一份合同得1分，最高得8分。 注：提供合同复印件作为证明材料，不提供或专家无法认定的不得分。</w:t>
            </w:r>
          </w:p>
        </w:tc>
      </w:tr>
      <w:tr>
        <w:tc>
          <w:tcPr>
            <w:tcW w:type="dxa" w:w="922"/>
            <w:gridSpan w:val="2"/>
            <w:vMerge/>
          </w:tcPr>
          <w:p/>
        </w:tc>
        <w:tc>
          <w:tcPr>
            <w:tcW w:type="dxa" w:w="2307"/>
          </w:tcPr>
          <w:p>
            <w:pPr>
              <w:pStyle w:val="null3"/>
              <w:jc w:val="left"/>
            </w:pPr>
            <w:r>
              <w:rPr/>
              <w:t>拟投入本项目的人员情况 (5.0分)</w:t>
            </w:r>
            <w:r>
              <w:rPr/>
              <w:t>，（等次分值选择：</w:t>
            </w:r>
            <w:r>
              <w:rPr/>
              <w:t>0.0;</w:t>
            </w:r>
            <w:r>
              <w:rPr/>
              <w:t>1.0;</w:t>
            </w:r>
            <w:r>
              <w:rPr/>
              <w:t>2.0;</w:t>
            </w:r>
            <w:r>
              <w:rPr/>
              <w:t>3.0;</w:t>
            </w:r>
            <w:r>
              <w:rPr/>
              <w:t>4.0;</w:t>
            </w:r>
            <w:r>
              <w:rPr/>
              <w:t>5.0;</w:t>
            </w:r>
            <w:r>
              <w:rPr/>
              <w:t>）</w:t>
            </w:r>
          </w:p>
        </w:tc>
        <w:tc>
          <w:tcPr>
            <w:tcW w:type="dxa" w:w="5076"/>
          </w:tcPr>
          <w:p>
            <w:pPr>
              <w:pStyle w:val="null3"/>
              <w:jc w:val="left"/>
            </w:pPr>
            <w:r>
              <w:rPr/>
              <w:t>有初级（或以上）有害生物防制资质人员，每提供一个得1分，最高得5分。 注：提供以上人员证书（资格证或上岗证或培训合格证等）、身份证、以及在本单位服务的外部证明材料，如投标截止日之前六个月以内任意月份的代缴个税税单或参加社会保险的《投保单》或《社会保险参保人员证明》等。不提供或提供不全或专家无法认定的不得分。</w:t>
            </w:r>
          </w:p>
        </w:tc>
      </w:tr>
      <w:tr>
        <w:tc>
          <w:tcPr>
            <w:tcW w:type="dxa" w:w="922"/>
            <w:gridSpan w:val="2"/>
            <w:vMerge/>
          </w:tcPr>
          <w:p/>
        </w:tc>
        <w:tc>
          <w:tcPr>
            <w:tcW w:type="dxa" w:w="2307"/>
          </w:tcPr>
          <w:p>
            <w:pPr>
              <w:pStyle w:val="null3"/>
              <w:jc w:val="left"/>
            </w:pPr>
            <w:r>
              <w:rPr/>
              <w:t>投标人管理体系认证 (3.0分)</w:t>
            </w:r>
            <w:r>
              <w:rPr/>
              <w:t>，（等次分值选择：</w:t>
            </w:r>
            <w:r>
              <w:rPr/>
              <w:t>0.0;</w:t>
            </w:r>
            <w:r>
              <w:rPr/>
              <w:t>1.0;</w:t>
            </w:r>
            <w:r>
              <w:rPr/>
              <w:t>2.0;</w:t>
            </w:r>
            <w:r>
              <w:rPr/>
              <w:t>3.0;</w:t>
            </w:r>
            <w:r>
              <w:rPr/>
              <w:t>）</w:t>
            </w:r>
          </w:p>
        </w:tc>
        <w:tc>
          <w:tcPr>
            <w:tcW w:type="dxa" w:w="5076"/>
          </w:tcPr>
          <w:p>
            <w:pPr>
              <w:pStyle w:val="null3"/>
              <w:jc w:val="left"/>
            </w:pPr>
            <w:r>
              <w:rPr/>
              <w:t xml:space="preserve"> 供应商获得以下认证，且在全国认证认可信息公共服务平台（www.cnca.gov.cn）上查询的证书状态为有效。每提供一个得1分，最高得3分。 1、质量管理体系认证证书； 2、环境管理体系认证证书； 3、职业健康安全管理体系认证证书。 注：提供有效的证书证明材料，否则不得分。因成立时间不够3个月未能获得以上证书且提供说明的，可对应得分。</w:t>
            </w:r>
          </w:p>
        </w:tc>
      </w:tr>
      <w:tr>
        <w:tc>
          <w:tcPr>
            <w:tcW w:type="dxa" w:w="922"/>
            <w:gridSpan w:val="2"/>
            <w:vMerge/>
          </w:tcPr>
          <w:p/>
        </w:tc>
        <w:tc>
          <w:tcPr>
            <w:tcW w:type="dxa" w:w="2307"/>
          </w:tcPr>
          <w:p>
            <w:pPr>
              <w:pStyle w:val="null3"/>
              <w:jc w:val="left"/>
            </w:pPr>
            <w:r>
              <w:rPr/>
              <w:t>拟投入设备情况 (6.0分)</w:t>
            </w:r>
            <w:r>
              <w:rPr/>
              <w:t>，（等次分值选择：</w:t>
            </w:r>
            <w:r>
              <w:rPr/>
              <w:t>0.0;</w:t>
            </w:r>
            <w:r>
              <w:rPr/>
              <w:t>6.0;</w:t>
            </w:r>
            <w:r>
              <w:rPr/>
              <w:t>）</w:t>
            </w:r>
          </w:p>
        </w:tc>
        <w:tc>
          <w:tcPr>
            <w:tcW w:type="dxa" w:w="5076"/>
          </w:tcPr>
          <w:p>
            <w:pPr>
              <w:pStyle w:val="null3"/>
              <w:jc w:val="left"/>
            </w:pPr>
            <w:r>
              <w:rPr/>
              <w:t>对拟投入本项目的设备包括但不限于：作业（巡查）车辆、热烟雾机、超低容量喷雾器、常量喷雾机各2台（或以上），全部满足的得6分，否则不得分。 注：提供设备的购置发票或租赁合同复印件作为证明材料，同时提供设备图片。不提供或专家无法认定的不得分。</w:t>
            </w:r>
          </w:p>
        </w:tc>
      </w:tr>
      <w:tr>
        <w:tc>
          <w:tcPr>
            <w:tcW w:type="dxa" w:w="922"/>
            <w:gridSpan w:val="2"/>
            <w:vMerge/>
          </w:tcPr>
          <w:p/>
        </w:tc>
        <w:tc>
          <w:tcPr>
            <w:tcW w:type="dxa" w:w="2307"/>
          </w:tcPr>
          <w:p>
            <w:pPr>
              <w:pStyle w:val="null3"/>
              <w:jc w:val="left"/>
            </w:pPr>
            <w:r>
              <w:rPr/>
              <w:t>整体项目服务便利性 (5.0分)</w:t>
            </w:r>
            <w:r>
              <w:rPr/>
              <w:t>，（等次分值选择：</w:t>
            </w:r>
            <w:r>
              <w:rPr/>
              <w:t>0.0;</w:t>
            </w:r>
            <w:r>
              <w:rPr/>
              <w:t>1.0;</w:t>
            </w:r>
            <w:r>
              <w:rPr/>
              <w:t>3.0;</w:t>
            </w:r>
            <w:r>
              <w:rPr/>
              <w:t>5.0;</w:t>
            </w:r>
            <w:r>
              <w:rPr/>
              <w:t>）</w:t>
            </w:r>
          </w:p>
        </w:tc>
        <w:tc>
          <w:tcPr>
            <w:tcW w:type="dxa" w:w="5076"/>
          </w:tcPr>
          <w:p>
            <w:pPr>
              <w:pStyle w:val="null3"/>
              <w:jc w:val="left"/>
            </w:pPr>
            <w:r>
              <w:rPr/>
              <w:t>1、响应时间快，承诺接到采购人通知后0.5小时内到达采购人所在地的，响应服务计划安排周密、详实，得5分； 2、响应时间较快，承诺接到采购人通知后1小时内到达采购人所在地的，响应服务计划安排较周密，得3分； 3、响应时间较慢，承诺接到采购人通知后1.5小时内到达采购人所在地的，响应服务计划一般，得1分。 4、不提供相关承诺和证明的不得分。</w:t>
            </w:r>
          </w:p>
        </w:tc>
      </w:tr>
      <w:tr>
        <w:tc>
          <w:tcPr>
            <w:tcW w:type="dxa" w:w="922"/>
            <w:gridSpan w:val="2"/>
            <w:vMerge/>
          </w:tcPr>
          <w:p/>
        </w:tc>
        <w:tc>
          <w:tcPr>
            <w:tcW w:type="dxa" w:w="2307"/>
          </w:tcPr>
          <w:p>
            <w:pPr>
              <w:pStyle w:val="null3"/>
              <w:jc w:val="left"/>
            </w:pPr>
            <w:r>
              <w:rPr/>
              <w:t>采购需求响应情况 (3.0分)</w:t>
            </w:r>
            <w:r>
              <w:rPr/>
              <w:t>，（等次分值选择：</w:t>
            </w:r>
            <w:r>
              <w:rPr/>
              <w:t>0.0;</w:t>
            </w:r>
            <w:r>
              <w:rPr/>
              <w:t>1.0;</w:t>
            </w:r>
            <w:r>
              <w:rPr/>
              <w:t>2.0;</w:t>
            </w:r>
            <w:r>
              <w:rPr/>
              <w:t>3.0;</w:t>
            </w:r>
            <w:r>
              <w:rPr/>
              <w:t>）</w:t>
            </w:r>
          </w:p>
        </w:tc>
        <w:tc>
          <w:tcPr>
            <w:tcW w:type="dxa" w:w="5076"/>
          </w:tcPr>
          <w:p>
            <w:pPr>
              <w:pStyle w:val="null3"/>
              <w:jc w:val="left"/>
            </w:pPr>
            <w:r>
              <w:rPr/>
              <w:t>1、完全满足并有优于采购需求的，得3分； 2、完全满足采购需求的，得2分； 3、采购需求响应有负偏离的，得1分。 注：供应商在《技术和服务要求响应表》和《商务条件响应表》中应明确正偏离、无偏离或负偏离及相应的说明，</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标结果按评审后总得分由高到低顺序排列。总得分相同的，按投标报价由低到高顺序排列。得分且投标报价相同的，按技术指标的优劣顺序排列确定；以上均相同的，由采购人或者采购人委托评标委员会采取随机抽取方式确定。响应文件满足招标文件全部实质性要求，且按照评审因素的量化指标评审，排名第一的响应供应商为第一成交候选供应商，排名第二的响应供应商为第二成交候选供应商，排名第三的响应供应商为第三成交候选供应商。</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ind w:firstLine="420"/>
        <w:jc w:val="left"/>
      </w:pPr>
      <w:r>
        <w:rPr>
          <w:sz w:val="21"/>
        </w:rPr>
        <w:t>根据《中华人民共和国政府采购法》、《中华人民共和国民法典》等相关法律法规及</w:t>
      </w:r>
      <w:r>
        <w:rPr>
          <w:sz w:val="21"/>
          <w:u w:val="single"/>
        </w:rPr>
        <w:t xml:space="preserve">        </w:t>
      </w:r>
      <w:r>
        <w:rPr>
          <w:sz w:val="21"/>
          <w:u w:val="single"/>
        </w:rPr>
        <w:t>（项目名称）</w:t>
      </w:r>
      <w:r>
        <w:rPr>
          <w:sz w:val="21"/>
        </w:rPr>
        <w:t>招标文件（项目编号：</w:t>
      </w:r>
      <w:r>
        <w:rPr>
          <w:sz w:val="21"/>
          <w:u w:val="single"/>
        </w:rPr>
        <w:t xml:space="preserve">                  </w:t>
      </w:r>
      <w:r>
        <w:rPr>
          <w:sz w:val="21"/>
          <w:u w:val="single"/>
        </w:rPr>
        <w:t>（项目编号）</w:t>
      </w:r>
      <w:r>
        <w:rPr>
          <w:sz w:val="21"/>
        </w:rPr>
        <w:t>，采购包</w:t>
      </w:r>
      <w:r>
        <w:rPr>
          <w:sz w:val="21"/>
          <w:u w:val="single"/>
        </w:rPr>
        <w:t xml:space="preserve">     </w:t>
      </w:r>
      <w:r>
        <w:rPr>
          <w:sz w:val="21"/>
        </w:rPr>
        <w:t>）的要求，经双方协商，本着平等互利和诚实信用的原则，一致同意签订本合同。</w:t>
      </w:r>
    </w:p>
    <w:p>
      <w:pPr>
        <w:pStyle w:val="null3"/>
        <w:ind w:firstLine="422"/>
        <w:jc w:val="both"/>
      </w:pPr>
      <w:r>
        <w:rPr>
          <w:sz w:val="21"/>
          <w:b/>
        </w:rPr>
        <w:t>一、</w:t>
      </w:r>
      <w:r>
        <w:rPr>
          <w:sz w:val="21"/>
          <w:b/>
        </w:rPr>
        <w:t>合同金额</w:t>
      </w:r>
    </w:p>
    <w:p>
      <w:pPr>
        <w:pStyle w:val="null3"/>
        <w:ind w:firstLine="420"/>
        <w:jc w:val="both"/>
      </w:pPr>
      <w:r>
        <w:rPr>
          <w:sz w:val="21"/>
          <w:u w:val="single"/>
        </w:rPr>
        <w:t>合同金额为（大写）：</w:t>
      </w:r>
      <w:r>
        <w:rPr>
          <w:sz w:val="21"/>
          <w:u w:val="single"/>
        </w:rPr>
        <w:t xml:space="preserve">   </w:t>
      </w:r>
      <w:r>
        <w:rPr>
          <w:sz w:val="21"/>
          <w:u w:val="single"/>
        </w:rPr>
        <w:t>元</w:t>
      </w:r>
      <w:r>
        <w:rPr>
          <w:sz w:val="21"/>
          <w:u w:val="single"/>
        </w:rPr>
        <w:t>。（￥</w:t>
      </w:r>
      <w:r>
        <w:rPr>
          <w:sz w:val="21"/>
          <w:u w:val="single"/>
        </w:rPr>
        <w:t xml:space="preserve">   0元），为包干总价，已包括但不限于“四害”及白蚁、红火蚁防控消杀的药物、器械、人工、税费及其他乙方履行本合同义务所需的全部费用。</w:t>
      </w:r>
    </w:p>
    <w:p>
      <w:pPr>
        <w:pStyle w:val="null3"/>
        <w:ind w:left="540" w:right="5310"/>
        <w:jc w:val="both"/>
      </w:pPr>
      <w:r>
        <w:rPr>
          <w:sz w:val="21"/>
          <w:b/>
        </w:rPr>
        <w:t>二、服务范</w:t>
      </w:r>
      <w:r>
        <w:rPr>
          <w:sz w:val="21"/>
          <w:b/>
        </w:rPr>
        <w:t>围</w:t>
      </w:r>
    </w:p>
    <w:p>
      <w:pPr>
        <w:pStyle w:val="null3"/>
        <w:ind w:left="435"/>
        <w:jc w:val="left"/>
      </w:pPr>
      <w:r>
        <w:rPr>
          <w:sz w:val="21"/>
        </w:rPr>
        <w:t>甲方委托乙方提供以下服务：</w:t>
      </w:r>
    </w:p>
    <w:p>
      <w:pPr>
        <w:pStyle w:val="null3"/>
        <w:ind w:left="15" w:firstLine="429"/>
        <w:jc w:val="left"/>
      </w:pPr>
      <w:r>
        <w:rPr>
          <w:sz w:val="21"/>
        </w:rPr>
        <w:t>1</w:t>
      </w:r>
      <w:r>
        <w:rPr>
          <w:sz w:val="21"/>
        </w:rPr>
        <w:t>、本合同项下的服务指</w:t>
      </w:r>
      <w:r>
        <w:rPr>
          <w:sz w:val="21"/>
          <w:u w:val="single"/>
        </w:rPr>
        <w:t xml:space="preserve"> </w:t>
      </w:r>
      <w:r>
        <w:rPr>
          <w:sz w:val="21"/>
          <w:u w:val="single"/>
        </w:rPr>
        <w:t>万顷沙镇除</w:t>
      </w:r>
      <w:r>
        <w:rPr>
          <w:sz w:val="21"/>
          <w:u w:val="single"/>
        </w:rPr>
        <w:t>“</w:t>
      </w:r>
      <w:r>
        <w:rPr>
          <w:sz w:val="21"/>
          <w:u w:val="single"/>
        </w:rPr>
        <w:t>四害</w:t>
      </w:r>
      <w:r>
        <w:rPr>
          <w:sz w:val="21"/>
          <w:u w:val="single"/>
        </w:rPr>
        <w:t>”</w:t>
      </w:r>
      <w:r>
        <w:rPr>
          <w:sz w:val="21"/>
          <w:u w:val="single"/>
        </w:rPr>
        <w:t>及白蚁、红火蚁防控消杀服务</w:t>
      </w:r>
      <w:r>
        <w:rPr>
          <w:sz w:val="21"/>
        </w:rPr>
        <w:t>。</w:t>
      </w:r>
    </w:p>
    <w:p>
      <w:pPr>
        <w:pStyle w:val="null3"/>
        <w:ind w:left="540"/>
        <w:jc w:val="both"/>
        <w:outlineLvl w:val="4"/>
      </w:pPr>
      <w:r>
        <w:rPr>
          <w:sz w:val="21"/>
          <w:b/>
        </w:rPr>
        <w:t>三、服务期限及服务地点</w:t>
      </w:r>
    </w:p>
    <w:p>
      <w:pPr>
        <w:pStyle w:val="null3"/>
        <w:ind w:firstLine="450"/>
        <w:jc w:val="left"/>
      </w:pPr>
      <w:r>
        <w:rPr>
          <w:sz w:val="21"/>
        </w:rPr>
        <w:t>1</w:t>
      </w:r>
      <w:r>
        <w:rPr>
          <w:sz w:val="21"/>
        </w:rPr>
        <w:t>、服务期限：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r>
        <w:rPr>
          <w:sz w:val="21"/>
        </w:rPr>
        <w:t>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w:t>
      </w:r>
    </w:p>
    <w:p>
      <w:pPr>
        <w:pStyle w:val="null3"/>
        <w:ind w:left="540"/>
        <w:jc w:val="both"/>
        <w:outlineLvl w:val="4"/>
      </w:pPr>
      <w:r>
        <w:rPr>
          <w:sz w:val="21"/>
          <w:b/>
        </w:rPr>
        <w:t>四、项目内容</w:t>
      </w:r>
    </w:p>
    <w:p>
      <w:pPr>
        <w:pStyle w:val="null3"/>
        <w:jc w:val="both"/>
      </w:pPr>
      <w:r>
        <w:rPr>
          <w:sz w:val="21"/>
          <w:b/>
        </w:rPr>
        <w:t>（一）日常服务内容</w:t>
      </w:r>
    </w:p>
    <w:tbl>
      <w:tblPr>
        <w:tblW w:w="0" w:type="auto"/>
        <w:tblBorders>
          <w:top w:val="none" w:color="000000" w:sz="4"/>
          <w:left w:val="none" w:color="000000" w:sz="4"/>
          <w:bottom w:val="none" w:color="000000" w:sz="4"/>
          <w:right w:val="none" w:color="000000" w:sz="4"/>
          <w:insideH w:val="none"/>
          <w:insideV w:val="none"/>
        </w:tblBorders>
      </w:tblPr>
      <w:tblGrid>
        <w:gridCol w:w="717"/>
        <w:gridCol w:w="3774"/>
        <w:gridCol w:w="1310"/>
        <w:gridCol w:w="2497"/>
      </w:tblGrid>
      <w:tr>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服务范围</w:t>
            </w:r>
          </w:p>
        </w:tc>
        <w:tc>
          <w:tcPr>
            <w:tcW w:type="dxa" w:w="1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内容</w:t>
            </w:r>
          </w:p>
        </w:tc>
        <w:tc>
          <w:tcPr>
            <w:tcW w:type="dxa" w:w="24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频率</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1.全镇16条村居辖区公共区域、镇政府各内设机构及镇设置的5个事业单位、镇敬老院、镇工疗站、派出所内外环境；</w:t>
            </w:r>
          </w:p>
          <w:p>
            <w:pPr>
              <w:pStyle w:val="null3"/>
              <w:jc w:val="left"/>
            </w:pPr>
            <w:r>
              <w:rPr>
                <w:sz w:val="21"/>
              </w:rPr>
              <w:t>2.对农区、鱼塘进行灭鼠指导，提供灭鼠药品给村居进行农田防控，每年合计提供灭鼠药品不少于3吨。</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除四害（鼠、蚊、蝇、蟑螂），翻盆倒罐、清除蚊虫孳生地、鼠迹鼠粪</w:t>
            </w:r>
          </w:p>
        </w:tc>
        <w:tc>
          <w:tcPr>
            <w:tcW w:type="dxa" w:w="2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灭蚊：4次/月；</w:t>
            </w:r>
          </w:p>
          <w:p>
            <w:pPr>
              <w:pStyle w:val="null3"/>
              <w:jc w:val="center"/>
            </w:pPr>
            <w:r>
              <w:rPr>
                <w:sz w:val="21"/>
              </w:rPr>
              <w:t>灭鼠：4次/月；</w:t>
            </w:r>
          </w:p>
          <w:p>
            <w:pPr>
              <w:pStyle w:val="null3"/>
              <w:jc w:val="center"/>
            </w:pPr>
            <w:r>
              <w:rPr>
                <w:sz w:val="21"/>
              </w:rPr>
              <w:t>灭蝇：4次/月；</w:t>
            </w:r>
          </w:p>
          <w:p>
            <w:pPr>
              <w:pStyle w:val="null3"/>
              <w:jc w:val="center"/>
            </w:pPr>
            <w:r>
              <w:rPr>
                <w:sz w:val="21"/>
              </w:rPr>
              <w:t>灭蟑：4次/月。</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镇政府各内设机构及镇设置的5个事业单位、镇敬老院、镇工疗站、派出所内外环境。</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白蚁防治</w:t>
            </w:r>
          </w:p>
        </w:tc>
        <w:tc>
          <w:tcPr>
            <w:tcW w:type="dxa" w:w="2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每月2次</w:t>
            </w:r>
          </w:p>
        </w:tc>
      </w:tr>
      <w:tr>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3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sz w:val="21"/>
              </w:rPr>
              <w:t>全镇16个村（居）、辖内学校、镇敬老院、工疗站、公园、广场、公路边的行人路和绿化林带公共区域由服务方进行防控；</w:t>
            </w:r>
          </w:p>
          <w:p>
            <w:pPr>
              <w:pStyle w:val="null3"/>
              <w:numPr>
                <w:ilvl w:val="0"/>
                <w:numId w:val="1"/>
              </w:numPr>
              <w:jc w:val="left"/>
            </w:pPr>
            <w:r>
              <w:rPr>
                <w:sz w:val="21"/>
              </w:rPr>
              <w:t>对农区、鱼塘进行红火蚁防控指导，提供红火蚁防控药品给村（居）、塘主进行农田、鱼塘防控，鱼塘总面积约3.5万亩，塘基约0.7万亩，每年合计提供药品不少于3吨。</w:t>
            </w:r>
          </w:p>
        </w:tc>
        <w:tc>
          <w:tcPr>
            <w:tcW w:type="dxa" w:w="1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红火蚁防控</w:t>
            </w:r>
          </w:p>
        </w:tc>
        <w:tc>
          <w:tcPr>
            <w:tcW w:type="dxa" w:w="24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每年4至5月、10至11月为重点防控期，除天气问题，应每天安排人员进行防控，保证每个月对16个村（社区）、辖内学校、镇敬老院、镇工疗站、公园、广场、公路边的行人路和绿化林带公共区域防控一次。</w:t>
            </w:r>
          </w:p>
        </w:tc>
      </w:tr>
    </w:tbl>
    <w:p>
      <w:pPr>
        <w:pStyle w:val="null3"/>
        <w:ind w:left="315"/>
        <w:jc w:val="both"/>
      </w:pPr>
      <w:r>
        <w:rPr>
          <w:sz w:val="21"/>
          <w:b/>
        </w:rPr>
        <w:t>（二）突发性应急服务内容</w:t>
      </w:r>
    </w:p>
    <w:p>
      <w:pPr>
        <w:pStyle w:val="null3"/>
        <w:ind w:firstLine="420"/>
        <w:jc w:val="both"/>
      </w:pPr>
      <w:r>
        <w:rPr>
          <w:sz w:val="21"/>
        </w:rPr>
        <w:t>1.疫点应急消杀服务。对突发的登革热疫情提供专业的疫点应急消杀处置服务，做到人员、药械和消杀处置行动及时到位，严格控制疫情扩散。疫点消杀处置范围为病例半径400米之内的空间范围全覆盖（核心区为病例半径200米，警戒区为核心区外扩展半径200米空间范围），警戒区与核心区同步处理。疫点消杀处置服务包括清除蚊虫孳生地、灭杀成蚊及消杀处置效果监测等处置措施。每疫点连续消杀3天后，实施蚊媒密度监测措施，监测指数不达标的，再次实施消杀处置，直到监测指数达标或区疾控中心检验合格为止。疫点首轮应急处置后，每隔5-7天消杀处置一次，总消杀处置次数不少于5次（首轮消杀处置不达标的，总消杀处置次数不少于6次），直到25天内没有续发病例，该处疫点应急消杀工作才算结束。若疫点处置后，25天内核心区出现新增病例，服务方须继续实施新一轮消杀行动，新增病例经上级疾病预防控制中心复核为续发病例的，该疫点消杀费用只按一个疫点结算，如经上级疾病预防控制中心复核后排除续发病例的，按新增疫点结算。本项目在突发登革热疫情出现疫点时，按实际发</w:t>
      </w:r>
      <w:r>
        <w:rPr>
          <w:sz w:val="21"/>
        </w:rPr>
        <w:t>生的疫点消杀数量结算，无疫情无疫点不产生费用。</w:t>
      </w:r>
    </w:p>
    <w:p>
      <w:pPr>
        <w:pStyle w:val="null3"/>
        <w:jc w:val="left"/>
      </w:pPr>
      <w:r>
        <w:rPr>
          <w:sz w:val="21"/>
        </w:rPr>
        <w:t>2.根据上级爱卫部门和镇公共服务办公室通知开展的统一消杀行动。除日常消杀工作外，根据上级爱卫部门工作要求，组织开展的全辖区灭蚊、灭鼠等四害防制统一行动。辖内有迎检任务、重大活动或其他突发任务时，镇公共服务办公室要求开展的消杀服务。本项目按实际发生的消杀次数结算，</w:t>
      </w:r>
      <w:r>
        <w:rPr>
          <w:sz w:val="21"/>
        </w:rPr>
        <w:t>以书面通知为准，</w:t>
      </w:r>
      <w:r>
        <w:rPr>
          <w:sz w:val="21"/>
        </w:rPr>
        <w:t>无相关消杀服务不产生费用。</w:t>
      </w:r>
    </w:p>
    <w:p>
      <w:pPr>
        <w:pStyle w:val="null3"/>
        <w:ind w:left="540"/>
        <w:jc w:val="both"/>
      </w:pPr>
      <w:r>
        <w:rPr>
          <w:sz w:val="21"/>
          <w:b/>
        </w:rPr>
        <w:t>五、消杀要求及质量标准</w:t>
      </w:r>
    </w:p>
    <w:p>
      <w:pPr>
        <w:pStyle w:val="null3"/>
        <w:ind w:firstLine="420"/>
        <w:jc w:val="both"/>
      </w:pPr>
      <w:r>
        <w:rPr>
          <w:sz w:val="21"/>
        </w:rPr>
        <w:t>1、灭蚊工作</w:t>
      </w:r>
    </w:p>
    <w:p>
      <w:pPr>
        <w:pStyle w:val="null3"/>
        <w:ind w:firstLine="420"/>
        <w:jc w:val="both"/>
      </w:pPr>
      <w:r>
        <w:rPr>
          <w:sz w:val="21"/>
        </w:rPr>
        <w:t>按照全国爱卫会除四害的标准，每月四次对消杀服务范围进行全面消杀，完成每月的工作台账和档案资料，配合做好每月市、区、镇三级的监测工作，对监测中出现的情况马上作出相应的整改。</w:t>
      </w:r>
    </w:p>
    <w:p>
      <w:pPr>
        <w:pStyle w:val="null3"/>
        <w:ind w:firstLine="420"/>
        <w:jc w:val="both"/>
      </w:pPr>
      <w:r>
        <w:rPr>
          <w:sz w:val="21"/>
        </w:rPr>
        <w:t>2、灭鼠工作</w:t>
      </w:r>
    </w:p>
    <w:p>
      <w:pPr>
        <w:pStyle w:val="null3"/>
        <w:ind w:firstLine="420"/>
        <w:jc w:val="both"/>
      </w:pPr>
      <w:r>
        <w:rPr>
          <w:sz w:val="21"/>
        </w:rPr>
        <w:t>每月四次在消杀服务范围进行灭鼠，发现有鼠洞及时堵鼠洞并投放鼠饵，鼠屋保障有鼠饵，鼠饵严禁随意投放，要有明确标识牌，鼠尸由乙方作无害化处理。</w:t>
      </w:r>
    </w:p>
    <w:p>
      <w:pPr>
        <w:pStyle w:val="null3"/>
        <w:ind w:firstLine="420"/>
        <w:jc w:val="both"/>
      </w:pPr>
      <w:r>
        <w:rPr>
          <w:sz w:val="21"/>
        </w:rPr>
        <w:t>农田用毒饵站，每月在农田投放灭鼠药品，建议不要长期使用同一种药物，以免产生抗药性。全镇随机选取不少于</w:t>
      </w:r>
      <w:r>
        <w:rPr>
          <w:sz w:val="21"/>
        </w:rPr>
        <w:t>3个调查点，每月进行鼠类密度调查监测，填写“鼠类数量监测调查记录表”。</w:t>
      </w:r>
    </w:p>
    <w:p>
      <w:pPr>
        <w:pStyle w:val="null3"/>
        <w:ind w:firstLine="420"/>
        <w:jc w:val="both"/>
      </w:pPr>
      <w:r>
        <w:rPr>
          <w:sz w:val="21"/>
        </w:rPr>
        <w:t>3、灭蝇工作</w:t>
      </w:r>
    </w:p>
    <w:p>
      <w:pPr>
        <w:pStyle w:val="null3"/>
        <w:ind w:firstLine="420"/>
        <w:jc w:val="both"/>
      </w:pPr>
      <w:r>
        <w:rPr>
          <w:sz w:val="21"/>
        </w:rPr>
        <w:t>乙方每月四次在消杀服务范围内使用超低容量喷洒，从而达到灭蝇效果。</w:t>
      </w:r>
    </w:p>
    <w:p>
      <w:pPr>
        <w:pStyle w:val="null3"/>
        <w:ind w:firstLine="420"/>
        <w:jc w:val="both"/>
      </w:pPr>
      <w:r>
        <w:rPr>
          <w:sz w:val="21"/>
        </w:rPr>
        <w:t>4、灭蟑工作</w:t>
      </w:r>
    </w:p>
    <w:p>
      <w:pPr>
        <w:pStyle w:val="null3"/>
        <w:ind w:firstLine="420"/>
        <w:jc w:val="both"/>
      </w:pPr>
      <w:r>
        <w:rPr>
          <w:sz w:val="21"/>
        </w:rPr>
        <w:t>乙方每月四次在消杀服务范围内沙井、下水道定期施喷灭蟑烟雾，从而达到灭蟑效果。</w:t>
      </w:r>
    </w:p>
    <w:p>
      <w:pPr>
        <w:pStyle w:val="null3"/>
        <w:ind w:firstLine="420"/>
        <w:jc w:val="both"/>
      </w:pPr>
      <w:r>
        <w:rPr>
          <w:sz w:val="21"/>
        </w:rPr>
        <w:t>5.灭蚁（红火蚁、白蚁）工作。</w:t>
      </w:r>
    </w:p>
    <w:p>
      <w:pPr>
        <w:pStyle w:val="null3"/>
        <w:ind w:firstLine="420"/>
        <w:jc w:val="both"/>
      </w:pPr>
      <w:r>
        <w:rPr>
          <w:sz w:val="21"/>
        </w:rPr>
        <w:t>（</w:t>
      </w:r>
      <w:r>
        <w:rPr>
          <w:sz w:val="21"/>
        </w:rPr>
        <w:t>1）在消杀服务范围内开展灭蚁工作。</w:t>
      </w:r>
    </w:p>
    <w:p>
      <w:pPr>
        <w:pStyle w:val="null3"/>
        <w:ind w:firstLine="420"/>
        <w:jc w:val="both"/>
      </w:pPr>
      <w:r>
        <w:rPr>
          <w:sz w:val="21"/>
        </w:rPr>
        <w:t>（</w:t>
      </w:r>
      <w:r>
        <w:rPr>
          <w:sz w:val="21"/>
        </w:rPr>
        <w:t>2）</w:t>
      </w:r>
      <w:r>
        <w:rPr>
          <w:sz w:val="21"/>
        </w:rPr>
        <w:t>白蚁服务人员应具有白蚁防治行业协会颁发的有效期内白蚁防治技术培训合格证书以及执业证，每次服务必须随身佩戴。</w:t>
      </w:r>
    </w:p>
    <w:p>
      <w:pPr>
        <w:pStyle w:val="null3"/>
        <w:ind w:left="165" w:right="150" w:firstLine="384"/>
        <w:jc w:val="left"/>
      </w:pPr>
      <w:r>
        <w:rPr>
          <w:sz w:val="21"/>
        </w:rPr>
        <w:t>（</w:t>
      </w:r>
      <w:r>
        <w:rPr>
          <w:sz w:val="21"/>
        </w:rPr>
        <w:t>3</w:t>
      </w:r>
      <w:r>
        <w:rPr>
          <w:sz w:val="21"/>
        </w:rPr>
        <w:t>）全年红火蚁发生面积控制在</w:t>
      </w:r>
      <w:r>
        <w:rPr>
          <w:sz w:val="21"/>
        </w:rPr>
        <w:t>3000亩以下，4级及5级疫情面积控制在总发生面积的2%以下。</w:t>
      </w:r>
    </w:p>
    <w:p>
      <w:pPr>
        <w:pStyle w:val="null3"/>
        <w:jc w:val="both"/>
        <w:outlineLvl w:val="4"/>
      </w:pPr>
      <w:r>
        <w:rPr>
          <w:sz w:val="21"/>
          <w:b/>
        </w:rPr>
        <w:t>六、药品要求</w:t>
      </w:r>
    </w:p>
    <w:p>
      <w:pPr>
        <w:pStyle w:val="null3"/>
        <w:ind w:right="-15" w:firstLine="416"/>
        <w:jc w:val="left"/>
      </w:pPr>
      <w:r>
        <w:rPr>
          <w:sz w:val="21"/>
        </w:rPr>
        <w:t>在化学防制中，注重科学合理用药，不使用国家禁用的药物。</w:t>
      </w:r>
    </w:p>
    <w:p>
      <w:pPr>
        <w:pStyle w:val="null3"/>
        <w:ind w:left="540" w:right="5145" w:firstLine="6"/>
        <w:jc w:val="left"/>
      </w:pPr>
      <w:r>
        <w:rPr>
          <w:sz w:val="21"/>
          <w:b/>
        </w:rPr>
        <w:t>七、器械要求</w:t>
      </w:r>
    </w:p>
    <w:p>
      <w:pPr>
        <w:pStyle w:val="null3"/>
        <w:ind w:right="5145" w:firstLine="416"/>
        <w:jc w:val="left"/>
      </w:pPr>
      <w:r>
        <w:rPr>
          <w:sz w:val="21"/>
        </w:rPr>
        <w:t>使用器械符合国家安全标准。</w:t>
      </w:r>
    </w:p>
    <w:p>
      <w:pPr>
        <w:pStyle w:val="null3"/>
        <w:ind w:right="-60" w:firstLine="422"/>
        <w:jc w:val="both"/>
      </w:pPr>
      <w:r>
        <w:rPr>
          <w:sz w:val="21"/>
          <w:b/>
        </w:rPr>
        <w:t>八、服务质量及考核</w:t>
      </w:r>
    </w:p>
    <w:p>
      <w:pPr>
        <w:pStyle w:val="null3"/>
        <w:ind w:firstLine="420"/>
        <w:jc w:val="both"/>
      </w:pPr>
      <w:r>
        <w:rPr>
          <w:sz w:val="21"/>
        </w:rPr>
        <w:t>1、在市、区、镇监测中，出现布雷图指数超标的情况，达一级风险的，每条村居每次扣减当月1000元服务费并马上作出整改；达二级风险的，每条村居每次扣减当月2500元服务费并马上作出整改；达三级风险的，每条村居每次扣减当月5000元服务费并马上作出整改。</w:t>
      </w:r>
    </w:p>
    <w:p>
      <w:pPr>
        <w:pStyle w:val="null3"/>
        <w:ind w:firstLine="420"/>
        <w:jc w:val="both"/>
      </w:pPr>
      <w:r>
        <w:rPr>
          <w:sz w:val="21"/>
        </w:rPr>
        <w:t>2.在市、区、镇监测中，红火蚁4级以上疫情控制在总发生面积的2%以下，达到2%-3%的，每次扣减当月1000元服务费并马上作出整改；达3%-4%的，每次扣减当月2500元服务费并马上作出整改；超过4%的，每次扣减当月5000元服务费并马上作出整改。全年红火蚁发生面积超过3000亩的，扣罚合同价款的2.5%。</w:t>
      </w:r>
    </w:p>
    <w:p>
      <w:pPr>
        <w:pStyle w:val="null3"/>
        <w:ind w:firstLine="420"/>
        <w:jc w:val="both"/>
      </w:pPr>
      <w:r>
        <w:rPr>
          <w:sz w:val="21"/>
        </w:rPr>
        <w:t>3、每月定期检查：对服务区域进行全面的检查，发现红火蚁或白蚁害情即施传染性药物或采取其他有效灭杀措施。在绿化带、蚁路及其它红火蚁或白蚁经常活动的地方施具有效预防药物。对建筑物易滋生白蚁的位置（如木门框、木地板及其他木家具等）设置诱杀点及使用预防药物。</w:t>
      </w:r>
    </w:p>
    <w:p>
      <w:pPr>
        <w:pStyle w:val="null3"/>
        <w:ind w:firstLine="420"/>
        <w:jc w:val="both"/>
      </w:pPr>
      <w:r>
        <w:rPr>
          <w:sz w:val="21"/>
        </w:rPr>
        <w:t>4、所有药物及器械均由乙方提供，严禁使用明文禁用药物。乙方需注意药物的使用安全，投（施）药时需防护的部分，应向甲方提出，并采取有效的防护措施。布放诱杀箱时应用标牌标记，并做好防护提示。如甲方发现红火蚁或白蚁侵害情况，乙方应无条件配合处理。</w:t>
      </w:r>
    </w:p>
    <w:p>
      <w:pPr>
        <w:pStyle w:val="null3"/>
        <w:ind w:firstLine="420"/>
        <w:jc w:val="both"/>
      </w:pPr>
      <w:r>
        <w:rPr>
          <w:sz w:val="21"/>
        </w:rPr>
        <w:t>5、登革热高峰期和出现登革热疫情时期，应配合相关部门做好消杀工作，如突发应急服务费用达到封顶金额，或遇其他突发紧急情况，应无条件配合增加消杀次数。</w:t>
      </w:r>
    </w:p>
    <w:p>
      <w:pPr>
        <w:pStyle w:val="null3"/>
        <w:ind w:firstLine="420"/>
        <w:jc w:val="both"/>
      </w:pPr>
      <w:r>
        <w:rPr>
          <w:sz w:val="21"/>
        </w:rPr>
        <w:t>6、每月服务工作未能按要求完成的，第一次给予警告，并在24小时内完成整改，第二次扣罚合同价款5%并在24小时内完成整改，第三次甲方有权单方面终止本项目合同。如发生安全生产事故，甲方亦有权单方面解除本项目合同。</w:t>
      </w:r>
    </w:p>
    <w:p>
      <w:pPr>
        <w:pStyle w:val="null3"/>
        <w:ind w:firstLine="420"/>
        <w:jc w:val="both"/>
      </w:pPr>
      <w:r>
        <w:rPr>
          <w:sz w:val="21"/>
        </w:rPr>
        <w:t>7、每月按照要求提交当月服务工作总结、工作台账和服务照片，若未能按时提交扣罚合同价款的1%。</w:t>
      </w:r>
    </w:p>
    <w:p>
      <w:pPr>
        <w:pStyle w:val="null3"/>
        <w:ind w:firstLine="420"/>
        <w:jc w:val="both"/>
      </w:pPr>
      <w:r>
        <w:rPr>
          <w:sz w:val="21"/>
        </w:rPr>
        <w:t>8、发现不穿统一工作服及不佩带证件上岗作业的，第一次给予警告，第二次给予扣罚合同价款的1%。</w:t>
      </w:r>
    </w:p>
    <w:p>
      <w:pPr>
        <w:pStyle w:val="null3"/>
        <w:ind w:firstLine="420"/>
        <w:jc w:val="both"/>
      </w:pPr>
      <w:r>
        <w:rPr>
          <w:sz w:val="21"/>
        </w:rPr>
        <w:t>9、乙方须积极配合甲方日常巡查工作。</w:t>
      </w:r>
    </w:p>
    <w:p>
      <w:pPr>
        <w:pStyle w:val="null3"/>
        <w:ind w:firstLine="420"/>
        <w:jc w:val="both"/>
      </w:pPr>
      <w:r>
        <w:rPr>
          <w:sz w:val="21"/>
        </w:rPr>
        <w:t>10、考评：</w:t>
      </w:r>
    </w:p>
    <w:p>
      <w:pPr>
        <w:pStyle w:val="null3"/>
        <w:ind w:firstLine="420"/>
        <w:jc w:val="both"/>
      </w:pPr>
      <w:r>
        <w:rPr>
          <w:sz w:val="21"/>
        </w:rPr>
        <w:t>（</w:t>
      </w:r>
      <w:r>
        <w:rPr>
          <w:sz w:val="21"/>
        </w:rPr>
        <w:t>1）甲方每月对服务外包范围内的</w:t>
      </w:r>
      <w:r>
        <w:rPr>
          <w:sz w:val="21"/>
        </w:rPr>
        <w:t>除</w:t>
      </w:r>
      <w:r>
        <w:rPr>
          <w:sz w:val="21"/>
        </w:rPr>
        <w:t>“四害”及白蚁、红火蚁防控消杀</w:t>
      </w:r>
      <w:r>
        <w:rPr>
          <w:sz w:val="21"/>
        </w:rPr>
        <w:t>质量进行群众满意度调查至少一次，每次调查按百分制打分，分优秀（</w:t>
      </w:r>
      <w:r>
        <w:rPr>
          <w:sz w:val="21"/>
        </w:rPr>
        <w:t>100分-90分（含））、良好（90分-80分（含））、差评（80分以下）三个档次；</w:t>
      </w:r>
    </w:p>
    <w:p>
      <w:pPr>
        <w:pStyle w:val="null3"/>
        <w:ind w:firstLine="420"/>
        <w:jc w:val="both"/>
      </w:pPr>
      <w:r>
        <w:rPr>
          <w:sz w:val="21"/>
        </w:rPr>
        <w:t>（</w:t>
      </w:r>
      <w:r>
        <w:rPr>
          <w:sz w:val="21"/>
        </w:rPr>
        <w:t>2）消杀服务调查属优秀的为达标；属良好的，每次扣2000元违约金；属差评的，每次扣5000元违约金；属差评累计三次，甲方有权单方面终止本项目合同。</w:t>
      </w:r>
    </w:p>
    <w:p>
      <w:pPr>
        <w:pStyle w:val="null3"/>
        <w:ind w:firstLine="420"/>
        <w:jc w:val="both"/>
      </w:pPr>
      <w:r>
        <w:rPr>
          <w:sz w:val="21"/>
        </w:rPr>
        <w:t>（</w:t>
      </w:r>
      <w:r>
        <w:rPr>
          <w:sz w:val="21"/>
        </w:rPr>
        <w:t>3）考核评分表</w:t>
      </w:r>
    </w:p>
    <w:tbl>
      <w:tblPr>
        <w:tblW w:w="0" w:type="auto"/>
        <w:tblBorders>
          <w:top w:val="none" w:color="000000" w:sz="4"/>
          <w:left w:val="none" w:color="000000" w:sz="4"/>
          <w:bottom w:val="none" w:color="000000" w:sz="4"/>
          <w:right w:val="none" w:color="000000" w:sz="4"/>
          <w:insideH w:val="none"/>
          <w:insideV w:val="none"/>
        </w:tblBorders>
      </w:tblPr>
      <w:tblGrid>
        <w:gridCol w:w="884"/>
        <w:gridCol w:w="884"/>
        <w:gridCol w:w="884"/>
        <w:gridCol w:w="4676"/>
        <w:gridCol w:w="979"/>
      </w:tblGrid>
      <w:tr>
        <w:tc>
          <w:tcPr>
            <w:tcW w:type="dxa" w:w="1768"/>
            <w:gridSpan w:val="2"/>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tc>
        <w:tc>
          <w:tcPr>
            <w:tcW w:type="dxa" w:w="884"/>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4676"/>
            <w:tcBorders>
              <w:top w:val="single" w:color="000000" w:sz="8"/>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979"/>
            <w:tcBorders>
              <w:top w:val="single" w:color="000000" w:sz="8"/>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b/>
              </w:rPr>
              <w:t>扣分</w:t>
            </w:r>
          </w:p>
        </w:tc>
      </w:tr>
      <w:tr>
        <w:tc>
          <w:tcPr>
            <w:tcW w:type="dxa" w:w="884"/>
            <w:vMerge w:val="restart"/>
            <w:tcBorders>
              <w:top w:val="non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1"/>
              </w:rPr>
              <w:t>考核</w:t>
            </w:r>
          </w:p>
          <w:p>
            <w:pPr>
              <w:pStyle w:val="null3"/>
              <w:jc w:val="center"/>
            </w:pPr>
            <w:r>
              <w:rPr>
                <w:sz w:val="21"/>
              </w:rPr>
              <w:t>内容</w:t>
            </w:r>
          </w:p>
        </w:tc>
        <w:tc>
          <w:tcPr>
            <w:tcW w:type="dxa" w:w="884"/>
            <w:vMerge w:val="restart"/>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100分</w:t>
            </w: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按要求进行消杀，未达要求的，每1次</w:t>
            </w:r>
          </w:p>
        </w:tc>
        <w:tc>
          <w:tcPr>
            <w:tcW w:type="dxa" w:w="979"/>
            <w:tcBorders>
              <w:top w:val="singl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2.5</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按每次消杀任务要求投入器械，每缺1台</w:t>
            </w:r>
          </w:p>
        </w:tc>
        <w:tc>
          <w:tcPr>
            <w:tcW w:type="dxa" w:w="97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每月监测布雷图指数超标，达一级扣2分/条村居，达二级扣4分/条村居，达三级扣8分/条村居</w:t>
            </w:r>
          </w:p>
        </w:tc>
        <w:tc>
          <w:tcPr>
            <w:tcW w:type="dxa" w:w="97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2/4/8</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按甲方要求报送周记、工作计划、工作记录、药品台账、工作照片等资料，每缺一项</w:t>
            </w:r>
          </w:p>
        </w:tc>
        <w:tc>
          <w:tcPr>
            <w:tcW w:type="dxa" w:w="97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消杀过程不得使用违禁药品或无效药物，未达要求的</w:t>
            </w:r>
          </w:p>
        </w:tc>
        <w:tc>
          <w:tcPr>
            <w:tcW w:type="dxa" w:w="97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消杀人员配备防护装备，未达要求的</w:t>
            </w:r>
          </w:p>
        </w:tc>
        <w:tc>
          <w:tcPr>
            <w:tcW w:type="dxa" w:w="97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消杀人员工作时穿着工作服装并戴带工作证件，未达要求的，每人</w:t>
            </w:r>
          </w:p>
        </w:tc>
        <w:tc>
          <w:tcPr>
            <w:tcW w:type="dxa" w:w="97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积极配合进行应急消杀，未达要求的</w:t>
            </w:r>
          </w:p>
        </w:tc>
        <w:tc>
          <w:tcPr>
            <w:tcW w:type="dxa" w:w="97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1</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4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公共区域蚊及蚊蚴指标达标，未达要求的，或被上级通报批评，每通报一次的</w:t>
            </w:r>
          </w:p>
        </w:tc>
        <w:tc>
          <w:tcPr>
            <w:tcW w:type="dxa" w:w="979"/>
            <w:tcBorders>
              <w:top w:val="none" w:color="000000" w:sz="4"/>
              <w:left w:val="non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1"/>
              </w:rPr>
              <w:t>5</w:t>
            </w:r>
          </w:p>
        </w:tc>
      </w:tr>
      <w:tr>
        <w:tc>
          <w:tcPr>
            <w:tcW w:type="dxa" w:w="884"/>
            <w:vMerge/>
            <w:tcBorders>
              <w:top w:val="none" w:color="000000" w:sz="4"/>
              <w:left w:val="single" w:color="000000" w:sz="8"/>
              <w:bottom w:val="single" w:color="000000" w:sz="8"/>
              <w:right w:val="single" w:color="000000" w:sz="4"/>
            </w:tcBorders>
          </w:tcPr>
          <w:p/>
        </w:tc>
        <w:tc>
          <w:tcPr>
            <w:tcW w:type="dxa" w:w="884"/>
            <w:vMerge/>
            <w:tcBorders>
              <w:top w:val="none" w:color="000000" w:sz="4"/>
              <w:left w:val="none" w:color="000000" w:sz="4"/>
              <w:bottom w:val="single" w:color="000000" w:sz="8"/>
              <w:right w:val="single" w:color="000000" w:sz="4"/>
            </w:tcBorders>
          </w:tcPr>
          <w:p/>
        </w:tc>
        <w:tc>
          <w:tcPr>
            <w:tcW w:type="dxa" w:w="884"/>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1"/>
              </w:rPr>
              <w:t>5</w:t>
            </w:r>
          </w:p>
        </w:tc>
        <w:tc>
          <w:tcPr>
            <w:tcW w:type="dxa" w:w="4676"/>
            <w:tcBorders>
              <w:top w:val="none" w:color="000000" w:sz="4"/>
              <w:left w:val="none" w:color="000000" w:sz="4"/>
              <w:bottom w:val="single" w:color="000000" w:sz="8"/>
              <w:right w:val="single" w:color="000000" w:sz="4"/>
            </w:tcBorders>
            <w:tcMar>
              <w:top w:type="dxa" w:w="0"/>
              <w:left w:type="dxa" w:w="105"/>
              <w:bottom w:type="dxa" w:w="0"/>
              <w:right w:type="dxa" w:w="105"/>
            </w:tcMar>
            <w:vAlign w:val="top"/>
          </w:tcPr>
          <w:p>
            <w:pPr>
              <w:pStyle w:val="null3"/>
              <w:jc w:val="left"/>
            </w:pPr>
            <w:r>
              <w:rPr>
                <w:sz w:val="21"/>
              </w:rPr>
              <w:t>积极配合甲方开展各项迎检工作，未达要求的</w:t>
            </w:r>
          </w:p>
        </w:tc>
        <w:tc>
          <w:tcPr>
            <w:tcW w:type="dxa" w:w="979"/>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r>
    </w:tbl>
    <w:p>
      <w:pPr>
        <w:pStyle w:val="null3"/>
        <w:ind w:left="540"/>
        <w:jc w:val="both"/>
        <w:outlineLvl w:val="4"/>
      </w:pPr>
      <w:r>
        <w:rPr>
          <w:sz w:val="21"/>
          <w:b/>
        </w:rPr>
        <w:t>九、全国爱卫会除四害标准</w:t>
      </w:r>
    </w:p>
    <w:p>
      <w:pPr>
        <w:pStyle w:val="null3"/>
        <w:ind w:firstLine="420"/>
        <w:jc w:val="both"/>
      </w:pPr>
      <w:r>
        <w:rPr>
          <w:sz w:val="21"/>
        </w:rPr>
        <w:t>1、灭鼠标准</w:t>
      </w:r>
    </w:p>
    <w:p>
      <w:pPr>
        <w:pStyle w:val="null3"/>
        <w:ind w:firstLine="420"/>
        <w:jc w:val="both"/>
      </w:pPr>
      <w:r>
        <w:rPr>
          <w:sz w:val="21"/>
        </w:rPr>
        <w:t>（</w:t>
      </w:r>
      <w:r>
        <w:rPr>
          <w:sz w:val="21"/>
        </w:rPr>
        <w:t>1）15平方米标准房间布放20×20厘米滑石粉块两块，一夜后阳性粉块不超过3％；有鼠洞、鼠粪、鼠咬等痕迹的房间不超过2％；重点单位防鼠设施不合格处不超过5％。</w:t>
      </w:r>
    </w:p>
    <w:p>
      <w:pPr>
        <w:pStyle w:val="null3"/>
        <w:ind w:firstLine="420"/>
        <w:jc w:val="both"/>
      </w:pPr>
      <w:r>
        <w:rPr>
          <w:sz w:val="21"/>
        </w:rPr>
        <w:t>（</w:t>
      </w:r>
      <w:r>
        <w:rPr>
          <w:sz w:val="21"/>
        </w:rPr>
        <w:t>2）不同类型的外环境累计2000米，鼠迹不超过5处。</w:t>
      </w:r>
    </w:p>
    <w:p>
      <w:pPr>
        <w:pStyle w:val="null3"/>
        <w:ind w:firstLine="420"/>
        <w:jc w:val="both"/>
      </w:pPr>
      <w:r>
        <w:rPr>
          <w:sz w:val="21"/>
        </w:rPr>
        <w:t>2、灭蚊标准</w:t>
      </w:r>
    </w:p>
    <w:p>
      <w:pPr>
        <w:pStyle w:val="null3"/>
        <w:ind w:firstLine="420"/>
        <w:jc w:val="both"/>
      </w:pPr>
      <w:r>
        <w:rPr>
          <w:sz w:val="21"/>
        </w:rPr>
        <w:t>（</w:t>
      </w:r>
      <w:r>
        <w:rPr>
          <w:sz w:val="21"/>
        </w:rPr>
        <w:t>1）居民住宅、单位内外环境各种存水容器和积水中，蚊幼虫及蛹的阳性率不超过3％。</w:t>
      </w:r>
    </w:p>
    <w:p>
      <w:pPr>
        <w:pStyle w:val="null3"/>
        <w:ind w:firstLine="420"/>
        <w:jc w:val="both"/>
      </w:pPr>
      <w:r>
        <w:rPr>
          <w:sz w:val="21"/>
        </w:rPr>
        <w:t>（</w:t>
      </w:r>
      <w:r>
        <w:rPr>
          <w:sz w:val="21"/>
        </w:rPr>
        <w:t>2）用500ml收集勺采集城区内大中型水体中的蚊幼虫或蛹阳性率不超过3％，阳性勺内幼虫或蛹的平均数不超过5只。</w:t>
      </w:r>
    </w:p>
    <w:p>
      <w:pPr>
        <w:pStyle w:val="null3"/>
        <w:ind w:firstLine="420"/>
        <w:jc w:val="both"/>
      </w:pPr>
      <w:r>
        <w:rPr>
          <w:sz w:val="21"/>
        </w:rPr>
        <w:t>（</w:t>
      </w:r>
      <w:r>
        <w:rPr>
          <w:sz w:val="21"/>
        </w:rPr>
        <w:t>3）特殊场所白天人诱蚊30分钟，平均每人次诱获成蚊数不超过1只。</w:t>
      </w:r>
    </w:p>
    <w:p>
      <w:pPr>
        <w:pStyle w:val="null3"/>
        <w:ind w:firstLine="420"/>
        <w:jc w:val="both"/>
      </w:pPr>
      <w:r>
        <w:rPr>
          <w:sz w:val="21"/>
        </w:rPr>
        <w:t>3、灭蝇标准</w:t>
      </w:r>
    </w:p>
    <w:p>
      <w:pPr>
        <w:pStyle w:val="null3"/>
        <w:ind w:firstLine="420"/>
        <w:jc w:val="both"/>
      </w:pPr>
      <w:r>
        <w:rPr>
          <w:sz w:val="21"/>
        </w:rPr>
        <w:t>（</w:t>
      </w:r>
      <w:r>
        <w:rPr>
          <w:sz w:val="21"/>
        </w:rPr>
        <w:t>1）重点单位有蝇房间不超过1％，其它单位不超过3％，平均每阳性房间不超过3只；重点单位防蝇设施不合格房间不超过5％；加工、销售直接入口食品的场所不得有蝇。</w:t>
      </w:r>
    </w:p>
    <w:p>
      <w:pPr>
        <w:pStyle w:val="null3"/>
        <w:ind w:firstLine="420"/>
        <w:jc w:val="both"/>
      </w:pPr>
      <w:r>
        <w:rPr>
          <w:sz w:val="21"/>
        </w:rPr>
        <w:t>（</w:t>
      </w:r>
      <w:r>
        <w:rPr>
          <w:sz w:val="21"/>
        </w:rPr>
        <w:t>2）蝇类孳生地得到有效治理，幼虫和蛹的检出率不超过3％。</w:t>
      </w:r>
    </w:p>
    <w:p>
      <w:pPr>
        <w:pStyle w:val="null3"/>
        <w:ind w:firstLine="420"/>
        <w:jc w:val="both"/>
      </w:pPr>
      <w:r>
        <w:rPr>
          <w:sz w:val="21"/>
        </w:rPr>
        <w:t>4、灭蟑螂标准</w:t>
      </w:r>
    </w:p>
    <w:p>
      <w:pPr>
        <w:pStyle w:val="null3"/>
        <w:ind w:firstLine="420"/>
        <w:jc w:val="both"/>
      </w:pPr>
      <w:r>
        <w:rPr>
          <w:sz w:val="21"/>
        </w:rPr>
        <w:t>（</w:t>
      </w:r>
      <w:r>
        <w:rPr>
          <w:sz w:val="21"/>
        </w:rPr>
        <w:t>1）室内有蟑螂成虫或若虫阳性房间不超过3％，平均每间房大蠊不超过5只，小蠊不超过10只。</w:t>
      </w:r>
    </w:p>
    <w:p>
      <w:pPr>
        <w:pStyle w:val="null3"/>
        <w:ind w:firstLine="420"/>
        <w:jc w:val="both"/>
      </w:pPr>
      <w:r>
        <w:rPr>
          <w:sz w:val="21"/>
        </w:rPr>
        <w:t>（</w:t>
      </w:r>
      <w:r>
        <w:rPr>
          <w:sz w:val="21"/>
        </w:rPr>
        <w:t>2）有活蟑螂卵鞘房间不超过2％，平均每间房不超过4只。</w:t>
      </w:r>
    </w:p>
    <w:p>
      <w:pPr>
        <w:pStyle w:val="null3"/>
        <w:ind w:left="165" w:right="210" w:firstLine="384"/>
        <w:jc w:val="left"/>
      </w:pPr>
      <w:r>
        <w:rPr>
          <w:sz w:val="21"/>
        </w:rPr>
        <w:t>（</w:t>
      </w:r>
      <w:r>
        <w:rPr>
          <w:sz w:val="21"/>
        </w:rPr>
        <w:t>3）</w:t>
      </w:r>
      <w:r>
        <w:rPr>
          <w:sz w:val="21"/>
        </w:rPr>
        <w:t>有蟑螂粪便蜕皮等蟑迹的房间不超过</w:t>
      </w:r>
      <w:r>
        <w:rPr>
          <w:sz w:val="21"/>
        </w:rPr>
        <w:t>5％。</w:t>
      </w:r>
    </w:p>
    <w:p>
      <w:pPr>
        <w:pStyle w:val="null3"/>
        <w:ind w:left="540"/>
        <w:jc w:val="both"/>
        <w:outlineLvl w:val="4"/>
      </w:pPr>
      <w:r>
        <w:rPr>
          <w:sz w:val="21"/>
          <w:b/>
        </w:rPr>
        <w:t>十、项目要求</w:t>
      </w:r>
    </w:p>
    <w:p>
      <w:pPr>
        <w:pStyle w:val="null3"/>
        <w:ind w:firstLine="438"/>
        <w:jc w:val="left"/>
      </w:pPr>
      <w:r>
        <w:rPr>
          <w:sz w:val="21"/>
        </w:rPr>
        <w:t>(一)甲方负责对乙方专业技术队伍质量考核、绩效评估。</w:t>
      </w:r>
    </w:p>
    <w:p>
      <w:pPr>
        <w:pStyle w:val="null3"/>
        <w:ind w:firstLine="438"/>
        <w:jc w:val="left"/>
      </w:pPr>
      <w:r>
        <w:rPr>
          <w:sz w:val="21"/>
        </w:rPr>
        <w:t>(二)乙方负责现场所需的相关资料的撰写和资料准备工作并上报给甲方。</w:t>
      </w:r>
    </w:p>
    <w:p>
      <w:pPr>
        <w:pStyle w:val="null3"/>
        <w:ind w:firstLine="438"/>
        <w:jc w:val="left"/>
      </w:pPr>
      <w:r>
        <w:rPr>
          <w:sz w:val="21"/>
        </w:rPr>
        <w:t>(三)人员管理:</w:t>
      </w:r>
    </w:p>
    <w:p>
      <w:pPr>
        <w:pStyle w:val="null3"/>
        <w:ind w:right="165" w:firstLine="438"/>
      </w:pPr>
      <w:r>
        <w:rPr>
          <w:sz w:val="21"/>
        </w:rPr>
        <w:t>1、乙方的工作人员全部由乙方负责招聘和管理。人员工资、各项福利和保障由乙方承担。甲方对乙方不称职的工作人员， 可要求乙方限期更换。</w:t>
      </w:r>
    </w:p>
    <w:p>
      <w:pPr>
        <w:pStyle w:val="null3"/>
        <w:ind w:right="165" w:firstLine="438"/>
      </w:pPr>
      <w:r>
        <w:rPr>
          <w:sz w:val="21"/>
        </w:rPr>
        <w:t>2、乙方需在甲方辖内设立作业点，作业点需派遣足够工作人员，作业点工作人员受乙方和甲方双重领导</w:t>
      </w:r>
      <w:r>
        <w:rPr>
          <w:sz w:val="21"/>
        </w:rPr>
        <w:t>。若出现工作量过大时。由乙方另调人员完成，并保证各项工作质量。</w:t>
      </w:r>
    </w:p>
    <w:p>
      <w:pPr>
        <w:pStyle w:val="null3"/>
        <w:ind w:left="165" w:right="255" w:firstLine="384"/>
        <w:jc w:val="left"/>
      </w:pPr>
      <w:r>
        <w:rPr>
          <w:sz w:val="21"/>
        </w:rPr>
        <w:t>(四)药械管理:乙方需提供“四害”、白蚁及红火蚁防制所需的药物，负责将药物的使用情况进行详细的记录(包括处置面积、药物种类和数量、出动人员和人数等)，每月向甲方进行书面报告。</w:t>
      </w:r>
    </w:p>
    <w:p>
      <w:pPr>
        <w:pStyle w:val="null3"/>
        <w:ind w:left="165" w:right="255" w:firstLine="384"/>
        <w:jc w:val="left"/>
      </w:pPr>
      <w:r>
        <w:rPr>
          <w:sz w:val="21"/>
        </w:rPr>
        <w:t>(五)乙方不得以任何方式转包或分包本项目服务内容。</w:t>
      </w:r>
    </w:p>
    <w:p>
      <w:pPr>
        <w:pStyle w:val="null3"/>
        <w:ind w:left="540" w:right="5760" w:firstLine="6"/>
        <w:jc w:val="both"/>
      </w:pPr>
      <w:r>
        <w:rPr>
          <w:sz w:val="21"/>
          <w:b/>
        </w:rPr>
        <w:t>十一、验收要求</w:t>
      </w:r>
    </w:p>
    <w:p>
      <w:pPr>
        <w:pStyle w:val="null3"/>
        <w:ind w:firstLine="420"/>
        <w:jc w:val="both"/>
      </w:pPr>
      <w:r>
        <w:rPr>
          <w:sz w:val="21"/>
        </w:rPr>
        <w:t>1、甲方应当在收到乙方项目验收建议之日7个工作日内按照合同的约定对履约情况进行验收，对每一项技术、服务、安全标准的履约情况进行确认。</w:t>
      </w:r>
    </w:p>
    <w:p>
      <w:pPr>
        <w:pStyle w:val="null3"/>
        <w:ind w:firstLine="420"/>
        <w:jc w:val="both"/>
      </w:pPr>
      <w:r>
        <w:rPr>
          <w:sz w:val="21"/>
        </w:rPr>
        <w:t>2、验收由甲方组织相关人员依照有关标准、项目及合同要求进行。党政综合办公室组织相关人员负责对白蚁消杀服务项目的验收工作；农业农村技术服务中心组织相关人员负责对红火蚁防控服务项目，农田灭鼠指导和提供灭鼠、灭红火蚁药物服务的验收工作；公共服务办公室组织相关人员负责除“四害”消杀服务项目的验收工作。</w:t>
      </w:r>
    </w:p>
    <w:p>
      <w:pPr>
        <w:pStyle w:val="null3"/>
        <w:ind w:firstLine="420"/>
        <w:jc w:val="both"/>
      </w:pPr>
      <w:r>
        <w:rPr>
          <w:sz w:val="21"/>
        </w:rPr>
        <w:t>3、验收完毕由甲方及乙方在验收报告上盖章确认。</w:t>
      </w:r>
    </w:p>
    <w:p>
      <w:pPr>
        <w:pStyle w:val="null3"/>
        <w:ind w:left="165" w:right="150" w:firstLine="384"/>
        <w:jc w:val="left"/>
      </w:pPr>
      <w:r>
        <w:rPr>
          <w:sz w:val="21"/>
        </w:rPr>
        <w:t>4、乙方开展的相关工作及提交的工作报告应得到甲方认同、验收后方为完成合同内容。对验收不合格的部分，乙方应在甲方规定时间内及时整改完善直至合格</w:t>
      </w:r>
      <w:r>
        <w:rPr>
          <w:sz w:val="21"/>
        </w:rPr>
        <w:t>。</w:t>
      </w:r>
    </w:p>
    <w:p>
      <w:pPr>
        <w:pStyle w:val="null3"/>
        <w:ind w:left="540"/>
        <w:jc w:val="both"/>
        <w:outlineLvl w:val="4"/>
      </w:pPr>
      <w:r>
        <w:rPr>
          <w:sz w:val="21"/>
          <w:b/>
        </w:rPr>
        <w:t>十二、甲方乙方的权利和义务</w:t>
      </w:r>
    </w:p>
    <w:p>
      <w:pPr>
        <w:pStyle w:val="null3"/>
        <w:jc w:val="left"/>
      </w:pPr>
      <w:r>
        <w:rPr>
          <w:sz w:val="21"/>
        </w:rPr>
        <w:t>（一）甲方的权利和义务：</w:t>
      </w:r>
    </w:p>
    <w:p>
      <w:pPr>
        <w:pStyle w:val="null3"/>
        <w:ind w:left="165" w:right="240" w:firstLine="384"/>
        <w:jc w:val="left"/>
      </w:pPr>
      <w:r>
        <w:rPr>
          <w:sz w:val="21"/>
        </w:rPr>
        <w:t>1、在项目实施过程中，如甲方有咨询或异议，乙方应于3个工作日内予以答复。</w:t>
      </w:r>
    </w:p>
    <w:p>
      <w:pPr>
        <w:pStyle w:val="null3"/>
        <w:ind w:left="165" w:right="240" w:firstLine="384"/>
        <w:jc w:val="left"/>
      </w:pPr>
      <w:r>
        <w:rPr>
          <w:sz w:val="21"/>
        </w:rPr>
        <w:t>2、有权监督乙方实施项目的进展情况，并提出整改意见。</w:t>
      </w:r>
    </w:p>
    <w:p>
      <w:pPr>
        <w:pStyle w:val="null3"/>
        <w:ind w:left="165" w:right="240" w:firstLine="384"/>
        <w:jc w:val="left"/>
      </w:pPr>
      <w:r>
        <w:rPr>
          <w:sz w:val="21"/>
        </w:rPr>
        <w:t>3、甲方有权确定项目是否通过验收。</w:t>
      </w:r>
    </w:p>
    <w:p>
      <w:pPr>
        <w:pStyle w:val="null3"/>
        <w:jc w:val="left"/>
      </w:pPr>
      <w:r>
        <w:rPr>
          <w:sz w:val="21"/>
        </w:rPr>
        <w:t>（二）乙方的权利和义务：</w:t>
      </w:r>
    </w:p>
    <w:p>
      <w:pPr>
        <w:pStyle w:val="null3"/>
        <w:ind w:left="165" w:right="240" w:firstLine="384"/>
        <w:jc w:val="left"/>
      </w:pPr>
      <w:r>
        <w:rPr>
          <w:sz w:val="21"/>
        </w:rPr>
        <w:t>1、乙方应诚实、勤勉，以专业水平配合甲方实施项目。</w:t>
      </w:r>
    </w:p>
    <w:p>
      <w:pPr>
        <w:pStyle w:val="null3"/>
        <w:ind w:left="165" w:right="240" w:firstLine="384"/>
        <w:jc w:val="left"/>
      </w:pPr>
      <w:r>
        <w:rPr>
          <w:sz w:val="21"/>
        </w:rPr>
        <w:t>2、乙方应保证有充足的专业资源与人力资源支持本项目运行。本项目工作人员不得少于合同约定的人数。</w:t>
      </w:r>
    </w:p>
    <w:p>
      <w:pPr>
        <w:pStyle w:val="null3"/>
        <w:ind w:left="165" w:right="240" w:firstLine="384"/>
        <w:jc w:val="left"/>
      </w:pPr>
      <w:r>
        <w:rPr>
          <w:sz w:val="21"/>
        </w:rPr>
        <w:t>3、如非法定情形，乙方不得在未取得甲方事先书面同意的前提下变更或减少实施项目的人员。</w:t>
      </w:r>
    </w:p>
    <w:p>
      <w:pPr>
        <w:pStyle w:val="null3"/>
        <w:ind w:left="165" w:right="240" w:firstLine="384"/>
        <w:jc w:val="left"/>
      </w:pPr>
      <w:r>
        <w:rPr>
          <w:sz w:val="21"/>
        </w:rPr>
        <w:t>4、乙方工作人员配合甲方期间，乙方人员的安全、健康问题由乙方负责。</w:t>
      </w:r>
    </w:p>
    <w:p>
      <w:pPr>
        <w:pStyle w:val="null3"/>
        <w:ind w:left="675" w:right="4140"/>
      </w:pPr>
      <w:r>
        <w:rPr>
          <w:sz w:val="21"/>
          <w:b/>
        </w:rPr>
        <w:t>十三、付款方式</w:t>
      </w:r>
    </w:p>
    <w:p>
      <w:pPr>
        <w:pStyle w:val="null3"/>
        <w:ind w:left="165" w:right="225" w:firstLine="426"/>
        <w:jc w:val="left"/>
      </w:pPr>
      <w:r>
        <w:rPr>
          <w:sz w:val="21"/>
        </w:rPr>
        <w:t>1.服务费按季度结算。甲方在收齐上级部门下发的每个考核期内的各期监测报告后，及时出具考评结果并通知乙方，乙方根据考评结果开具等额正式发票，并提交工作台账、工作总结、第三方监测报告、合同等相关结算文件，甲方在收齐乙方结算文件且审核无误后，在15日内予以付款（如有扣款，扣除后支付）。</w:t>
      </w:r>
    </w:p>
    <w:p>
      <w:pPr>
        <w:pStyle w:val="null3"/>
        <w:ind w:left="165" w:right="180" w:firstLine="426"/>
        <w:jc w:val="left"/>
      </w:pPr>
      <w:r>
        <w:rPr>
          <w:sz w:val="21"/>
        </w:rPr>
        <w:t>2.因甲方使用的是财政资金，前述条款及本合同其他条款约定的甲方付款时间为甲方</w:t>
      </w:r>
      <w:r>
        <w:rPr>
          <w:sz w:val="21"/>
        </w:rPr>
        <w:t>向政府财政支付部门提出办理财政支付申请手续的时间</w:t>
      </w:r>
      <w:r>
        <w:rPr>
          <w:sz w:val="21"/>
        </w:rPr>
        <w:t>(不含政府财政支付部门审</w:t>
      </w:r>
      <w:r>
        <w:rPr>
          <w:sz w:val="21"/>
        </w:rPr>
        <w:t>核的时间</w:t>
      </w:r>
      <w:r>
        <w:rPr>
          <w:sz w:val="21"/>
        </w:rPr>
        <w:t>)，甲方在规定时间内向政府财政支付部门提出办理支付申请手续后即视为甲方已经按期支付应付费用，乙方不得因费用拨付滞后而影响正常工作开展和工作质量。</w:t>
      </w:r>
    </w:p>
    <w:p>
      <w:pPr>
        <w:pStyle w:val="null3"/>
        <w:ind w:left="540"/>
        <w:jc w:val="both"/>
        <w:outlineLvl w:val="4"/>
      </w:pPr>
      <w:r>
        <w:rPr>
          <w:sz w:val="21"/>
          <w:b/>
        </w:rPr>
        <w:t>十四、违约责任与赔偿损失</w:t>
      </w:r>
    </w:p>
    <w:p>
      <w:pPr>
        <w:pStyle w:val="null3"/>
        <w:ind w:left="165" w:right="240" w:firstLine="384"/>
        <w:jc w:val="left"/>
      </w:pPr>
      <w:r>
        <w:rPr>
          <w:sz w:val="21"/>
        </w:rPr>
        <w:t>1、乙方提供的服务不符合招标文件、响应文件或本合同规定的，甲方有权拒收，并且乙方须向甲方支付本合同总价5%的违约金。</w:t>
      </w:r>
    </w:p>
    <w:p>
      <w:pPr>
        <w:pStyle w:val="null3"/>
        <w:ind w:left="165" w:right="240" w:firstLine="384"/>
        <w:jc w:val="left"/>
      </w:pPr>
      <w:r>
        <w:rPr>
          <w:sz w:val="21"/>
        </w:rPr>
        <w:t>2</w:t>
      </w:r>
      <w:r>
        <w:rPr>
          <w:sz w:val="21"/>
        </w:rPr>
        <w:t>、乙方未能按本合同规定的时间提供服务，从逾期之日起每日按本合同总价</w:t>
      </w:r>
      <w:r>
        <w:rPr>
          <w:sz w:val="21"/>
        </w:rPr>
        <w:t>3</w:t>
      </w:r>
      <w:r>
        <w:rPr>
          <w:sz w:val="21"/>
        </w:rPr>
        <w:t>‰的数额向甲方支付违约金；</w:t>
      </w:r>
      <w:r>
        <w:rPr>
          <w:sz w:val="21"/>
        </w:rPr>
        <w:t>逾期</w:t>
      </w:r>
      <w:r>
        <w:rPr>
          <w:sz w:val="21"/>
        </w:rPr>
        <w:t>7天以上的，甲方有权终止合同，由此造成的甲方经济损失由乙方承担。</w:t>
      </w:r>
    </w:p>
    <w:p>
      <w:pPr>
        <w:pStyle w:val="null3"/>
        <w:ind w:left="165" w:right="240" w:firstLine="384"/>
        <w:jc w:val="left"/>
      </w:pPr>
      <w:r>
        <w:rPr>
          <w:sz w:val="21"/>
        </w:rPr>
        <w:t>3、甲方无正当理由拒绝接受服务的，甲方向乙方偿付本合同总价的5%的违约金。甲方逾期付款，则每日按逾期付款金额的3‰向乙方偿付违约金，但违约金累计不得超过逾期付款金额的2%。</w:t>
      </w:r>
    </w:p>
    <w:p>
      <w:pPr>
        <w:pStyle w:val="null3"/>
        <w:ind w:left="165" w:right="240" w:firstLine="384"/>
        <w:jc w:val="left"/>
      </w:pPr>
      <w:r>
        <w:rPr>
          <w:sz w:val="21"/>
        </w:rPr>
        <w:t>4、乙方擅自部分或全部转让其应履行的合同义务的，视为乙方根本违约。甲方有权单方解除合同并拒绝支付乙方转让部分所涉价款，乙方应按照合同总价的30%向甲方支付违约金，并赔偿损失。</w:t>
      </w:r>
    </w:p>
    <w:p>
      <w:pPr>
        <w:pStyle w:val="null3"/>
        <w:ind w:left="165" w:right="240" w:firstLine="384"/>
        <w:jc w:val="left"/>
      </w:pPr>
      <w:r>
        <w:rPr>
          <w:sz w:val="21"/>
        </w:rPr>
        <w:t>5、其它违约责任按本合同其他条款、《中华人民共和国民法典》的规定处理。</w:t>
      </w:r>
    </w:p>
    <w:p>
      <w:pPr>
        <w:pStyle w:val="null3"/>
        <w:ind w:left="555" w:right="5790"/>
        <w:jc w:val="both"/>
      </w:pPr>
      <w:r>
        <w:rPr>
          <w:sz w:val="21"/>
          <w:b/>
        </w:rPr>
        <w:t>十五、争端的解决</w:t>
      </w:r>
    </w:p>
    <w:p>
      <w:pPr>
        <w:pStyle w:val="null3"/>
        <w:ind w:firstLine="420"/>
        <w:jc w:val="both"/>
      </w:pPr>
      <w:r>
        <w:rPr>
          <w:sz w:val="21"/>
        </w:rPr>
        <w:t>合同执行过程中发生的任何争议，如双方不能通过友好协商解决，协商不成的，任何一方可向甲方所在地人民法院提起诉讼。</w:t>
      </w:r>
    </w:p>
    <w:p>
      <w:pPr>
        <w:pStyle w:val="null3"/>
        <w:ind w:left="540" w:right="2925"/>
        <w:jc w:val="left"/>
      </w:pPr>
      <w:r>
        <w:rPr>
          <w:sz w:val="21"/>
          <w:b/>
        </w:rPr>
        <w:t>十六、不可抗力</w:t>
      </w:r>
    </w:p>
    <w:p>
      <w:pPr>
        <w:pStyle w:val="null3"/>
        <w:ind w:left="165" w:right="240" w:firstLine="384"/>
        <w:jc w:val="left"/>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left="540"/>
        <w:jc w:val="both"/>
        <w:outlineLvl w:val="4"/>
      </w:pPr>
      <w:r>
        <w:rPr>
          <w:sz w:val="21"/>
          <w:b/>
        </w:rPr>
        <w:t>十七、税费</w:t>
      </w:r>
    </w:p>
    <w:p>
      <w:pPr>
        <w:pStyle w:val="null3"/>
        <w:ind w:left="165" w:right="240" w:firstLine="384"/>
        <w:jc w:val="left"/>
      </w:pPr>
      <w:r>
        <w:rPr>
          <w:sz w:val="21"/>
        </w:rPr>
        <w:t>在中国境内、外发生的与本合同执行有关的一切税费均由乙方负担。</w:t>
      </w:r>
    </w:p>
    <w:p>
      <w:pPr>
        <w:pStyle w:val="null3"/>
        <w:ind w:left="540" w:right="4665"/>
        <w:jc w:val="left"/>
      </w:pPr>
      <w:r>
        <w:rPr>
          <w:sz w:val="21"/>
          <w:b/>
        </w:rPr>
        <w:t>十八、其它</w:t>
      </w:r>
    </w:p>
    <w:p>
      <w:pPr>
        <w:pStyle w:val="null3"/>
        <w:jc w:val="left"/>
      </w:pPr>
      <w:r>
        <w:rPr>
          <w:sz w:val="21"/>
        </w:rPr>
        <w:t>1</w:t>
      </w:r>
      <w:r>
        <w:rPr>
          <w:sz w:val="21"/>
        </w:rPr>
        <w:t>、本合同所有附件、招标文件、响应文件、中标通知书均为合同的有效组成部分，与本合同具有同等法律效力。如不一致的，按照本合同主文、本合同附件、中标通知书、招标文件、响应文件的顺序适用。</w:t>
      </w:r>
    </w:p>
    <w:p>
      <w:pPr>
        <w:pStyle w:val="null3"/>
        <w:jc w:val="left"/>
      </w:pPr>
      <w:r>
        <w:rPr>
          <w:sz w:val="21"/>
        </w:rPr>
        <w:t>2</w:t>
      </w:r>
      <w:r>
        <w:rPr>
          <w:sz w:val="21"/>
        </w:rPr>
        <w:t>、执行本合同的过程中，所有经双方签署确认的文件（包括会议纪要、补充协议）即成为本合同的有效组成部分。</w:t>
      </w:r>
    </w:p>
    <w:p>
      <w:pPr>
        <w:pStyle w:val="null3"/>
        <w:jc w:val="left"/>
      </w:pPr>
      <w:r>
        <w:rPr>
          <w:sz w:val="21"/>
        </w:rPr>
        <w:t>3</w:t>
      </w:r>
      <w:r>
        <w:rPr>
          <w:sz w:val="21"/>
        </w:rPr>
        <w:t>、如一方地址、电话、传真号码有变更，应在变更当日内书面通知对方，否则，应承担相应责任。</w:t>
      </w:r>
    </w:p>
    <w:p>
      <w:pPr>
        <w:pStyle w:val="null3"/>
        <w:jc w:val="left"/>
      </w:pPr>
      <w:r>
        <w:rPr>
          <w:sz w:val="21"/>
        </w:rPr>
        <w:t>4</w:t>
      </w:r>
      <w:r>
        <w:rPr>
          <w:sz w:val="21"/>
        </w:rPr>
        <w:t>、除甲方事先书面同意外，乙方不得部分或全部转让其应履行的合同项下的义务。</w:t>
      </w:r>
    </w:p>
    <w:p>
      <w:pPr>
        <w:pStyle w:val="null3"/>
        <w:jc w:val="left"/>
      </w:pPr>
      <w:r>
        <w:rPr>
          <w:sz w:val="21"/>
        </w:rPr>
        <w:t>5</w:t>
      </w:r>
      <w:r>
        <w:rPr>
          <w:sz w:val="21"/>
        </w:rPr>
        <w:t>、本合同正本一式</w:t>
      </w:r>
      <w:r>
        <w:rPr>
          <w:sz w:val="21"/>
          <w:u w:val="single"/>
        </w:rPr>
        <w:t xml:space="preserve"> </w:t>
      </w:r>
      <w:r>
        <w:rPr>
          <w:sz w:val="21"/>
          <w:u w:val="single"/>
        </w:rPr>
        <w:t>柒</w:t>
      </w:r>
      <w:r>
        <w:rPr>
          <w:sz w:val="21"/>
        </w:rPr>
        <w:t>份，具有同等法律效力，甲、乙双方各执</w:t>
      </w:r>
      <w:r>
        <w:rPr>
          <w:sz w:val="21"/>
          <w:u w:val="single"/>
        </w:rPr>
        <w:t xml:space="preserve"> </w:t>
      </w:r>
      <w:r>
        <w:rPr>
          <w:sz w:val="21"/>
          <w:u w:val="single"/>
        </w:rPr>
        <w:t>叁</w:t>
      </w:r>
      <w:r>
        <w:rPr>
          <w:sz w:val="21"/>
        </w:rPr>
        <w:t>份，采购代理机构壹份。合同自签字之日起即时生效。</w:t>
      </w:r>
    </w:p>
    <w:p>
      <w:pPr>
        <w:pStyle w:val="null3"/>
        <w:jc w:val="left"/>
      </w:pPr>
      <w:r>
        <w:rPr>
          <w:sz w:val="21"/>
        </w:rPr>
        <w:t>6</w:t>
      </w:r>
      <w:r>
        <w:rPr>
          <w:sz w:val="21"/>
        </w:rPr>
        <w:t>、本合同未尽事宜，由双方协商处理。</w:t>
      </w:r>
    </w:p>
    <w:p>
      <w:pPr>
        <w:pStyle w:val="null3"/>
        <w:jc w:val="both"/>
      </w:pPr>
      <w:r>
        <w:rPr>
          <w:sz w:val="21"/>
        </w:rPr>
        <w:t>甲方（盖章）：</w:t>
      </w:r>
      <w:r>
        <w:rPr>
          <w:sz w:val="21"/>
        </w:rPr>
        <w:t xml:space="preserve">                                    </w:t>
      </w:r>
      <w:r>
        <w:rPr>
          <w:sz w:val="21"/>
        </w:rPr>
        <w:t>乙方（盖章）：</w:t>
      </w:r>
    </w:p>
    <w:p>
      <w:pPr>
        <w:pStyle w:val="null3"/>
        <w:ind w:left="825"/>
        <w:jc w:val="both"/>
      </w:pPr>
      <w:r>
        <w:rPr>
          <w:sz w:val="21"/>
        </w:rPr>
        <w:t>地址</w:t>
      </w:r>
      <w:r>
        <w:rPr>
          <w:sz w:val="21"/>
        </w:rPr>
        <w:t>：</w:t>
      </w:r>
      <w:r>
        <w:rPr>
          <w:sz w:val="21"/>
        </w:rPr>
        <w:t xml:space="preserve">                                                </w:t>
      </w:r>
      <w:r>
        <w:rPr>
          <w:sz w:val="21"/>
        </w:rPr>
        <w:t>地址</w:t>
      </w:r>
      <w:r>
        <w:rPr>
          <w:sz w:val="21"/>
        </w:rPr>
        <w:t>：</w:t>
      </w:r>
    </w:p>
    <w:p>
      <w:pPr>
        <w:pStyle w:val="null3"/>
        <w:ind w:left="825"/>
        <w:jc w:val="both"/>
      </w:pPr>
      <w:r>
        <w:rPr>
          <w:sz w:val="21"/>
        </w:rPr>
        <w:t>代表：</w:t>
      </w:r>
      <w:r>
        <w:rPr>
          <w:sz w:val="21"/>
        </w:rPr>
        <w:t xml:space="preserve">                                                 </w:t>
      </w:r>
      <w:r>
        <w:rPr>
          <w:sz w:val="21"/>
        </w:rPr>
        <w:t>代表：</w:t>
      </w:r>
    </w:p>
    <w:p>
      <w:pPr>
        <w:pStyle w:val="null3"/>
        <w:ind w:left="825"/>
        <w:jc w:val="both"/>
      </w:pP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签订日期：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pStyle w:val="null3"/>
        <w:ind w:left="825"/>
        <w:jc w:val="both"/>
      </w:pPr>
      <w:r>
        <w:rPr>
          <w:sz w:val="21"/>
        </w:rPr>
        <w:t>开户名称：</w:t>
      </w:r>
      <w:r>
        <w:rPr>
          <w:sz w:val="21"/>
        </w:rPr>
        <w:t xml:space="preserve">                                           </w:t>
      </w:r>
      <w:r>
        <w:rPr>
          <w:sz w:val="21"/>
        </w:rPr>
        <w:t>开户名称：</w:t>
      </w:r>
    </w:p>
    <w:p>
      <w:pPr>
        <w:pStyle w:val="null3"/>
        <w:ind w:left="825"/>
        <w:jc w:val="both"/>
      </w:pPr>
      <w:r>
        <w:rPr>
          <w:sz w:val="21"/>
        </w:rPr>
        <w:t>银行账号：</w:t>
      </w:r>
      <w:r>
        <w:rPr>
          <w:sz w:val="21"/>
        </w:rPr>
        <w:t xml:space="preserve">                                           </w:t>
      </w:r>
      <w:r>
        <w:rPr>
          <w:sz w:val="21"/>
        </w:rPr>
        <w:t>银行账号：</w:t>
      </w:r>
    </w:p>
    <w:p>
      <w:pPr>
        <w:pStyle w:val="null3"/>
        <w:jc w:val="both"/>
      </w:pPr>
      <w:r>
        <w:rPr>
          <w:sz w:val="21"/>
        </w:rPr>
        <w:t>开</w:t>
      </w:r>
      <w:r>
        <w:rPr>
          <w:sz w:val="21"/>
        </w:rPr>
        <w:t>户</w:t>
      </w:r>
      <w:r>
        <w:rPr>
          <w:sz w:val="21"/>
        </w:rPr>
        <w:t>行：</w:t>
      </w:r>
      <w:r>
        <w:rPr>
          <w:sz w:val="21"/>
        </w:rPr>
        <w:t xml:space="preserve">                                            </w:t>
      </w:r>
      <w:r>
        <w:rPr>
          <w:sz w:val="21"/>
        </w:rPr>
        <w:t>开</w:t>
      </w:r>
      <w:r>
        <w:rPr>
          <w:sz w:val="21"/>
        </w:rPr>
        <w:t>户</w:t>
      </w:r>
      <w:r>
        <w:rPr>
          <w:sz w:val="21"/>
        </w:rPr>
        <w:t>行：</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440115-2024-02657</w:t>
      </w:r>
    </w:p>
    <w:p>
      <w:pPr>
        <w:pStyle w:val="null3"/>
        <w:jc w:val="center"/>
        <w:outlineLvl w:val="3"/>
      </w:pPr>
      <w:r>
        <w:rPr>
          <w:sz w:val="24"/>
          <w:b/>
        </w:rPr>
        <w:t>采购项目编号：</w:t>
      </w:r>
      <w:r>
        <w:rPr>
          <w:sz w:val="24"/>
          <w:b/>
        </w:rPr>
        <w:t>ZJNSC2024-128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中基科技（广州）有限公司南沙招标代理分公司</w:t>
      </w:r>
    </w:p>
    <w:p>
      <w:pPr>
        <w:pStyle w:val="null3"/>
        <w:ind w:firstLine="480"/>
      </w:pPr>
      <w:r>
        <w:rPr/>
        <w:t xml:space="preserve"> 你方组织的</w:t>
      </w:r>
      <w:r>
        <w:rPr>
          <w:u w:val="single"/>
        </w:rPr>
        <w:t>“</w:t>
      </w:r>
      <w:r>
        <w:rPr>
          <w:u w:val="single"/>
        </w:rPr>
        <w:t>2024年度万顷沙镇除“四害”及白蚁、红火蚁防控消杀服务项目</w:t>
      </w:r>
      <w:r>
        <w:rPr>
          <w:u w:val="single"/>
        </w:rPr>
        <w:t>”</w:t>
      </w:r>
      <w:r>
        <w:rPr/>
        <w:t>项目的竞争性磋商[采购项目编号为：</w:t>
      </w:r>
      <w:r>
        <w:rPr>
          <w:u w:val="single"/>
        </w:rPr>
        <w:t>ZJNSC2024-128</w:t>
      </w:r>
      <w:r>
        <w:rPr/>
        <w:t>]，我方愿参与响应。</w:t>
      </w:r>
    </w:p>
    <w:p>
      <w:pPr>
        <w:pStyle w:val="null3"/>
        <w:ind w:firstLine="480"/>
      </w:pPr>
      <w:r>
        <w:rPr/>
        <w:t>我方确认收到贵方提供的</w:t>
      </w:r>
      <w:r>
        <w:rPr>
          <w:u w:val="single"/>
        </w:rPr>
        <w:t>“</w:t>
      </w:r>
      <w:r>
        <w:rPr>
          <w:u w:val="single"/>
        </w:rPr>
        <w:t>2024年度万顷沙镇除“四害”及白蚁、红火蚁防控消杀服务项目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（四）我方理解贵方不一定接受最低磋商价或任何贵方可能收到的响应。</w:t>
      </w:r>
    </w:p>
    <w:p>
      <w:pPr>
        <w:pStyle w:val="null3"/>
        <w:ind w:firstLine="480"/>
      </w:pPr>
      <w:r>
        <w:rPr/>
        <w:t>（五）我方如果成交，将保证履行磋商文件及其澄清、修改文件（如果有）中的全部责任和义务，按质、按量、按期完成《采购需求》及《合同书》中的全部任务。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（七）我方磋商报价已包含应向知识产权所有权人支付的所有相关税费，并保证采购人在中国使用我方提供的货物或服务时，如有第三方提出侵犯其知识产权主张的，责任由我方承担。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（九）我方与其他供应商不存在法定代表人或单位负责人为同一人或者存在直接控股、管理关系。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（十四）我方对在本函及响应文件中所作的所有承诺承担法律责任。</w:t>
      </w:r>
    </w:p>
    <w:p>
      <w:pPr>
        <w:pStyle w:val="null3"/>
        <w:ind w:firstLine="480"/>
      </w:pPr>
      <w:r>
        <w:rPr/>
        <w:t>（十五）所有与本磋商有关的函件请发往下列地址：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中基科技（广州）有限公司南沙招标代理分公司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2024年度万顷沙镇除“四害”及白蚁、红火蚁防控消杀服务项目</w:t>
      </w:r>
      <w:r>
        <w:rPr/>
        <w:t>”项目采购[采购项目编号为</w:t>
      </w:r>
      <w:r>
        <w:rPr/>
        <w:t>ZJNSC2024-128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广州市南沙区万顷沙镇人民政府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中基科技（广州）有限公司南沙招标代理分公司</w:t>
      </w:r>
    </w:p>
    <w:p>
      <w:pPr>
        <w:pStyle w:val="null3"/>
        <w:ind w:firstLine="480"/>
      </w:pPr>
      <w:r>
        <w:rPr/>
        <w:t>我单位参加贵公司组织的</w:t>
      </w:r>
      <w:r>
        <w:rPr/>
        <w:t>2024年度万顷沙镇除“四害”及白蚁、红火蚁防控消杀服务项目</w:t>
      </w:r>
      <w:r>
        <w:rPr/>
        <w:t>（采购项目编号：</w:t>
      </w:r>
      <w:r>
        <w:rPr/>
        <w:t>ZJNSC2024-128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