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Cs w:val="21"/>
        </w:rPr>
      </w:pPr>
    </w:p>
    <w:p>
      <w:pPr>
        <w:spacing w:line="360" w:lineRule="auto"/>
        <w:jc w:val="center"/>
        <w:rPr>
          <w:b/>
          <w:sz w:val="36"/>
          <w:szCs w:val="36"/>
        </w:rPr>
      </w:pPr>
      <w:r>
        <w:rPr>
          <w:rFonts w:hint="eastAsia"/>
          <w:b/>
          <w:sz w:val="36"/>
          <w:szCs w:val="36"/>
        </w:rPr>
        <w:t>北京中医药大学深圳医院（龙岗）</w:t>
      </w:r>
    </w:p>
    <w:p>
      <w:pPr>
        <w:spacing w:line="360" w:lineRule="auto"/>
        <w:jc w:val="center"/>
        <w:rPr>
          <w:sz w:val="36"/>
          <w:szCs w:val="36"/>
        </w:rPr>
      </w:pPr>
      <w:r>
        <w:rPr>
          <w:b/>
          <w:sz w:val="36"/>
          <w:szCs w:val="36"/>
        </w:rPr>
        <w:t>四害消杀及白蚁、红火蚁防治项目</w:t>
      </w:r>
      <w:r>
        <w:rPr>
          <w:rFonts w:hint="eastAsia"/>
          <w:b/>
          <w:sz w:val="36"/>
          <w:szCs w:val="36"/>
        </w:rPr>
        <w:t>院内采购文件</w:t>
      </w:r>
    </w:p>
    <w:p>
      <w:pPr>
        <w:spacing w:line="360" w:lineRule="auto"/>
        <w:rPr>
          <w:szCs w:val="21"/>
        </w:rPr>
      </w:pPr>
    </w:p>
    <w:p>
      <w:pPr>
        <w:spacing w:line="300" w:lineRule="auto"/>
        <w:jc w:val="center"/>
        <w:rPr>
          <w:rFonts w:ascii="黑体" w:hAnsi="Arial" w:eastAsia="黑体" w:cs="Arial"/>
          <w:color w:val="000000"/>
          <w:sz w:val="52"/>
          <w:szCs w:val="52"/>
        </w:rPr>
      </w:pPr>
      <w:r>
        <w:rPr>
          <w:rFonts w:hint="eastAsia"/>
          <w:color w:val="FF0000"/>
          <w:sz w:val="44"/>
          <w:szCs w:val="44"/>
        </w:rPr>
        <w:t xml:space="preserve"> </w:t>
      </w:r>
      <w:r>
        <w:rPr>
          <w:rFonts w:hint="eastAsia" w:ascii="黑体" w:hAnsi="Arial" w:eastAsia="黑体" w:cs="Arial"/>
          <w:color w:val="000000"/>
          <w:sz w:val="52"/>
          <w:szCs w:val="52"/>
        </w:rPr>
        <w:t>【服务类】</w:t>
      </w:r>
    </w:p>
    <w:p>
      <w:pPr>
        <w:spacing w:line="360" w:lineRule="auto"/>
        <w:rPr>
          <w:color w:val="FF0000"/>
          <w:sz w:val="44"/>
          <w:szCs w:val="44"/>
        </w:rPr>
      </w:pPr>
    </w:p>
    <w:p>
      <w:pPr>
        <w:spacing w:line="360" w:lineRule="auto"/>
        <w:rPr>
          <w:color w:val="FF0000"/>
          <w:sz w:val="44"/>
          <w:szCs w:val="44"/>
        </w:rPr>
      </w:pPr>
    </w:p>
    <w:p>
      <w:pPr>
        <w:spacing w:line="360" w:lineRule="auto"/>
        <w:ind w:firstLine="960" w:firstLineChars="300"/>
        <w:rPr>
          <w:sz w:val="32"/>
          <w:szCs w:val="32"/>
        </w:rPr>
      </w:pPr>
      <w:r>
        <w:rPr>
          <w:rFonts w:hint="eastAsia"/>
          <w:sz w:val="32"/>
          <w:szCs w:val="32"/>
        </w:rPr>
        <w:t xml:space="preserve">采购编号： </w:t>
      </w:r>
      <w:r>
        <w:rPr>
          <w:rFonts w:hint="eastAsia"/>
          <w:sz w:val="32"/>
          <w:szCs w:val="32"/>
          <w:u w:val="single"/>
        </w:rPr>
        <w:t xml:space="preserve">       </w:t>
      </w:r>
      <w:r>
        <w:rPr>
          <w:sz w:val="32"/>
          <w:szCs w:val="32"/>
          <w:u w:val="single"/>
        </w:rPr>
        <w:t xml:space="preserve">XM20240527 </w:t>
      </w:r>
      <w:r>
        <w:rPr>
          <w:rFonts w:hint="eastAsia"/>
          <w:sz w:val="32"/>
          <w:szCs w:val="32"/>
          <w:u w:val="single"/>
        </w:rPr>
        <w:t xml:space="preserve">        </w:t>
      </w:r>
      <w:r>
        <w:rPr>
          <w:rFonts w:hint="eastAsia"/>
          <w:sz w:val="32"/>
          <w:szCs w:val="32"/>
        </w:rPr>
        <w:t xml:space="preserve">  </w:t>
      </w:r>
    </w:p>
    <w:p>
      <w:pPr>
        <w:spacing w:line="400" w:lineRule="exact"/>
        <w:ind w:firstLine="960" w:firstLineChars="300"/>
        <w:rPr>
          <w:sz w:val="32"/>
          <w:szCs w:val="32"/>
        </w:rPr>
      </w:pPr>
    </w:p>
    <w:p>
      <w:pPr>
        <w:ind w:firstLine="960" w:firstLineChars="300"/>
        <w:jc w:val="left"/>
        <w:rPr>
          <w:sz w:val="24"/>
          <w:u w:val="single"/>
        </w:rPr>
      </w:pPr>
      <w:r>
        <w:rPr>
          <w:rFonts w:hint="eastAsia"/>
          <w:sz w:val="32"/>
          <w:szCs w:val="32"/>
        </w:rPr>
        <w:t xml:space="preserve">采购内容： </w:t>
      </w:r>
      <w:r>
        <w:rPr>
          <w:rFonts w:hint="eastAsia"/>
          <w:sz w:val="24"/>
          <w:u w:val="single"/>
        </w:rPr>
        <w:t xml:space="preserve">     </w:t>
      </w:r>
      <w:r>
        <w:rPr>
          <w:sz w:val="32"/>
          <w:szCs w:val="32"/>
          <w:u w:val="single"/>
        </w:rPr>
        <w:t>四害消杀及白蚁、红火蚁防治项目</w:t>
      </w:r>
      <w:r>
        <w:rPr>
          <w:rFonts w:hint="eastAsia"/>
          <w:sz w:val="32"/>
          <w:szCs w:val="32"/>
          <w:u w:val="single"/>
        </w:rPr>
        <w:t xml:space="preserve">  </w:t>
      </w:r>
      <w:r>
        <w:rPr>
          <w:rFonts w:hint="eastAsia"/>
          <w:sz w:val="24"/>
          <w:u w:val="single"/>
        </w:rPr>
        <w:t xml:space="preserve">  </w:t>
      </w:r>
    </w:p>
    <w:p>
      <w:pPr>
        <w:rPr>
          <w:sz w:val="24"/>
          <w:u w:val="single"/>
        </w:rPr>
      </w:pPr>
    </w:p>
    <w:p>
      <w:pPr>
        <w:spacing w:line="400" w:lineRule="exact"/>
        <w:ind w:firstLine="960" w:firstLineChars="300"/>
        <w:rPr>
          <w:rFonts w:ascii="宋体" w:hAnsi="宋体" w:cs="宋体"/>
          <w:color w:val="000000"/>
          <w:kern w:val="0"/>
          <w:sz w:val="32"/>
          <w:szCs w:val="32"/>
          <w:u w:val="single"/>
        </w:rPr>
      </w:pPr>
    </w:p>
    <w:p>
      <w:pPr>
        <w:widowControl/>
        <w:spacing w:line="460" w:lineRule="atLeast"/>
        <w:ind w:left="960" w:leftChars="457"/>
        <w:jc w:val="left"/>
        <w:rPr>
          <w:sz w:val="32"/>
          <w:szCs w:val="32"/>
          <w:u w:val="single"/>
        </w:rPr>
      </w:pPr>
      <w:r>
        <w:rPr>
          <w:rFonts w:hint="eastAsia"/>
          <w:sz w:val="32"/>
          <w:szCs w:val="32"/>
        </w:rPr>
        <w:t>采购方式：</w:t>
      </w:r>
      <w:r>
        <w:rPr>
          <w:rFonts w:hint="eastAsia"/>
          <w:sz w:val="32"/>
          <w:szCs w:val="32"/>
          <w:u w:val="single"/>
        </w:rPr>
        <w:t xml:space="preserve">         院内公开采购          </w:t>
      </w:r>
    </w:p>
    <w:p>
      <w:pPr>
        <w:widowControl/>
        <w:spacing w:line="460" w:lineRule="atLeast"/>
        <w:jc w:val="left"/>
        <w:rPr>
          <w:sz w:val="32"/>
          <w:szCs w:val="32"/>
        </w:rPr>
      </w:pPr>
    </w:p>
    <w:p>
      <w:pPr>
        <w:spacing w:line="360" w:lineRule="auto"/>
        <w:ind w:firstLine="960" w:firstLineChars="300"/>
        <w:rPr>
          <w:sz w:val="32"/>
          <w:szCs w:val="32"/>
        </w:rPr>
      </w:pPr>
      <w:r>
        <w:rPr>
          <w:rFonts w:hint="eastAsia"/>
          <w:sz w:val="32"/>
          <w:szCs w:val="32"/>
        </w:rPr>
        <w:t>采购单位名称：</w:t>
      </w:r>
      <w:r>
        <w:rPr>
          <w:rFonts w:hint="eastAsia"/>
          <w:sz w:val="32"/>
          <w:szCs w:val="32"/>
          <w:u w:val="single"/>
        </w:rPr>
        <w:t>北京中医药大学深圳医院（龙岗）</w:t>
      </w:r>
    </w:p>
    <w:p>
      <w:pPr>
        <w:spacing w:line="360" w:lineRule="auto"/>
        <w:rPr>
          <w:sz w:val="32"/>
          <w:szCs w:val="32"/>
        </w:rPr>
      </w:pPr>
    </w:p>
    <w:p>
      <w:pPr>
        <w:spacing w:line="360" w:lineRule="auto"/>
        <w:ind w:firstLine="960" w:firstLineChars="300"/>
        <w:rPr>
          <w:sz w:val="32"/>
          <w:szCs w:val="32"/>
        </w:rPr>
      </w:pPr>
    </w:p>
    <w:p>
      <w:pPr>
        <w:spacing w:after="156" w:afterLines="50"/>
        <w:jc w:val="center"/>
        <w:rPr>
          <w:rFonts w:ascii="宋体" w:hAnsi="宋体"/>
          <w:b/>
          <w:sz w:val="36"/>
          <w:szCs w:val="36"/>
        </w:rPr>
      </w:pPr>
      <w:r>
        <w:rPr>
          <w:sz w:val="32"/>
          <w:szCs w:val="32"/>
        </w:rPr>
        <w:br w:type="page"/>
      </w:r>
      <w:r>
        <w:rPr>
          <w:rFonts w:hint="eastAsia" w:ascii="宋体" w:hAnsi="宋体"/>
          <w:b/>
          <w:sz w:val="36"/>
          <w:szCs w:val="36"/>
        </w:rPr>
        <w:t>院内采购公告</w:t>
      </w:r>
    </w:p>
    <w:p>
      <w:pPr>
        <w:spacing w:after="156" w:afterLines="50"/>
        <w:jc w:val="center"/>
        <w:rPr>
          <w:rFonts w:ascii="宋体" w:hAnsi="宋体" w:cs="宋体"/>
          <w:color w:val="FF0000"/>
          <w:kern w:val="0"/>
          <w:sz w:val="24"/>
        </w:rPr>
      </w:pPr>
      <w:r>
        <w:rPr>
          <w:rFonts w:hint="eastAsia" w:ascii="宋体" w:hAnsi="宋体" w:cs="宋体"/>
          <w:color w:val="FF0000"/>
          <w:kern w:val="0"/>
          <w:sz w:val="24"/>
        </w:rPr>
        <w:t>（详见龙岗政府在线网站）</w:t>
      </w:r>
    </w:p>
    <w:p>
      <w:pPr>
        <w:spacing w:line="360" w:lineRule="exact"/>
        <w:rPr>
          <w:rFonts w:ascii="宋体" w:hAnsi="宋体"/>
          <w:sz w:val="24"/>
        </w:rPr>
      </w:pPr>
    </w:p>
    <w:p>
      <w:pPr>
        <w:spacing w:line="360" w:lineRule="exact"/>
        <w:jc w:val="center"/>
        <w:rPr>
          <w:rFonts w:ascii="宋体" w:hAnsi="宋体"/>
          <w:b/>
          <w:szCs w:val="21"/>
        </w:rPr>
      </w:pPr>
      <w:r>
        <w:rPr>
          <w:rFonts w:hint="eastAsia" w:ascii="宋体" w:hAnsi="宋体"/>
          <w:b/>
          <w:szCs w:val="21"/>
        </w:rPr>
        <w:t>第一章  投标人须知</w:t>
      </w:r>
    </w:p>
    <w:p>
      <w:pPr>
        <w:spacing w:line="360" w:lineRule="exact"/>
        <w:rPr>
          <w:rFonts w:ascii="宋体" w:hAnsi="宋体"/>
          <w:b/>
          <w:szCs w:val="21"/>
        </w:rPr>
      </w:pPr>
      <w:r>
        <w:rPr>
          <w:rFonts w:hint="eastAsia" w:ascii="宋体" w:hAnsi="宋体"/>
          <w:b/>
          <w:szCs w:val="21"/>
        </w:rPr>
        <w:t>一、采购人简介：</w:t>
      </w:r>
    </w:p>
    <w:p>
      <w:pPr>
        <w:numPr>
          <w:ilvl w:val="0"/>
          <w:numId w:val="1"/>
        </w:numPr>
        <w:spacing w:line="360" w:lineRule="exact"/>
        <w:rPr>
          <w:rFonts w:ascii="宋体" w:hAnsi="宋体"/>
          <w:szCs w:val="21"/>
        </w:rPr>
      </w:pPr>
      <w:r>
        <w:rPr>
          <w:rFonts w:hint="eastAsia" w:ascii="宋体" w:hAnsi="宋体"/>
          <w:szCs w:val="21"/>
        </w:rPr>
        <w:t>采购单位：深圳市北京中医药大学深圳医院（龙岗）</w:t>
      </w:r>
    </w:p>
    <w:p>
      <w:pPr>
        <w:numPr>
          <w:ilvl w:val="0"/>
          <w:numId w:val="1"/>
        </w:numPr>
        <w:spacing w:line="360" w:lineRule="exact"/>
        <w:rPr>
          <w:rFonts w:ascii="宋体" w:hAnsi="宋体"/>
          <w:szCs w:val="21"/>
        </w:rPr>
      </w:pPr>
      <w:r>
        <w:rPr>
          <w:rFonts w:hint="eastAsia" w:ascii="宋体" w:hAnsi="宋体"/>
          <w:szCs w:val="21"/>
        </w:rPr>
        <w:t>地址：深圳市龙岗区大运路1号</w:t>
      </w:r>
    </w:p>
    <w:p>
      <w:pPr>
        <w:spacing w:line="360" w:lineRule="exact"/>
        <w:rPr>
          <w:rFonts w:ascii="宋体" w:hAnsi="宋体"/>
          <w:b/>
          <w:szCs w:val="21"/>
        </w:rPr>
      </w:pPr>
      <w:r>
        <w:rPr>
          <w:rFonts w:hint="eastAsia" w:ascii="宋体" w:hAnsi="宋体"/>
          <w:b/>
          <w:szCs w:val="21"/>
        </w:rPr>
        <w:t>二、采购内容：</w:t>
      </w:r>
    </w:p>
    <w:p>
      <w:pPr>
        <w:spacing w:line="360" w:lineRule="exact"/>
        <w:rPr>
          <w:rFonts w:ascii="宋体" w:hAnsi="宋体"/>
          <w:bCs/>
          <w:color w:val="FF0000"/>
          <w:szCs w:val="21"/>
        </w:rPr>
      </w:pPr>
      <w:r>
        <w:rPr>
          <w:rFonts w:hint="eastAsia" w:ascii="宋体" w:hAnsi="宋体"/>
          <w:color w:val="FF0000"/>
          <w:szCs w:val="21"/>
        </w:rPr>
        <w:t>详见</w:t>
      </w:r>
      <w:r>
        <w:rPr>
          <w:rFonts w:hint="eastAsia" w:ascii="宋体" w:hAnsi="宋体"/>
          <w:bCs/>
          <w:color w:val="FF0000"/>
          <w:szCs w:val="21"/>
        </w:rPr>
        <w:t>北京中医药大学深圳医院（龙岗）</w:t>
      </w:r>
      <w:r>
        <w:rPr>
          <w:rFonts w:ascii="宋体" w:hAnsi="宋体"/>
          <w:bCs/>
          <w:color w:val="FF0000"/>
          <w:szCs w:val="21"/>
        </w:rPr>
        <w:t>四害消杀及白蚁、红火蚁防治项目采购需求</w:t>
      </w:r>
      <w:r>
        <w:rPr>
          <w:rFonts w:hint="eastAsia" w:ascii="宋体" w:hAnsi="宋体"/>
          <w:bCs/>
          <w:color w:val="FF0000"/>
          <w:szCs w:val="21"/>
        </w:rPr>
        <w:t>（技术参数和商务条款）</w:t>
      </w:r>
      <w:r>
        <w:rPr>
          <w:rFonts w:hint="eastAsia" w:ascii="宋体" w:hAnsi="宋体"/>
          <w:color w:val="FF0000"/>
          <w:szCs w:val="21"/>
        </w:rPr>
        <w:t>。</w:t>
      </w:r>
    </w:p>
    <w:p>
      <w:pPr>
        <w:spacing w:line="360" w:lineRule="exact"/>
        <w:rPr>
          <w:rFonts w:ascii="宋体" w:hAnsi="宋体"/>
          <w:b/>
          <w:szCs w:val="21"/>
        </w:rPr>
      </w:pPr>
      <w:r>
        <w:rPr>
          <w:rFonts w:hint="eastAsia" w:ascii="宋体" w:hAnsi="宋体"/>
          <w:b/>
          <w:szCs w:val="21"/>
        </w:rPr>
        <w:t>三、采购方式：</w:t>
      </w:r>
    </w:p>
    <w:p>
      <w:pPr>
        <w:spacing w:line="360" w:lineRule="exact"/>
        <w:rPr>
          <w:rFonts w:ascii="宋体" w:hAnsi="宋体"/>
          <w:szCs w:val="21"/>
        </w:rPr>
      </w:pPr>
      <w:r>
        <w:rPr>
          <w:rFonts w:hint="eastAsia" w:ascii="宋体" w:hAnsi="宋体"/>
          <w:szCs w:val="21"/>
        </w:rPr>
        <w:t>深圳市北京中医药大学深圳医院（龙岗）院内公开采购。</w:t>
      </w:r>
    </w:p>
    <w:p>
      <w:pPr>
        <w:spacing w:line="360" w:lineRule="exact"/>
        <w:rPr>
          <w:rFonts w:ascii="宋体" w:hAnsi="宋体"/>
          <w:b/>
          <w:szCs w:val="21"/>
        </w:rPr>
      </w:pPr>
      <w:r>
        <w:rPr>
          <w:rFonts w:hint="eastAsia" w:ascii="宋体" w:hAnsi="宋体"/>
          <w:b/>
          <w:szCs w:val="21"/>
        </w:rPr>
        <w:t>四、采购机构：</w:t>
      </w:r>
    </w:p>
    <w:p>
      <w:pPr>
        <w:spacing w:line="360" w:lineRule="exact"/>
        <w:rPr>
          <w:rFonts w:ascii="宋体" w:hAnsi="宋体"/>
          <w:szCs w:val="21"/>
        </w:rPr>
      </w:pPr>
      <w:r>
        <w:rPr>
          <w:rFonts w:hint="eastAsia" w:ascii="宋体" w:hAnsi="宋体"/>
          <w:szCs w:val="21"/>
        </w:rPr>
        <w:t>深圳市北京中医药大学深圳医院（龙岗）评标小组。</w:t>
      </w:r>
    </w:p>
    <w:p>
      <w:pPr>
        <w:spacing w:line="360" w:lineRule="exact"/>
        <w:rPr>
          <w:rFonts w:ascii="宋体" w:hAnsi="宋体"/>
          <w:b/>
          <w:szCs w:val="21"/>
        </w:rPr>
      </w:pPr>
      <w:r>
        <w:rPr>
          <w:rFonts w:hint="eastAsia" w:ascii="宋体" w:hAnsi="宋体"/>
          <w:b/>
          <w:szCs w:val="21"/>
        </w:rPr>
        <w:t>五、</w:t>
      </w:r>
      <w:bookmarkStart w:id="0" w:name="_Toc17710"/>
      <w:r>
        <w:rPr>
          <w:rFonts w:hint="eastAsia" w:ascii="宋体" w:hAnsi="宋体"/>
          <w:b/>
          <w:szCs w:val="21"/>
        </w:rPr>
        <w:t>资格性审查表、符合性审查表</w:t>
      </w:r>
      <w:bookmarkEnd w:id="0"/>
      <w:r>
        <w:rPr>
          <w:rFonts w:hint="eastAsia" w:ascii="宋体" w:hAnsi="宋体"/>
          <w:b/>
          <w:szCs w:val="21"/>
        </w:rPr>
        <w:t>：</w:t>
      </w:r>
    </w:p>
    <w:p>
      <w:pPr>
        <w:spacing w:line="300" w:lineRule="auto"/>
        <w:jc w:val="center"/>
        <w:rPr>
          <w:rFonts w:ascii="黑体" w:eastAsia="黑体"/>
          <w:color w:val="FF0000"/>
          <w:szCs w:val="21"/>
        </w:rPr>
      </w:pPr>
      <w:r>
        <w:rPr>
          <w:rFonts w:hint="eastAsia"/>
          <w:b/>
          <w:color w:val="FF0000"/>
        </w:rPr>
        <w:t>（凡有下列情形之一的，投标文件无效，投标作无效标处理</w:t>
      </w:r>
      <w:r>
        <w:rPr>
          <w:rFonts w:hint="eastAsia" w:ascii="黑体" w:eastAsia="黑体"/>
          <w:color w:val="FF0000"/>
          <w:szCs w:val="21"/>
        </w:rPr>
        <w:t>）</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45" w:type="dxa"/>
            <w:vAlign w:val="center"/>
          </w:tcPr>
          <w:p>
            <w:pPr>
              <w:spacing w:line="300" w:lineRule="auto"/>
              <w:jc w:val="center"/>
              <w:rPr>
                <w:b/>
              </w:rPr>
            </w:pPr>
            <w:r>
              <w:rPr>
                <w:rFonts w:hint="eastAsia"/>
                <w:b/>
              </w:rPr>
              <w:t>序号</w:t>
            </w:r>
          </w:p>
        </w:tc>
        <w:tc>
          <w:tcPr>
            <w:tcW w:w="9244" w:type="dxa"/>
            <w:vAlign w:val="center"/>
          </w:tcPr>
          <w:p>
            <w:pPr>
              <w:spacing w:line="300" w:lineRule="auto"/>
              <w:jc w:val="center"/>
              <w:rPr>
                <w:b/>
              </w:rPr>
            </w:pPr>
            <w:r>
              <w:rPr>
                <w:rFonts w:hint="eastAsia"/>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9" w:type="dxa"/>
            <w:gridSpan w:val="2"/>
            <w:vAlign w:val="center"/>
          </w:tcPr>
          <w:p>
            <w:pPr>
              <w:spacing w:line="300" w:lineRule="auto"/>
              <w:jc w:val="center"/>
              <w:rPr>
                <w:b/>
              </w:rPr>
            </w:pPr>
            <w:r>
              <w:rPr>
                <w:rFonts w:hint="eastAsia"/>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pPr>
              <w:spacing w:line="300" w:lineRule="auto"/>
            </w:pPr>
            <w:r>
              <w:rPr>
                <w:rFonts w:hint="eastAsia"/>
              </w:rPr>
              <w:t>投标人不具备招标资质要求，或未提交相应资质证明材料；(详见采购公告“</w:t>
            </w:r>
            <w:r>
              <w:t>供应商资质要求</w:t>
            </w:r>
            <w:r>
              <w:rPr>
                <w:rFonts w:hint="eastAsia"/>
              </w:rPr>
              <w:t>”，其中未列示的资质要求不得导致废标。)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pPr>
              <w:spacing w:line="300" w:lineRule="auto"/>
            </w:pPr>
            <w:r>
              <w:t>投标文件存在招标文件中规定的其它投标无效条款的；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45" w:type="dxa"/>
            <w:vAlign w:val="center"/>
          </w:tcPr>
          <w:p>
            <w:pPr>
              <w:widowControl/>
              <w:numPr>
                <w:ilvl w:val="0"/>
                <w:numId w:val="2"/>
              </w:numPr>
              <w:shd w:val="clear" w:color="auto" w:fill="FFFFFF"/>
              <w:adjustRightInd w:val="0"/>
              <w:snapToGrid w:val="0"/>
              <w:spacing w:line="300" w:lineRule="auto"/>
              <w:ind w:left="0" w:firstLine="0"/>
              <w:jc w:val="center"/>
            </w:pPr>
          </w:p>
        </w:tc>
        <w:tc>
          <w:tcPr>
            <w:tcW w:w="9244" w:type="dxa"/>
            <w:vAlign w:val="center"/>
          </w:tcPr>
          <w:p>
            <w:pPr>
              <w:spacing w:line="300" w:lineRule="auto"/>
            </w:pPr>
            <w:r>
              <w:t>法律、法规规定的属于投标无效的其他情形。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889" w:type="dxa"/>
            <w:gridSpan w:val="2"/>
            <w:vAlign w:val="center"/>
          </w:tcPr>
          <w:p>
            <w:pPr>
              <w:spacing w:line="300" w:lineRule="auto"/>
              <w:jc w:val="center"/>
            </w:pPr>
            <w:r>
              <w:rPr>
                <w:rFonts w:hint="eastAsia"/>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szCs w:val="21"/>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未按招标文件所提供的样式填写</w:t>
            </w:r>
            <w:r>
              <w:t>《</w:t>
            </w:r>
            <w:r>
              <w:rPr>
                <w:rFonts w:hint="eastAsia"/>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投标总价或分项报价高于财政预算限额</w:t>
            </w:r>
            <w:r>
              <w:rPr>
                <w:szCs w:val="21"/>
              </w:rPr>
              <w:t>（最高投标限价）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szCs w:val="21"/>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所投产品、工程、服务在商务、技术等方面没有实质性满足招标文件要求的（是否实质性满足招标文件要求，由评标委员会根据《实质性响应条款偏离表》做出评判；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pPr>
            <w:r>
              <w:rPr>
                <w:rFonts w:hint="eastAsia" w:ascii="宋体" w:hAnsi="宋体"/>
                <w:szCs w:val="21"/>
              </w:rPr>
              <w:t>投标单位的法定代表人或委托代理人未准时递交投标文件；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45" w:type="dxa"/>
            <w:vAlign w:val="center"/>
          </w:tcPr>
          <w:p>
            <w:pPr>
              <w:numPr>
                <w:ilvl w:val="0"/>
                <w:numId w:val="3"/>
              </w:numPr>
              <w:adjustRightInd w:val="0"/>
              <w:snapToGrid w:val="0"/>
              <w:spacing w:line="300" w:lineRule="auto"/>
              <w:ind w:left="0" w:firstLine="0"/>
              <w:jc w:val="center"/>
            </w:pPr>
          </w:p>
        </w:tc>
        <w:tc>
          <w:tcPr>
            <w:tcW w:w="9244" w:type="dxa"/>
            <w:vAlign w:val="center"/>
          </w:tcPr>
          <w:p>
            <w:pPr>
              <w:spacing w:line="300" w:lineRule="auto"/>
              <w:rPr>
                <w:rFonts w:ascii="宋体" w:hAnsi="宋体"/>
                <w:szCs w:val="21"/>
              </w:rPr>
            </w:pPr>
            <w:r>
              <w:rPr>
                <w:rFonts w:hint="eastAsia" w:ascii="宋体" w:hAnsi="宋体"/>
                <w:szCs w:val="21"/>
              </w:rPr>
              <w:t>同意承担因中标后用假劣产品代替合格优质产品进行供货或用“涨价”“缺货”等种种理由拖延供货而直接影响采购单位临床工作的正常运转，甚至造成医疗事故等严重后果的全部责任。</w:t>
            </w:r>
          </w:p>
        </w:tc>
      </w:tr>
    </w:tbl>
    <w:p>
      <w:pPr>
        <w:spacing w:line="360" w:lineRule="exact"/>
        <w:rPr>
          <w:rFonts w:ascii="宋体" w:hAnsi="宋体"/>
          <w:b/>
          <w:szCs w:val="21"/>
        </w:rPr>
      </w:pPr>
      <w:r>
        <w:rPr>
          <w:rFonts w:hint="eastAsia" w:ascii="宋体" w:hAnsi="宋体"/>
          <w:b/>
          <w:szCs w:val="21"/>
        </w:rPr>
        <w:t>六、评标（评审）办法：采用综合评标法。</w:t>
      </w:r>
    </w:p>
    <w:p>
      <w:pPr>
        <w:spacing w:line="360" w:lineRule="exact"/>
        <w:rPr>
          <w:rFonts w:ascii="宋体" w:hAnsi="宋体"/>
          <w:szCs w:val="21"/>
        </w:rPr>
      </w:pPr>
      <w:r>
        <w:rPr>
          <w:rFonts w:hint="eastAsia" w:ascii="宋体" w:hAnsi="宋体"/>
          <w:szCs w:val="21"/>
        </w:rPr>
        <w:t>1、评审人员的组成：北京中医药大学深圳医院（龙岗）评标小组。</w:t>
      </w:r>
    </w:p>
    <w:p>
      <w:pPr>
        <w:spacing w:line="360" w:lineRule="exact"/>
        <w:rPr>
          <w:rFonts w:ascii="宋体" w:hAnsi="宋体"/>
          <w:szCs w:val="21"/>
        </w:rPr>
      </w:pPr>
      <w:r>
        <w:rPr>
          <w:rFonts w:hint="eastAsia" w:ascii="宋体" w:hAnsi="宋体"/>
          <w:szCs w:val="21"/>
        </w:rPr>
        <w:t>2、评审原则：</w:t>
      </w:r>
    </w:p>
    <w:p>
      <w:pPr>
        <w:spacing w:line="360" w:lineRule="exact"/>
        <w:rPr>
          <w:rFonts w:ascii="宋体" w:hAnsi="宋体"/>
          <w:szCs w:val="21"/>
        </w:rPr>
      </w:pPr>
      <w:r>
        <w:rPr>
          <w:rFonts w:hint="eastAsia" w:ascii="宋体" w:hAnsi="宋体"/>
          <w:szCs w:val="21"/>
        </w:rPr>
        <w:t>（1）坚持公开、公平、公正的基本原则；</w:t>
      </w:r>
    </w:p>
    <w:p>
      <w:pPr>
        <w:spacing w:line="360" w:lineRule="exact"/>
        <w:rPr>
          <w:rFonts w:ascii="宋体" w:hAnsi="宋体"/>
          <w:szCs w:val="21"/>
        </w:rPr>
      </w:pPr>
      <w:r>
        <w:rPr>
          <w:rFonts w:hint="eastAsia" w:ascii="宋体" w:hAnsi="宋体"/>
          <w:szCs w:val="21"/>
        </w:rPr>
        <w:t>（2）实行科学评估、集体决策；</w:t>
      </w:r>
    </w:p>
    <w:p>
      <w:pPr>
        <w:spacing w:line="360" w:lineRule="exact"/>
        <w:rPr>
          <w:rFonts w:ascii="宋体" w:hAnsi="宋体"/>
          <w:szCs w:val="21"/>
        </w:rPr>
      </w:pPr>
      <w:r>
        <w:rPr>
          <w:rFonts w:hint="eastAsia" w:ascii="宋体" w:hAnsi="宋体"/>
          <w:szCs w:val="21"/>
        </w:rPr>
        <w:t>（3）质量优先、诚实信用优先、价廉优先；</w:t>
      </w:r>
    </w:p>
    <w:p>
      <w:pPr>
        <w:spacing w:line="360" w:lineRule="exact"/>
        <w:rPr>
          <w:rFonts w:ascii="宋体" w:hAnsi="宋体"/>
          <w:szCs w:val="21"/>
        </w:rPr>
      </w:pPr>
      <w:r>
        <w:rPr>
          <w:rFonts w:hint="eastAsia" w:ascii="宋体" w:hAnsi="宋体"/>
          <w:szCs w:val="21"/>
        </w:rPr>
        <w:t>（4）医院纪检组全程有效监督。</w:t>
      </w:r>
    </w:p>
    <w:p>
      <w:pPr>
        <w:spacing w:line="360" w:lineRule="exact"/>
        <w:rPr>
          <w:rFonts w:ascii="宋体" w:hAnsi="宋体"/>
          <w:szCs w:val="21"/>
        </w:rPr>
      </w:pPr>
      <w:r>
        <w:rPr>
          <w:rFonts w:hint="eastAsia" w:ascii="宋体" w:hAnsi="宋体"/>
          <w:szCs w:val="21"/>
        </w:rPr>
        <w:t>3、评审标准：（见下表）</w:t>
      </w:r>
    </w:p>
    <w:tbl>
      <w:tblPr>
        <w:tblStyle w:val="17"/>
        <w:tblW w:w="1020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596"/>
        <w:gridCol w:w="1203"/>
        <w:gridCol w:w="699"/>
        <w:gridCol w:w="1059"/>
        <w:gridCol w:w="5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6" w:type="dxa"/>
            <w:vAlign w:val="center"/>
          </w:tcPr>
          <w:p>
            <w:pPr>
              <w:jc w:val="center"/>
              <w:rPr>
                <w:rFonts w:ascii="宋体" w:hAnsi="宋体"/>
                <w:szCs w:val="21"/>
              </w:rPr>
            </w:pPr>
            <w:bookmarkStart w:id="1" w:name="InsertEnd"/>
            <w:bookmarkEnd w:id="1"/>
            <w:r>
              <w:rPr>
                <w:rFonts w:hint="eastAsia" w:ascii="宋体" w:hAnsi="宋体"/>
                <w:szCs w:val="21"/>
              </w:rPr>
              <w:t>序号</w:t>
            </w:r>
          </w:p>
        </w:tc>
        <w:tc>
          <w:tcPr>
            <w:tcW w:w="3557" w:type="dxa"/>
            <w:gridSpan w:val="4"/>
            <w:vAlign w:val="center"/>
          </w:tcPr>
          <w:p>
            <w:pPr>
              <w:jc w:val="center"/>
              <w:rPr>
                <w:rFonts w:ascii="宋体" w:hAnsi="宋体"/>
                <w:szCs w:val="21"/>
              </w:rPr>
            </w:pPr>
            <w:r>
              <w:rPr>
                <w:rFonts w:hint="eastAsia" w:ascii="宋体" w:hAnsi="宋体"/>
                <w:szCs w:val="21"/>
              </w:rPr>
              <w:t>评分项</w:t>
            </w:r>
          </w:p>
        </w:tc>
        <w:tc>
          <w:tcPr>
            <w:tcW w:w="5977" w:type="dxa"/>
            <w:vAlign w:val="center"/>
          </w:tcPr>
          <w:p>
            <w:pPr>
              <w:jc w:val="center"/>
              <w:rPr>
                <w:rFonts w:ascii="宋体" w:hAnsi="宋体"/>
                <w:szCs w:val="21"/>
              </w:rPr>
            </w:pPr>
            <w:r>
              <w:rPr>
                <w:rFonts w:hint="eastAsia" w:ascii="宋体" w:hAnsi="宋体"/>
                <w:szCs w:val="21"/>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6" w:type="dxa"/>
            <w:vAlign w:val="center"/>
          </w:tcPr>
          <w:p>
            <w:pPr>
              <w:jc w:val="center"/>
              <w:rPr>
                <w:rFonts w:ascii="宋体" w:hAnsi="宋体"/>
                <w:b/>
                <w:szCs w:val="21"/>
              </w:rPr>
            </w:pPr>
            <w:r>
              <w:rPr>
                <w:rFonts w:ascii="宋体" w:hAnsi="宋体"/>
                <w:b/>
                <w:szCs w:val="21"/>
              </w:rPr>
              <w:t>1</w:t>
            </w:r>
          </w:p>
        </w:tc>
        <w:tc>
          <w:tcPr>
            <w:tcW w:w="3557" w:type="dxa"/>
            <w:gridSpan w:val="4"/>
            <w:vAlign w:val="center"/>
          </w:tcPr>
          <w:p>
            <w:pPr>
              <w:jc w:val="center"/>
              <w:rPr>
                <w:rFonts w:ascii="宋体" w:hAnsi="宋体"/>
                <w:b/>
                <w:szCs w:val="21"/>
              </w:rPr>
            </w:pPr>
            <w:r>
              <w:rPr>
                <w:rFonts w:hint="eastAsia" w:ascii="宋体" w:hAnsi="宋体"/>
                <w:b/>
                <w:szCs w:val="21"/>
              </w:rPr>
              <w:t>价格</w:t>
            </w:r>
          </w:p>
        </w:tc>
        <w:tc>
          <w:tcPr>
            <w:tcW w:w="5977" w:type="dxa"/>
            <w:vAlign w:val="center"/>
          </w:tcPr>
          <w:p>
            <w:pPr>
              <w:jc w:val="center"/>
              <w:rPr>
                <w:rFonts w:ascii="宋体" w:hAnsi="宋体"/>
                <w:b/>
                <w:szCs w:val="21"/>
              </w:rPr>
            </w:pPr>
            <w:r>
              <w:rPr>
                <w:rFonts w:hint="eastAsia" w:ascii="宋体" w:hAnsi="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200" w:type="dxa"/>
            <w:gridSpan w:val="6"/>
            <w:vAlign w:val="center"/>
          </w:tcPr>
          <w:p>
            <w:pPr>
              <w:jc w:val="center"/>
              <w:rPr>
                <w:rFonts w:ascii="宋体" w:hAnsi="宋体"/>
                <w:b/>
                <w:szCs w:val="21"/>
              </w:rPr>
            </w:pPr>
            <w:r>
              <w:rPr>
                <w:rFonts w:hint="eastAsia" w:ascii="宋体" w:hAnsi="宋体"/>
                <w:b/>
                <w:szCs w:val="21"/>
              </w:rPr>
              <w:t>计算方法：</w:t>
            </w:r>
            <w:r>
              <w:rPr>
                <w:rFonts w:hint="eastAsia" w:ascii="宋体" w:hAnsi="宋体"/>
                <w:szCs w:val="21"/>
              </w:rPr>
              <w:t>价格分=(最低价/投标报价）*20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6" w:type="dxa"/>
            <w:vAlign w:val="center"/>
          </w:tcPr>
          <w:p>
            <w:pPr>
              <w:jc w:val="center"/>
              <w:rPr>
                <w:rFonts w:ascii="宋体" w:hAnsi="宋体"/>
                <w:b/>
                <w:szCs w:val="21"/>
              </w:rPr>
            </w:pPr>
            <w:r>
              <w:rPr>
                <w:rFonts w:ascii="宋体" w:hAnsi="宋体"/>
                <w:b/>
                <w:szCs w:val="21"/>
              </w:rPr>
              <w:t>2</w:t>
            </w:r>
          </w:p>
        </w:tc>
        <w:tc>
          <w:tcPr>
            <w:tcW w:w="3557" w:type="dxa"/>
            <w:gridSpan w:val="4"/>
            <w:vAlign w:val="center"/>
          </w:tcPr>
          <w:p>
            <w:pPr>
              <w:jc w:val="center"/>
              <w:rPr>
                <w:rFonts w:ascii="宋体" w:hAnsi="宋体"/>
                <w:b/>
                <w:szCs w:val="21"/>
              </w:rPr>
            </w:pPr>
            <w:r>
              <w:rPr>
                <w:rFonts w:hint="eastAsia" w:ascii="宋体" w:hAnsi="宋体"/>
                <w:b/>
                <w:szCs w:val="21"/>
              </w:rPr>
              <w:t>技术部分</w:t>
            </w:r>
          </w:p>
        </w:tc>
        <w:tc>
          <w:tcPr>
            <w:tcW w:w="5977" w:type="dxa"/>
            <w:vAlign w:val="center"/>
          </w:tcPr>
          <w:p>
            <w:pPr>
              <w:jc w:val="center"/>
              <w:rPr>
                <w:rFonts w:ascii="宋体" w:hAnsi="宋体"/>
                <w:b/>
                <w:szCs w:val="21"/>
              </w:rPr>
            </w:pPr>
            <w:r>
              <w:rPr>
                <w:rFonts w:hint="eastAsia" w:ascii="宋体" w:hAnsi="宋体"/>
                <w:b/>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6" w:type="dxa"/>
            <w:vMerge w:val="restart"/>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序号</w:t>
            </w:r>
          </w:p>
        </w:tc>
        <w:tc>
          <w:tcPr>
            <w:tcW w:w="1203" w:type="dxa"/>
            <w:vAlign w:val="center"/>
          </w:tcPr>
          <w:p>
            <w:pPr>
              <w:jc w:val="center"/>
              <w:rPr>
                <w:rFonts w:ascii="宋体" w:hAnsi="宋体"/>
                <w:szCs w:val="21"/>
              </w:rPr>
            </w:pPr>
            <w:r>
              <w:rPr>
                <w:rFonts w:hint="eastAsia" w:ascii="宋体" w:hAnsi="宋体"/>
                <w:szCs w:val="21"/>
              </w:rPr>
              <w:t>评分因素</w:t>
            </w:r>
          </w:p>
        </w:tc>
        <w:tc>
          <w:tcPr>
            <w:tcW w:w="699" w:type="dxa"/>
            <w:vAlign w:val="center"/>
          </w:tcPr>
          <w:p>
            <w:pPr>
              <w:jc w:val="center"/>
              <w:rPr>
                <w:rFonts w:ascii="宋体" w:hAnsi="宋体"/>
                <w:szCs w:val="21"/>
              </w:rPr>
            </w:pPr>
            <w:r>
              <w:rPr>
                <w:rFonts w:hint="eastAsia" w:ascii="宋体" w:hAnsi="宋体"/>
                <w:szCs w:val="21"/>
              </w:rPr>
              <w:t>权重</w:t>
            </w:r>
          </w:p>
        </w:tc>
        <w:tc>
          <w:tcPr>
            <w:tcW w:w="1059" w:type="dxa"/>
            <w:vAlign w:val="center"/>
          </w:tcPr>
          <w:p>
            <w:pPr>
              <w:jc w:val="center"/>
              <w:rPr>
                <w:rFonts w:ascii="宋体" w:hAnsi="宋体"/>
                <w:szCs w:val="21"/>
              </w:rPr>
            </w:pPr>
            <w:r>
              <w:rPr>
                <w:rFonts w:hint="eastAsia" w:ascii="宋体" w:hAnsi="宋体"/>
                <w:szCs w:val="21"/>
              </w:rPr>
              <w:t>评分方式</w:t>
            </w:r>
          </w:p>
        </w:tc>
        <w:tc>
          <w:tcPr>
            <w:tcW w:w="5977" w:type="dxa"/>
            <w:vAlign w:val="center"/>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1</w:t>
            </w:r>
          </w:p>
        </w:tc>
        <w:tc>
          <w:tcPr>
            <w:tcW w:w="1203" w:type="dxa"/>
            <w:vAlign w:val="center"/>
          </w:tcPr>
          <w:p>
            <w:pPr>
              <w:widowControl/>
              <w:spacing w:line="440" w:lineRule="exact"/>
              <w:jc w:val="center"/>
              <w:rPr>
                <w:rFonts w:ascii="宋体" w:hAnsi="宋体" w:cs="宋体"/>
                <w:kern w:val="0"/>
                <w:szCs w:val="21"/>
              </w:rPr>
            </w:pPr>
            <w:r>
              <w:rPr>
                <w:rFonts w:hint="eastAsia" w:ascii="宋体" w:hAnsi="宋体" w:cs="宋体"/>
                <w:szCs w:val="21"/>
              </w:rPr>
              <w:t>项目实施方案</w:t>
            </w:r>
          </w:p>
        </w:tc>
        <w:tc>
          <w:tcPr>
            <w:tcW w:w="699" w:type="dxa"/>
            <w:vAlign w:val="center"/>
          </w:tcPr>
          <w:p>
            <w:pPr>
              <w:widowControl/>
              <w:spacing w:line="440" w:lineRule="exact"/>
              <w:jc w:val="center"/>
              <w:rPr>
                <w:rFonts w:ascii="宋体" w:hAnsi="宋体" w:cs="宋体"/>
                <w:kern w:val="0"/>
                <w:szCs w:val="21"/>
              </w:rPr>
            </w:pPr>
            <w:r>
              <w:rPr>
                <w:rFonts w:hint="eastAsia" w:ascii="宋体" w:hAnsi="宋体" w:cs="宋体"/>
                <w:kern w:val="0"/>
                <w:szCs w:val="21"/>
              </w:rPr>
              <w:t>25</w:t>
            </w:r>
          </w:p>
        </w:tc>
        <w:tc>
          <w:tcPr>
            <w:tcW w:w="1059" w:type="dxa"/>
            <w:vAlign w:val="center"/>
          </w:tcPr>
          <w:p>
            <w:pPr>
              <w:jc w:val="center"/>
              <w:rPr>
                <w:rFonts w:ascii="宋体" w:hAnsi="宋体"/>
                <w:szCs w:val="21"/>
              </w:rPr>
            </w:pPr>
            <w:r>
              <w:rPr>
                <w:rFonts w:hint="eastAsia" w:ascii="宋体" w:hAnsi="宋体" w:cs="宋体"/>
                <w:szCs w:val="21"/>
              </w:rPr>
              <w:t>专家打分</w:t>
            </w:r>
          </w:p>
        </w:tc>
        <w:tc>
          <w:tcPr>
            <w:tcW w:w="5977" w:type="dxa"/>
            <w:vAlign w:val="center"/>
          </w:tcPr>
          <w:p>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pPr>
              <w:rPr>
                <w:rFonts w:ascii="宋体" w:hAnsi="宋体" w:cs="宋体"/>
                <w:kern w:val="0"/>
                <w:szCs w:val="21"/>
              </w:rPr>
            </w:pPr>
            <w:r>
              <w:rPr>
                <w:rFonts w:hint="eastAsia" w:ascii="宋体" w:hAnsi="宋体" w:cs="宋体"/>
                <w:kern w:val="0"/>
                <w:szCs w:val="21"/>
              </w:rPr>
              <w:t>对本项目需求内容的理解，并根据项目特点制定实施方案。</w:t>
            </w:r>
          </w:p>
          <w:p>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pPr>
              <w:widowControl/>
              <w:spacing w:line="440" w:lineRule="exact"/>
              <w:textAlignment w:val="top"/>
              <w:rPr>
                <w:rFonts w:ascii="宋体" w:hAnsi="宋体"/>
                <w:szCs w:val="21"/>
              </w:rPr>
            </w:pPr>
            <w:r>
              <w:rPr>
                <w:rFonts w:hint="eastAsia" w:ascii="宋体" w:hAnsi="宋体" w:cs="宋体"/>
                <w:kern w:val="0"/>
                <w:szCs w:val="21"/>
              </w:rPr>
              <w:t>对项目采购服务需求有清晰的理解，制定的实施方案有针对性且具体，能够全面保证各院区</w:t>
            </w:r>
            <w:r>
              <w:rPr>
                <w:rFonts w:hint="eastAsia" w:ascii="宋体" w:hAnsi="宋体"/>
                <w:szCs w:val="21"/>
              </w:rPr>
              <w:t>除四害消杀、白蚁防治效果的，评价为优，得25分；</w:t>
            </w:r>
          </w:p>
          <w:p>
            <w:pPr>
              <w:widowControl/>
              <w:spacing w:line="440" w:lineRule="exact"/>
              <w:textAlignment w:val="top"/>
              <w:rPr>
                <w:rFonts w:ascii="宋体" w:hAnsi="宋体"/>
                <w:szCs w:val="21"/>
              </w:rPr>
            </w:pPr>
            <w:r>
              <w:rPr>
                <w:rFonts w:hint="eastAsia" w:ascii="宋体" w:hAnsi="宋体"/>
                <w:szCs w:val="21"/>
              </w:rPr>
              <w:t>对需求有清晰理解，实施方案有针对性且具体，能够较好保证服务质量效果的，评价为良，得15分；</w:t>
            </w:r>
          </w:p>
          <w:p>
            <w:pPr>
              <w:widowControl/>
              <w:spacing w:line="440" w:lineRule="exact"/>
              <w:textAlignment w:val="top"/>
              <w:rPr>
                <w:rFonts w:ascii="宋体" w:hAnsi="宋体"/>
                <w:szCs w:val="21"/>
              </w:rPr>
            </w:pPr>
            <w:r>
              <w:rPr>
                <w:rFonts w:hint="eastAsia" w:ascii="宋体" w:hAnsi="宋体"/>
                <w:szCs w:val="21"/>
              </w:rPr>
              <w:t>对需求有清晰理解，实施方案有针对性且较为具体，基本能满足服务质量要求的，评价为中，得5分。</w:t>
            </w:r>
          </w:p>
          <w:p>
            <w:pPr>
              <w:widowControl/>
              <w:spacing w:line="440" w:lineRule="exact"/>
              <w:textAlignment w:val="top"/>
              <w:rPr>
                <w:rFonts w:ascii="宋体" w:hAnsi="宋体" w:cs="宋体"/>
                <w:szCs w:val="21"/>
              </w:rPr>
            </w:pPr>
            <w:r>
              <w:rPr>
                <w:rFonts w:hint="eastAsia" w:ascii="宋体" w:hAnsi="宋体"/>
                <w:szCs w:val="21"/>
              </w:rPr>
              <w:t>其它情况评价为差，不得分。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2</w:t>
            </w:r>
          </w:p>
        </w:tc>
        <w:tc>
          <w:tcPr>
            <w:tcW w:w="1203" w:type="dxa"/>
            <w:vAlign w:val="center"/>
          </w:tcPr>
          <w:p>
            <w:pPr>
              <w:pStyle w:val="53"/>
              <w:spacing w:line="440" w:lineRule="exact"/>
              <w:ind w:firstLine="0"/>
              <w:jc w:val="center"/>
              <w:rPr>
                <w:sz w:val="21"/>
                <w:szCs w:val="21"/>
              </w:rPr>
            </w:pPr>
            <w:r>
              <w:rPr>
                <w:rFonts w:hint="eastAsia"/>
                <w:szCs w:val="21"/>
              </w:rPr>
              <w:t>服务条款偏离情况</w:t>
            </w:r>
          </w:p>
        </w:tc>
        <w:tc>
          <w:tcPr>
            <w:tcW w:w="699" w:type="dxa"/>
            <w:vAlign w:val="center"/>
          </w:tcPr>
          <w:p>
            <w:pPr>
              <w:widowControl/>
              <w:spacing w:line="440" w:lineRule="exact"/>
              <w:jc w:val="center"/>
              <w:rPr>
                <w:rFonts w:ascii="宋体" w:hAnsi="宋体" w:cs="宋体"/>
                <w:kern w:val="0"/>
                <w:szCs w:val="21"/>
              </w:rPr>
            </w:pPr>
            <w:r>
              <w:rPr>
                <w:rFonts w:hint="eastAsia" w:ascii="宋体" w:hAnsi="宋体" w:cs="宋体"/>
                <w:kern w:val="0"/>
                <w:szCs w:val="21"/>
              </w:rPr>
              <w:t>15</w:t>
            </w:r>
          </w:p>
        </w:tc>
        <w:tc>
          <w:tcPr>
            <w:tcW w:w="1059" w:type="dxa"/>
            <w:vAlign w:val="center"/>
          </w:tcPr>
          <w:p>
            <w:pPr>
              <w:widowControl/>
              <w:spacing w:line="440" w:lineRule="exact"/>
              <w:textAlignment w:val="top"/>
              <w:rPr>
                <w:rFonts w:ascii="宋体" w:hAnsi="宋体" w:cs="宋体"/>
                <w:szCs w:val="21"/>
              </w:rPr>
            </w:pPr>
            <w:r>
              <w:rPr>
                <w:rFonts w:hint="eastAsia" w:ascii="宋体" w:hAnsi="宋体" w:cs="宋体"/>
                <w:szCs w:val="21"/>
              </w:rPr>
              <w:t>专家打分</w:t>
            </w:r>
          </w:p>
        </w:tc>
        <w:tc>
          <w:tcPr>
            <w:tcW w:w="5977" w:type="dxa"/>
            <w:vAlign w:val="center"/>
          </w:tcPr>
          <w:p>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pPr>
              <w:widowControl/>
              <w:spacing w:line="440" w:lineRule="exact"/>
              <w:textAlignment w:val="top"/>
              <w:rPr>
                <w:rFonts w:ascii="宋体" w:hAnsi="宋体"/>
                <w:szCs w:val="21"/>
              </w:rPr>
            </w:pPr>
            <w:r>
              <w:rPr>
                <w:rFonts w:hint="eastAsia" w:ascii="宋体" w:hAnsi="宋体"/>
                <w:szCs w:val="21"/>
              </w:rPr>
              <w:t>投标人应如实填写《服务条款偏离表》，评审委员会根据服务要求响应情况进行打分，服务要求每1项负偏离扣1分，扣完为止。</w:t>
            </w:r>
          </w:p>
          <w:p>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pPr>
              <w:widowControl/>
              <w:spacing w:line="440" w:lineRule="exact"/>
              <w:textAlignment w:val="top"/>
              <w:rPr>
                <w:rFonts w:ascii="宋体" w:hAnsi="宋体" w:cs="宋体"/>
                <w:szCs w:val="21"/>
              </w:rPr>
            </w:pPr>
            <w:r>
              <w:rPr>
                <w:rFonts w:hint="eastAsia" w:ascii="宋体" w:hAnsi="宋体" w:cs="宋体"/>
                <w:szCs w:val="21"/>
              </w:rPr>
              <w:t>投标人须按照招标文件要求提供《服务条款偏离表》。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3</w:t>
            </w:r>
          </w:p>
        </w:tc>
        <w:tc>
          <w:tcPr>
            <w:tcW w:w="1203" w:type="dxa"/>
            <w:vAlign w:val="center"/>
          </w:tcPr>
          <w:p>
            <w:pPr>
              <w:rPr>
                <w:rFonts w:ascii="宋体" w:hAnsi="宋体"/>
                <w:szCs w:val="21"/>
              </w:rPr>
            </w:pPr>
            <w:r>
              <w:rPr>
                <w:rFonts w:hint="eastAsia" w:ascii="宋体" w:hAnsi="宋体" w:cs="宋体"/>
                <w:kern w:val="0"/>
                <w:szCs w:val="21"/>
              </w:rPr>
              <w:t>拟安排的项目主要团队成员情况</w:t>
            </w:r>
          </w:p>
        </w:tc>
        <w:tc>
          <w:tcPr>
            <w:tcW w:w="699" w:type="dxa"/>
            <w:vAlign w:val="center"/>
          </w:tcPr>
          <w:p>
            <w:pPr>
              <w:pStyle w:val="8"/>
              <w:jc w:val="center"/>
            </w:pPr>
            <w:r>
              <w:rPr>
                <w:rFonts w:hint="eastAsia" w:ascii="宋体" w:hAnsi="宋体"/>
                <w:sz w:val="21"/>
                <w:szCs w:val="21"/>
              </w:rPr>
              <w:t>10</w:t>
            </w:r>
          </w:p>
        </w:tc>
        <w:tc>
          <w:tcPr>
            <w:tcW w:w="1059" w:type="dxa"/>
            <w:vAlign w:val="center"/>
          </w:tcPr>
          <w:p>
            <w:pPr>
              <w:jc w:val="center"/>
              <w:rPr>
                <w:rFonts w:ascii="宋体" w:hAnsi="宋体"/>
                <w:szCs w:val="21"/>
              </w:rPr>
            </w:pPr>
            <w:r>
              <w:rPr>
                <w:rFonts w:hint="eastAsia" w:ascii="宋体" w:hAnsi="宋体"/>
                <w:szCs w:val="21"/>
              </w:rPr>
              <w:t>专家评分</w:t>
            </w:r>
          </w:p>
        </w:tc>
        <w:tc>
          <w:tcPr>
            <w:tcW w:w="5977" w:type="dxa"/>
            <w:vAlign w:val="center"/>
          </w:tcPr>
          <w:p>
            <w:pPr>
              <w:widowControl/>
              <w:spacing w:after="78"/>
              <w:jc w:val="left"/>
              <w:rPr>
                <w:rFonts w:ascii="宋体" w:hAnsi="宋体" w:cs="宋体"/>
                <w:kern w:val="0"/>
                <w:szCs w:val="21"/>
              </w:rPr>
            </w:pPr>
            <w:r>
              <w:rPr>
                <w:rFonts w:hint="eastAsia" w:ascii="宋体" w:hAnsi="宋体" w:cs="宋体"/>
                <w:kern w:val="0"/>
                <w:szCs w:val="21"/>
              </w:rPr>
              <w:t>评审内容：</w:t>
            </w:r>
          </w:p>
          <w:p>
            <w:pPr>
              <w:spacing w:after="60"/>
              <w:rPr>
                <w:rFonts w:ascii="宋体" w:hAnsi="宋体" w:cs="宋体"/>
                <w:szCs w:val="21"/>
              </w:rPr>
            </w:pPr>
            <w:r>
              <w:rPr>
                <w:rFonts w:hint="eastAsia" w:ascii="宋体" w:hAnsi="宋体" w:cs="宋体"/>
                <w:szCs w:val="21"/>
              </w:rPr>
              <w:t>安排人数：</w:t>
            </w:r>
          </w:p>
          <w:p>
            <w:pPr>
              <w:spacing w:after="60"/>
              <w:rPr>
                <w:rFonts w:ascii="宋体" w:hAnsi="宋体"/>
                <w:szCs w:val="21"/>
              </w:rPr>
            </w:pPr>
            <w:r>
              <w:rPr>
                <w:rFonts w:hint="eastAsia" w:ascii="宋体" w:hAnsi="宋体" w:cs="宋体"/>
                <w:szCs w:val="21"/>
              </w:rPr>
              <w:t>安排</w:t>
            </w:r>
            <w:r>
              <w:rPr>
                <w:rFonts w:hint="eastAsia" w:ascii="宋体" w:hAnsi="宋体"/>
                <w:szCs w:val="21"/>
              </w:rPr>
              <w:t>3人以下0分，安排3人及以上6分。</w:t>
            </w:r>
          </w:p>
          <w:p>
            <w:pPr>
              <w:spacing w:after="60"/>
              <w:rPr>
                <w:rFonts w:ascii="宋体" w:hAnsi="宋体"/>
                <w:szCs w:val="21"/>
              </w:rPr>
            </w:pPr>
            <w:r>
              <w:rPr>
                <w:rFonts w:hint="eastAsia" w:ascii="宋体" w:hAnsi="宋体"/>
                <w:szCs w:val="21"/>
              </w:rPr>
              <w:t>其中团队中持有：</w:t>
            </w:r>
          </w:p>
          <w:p>
            <w:pPr>
              <w:pStyle w:val="36"/>
              <w:numPr>
                <w:ilvl w:val="0"/>
                <w:numId w:val="4"/>
              </w:numPr>
              <w:spacing w:after="60"/>
              <w:ind w:firstLineChars="0"/>
              <w:rPr>
                <w:rFonts w:ascii="宋体" w:hAnsi="宋体"/>
                <w:szCs w:val="21"/>
              </w:rPr>
            </w:pPr>
            <w:r>
              <w:rPr>
                <w:rFonts w:hint="eastAsia" w:ascii="宋体" w:hAnsi="宋体"/>
                <w:szCs w:val="21"/>
              </w:rPr>
              <w:t>白蚁防治个人高级资质证书及上岗证，加2分；</w:t>
            </w:r>
          </w:p>
          <w:p>
            <w:pPr>
              <w:pStyle w:val="36"/>
              <w:numPr>
                <w:ilvl w:val="0"/>
                <w:numId w:val="4"/>
              </w:numPr>
              <w:spacing w:after="60"/>
              <w:ind w:firstLineChars="0"/>
              <w:rPr>
                <w:rFonts w:ascii="宋体" w:hAnsi="宋体"/>
                <w:szCs w:val="21"/>
              </w:rPr>
            </w:pPr>
            <w:r>
              <w:rPr>
                <w:rFonts w:hint="eastAsia" w:ascii="宋体" w:hAnsi="宋体"/>
                <w:szCs w:val="21"/>
              </w:rPr>
              <w:t>有害生物防治个人高级资质证书及上岗证，加2分；</w:t>
            </w:r>
          </w:p>
          <w:p>
            <w:pPr>
              <w:widowControl/>
              <w:spacing w:after="78"/>
              <w:jc w:val="left"/>
              <w:rPr>
                <w:rFonts w:ascii="宋体" w:hAnsi="宋体"/>
                <w:szCs w:val="21"/>
              </w:rPr>
            </w:pPr>
            <w:r>
              <w:rPr>
                <w:rFonts w:hint="eastAsia" w:ascii="宋体" w:hAnsi="宋体"/>
                <w:szCs w:val="21"/>
              </w:rPr>
              <w:t>评分标准：</w:t>
            </w:r>
          </w:p>
          <w:p>
            <w:pPr>
              <w:spacing w:after="60"/>
              <w:rPr>
                <w:rFonts w:ascii="宋体" w:hAnsi="宋体"/>
                <w:szCs w:val="21"/>
              </w:rPr>
            </w:pPr>
            <w:r>
              <w:rPr>
                <w:rFonts w:hint="eastAsia" w:ascii="宋体" w:hAnsi="宋体"/>
                <w:szCs w:val="21"/>
              </w:rPr>
              <w:t>（1）提供相关人员相关证书扫描件；</w:t>
            </w:r>
          </w:p>
          <w:p>
            <w:r>
              <w:rPr>
                <w:rFonts w:hint="eastAsia" w:ascii="宋体" w:hAnsi="宋体"/>
                <w:szCs w:val="21"/>
              </w:rPr>
              <w:t>（2）提供投标人为团队成员缴纳的开标日前三个月载有社保部门公章的社保缴交证明材料（如开标日上一个月的社保材料因社保部门原因暂时无法取得，则可以往前顺延一</w:t>
            </w:r>
            <w:r>
              <w:rPr>
                <w:rFonts w:hint="eastAsia" w:ascii="宋体" w:hAnsi="宋体" w:cs="宋体"/>
                <w:szCs w:val="21"/>
              </w:rPr>
              <w:t>个月，</w:t>
            </w:r>
            <w:r>
              <w:rPr>
                <w:rFonts w:hint="eastAsia" w:ascii="宋体" w:hAnsi="宋体" w:cs="宋体"/>
                <w:kern w:val="0"/>
                <w:szCs w:val="21"/>
              </w:rPr>
              <w:t>公司成立不足3月的，提供自成立以来相关人员的社保证明</w:t>
            </w:r>
            <w:r>
              <w:rPr>
                <w:rFonts w:hint="eastAsia" w:ascii="宋体" w:hAnsi="宋体" w:cs="宋体"/>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6" w:type="dxa"/>
            <w:vAlign w:val="center"/>
          </w:tcPr>
          <w:p>
            <w:pPr>
              <w:jc w:val="center"/>
              <w:rPr>
                <w:rFonts w:ascii="宋体" w:hAnsi="宋体"/>
                <w:b/>
                <w:szCs w:val="21"/>
              </w:rPr>
            </w:pPr>
            <w:r>
              <w:rPr>
                <w:rFonts w:hint="eastAsia" w:ascii="宋体" w:hAnsi="宋体"/>
                <w:b/>
                <w:szCs w:val="21"/>
              </w:rPr>
              <w:t>3</w:t>
            </w:r>
          </w:p>
        </w:tc>
        <w:tc>
          <w:tcPr>
            <w:tcW w:w="3557" w:type="dxa"/>
            <w:gridSpan w:val="4"/>
            <w:vAlign w:val="center"/>
          </w:tcPr>
          <w:p>
            <w:pPr>
              <w:jc w:val="center"/>
              <w:rPr>
                <w:rFonts w:ascii="宋体" w:hAnsi="宋体"/>
                <w:b/>
                <w:szCs w:val="21"/>
              </w:rPr>
            </w:pPr>
            <w:r>
              <w:rPr>
                <w:rFonts w:hint="eastAsia" w:ascii="宋体" w:hAnsi="宋体" w:cs="宋体"/>
                <w:b/>
                <w:kern w:val="0"/>
                <w:szCs w:val="21"/>
              </w:rPr>
              <w:t>商务部分</w:t>
            </w:r>
          </w:p>
        </w:tc>
        <w:tc>
          <w:tcPr>
            <w:tcW w:w="5977" w:type="dxa"/>
            <w:vAlign w:val="center"/>
          </w:tcPr>
          <w:p>
            <w:pPr>
              <w:jc w:val="center"/>
              <w:rPr>
                <w:rFonts w:ascii="宋体" w:hAnsi="宋体"/>
                <w:b/>
                <w:szCs w:val="21"/>
              </w:rPr>
            </w:pPr>
            <w:r>
              <w:rPr>
                <w:rFonts w:hint="eastAsia" w:ascii="宋体" w:hAnsi="宋体"/>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66" w:type="dxa"/>
            <w:vMerge w:val="restart"/>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序号</w:t>
            </w:r>
          </w:p>
        </w:tc>
        <w:tc>
          <w:tcPr>
            <w:tcW w:w="1203" w:type="dxa"/>
            <w:vAlign w:val="center"/>
          </w:tcPr>
          <w:p>
            <w:pPr>
              <w:jc w:val="center"/>
              <w:rPr>
                <w:rFonts w:ascii="宋体" w:hAnsi="宋体"/>
                <w:szCs w:val="21"/>
              </w:rPr>
            </w:pPr>
            <w:r>
              <w:rPr>
                <w:rFonts w:hint="eastAsia" w:ascii="宋体" w:hAnsi="宋体"/>
                <w:szCs w:val="21"/>
              </w:rPr>
              <w:t>评分因素</w:t>
            </w:r>
          </w:p>
        </w:tc>
        <w:tc>
          <w:tcPr>
            <w:tcW w:w="699" w:type="dxa"/>
            <w:vAlign w:val="center"/>
          </w:tcPr>
          <w:p>
            <w:pPr>
              <w:jc w:val="center"/>
              <w:rPr>
                <w:rFonts w:ascii="宋体" w:hAnsi="宋体"/>
                <w:szCs w:val="21"/>
              </w:rPr>
            </w:pPr>
            <w:r>
              <w:rPr>
                <w:rFonts w:hint="eastAsia" w:ascii="宋体" w:hAnsi="宋体"/>
                <w:szCs w:val="21"/>
              </w:rPr>
              <w:t>权重</w:t>
            </w:r>
          </w:p>
        </w:tc>
        <w:tc>
          <w:tcPr>
            <w:tcW w:w="1059" w:type="dxa"/>
            <w:vAlign w:val="center"/>
          </w:tcPr>
          <w:p>
            <w:pPr>
              <w:jc w:val="center"/>
              <w:rPr>
                <w:rFonts w:ascii="宋体" w:hAnsi="宋体"/>
                <w:szCs w:val="21"/>
              </w:rPr>
            </w:pPr>
            <w:r>
              <w:rPr>
                <w:rFonts w:hint="eastAsia" w:ascii="宋体" w:hAnsi="宋体"/>
                <w:szCs w:val="21"/>
              </w:rPr>
              <w:t>评分方式</w:t>
            </w:r>
          </w:p>
        </w:tc>
        <w:tc>
          <w:tcPr>
            <w:tcW w:w="5977" w:type="dxa"/>
            <w:vAlign w:val="center"/>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exac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1</w:t>
            </w:r>
          </w:p>
        </w:tc>
        <w:tc>
          <w:tcPr>
            <w:tcW w:w="1203" w:type="dxa"/>
            <w:vAlign w:val="center"/>
          </w:tcPr>
          <w:p>
            <w:pPr>
              <w:jc w:val="center"/>
              <w:rPr>
                <w:rFonts w:ascii="宋体" w:hAnsi="宋体" w:cs="宋体"/>
                <w:color w:val="000000"/>
                <w:kern w:val="0"/>
                <w:szCs w:val="21"/>
              </w:rPr>
            </w:pPr>
            <w:r>
              <w:rPr>
                <w:rFonts w:hint="eastAsia" w:ascii="宋体" w:hAnsi="宋体" w:cs="宋体"/>
                <w:kern w:val="0"/>
                <w:szCs w:val="21"/>
              </w:rPr>
              <w:t>投标人资质情况</w:t>
            </w:r>
          </w:p>
        </w:tc>
        <w:tc>
          <w:tcPr>
            <w:tcW w:w="699" w:type="dxa"/>
            <w:vAlign w:val="center"/>
          </w:tcPr>
          <w:p>
            <w:pPr>
              <w:pStyle w:val="13"/>
              <w:pBdr>
                <w:bottom w:val="none" w:color="auto" w:sz="0" w:space="0"/>
              </w:pBdr>
              <w:rPr>
                <w:rFonts w:ascii="宋体" w:hAnsi="宋体"/>
                <w:sz w:val="21"/>
                <w:szCs w:val="21"/>
              </w:rPr>
            </w:pPr>
            <w:r>
              <w:rPr>
                <w:rFonts w:hint="eastAsia" w:ascii="宋体" w:hAnsi="宋体"/>
                <w:sz w:val="21"/>
                <w:szCs w:val="21"/>
              </w:rPr>
              <w:t>10</w:t>
            </w:r>
          </w:p>
        </w:tc>
        <w:tc>
          <w:tcPr>
            <w:tcW w:w="1059" w:type="dxa"/>
            <w:vAlign w:val="center"/>
          </w:tcPr>
          <w:p>
            <w:pPr>
              <w:shd w:val="clear" w:color="auto" w:fill="FFFFFF"/>
              <w:tabs>
                <w:tab w:val="left" w:pos="426"/>
              </w:tabs>
              <w:adjustRightInd w:val="0"/>
              <w:snapToGrid w:val="0"/>
              <w:jc w:val="center"/>
              <w:rPr>
                <w:szCs w:val="21"/>
              </w:rPr>
            </w:pPr>
            <w:r>
              <w:rPr>
                <w:rFonts w:hint="eastAsia" w:ascii="宋体" w:hAnsi="宋体" w:cs="仿宋"/>
                <w:szCs w:val="21"/>
              </w:rPr>
              <w:t>专家打分</w:t>
            </w:r>
          </w:p>
        </w:tc>
        <w:tc>
          <w:tcPr>
            <w:tcW w:w="5977" w:type="dxa"/>
            <w:vAlign w:val="center"/>
          </w:tcPr>
          <w:p>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pPr>
              <w:widowControl/>
              <w:snapToGrid w:val="0"/>
              <w:spacing w:line="360" w:lineRule="exact"/>
              <w:rPr>
                <w:rFonts w:ascii="宋体" w:hAnsi="宋体" w:cs="宋体"/>
                <w:kern w:val="0"/>
                <w:szCs w:val="21"/>
              </w:rPr>
            </w:pPr>
            <w:r>
              <w:rPr>
                <w:rFonts w:hint="eastAsia" w:ascii="宋体" w:hAnsi="宋体" w:cs="宋体"/>
                <w:kern w:val="0"/>
                <w:szCs w:val="21"/>
              </w:rPr>
              <w:t>投标人具有有害生物防治（制）相关行业协会颁发的有害生物防治（制）服务机构资质等级证书或除虫灭鼠服务资格等级证书或有害生物防治（制）服务机构服务能力等级证书，甲级（A级）得10分，乙级（B级）得 5分，其他不得分。</w:t>
            </w:r>
          </w:p>
          <w:p>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pPr>
              <w:rPr>
                <w:rFonts w:ascii="宋体" w:hAnsi="宋体" w:cs="宋体"/>
                <w:kern w:val="0"/>
                <w:sz w:val="22"/>
              </w:rPr>
            </w:pPr>
            <w:r>
              <w:rPr>
                <w:rFonts w:hint="eastAsia" w:ascii="宋体" w:hAnsi="宋体" w:cs="宋体"/>
                <w:kern w:val="0"/>
                <w:szCs w:val="21"/>
              </w:rPr>
              <w:t>提供有效证书扫描件，未按要求提供相关材料或不清晰导致无法判断内容的不得分，原件备查。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exac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2</w:t>
            </w:r>
          </w:p>
        </w:tc>
        <w:tc>
          <w:tcPr>
            <w:tcW w:w="1203" w:type="dxa"/>
            <w:vAlign w:val="center"/>
          </w:tcPr>
          <w:p>
            <w:pPr>
              <w:jc w:val="center"/>
              <w:rPr>
                <w:rFonts w:ascii="宋体" w:hAnsi="宋体" w:cs="宋体"/>
                <w:bCs/>
                <w:kern w:val="0"/>
                <w:szCs w:val="21"/>
              </w:rPr>
            </w:pPr>
            <w:r>
              <w:rPr>
                <w:rFonts w:hint="eastAsia" w:ascii="宋体" w:hAnsi="宋体" w:cs="宋体"/>
                <w:szCs w:val="21"/>
              </w:rPr>
              <w:t>同类业绩</w:t>
            </w:r>
          </w:p>
        </w:tc>
        <w:tc>
          <w:tcPr>
            <w:tcW w:w="699" w:type="dxa"/>
            <w:vAlign w:val="center"/>
          </w:tcPr>
          <w:p>
            <w:pPr>
              <w:pStyle w:val="13"/>
              <w:pBdr>
                <w:bottom w:val="none" w:color="auto" w:sz="0" w:space="0"/>
              </w:pBdr>
              <w:rPr>
                <w:rFonts w:ascii="宋体" w:hAnsi="宋体"/>
                <w:sz w:val="21"/>
                <w:szCs w:val="21"/>
              </w:rPr>
            </w:pPr>
            <w:r>
              <w:rPr>
                <w:rFonts w:hint="eastAsia" w:ascii="宋体" w:hAnsi="宋体"/>
                <w:sz w:val="21"/>
                <w:szCs w:val="21"/>
              </w:rPr>
              <w:t>15</w:t>
            </w:r>
          </w:p>
        </w:tc>
        <w:tc>
          <w:tcPr>
            <w:tcW w:w="1059" w:type="dxa"/>
            <w:vAlign w:val="center"/>
          </w:tcPr>
          <w:p>
            <w:pPr>
              <w:shd w:val="clear" w:color="auto" w:fill="FFFFFF"/>
              <w:tabs>
                <w:tab w:val="left" w:pos="426"/>
              </w:tabs>
              <w:adjustRightInd w:val="0"/>
              <w:snapToGrid w:val="0"/>
              <w:jc w:val="center"/>
              <w:rPr>
                <w:szCs w:val="21"/>
              </w:rPr>
            </w:pPr>
            <w:r>
              <w:rPr>
                <w:rFonts w:hint="eastAsia" w:ascii="宋体" w:hAnsi="宋体" w:cs="仿宋"/>
                <w:szCs w:val="21"/>
              </w:rPr>
              <w:t>专家打分</w:t>
            </w:r>
          </w:p>
        </w:tc>
        <w:tc>
          <w:tcPr>
            <w:tcW w:w="5977" w:type="dxa"/>
            <w:vAlign w:val="center"/>
          </w:tcPr>
          <w:p>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pPr>
              <w:rPr>
                <w:rFonts w:ascii="宋体" w:hAnsi="宋体" w:cs="宋体"/>
                <w:szCs w:val="21"/>
              </w:rPr>
            </w:pPr>
            <w:r>
              <w:rPr>
                <w:rFonts w:hint="eastAsia" w:ascii="宋体" w:hAnsi="宋体" w:cs="宋体"/>
                <w:szCs w:val="21"/>
              </w:rPr>
              <w:t>投标人近三年（2021年1月至本项目投标截止日，以合同履约期为准），具有有害生物防制相关经验，每提供一项业绩得3分，最高得15分。</w:t>
            </w:r>
          </w:p>
          <w:p>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pPr>
              <w:rPr>
                <w:rFonts w:ascii="宋体" w:hAnsi="宋体" w:cs="宋体"/>
                <w:kern w:val="0"/>
                <w:sz w:val="22"/>
              </w:rPr>
            </w:pPr>
            <w:r>
              <w:rPr>
                <w:rFonts w:hint="eastAsia" w:ascii="宋体" w:hAnsi="宋体" w:cs="宋体"/>
                <w:szCs w:val="21"/>
              </w:rPr>
              <w:t>提供合同关键页扫描件及甲方出具的履约评标证明, 未按要求提供相关材料或扫描件不清晰导致无法识别的不计得分。同一项目续签合同的不重复计分。</w:t>
            </w:r>
            <w:r>
              <w:rPr>
                <w:rFonts w:hint="eastAsia" w:ascii="宋体" w:hAnsi="宋体" w:cs="宋体"/>
                <w:kern w:val="0"/>
                <w:szCs w:val="21"/>
                <w:lang w:bidi="ar"/>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exact"/>
        </w:trPr>
        <w:tc>
          <w:tcPr>
            <w:tcW w:w="666" w:type="dxa"/>
            <w:vMerge w:val="continue"/>
            <w:vAlign w:val="center"/>
          </w:tcPr>
          <w:p>
            <w:pPr>
              <w:jc w:val="center"/>
              <w:rPr>
                <w:rFonts w:ascii="宋体" w:hAnsi="宋体"/>
                <w:szCs w:val="21"/>
              </w:rPr>
            </w:pPr>
          </w:p>
        </w:tc>
        <w:tc>
          <w:tcPr>
            <w:tcW w:w="596" w:type="dxa"/>
            <w:vAlign w:val="center"/>
          </w:tcPr>
          <w:p>
            <w:pPr>
              <w:jc w:val="center"/>
              <w:rPr>
                <w:rFonts w:ascii="宋体" w:hAnsi="宋体"/>
                <w:szCs w:val="21"/>
              </w:rPr>
            </w:pPr>
            <w:r>
              <w:rPr>
                <w:rFonts w:hint="eastAsia" w:ascii="宋体" w:hAnsi="宋体"/>
                <w:szCs w:val="21"/>
              </w:rPr>
              <w:t>3</w:t>
            </w:r>
          </w:p>
        </w:tc>
        <w:tc>
          <w:tcPr>
            <w:tcW w:w="1203" w:type="dxa"/>
            <w:vAlign w:val="center"/>
          </w:tcPr>
          <w:p>
            <w:pPr>
              <w:jc w:val="center"/>
              <w:rPr>
                <w:rFonts w:ascii="宋体" w:hAnsi="宋体" w:cs="宋体"/>
                <w:color w:val="000000"/>
                <w:kern w:val="0"/>
                <w:szCs w:val="21"/>
              </w:rPr>
            </w:pPr>
            <w:r>
              <w:rPr>
                <w:rFonts w:hint="eastAsia" w:ascii="宋体" w:hAnsi="宋体" w:cs="宋体"/>
                <w:bCs/>
                <w:kern w:val="0"/>
                <w:szCs w:val="21"/>
              </w:rPr>
              <w:t>投标人信用情况</w:t>
            </w:r>
          </w:p>
        </w:tc>
        <w:tc>
          <w:tcPr>
            <w:tcW w:w="699" w:type="dxa"/>
            <w:vAlign w:val="center"/>
          </w:tcPr>
          <w:p>
            <w:pPr>
              <w:spacing w:line="560" w:lineRule="exact"/>
              <w:jc w:val="center"/>
              <w:rPr>
                <w:rFonts w:ascii="宋体" w:hAnsi="宋体"/>
                <w:szCs w:val="21"/>
              </w:rPr>
            </w:pPr>
            <w:r>
              <w:rPr>
                <w:rFonts w:hint="eastAsia" w:ascii="宋体" w:hAnsi="宋体" w:cs="仿宋"/>
                <w:szCs w:val="21"/>
              </w:rPr>
              <w:t>5</w:t>
            </w:r>
          </w:p>
        </w:tc>
        <w:tc>
          <w:tcPr>
            <w:tcW w:w="1059" w:type="dxa"/>
            <w:vAlign w:val="center"/>
          </w:tcPr>
          <w:p>
            <w:pPr>
              <w:jc w:val="center"/>
              <w:rPr>
                <w:rFonts w:ascii="宋体" w:hAnsi="宋体"/>
                <w:szCs w:val="21"/>
              </w:rPr>
            </w:pPr>
            <w:r>
              <w:rPr>
                <w:rFonts w:hint="eastAsia" w:ascii="宋体" w:hAnsi="宋体"/>
                <w:szCs w:val="21"/>
              </w:rPr>
              <w:t>专家评分</w:t>
            </w:r>
          </w:p>
        </w:tc>
        <w:tc>
          <w:tcPr>
            <w:tcW w:w="5977" w:type="dxa"/>
          </w:tcPr>
          <w:p>
            <w:pPr>
              <w:widowControl/>
              <w:spacing w:after="78" w:line="460" w:lineRule="atLeast"/>
              <w:jc w:val="left"/>
              <w:rPr>
                <w:rFonts w:ascii="宋体" w:hAnsi="宋体" w:cs="宋体"/>
                <w:kern w:val="0"/>
                <w:szCs w:val="21"/>
              </w:rPr>
            </w:pPr>
            <w:r>
              <w:rPr>
                <w:rFonts w:hint="eastAsia" w:ascii="宋体" w:hAnsi="宋体" w:cs="宋体"/>
                <w:kern w:val="0"/>
                <w:szCs w:val="21"/>
              </w:rPr>
              <w:t>评审内容：</w:t>
            </w:r>
          </w:p>
          <w:p>
            <w:pPr>
              <w:rPr>
                <w:rFonts w:cs="宋体"/>
                <w:szCs w:val="21"/>
              </w:rPr>
            </w:pPr>
            <w:r>
              <w:rPr>
                <w:rFonts w:hint="eastAsia" w:cs="宋体"/>
                <w:szCs w:val="21"/>
              </w:rPr>
              <w:t>投标人近三年（2021年1月至本项目投标截止日）在采购人单位中无不良记录，履约信誉良好。符合要求得5分；不符合要求得0分。</w:t>
            </w:r>
          </w:p>
          <w:p>
            <w:pPr>
              <w:widowControl/>
              <w:spacing w:after="78" w:line="460" w:lineRule="atLeast"/>
              <w:jc w:val="left"/>
              <w:rPr>
                <w:rFonts w:ascii="宋体" w:hAnsi="宋体" w:cs="宋体"/>
                <w:kern w:val="0"/>
                <w:szCs w:val="21"/>
              </w:rPr>
            </w:pPr>
            <w:r>
              <w:rPr>
                <w:rFonts w:hint="eastAsia" w:ascii="宋体" w:hAnsi="宋体" w:cs="宋体"/>
                <w:kern w:val="0"/>
                <w:szCs w:val="21"/>
              </w:rPr>
              <w:t>评分标准：</w:t>
            </w:r>
          </w:p>
          <w:p>
            <w:r>
              <w:rPr>
                <w:rFonts w:hint="eastAsia" w:cs="宋体"/>
                <w:szCs w:val="21"/>
              </w:rPr>
              <w:t>提供承诺函（格式自拟），如投标人提供的承诺函内容虚假的，一经查实，后果由投标人自行承担。</w:t>
            </w:r>
          </w:p>
        </w:tc>
      </w:tr>
    </w:tbl>
    <w:p>
      <w:pPr>
        <w:spacing w:line="360" w:lineRule="exact"/>
        <w:jc w:val="left"/>
        <w:rPr>
          <w:rFonts w:ascii="宋体" w:hAnsi="宋体"/>
          <w:szCs w:val="21"/>
        </w:rPr>
      </w:pPr>
      <w:r>
        <w:rPr>
          <w:rFonts w:hint="eastAsia" w:ascii="宋体" w:hAnsi="宋体"/>
          <w:szCs w:val="21"/>
        </w:rPr>
        <w:t>4、评审方法：</w:t>
      </w:r>
    </w:p>
    <w:p>
      <w:pPr>
        <w:spacing w:line="360" w:lineRule="exact"/>
        <w:ind w:firstLine="105" w:firstLineChars="50"/>
        <w:jc w:val="left"/>
        <w:rPr>
          <w:rFonts w:ascii="宋体" w:hAnsi="宋体"/>
          <w:szCs w:val="21"/>
        </w:rPr>
      </w:pPr>
      <w:r>
        <w:rPr>
          <w:rFonts w:hint="eastAsia" w:ascii="宋体" w:hAnsi="宋体"/>
          <w:szCs w:val="21"/>
        </w:rPr>
        <w:t>（1）首先认定无效标：如果投标单位被认定为无效投标，该单位不列入评分；</w:t>
      </w:r>
    </w:p>
    <w:p>
      <w:pPr>
        <w:spacing w:line="360" w:lineRule="exact"/>
        <w:ind w:left="420" w:leftChars="50" w:hanging="315" w:hangingChars="150"/>
        <w:jc w:val="left"/>
        <w:rPr>
          <w:rFonts w:ascii="宋体" w:hAnsi="宋体"/>
          <w:szCs w:val="21"/>
        </w:rPr>
      </w:pPr>
      <w:r>
        <w:rPr>
          <w:rFonts w:hint="eastAsia" w:ascii="宋体" w:hAnsi="宋体"/>
          <w:szCs w:val="21"/>
        </w:rPr>
        <w:t>（2）由评审小组现场审定逐项进行评分。</w:t>
      </w:r>
    </w:p>
    <w:p>
      <w:pPr>
        <w:spacing w:line="360" w:lineRule="exact"/>
        <w:jc w:val="left"/>
        <w:rPr>
          <w:rFonts w:ascii="宋体" w:hAnsi="宋体"/>
          <w:szCs w:val="21"/>
        </w:rPr>
      </w:pPr>
      <w:r>
        <w:rPr>
          <w:rFonts w:hint="eastAsia" w:ascii="宋体" w:hAnsi="宋体"/>
          <w:szCs w:val="21"/>
        </w:rPr>
        <w:t>5、统计方法：</w:t>
      </w:r>
    </w:p>
    <w:p>
      <w:pPr>
        <w:spacing w:line="360" w:lineRule="exact"/>
        <w:ind w:firstLine="420"/>
        <w:jc w:val="left"/>
        <w:rPr>
          <w:rFonts w:ascii="宋体" w:hAnsi="宋体"/>
          <w:szCs w:val="21"/>
        </w:rPr>
      </w:pPr>
      <w:r>
        <w:rPr>
          <w:rFonts w:hint="eastAsia" w:ascii="宋体" w:hAnsi="宋体"/>
          <w:szCs w:val="21"/>
        </w:rPr>
        <w:t>根据评审人员对投标单位的进行评分，得分与价格分相加即为该单位的最终投标得分。</w:t>
      </w:r>
    </w:p>
    <w:p>
      <w:pPr>
        <w:spacing w:line="360" w:lineRule="exact"/>
        <w:jc w:val="left"/>
        <w:rPr>
          <w:rFonts w:ascii="宋体" w:hAnsi="宋体"/>
          <w:szCs w:val="21"/>
        </w:rPr>
      </w:pPr>
      <w:r>
        <w:rPr>
          <w:rFonts w:hint="eastAsia" w:ascii="宋体" w:hAnsi="宋体"/>
          <w:szCs w:val="21"/>
        </w:rPr>
        <w:t>6、评审、成交结果的公示：</w:t>
      </w:r>
    </w:p>
    <w:p>
      <w:pPr>
        <w:spacing w:line="360" w:lineRule="exact"/>
        <w:jc w:val="left"/>
        <w:rPr>
          <w:rFonts w:ascii="宋体" w:hAnsi="宋体"/>
          <w:szCs w:val="21"/>
        </w:rPr>
      </w:pPr>
      <w:r>
        <w:rPr>
          <w:rFonts w:hint="eastAsia" w:ascii="宋体" w:hAnsi="宋体"/>
          <w:szCs w:val="21"/>
        </w:rPr>
        <w:t>（1）本次项目评审结束后到确认成交结果前，医院将在</w:t>
      </w:r>
      <w:r>
        <w:rPr>
          <w:rFonts w:hint="eastAsia" w:ascii="宋体" w:hAnsi="宋体"/>
          <w:color w:val="FF0000"/>
          <w:szCs w:val="21"/>
        </w:rPr>
        <w:t>龙岗政府在线网站</w:t>
      </w:r>
      <w:r>
        <w:rPr>
          <w:rFonts w:hint="eastAsia" w:ascii="宋体" w:hAnsi="宋体"/>
          <w:szCs w:val="21"/>
        </w:rPr>
        <w:t>公示本次采购评审结果；</w:t>
      </w:r>
    </w:p>
    <w:p>
      <w:pPr>
        <w:spacing w:line="360" w:lineRule="exact"/>
        <w:jc w:val="left"/>
        <w:rPr>
          <w:rFonts w:ascii="宋体" w:hAnsi="宋体"/>
          <w:szCs w:val="21"/>
        </w:rPr>
      </w:pPr>
      <w:r>
        <w:rPr>
          <w:rFonts w:hint="eastAsia" w:ascii="宋体" w:hAnsi="宋体"/>
          <w:szCs w:val="21"/>
        </w:rPr>
        <w:t>（2）供应商如对公示的评审结果有质疑的，可向我院相关主管部门如实提交书面反馈意见。</w:t>
      </w:r>
    </w:p>
    <w:p>
      <w:pPr>
        <w:spacing w:line="360" w:lineRule="exact"/>
        <w:rPr>
          <w:rFonts w:ascii="宋体" w:hAnsi="宋体"/>
          <w:b/>
          <w:szCs w:val="21"/>
        </w:rPr>
      </w:pPr>
      <w:r>
        <w:rPr>
          <w:rFonts w:hint="eastAsia" w:ascii="宋体" w:hAnsi="宋体"/>
          <w:b/>
          <w:szCs w:val="21"/>
        </w:rPr>
        <w:t>七、成交产品确定：</w:t>
      </w:r>
    </w:p>
    <w:p>
      <w:pPr>
        <w:spacing w:line="360" w:lineRule="exact"/>
        <w:rPr>
          <w:rFonts w:ascii="宋体" w:hAnsi="宋体"/>
          <w:szCs w:val="21"/>
        </w:rPr>
      </w:pPr>
      <w:r>
        <w:rPr>
          <w:rFonts w:hint="eastAsia" w:ascii="宋体" w:hAnsi="宋体"/>
          <w:szCs w:val="21"/>
        </w:rPr>
        <w:t>根据评审人员评分的最终得分，最高分为中标（成交）产品，本院将按程序与中标单位签订购销合约。</w:t>
      </w:r>
    </w:p>
    <w:p>
      <w:pPr>
        <w:spacing w:line="360" w:lineRule="exact"/>
        <w:rPr>
          <w:rFonts w:ascii="宋体" w:hAnsi="宋体"/>
          <w:b/>
          <w:szCs w:val="21"/>
        </w:rPr>
      </w:pPr>
      <w:r>
        <w:rPr>
          <w:rFonts w:hint="eastAsia" w:ascii="宋体" w:hAnsi="宋体"/>
          <w:b/>
          <w:szCs w:val="21"/>
        </w:rPr>
        <w:t>八、开标评审的时间、地点：</w:t>
      </w:r>
    </w:p>
    <w:p>
      <w:pPr>
        <w:spacing w:line="360" w:lineRule="exact"/>
        <w:rPr>
          <w:rFonts w:ascii="宋体" w:hAnsi="宋体"/>
          <w:szCs w:val="21"/>
        </w:rPr>
      </w:pPr>
      <w:r>
        <w:rPr>
          <w:rFonts w:ascii="宋体" w:hAnsi="宋体"/>
          <w:szCs w:val="21"/>
        </w:rPr>
        <w:t>1</w:t>
      </w:r>
      <w:r>
        <w:rPr>
          <w:rFonts w:hint="eastAsia" w:ascii="宋体" w:hAnsi="宋体"/>
          <w:szCs w:val="21"/>
        </w:rPr>
        <w:t>、开标评审：</w:t>
      </w:r>
      <w:r>
        <w:rPr>
          <w:rFonts w:hint="eastAsia" w:ascii="宋体" w:hAnsi="宋体"/>
          <w:color w:val="FF0000"/>
          <w:szCs w:val="21"/>
        </w:rPr>
        <w:t>按规定时间提交采购文件，如需供应商到场则另行通知开标时间，如不需供应商到场则在评审结束后公示评审结果。</w:t>
      </w:r>
    </w:p>
    <w:p>
      <w:pPr>
        <w:spacing w:line="360" w:lineRule="exact"/>
        <w:rPr>
          <w:rFonts w:ascii="宋体" w:hAnsi="宋体"/>
          <w:szCs w:val="21"/>
        </w:rPr>
      </w:pPr>
      <w:r>
        <w:rPr>
          <w:rFonts w:hint="eastAsia" w:ascii="宋体" w:hAnsi="宋体"/>
          <w:szCs w:val="21"/>
        </w:rPr>
        <w:t>2、开标评审地点：北京中医药大学深圳医院（龙岗）行政楼3楼会议室323室。</w:t>
      </w:r>
    </w:p>
    <w:p>
      <w:pPr>
        <w:spacing w:line="360" w:lineRule="exact"/>
        <w:rPr>
          <w:rFonts w:ascii="宋体" w:hAnsi="宋体"/>
          <w:b/>
          <w:szCs w:val="21"/>
        </w:rPr>
      </w:pPr>
      <w:r>
        <w:rPr>
          <w:rFonts w:hint="eastAsia" w:ascii="宋体" w:hAnsi="宋体"/>
          <w:b/>
          <w:szCs w:val="21"/>
        </w:rPr>
        <w:t>九、投标文件递交的时间和地点：</w:t>
      </w:r>
    </w:p>
    <w:p>
      <w:pPr>
        <w:spacing w:line="360" w:lineRule="exact"/>
        <w:rPr>
          <w:rFonts w:ascii="宋体" w:hAnsi="宋体"/>
          <w:szCs w:val="21"/>
        </w:rPr>
      </w:pPr>
      <w:r>
        <w:rPr>
          <w:rFonts w:hint="eastAsia" w:ascii="宋体" w:hAnsi="宋体"/>
          <w:szCs w:val="21"/>
        </w:rPr>
        <w:t>1、递交投标文件的时间：采购公告规定时间内。</w:t>
      </w:r>
    </w:p>
    <w:p>
      <w:pPr>
        <w:spacing w:line="360" w:lineRule="exact"/>
        <w:rPr>
          <w:rFonts w:ascii="宋体" w:hAnsi="宋体"/>
          <w:i/>
          <w:color w:val="FF0000"/>
          <w:szCs w:val="21"/>
        </w:rPr>
      </w:pPr>
      <w:r>
        <w:rPr>
          <w:rFonts w:hint="eastAsia" w:ascii="宋体" w:hAnsi="宋体"/>
          <w:szCs w:val="21"/>
        </w:rPr>
        <w:t>2、递交投标文件的地点：</w:t>
      </w:r>
      <w:r>
        <w:rPr>
          <w:rFonts w:hint="eastAsia" w:ascii="宋体" w:hAnsi="宋体"/>
          <w:i/>
          <w:color w:val="FF0000"/>
          <w:szCs w:val="21"/>
        </w:rPr>
        <w:t>北京中医药大学深圳医院（龙岗）行政楼3楼招采办317室。</w:t>
      </w:r>
    </w:p>
    <w:p>
      <w:pPr>
        <w:spacing w:line="360" w:lineRule="exact"/>
        <w:rPr>
          <w:rFonts w:ascii="宋体" w:hAnsi="宋体"/>
          <w:b/>
          <w:bCs/>
          <w:kern w:val="44"/>
          <w:szCs w:val="21"/>
        </w:rPr>
      </w:pPr>
      <w:r>
        <w:rPr>
          <w:rFonts w:hint="eastAsia" w:ascii="宋体" w:hAnsi="宋体"/>
          <w:szCs w:val="21"/>
        </w:rPr>
        <w:t>3、文件的式样和签署：</w:t>
      </w:r>
      <w:r>
        <w:rPr>
          <w:rFonts w:hint="eastAsia" w:ascii="宋体" w:hAnsi="宋体"/>
          <w:kern w:val="44"/>
        </w:rPr>
        <w:t>投标文件</w:t>
      </w:r>
      <w:r>
        <w:rPr>
          <w:rFonts w:hint="eastAsia" w:ascii="宋体" w:hAnsi="宋体"/>
          <w:b/>
          <w:color w:val="FF0000"/>
          <w:kern w:val="44"/>
          <w:u w:val="single"/>
        </w:rPr>
        <w:t>正本1份，副本5份</w:t>
      </w:r>
      <w:r>
        <w:rPr>
          <w:rFonts w:hint="eastAsia" w:ascii="宋体" w:hAnsi="宋体"/>
          <w:kern w:val="44"/>
        </w:rPr>
        <w:t>一起</w:t>
      </w:r>
      <w:r>
        <w:rPr>
          <w:rFonts w:hint="eastAsia" w:ascii="宋体" w:hAnsi="宋体"/>
          <w:b/>
          <w:color w:val="FF0000"/>
          <w:kern w:val="44"/>
        </w:rPr>
        <w:t>同袋密封</w:t>
      </w:r>
      <w:r>
        <w:rPr>
          <w:rFonts w:hint="eastAsia" w:ascii="宋体" w:hAnsi="宋体"/>
          <w:kern w:val="44"/>
        </w:rPr>
        <w:t>递交，其中报价额外</w:t>
      </w:r>
      <w:r>
        <w:rPr>
          <w:rFonts w:hint="eastAsia" w:ascii="宋体" w:hAnsi="宋体"/>
          <w:b/>
          <w:bCs/>
          <w:color w:val="FF0000"/>
          <w:kern w:val="44"/>
          <w:u w:val="single"/>
        </w:rPr>
        <w:t>单独</w:t>
      </w:r>
      <w:r>
        <w:rPr>
          <w:rFonts w:hint="eastAsia" w:ascii="宋体" w:hAnsi="宋体"/>
          <w:kern w:val="44"/>
        </w:rPr>
        <w:t>密封一份，共</w:t>
      </w:r>
      <w:r>
        <w:rPr>
          <w:rFonts w:hint="eastAsia" w:ascii="宋体" w:hAnsi="宋体"/>
          <w:b/>
          <w:bCs/>
          <w:color w:val="FF0000"/>
          <w:kern w:val="44"/>
          <w:u w:val="single"/>
        </w:rPr>
        <w:t>2份密封。</w:t>
      </w:r>
    </w:p>
    <w:p>
      <w:pPr>
        <w:widowControl/>
        <w:jc w:val="left"/>
        <w:rPr>
          <w:sz w:val="32"/>
          <w:szCs w:val="32"/>
        </w:rPr>
      </w:pPr>
      <w:r>
        <w:rPr>
          <w:sz w:val="32"/>
          <w:szCs w:val="32"/>
        </w:rPr>
        <w:br w:type="page"/>
      </w:r>
    </w:p>
    <w:p>
      <w:pPr>
        <w:jc w:val="left"/>
        <w:rPr>
          <w:rStyle w:val="26"/>
          <w:rFonts w:ascii="宋体" w:hAnsi="宋体"/>
        </w:rPr>
      </w:pPr>
      <w:r>
        <w:rPr>
          <w:rStyle w:val="26"/>
          <w:rFonts w:hint="eastAsia" w:ascii="宋体" w:hAnsi="宋体"/>
        </w:rPr>
        <w:t>第三章、采购需求、商务条款</w:t>
      </w:r>
    </w:p>
    <w:p>
      <w:pPr>
        <w:tabs>
          <w:tab w:val="left" w:pos="2160"/>
          <w:tab w:val="left" w:pos="4725"/>
          <w:tab w:val="left" w:pos="5775"/>
        </w:tabs>
        <w:rPr>
          <w:rFonts w:ascii="宋体" w:hAnsi="宋体"/>
          <w:b/>
          <w:bCs/>
          <w:szCs w:val="21"/>
        </w:rPr>
      </w:pPr>
      <w:r>
        <w:rPr>
          <w:rFonts w:hint="eastAsia" w:ascii="宋体" w:hAnsi="宋体"/>
          <w:b/>
          <w:bCs/>
          <w:szCs w:val="21"/>
        </w:rPr>
        <w:t>第一部分：需求清单</w:t>
      </w:r>
    </w:p>
    <w:tbl>
      <w:tblPr>
        <w:tblStyle w:val="17"/>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项目名称</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tblPrEx>
          <w:tblCellMar>
            <w:top w:w="15" w:type="dxa"/>
            <w:left w:w="15" w:type="dxa"/>
            <w:bottom w:w="15" w:type="dxa"/>
            <w:right w:w="15" w:type="dxa"/>
          </w:tblCellMar>
        </w:tblPrEx>
        <w:trPr>
          <w:trHeight w:val="595"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ascii="宋体" w:hAnsi="宋体" w:cs="宋体"/>
                <w:szCs w:val="21"/>
              </w:rPr>
              <w:t>四害消杀及白蚁、红火蚁防治项目</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137000.00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pPr>
        <w:spacing w:line="320" w:lineRule="exact"/>
        <w:rPr>
          <w:rFonts w:ascii="宋体" w:hAnsi="宋体"/>
          <w:b/>
          <w:bCs/>
          <w:szCs w:val="21"/>
        </w:rPr>
      </w:pPr>
    </w:p>
    <w:tbl>
      <w:tblPr>
        <w:tblStyle w:val="17"/>
        <w:tblW w:w="5000" w:type="pct"/>
        <w:tblInd w:w="0" w:type="dxa"/>
        <w:tblLayout w:type="autofit"/>
        <w:tblCellMar>
          <w:top w:w="0" w:type="dxa"/>
          <w:left w:w="108" w:type="dxa"/>
          <w:bottom w:w="0" w:type="dxa"/>
          <w:right w:w="108" w:type="dxa"/>
        </w:tblCellMar>
      </w:tblPr>
      <w:tblGrid>
        <w:gridCol w:w="644"/>
        <w:gridCol w:w="4169"/>
        <w:gridCol w:w="1073"/>
        <w:gridCol w:w="1608"/>
        <w:gridCol w:w="1715"/>
        <w:gridCol w:w="645"/>
      </w:tblGrid>
      <w:tr>
        <w:tblPrEx>
          <w:tblCellMar>
            <w:top w:w="0" w:type="dxa"/>
            <w:left w:w="108" w:type="dxa"/>
            <w:bottom w:w="0" w:type="dxa"/>
            <w:right w:w="108" w:type="dxa"/>
          </w:tblCellMar>
        </w:tblPrEx>
        <w:trPr>
          <w:trHeight w:val="820" w:hRule="atLeast"/>
        </w:trPr>
        <w:tc>
          <w:tcPr>
            <w:tcW w:w="5000" w:type="pct"/>
            <w:gridSpan w:val="6"/>
            <w:noWrap/>
            <w:vAlign w:val="center"/>
          </w:tcPr>
          <w:p>
            <w:pPr>
              <w:widowControl/>
              <w:jc w:val="center"/>
              <w:textAlignment w:val="center"/>
              <w:rPr>
                <w:rFonts w:ascii="宋体" w:hAnsi="宋体" w:cs="宋体"/>
                <w:b/>
                <w:bCs/>
                <w:color w:val="000000"/>
                <w:sz w:val="32"/>
                <w:szCs w:val="32"/>
              </w:rPr>
            </w:pPr>
            <w:r>
              <w:rPr>
                <w:rFonts w:hint="eastAsia" w:ascii="仿宋" w:hAnsi="仿宋" w:eastAsia="仿宋" w:cs="仿宋"/>
                <w:b/>
                <w:bCs/>
                <w:color w:val="000000"/>
                <w:kern w:val="0"/>
                <w:sz w:val="32"/>
                <w:szCs w:val="32"/>
              </w:rPr>
              <w:t>2024-2025年“四害消杀及白蚁、红火蚁防治”服务预算明细</w:t>
            </w:r>
          </w:p>
        </w:tc>
      </w:tr>
      <w:tr>
        <w:tblPrEx>
          <w:tblCellMar>
            <w:top w:w="0" w:type="dxa"/>
            <w:left w:w="108" w:type="dxa"/>
            <w:bottom w:w="0" w:type="dxa"/>
            <w:right w:w="108" w:type="dxa"/>
          </w:tblCellMar>
        </w:tblPrEx>
        <w:trPr>
          <w:trHeight w:val="80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服务期限</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金额（元/月）</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预算价（元年）</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80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1</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cs="仿宋"/>
                <w:color w:val="000000"/>
                <w:kern w:val="0"/>
                <w:sz w:val="24"/>
              </w:rPr>
              <w:t>院内四害消杀</w:t>
            </w:r>
            <w:r>
              <w:rPr>
                <w:rFonts w:hint="eastAsia" w:ascii="仿宋" w:hAnsi="仿宋" w:eastAsia="仿宋" w:cs="仿宋"/>
                <w:kern w:val="0"/>
                <w:sz w:val="24"/>
              </w:rPr>
              <w:t>及</w:t>
            </w:r>
            <w:r>
              <w:rPr>
                <w:rFonts w:hint="eastAsia" w:ascii="仿宋" w:hAnsi="仿宋" w:eastAsia="仿宋" w:cs="仿宋"/>
                <w:sz w:val="24"/>
              </w:rPr>
              <w:t>白蚁、红火蚁、</w:t>
            </w:r>
            <w:r>
              <w:rPr>
                <w:rFonts w:hint="eastAsia" w:ascii="仿宋" w:hAnsi="仿宋" w:eastAsia="仿宋" w:cs="仿宋"/>
                <w:kern w:val="0"/>
                <w:sz w:val="24"/>
              </w:rPr>
              <w:t>防治</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7317.00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87800.00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0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2</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cs="仿宋"/>
                <w:kern w:val="0"/>
                <w:sz w:val="24"/>
              </w:rPr>
              <w:t>京基社康</w:t>
            </w:r>
            <w:r>
              <w:rPr>
                <w:rFonts w:hint="eastAsia" w:ascii="仿宋" w:hAnsi="仿宋" w:eastAsia="仿宋"/>
                <w:kern w:val="0"/>
                <w:sz w:val="24"/>
              </w:rPr>
              <w:t>社康</w:t>
            </w:r>
            <w:r>
              <w:rPr>
                <w:rFonts w:hint="eastAsia" w:ascii="仿宋" w:hAnsi="仿宋" w:eastAsia="仿宋" w:cs="仿宋"/>
                <w:sz w:val="24"/>
              </w:rPr>
              <w:t>四害消杀及白蚁防治服务</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417.00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5000.00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0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3</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cs="仿宋"/>
                <w:kern w:val="0"/>
                <w:sz w:val="24"/>
              </w:rPr>
              <w:t>保利社康</w:t>
            </w:r>
            <w:r>
              <w:rPr>
                <w:rFonts w:hint="eastAsia" w:ascii="仿宋" w:hAnsi="仿宋" w:eastAsia="仿宋"/>
                <w:kern w:val="0"/>
                <w:sz w:val="24"/>
              </w:rPr>
              <w:t>社康</w:t>
            </w:r>
            <w:r>
              <w:rPr>
                <w:rFonts w:hint="eastAsia" w:ascii="仿宋" w:hAnsi="仿宋" w:eastAsia="仿宋" w:cs="仿宋"/>
                <w:sz w:val="24"/>
              </w:rPr>
              <w:t>四害消杀及白蚁防治服务</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800.00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9600.00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0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4</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cs="仿宋"/>
                <w:kern w:val="0"/>
                <w:sz w:val="24"/>
              </w:rPr>
              <w:t>园山院区</w:t>
            </w:r>
            <w:r>
              <w:rPr>
                <w:rFonts w:hint="eastAsia" w:ascii="仿宋" w:hAnsi="仿宋" w:eastAsia="仿宋" w:cs="仿宋"/>
                <w:sz w:val="24"/>
              </w:rPr>
              <w:t>四害消杀及白蚁防治服务</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1642.00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19700.00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2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cs="仿宋"/>
                <w:kern w:val="0"/>
                <w:sz w:val="24"/>
              </w:rPr>
              <w:t>颐安都会社康</w:t>
            </w:r>
            <w:r>
              <w:rPr>
                <w:rFonts w:hint="eastAsia" w:ascii="仿宋" w:hAnsi="仿宋" w:eastAsia="仿宋" w:cs="仿宋"/>
                <w:sz w:val="24"/>
              </w:rPr>
              <w:t>四害消杀及白蚁防治服务</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450.00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5400.00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20" w:hRule="atLeast"/>
        </w:trPr>
        <w:tc>
          <w:tcPr>
            <w:tcW w:w="3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4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仿宋" w:hAnsi="仿宋" w:eastAsia="仿宋"/>
                <w:kern w:val="0"/>
                <w:sz w:val="24"/>
              </w:rPr>
              <w:t>金地龙城社康</w:t>
            </w:r>
            <w:r>
              <w:rPr>
                <w:rFonts w:hint="eastAsia" w:ascii="仿宋" w:hAnsi="仿宋" w:eastAsia="仿宋" w:cs="仿宋"/>
                <w:sz w:val="24"/>
              </w:rPr>
              <w:t>四害消杀及白蚁防治服务</w:t>
            </w:r>
          </w:p>
        </w:tc>
        <w:tc>
          <w:tcPr>
            <w:tcW w:w="6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一年</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 xml:space="preserve">800.00 </w:t>
            </w: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9600.00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820" w:hRule="atLeast"/>
        </w:trPr>
        <w:tc>
          <w:tcPr>
            <w:tcW w:w="253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0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22"/>
                <w:szCs w:val="22"/>
              </w:rPr>
            </w:pPr>
          </w:p>
        </w:tc>
        <w:tc>
          <w:tcPr>
            <w:tcW w:w="10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137000.00 </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kern w:val="0"/>
                <w:sz w:val="22"/>
                <w:szCs w:val="22"/>
              </w:rPr>
            </w:pPr>
          </w:p>
        </w:tc>
      </w:tr>
    </w:tbl>
    <w:p>
      <w:pPr>
        <w:spacing w:line="320" w:lineRule="exact"/>
        <w:rPr>
          <w:rFonts w:ascii="宋体" w:hAnsi="宋体"/>
          <w:b/>
          <w:bCs/>
          <w:szCs w:val="21"/>
        </w:rPr>
      </w:pPr>
    </w:p>
    <w:p>
      <w:pPr>
        <w:spacing w:line="320" w:lineRule="exact"/>
        <w:rPr>
          <w:rFonts w:ascii="宋体" w:hAnsi="宋体"/>
          <w:b/>
          <w:bCs/>
          <w:szCs w:val="21"/>
        </w:rPr>
      </w:pPr>
      <w:r>
        <w:rPr>
          <w:rFonts w:hint="eastAsia" w:ascii="宋体" w:hAnsi="宋体"/>
          <w:b/>
          <w:bCs/>
          <w:szCs w:val="21"/>
        </w:rPr>
        <w:t>第二部分：详细的技术参数及配置清单</w:t>
      </w:r>
    </w:p>
    <w:p>
      <w:pPr>
        <w:spacing w:line="320" w:lineRule="exact"/>
        <w:ind w:firstLine="420"/>
        <w:rPr>
          <w:rFonts w:ascii="宋体" w:hAnsi="宋体"/>
          <w:b/>
          <w:szCs w:val="20"/>
        </w:rPr>
      </w:pPr>
      <w:r>
        <w:rPr>
          <w:rFonts w:hint="eastAsia" w:ascii="宋体" w:hAnsi="宋体"/>
          <w:b/>
          <w:szCs w:val="20"/>
        </w:rPr>
        <w:t>一、服务方式、内容（如若没达成按违约处理）</w:t>
      </w:r>
    </w:p>
    <w:p>
      <w:pPr>
        <w:numPr>
          <w:ilvl w:val="0"/>
          <w:numId w:val="5"/>
        </w:numPr>
        <w:spacing w:line="560" w:lineRule="exact"/>
        <w:ind w:firstLine="420" w:firstLineChars="200"/>
        <w:rPr>
          <w:rFonts w:ascii="宋体" w:hAnsi="宋体"/>
          <w:szCs w:val="20"/>
        </w:rPr>
      </w:pPr>
      <w:r>
        <w:rPr>
          <w:rFonts w:hint="eastAsia" w:ascii="宋体" w:hAnsi="宋体"/>
          <w:szCs w:val="20"/>
        </w:rPr>
        <w:t>“四害消杀及白蚁、红火蚁防治”服务内容；</w:t>
      </w:r>
    </w:p>
    <w:p>
      <w:pPr>
        <w:numPr>
          <w:ilvl w:val="0"/>
          <w:numId w:val="6"/>
        </w:numPr>
        <w:spacing w:line="560" w:lineRule="exact"/>
        <w:ind w:firstLine="420" w:firstLineChars="200"/>
        <w:rPr>
          <w:rFonts w:ascii="宋体" w:hAnsi="宋体"/>
          <w:szCs w:val="20"/>
        </w:rPr>
      </w:pPr>
      <w:r>
        <w:rPr>
          <w:rFonts w:hint="eastAsia" w:ascii="宋体" w:hAnsi="宋体"/>
          <w:szCs w:val="20"/>
        </w:rPr>
        <w:t>院本部（门诊楼、住院部、医技楼、科教楼、宿舍楼、职工食堂、绿化地、下水道、地下室等）、京基御景社康、保利社康、园山分院、颐安社康、金地龙城社康，承包范围内“四害消杀（不在四害范围的蚂蚁、臭虫等也需要消杀）及白蚁、红火蚁防治”服务项目。</w:t>
      </w:r>
    </w:p>
    <w:p>
      <w:pPr>
        <w:numPr>
          <w:ilvl w:val="0"/>
          <w:numId w:val="6"/>
        </w:numPr>
        <w:spacing w:line="560" w:lineRule="exact"/>
        <w:ind w:firstLine="420" w:firstLineChars="200"/>
        <w:rPr>
          <w:rFonts w:ascii="宋体" w:hAnsi="宋体"/>
          <w:szCs w:val="20"/>
        </w:rPr>
      </w:pPr>
      <w:r>
        <w:rPr>
          <w:rFonts w:hint="eastAsia" w:ascii="宋体" w:hAnsi="宋体"/>
          <w:szCs w:val="20"/>
        </w:rPr>
        <w:t>在四害、红火蚁、白蚁活动高峰开展防治行动，每月保证全面喷洒除四害消杀药物社康两次、院本部四次（消杀时间不能完全固定，应医院需求变动，根据季节变化增加频次，要积极配合医院工作，不能因时间问题导致消杀没完成算一次应第二天把没消杀部分补完）。</w:t>
      </w:r>
    </w:p>
    <w:p>
      <w:pPr>
        <w:numPr>
          <w:ilvl w:val="0"/>
          <w:numId w:val="6"/>
        </w:numPr>
        <w:spacing w:line="560" w:lineRule="exact"/>
        <w:ind w:firstLine="420" w:firstLineChars="200"/>
        <w:rPr>
          <w:rFonts w:ascii="宋体" w:hAnsi="宋体"/>
          <w:szCs w:val="20"/>
        </w:rPr>
      </w:pPr>
      <w:r>
        <w:rPr>
          <w:rFonts w:hint="eastAsia" w:ascii="宋体" w:hAnsi="宋体"/>
          <w:szCs w:val="20"/>
        </w:rPr>
        <w:t>每次室内消杀期间，要对外围全面检查，对积水区域消杀。</w:t>
      </w:r>
    </w:p>
    <w:p>
      <w:pPr>
        <w:numPr>
          <w:ilvl w:val="0"/>
          <w:numId w:val="6"/>
        </w:numPr>
        <w:spacing w:line="560" w:lineRule="exact"/>
        <w:ind w:firstLine="420" w:firstLineChars="200"/>
        <w:rPr>
          <w:rFonts w:ascii="宋体" w:hAnsi="宋体"/>
          <w:szCs w:val="20"/>
        </w:rPr>
      </w:pPr>
      <w:r>
        <w:rPr>
          <w:rFonts w:hint="eastAsia" w:ascii="宋体" w:hAnsi="宋体"/>
          <w:szCs w:val="20"/>
        </w:rPr>
        <w:t>每月烟炮熏杀下水道蟑螂两次，如有检查根据现场情况增加频次（药品种类喷洒每月一换，不能每次都是同一种药品，药品轮换最低一个季度一个轮回）。</w:t>
      </w:r>
    </w:p>
    <w:p>
      <w:pPr>
        <w:numPr>
          <w:ilvl w:val="0"/>
          <w:numId w:val="6"/>
        </w:numPr>
        <w:spacing w:line="560" w:lineRule="exact"/>
        <w:ind w:firstLine="420" w:firstLineChars="200"/>
        <w:rPr>
          <w:rFonts w:ascii="宋体" w:hAnsi="宋体"/>
          <w:szCs w:val="20"/>
        </w:rPr>
      </w:pPr>
      <w:r>
        <w:rPr>
          <w:rFonts w:hint="eastAsia" w:ascii="宋体" w:hAnsi="宋体"/>
          <w:szCs w:val="20"/>
        </w:rPr>
        <w:t>于老鼠经常出没之地投放鼠盒,每月投放、补充鼠药两次，几种鼠药轮换投放（投放后每次消杀需要检查鼠药情况，鼠盒投放地点要根据情况变换，若鼠盒损坏应及时更换）。</w:t>
      </w:r>
    </w:p>
    <w:p>
      <w:pPr>
        <w:numPr>
          <w:ilvl w:val="0"/>
          <w:numId w:val="6"/>
        </w:numPr>
        <w:spacing w:line="560" w:lineRule="exact"/>
        <w:ind w:firstLine="420" w:firstLineChars="200"/>
        <w:rPr>
          <w:rFonts w:ascii="宋体" w:hAnsi="宋体"/>
          <w:szCs w:val="20"/>
        </w:rPr>
      </w:pPr>
      <w:r>
        <w:rPr>
          <w:rFonts w:hint="eastAsia" w:ascii="宋体" w:hAnsi="宋体"/>
          <w:szCs w:val="20"/>
        </w:rPr>
        <w:t>在栽种树周围放置白蚁引诱箱防治，在有效灭治后，对室内木门木家具每月检查一次，并做好现场记录。</w:t>
      </w:r>
    </w:p>
    <w:p>
      <w:pPr>
        <w:numPr>
          <w:ilvl w:val="0"/>
          <w:numId w:val="6"/>
        </w:numPr>
        <w:spacing w:line="560" w:lineRule="exact"/>
        <w:ind w:firstLine="420" w:firstLineChars="200"/>
        <w:rPr>
          <w:rFonts w:ascii="宋体" w:hAnsi="宋体"/>
          <w:szCs w:val="20"/>
        </w:rPr>
      </w:pPr>
      <w:r>
        <w:rPr>
          <w:rFonts w:hint="eastAsia" w:ascii="宋体" w:hAnsi="宋体"/>
          <w:szCs w:val="20"/>
        </w:rPr>
        <w:t>每月要出消杀方案并按照方案进行消杀，工作流程、地点、用药效果、数量，防治人员要有月报，保证安全、确保防治效果，消杀之后要有跟踪回访服务并出现下次月报中。日常投入人员必须持证上岗要求不少于3人。</w:t>
      </w:r>
    </w:p>
    <w:p>
      <w:pPr>
        <w:numPr>
          <w:ilvl w:val="0"/>
          <w:numId w:val="6"/>
        </w:numPr>
        <w:spacing w:line="560" w:lineRule="exact"/>
        <w:ind w:firstLine="420" w:firstLineChars="200"/>
        <w:rPr>
          <w:rFonts w:ascii="宋体" w:hAnsi="宋体"/>
          <w:szCs w:val="20"/>
        </w:rPr>
      </w:pPr>
      <w:r>
        <w:rPr>
          <w:rFonts w:hint="eastAsia" w:ascii="宋体" w:hAnsi="宋体"/>
          <w:szCs w:val="20"/>
        </w:rPr>
        <w:t>医院有权对消杀公司的服务质量进行监督每月至少一次考核（考核表见附件一），不满意时可及时提出意见，消杀公司进行整改。</w:t>
      </w:r>
    </w:p>
    <w:p>
      <w:pPr>
        <w:spacing w:line="560" w:lineRule="exact"/>
        <w:ind w:firstLine="420" w:firstLineChars="200"/>
        <w:rPr>
          <w:rFonts w:ascii="宋体" w:hAnsi="宋体"/>
          <w:szCs w:val="20"/>
        </w:rPr>
      </w:pPr>
      <w:r>
        <w:rPr>
          <w:rFonts w:hint="eastAsia" w:ascii="宋体" w:hAnsi="宋体"/>
          <w:szCs w:val="20"/>
        </w:rPr>
        <w:t>2.配合招标方开展省、市爱卫主管部门组织的定期、不定期病媒生物防治全覆盖消杀行动，每年不少于6次，要求对辖区服务范围内进行全覆盖消杀及清理孳生地，以及配合开展相关专项整治及宣传教育活动。</w:t>
      </w:r>
    </w:p>
    <w:p>
      <w:pPr>
        <w:spacing w:line="560" w:lineRule="exact"/>
        <w:ind w:firstLine="420" w:firstLineChars="200"/>
        <w:rPr>
          <w:rFonts w:ascii="宋体" w:hAnsi="宋体"/>
          <w:szCs w:val="20"/>
        </w:rPr>
      </w:pPr>
      <w:r>
        <w:rPr>
          <w:rFonts w:hint="eastAsia" w:ascii="宋体" w:hAnsi="宋体"/>
          <w:szCs w:val="20"/>
        </w:rPr>
        <w:t>3.配合主管部门开展辖区市政“四害”防治基础设施日常监督管理巡查。</w:t>
      </w:r>
    </w:p>
    <w:p>
      <w:pPr>
        <w:spacing w:line="560" w:lineRule="exact"/>
        <w:ind w:firstLine="420" w:firstLineChars="200"/>
        <w:rPr>
          <w:rFonts w:ascii="宋体" w:hAnsi="宋体"/>
          <w:szCs w:val="20"/>
        </w:rPr>
      </w:pPr>
      <w:r>
        <w:rPr>
          <w:rFonts w:hint="eastAsia" w:ascii="宋体" w:hAnsi="宋体"/>
          <w:szCs w:val="20"/>
        </w:rPr>
        <w:t>4.另外组建不少于5人的应急队伍，提供必须的应急药物储备，配合主管部门开展病媒生物防治应急处置。</w:t>
      </w:r>
    </w:p>
    <w:p>
      <w:pPr>
        <w:autoSpaceDE w:val="0"/>
        <w:autoSpaceDN w:val="0"/>
        <w:adjustRightInd w:val="0"/>
        <w:spacing w:line="560" w:lineRule="exact"/>
        <w:ind w:firstLine="420"/>
        <w:rPr>
          <w:rFonts w:ascii="宋体" w:hAnsi="宋体"/>
          <w:b/>
          <w:szCs w:val="20"/>
        </w:rPr>
      </w:pPr>
      <w:r>
        <w:rPr>
          <w:rFonts w:hint="eastAsia" w:ascii="宋体" w:hAnsi="宋体"/>
          <w:b/>
          <w:szCs w:val="20"/>
        </w:rPr>
        <w:t>二、质量要求</w:t>
      </w:r>
    </w:p>
    <w:p>
      <w:pPr>
        <w:spacing w:line="560" w:lineRule="exact"/>
        <w:ind w:firstLine="420" w:firstLineChars="200"/>
        <w:rPr>
          <w:rFonts w:ascii="宋体" w:hAnsi="宋体"/>
          <w:szCs w:val="20"/>
        </w:rPr>
      </w:pPr>
      <w:r>
        <w:rPr>
          <w:rFonts w:hint="eastAsia" w:ascii="宋体" w:hAnsi="宋体"/>
          <w:szCs w:val="20"/>
        </w:rPr>
        <w:t xml:space="preserve"> 1.委托方必须无条件接受由医院制定的《龙岗区市政公共场所病媒生物防治服务质量检查考评办法》及省市爱卫主管部门制定的病媒生物防治相关的法律法规、规章制度等有关条款，自觉接受院方量化考核评比，（主要如下：院方对承包公司的病媒生物防治工作采取日常暗检、明检、专项检查、年终检查验收相结合的办法进行检查验收，检查验收结果作为对承包公司养护质量评价、承包经费发放以及相关奖惩的依据，并实行每月检查情况通报、扣分扣款。</w:t>
      </w:r>
    </w:p>
    <w:p>
      <w:pPr>
        <w:spacing w:line="560" w:lineRule="exact"/>
        <w:ind w:firstLine="420" w:firstLineChars="200"/>
        <w:rPr>
          <w:rFonts w:ascii="宋体" w:hAnsi="宋体"/>
          <w:szCs w:val="20"/>
        </w:rPr>
      </w:pPr>
      <w:r>
        <w:rPr>
          <w:rFonts w:hint="eastAsia" w:ascii="宋体" w:hAnsi="宋体"/>
          <w:szCs w:val="20"/>
        </w:rPr>
        <w:t>2.市政公共场所病媒生物防治具体工作按《深圳市除虫灭鼠专业队伍（公司）服务质量考评办法》、《深圳市病媒生物防治现场工作规程》、《深圳市病媒生物预防控制有偿服务机构服务质量考评办法》和《深圳市病媒生物防治服务质量考核评分标准》等所规定的工作要执行，主要包括以下内容：</w:t>
      </w:r>
    </w:p>
    <w:p>
      <w:pPr>
        <w:spacing w:line="560" w:lineRule="exact"/>
        <w:ind w:firstLine="420" w:firstLineChars="200"/>
        <w:rPr>
          <w:rFonts w:ascii="宋体" w:hAnsi="宋体"/>
          <w:szCs w:val="20"/>
        </w:rPr>
      </w:pPr>
      <w:r>
        <w:rPr>
          <w:rFonts w:hint="eastAsia" w:ascii="宋体" w:hAnsi="宋体"/>
          <w:szCs w:val="20"/>
        </w:rPr>
        <w:t>（1）除虫灭鼠管理和现场操作规范。</w:t>
      </w:r>
    </w:p>
    <w:p>
      <w:pPr>
        <w:spacing w:line="560" w:lineRule="exact"/>
        <w:ind w:firstLine="420" w:firstLineChars="200"/>
        <w:rPr>
          <w:rFonts w:ascii="宋体" w:hAnsi="宋体"/>
          <w:szCs w:val="20"/>
        </w:rPr>
      </w:pPr>
      <w:r>
        <w:rPr>
          <w:rFonts w:hint="eastAsia" w:ascii="宋体" w:hAnsi="宋体"/>
          <w:szCs w:val="20"/>
        </w:rPr>
        <w:t>（2）执行除虫灭鼠、白蚁防治质量市级标准。（灭鼠标准：鼠密度不超过3%（粉迹法）或有新鲜鼠洞、鼠粪、鼠咬痕等鼠迹的房间不超过2%。）</w:t>
      </w:r>
    </w:p>
    <w:p>
      <w:pPr>
        <w:spacing w:line="560" w:lineRule="exact"/>
        <w:ind w:firstLine="420" w:firstLineChars="200"/>
        <w:rPr>
          <w:rFonts w:ascii="宋体" w:hAnsi="宋体"/>
          <w:szCs w:val="20"/>
        </w:rPr>
      </w:pPr>
      <w:r>
        <w:rPr>
          <w:rFonts w:hint="eastAsia" w:ascii="宋体" w:hAnsi="宋体"/>
          <w:szCs w:val="20"/>
        </w:rPr>
        <w:t>（3）灭蚊标准：积水中三龄蚊幼或蛹阳性率不超过3%。</w:t>
      </w:r>
    </w:p>
    <w:p>
      <w:pPr>
        <w:spacing w:line="560" w:lineRule="exact"/>
        <w:ind w:firstLine="420" w:firstLineChars="200"/>
        <w:rPr>
          <w:rFonts w:ascii="宋体" w:hAnsi="宋体"/>
          <w:szCs w:val="20"/>
        </w:rPr>
      </w:pPr>
      <w:r>
        <w:rPr>
          <w:rFonts w:hint="eastAsia" w:ascii="宋体" w:hAnsi="宋体"/>
          <w:szCs w:val="20"/>
        </w:rPr>
        <w:t>（4）灭蝇标准：蝇类孳生地三龄幼虫和蛹的检出率不超过3%，成蝇有蝇房间数不超过3%。</w:t>
      </w:r>
    </w:p>
    <w:p>
      <w:pPr>
        <w:spacing w:line="560" w:lineRule="exact"/>
        <w:ind w:firstLine="420" w:firstLineChars="200"/>
        <w:rPr>
          <w:rFonts w:ascii="宋体" w:hAnsi="宋体"/>
          <w:szCs w:val="20"/>
        </w:rPr>
      </w:pPr>
      <w:r>
        <w:rPr>
          <w:rFonts w:hint="eastAsia" w:ascii="宋体" w:hAnsi="宋体"/>
          <w:szCs w:val="20"/>
        </w:rPr>
        <w:t>（5）灭蟑螂标准：蟑螂侵害率不超过5%。</w:t>
      </w:r>
    </w:p>
    <w:p>
      <w:pPr>
        <w:spacing w:line="560" w:lineRule="exact"/>
        <w:ind w:firstLine="420" w:firstLineChars="200"/>
        <w:rPr>
          <w:rFonts w:ascii="宋体" w:hAnsi="宋体"/>
          <w:szCs w:val="20"/>
        </w:rPr>
      </w:pPr>
      <w:r>
        <w:rPr>
          <w:rFonts w:hint="eastAsia" w:ascii="宋体" w:hAnsi="宋体"/>
          <w:szCs w:val="20"/>
        </w:rPr>
        <w:t>（6）鉴于院方白蚁危害程度采用特效药物、科学方法，做好白蚁预防、灭治工作，保证服务期内，承包范围内的建筑物和园林植物无白蚁及白蚁隐患,用科学方法根治预放白蚁的滋生,使物品不受到侵害。</w:t>
      </w:r>
    </w:p>
    <w:p>
      <w:pPr>
        <w:spacing w:line="560" w:lineRule="exact"/>
        <w:ind w:firstLine="420" w:firstLineChars="200"/>
        <w:rPr>
          <w:rFonts w:ascii="宋体" w:hAnsi="宋体"/>
          <w:szCs w:val="20"/>
        </w:rPr>
      </w:pPr>
      <w:r>
        <w:rPr>
          <w:rFonts w:hint="eastAsia" w:ascii="宋体" w:hAnsi="宋体"/>
          <w:szCs w:val="20"/>
        </w:rPr>
        <w:t>3.日常安全生产管理</w:t>
      </w:r>
    </w:p>
    <w:p>
      <w:pPr>
        <w:spacing w:line="560" w:lineRule="exact"/>
        <w:ind w:firstLine="420" w:firstLineChars="200"/>
        <w:rPr>
          <w:rFonts w:ascii="宋体" w:hAnsi="宋体"/>
          <w:szCs w:val="20"/>
        </w:rPr>
      </w:pPr>
      <w:r>
        <w:rPr>
          <w:rFonts w:hint="eastAsia" w:ascii="宋体" w:hAnsi="宋体"/>
          <w:szCs w:val="20"/>
        </w:rPr>
        <w:t>（1）病媒生物控制情况，不得发生病媒生物引发的疫情。</w:t>
      </w:r>
    </w:p>
    <w:p>
      <w:pPr>
        <w:spacing w:line="560" w:lineRule="exact"/>
        <w:ind w:firstLine="420" w:firstLineChars="200"/>
        <w:rPr>
          <w:rFonts w:ascii="宋体" w:hAnsi="宋体"/>
          <w:szCs w:val="20"/>
        </w:rPr>
      </w:pPr>
      <w:r>
        <w:rPr>
          <w:rFonts w:hint="eastAsia" w:ascii="宋体" w:hAnsi="宋体"/>
          <w:szCs w:val="20"/>
        </w:rPr>
        <w:t>（2）参加省、市、区爱卫主管部门组织的专项消杀活动。</w:t>
      </w:r>
    </w:p>
    <w:p>
      <w:pPr>
        <w:spacing w:line="560" w:lineRule="exact"/>
        <w:ind w:firstLine="420" w:firstLineChars="200"/>
        <w:rPr>
          <w:rFonts w:ascii="宋体" w:hAnsi="宋体"/>
          <w:szCs w:val="20"/>
        </w:rPr>
      </w:pPr>
      <w:r>
        <w:rPr>
          <w:rFonts w:hint="eastAsia" w:ascii="宋体" w:hAnsi="宋体"/>
          <w:szCs w:val="20"/>
        </w:rPr>
        <w:t>（3）有独立账号和办公场所，经费专款专用。</w:t>
      </w:r>
    </w:p>
    <w:p>
      <w:pPr>
        <w:spacing w:line="560" w:lineRule="exact"/>
        <w:ind w:firstLine="420" w:firstLineChars="200"/>
        <w:rPr>
          <w:rFonts w:ascii="宋体" w:hAnsi="宋体"/>
          <w:szCs w:val="20"/>
        </w:rPr>
      </w:pPr>
      <w:r>
        <w:rPr>
          <w:rFonts w:hint="eastAsia" w:ascii="宋体" w:hAnsi="宋体"/>
          <w:szCs w:val="20"/>
        </w:rPr>
        <w:t>（4）规章制度健全，落实，做好查、处理、检查、检测工作并做好记录，以备查验。</w:t>
      </w:r>
    </w:p>
    <w:p>
      <w:pPr>
        <w:spacing w:line="560" w:lineRule="exact"/>
        <w:ind w:firstLine="420" w:firstLineChars="200"/>
        <w:rPr>
          <w:rFonts w:ascii="宋体" w:hAnsi="宋体"/>
          <w:szCs w:val="20"/>
        </w:rPr>
      </w:pPr>
      <w:r>
        <w:rPr>
          <w:rFonts w:hint="eastAsia" w:ascii="宋体" w:hAnsi="宋体"/>
          <w:szCs w:val="20"/>
        </w:rPr>
        <w:t>（5）进场消杀的所有工作人员均应持证上岗，统一着装，佩戴工作证上岗，文明作业。</w:t>
      </w:r>
    </w:p>
    <w:p>
      <w:pPr>
        <w:spacing w:line="560" w:lineRule="exact"/>
        <w:ind w:firstLine="420" w:firstLineChars="200"/>
        <w:rPr>
          <w:rFonts w:ascii="宋体" w:hAnsi="宋体"/>
          <w:szCs w:val="20"/>
        </w:rPr>
      </w:pPr>
      <w:r>
        <w:rPr>
          <w:rFonts w:hint="eastAsia" w:ascii="宋体" w:hAnsi="宋体"/>
          <w:szCs w:val="20"/>
        </w:rPr>
        <w:t>（6）有药械专用仓库和专（兼）职仓管员。</w:t>
      </w:r>
    </w:p>
    <w:p>
      <w:pPr>
        <w:spacing w:line="560" w:lineRule="exact"/>
        <w:ind w:firstLine="420" w:firstLineChars="200"/>
        <w:rPr>
          <w:rFonts w:ascii="宋体" w:hAnsi="宋体"/>
          <w:szCs w:val="20"/>
        </w:rPr>
      </w:pPr>
      <w:r>
        <w:rPr>
          <w:rFonts w:hint="eastAsia" w:ascii="宋体" w:hAnsi="宋体"/>
          <w:szCs w:val="20"/>
        </w:rPr>
        <w:t>（7）严格按照要求执行现场各项管理，指导监督、检查、协调沟通工作。</w:t>
      </w:r>
    </w:p>
    <w:p>
      <w:pPr>
        <w:spacing w:line="560" w:lineRule="exact"/>
        <w:ind w:firstLine="420" w:firstLineChars="200"/>
        <w:rPr>
          <w:rFonts w:ascii="宋体" w:hAnsi="宋体"/>
          <w:szCs w:val="20"/>
        </w:rPr>
      </w:pPr>
      <w:r>
        <w:rPr>
          <w:rFonts w:hint="eastAsia" w:ascii="宋体" w:hAnsi="宋体"/>
          <w:szCs w:val="20"/>
        </w:rPr>
        <w:t>4.药械使用</w:t>
      </w:r>
    </w:p>
    <w:p>
      <w:pPr>
        <w:spacing w:line="560" w:lineRule="exact"/>
        <w:ind w:firstLine="420" w:firstLineChars="200"/>
        <w:rPr>
          <w:rFonts w:ascii="宋体" w:hAnsi="宋体"/>
          <w:szCs w:val="20"/>
        </w:rPr>
      </w:pPr>
      <w:r>
        <w:rPr>
          <w:rFonts w:hint="eastAsia" w:ascii="宋体" w:hAnsi="宋体"/>
          <w:szCs w:val="20"/>
        </w:rPr>
        <w:t>（1）严格执行国家、省、市政府有关除虫灭鼠药物使用规定，使用正规、合法及符合规定的药物，并做好药物进出库登记，建立药物台</w:t>
      </w:r>
      <w:r>
        <w:rPr>
          <w:rFonts w:hint="eastAsia" w:ascii="宋体" w:hAnsi="宋体"/>
          <w:szCs w:val="20"/>
          <w:lang w:eastAsia="zh-CN"/>
        </w:rPr>
        <w:t>账</w:t>
      </w:r>
      <w:r>
        <w:rPr>
          <w:rFonts w:hint="eastAsia" w:ascii="宋体" w:hAnsi="宋体"/>
          <w:szCs w:val="20"/>
        </w:rPr>
        <w:t>。</w:t>
      </w:r>
    </w:p>
    <w:p>
      <w:pPr>
        <w:spacing w:line="560" w:lineRule="exact"/>
        <w:ind w:firstLine="420" w:firstLineChars="200"/>
        <w:rPr>
          <w:rFonts w:ascii="宋体" w:hAnsi="宋体"/>
          <w:szCs w:val="20"/>
        </w:rPr>
      </w:pPr>
      <w:r>
        <w:rPr>
          <w:rFonts w:hint="eastAsia" w:ascii="宋体" w:hAnsi="宋体"/>
          <w:szCs w:val="20"/>
        </w:rPr>
        <w:t>（2）肩挂式手压喷雾器人手1台，背负式机动喷雾器4台以上，超低容量喷雾器4台以上，烟雾机3台、户外远程喷雾消杀设备2台等不同性能的器械。</w:t>
      </w:r>
    </w:p>
    <w:p>
      <w:pPr>
        <w:spacing w:line="560" w:lineRule="exact"/>
        <w:ind w:firstLine="420" w:firstLineChars="200"/>
        <w:rPr>
          <w:rFonts w:ascii="宋体" w:hAnsi="宋体"/>
          <w:szCs w:val="20"/>
        </w:rPr>
      </w:pPr>
      <w:r>
        <w:rPr>
          <w:rFonts w:hint="eastAsia" w:ascii="宋体" w:hAnsi="宋体"/>
          <w:szCs w:val="20"/>
        </w:rPr>
        <w:t>（3）无使用违禁药物和无人畜重大中毒事故发生。</w:t>
      </w:r>
    </w:p>
    <w:p>
      <w:pPr>
        <w:spacing w:line="560" w:lineRule="exact"/>
        <w:ind w:firstLine="420" w:firstLineChars="200"/>
        <w:rPr>
          <w:rFonts w:ascii="宋体" w:hAnsi="宋体"/>
          <w:szCs w:val="20"/>
        </w:rPr>
      </w:pPr>
      <w:r>
        <w:rPr>
          <w:rFonts w:hint="eastAsia" w:ascii="宋体" w:hAnsi="宋体"/>
          <w:szCs w:val="20"/>
        </w:rPr>
        <w:t>5.现场操作</w:t>
      </w:r>
    </w:p>
    <w:p>
      <w:pPr>
        <w:spacing w:line="560" w:lineRule="exact"/>
        <w:ind w:firstLine="420" w:firstLineChars="200"/>
        <w:rPr>
          <w:rFonts w:ascii="宋体" w:hAnsi="宋体"/>
          <w:szCs w:val="20"/>
        </w:rPr>
      </w:pPr>
      <w:r>
        <w:rPr>
          <w:rFonts w:hint="eastAsia" w:ascii="宋体" w:hAnsi="宋体"/>
          <w:szCs w:val="20"/>
        </w:rPr>
        <w:t>（1）严格执行《深圳市病媒生物防治现场工作规程》，落实防治工作步骤。</w:t>
      </w:r>
    </w:p>
    <w:p>
      <w:pPr>
        <w:spacing w:line="560" w:lineRule="exact"/>
        <w:ind w:firstLine="420" w:firstLineChars="200"/>
        <w:rPr>
          <w:rFonts w:ascii="宋体" w:hAnsi="宋体"/>
          <w:szCs w:val="20"/>
        </w:rPr>
      </w:pPr>
      <w:r>
        <w:rPr>
          <w:rFonts w:hint="eastAsia" w:ascii="宋体" w:hAnsi="宋体"/>
          <w:szCs w:val="20"/>
        </w:rPr>
        <w:t>（2）执行防治工作制度。</w:t>
      </w:r>
    </w:p>
    <w:p>
      <w:pPr>
        <w:spacing w:line="560" w:lineRule="exact"/>
        <w:ind w:firstLine="420" w:firstLineChars="200"/>
        <w:rPr>
          <w:rFonts w:ascii="宋体" w:hAnsi="宋体"/>
          <w:szCs w:val="20"/>
        </w:rPr>
      </w:pPr>
      <w:r>
        <w:rPr>
          <w:rFonts w:hint="eastAsia" w:ascii="宋体" w:hAnsi="宋体"/>
          <w:szCs w:val="20"/>
        </w:rPr>
        <w:t>（3）落实防治工作安全生产，若因消杀工作有不当之处，造成了人员（包括消杀工作人员自身）意外伤害，或引起投诉、起诉等，由消杀公司承担所有法律责任。</w:t>
      </w:r>
    </w:p>
    <w:p>
      <w:pPr>
        <w:spacing w:line="560" w:lineRule="exact"/>
        <w:ind w:firstLine="420" w:firstLineChars="200"/>
        <w:rPr>
          <w:rFonts w:ascii="宋体" w:hAnsi="宋体"/>
          <w:szCs w:val="20"/>
        </w:rPr>
      </w:pPr>
      <w:r>
        <w:rPr>
          <w:rFonts w:hint="eastAsia" w:ascii="宋体" w:hAnsi="宋体"/>
          <w:szCs w:val="20"/>
        </w:rPr>
        <w:t>（4）防治施工前及施工过程中做好“</w:t>
      </w:r>
      <w:bookmarkStart w:id="2" w:name="OLE_LINK8"/>
      <w:bookmarkStart w:id="3" w:name="OLE_LINK7"/>
      <w:r>
        <w:rPr>
          <w:rFonts w:hint="eastAsia" w:ascii="宋体" w:hAnsi="宋体"/>
          <w:szCs w:val="20"/>
        </w:rPr>
        <w:t>消杀工作</w:t>
      </w:r>
      <w:bookmarkEnd w:id="2"/>
      <w:bookmarkEnd w:id="3"/>
      <w:r>
        <w:rPr>
          <w:rFonts w:hint="eastAsia" w:ascii="宋体" w:hAnsi="宋体"/>
          <w:szCs w:val="20"/>
        </w:rPr>
        <w:t>正在进行中请绕道行走，不便之处，敬请原谅”的“温馨提示”。</w:t>
      </w:r>
    </w:p>
    <w:p>
      <w:pPr>
        <w:spacing w:line="560" w:lineRule="exact"/>
        <w:ind w:firstLine="420" w:firstLineChars="200"/>
        <w:rPr>
          <w:rFonts w:ascii="宋体" w:hAnsi="宋体"/>
          <w:szCs w:val="20"/>
        </w:rPr>
      </w:pPr>
      <w:r>
        <w:rPr>
          <w:rFonts w:hint="eastAsia" w:ascii="宋体" w:hAnsi="宋体"/>
          <w:szCs w:val="20"/>
        </w:rPr>
        <w:t>（5）院方指定人员配合消杀人员开展服务工作，提供工作便利，施工中有监督员陪同，并在施工确认单上签字验收。</w:t>
      </w:r>
    </w:p>
    <w:p>
      <w:pPr>
        <w:spacing w:line="560" w:lineRule="exact"/>
        <w:ind w:firstLine="420" w:firstLineChars="200"/>
        <w:rPr>
          <w:rFonts w:ascii="宋体" w:hAnsi="宋体"/>
          <w:szCs w:val="20"/>
        </w:rPr>
      </w:pPr>
      <w:r>
        <w:rPr>
          <w:rFonts w:hint="eastAsia" w:ascii="宋体" w:hAnsi="宋体"/>
          <w:szCs w:val="20"/>
        </w:rPr>
        <w:t>（6）对易发生被人畜误食的投药场所，应设立警示标志，若无警示标志造成了人畜意外伤害，或引起投诉、起诉等，由消杀公司承担所有法律责任。</w:t>
      </w:r>
    </w:p>
    <w:p>
      <w:pPr>
        <w:spacing w:line="560" w:lineRule="exact"/>
        <w:ind w:firstLine="420" w:firstLineChars="200"/>
        <w:rPr>
          <w:rFonts w:ascii="宋体" w:hAnsi="宋体"/>
          <w:szCs w:val="20"/>
        </w:rPr>
      </w:pPr>
      <w:r>
        <w:rPr>
          <w:rFonts w:hint="eastAsia" w:ascii="宋体" w:hAnsi="宋体"/>
          <w:szCs w:val="20"/>
        </w:rPr>
        <w:t>（7）因消杀工作人员（包括消杀工作人员的违法、犯罪行为）给医院工作人员或医院造成人身、财产损失，由消杀公司承担所有法律责任。</w:t>
      </w:r>
    </w:p>
    <w:p>
      <w:pPr>
        <w:spacing w:line="560" w:lineRule="exact"/>
        <w:ind w:firstLine="420" w:firstLineChars="200"/>
        <w:rPr>
          <w:rFonts w:ascii="宋体" w:hAnsi="宋体"/>
          <w:szCs w:val="20"/>
        </w:rPr>
      </w:pPr>
      <w:r>
        <w:rPr>
          <w:rFonts w:hint="eastAsia" w:ascii="宋体" w:hAnsi="宋体"/>
          <w:szCs w:val="20"/>
        </w:rPr>
        <w:t>6.密度控制</w:t>
      </w:r>
    </w:p>
    <w:p>
      <w:pPr>
        <w:spacing w:line="560" w:lineRule="exact"/>
        <w:ind w:firstLine="420" w:firstLineChars="200"/>
        <w:rPr>
          <w:rFonts w:ascii="宋体" w:hAnsi="宋体"/>
          <w:szCs w:val="20"/>
        </w:rPr>
      </w:pPr>
      <w:r>
        <w:rPr>
          <w:rFonts w:hint="eastAsia" w:ascii="宋体" w:hAnsi="宋体"/>
          <w:szCs w:val="20"/>
        </w:rPr>
        <w:t>执行除虫灭鼠质量市级标准。</w:t>
      </w:r>
    </w:p>
    <w:p>
      <w:pPr>
        <w:spacing w:line="560" w:lineRule="exact"/>
        <w:ind w:firstLine="420" w:firstLineChars="200"/>
        <w:rPr>
          <w:rFonts w:ascii="宋体" w:hAnsi="宋体"/>
          <w:szCs w:val="20"/>
        </w:rPr>
      </w:pPr>
      <w:r>
        <w:rPr>
          <w:rFonts w:hint="eastAsia" w:ascii="宋体" w:hAnsi="宋体"/>
          <w:szCs w:val="20"/>
        </w:rPr>
        <w:t>7.用药情况</w:t>
      </w:r>
    </w:p>
    <w:p>
      <w:pPr>
        <w:spacing w:line="560" w:lineRule="exact"/>
        <w:ind w:firstLine="420" w:firstLineChars="200"/>
        <w:rPr>
          <w:rFonts w:ascii="宋体" w:hAnsi="宋体"/>
          <w:szCs w:val="20"/>
        </w:rPr>
      </w:pPr>
      <w:r>
        <w:rPr>
          <w:rFonts w:hint="eastAsia" w:ascii="宋体" w:hAnsi="宋体"/>
          <w:szCs w:val="20"/>
        </w:rPr>
        <w:t>（1）委托公司要做好方案，对服务区内进行覆盖投药时做到三饱和（空间、时间、药量饱和），药品种类要做到每月一换最低一个季度一个轮回，做好施工记录、用药情况登记，并报院方备案。</w:t>
      </w:r>
    </w:p>
    <w:p>
      <w:pPr>
        <w:spacing w:line="560" w:lineRule="exact"/>
        <w:ind w:firstLine="420" w:firstLineChars="200"/>
        <w:rPr>
          <w:rFonts w:ascii="宋体" w:hAnsi="宋体"/>
          <w:szCs w:val="20"/>
        </w:rPr>
      </w:pPr>
      <w:r>
        <w:rPr>
          <w:rFonts w:hint="eastAsia" w:ascii="宋体" w:hAnsi="宋体"/>
          <w:szCs w:val="20"/>
        </w:rPr>
        <w:t>（2）灭蚊、蝇、蟑螂以处理孳生地为主，对不能清理的孳生地及成虫采用低毒化学药物灭杀。</w:t>
      </w:r>
    </w:p>
    <w:p>
      <w:pPr>
        <w:spacing w:line="560" w:lineRule="exact"/>
        <w:ind w:firstLine="420" w:firstLineChars="200"/>
        <w:rPr>
          <w:rFonts w:ascii="宋体" w:hAnsi="宋体"/>
          <w:szCs w:val="20"/>
        </w:rPr>
      </w:pPr>
      <w:r>
        <w:rPr>
          <w:rFonts w:hint="eastAsia" w:ascii="宋体" w:hAnsi="宋体"/>
          <w:szCs w:val="20"/>
        </w:rPr>
        <w:t>（3）灭白蚁，以预防为主，防治相结合为目的，对承包范围内的蚁患部位采取彻底灭杀，达到根治不复发。</w:t>
      </w:r>
    </w:p>
    <w:p>
      <w:pPr>
        <w:spacing w:line="320" w:lineRule="exact"/>
        <w:ind w:firstLine="420"/>
        <w:rPr>
          <w:rFonts w:ascii="宋体" w:hAnsi="宋体"/>
          <w:szCs w:val="20"/>
        </w:rPr>
      </w:pPr>
      <w:r>
        <w:rPr>
          <w:rFonts w:hint="eastAsia" w:ascii="宋体" w:hAnsi="宋体"/>
          <w:szCs w:val="20"/>
        </w:rPr>
        <w:t>（4）室内使用药物不污染环境，对人体无害无味，并符合国家规定及国际室内卫生标准。</w:t>
      </w:r>
    </w:p>
    <w:p>
      <w:pPr>
        <w:widowControl/>
        <w:jc w:val="left"/>
        <w:rPr>
          <w:rFonts w:ascii="宋体" w:hAnsi="宋体"/>
          <w:b/>
          <w:bCs/>
          <w:szCs w:val="21"/>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附件一：四害消杀考核表</w:t>
      </w:r>
    </w:p>
    <w:p>
      <w:pPr>
        <w:pStyle w:val="4"/>
        <w:rPr>
          <w:rFonts w:ascii="Times New Roman" w:hAnsi="Times New Roman"/>
        </w:rPr>
      </w:pPr>
    </w:p>
    <w:tbl>
      <w:tblPr>
        <w:tblStyle w:val="17"/>
        <w:tblW w:w="107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3265"/>
        <w:gridCol w:w="3371"/>
        <w:gridCol w:w="705"/>
        <w:gridCol w:w="900"/>
        <w:gridCol w:w="1262"/>
        <w:gridCol w:w="7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double" w:color="auto" w:sz="4" w:space="0"/>
              <w:left w:val="doub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序号</w:t>
            </w:r>
          </w:p>
        </w:tc>
        <w:tc>
          <w:tcPr>
            <w:tcW w:w="3263"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考核标准</w:t>
            </w:r>
          </w:p>
        </w:tc>
        <w:tc>
          <w:tcPr>
            <w:tcW w:w="3369"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考核方法</w:t>
            </w:r>
          </w:p>
        </w:tc>
        <w:tc>
          <w:tcPr>
            <w:tcW w:w="705"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分值</w:t>
            </w:r>
          </w:p>
        </w:tc>
        <w:tc>
          <w:tcPr>
            <w:tcW w:w="900"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扣分</w:t>
            </w:r>
          </w:p>
        </w:tc>
        <w:tc>
          <w:tcPr>
            <w:tcW w:w="1261"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存在问题</w:t>
            </w:r>
          </w:p>
        </w:tc>
        <w:tc>
          <w:tcPr>
            <w:tcW w:w="767" w:type="dxa"/>
            <w:tcBorders>
              <w:top w:val="double" w:color="auto" w:sz="4" w:space="0"/>
              <w:left w:val="single" w:color="auto" w:sz="4" w:space="0"/>
              <w:bottom w:val="single" w:color="auto" w:sz="4" w:space="0"/>
              <w:right w:val="doub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1</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snapToGrid w:val="0"/>
                <w:kern w:val="0"/>
                <w:sz w:val="24"/>
              </w:rPr>
            </w:pPr>
            <w:r>
              <w:rPr>
                <w:rFonts w:hint="eastAsia" w:ascii="仿宋" w:hAnsi="仿宋" w:eastAsia="仿宋" w:cs="仿宋"/>
                <w:color w:val="000000" w:themeColor="text1"/>
                <w:sz w:val="24"/>
                <w14:textFill>
                  <w14:solidFill>
                    <w14:schemeClr w14:val="tx1"/>
                  </w14:solidFill>
                </w14:textFill>
              </w:rPr>
              <w:t>消杀所用药物必须是须保证所提供的</w:t>
            </w:r>
            <w:r>
              <w:rPr>
                <w:rFonts w:hint="eastAsia" w:ascii="仿宋" w:hAnsi="仿宋" w:eastAsia="仿宋" w:cs="仿宋"/>
                <w:snapToGrid w:val="0"/>
                <w:color w:val="000000" w:themeColor="text1"/>
                <w:kern w:val="0"/>
                <w:sz w:val="24"/>
                <w14:textFill>
                  <w14:solidFill>
                    <w14:schemeClr w14:val="tx1"/>
                  </w14:solidFill>
                </w14:textFill>
              </w:rPr>
              <w:t>消杀药品</w:t>
            </w:r>
            <w:r>
              <w:rPr>
                <w:rFonts w:hint="eastAsia" w:ascii="仿宋" w:hAnsi="仿宋" w:eastAsia="仿宋" w:cs="仿宋"/>
                <w:color w:val="000000" w:themeColor="text1"/>
                <w:sz w:val="24"/>
                <w14:textFill>
                  <w14:solidFill>
                    <w14:schemeClr w14:val="tx1"/>
                  </w14:solidFill>
                </w14:textFill>
              </w:rPr>
              <w:t>及工具符合国家标准或行业标准，消杀效果达到爱卫办要求，将四害密度控制在国家标准范围内。</w:t>
            </w:r>
          </w:p>
        </w:tc>
        <w:tc>
          <w:tcPr>
            <w:tcW w:w="3369" w:type="dxa"/>
            <w:tcBorders>
              <w:top w:val="single" w:color="auto" w:sz="4" w:space="0"/>
              <w:left w:val="single" w:color="auto" w:sz="4" w:space="0"/>
              <w:bottom w:val="single" w:color="auto" w:sz="4" w:space="0"/>
              <w:right w:val="single" w:color="auto" w:sz="4" w:space="0"/>
            </w:tcBorders>
            <w:vAlign w:val="center"/>
          </w:tcPr>
          <w:p>
            <w:pPr>
              <w:tabs>
                <w:tab w:val="left" w:pos="630"/>
              </w:tabs>
              <w:spacing w:line="320" w:lineRule="exact"/>
              <w:jc w:val="left"/>
              <w:rPr>
                <w:rFonts w:ascii="仿宋" w:hAnsi="仿宋" w:eastAsia="仿宋" w:cs="仿宋"/>
                <w:snapToGrid w:val="0"/>
                <w:kern w:val="0"/>
                <w:sz w:val="24"/>
              </w:rPr>
            </w:pPr>
            <w:r>
              <w:rPr>
                <w:rFonts w:hint="eastAsia" w:ascii="仿宋" w:hAnsi="仿宋" w:eastAsia="仿宋" w:cs="仿宋"/>
                <w:color w:val="000000" w:themeColor="text1"/>
                <w:sz w:val="24"/>
                <w14:textFill>
                  <w14:solidFill>
                    <w14:schemeClr w14:val="tx1"/>
                  </w14:solidFill>
                </w14:textFill>
              </w:rPr>
              <w:t>因消杀效果不好，不通过相关单位（如爱卫办）检查的，每次扣5分。</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630"/>
              </w:tabs>
              <w:spacing w:line="320" w:lineRule="exact"/>
              <w:jc w:val="center"/>
              <w:rPr>
                <w:rFonts w:ascii="仿宋" w:hAnsi="仿宋" w:eastAsia="仿宋" w:cs="仿宋"/>
                <w:b/>
                <w:bCs/>
                <w:snapToGrid w:val="0"/>
                <w:kern w:val="0"/>
                <w:sz w:val="24"/>
              </w:rPr>
            </w:pPr>
            <w:r>
              <w:rPr>
                <w:rFonts w:hint="eastAsia" w:ascii="仿宋" w:hAnsi="仿宋" w:eastAsia="仿宋" w:cs="仿宋"/>
                <w:b/>
                <w:bCs/>
                <w:snapToGrid w:val="0"/>
                <w:kern w:val="0"/>
                <w:sz w:val="24"/>
              </w:rPr>
              <w:t>15</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2</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sz w:val="24"/>
              </w:rPr>
            </w:pPr>
            <w:r>
              <w:rPr>
                <w:rFonts w:hint="eastAsia" w:ascii="仿宋" w:hAnsi="仿宋" w:eastAsia="仿宋" w:cs="仿宋"/>
                <w:sz w:val="24"/>
              </w:rPr>
              <w:t>医院每月投放、补充鼠药两次。</w:t>
            </w:r>
            <w:r>
              <w:rPr>
                <w:rFonts w:hint="eastAsia" w:ascii="仿宋" w:hAnsi="仿宋" w:eastAsia="仿宋" w:cs="仿宋"/>
                <w:color w:val="000000" w:themeColor="text1"/>
                <w:sz w:val="24"/>
                <w14:textFill>
                  <w14:solidFill>
                    <w14:schemeClr w14:val="tx1"/>
                  </w14:solidFill>
                </w14:textFill>
              </w:rPr>
              <w:t>特殊情况或蚊虫高发时，增加投药次数。</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7"/>
              </w:numPr>
              <w:tabs>
                <w:tab w:val="left" w:pos="630"/>
              </w:tabs>
              <w:spacing w:line="32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实施</w:t>
            </w:r>
            <w:r>
              <w:rPr>
                <w:rFonts w:hint="eastAsia" w:ascii="仿宋" w:hAnsi="仿宋" w:eastAsia="仿宋" w:cs="仿宋"/>
                <w:snapToGrid w:val="0"/>
                <w:color w:val="000000" w:themeColor="text1"/>
                <w:kern w:val="0"/>
                <w:sz w:val="24"/>
                <w14:textFill>
                  <w14:solidFill>
                    <w14:schemeClr w14:val="tx1"/>
                  </w14:solidFill>
                </w14:textFill>
              </w:rPr>
              <w:t>消杀后，</w:t>
            </w:r>
            <w:r>
              <w:rPr>
                <w:rFonts w:hint="eastAsia" w:ascii="仿宋" w:hAnsi="仿宋" w:eastAsia="仿宋" w:cs="仿宋"/>
                <w:color w:val="000000" w:themeColor="text1"/>
                <w:sz w:val="24"/>
                <w14:textFill>
                  <w14:solidFill>
                    <w14:schemeClr w14:val="tx1"/>
                  </w14:solidFill>
                </w14:textFill>
              </w:rPr>
              <w:t>在服务范围内还发现</w:t>
            </w:r>
            <w:r>
              <w:rPr>
                <w:rFonts w:hint="eastAsia" w:ascii="仿宋" w:hAnsi="仿宋" w:eastAsia="仿宋" w:cs="仿宋"/>
                <w:snapToGrid w:val="0"/>
                <w:color w:val="000000" w:themeColor="text1"/>
                <w:kern w:val="0"/>
                <w:sz w:val="24"/>
                <w14:textFill>
                  <w14:solidFill>
                    <w14:schemeClr w14:val="tx1"/>
                  </w14:solidFill>
                </w14:textFill>
              </w:rPr>
              <w:t>老</w:t>
            </w:r>
            <w:r>
              <w:rPr>
                <w:rFonts w:hint="eastAsia" w:ascii="仿宋" w:hAnsi="仿宋" w:eastAsia="仿宋" w:cs="仿宋"/>
                <w:color w:val="000000" w:themeColor="text1"/>
                <w:sz w:val="24"/>
                <w14:textFill>
                  <w14:solidFill>
                    <w14:schemeClr w14:val="tx1"/>
                  </w14:solidFill>
                </w14:textFill>
              </w:rPr>
              <w:t>鼠行踪较多时，或科室工作人员及病人投诉较多，有投诉一次扣5分。</w:t>
            </w:r>
          </w:p>
          <w:p>
            <w:pPr>
              <w:numPr>
                <w:ilvl w:val="0"/>
                <w:numId w:val="7"/>
              </w:numPr>
              <w:tabs>
                <w:tab w:val="left" w:pos="630"/>
              </w:tabs>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因消杀质量不过关，造成不良影响和损失时，科室投诉一次扣5分。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15</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3</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sz w:val="24"/>
              </w:rPr>
            </w:pPr>
            <w:r>
              <w:rPr>
                <w:rFonts w:hint="eastAsia" w:ascii="仿宋" w:hAnsi="仿宋" w:eastAsia="仿宋" w:cs="仿宋"/>
                <w:sz w:val="24"/>
              </w:rPr>
              <w:t>对于蚊蝇，院内</w:t>
            </w:r>
            <w:r>
              <w:rPr>
                <w:rFonts w:hint="eastAsia" w:ascii="仿宋" w:hAnsi="仿宋" w:eastAsia="仿宋" w:cs="仿宋"/>
                <w:bCs/>
                <w:color w:val="000000"/>
                <w:sz w:val="24"/>
              </w:rPr>
              <w:t>全面喷洒除四害消杀药物，每月至少四次</w:t>
            </w:r>
            <w:r>
              <w:rPr>
                <w:rFonts w:hint="eastAsia" w:ascii="仿宋" w:hAnsi="仿宋" w:eastAsia="仿宋" w:cs="仿宋"/>
                <w:sz w:val="24"/>
              </w:rPr>
              <w:t>，积水滋生地每月投放药品两次，</w:t>
            </w:r>
            <w:r>
              <w:rPr>
                <w:rFonts w:hint="eastAsia" w:ascii="仿宋" w:hAnsi="仿宋" w:eastAsia="仿宋" w:cs="仿宋"/>
                <w:color w:val="000000" w:themeColor="text1"/>
                <w:sz w:val="24"/>
                <w14:textFill>
                  <w14:solidFill>
                    <w14:schemeClr w14:val="tx1"/>
                  </w14:solidFill>
                </w14:textFill>
              </w:rPr>
              <w:t>特殊情况或蚊虫高发时，增加消杀次数。</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8"/>
              </w:numPr>
              <w:tabs>
                <w:tab w:val="left" w:pos="630"/>
              </w:tabs>
              <w:spacing w:line="32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实施</w:t>
            </w:r>
            <w:r>
              <w:rPr>
                <w:rFonts w:hint="eastAsia" w:ascii="仿宋" w:hAnsi="仿宋" w:eastAsia="仿宋" w:cs="仿宋"/>
                <w:snapToGrid w:val="0"/>
                <w:color w:val="000000" w:themeColor="text1"/>
                <w:kern w:val="0"/>
                <w:sz w:val="24"/>
                <w14:textFill>
                  <w14:solidFill>
                    <w14:schemeClr w14:val="tx1"/>
                  </w14:solidFill>
                </w14:textFill>
              </w:rPr>
              <w:t>消杀后，</w:t>
            </w:r>
            <w:r>
              <w:rPr>
                <w:rFonts w:hint="eastAsia" w:ascii="仿宋" w:hAnsi="仿宋" w:eastAsia="仿宋" w:cs="仿宋"/>
                <w:color w:val="000000" w:themeColor="text1"/>
                <w:sz w:val="24"/>
                <w14:textFill>
                  <w14:solidFill>
                    <w14:schemeClr w14:val="tx1"/>
                  </w14:solidFill>
                </w14:textFill>
              </w:rPr>
              <w:t>在服务范围内还发现蚊蝇较多，不达标，或科室工作人员及病人投诉较多，有投诉一次扣5分。</w:t>
            </w:r>
          </w:p>
          <w:p>
            <w:pPr>
              <w:numPr>
                <w:ilvl w:val="0"/>
                <w:numId w:val="8"/>
              </w:numPr>
              <w:tabs>
                <w:tab w:val="left" w:pos="630"/>
              </w:tabs>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因消杀质量不过关，造成不良影响和损失时，科室投诉一次扣5分。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15</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4</w:t>
            </w:r>
          </w:p>
        </w:tc>
        <w:tc>
          <w:tcPr>
            <w:tcW w:w="3263" w:type="dxa"/>
            <w:tcBorders>
              <w:top w:val="single" w:color="auto" w:sz="4" w:space="0"/>
              <w:left w:val="single" w:color="auto" w:sz="4" w:space="0"/>
              <w:bottom w:val="single" w:color="auto" w:sz="4" w:space="0"/>
              <w:right w:val="single" w:color="auto" w:sz="4" w:space="0"/>
            </w:tcBorders>
            <w:vAlign w:val="center"/>
          </w:tcPr>
          <w:p>
            <w:pPr>
              <w:pStyle w:val="8"/>
              <w:spacing w:line="320" w:lineRule="exact"/>
              <w:jc w:val="left"/>
              <w:rPr>
                <w:rFonts w:ascii="仿宋" w:hAnsi="仿宋" w:eastAsia="仿宋" w:cs="仿宋"/>
                <w:sz w:val="24"/>
              </w:rPr>
            </w:pPr>
            <w:r>
              <w:rPr>
                <w:rFonts w:hint="eastAsia" w:ascii="仿宋" w:hAnsi="仿宋" w:eastAsia="仿宋" w:cs="仿宋"/>
                <w:sz w:val="24"/>
              </w:rPr>
              <w:t>对于排污管道的蟑螂，每月</w:t>
            </w:r>
            <w:r>
              <w:rPr>
                <w:rFonts w:hint="eastAsia" w:ascii="仿宋" w:hAnsi="仿宋" w:eastAsia="仿宋" w:cs="仿宋"/>
                <w:bCs/>
                <w:color w:val="000000"/>
                <w:sz w:val="24"/>
              </w:rPr>
              <w:t>烟炮熏</w:t>
            </w:r>
            <w:r>
              <w:rPr>
                <w:rFonts w:hint="eastAsia" w:ascii="仿宋" w:hAnsi="仿宋" w:eastAsia="仿宋" w:cs="仿宋"/>
                <w:sz w:val="24"/>
              </w:rPr>
              <w:t>杀两次。</w:t>
            </w:r>
            <w:r>
              <w:rPr>
                <w:rFonts w:hint="eastAsia" w:ascii="仿宋" w:hAnsi="仿宋" w:eastAsia="仿宋" w:cs="仿宋"/>
                <w:color w:val="000000" w:themeColor="text1"/>
                <w:sz w:val="24"/>
                <w14:textFill>
                  <w14:solidFill>
                    <w14:schemeClr w14:val="tx1"/>
                  </w14:solidFill>
                </w14:textFill>
              </w:rPr>
              <w:t>特殊情况或蚊虫高发时，增加消杀次数。</w:t>
            </w:r>
            <w:r>
              <w:rPr>
                <w:rFonts w:hint="eastAsia" w:ascii="仿宋" w:hAnsi="仿宋" w:eastAsia="仿宋" w:cs="仿宋"/>
                <w:kern w:val="0"/>
                <w:sz w:val="24"/>
              </w:rPr>
              <w:t>（药品种类</w:t>
            </w:r>
            <w:r>
              <w:rPr>
                <w:rFonts w:hint="eastAsia" w:ascii="仿宋" w:hAnsi="仿宋" w:eastAsia="仿宋" w:cs="仿宋"/>
                <w:sz w:val="24"/>
              </w:rPr>
              <w:t>喷洒每月一换，不能每次都是同一种药品，药品轮换最低一个季度一个轮回</w:t>
            </w:r>
            <w:r>
              <w:rPr>
                <w:rFonts w:hint="eastAsia" w:ascii="仿宋" w:hAnsi="仿宋" w:eastAsia="仿宋" w:cs="仿宋"/>
                <w:kern w:val="0"/>
                <w:sz w:val="24"/>
              </w:rPr>
              <w:t>）</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630"/>
              </w:tabs>
              <w:spacing w:line="32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实施</w:t>
            </w:r>
            <w:r>
              <w:rPr>
                <w:rFonts w:hint="eastAsia" w:ascii="仿宋" w:hAnsi="仿宋" w:eastAsia="仿宋" w:cs="仿宋"/>
                <w:snapToGrid w:val="0"/>
                <w:color w:val="000000" w:themeColor="text1"/>
                <w:kern w:val="0"/>
                <w:sz w:val="24"/>
                <w14:textFill>
                  <w14:solidFill>
                    <w14:schemeClr w14:val="tx1"/>
                  </w14:solidFill>
                </w14:textFill>
              </w:rPr>
              <w:t>消杀后，</w:t>
            </w:r>
            <w:r>
              <w:rPr>
                <w:rFonts w:hint="eastAsia" w:ascii="仿宋" w:hAnsi="仿宋" w:eastAsia="仿宋" w:cs="仿宋"/>
                <w:color w:val="000000" w:themeColor="text1"/>
                <w:sz w:val="24"/>
                <w14:textFill>
                  <w14:solidFill>
                    <w14:schemeClr w14:val="tx1"/>
                  </w14:solidFill>
                </w14:textFill>
              </w:rPr>
              <w:t>在服务范围内还发现蟑螂较多时，不达标，或科室工作人员及病人投诉较多，有投诉一次扣5分。</w:t>
            </w:r>
          </w:p>
          <w:p>
            <w:pPr>
              <w:numPr>
                <w:ilvl w:val="0"/>
                <w:numId w:val="9"/>
              </w:numPr>
              <w:tabs>
                <w:tab w:val="left" w:pos="630"/>
              </w:tabs>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因消杀质量不过关，造成不良影响和损失时，科室投诉一次扣5分。</w:t>
            </w:r>
          </w:p>
          <w:p>
            <w:pPr>
              <w:numPr>
                <w:ilvl w:val="0"/>
                <w:numId w:val="9"/>
              </w:numPr>
              <w:tabs>
                <w:tab w:val="left" w:pos="630"/>
              </w:tabs>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发现药品没有轮换扣5分。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15</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napToGrid w:val="0"/>
                <w:color w:val="000000" w:themeColor="text1"/>
                <w:kern w:val="0"/>
                <w:sz w:val="24"/>
                <w14:textFill>
                  <w14:solidFill>
                    <w14:schemeClr w14:val="tx1"/>
                  </w14:solidFill>
                </w14:textFill>
              </w:rPr>
            </w:pPr>
            <w:r>
              <w:rPr>
                <w:rFonts w:hint="eastAsia" w:ascii="仿宋" w:hAnsi="仿宋" w:eastAsia="仿宋" w:cs="仿宋"/>
                <w:b/>
                <w:snapToGrid w:val="0"/>
                <w:color w:val="000000" w:themeColor="text1"/>
                <w:kern w:val="0"/>
                <w:sz w:val="24"/>
                <w14:textFill>
                  <w14:solidFill>
                    <w14:schemeClr w14:val="tx1"/>
                  </w14:solidFill>
                </w14:textFill>
              </w:rPr>
              <w:t>5</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对服务范围内白蚁患点灭治处理，确保白蚁消杀干净。</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实施消杀后，在服务范围内在同一患点还发现白蚁时，或科室工作人员及病人投诉较多，有投诉一次扣5分。</w:t>
            </w:r>
          </w:p>
          <w:p>
            <w:pPr>
              <w:numPr>
                <w:ilvl w:val="0"/>
                <w:numId w:val="10"/>
              </w:numPr>
              <w:spacing w:line="320" w:lineRule="exact"/>
              <w:jc w:val="left"/>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因消杀质量不过关，造成不良影响和损失时，科室投诉一次扣5分。</w:t>
            </w:r>
          </w:p>
        </w:tc>
        <w:tc>
          <w:tcPr>
            <w:tcW w:w="7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15</w:t>
            </w:r>
          </w:p>
        </w:tc>
        <w:tc>
          <w:tcPr>
            <w:tcW w:w="90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doub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6</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每月要出消杀方案、月报、跟踪回访服务报告，</w:t>
            </w:r>
            <w:r>
              <w:rPr>
                <w:rFonts w:hint="eastAsia" w:ascii="仿宋" w:hAnsi="仿宋" w:eastAsia="仿宋" w:cs="仿宋"/>
                <w:color w:val="000000" w:themeColor="text1"/>
                <w:sz w:val="24"/>
                <w14:textFill>
                  <w14:solidFill>
                    <w14:schemeClr w14:val="tx1"/>
                  </w14:solidFill>
                </w14:textFill>
              </w:rPr>
              <w:t>不定期对消杀工作进行检测。</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630"/>
              </w:tabs>
              <w:spacing w:line="320" w:lineRule="exact"/>
              <w:jc w:val="left"/>
              <w:rPr>
                <w:rFonts w:ascii="仿宋" w:hAnsi="仿宋" w:eastAsia="仿宋" w:cs="仿宋"/>
                <w:kern w:val="0"/>
                <w:sz w:val="24"/>
              </w:rPr>
            </w:pPr>
            <w:r>
              <w:rPr>
                <w:rFonts w:hint="eastAsia" w:ascii="仿宋" w:hAnsi="仿宋" w:eastAsia="仿宋" w:cs="仿宋"/>
                <w:kern w:val="0"/>
                <w:sz w:val="24"/>
              </w:rPr>
              <w:t>每月要出消杀方案，敷衍了事</w:t>
            </w:r>
            <w:r>
              <w:rPr>
                <w:rFonts w:hint="eastAsia" w:ascii="仿宋" w:hAnsi="仿宋" w:eastAsia="仿宋" w:cs="仿宋"/>
                <w:color w:val="000000" w:themeColor="text1"/>
                <w:sz w:val="24"/>
                <w14:textFill>
                  <w14:solidFill>
                    <w14:schemeClr w14:val="tx1"/>
                  </w14:solidFill>
                </w14:textFill>
              </w:rPr>
              <w:t>扣5分。</w:t>
            </w:r>
          </w:p>
          <w:p>
            <w:pPr>
              <w:numPr>
                <w:ilvl w:val="0"/>
                <w:numId w:val="11"/>
              </w:numPr>
              <w:tabs>
                <w:tab w:val="left" w:pos="630"/>
              </w:tabs>
              <w:spacing w:line="320" w:lineRule="exact"/>
              <w:jc w:val="left"/>
              <w:rPr>
                <w:rFonts w:ascii="仿宋" w:hAnsi="仿宋" w:eastAsia="仿宋" w:cs="仿宋"/>
                <w:kern w:val="0"/>
                <w:sz w:val="24"/>
              </w:rPr>
            </w:pPr>
            <w:r>
              <w:rPr>
                <w:rFonts w:hint="eastAsia" w:ascii="仿宋" w:hAnsi="仿宋" w:eastAsia="仿宋" w:cs="仿宋"/>
                <w:kern w:val="0"/>
                <w:sz w:val="24"/>
              </w:rPr>
              <w:t>工作流程、地点、用药效果、数量，防治人员要有月报，敷衍了事</w:t>
            </w:r>
            <w:r>
              <w:rPr>
                <w:rFonts w:hint="eastAsia" w:ascii="仿宋" w:hAnsi="仿宋" w:eastAsia="仿宋" w:cs="仿宋"/>
                <w:color w:val="000000" w:themeColor="text1"/>
                <w:sz w:val="24"/>
                <w14:textFill>
                  <w14:solidFill>
                    <w14:schemeClr w14:val="tx1"/>
                  </w14:solidFill>
                </w14:textFill>
              </w:rPr>
              <w:t>扣5分。</w:t>
            </w:r>
          </w:p>
          <w:p>
            <w:pPr>
              <w:numPr>
                <w:ilvl w:val="0"/>
                <w:numId w:val="11"/>
              </w:numPr>
              <w:tabs>
                <w:tab w:val="left" w:pos="630"/>
              </w:tabs>
              <w:spacing w:line="320" w:lineRule="exact"/>
              <w:jc w:val="left"/>
              <w:rPr>
                <w:rFonts w:ascii="仿宋" w:hAnsi="仿宋" w:eastAsia="仿宋" w:cs="仿宋"/>
                <w:kern w:val="0"/>
                <w:sz w:val="24"/>
              </w:rPr>
            </w:pPr>
            <w:r>
              <w:rPr>
                <w:rFonts w:hint="eastAsia" w:ascii="仿宋" w:hAnsi="仿宋" w:eastAsia="仿宋" w:cs="仿宋"/>
                <w:kern w:val="0"/>
                <w:sz w:val="24"/>
              </w:rPr>
              <w:t>消杀之后要有跟踪回访服务并出现下次月报中，敷衍了事</w:t>
            </w:r>
            <w:r>
              <w:rPr>
                <w:rFonts w:hint="eastAsia" w:ascii="仿宋" w:hAnsi="仿宋" w:eastAsia="仿宋" w:cs="仿宋"/>
                <w:color w:val="000000" w:themeColor="text1"/>
                <w:sz w:val="24"/>
                <w14:textFill>
                  <w14:solidFill>
                    <w14:schemeClr w14:val="tx1"/>
                  </w14:solidFill>
                </w14:textFill>
              </w:rPr>
              <w:t>扣5分。</w:t>
            </w:r>
          </w:p>
          <w:p>
            <w:pPr>
              <w:pStyle w:val="4"/>
              <w:keepNext w:val="0"/>
              <w:keepLines w:val="0"/>
              <w:numPr>
                <w:ilvl w:val="0"/>
                <w:numId w:val="11"/>
              </w:numPr>
              <w:spacing w:before="0" w:after="0"/>
              <w:jc w:val="both"/>
              <w:textAlignment w:val="auto"/>
              <w:rPr>
                <w:rFonts w:ascii="仿宋" w:hAnsi="仿宋" w:eastAsia="仿宋" w:cs="仿宋"/>
              </w:rPr>
            </w:pPr>
            <w:r>
              <w:rPr>
                <w:rFonts w:hint="eastAsia" w:ascii="仿宋" w:hAnsi="仿宋" w:eastAsia="仿宋" w:cs="仿宋"/>
                <w:color w:val="000000" w:themeColor="text1"/>
                <w:szCs w:val="24"/>
                <w14:textFill>
                  <w14:solidFill>
                    <w14:schemeClr w14:val="tx1"/>
                  </w14:solidFill>
                </w14:textFill>
              </w:rPr>
              <w:t>发现有弄虚作假行为，消杀质量不好的，每次扣5分。</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630"/>
              </w:tabs>
              <w:spacing w:line="320" w:lineRule="exact"/>
              <w:jc w:val="center"/>
              <w:rPr>
                <w:rFonts w:ascii="仿宋" w:hAnsi="仿宋" w:eastAsia="仿宋" w:cs="仿宋"/>
                <w:b/>
                <w:bCs/>
                <w:snapToGrid w:val="0"/>
                <w:kern w:val="0"/>
                <w:sz w:val="24"/>
              </w:rPr>
            </w:pPr>
            <w:r>
              <w:rPr>
                <w:rFonts w:hint="eastAsia" w:ascii="仿宋" w:hAnsi="仿宋" w:eastAsia="仿宋" w:cs="仿宋"/>
                <w:b/>
                <w:bCs/>
                <w:snapToGrid w:val="0"/>
                <w:kern w:val="0"/>
                <w:sz w:val="24"/>
              </w:rPr>
              <w:t>15</w:t>
            </w:r>
          </w:p>
        </w:tc>
        <w:tc>
          <w:tcPr>
            <w:tcW w:w="900"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double" w:color="auto" w:sz="4" w:space="0"/>
            </w:tcBorders>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70" w:type="dxa"/>
            <w:tcBorders>
              <w:top w:val="single" w:color="auto" w:sz="4" w:space="0"/>
              <w:left w:val="double" w:color="auto" w:sz="4" w:space="0"/>
              <w:bottom w:val="single" w:color="auto" w:sz="4" w:space="0"/>
              <w:righ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b/>
                <w:sz w:val="24"/>
              </w:rPr>
              <w:t>7</w:t>
            </w:r>
          </w:p>
        </w:tc>
        <w:tc>
          <w:tcPr>
            <w:tcW w:w="326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每次消杀必须知会管理人员，上门消杀人员工作态度。</w:t>
            </w:r>
          </w:p>
        </w:tc>
        <w:tc>
          <w:tcPr>
            <w:tcW w:w="3369"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630"/>
              </w:tabs>
              <w:spacing w:line="320" w:lineRule="exact"/>
              <w:jc w:val="left"/>
              <w:rPr>
                <w:rFonts w:ascii="仿宋" w:hAnsi="仿宋" w:eastAsia="仿宋" w:cs="仿宋"/>
                <w:color w:val="262626"/>
                <w:sz w:val="24"/>
                <w:shd w:val="clear" w:color="auto" w:fill="FFFFFF"/>
              </w:rPr>
            </w:pPr>
            <w:r>
              <w:rPr>
                <w:rFonts w:hint="eastAsia" w:ascii="仿宋" w:hAnsi="仿宋" w:eastAsia="仿宋" w:cs="仿宋"/>
                <w:color w:val="262626"/>
                <w:sz w:val="24"/>
                <w:shd w:val="clear" w:color="auto" w:fill="FFFFFF"/>
              </w:rPr>
              <w:t>消杀人员态度、精神面貌良好有礼貌，进入该区消杀有告知该区人员，</w:t>
            </w:r>
            <w:r>
              <w:rPr>
                <w:rFonts w:hint="eastAsia" w:ascii="仿宋" w:hAnsi="仿宋" w:eastAsia="仿宋" w:cs="仿宋"/>
                <w:color w:val="000000" w:themeColor="text1"/>
                <w:sz w:val="24"/>
                <w14:textFill>
                  <w14:solidFill>
                    <w14:schemeClr w14:val="tx1"/>
                  </w14:solidFill>
                </w14:textFill>
              </w:rPr>
              <w:t>每次没</w:t>
            </w:r>
            <w:r>
              <w:rPr>
                <w:rFonts w:hint="eastAsia" w:ascii="仿宋" w:hAnsi="仿宋" w:eastAsia="仿宋" w:cs="仿宋"/>
                <w:color w:val="262626"/>
                <w:sz w:val="24"/>
                <w:shd w:val="clear" w:color="auto" w:fill="FFFFFF"/>
              </w:rPr>
              <w:t>告知</w:t>
            </w:r>
            <w:r>
              <w:rPr>
                <w:rFonts w:hint="eastAsia" w:ascii="仿宋" w:hAnsi="仿宋" w:eastAsia="仿宋" w:cs="仿宋"/>
                <w:color w:val="000000" w:themeColor="text1"/>
                <w:sz w:val="24"/>
                <w14:textFill>
                  <w14:solidFill>
                    <w14:schemeClr w14:val="tx1"/>
                  </w14:solidFill>
                </w14:textFill>
              </w:rPr>
              <w:t>扣5分。</w:t>
            </w:r>
          </w:p>
          <w:p>
            <w:pPr>
              <w:pStyle w:val="4"/>
              <w:keepNext w:val="0"/>
              <w:keepLines w:val="0"/>
              <w:numPr>
                <w:ilvl w:val="0"/>
                <w:numId w:val="12"/>
              </w:numPr>
              <w:spacing w:before="0" w:after="0"/>
              <w:jc w:val="both"/>
              <w:textAlignment w:val="auto"/>
              <w:rPr>
                <w:rFonts w:ascii="仿宋" w:hAnsi="仿宋" w:eastAsia="仿宋" w:cs="仿宋"/>
                <w:szCs w:val="24"/>
              </w:rPr>
            </w:pPr>
            <w:r>
              <w:rPr>
                <w:rFonts w:hint="eastAsia" w:ascii="仿宋" w:hAnsi="仿宋" w:eastAsia="仿宋" w:cs="仿宋"/>
                <w:color w:val="262626"/>
                <w:szCs w:val="24"/>
                <w:shd w:val="clear" w:color="auto" w:fill="FFFFFF"/>
              </w:rPr>
              <w:t>消杀人员告知人员消杀对象、消杀后注意事项，</w:t>
            </w:r>
            <w:r>
              <w:rPr>
                <w:rFonts w:hint="eastAsia" w:ascii="仿宋" w:hAnsi="仿宋" w:eastAsia="仿宋" w:cs="仿宋"/>
                <w:color w:val="000000" w:themeColor="text1"/>
                <w:szCs w:val="24"/>
                <w14:textFill>
                  <w14:solidFill>
                    <w14:schemeClr w14:val="tx1"/>
                  </w14:solidFill>
                </w14:textFill>
              </w:rPr>
              <w:t>每次没</w:t>
            </w:r>
            <w:r>
              <w:rPr>
                <w:rFonts w:hint="eastAsia" w:ascii="仿宋" w:hAnsi="仿宋" w:eastAsia="仿宋" w:cs="仿宋"/>
                <w:color w:val="262626"/>
                <w:szCs w:val="24"/>
                <w:shd w:val="clear" w:color="auto" w:fill="FFFFFF"/>
              </w:rPr>
              <w:t>告知</w:t>
            </w:r>
            <w:r>
              <w:rPr>
                <w:rFonts w:hint="eastAsia" w:ascii="仿宋" w:hAnsi="仿宋" w:eastAsia="仿宋" w:cs="仿宋"/>
                <w:color w:val="000000" w:themeColor="text1"/>
                <w:szCs w:val="24"/>
                <w14:textFill>
                  <w14:solidFill>
                    <w14:schemeClr w14:val="tx1"/>
                  </w14:solidFill>
                </w14:textFill>
              </w:rPr>
              <w:t>扣5分</w:t>
            </w:r>
            <w:r>
              <w:rPr>
                <w:rFonts w:hint="eastAsia" w:ascii="仿宋" w:hAnsi="仿宋" w:eastAsia="仿宋" w:cs="仿宋"/>
                <w:color w:val="262626"/>
                <w:szCs w:val="24"/>
                <w:shd w:val="clear" w:color="auto" w:fill="FFFFFF"/>
              </w:rPr>
              <w:t>。</w:t>
            </w:r>
          </w:p>
          <w:p>
            <w:pPr>
              <w:rPr>
                <w:rFonts w:ascii="仿宋" w:hAnsi="仿宋" w:eastAsia="仿宋" w:cs="仿宋"/>
                <w:sz w:val="24"/>
              </w:rPr>
            </w:pPr>
            <w:r>
              <w:rPr>
                <w:rFonts w:hint="eastAsia" w:ascii="仿宋" w:hAnsi="仿宋" w:eastAsia="仿宋" w:cs="仿宋"/>
                <w:color w:val="262626"/>
                <w:sz w:val="24"/>
                <w:shd w:val="clear" w:color="auto" w:fill="FFFFFF"/>
              </w:rPr>
              <w:t>3、</w:t>
            </w:r>
            <w:r>
              <w:rPr>
                <w:rFonts w:hint="eastAsia" w:ascii="仿宋" w:hAnsi="仿宋" w:eastAsia="仿宋" w:cs="仿宋"/>
                <w:color w:val="000000" w:themeColor="text1"/>
                <w:sz w:val="24"/>
                <w14:textFill>
                  <w14:solidFill>
                    <w14:schemeClr w14:val="tx1"/>
                  </w14:solidFill>
                </w14:textFill>
              </w:rPr>
              <w:t>上门消杀人员</w:t>
            </w:r>
            <w:r>
              <w:rPr>
                <w:rFonts w:hint="eastAsia" w:ascii="仿宋" w:hAnsi="仿宋" w:eastAsia="仿宋" w:cs="仿宋"/>
                <w:kern w:val="0"/>
                <w:sz w:val="24"/>
              </w:rPr>
              <w:t>不少于3人，</w:t>
            </w:r>
            <w:r>
              <w:rPr>
                <w:rFonts w:hint="eastAsia" w:ascii="仿宋" w:hAnsi="仿宋" w:eastAsia="仿宋" w:cs="仿宋"/>
                <w:color w:val="000000" w:themeColor="text1"/>
                <w:sz w:val="24"/>
                <w14:textFill>
                  <w14:solidFill>
                    <w14:schemeClr w14:val="tx1"/>
                  </w14:solidFill>
                </w14:textFill>
              </w:rPr>
              <w:t>每次人员不足扣5分</w:t>
            </w:r>
            <w:r>
              <w:rPr>
                <w:rFonts w:hint="eastAsia" w:ascii="仿宋" w:hAnsi="仿宋" w:eastAsia="仿宋" w:cs="仿宋"/>
                <w:kern w:val="0"/>
                <w:sz w:val="24"/>
              </w:rPr>
              <w:t>。</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630"/>
              </w:tabs>
              <w:spacing w:line="320" w:lineRule="exact"/>
              <w:jc w:val="center"/>
              <w:rPr>
                <w:rFonts w:ascii="仿宋" w:hAnsi="仿宋" w:eastAsia="仿宋" w:cs="仿宋"/>
                <w:b/>
                <w:bCs/>
                <w:snapToGrid w:val="0"/>
                <w:kern w:val="0"/>
                <w:sz w:val="24"/>
              </w:rPr>
            </w:pPr>
            <w:r>
              <w:rPr>
                <w:rFonts w:hint="eastAsia" w:ascii="仿宋" w:hAnsi="仿宋" w:eastAsia="仿宋" w:cs="仿宋"/>
                <w:b/>
                <w:bCs/>
                <w:snapToGrid w:val="0"/>
                <w:kern w:val="0"/>
                <w:sz w:val="24"/>
              </w:rPr>
              <w:t>10</w:t>
            </w:r>
          </w:p>
        </w:tc>
        <w:tc>
          <w:tcPr>
            <w:tcW w:w="900"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single" w:color="auto" w:sz="4" w:space="0"/>
              <w:right w:val="single" w:color="auto" w:sz="4" w:space="0"/>
            </w:tcBorders>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single" w:color="auto" w:sz="4" w:space="0"/>
              <w:right w:val="double" w:color="auto" w:sz="4" w:space="0"/>
            </w:tcBorders>
          </w:tcPr>
          <w:p>
            <w:pPr>
              <w:spacing w:line="320" w:lineRule="exact"/>
              <w:jc w:val="left"/>
              <w:rPr>
                <w:rFonts w:ascii="仿宋" w:hAnsi="仿宋" w:eastAsia="仿宋" w:cs="仿宋"/>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02" w:type="dxa"/>
            <w:gridSpan w:val="3"/>
            <w:tcBorders>
              <w:top w:val="single" w:color="auto" w:sz="4" w:space="0"/>
              <w:left w:val="double" w:color="auto" w:sz="4" w:space="0"/>
              <w:bottom w:val="double" w:color="auto" w:sz="4" w:space="0"/>
              <w:right w:val="single" w:color="auto" w:sz="4" w:space="0"/>
            </w:tcBorders>
            <w:vAlign w:val="center"/>
          </w:tcPr>
          <w:p>
            <w:pPr>
              <w:tabs>
                <w:tab w:val="left" w:pos="630"/>
              </w:tabs>
              <w:spacing w:line="3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合计</w:t>
            </w:r>
          </w:p>
        </w:tc>
        <w:tc>
          <w:tcPr>
            <w:tcW w:w="705" w:type="dxa"/>
            <w:tcBorders>
              <w:top w:val="single" w:color="auto" w:sz="4" w:space="0"/>
              <w:left w:val="single" w:color="auto" w:sz="4" w:space="0"/>
              <w:bottom w:val="double" w:color="auto" w:sz="4" w:space="0"/>
              <w:right w:val="single" w:color="auto" w:sz="4" w:space="0"/>
            </w:tcBorders>
            <w:vAlign w:val="center"/>
          </w:tcPr>
          <w:p>
            <w:pPr>
              <w:tabs>
                <w:tab w:val="left" w:pos="630"/>
              </w:tabs>
              <w:spacing w:line="320" w:lineRule="exact"/>
              <w:jc w:val="center"/>
              <w:rPr>
                <w:rFonts w:ascii="仿宋" w:hAnsi="仿宋" w:eastAsia="仿宋" w:cs="仿宋"/>
                <w:b/>
                <w:bCs/>
                <w:snapToGrid w:val="0"/>
                <w:kern w:val="0"/>
                <w:sz w:val="24"/>
              </w:rPr>
            </w:pPr>
          </w:p>
        </w:tc>
        <w:tc>
          <w:tcPr>
            <w:tcW w:w="900" w:type="dxa"/>
            <w:tcBorders>
              <w:top w:val="single" w:color="auto" w:sz="4" w:space="0"/>
              <w:left w:val="single" w:color="auto" w:sz="4" w:space="0"/>
              <w:bottom w:val="double" w:color="auto" w:sz="4" w:space="0"/>
              <w:right w:val="single" w:color="auto" w:sz="4" w:space="0"/>
            </w:tcBorders>
          </w:tcPr>
          <w:p>
            <w:pPr>
              <w:spacing w:line="320" w:lineRule="exact"/>
              <w:jc w:val="left"/>
              <w:rPr>
                <w:rFonts w:ascii="仿宋" w:hAnsi="仿宋" w:eastAsia="仿宋" w:cs="仿宋"/>
                <w:b/>
                <w:sz w:val="24"/>
              </w:rPr>
            </w:pPr>
          </w:p>
        </w:tc>
        <w:tc>
          <w:tcPr>
            <w:tcW w:w="1261" w:type="dxa"/>
            <w:tcBorders>
              <w:top w:val="single" w:color="auto" w:sz="4" w:space="0"/>
              <w:left w:val="single" w:color="auto" w:sz="4" w:space="0"/>
              <w:bottom w:val="double" w:color="auto" w:sz="4" w:space="0"/>
              <w:right w:val="single" w:color="auto" w:sz="4" w:space="0"/>
            </w:tcBorders>
          </w:tcPr>
          <w:p>
            <w:pPr>
              <w:spacing w:line="320" w:lineRule="exact"/>
              <w:jc w:val="left"/>
              <w:rPr>
                <w:rFonts w:ascii="仿宋" w:hAnsi="仿宋" w:eastAsia="仿宋" w:cs="仿宋"/>
                <w:b/>
                <w:sz w:val="24"/>
              </w:rPr>
            </w:pPr>
          </w:p>
        </w:tc>
        <w:tc>
          <w:tcPr>
            <w:tcW w:w="767" w:type="dxa"/>
            <w:tcBorders>
              <w:top w:val="single" w:color="auto" w:sz="4" w:space="0"/>
              <w:left w:val="single" w:color="auto" w:sz="4" w:space="0"/>
              <w:bottom w:val="double" w:color="auto" w:sz="4" w:space="0"/>
              <w:right w:val="double" w:color="auto" w:sz="4" w:space="0"/>
            </w:tcBorders>
          </w:tcPr>
          <w:p>
            <w:pPr>
              <w:spacing w:line="320" w:lineRule="exact"/>
              <w:jc w:val="left"/>
              <w:rPr>
                <w:rFonts w:ascii="仿宋" w:hAnsi="仿宋" w:eastAsia="仿宋" w:cs="仿宋"/>
                <w:b/>
                <w:sz w:val="24"/>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考核人：                      考核时间：</w:t>
      </w:r>
    </w:p>
    <w:p>
      <w:pPr>
        <w:spacing w:line="320" w:lineRule="exact"/>
        <w:rPr>
          <w:rFonts w:ascii="宋体" w:hAnsi="宋体"/>
          <w:b/>
          <w:bCs/>
          <w:szCs w:val="21"/>
        </w:rPr>
      </w:pPr>
    </w:p>
    <w:p>
      <w:pPr>
        <w:widowControl/>
        <w:jc w:val="left"/>
        <w:rPr>
          <w:rFonts w:ascii="宋体" w:hAnsi="宋体"/>
          <w:b/>
          <w:bCs/>
          <w:szCs w:val="21"/>
        </w:rPr>
      </w:pPr>
      <w:r>
        <w:rPr>
          <w:rFonts w:ascii="宋体" w:hAnsi="宋体"/>
          <w:b/>
          <w:bCs/>
          <w:szCs w:val="21"/>
        </w:rPr>
        <w:br w:type="page"/>
      </w:r>
    </w:p>
    <w:p>
      <w:pPr>
        <w:spacing w:line="320" w:lineRule="exact"/>
        <w:rPr>
          <w:rFonts w:ascii="宋体" w:hAnsi="宋体"/>
          <w:b/>
          <w:bCs/>
          <w:szCs w:val="21"/>
        </w:rPr>
      </w:pPr>
    </w:p>
    <w:p>
      <w:pPr>
        <w:spacing w:line="320" w:lineRule="exact"/>
        <w:rPr>
          <w:rFonts w:ascii="宋体" w:hAnsi="宋体"/>
          <w:b/>
          <w:bCs/>
          <w:szCs w:val="21"/>
        </w:rPr>
      </w:pPr>
      <w:r>
        <w:rPr>
          <w:rFonts w:hint="eastAsia" w:ascii="宋体" w:hAnsi="宋体"/>
          <w:b/>
          <w:bCs/>
          <w:szCs w:val="21"/>
        </w:rPr>
        <w:t>第三部分：商务条款</w:t>
      </w:r>
    </w:p>
    <w:p>
      <w:pPr>
        <w:ind w:firstLine="420"/>
        <w:rPr>
          <w:rFonts w:ascii="宋体" w:hAnsi="宋体"/>
          <w:szCs w:val="20"/>
        </w:rPr>
      </w:pPr>
      <w:r>
        <w:rPr>
          <w:rFonts w:hint="eastAsia" w:ascii="宋体" w:hAnsi="宋体"/>
          <w:szCs w:val="20"/>
        </w:rPr>
        <w:t>（一）项目服务期：</w:t>
      </w:r>
    </w:p>
    <w:p>
      <w:pPr>
        <w:ind w:firstLine="420"/>
        <w:rPr>
          <w:rFonts w:ascii="宋体" w:hAnsi="宋体"/>
          <w:szCs w:val="20"/>
        </w:rPr>
      </w:pPr>
      <w:r>
        <w:rPr>
          <w:rFonts w:hint="eastAsia" w:ascii="宋体" w:hAnsi="宋体"/>
          <w:szCs w:val="20"/>
        </w:rPr>
        <w:t>合同采取一年一签方式，每年度合同期结束后，经采购人对中标人服务质量考核合格可续签下一个年度合同，合同最长可续签2次，即延期至满3年。原中标供应商在合同期满后，应无条件配合采购人及新的中标供应商，做好服务项目的无缝交接。所有交接手续（含人员培训交接、证件变更手续等）均应在采购人指定时间内内全部办理完毕。</w:t>
      </w:r>
    </w:p>
    <w:p>
      <w:pPr>
        <w:ind w:firstLine="420"/>
        <w:rPr>
          <w:rFonts w:ascii="宋体" w:hAnsi="宋体"/>
          <w:szCs w:val="20"/>
        </w:rPr>
      </w:pPr>
    </w:p>
    <w:p>
      <w:pPr>
        <w:ind w:firstLine="420"/>
        <w:rPr>
          <w:rFonts w:hAnsi="宋体"/>
        </w:rPr>
      </w:pPr>
      <w:r>
        <w:rPr>
          <w:rFonts w:hint="eastAsia" w:ascii="宋体" w:hAnsi="宋体"/>
          <w:szCs w:val="20"/>
        </w:rPr>
        <w:t>（二）付款方式：</w:t>
      </w:r>
    </w:p>
    <w:p>
      <w:pPr>
        <w:spacing w:line="560" w:lineRule="exact"/>
        <w:ind w:firstLine="420" w:firstLineChars="200"/>
        <w:rPr>
          <w:rFonts w:ascii="宋体" w:hAnsi="宋体"/>
          <w:szCs w:val="20"/>
        </w:rPr>
      </w:pPr>
      <w:r>
        <w:rPr>
          <w:rFonts w:hint="eastAsia" w:ascii="宋体" w:hAnsi="宋体"/>
          <w:szCs w:val="20"/>
        </w:rPr>
        <w:t>1、采购方支付给中标方的服务费用已包含税费、人工费、材料费、培训费、维保费等全部费用，除此之外，采购方无需向中标方支付其他任何费用。</w:t>
      </w:r>
    </w:p>
    <w:p>
      <w:pPr>
        <w:spacing w:line="560" w:lineRule="exact"/>
        <w:ind w:firstLine="420" w:firstLineChars="200"/>
        <w:rPr>
          <w:rFonts w:ascii="宋体" w:hAnsi="宋体"/>
          <w:szCs w:val="20"/>
        </w:rPr>
      </w:pPr>
      <w:r>
        <w:rPr>
          <w:rFonts w:hint="eastAsia" w:ascii="宋体" w:hAnsi="宋体"/>
          <w:szCs w:val="20"/>
        </w:rPr>
        <w:t>2、招标方合同签订后60日内支付中标方合同总价款的50%，中标方完成全部服务事项且经招标方验收合格后15个工作日内支付中标方合同总价款的50%。</w:t>
      </w:r>
    </w:p>
    <w:p>
      <w:pPr>
        <w:spacing w:line="560" w:lineRule="exact"/>
        <w:ind w:firstLine="420" w:firstLineChars="200"/>
        <w:rPr>
          <w:rFonts w:ascii="宋体" w:hAnsi="宋体"/>
          <w:szCs w:val="20"/>
        </w:rPr>
      </w:pPr>
      <w:r>
        <w:rPr>
          <w:rFonts w:hint="eastAsia" w:ascii="宋体" w:hAnsi="宋体"/>
          <w:szCs w:val="20"/>
        </w:rPr>
        <w:t>3、中标方</w:t>
      </w:r>
      <w:r>
        <w:rPr>
          <w:rFonts w:ascii="宋体" w:hAnsi="宋体"/>
          <w:szCs w:val="20"/>
        </w:rPr>
        <w:t>应在</w:t>
      </w:r>
      <w:r>
        <w:rPr>
          <w:rFonts w:hint="eastAsia" w:ascii="宋体" w:hAnsi="宋体"/>
          <w:szCs w:val="20"/>
        </w:rPr>
        <w:t>采购方</w:t>
      </w:r>
      <w:r>
        <w:rPr>
          <w:rFonts w:ascii="宋体" w:hAnsi="宋体"/>
          <w:szCs w:val="20"/>
        </w:rPr>
        <w:t>付款前开具合法有效的发票，</w:t>
      </w:r>
      <w:r>
        <w:rPr>
          <w:rFonts w:hint="eastAsia" w:ascii="宋体" w:hAnsi="宋体"/>
          <w:szCs w:val="20"/>
        </w:rPr>
        <w:t>采购方</w:t>
      </w:r>
      <w:r>
        <w:rPr>
          <w:rFonts w:ascii="宋体" w:hAnsi="宋体"/>
          <w:szCs w:val="20"/>
        </w:rPr>
        <w:t>收到</w:t>
      </w:r>
      <w:r>
        <w:rPr>
          <w:rFonts w:hint="eastAsia" w:ascii="宋体" w:hAnsi="宋体"/>
          <w:szCs w:val="20"/>
        </w:rPr>
        <w:t>中标方</w:t>
      </w:r>
      <w:r>
        <w:rPr>
          <w:rFonts w:ascii="宋体" w:hAnsi="宋体"/>
          <w:szCs w:val="20"/>
        </w:rPr>
        <w:t>合法的增值税发票后，根据双方约定时间支付款项。若由于</w:t>
      </w:r>
      <w:r>
        <w:rPr>
          <w:rFonts w:hint="eastAsia" w:ascii="宋体" w:hAnsi="宋体"/>
          <w:szCs w:val="20"/>
        </w:rPr>
        <w:t>中标方</w:t>
      </w:r>
      <w:r>
        <w:rPr>
          <w:rFonts w:ascii="宋体" w:hAnsi="宋体"/>
          <w:szCs w:val="20"/>
        </w:rPr>
        <w:t>逾期未提供合法有效的增值税发票，</w:t>
      </w:r>
      <w:r>
        <w:rPr>
          <w:rFonts w:hint="eastAsia" w:ascii="宋体" w:hAnsi="宋体"/>
          <w:szCs w:val="20"/>
        </w:rPr>
        <w:t>采购方</w:t>
      </w:r>
      <w:r>
        <w:rPr>
          <w:rFonts w:ascii="宋体" w:hAnsi="宋体"/>
          <w:szCs w:val="20"/>
        </w:rPr>
        <w:t>有权拒绝付款，直至票据齐全，且不视为</w:t>
      </w:r>
      <w:r>
        <w:rPr>
          <w:rFonts w:hint="eastAsia" w:ascii="宋体" w:hAnsi="宋体"/>
          <w:szCs w:val="20"/>
        </w:rPr>
        <w:t>采购方</w:t>
      </w:r>
      <w:r>
        <w:rPr>
          <w:rFonts w:ascii="宋体" w:hAnsi="宋体"/>
          <w:szCs w:val="20"/>
        </w:rPr>
        <w:t>违约。</w:t>
      </w:r>
    </w:p>
    <w:p>
      <w:pPr>
        <w:spacing w:line="560" w:lineRule="exact"/>
        <w:rPr>
          <w:rFonts w:ascii="宋体" w:hAnsi="宋体"/>
          <w:szCs w:val="20"/>
        </w:rPr>
      </w:pPr>
      <w:r>
        <w:rPr>
          <w:rFonts w:hint="eastAsia" w:ascii="宋体" w:hAnsi="宋体"/>
          <w:szCs w:val="20"/>
        </w:rPr>
        <w:t xml:space="preserve">    4、中标方</w:t>
      </w:r>
      <w:r>
        <w:rPr>
          <w:rFonts w:ascii="宋体" w:hAnsi="宋体"/>
          <w:szCs w:val="20"/>
        </w:rPr>
        <w:t>应向</w:t>
      </w:r>
      <w:r>
        <w:rPr>
          <w:rFonts w:hint="eastAsia" w:ascii="宋体" w:hAnsi="宋体"/>
          <w:szCs w:val="20"/>
        </w:rPr>
        <w:t>采购方</w:t>
      </w:r>
      <w:r>
        <w:rPr>
          <w:rFonts w:ascii="宋体" w:hAnsi="宋体"/>
          <w:szCs w:val="20"/>
        </w:rPr>
        <w:t>提供真实有效的银行账户，银行账户如有变更，应立即书面通知</w:t>
      </w:r>
      <w:r>
        <w:rPr>
          <w:rFonts w:hint="eastAsia" w:ascii="宋体" w:hAnsi="宋体"/>
          <w:szCs w:val="20"/>
        </w:rPr>
        <w:t>采购方</w:t>
      </w:r>
      <w:r>
        <w:rPr>
          <w:rFonts w:ascii="宋体" w:hAnsi="宋体"/>
          <w:szCs w:val="20"/>
        </w:rPr>
        <w:t>，如</w:t>
      </w:r>
      <w:r>
        <w:rPr>
          <w:rFonts w:hint="eastAsia" w:ascii="宋体" w:hAnsi="宋体"/>
          <w:szCs w:val="20"/>
        </w:rPr>
        <w:t>中标方</w:t>
      </w:r>
      <w:r>
        <w:rPr>
          <w:rFonts w:ascii="宋体" w:hAnsi="宋体"/>
          <w:szCs w:val="20"/>
        </w:rPr>
        <w:t>银行账户变更未书面通知</w:t>
      </w:r>
      <w:r>
        <w:rPr>
          <w:rFonts w:hint="eastAsia" w:ascii="宋体" w:hAnsi="宋体"/>
          <w:szCs w:val="20"/>
        </w:rPr>
        <w:t>采购方</w:t>
      </w:r>
      <w:r>
        <w:rPr>
          <w:rFonts w:ascii="宋体" w:hAnsi="宋体"/>
          <w:szCs w:val="20"/>
        </w:rPr>
        <w:t>，</w:t>
      </w:r>
      <w:r>
        <w:rPr>
          <w:rFonts w:hint="eastAsia" w:ascii="宋体" w:hAnsi="宋体"/>
          <w:szCs w:val="20"/>
        </w:rPr>
        <w:t>采购方</w:t>
      </w:r>
      <w:r>
        <w:rPr>
          <w:rFonts w:ascii="宋体" w:hAnsi="宋体"/>
          <w:szCs w:val="20"/>
        </w:rPr>
        <w:t>向本合同约定的收款账户付款造成</w:t>
      </w:r>
      <w:r>
        <w:rPr>
          <w:rFonts w:hint="eastAsia" w:ascii="宋体" w:hAnsi="宋体"/>
          <w:szCs w:val="20"/>
        </w:rPr>
        <w:t>中标方</w:t>
      </w:r>
      <w:r>
        <w:rPr>
          <w:rFonts w:ascii="宋体" w:hAnsi="宋体"/>
          <w:szCs w:val="20"/>
        </w:rPr>
        <w:t>实际未收到款的，该责任由</w:t>
      </w:r>
      <w:r>
        <w:rPr>
          <w:rFonts w:hint="eastAsia" w:ascii="宋体" w:hAnsi="宋体"/>
          <w:szCs w:val="20"/>
        </w:rPr>
        <w:t>中标方</w:t>
      </w:r>
      <w:r>
        <w:rPr>
          <w:rFonts w:ascii="宋体" w:hAnsi="宋体"/>
          <w:szCs w:val="20"/>
        </w:rPr>
        <w:t>自行承担。未经</w:t>
      </w:r>
      <w:r>
        <w:rPr>
          <w:rFonts w:hint="eastAsia" w:ascii="宋体" w:hAnsi="宋体"/>
          <w:szCs w:val="20"/>
        </w:rPr>
        <w:t>采购方</w:t>
      </w:r>
      <w:r>
        <w:rPr>
          <w:rFonts w:ascii="宋体" w:hAnsi="宋体"/>
          <w:szCs w:val="20"/>
        </w:rPr>
        <w:t>书面认可，</w:t>
      </w:r>
      <w:r>
        <w:rPr>
          <w:rFonts w:hint="eastAsia" w:ascii="宋体" w:hAnsi="宋体"/>
          <w:szCs w:val="20"/>
        </w:rPr>
        <w:t>中标方</w:t>
      </w:r>
      <w:r>
        <w:rPr>
          <w:rFonts w:ascii="宋体" w:hAnsi="宋体"/>
          <w:szCs w:val="20"/>
        </w:rPr>
        <w:t>不得将应收款项转让给任何第三方或让任何第三方代收，否则</w:t>
      </w:r>
      <w:r>
        <w:rPr>
          <w:rFonts w:hint="eastAsia" w:ascii="宋体" w:hAnsi="宋体"/>
          <w:szCs w:val="20"/>
        </w:rPr>
        <w:t>采购方</w:t>
      </w:r>
      <w:r>
        <w:rPr>
          <w:rFonts w:ascii="宋体" w:hAnsi="宋体"/>
          <w:szCs w:val="20"/>
        </w:rPr>
        <w:t>有权拒绝付款。</w:t>
      </w:r>
    </w:p>
    <w:p>
      <w:pPr>
        <w:spacing w:line="560" w:lineRule="exact"/>
        <w:ind w:firstLine="420" w:firstLineChars="200"/>
        <w:rPr>
          <w:rFonts w:ascii="仿宋" w:hAnsi="仿宋" w:eastAsia="仿宋" w:cs="仿宋"/>
          <w:sz w:val="30"/>
          <w:szCs w:val="30"/>
        </w:rPr>
      </w:pPr>
      <w:r>
        <w:rPr>
          <w:rFonts w:hint="eastAsia" w:ascii="宋体" w:hAnsi="宋体"/>
          <w:szCs w:val="20"/>
        </w:rPr>
        <w:t>5、</w:t>
      </w:r>
      <w:r>
        <w:rPr>
          <w:rFonts w:ascii="宋体" w:hAnsi="宋体"/>
          <w:szCs w:val="20"/>
        </w:rPr>
        <w:t>若本合同付款涉及</w:t>
      </w:r>
      <w:r>
        <w:rPr>
          <w:rFonts w:hint="eastAsia" w:ascii="宋体" w:hAnsi="宋体"/>
          <w:szCs w:val="20"/>
        </w:rPr>
        <w:t>采购方</w:t>
      </w:r>
      <w:r>
        <w:rPr>
          <w:rFonts w:ascii="宋体" w:hAnsi="宋体"/>
          <w:szCs w:val="20"/>
        </w:rPr>
        <w:t>内部或财政审批迟延的特殊情况，</w:t>
      </w:r>
      <w:r>
        <w:rPr>
          <w:rFonts w:hint="eastAsia" w:ascii="宋体" w:hAnsi="宋体"/>
          <w:szCs w:val="20"/>
        </w:rPr>
        <w:t>采购方</w:t>
      </w:r>
      <w:r>
        <w:rPr>
          <w:rFonts w:ascii="宋体" w:hAnsi="宋体"/>
          <w:szCs w:val="20"/>
        </w:rPr>
        <w:t>未能按约付款的，</w:t>
      </w:r>
      <w:r>
        <w:rPr>
          <w:rFonts w:hint="eastAsia" w:ascii="宋体" w:hAnsi="宋体"/>
          <w:szCs w:val="20"/>
        </w:rPr>
        <w:t>中标方</w:t>
      </w:r>
      <w:r>
        <w:rPr>
          <w:rFonts w:ascii="宋体" w:hAnsi="宋体"/>
          <w:szCs w:val="20"/>
        </w:rPr>
        <w:t>对此表示理解，</w:t>
      </w:r>
      <w:r>
        <w:rPr>
          <w:rFonts w:hint="eastAsia" w:ascii="宋体" w:hAnsi="宋体"/>
          <w:szCs w:val="20"/>
        </w:rPr>
        <w:t>采购方</w:t>
      </w:r>
      <w:r>
        <w:rPr>
          <w:rFonts w:ascii="宋体" w:hAnsi="宋体"/>
          <w:szCs w:val="20"/>
        </w:rPr>
        <w:t>应向</w:t>
      </w:r>
      <w:r>
        <w:rPr>
          <w:rFonts w:hint="eastAsia" w:ascii="宋体" w:hAnsi="宋体"/>
          <w:szCs w:val="20"/>
        </w:rPr>
        <w:t>中标方</w:t>
      </w:r>
      <w:r>
        <w:rPr>
          <w:rFonts w:ascii="宋体" w:hAnsi="宋体"/>
          <w:szCs w:val="20"/>
        </w:rPr>
        <w:t>进行说明并明确新的付款期限。</w:t>
      </w:r>
    </w:p>
    <w:p>
      <w:pPr>
        <w:ind w:firstLine="420"/>
        <w:rPr>
          <w:rFonts w:ascii="宋体" w:hAnsi="宋体"/>
          <w:szCs w:val="20"/>
        </w:rPr>
      </w:pPr>
    </w:p>
    <w:p>
      <w:pPr>
        <w:ind w:firstLine="420"/>
        <w:rPr>
          <w:rFonts w:hAnsi="宋体"/>
        </w:rPr>
      </w:pPr>
      <w:r>
        <w:rPr>
          <w:rFonts w:hint="eastAsia" w:ascii="宋体" w:hAnsi="宋体"/>
          <w:szCs w:val="20"/>
        </w:rPr>
        <w:t>（二）违约责任：</w:t>
      </w:r>
      <w:r>
        <w:rPr>
          <w:rFonts w:hint="eastAsia" w:hAnsi="宋体"/>
        </w:rPr>
        <w:t xml:space="preserve"> </w:t>
      </w:r>
      <w:bookmarkStart w:id="5" w:name="_GoBack"/>
      <w:bookmarkEnd w:id="5"/>
    </w:p>
    <w:p>
      <w:pPr>
        <w:spacing w:line="560" w:lineRule="exact"/>
        <w:ind w:left="222" w:firstLine="420" w:firstLineChars="200"/>
        <w:jc w:val="left"/>
        <w:rPr>
          <w:rFonts w:ascii="宋体" w:hAnsi="宋体"/>
          <w:szCs w:val="20"/>
        </w:rPr>
      </w:pPr>
      <w:r>
        <w:rPr>
          <w:rFonts w:hint="eastAsia" w:ascii="宋体" w:hAnsi="宋体"/>
          <w:szCs w:val="20"/>
        </w:rPr>
        <w:t>1、双方均应忠实履行合同约定的各项内容，任何一方违反本合同，均应承担违约责任。双方约定如一方违反合同约定，则违约方应向守约方支付违约金，违约金的金额为合同总价款的【 20 】%,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p>
      <w:pPr>
        <w:spacing w:line="560" w:lineRule="exact"/>
        <w:ind w:left="222" w:firstLine="420" w:firstLineChars="200"/>
        <w:jc w:val="left"/>
        <w:rPr>
          <w:rFonts w:ascii="宋体" w:hAnsi="宋体"/>
          <w:szCs w:val="20"/>
        </w:rPr>
      </w:pPr>
      <w:r>
        <w:rPr>
          <w:rFonts w:hint="eastAsia" w:ascii="宋体" w:hAnsi="宋体"/>
          <w:szCs w:val="20"/>
        </w:rPr>
        <w:t>2、中标方未按照双方约定的时间提供服务的，每延迟三天，应该按照服务费用金额的【0.1】%向采购方支付违约金。</w:t>
      </w:r>
    </w:p>
    <w:p>
      <w:pPr>
        <w:spacing w:line="560" w:lineRule="exact"/>
        <w:ind w:left="222" w:firstLine="420" w:firstLineChars="200"/>
        <w:jc w:val="left"/>
        <w:rPr>
          <w:rFonts w:ascii="宋体" w:hAnsi="宋体"/>
          <w:szCs w:val="20"/>
        </w:rPr>
      </w:pPr>
      <w:r>
        <w:rPr>
          <w:rFonts w:hint="eastAsia" w:ascii="宋体" w:hAnsi="宋体"/>
          <w:szCs w:val="20"/>
        </w:rPr>
        <w:t>3、发生以下情形之一，采购方有权单方解除本合同，中标方应向采购方退回已支付的全部款项，且采购方有权要求中标方支付根本违约的违约金人民币【1000.00】元：</w:t>
      </w:r>
    </w:p>
    <w:p>
      <w:pPr>
        <w:spacing w:line="560" w:lineRule="exact"/>
        <w:ind w:left="222" w:firstLine="420" w:firstLineChars="200"/>
        <w:jc w:val="left"/>
        <w:rPr>
          <w:rFonts w:ascii="宋体" w:hAnsi="宋体"/>
          <w:szCs w:val="20"/>
        </w:rPr>
      </w:pPr>
      <w:r>
        <w:rPr>
          <w:rFonts w:hint="eastAsia" w:ascii="宋体" w:hAnsi="宋体"/>
          <w:szCs w:val="20"/>
        </w:rPr>
        <w:t>(1)中标方延迟服务超过【 10 】天；</w:t>
      </w:r>
    </w:p>
    <w:p>
      <w:pPr>
        <w:spacing w:line="560" w:lineRule="exact"/>
        <w:ind w:left="222" w:firstLine="420" w:firstLineChars="200"/>
        <w:jc w:val="left"/>
        <w:rPr>
          <w:rFonts w:ascii="宋体" w:hAnsi="宋体"/>
          <w:szCs w:val="20"/>
        </w:rPr>
      </w:pPr>
      <w:r>
        <w:rPr>
          <w:rFonts w:hint="eastAsia" w:ascii="宋体" w:hAnsi="宋体"/>
          <w:szCs w:val="20"/>
        </w:rPr>
        <w:t>(2)未经采购方书面同意，中标方将本合同项下部分或全部工作委托给第三方承担的；</w:t>
      </w:r>
    </w:p>
    <w:p>
      <w:pPr>
        <w:spacing w:line="560" w:lineRule="exact"/>
        <w:ind w:left="222" w:firstLine="420" w:firstLineChars="200"/>
        <w:jc w:val="left"/>
        <w:rPr>
          <w:rFonts w:ascii="宋体" w:hAnsi="宋体"/>
          <w:szCs w:val="20"/>
        </w:rPr>
      </w:pPr>
      <w:r>
        <w:rPr>
          <w:rFonts w:hint="eastAsia" w:ascii="宋体" w:hAnsi="宋体"/>
          <w:szCs w:val="20"/>
        </w:rPr>
        <w:t>(3)中标方不履行本合同义务或不按期参加采购方组织的工作例会。</w:t>
      </w:r>
    </w:p>
    <w:p>
      <w:pPr>
        <w:spacing w:line="560" w:lineRule="exact"/>
        <w:ind w:left="222" w:firstLine="420" w:firstLineChars="200"/>
        <w:jc w:val="left"/>
        <w:rPr>
          <w:rFonts w:ascii="宋体" w:hAnsi="宋体"/>
          <w:szCs w:val="20"/>
        </w:rPr>
      </w:pPr>
      <w:r>
        <w:rPr>
          <w:rFonts w:hint="eastAsia" w:ascii="宋体" w:hAnsi="宋体"/>
          <w:szCs w:val="20"/>
        </w:rPr>
        <w:t>4、如中标方原因导致提供的服务成果存在侵犯第三方知识产权或其他合法权益的情形，中标方除了承担全部赔偿责任之外，还应按照合同总金额20%向采购方支付违约金。</w:t>
      </w:r>
    </w:p>
    <w:p>
      <w:pPr>
        <w:spacing w:line="560" w:lineRule="exact"/>
        <w:ind w:left="222" w:firstLine="420" w:firstLineChars="200"/>
        <w:jc w:val="left"/>
        <w:rPr>
          <w:rFonts w:ascii="宋体" w:hAnsi="宋体"/>
          <w:szCs w:val="20"/>
        </w:rPr>
      </w:pPr>
      <w:r>
        <w:rPr>
          <w:rFonts w:hint="eastAsia" w:ascii="宋体" w:hAnsi="宋体"/>
          <w:szCs w:val="20"/>
        </w:rPr>
        <w:t>5、采购方有权自应支付给中标方的服务费用中径行扣除各种索赔款项，包括但不限于赔偿款、违约金、律师费、诉讼费、鉴定费等。</w:t>
      </w:r>
    </w:p>
    <w:p>
      <w:pPr>
        <w:spacing w:line="560" w:lineRule="exact"/>
        <w:ind w:firstLine="420" w:firstLineChars="200"/>
        <w:jc w:val="left"/>
        <w:rPr>
          <w:rFonts w:ascii="宋体" w:hAnsi="宋体"/>
          <w:szCs w:val="20"/>
        </w:rPr>
      </w:pPr>
      <w:r>
        <w:rPr>
          <w:rFonts w:hint="eastAsia" w:ascii="宋体" w:hAnsi="宋体"/>
          <w:szCs w:val="20"/>
        </w:rPr>
        <w:t>6、中标方必须接受招标方的监督、考核及管理，考核连续三次低于80分或考核累计3次考核分70分或考核一次低于60分，采购方有权终止合同。</w:t>
      </w:r>
    </w:p>
    <w:p>
      <w:pPr>
        <w:ind w:firstLine="420"/>
        <w:rPr>
          <w:rFonts w:ascii="宋体" w:hAnsi="宋体"/>
          <w:szCs w:val="20"/>
        </w:rPr>
      </w:pPr>
      <w:r>
        <w:rPr>
          <w:rFonts w:hint="eastAsia" w:ascii="宋体" w:hAnsi="宋体"/>
          <w:szCs w:val="20"/>
        </w:rPr>
        <w:t>7、如中标方服务质量没达标应无条件不算次数返工，若多次返工无效果，采购方有权终止合同。</w:t>
      </w:r>
    </w:p>
    <w:p>
      <w:pPr>
        <w:spacing w:line="420" w:lineRule="exact"/>
        <w:ind w:firstLine="405"/>
        <w:rPr>
          <w:rFonts w:ascii="宋体" w:hAnsi="宋体"/>
          <w:sz w:val="24"/>
        </w:rPr>
      </w:pPr>
      <w:r>
        <w:br w:type="page"/>
      </w:r>
    </w:p>
    <w:p>
      <w:pPr>
        <w:pStyle w:val="15"/>
        <w:rPr>
          <w:sz w:val="30"/>
          <w:szCs w:val="30"/>
        </w:rPr>
      </w:pPr>
      <w:r>
        <w:rPr>
          <w:rFonts w:hint="eastAsia"/>
        </w:rPr>
        <w:t>投标文件组成、格式</w:t>
      </w:r>
    </w:p>
    <w:p>
      <w:pPr>
        <w:spacing w:line="360" w:lineRule="auto"/>
        <w:rPr>
          <w:rFonts w:ascii="宋体" w:hAnsi="宋体"/>
          <w:b/>
          <w:sz w:val="30"/>
          <w:szCs w:val="30"/>
        </w:rPr>
      </w:pPr>
      <w:r>
        <w:rPr>
          <w:rFonts w:hint="eastAsia" w:ascii="宋体" w:hAnsi="宋体"/>
          <w:b/>
          <w:sz w:val="30"/>
          <w:szCs w:val="30"/>
        </w:rPr>
        <w:t>一、封面</w:t>
      </w:r>
    </w:p>
    <w:p>
      <w:pPr>
        <w:spacing w:line="360" w:lineRule="auto"/>
        <w:rPr>
          <w:rFonts w:ascii="宋体" w:hAnsi="宋体"/>
          <w:b/>
          <w:sz w:val="30"/>
          <w:szCs w:val="30"/>
        </w:rPr>
      </w:pPr>
      <w:r>
        <w:rPr>
          <w:rFonts w:hint="eastAsia" w:ascii="宋体" w:hAnsi="宋体"/>
          <w:b/>
          <w:sz w:val="30"/>
          <w:szCs w:val="30"/>
        </w:rPr>
        <w:t>二、目录指引；</w:t>
      </w:r>
    </w:p>
    <w:p>
      <w:pPr>
        <w:spacing w:line="360" w:lineRule="auto"/>
        <w:rPr>
          <w:rFonts w:ascii="宋体" w:hAnsi="宋体"/>
          <w:b/>
          <w:sz w:val="30"/>
          <w:szCs w:val="30"/>
        </w:rPr>
      </w:pPr>
      <w:r>
        <w:rPr>
          <w:rFonts w:hint="eastAsia" w:ascii="宋体" w:hAnsi="宋体"/>
          <w:b/>
          <w:sz w:val="30"/>
          <w:szCs w:val="30"/>
        </w:rPr>
        <w:t>三、货物报价清单及其他报价清单；</w:t>
      </w:r>
    </w:p>
    <w:p>
      <w:pPr>
        <w:spacing w:line="360" w:lineRule="auto"/>
        <w:rPr>
          <w:rFonts w:ascii="宋体" w:hAnsi="宋体"/>
          <w:b/>
          <w:sz w:val="30"/>
          <w:szCs w:val="30"/>
        </w:rPr>
      </w:pPr>
      <w:r>
        <w:rPr>
          <w:rFonts w:hint="eastAsia" w:ascii="宋体" w:hAnsi="宋体"/>
          <w:b/>
          <w:sz w:val="30"/>
          <w:szCs w:val="30"/>
        </w:rPr>
        <w:t>四、技术规格和配置清单偏离表；</w:t>
      </w:r>
    </w:p>
    <w:p>
      <w:pPr>
        <w:spacing w:line="360" w:lineRule="auto"/>
        <w:rPr>
          <w:rFonts w:ascii="宋体" w:hAnsi="宋体"/>
          <w:b/>
          <w:sz w:val="30"/>
          <w:szCs w:val="30"/>
        </w:rPr>
      </w:pPr>
      <w:r>
        <w:rPr>
          <w:rFonts w:hint="eastAsia" w:ascii="宋体" w:hAnsi="宋体"/>
          <w:b/>
          <w:sz w:val="30"/>
          <w:szCs w:val="30"/>
        </w:rPr>
        <w:t>五、商务条款偏离表；</w:t>
      </w:r>
    </w:p>
    <w:p>
      <w:pPr>
        <w:spacing w:line="360" w:lineRule="auto"/>
        <w:rPr>
          <w:rFonts w:ascii="宋体" w:hAnsi="宋体"/>
          <w:b/>
          <w:sz w:val="30"/>
          <w:szCs w:val="30"/>
        </w:rPr>
      </w:pPr>
      <w:r>
        <w:rPr>
          <w:rFonts w:hint="eastAsia" w:ascii="宋体" w:hAnsi="宋体"/>
          <w:b/>
          <w:sz w:val="30"/>
          <w:szCs w:val="30"/>
        </w:rPr>
        <w:t>六、投标公司资质；</w:t>
      </w:r>
    </w:p>
    <w:p>
      <w:pPr>
        <w:pStyle w:val="8"/>
        <w:rPr>
          <w:rFonts w:ascii="宋体" w:hAnsi="宋体"/>
          <w:b/>
          <w:szCs w:val="30"/>
        </w:rPr>
      </w:pPr>
      <w:r>
        <w:rPr>
          <w:rFonts w:hint="eastAsia" w:ascii="宋体" w:hAnsi="宋体"/>
          <w:b/>
          <w:szCs w:val="30"/>
        </w:rPr>
        <w:t>七、授权；</w:t>
      </w:r>
    </w:p>
    <w:p>
      <w:pPr>
        <w:pStyle w:val="8"/>
        <w:rPr>
          <w:rFonts w:ascii="宋体" w:hAnsi="宋体"/>
          <w:b/>
          <w:szCs w:val="30"/>
        </w:rPr>
      </w:pPr>
      <w:r>
        <w:rPr>
          <w:rFonts w:hint="eastAsia" w:ascii="宋体" w:hAnsi="宋体"/>
          <w:b/>
          <w:szCs w:val="30"/>
        </w:rPr>
        <w:t>八、厂家资质；</w:t>
      </w:r>
    </w:p>
    <w:p>
      <w:pPr>
        <w:spacing w:line="360" w:lineRule="auto"/>
        <w:rPr>
          <w:rFonts w:ascii="宋体" w:hAnsi="宋体"/>
          <w:b/>
          <w:sz w:val="30"/>
          <w:szCs w:val="30"/>
        </w:rPr>
      </w:pPr>
      <w:r>
        <w:rPr>
          <w:rFonts w:hint="eastAsia" w:ascii="宋体" w:hAnsi="宋体"/>
          <w:b/>
          <w:sz w:val="30"/>
          <w:szCs w:val="30"/>
        </w:rPr>
        <w:t>九、法定代表人资格证明书；</w:t>
      </w:r>
    </w:p>
    <w:p>
      <w:pPr>
        <w:pStyle w:val="8"/>
      </w:pPr>
      <w:r>
        <w:rPr>
          <w:rFonts w:hint="eastAsia" w:ascii="宋体" w:hAnsi="宋体"/>
          <w:b/>
          <w:szCs w:val="30"/>
        </w:rPr>
        <w:t>十、各类承诺函；</w:t>
      </w:r>
    </w:p>
    <w:p>
      <w:pPr>
        <w:spacing w:line="360" w:lineRule="auto"/>
        <w:rPr>
          <w:rFonts w:ascii="宋体" w:hAnsi="宋体"/>
          <w:b/>
          <w:sz w:val="30"/>
          <w:szCs w:val="30"/>
        </w:rPr>
      </w:pPr>
    </w:p>
    <w:p>
      <w:pPr>
        <w:spacing w:line="360" w:lineRule="auto"/>
        <w:rPr>
          <w:rFonts w:ascii="宋体" w:hAnsi="宋体"/>
          <w:b/>
          <w:sz w:val="30"/>
          <w:szCs w:val="30"/>
        </w:rPr>
      </w:pPr>
    </w:p>
    <w:p>
      <w:pPr>
        <w:spacing w:line="360" w:lineRule="auto"/>
        <w:jc w:val="center"/>
        <w:rPr>
          <w:rFonts w:ascii="宋体" w:hAnsi="宋体"/>
          <w:b/>
          <w:sz w:val="30"/>
          <w:szCs w:val="30"/>
        </w:rPr>
      </w:pPr>
    </w:p>
    <w:p>
      <w:pPr>
        <w:spacing w:line="360" w:lineRule="exact"/>
        <w:jc w:val="center"/>
        <w:rPr>
          <w:rStyle w:val="26"/>
          <w:rFonts w:ascii="宋体" w:hAnsi="宋体"/>
          <w:b/>
          <w:szCs w:val="21"/>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sz w:val="36"/>
          <w:szCs w:val="36"/>
        </w:rPr>
      </w:pPr>
      <w:r>
        <w:rPr>
          <w:rFonts w:hint="eastAsia"/>
          <w:b/>
          <w:sz w:val="36"/>
          <w:szCs w:val="36"/>
        </w:rPr>
        <w:t>北京中医药大学深圳医院（龙岗）院内采购文件</w:t>
      </w:r>
    </w:p>
    <w:p>
      <w:pPr>
        <w:spacing w:line="360" w:lineRule="auto"/>
        <w:rPr>
          <w:szCs w:val="21"/>
        </w:rPr>
      </w:pPr>
    </w:p>
    <w:p>
      <w:pPr>
        <w:spacing w:line="360" w:lineRule="auto"/>
        <w:rPr>
          <w:color w:val="FF0000"/>
          <w:sz w:val="44"/>
          <w:szCs w:val="44"/>
        </w:rPr>
      </w:pPr>
    </w:p>
    <w:p>
      <w:pPr>
        <w:spacing w:line="360" w:lineRule="auto"/>
        <w:rPr>
          <w:color w:val="FF0000"/>
          <w:sz w:val="44"/>
          <w:szCs w:val="44"/>
        </w:rPr>
      </w:pPr>
    </w:p>
    <w:p>
      <w:pPr>
        <w:spacing w:line="360" w:lineRule="auto"/>
        <w:ind w:firstLine="960" w:firstLineChars="300"/>
        <w:rPr>
          <w:sz w:val="32"/>
          <w:szCs w:val="32"/>
        </w:rPr>
      </w:pPr>
      <w:r>
        <w:rPr>
          <w:rFonts w:hint="eastAsia"/>
          <w:sz w:val="32"/>
          <w:szCs w:val="32"/>
        </w:rPr>
        <w:t xml:space="preserve">采购编号： </w:t>
      </w:r>
      <w:r>
        <w:rPr>
          <w:rFonts w:hint="eastAsia"/>
          <w:sz w:val="32"/>
          <w:szCs w:val="32"/>
          <w:u w:val="single"/>
        </w:rPr>
        <w:t xml:space="preserve">                             </w:t>
      </w:r>
      <w:r>
        <w:rPr>
          <w:rFonts w:hint="eastAsia"/>
          <w:sz w:val="32"/>
          <w:szCs w:val="32"/>
        </w:rPr>
        <w:t xml:space="preserve">          </w:t>
      </w:r>
    </w:p>
    <w:p>
      <w:pPr>
        <w:spacing w:line="400" w:lineRule="exact"/>
        <w:ind w:firstLine="960" w:firstLineChars="300"/>
        <w:rPr>
          <w:sz w:val="32"/>
          <w:szCs w:val="32"/>
        </w:rPr>
      </w:pPr>
    </w:p>
    <w:p>
      <w:pPr>
        <w:ind w:firstLine="960" w:firstLineChars="300"/>
        <w:rPr>
          <w:sz w:val="24"/>
          <w:u w:val="single"/>
        </w:rPr>
      </w:pPr>
      <w:r>
        <w:rPr>
          <w:rFonts w:hint="eastAsia"/>
          <w:sz w:val="32"/>
          <w:szCs w:val="32"/>
        </w:rPr>
        <w:t>采购内容：</w:t>
      </w:r>
      <w:r>
        <w:rPr>
          <w:rFonts w:hint="eastAsia"/>
          <w:sz w:val="24"/>
          <w:u w:val="single"/>
        </w:rPr>
        <w:t xml:space="preserve">                                        </w:t>
      </w:r>
    </w:p>
    <w:p>
      <w:pPr>
        <w:rPr>
          <w:sz w:val="24"/>
          <w:u w:val="single"/>
        </w:rPr>
      </w:pPr>
    </w:p>
    <w:p>
      <w:pPr>
        <w:spacing w:line="400" w:lineRule="exact"/>
        <w:ind w:firstLine="960" w:firstLineChars="300"/>
        <w:rPr>
          <w:rFonts w:ascii="宋体" w:hAnsi="宋体" w:cs="宋体"/>
          <w:color w:val="000000"/>
          <w:kern w:val="0"/>
          <w:sz w:val="32"/>
          <w:szCs w:val="32"/>
          <w:u w:val="single"/>
        </w:rPr>
      </w:pPr>
    </w:p>
    <w:p>
      <w:pPr>
        <w:widowControl/>
        <w:spacing w:line="460" w:lineRule="atLeast"/>
        <w:ind w:left="960" w:leftChars="457"/>
        <w:jc w:val="left"/>
        <w:rPr>
          <w:sz w:val="32"/>
          <w:szCs w:val="32"/>
          <w:u w:val="single"/>
        </w:rPr>
      </w:pPr>
      <w:r>
        <w:rPr>
          <w:rFonts w:hint="eastAsia"/>
          <w:sz w:val="32"/>
          <w:szCs w:val="32"/>
        </w:rPr>
        <w:t xml:space="preserve">采购方式：   </w:t>
      </w:r>
      <w:r>
        <w:rPr>
          <w:rFonts w:hint="eastAsia"/>
          <w:sz w:val="32"/>
          <w:szCs w:val="32"/>
          <w:u w:val="single"/>
        </w:rPr>
        <w:t>院内公开采购</w:t>
      </w:r>
    </w:p>
    <w:p>
      <w:pPr>
        <w:widowControl/>
        <w:spacing w:line="460" w:lineRule="atLeast"/>
        <w:jc w:val="left"/>
        <w:rPr>
          <w:sz w:val="32"/>
          <w:szCs w:val="32"/>
        </w:rPr>
      </w:pPr>
    </w:p>
    <w:p>
      <w:pPr>
        <w:spacing w:line="360" w:lineRule="auto"/>
        <w:ind w:firstLine="960" w:firstLineChars="300"/>
        <w:rPr>
          <w:sz w:val="32"/>
          <w:szCs w:val="32"/>
        </w:rPr>
      </w:pPr>
      <w:r>
        <w:rPr>
          <w:rFonts w:hint="eastAsia"/>
          <w:sz w:val="32"/>
          <w:szCs w:val="32"/>
        </w:rPr>
        <w:t>采购单位名称：</w:t>
      </w:r>
      <w:r>
        <w:rPr>
          <w:rFonts w:hint="eastAsia"/>
          <w:sz w:val="32"/>
          <w:szCs w:val="32"/>
          <w:u w:val="single"/>
        </w:rPr>
        <w:t>北京中医药大学深圳医院（龙岗）</w:t>
      </w:r>
    </w:p>
    <w:p>
      <w:pPr>
        <w:spacing w:line="360" w:lineRule="auto"/>
        <w:rPr>
          <w:sz w:val="32"/>
          <w:szCs w:val="32"/>
        </w:rPr>
      </w:pPr>
    </w:p>
    <w:p>
      <w:pPr>
        <w:spacing w:line="360" w:lineRule="auto"/>
        <w:ind w:firstLine="960" w:firstLineChars="300"/>
        <w:rPr>
          <w:sz w:val="32"/>
          <w:szCs w:val="32"/>
        </w:rPr>
      </w:pPr>
    </w:p>
    <w:p>
      <w:pPr>
        <w:spacing w:line="360" w:lineRule="auto"/>
        <w:ind w:firstLine="960" w:firstLineChars="300"/>
        <w:rPr>
          <w:sz w:val="32"/>
          <w:szCs w:val="32"/>
          <w:u w:val="single"/>
        </w:rPr>
      </w:pPr>
      <w:r>
        <w:rPr>
          <w:rFonts w:hint="eastAsia"/>
          <w:sz w:val="32"/>
          <w:szCs w:val="32"/>
        </w:rPr>
        <w:t>投标单位名称（公章）：</w:t>
      </w:r>
      <w:r>
        <w:rPr>
          <w:rFonts w:hint="eastAsia"/>
          <w:sz w:val="32"/>
          <w:szCs w:val="32"/>
          <w:u w:val="single"/>
        </w:rPr>
        <w:t xml:space="preserve">                    </w:t>
      </w:r>
    </w:p>
    <w:p>
      <w:pPr>
        <w:spacing w:line="360" w:lineRule="auto"/>
        <w:rPr>
          <w:szCs w:val="21"/>
        </w:rPr>
      </w:pPr>
    </w:p>
    <w:p>
      <w:pPr>
        <w:spacing w:line="360" w:lineRule="auto"/>
        <w:ind w:firstLine="960" w:firstLineChars="300"/>
        <w:rPr>
          <w:sz w:val="32"/>
          <w:szCs w:val="32"/>
          <w:u w:val="single"/>
        </w:rPr>
      </w:pPr>
      <w:r>
        <w:rPr>
          <w:rFonts w:hint="eastAsia"/>
          <w:sz w:val="32"/>
          <w:szCs w:val="32"/>
        </w:rPr>
        <w:t>投标单位地址：</w:t>
      </w:r>
      <w:r>
        <w:rPr>
          <w:rFonts w:hint="eastAsia"/>
          <w:sz w:val="32"/>
          <w:szCs w:val="32"/>
          <w:u w:val="single"/>
        </w:rPr>
        <w:t xml:space="preserve">                           </w:t>
      </w:r>
    </w:p>
    <w:p>
      <w:pPr>
        <w:spacing w:line="360" w:lineRule="auto"/>
        <w:rPr>
          <w:szCs w:val="21"/>
        </w:rPr>
      </w:pPr>
    </w:p>
    <w:p>
      <w:pPr>
        <w:spacing w:line="360" w:lineRule="auto"/>
        <w:ind w:firstLine="960" w:firstLineChars="300"/>
        <w:rPr>
          <w:sz w:val="32"/>
          <w:szCs w:val="32"/>
          <w:u w:val="single"/>
        </w:rPr>
      </w:pPr>
      <w:r>
        <w:rPr>
          <w:rFonts w:hint="eastAsia"/>
          <w:sz w:val="32"/>
          <w:szCs w:val="32"/>
        </w:rPr>
        <w:t>联 系 人：</w:t>
      </w:r>
      <w:r>
        <w:rPr>
          <w:rFonts w:hint="eastAsia"/>
          <w:sz w:val="32"/>
          <w:szCs w:val="32"/>
          <w:u w:val="single"/>
        </w:rPr>
        <w:t xml:space="preserve">                               </w:t>
      </w:r>
      <w:r>
        <w:rPr>
          <w:rFonts w:hint="eastAsia"/>
          <w:sz w:val="32"/>
          <w:szCs w:val="32"/>
        </w:rPr>
        <w:t xml:space="preserve">                             </w:t>
      </w:r>
    </w:p>
    <w:p>
      <w:pPr>
        <w:spacing w:line="360" w:lineRule="auto"/>
        <w:rPr>
          <w:szCs w:val="21"/>
        </w:rPr>
      </w:pPr>
    </w:p>
    <w:p>
      <w:pPr>
        <w:spacing w:line="360" w:lineRule="auto"/>
        <w:ind w:firstLine="960" w:firstLineChars="300"/>
        <w:rPr>
          <w:sz w:val="32"/>
          <w:szCs w:val="32"/>
        </w:rPr>
      </w:pPr>
      <w:r>
        <w:rPr>
          <w:rFonts w:hint="eastAsia"/>
          <w:sz w:val="32"/>
          <w:szCs w:val="32"/>
        </w:rPr>
        <w:t>联系电话：</w:t>
      </w:r>
      <w:r>
        <w:rPr>
          <w:rFonts w:hint="eastAsia"/>
          <w:sz w:val="32"/>
          <w:szCs w:val="32"/>
          <w:u w:val="single"/>
        </w:rPr>
        <w:t xml:space="preserve">                               </w:t>
      </w:r>
      <w:r>
        <w:rPr>
          <w:rFonts w:hint="eastAsia"/>
          <w:sz w:val="32"/>
          <w:szCs w:val="32"/>
        </w:rPr>
        <w:t xml:space="preserve">                            </w:t>
      </w:r>
    </w:p>
    <w:p>
      <w:pPr>
        <w:spacing w:line="360" w:lineRule="auto"/>
        <w:rPr>
          <w:szCs w:val="21"/>
        </w:rPr>
      </w:pPr>
    </w:p>
    <w:p>
      <w:pPr>
        <w:spacing w:line="360" w:lineRule="auto"/>
        <w:ind w:firstLine="960" w:firstLineChars="300"/>
        <w:rPr>
          <w:sz w:val="32"/>
          <w:szCs w:val="32"/>
        </w:rPr>
      </w:pPr>
      <w:r>
        <w:rPr>
          <w:rFonts w:hint="eastAsia"/>
          <w:sz w:val="32"/>
          <w:szCs w:val="32"/>
        </w:rPr>
        <w:t>时    间：2024年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pPr>
        <w:pStyle w:val="4"/>
        <w:spacing w:before="0" w:after="0" w:line="360" w:lineRule="exact"/>
        <w:jc w:val="both"/>
        <w:rPr>
          <w:sz w:val="21"/>
          <w:szCs w:val="21"/>
        </w:rPr>
      </w:pPr>
      <w:r>
        <w:rPr>
          <w:rFonts w:hint="eastAsia"/>
          <w:sz w:val="21"/>
          <w:szCs w:val="21"/>
        </w:rPr>
        <w:t>（目录指引）</w:t>
      </w:r>
    </w:p>
    <w:tbl>
      <w:tblPr>
        <w:tblStyle w:val="1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61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054" w:type="dxa"/>
            <w:gridSpan w:val="3"/>
            <w:tcBorders>
              <w:top w:val="nil"/>
              <w:left w:val="nil"/>
              <w:bottom w:val="single" w:color="auto" w:sz="4" w:space="0"/>
              <w:right w:val="nil"/>
            </w:tcBorders>
          </w:tcPr>
          <w:p>
            <w:pPr>
              <w:adjustRightInd w:val="0"/>
              <w:snapToGrid w:val="0"/>
              <w:rPr>
                <w:rFonts w:ascii="宋体" w:hAnsi="宋体" w:cs="宋体"/>
                <w:bCs/>
                <w:szCs w:val="21"/>
              </w:rPr>
            </w:pPr>
            <w:r>
              <w:rPr>
                <w:rFonts w:hint="eastAsia" w:ascii="宋体" w:hAnsi="宋体" w:cs="宋体"/>
                <w:bCs/>
                <w:szCs w:val="21"/>
              </w:rPr>
              <w:t>项目名称：</w:t>
            </w:r>
          </w:p>
        </w:tc>
        <w:tc>
          <w:tcPr>
            <w:tcW w:w="4665" w:type="dxa"/>
            <w:tcBorders>
              <w:top w:val="nil"/>
              <w:left w:val="nil"/>
              <w:bottom w:val="single" w:color="auto" w:sz="4" w:space="0"/>
              <w:right w:val="nil"/>
            </w:tcBorders>
          </w:tcPr>
          <w:p>
            <w:pPr>
              <w:adjustRightInd w:val="0"/>
              <w:snapToGrid w:val="0"/>
              <w:rPr>
                <w:rFonts w:ascii="宋体" w:hAnsi="宋体" w:cs="宋体"/>
                <w:bCs/>
                <w:szCs w:val="21"/>
              </w:rPr>
            </w:pPr>
            <w:r>
              <w:rPr>
                <w:rFonts w:hint="eastAsia" w:ascii="宋体" w:hAnsi="宋体" w:cs="宋体"/>
                <w:bCs/>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54" w:type="dxa"/>
            <w:gridSpan w:val="3"/>
            <w:tcBorders>
              <w:top w:val="single" w:color="auto" w:sz="4" w:space="0"/>
            </w:tcBorders>
          </w:tcPr>
          <w:p>
            <w:pPr>
              <w:jc w:val="center"/>
              <w:rPr>
                <w:rFonts w:ascii="宋体" w:hAnsi="宋体" w:cs="宋体"/>
                <w:b/>
                <w:szCs w:val="21"/>
              </w:rPr>
            </w:pPr>
            <w:r>
              <w:rPr>
                <w:rFonts w:hint="eastAsia" w:ascii="宋体" w:hAnsi="宋体" w:cs="宋体"/>
                <w:b/>
                <w:szCs w:val="21"/>
              </w:rPr>
              <w:t>指引内容</w:t>
            </w:r>
          </w:p>
          <w:p>
            <w:pPr>
              <w:jc w:val="center"/>
              <w:rPr>
                <w:rFonts w:ascii="宋体" w:hAnsi="宋体" w:cs="宋体"/>
                <w:b/>
                <w:szCs w:val="21"/>
              </w:rPr>
            </w:pPr>
            <w:r>
              <w:rPr>
                <w:rFonts w:hint="eastAsia" w:ascii="宋体" w:hAnsi="宋体" w:cs="宋体"/>
                <w:b/>
                <w:szCs w:val="21"/>
              </w:rPr>
              <w:t>指引部分名称及代号</w:t>
            </w:r>
          </w:p>
        </w:tc>
        <w:tc>
          <w:tcPr>
            <w:tcW w:w="4665" w:type="dxa"/>
            <w:tcBorders>
              <w:top w:val="single" w:color="auto" w:sz="4" w:space="0"/>
            </w:tcBorders>
            <w:vAlign w:val="center"/>
          </w:tcPr>
          <w:p>
            <w:pPr>
              <w:jc w:val="center"/>
              <w:rPr>
                <w:rFonts w:ascii="宋体" w:hAnsi="宋体" w:cs="宋体"/>
                <w:b/>
                <w:szCs w:val="21"/>
              </w:rPr>
            </w:pPr>
            <w:r>
              <w:rPr>
                <w:rFonts w:hint="eastAsia" w:ascii="宋体" w:hAnsi="宋体" w:cs="宋体"/>
                <w:b/>
                <w:szCs w:val="21"/>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jc w:val="center"/>
              <w:rPr>
                <w:rFonts w:ascii="宋体" w:hAnsi="宋体" w:cs="宋体"/>
                <w:b/>
                <w:szCs w:val="21"/>
              </w:rPr>
            </w:pPr>
            <w:r>
              <w:rPr>
                <w:rFonts w:hint="eastAsia" w:ascii="宋体" w:hAnsi="宋体" w:cs="宋体"/>
                <w:b/>
                <w:szCs w:val="21"/>
              </w:rPr>
              <w:t>资格性及符合性检查</w:t>
            </w:r>
          </w:p>
        </w:tc>
        <w:tc>
          <w:tcPr>
            <w:tcW w:w="1255" w:type="dxa"/>
            <w:vMerge w:val="restart"/>
            <w:vAlign w:val="center"/>
          </w:tcPr>
          <w:p>
            <w:pPr>
              <w:jc w:val="center"/>
              <w:rPr>
                <w:rFonts w:ascii="宋体" w:hAnsi="宋体" w:cs="宋体"/>
                <w:b/>
                <w:szCs w:val="21"/>
              </w:rPr>
            </w:pPr>
            <w:r>
              <w:rPr>
                <w:rFonts w:hint="eastAsia" w:ascii="宋体" w:hAnsi="宋体" w:cs="宋体"/>
                <w:b/>
                <w:szCs w:val="21"/>
              </w:rPr>
              <w:t>资格性</w:t>
            </w:r>
          </w:p>
        </w:tc>
        <w:tc>
          <w:tcPr>
            <w:tcW w:w="1615" w:type="dxa"/>
            <w:vAlign w:val="center"/>
          </w:tcPr>
          <w:p>
            <w:pPr>
              <w:jc w:val="center"/>
              <w:rPr>
                <w:rFonts w:ascii="宋体" w:hAnsi="宋体" w:cs="宋体"/>
                <w:b/>
                <w:szCs w:val="21"/>
              </w:rPr>
            </w:pPr>
            <w:r>
              <w:rPr>
                <w:rFonts w:hint="eastAsia" w:ascii="宋体" w:hAnsi="宋体" w:cs="宋体"/>
                <w:b/>
                <w:szCs w:val="21"/>
              </w:rPr>
              <w:t>1</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2</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3</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w:t>
            </w:r>
          </w:p>
        </w:tc>
        <w:tc>
          <w:tcPr>
            <w:tcW w:w="4665" w:type="dxa"/>
            <w:vAlign w:val="center"/>
          </w:tcPr>
          <w:p>
            <w:pPr>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restart"/>
            <w:vAlign w:val="center"/>
          </w:tcPr>
          <w:p>
            <w:pPr>
              <w:jc w:val="center"/>
              <w:rPr>
                <w:rFonts w:ascii="宋体" w:hAnsi="宋体" w:cs="宋体"/>
                <w:b/>
                <w:szCs w:val="21"/>
              </w:rPr>
            </w:pPr>
            <w:r>
              <w:rPr>
                <w:rFonts w:hint="eastAsia" w:ascii="宋体" w:hAnsi="宋体" w:cs="宋体"/>
                <w:b/>
                <w:szCs w:val="21"/>
              </w:rPr>
              <w:t>符合性</w:t>
            </w:r>
          </w:p>
        </w:tc>
        <w:tc>
          <w:tcPr>
            <w:tcW w:w="1615" w:type="dxa"/>
            <w:vAlign w:val="center"/>
          </w:tcPr>
          <w:p>
            <w:pPr>
              <w:jc w:val="center"/>
              <w:rPr>
                <w:rFonts w:ascii="宋体" w:hAnsi="宋体" w:cs="宋体"/>
                <w:b/>
                <w:szCs w:val="21"/>
              </w:rPr>
            </w:pPr>
            <w:r>
              <w:rPr>
                <w:rFonts w:hint="eastAsia" w:ascii="宋体" w:hAnsi="宋体" w:cs="宋体"/>
                <w:b/>
                <w:szCs w:val="21"/>
              </w:rPr>
              <w:t>1</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2</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3</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w:t>
            </w:r>
          </w:p>
        </w:tc>
        <w:tc>
          <w:tcPr>
            <w:tcW w:w="4665" w:type="dxa"/>
            <w:vAlign w:val="center"/>
          </w:tcPr>
          <w:p>
            <w:pPr>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jc w:val="center"/>
              <w:rPr>
                <w:rFonts w:ascii="宋体" w:hAnsi="宋体" w:cs="宋体"/>
                <w:b/>
                <w:szCs w:val="21"/>
              </w:rPr>
            </w:pPr>
            <w:r>
              <w:rPr>
                <w:rFonts w:hint="eastAsia" w:ascii="宋体" w:hAnsi="宋体" w:cs="宋体"/>
                <w:b/>
                <w:szCs w:val="21"/>
              </w:rPr>
              <w:t>综合评分</w:t>
            </w:r>
          </w:p>
        </w:tc>
        <w:tc>
          <w:tcPr>
            <w:tcW w:w="1255" w:type="dxa"/>
            <w:vMerge w:val="restart"/>
            <w:vAlign w:val="center"/>
          </w:tcPr>
          <w:p>
            <w:pPr>
              <w:jc w:val="center"/>
              <w:rPr>
                <w:rFonts w:ascii="宋体" w:hAnsi="宋体" w:cs="宋体"/>
                <w:b/>
                <w:szCs w:val="21"/>
              </w:rPr>
            </w:pPr>
            <w:r>
              <w:rPr>
                <w:rFonts w:hint="eastAsia" w:ascii="宋体" w:hAnsi="宋体" w:cs="宋体"/>
                <w:b/>
                <w:szCs w:val="21"/>
              </w:rPr>
              <w:t>技术打分</w:t>
            </w:r>
          </w:p>
        </w:tc>
        <w:tc>
          <w:tcPr>
            <w:tcW w:w="1615" w:type="dxa"/>
            <w:vAlign w:val="center"/>
          </w:tcPr>
          <w:p>
            <w:pPr>
              <w:jc w:val="center"/>
              <w:rPr>
                <w:rFonts w:ascii="宋体" w:hAnsi="宋体" w:cs="宋体"/>
                <w:b/>
                <w:szCs w:val="21"/>
              </w:rPr>
            </w:pPr>
            <w:r>
              <w:rPr>
                <w:rFonts w:hint="eastAsia" w:ascii="宋体" w:hAnsi="宋体" w:cs="宋体"/>
                <w:b/>
                <w:szCs w:val="21"/>
              </w:rPr>
              <w:t>1</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2</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w:t>
            </w:r>
          </w:p>
        </w:tc>
        <w:tc>
          <w:tcPr>
            <w:tcW w:w="4665" w:type="dxa"/>
            <w:vAlign w:val="center"/>
          </w:tcPr>
          <w:p>
            <w:pPr>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restart"/>
            <w:vAlign w:val="center"/>
          </w:tcPr>
          <w:p>
            <w:pPr>
              <w:jc w:val="center"/>
              <w:rPr>
                <w:rFonts w:ascii="宋体" w:hAnsi="宋体" w:cs="宋体"/>
                <w:b/>
                <w:szCs w:val="21"/>
              </w:rPr>
            </w:pPr>
            <w:r>
              <w:rPr>
                <w:rFonts w:hint="eastAsia"/>
                <w:b/>
              </w:rPr>
              <w:t>综合实力</w:t>
            </w:r>
          </w:p>
        </w:tc>
        <w:tc>
          <w:tcPr>
            <w:tcW w:w="1615" w:type="dxa"/>
            <w:vAlign w:val="center"/>
          </w:tcPr>
          <w:p>
            <w:pPr>
              <w:jc w:val="center"/>
              <w:rPr>
                <w:rFonts w:ascii="宋体" w:hAnsi="宋体" w:cs="宋体"/>
                <w:b/>
                <w:szCs w:val="21"/>
              </w:rPr>
            </w:pPr>
            <w:r>
              <w:rPr>
                <w:rFonts w:hint="eastAsia" w:ascii="宋体" w:hAnsi="宋体" w:cs="宋体"/>
                <w:b/>
                <w:szCs w:val="21"/>
              </w:rPr>
              <w:t>1</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2</w:t>
            </w:r>
          </w:p>
        </w:tc>
        <w:tc>
          <w:tcPr>
            <w:tcW w:w="4665" w:type="dxa"/>
            <w:vAlign w:val="center"/>
          </w:tcPr>
          <w:p>
            <w:pPr>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rPr>
                <w:rFonts w:ascii="宋体" w:hAnsi="宋体" w:cs="宋体"/>
                <w:b/>
                <w:szCs w:val="21"/>
              </w:rPr>
            </w:pPr>
          </w:p>
        </w:tc>
        <w:tc>
          <w:tcPr>
            <w:tcW w:w="1255" w:type="dxa"/>
            <w:vMerge w:val="continue"/>
          </w:tcPr>
          <w:p>
            <w:pPr>
              <w:rPr>
                <w:rFonts w:ascii="宋体" w:hAnsi="宋体" w:cs="宋体"/>
                <w:b/>
                <w:szCs w:val="21"/>
              </w:rPr>
            </w:pPr>
          </w:p>
        </w:tc>
        <w:tc>
          <w:tcPr>
            <w:tcW w:w="1615" w:type="dxa"/>
            <w:vAlign w:val="center"/>
          </w:tcPr>
          <w:p>
            <w:pPr>
              <w:jc w:val="center"/>
              <w:rPr>
                <w:rFonts w:ascii="宋体" w:hAnsi="宋体" w:cs="宋体"/>
                <w:b/>
                <w:szCs w:val="21"/>
              </w:rPr>
            </w:pPr>
            <w:r>
              <w:rPr>
                <w:rFonts w:hint="eastAsia" w:ascii="宋体" w:hAnsi="宋体" w:cs="宋体"/>
                <w:b/>
                <w:szCs w:val="21"/>
              </w:rPr>
              <w:t>…</w:t>
            </w:r>
          </w:p>
        </w:tc>
        <w:tc>
          <w:tcPr>
            <w:tcW w:w="4665" w:type="dxa"/>
            <w:vAlign w:val="center"/>
          </w:tcPr>
          <w:p>
            <w:pPr>
              <w:jc w:val="center"/>
              <w:rPr>
                <w:rFonts w:ascii="宋体" w:hAnsi="宋体" w:cs="宋体"/>
                <w:szCs w:val="21"/>
              </w:rPr>
            </w:pPr>
            <w:r>
              <w:rPr>
                <w:rFonts w:hint="eastAsia" w:ascii="宋体" w:hAnsi="宋体" w:cs="宋体"/>
                <w:b/>
                <w:szCs w:val="21"/>
              </w:rPr>
              <w:t>…</w:t>
            </w:r>
          </w:p>
        </w:tc>
      </w:tr>
    </w:tbl>
    <w:p>
      <w:pPr>
        <w:pStyle w:val="5"/>
        <w:sectPr>
          <w:headerReference r:id="rId3" w:type="default"/>
          <w:pgSz w:w="11906" w:h="16838"/>
          <w:pgMar w:top="1440" w:right="1134" w:bottom="1440" w:left="1134" w:header="851" w:footer="992" w:gutter="0"/>
          <w:cols w:space="720" w:num="1"/>
          <w:docGrid w:type="lines" w:linePitch="312" w:charSpace="0"/>
        </w:sectPr>
      </w:pPr>
    </w:p>
    <w:p>
      <w:pPr>
        <w:tabs>
          <w:tab w:val="left" w:pos="2160"/>
          <w:tab w:val="left" w:pos="4725"/>
          <w:tab w:val="left" w:pos="5775"/>
        </w:tabs>
        <w:rPr>
          <w:rFonts w:ascii="宋体" w:hAnsi="宋体"/>
          <w:b/>
          <w:bCs/>
          <w:szCs w:val="21"/>
        </w:rPr>
      </w:pPr>
      <w:r>
        <w:rPr>
          <w:rFonts w:hint="eastAsia" w:ascii="宋体" w:hAnsi="宋体"/>
          <w:b/>
          <w:bCs/>
          <w:szCs w:val="21"/>
        </w:rPr>
        <w:t>（一）第一部分：</w:t>
      </w:r>
      <w:r>
        <w:rPr>
          <w:rFonts w:hint="eastAsia" w:ascii="仿宋" w:hAnsi="仿宋" w:eastAsia="仿宋"/>
          <w:b/>
          <w:color w:val="000000"/>
          <w:sz w:val="24"/>
        </w:rPr>
        <w:t>报价</w:t>
      </w:r>
      <w:r>
        <w:rPr>
          <w:rFonts w:hint="eastAsia" w:ascii="宋体" w:hAnsi="宋体"/>
          <w:b/>
          <w:bCs/>
          <w:szCs w:val="21"/>
        </w:rPr>
        <w:t>清单</w:t>
      </w:r>
    </w:p>
    <w:p>
      <w:pPr>
        <w:spacing w:line="360" w:lineRule="exact"/>
        <w:rPr>
          <w:rFonts w:ascii="宋体" w:hAnsi="宋体" w:eastAsia="仿宋"/>
          <w:b/>
          <w:bCs/>
          <w:szCs w:val="21"/>
        </w:rPr>
      </w:pPr>
      <w:r>
        <w:rPr>
          <w:rFonts w:hint="eastAsia" w:ascii="仿宋" w:hAnsi="仿宋" w:eastAsia="仿宋"/>
          <w:b/>
          <w:color w:val="000000"/>
          <w:sz w:val="24"/>
        </w:rPr>
        <w:t>附件一、报价清单（</w:t>
      </w:r>
      <w:r>
        <w:rPr>
          <w:rFonts w:hint="eastAsia"/>
          <w:b/>
          <w:bCs/>
        </w:rPr>
        <w:t>包括在投标总价内</w:t>
      </w:r>
      <w:r>
        <w:rPr>
          <w:rFonts w:hint="eastAsia" w:ascii="仿宋" w:hAnsi="仿宋" w:eastAsia="仿宋"/>
          <w:b/>
          <w:color w:val="000000"/>
          <w:sz w:val="24"/>
        </w:rPr>
        <w:t>）</w:t>
      </w:r>
    </w:p>
    <w:p>
      <w:pPr>
        <w:pStyle w:val="4"/>
        <w:spacing w:before="0" w:after="0" w:line="360" w:lineRule="exact"/>
        <w:ind w:firstLine="949" w:firstLineChars="450"/>
        <w:jc w:val="right"/>
        <w:rPr>
          <w:b w:val="0"/>
          <w:bCs w:val="0"/>
          <w:kern w:val="2"/>
          <w:sz w:val="21"/>
          <w:szCs w:val="21"/>
        </w:rPr>
      </w:pPr>
      <w:r>
        <w:rPr>
          <w:rFonts w:hint="eastAsia"/>
          <w:sz w:val="21"/>
          <w:szCs w:val="21"/>
        </w:rPr>
        <w:t>报价单位：人民币元</w:t>
      </w:r>
    </w:p>
    <w:tbl>
      <w:tblPr>
        <w:tblStyle w:val="17"/>
        <w:tblW w:w="4144" w:type="pct"/>
        <w:jc w:val="center"/>
        <w:tblLayout w:type="autofit"/>
        <w:tblCellMar>
          <w:top w:w="0" w:type="dxa"/>
          <w:left w:w="108" w:type="dxa"/>
          <w:bottom w:w="0" w:type="dxa"/>
          <w:right w:w="108" w:type="dxa"/>
        </w:tblCellMar>
      </w:tblPr>
      <w:tblGrid>
        <w:gridCol w:w="654"/>
        <w:gridCol w:w="2553"/>
        <w:gridCol w:w="637"/>
        <w:gridCol w:w="636"/>
        <w:gridCol w:w="636"/>
        <w:gridCol w:w="1947"/>
      </w:tblGrid>
      <w:tr>
        <w:tblPrEx>
          <w:tblCellMar>
            <w:top w:w="0" w:type="dxa"/>
            <w:left w:w="108" w:type="dxa"/>
            <w:bottom w:w="0" w:type="dxa"/>
            <w:right w:w="108" w:type="dxa"/>
          </w:tblCellMar>
        </w:tblPrEx>
        <w:trPr>
          <w:trHeight w:val="459"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r>
              <w:rPr>
                <w:rFonts w:hint="eastAsia" w:ascii="宋体" w:hAnsi="宋体" w:cs="宋体"/>
                <w:kern w:val="0"/>
                <w:szCs w:val="21"/>
              </w:rPr>
              <w:t>序号</w:t>
            </w:r>
          </w:p>
        </w:tc>
        <w:tc>
          <w:tcPr>
            <w:tcW w:w="1807" w:type="pct"/>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kern w:val="0"/>
                <w:szCs w:val="21"/>
              </w:rPr>
            </w:pPr>
            <w:r>
              <w:rPr>
                <w:rFonts w:hint="eastAsia" w:ascii="宋体" w:hAnsi="宋体" w:cs="宋体"/>
                <w:b/>
                <w:bCs/>
                <w:color w:val="000000"/>
                <w:kern w:val="0"/>
                <w:sz w:val="22"/>
                <w:szCs w:val="22"/>
              </w:rPr>
              <w:t>项目名称</w:t>
            </w:r>
          </w:p>
        </w:tc>
        <w:tc>
          <w:tcPr>
            <w:tcW w:w="45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单位</w:t>
            </w:r>
          </w:p>
        </w:tc>
        <w:tc>
          <w:tcPr>
            <w:tcW w:w="450"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r>
              <w:rPr>
                <w:rFonts w:hint="eastAsia" w:ascii="宋体" w:hAnsi="宋体" w:cs="宋体"/>
                <w:kern w:val="0"/>
                <w:szCs w:val="21"/>
              </w:rPr>
              <w:t>数量</w:t>
            </w:r>
          </w:p>
        </w:tc>
        <w:tc>
          <w:tcPr>
            <w:tcW w:w="450"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r>
              <w:rPr>
                <w:rFonts w:hint="eastAsia" w:ascii="宋体" w:hAnsi="宋体" w:cs="宋体"/>
                <w:kern w:val="0"/>
                <w:szCs w:val="21"/>
              </w:rPr>
              <w:t>单价</w:t>
            </w:r>
          </w:p>
        </w:tc>
        <w:tc>
          <w:tcPr>
            <w:tcW w:w="1378"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r>
              <w:rPr>
                <w:rFonts w:hint="eastAsia" w:ascii="宋体" w:hAnsi="宋体" w:cs="宋体"/>
                <w:kern w:val="0"/>
                <w:szCs w:val="21"/>
              </w:rPr>
              <w:t>合计</w:t>
            </w:r>
          </w:p>
        </w:tc>
      </w:tr>
      <w:tr>
        <w:tblPrEx>
          <w:tblCellMar>
            <w:top w:w="0" w:type="dxa"/>
            <w:left w:w="108" w:type="dxa"/>
            <w:bottom w:w="0" w:type="dxa"/>
            <w:right w:w="108" w:type="dxa"/>
          </w:tblCellMar>
        </w:tblPrEx>
        <w:trPr>
          <w:trHeight w:val="227" w:hRule="atLeast"/>
          <w:jc w:val="center"/>
        </w:trPr>
        <w:tc>
          <w:tcPr>
            <w:tcW w:w="464"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1807" w:type="pct"/>
            <w:tcBorders>
              <w:top w:val="nil"/>
              <w:left w:val="nil"/>
              <w:bottom w:val="single" w:color="auto" w:sz="4" w:space="0"/>
              <w:right w:val="single" w:color="auto" w:sz="4" w:space="0"/>
            </w:tcBorders>
            <w:vAlign w:val="center"/>
          </w:tcPr>
          <w:p>
            <w:pPr>
              <w:spacing w:line="360" w:lineRule="exact"/>
              <w:jc w:val="center"/>
              <w:rPr>
                <w:rFonts w:ascii="宋体" w:hAnsi="宋体"/>
                <w:szCs w:val="21"/>
              </w:rPr>
            </w:pPr>
          </w:p>
        </w:tc>
        <w:tc>
          <w:tcPr>
            <w:tcW w:w="451" w:type="pct"/>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c>
          <w:tcPr>
            <w:tcW w:w="450" w:type="pct"/>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450" w:type="pct"/>
            <w:tcBorders>
              <w:top w:val="nil"/>
              <w:left w:val="nil"/>
              <w:bottom w:val="single" w:color="auto" w:sz="4" w:space="0"/>
              <w:right w:val="single" w:color="auto" w:sz="4" w:space="0"/>
            </w:tcBorders>
            <w:noWrap/>
            <w:vAlign w:val="center"/>
          </w:tcPr>
          <w:p>
            <w:pPr>
              <w:spacing w:line="360" w:lineRule="exact"/>
              <w:jc w:val="center"/>
              <w:rPr>
                <w:rFonts w:ascii="宋体" w:hAnsi="宋体" w:cs="宋体"/>
                <w:kern w:val="0"/>
                <w:szCs w:val="21"/>
              </w:rPr>
            </w:pPr>
          </w:p>
        </w:tc>
        <w:tc>
          <w:tcPr>
            <w:tcW w:w="1378" w:type="pct"/>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227"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1807" w:type="pct"/>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c>
          <w:tcPr>
            <w:tcW w:w="450"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450" w:type="pct"/>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cs="宋体"/>
                <w:kern w:val="0"/>
                <w:szCs w:val="21"/>
              </w:rPr>
            </w:pPr>
          </w:p>
        </w:tc>
        <w:tc>
          <w:tcPr>
            <w:tcW w:w="1378"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r>
        <w:tblPrEx>
          <w:tblCellMar>
            <w:top w:w="0" w:type="dxa"/>
            <w:left w:w="108" w:type="dxa"/>
            <w:bottom w:w="0" w:type="dxa"/>
            <w:right w:w="108" w:type="dxa"/>
          </w:tblCellMar>
        </w:tblPrEx>
        <w:trPr>
          <w:trHeight w:val="227" w:hRule="atLeast"/>
          <w:jc w:val="center"/>
        </w:trPr>
        <w:tc>
          <w:tcPr>
            <w:tcW w:w="46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1807" w:type="pct"/>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c>
          <w:tcPr>
            <w:tcW w:w="450"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s="宋体"/>
                <w:kern w:val="0"/>
                <w:szCs w:val="21"/>
              </w:rPr>
            </w:pPr>
          </w:p>
        </w:tc>
        <w:tc>
          <w:tcPr>
            <w:tcW w:w="450" w:type="pct"/>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cs="宋体"/>
                <w:kern w:val="0"/>
                <w:szCs w:val="21"/>
              </w:rPr>
            </w:pPr>
          </w:p>
        </w:tc>
        <w:tc>
          <w:tcPr>
            <w:tcW w:w="1378"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szCs w:val="21"/>
              </w:rPr>
            </w:pPr>
          </w:p>
        </w:tc>
      </w:tr>
    </w:tbl>
    <w:p>
      <w:pPr>
        <w:widowControl/>
        <w:spacing w:line="360" w:lineRule="exact"/>
        <w:jc w:val="center"/>
        <w:rPr>
          <w:rFonts w:ascii="宋体" w:hAnsi="宋体" w:cs="宋体"/>
          <w:b/>
          <w:bCs/>
          <w:color w:val="000000"/>
          <w:kern w:val="0"/>
          <w:szCs w:val="21"/>
        </w:rPr>
      </w:pPr>
      <w:r>
        <w:rPr>
          <w:rFonts w:hint="eastAsia" w:ascii="宋体" w:hAnsi="宋体"/>
          <w:snapToGrid w:val="0"/>
          <w:color w:val="FF0000"/>
          <w:kern w:val="0"/>
          <w:szCs w:val="21"/>
        </w:rPr>
        <w:t>注：项目投标报价不得高于公示的控制金额，否则作投标无效处理。</w:t>
      </w:r>
    </w:p>
    <w:p>
      <w:pPr>
        <w:ind w:firstLine="482" w:firstLineChars="200"/>
        <w:rPr>
          <w:rFonts w:ascii="宋体" w:hAnsi="宋体"/>
          <w:b/>
          <w:sz w:val="24"/>
        </w:rPr>
      </w:pPr>
      <w:r>
        <w:rPr>
          <w:rFonts w:hint="eastAsia"/>
          <w:b/>
          <w:sz w:val="24"/>
        </w:rPr>
        <w:t>我公司所投核心产品的品牌为：</w:t>
      </w:r>
      <w:r>
        <w:rPr>
          <w:rFonts w:hint="eastAsia" w:ascii="宋体" w:hAnsi="宋体" w:cs="宋体"/>
          <w:kern w:val="0"/>
          <w:sz w:val="22"/>
          <w:u w:val="single"/>
        </w:rPr>
        <w:t xml:space="preserve"> </w:t>
      </w:r>
      <w:r>
        <w:rPr>
          <w:rFonts w:ascii="宋体" w:hAnsi="宋体" w:cs="宋体"/>
          <w:kern w:val="0"/>
          <w:sz w:val="22"/>
          <w:u w:val="single"/>
        </w:rPr>
        <w:t xml:space="preserve">              </w:t>
      </w:r>
      <w:r>
        <w:rPr>
          <w:rFonts w:hint="eastAsia"/>
          <w:b/>
          <w:sz w:val="24"/>
        </w:rPr>
        <w:t>。</w:t>
      </w:r>
    </w:p>
    <w:p>
      <w:pPr>
        <w:ind w:firstLine="482" w:firstLineChars="200"/>
        <w:rPr>
          <w:rFonts w:ascii="宋体" w:hAnsi="宋体"/>
          <w:b/>
          <w:sz w:val="24"/>
        </w:rPr>
      </w:pPr>
    </w:p>
    <w:p>
      <w:pPr>
        <w:ind w:firstLine="480" w:firstLineChars="200"/>
        <w:rPr>
          <w:rFonts w:ascii="宋体" w:hAnsi="宋体"/>
          <w:sz w:val="24"/>
        </w:rPr>
      </w:pPr>
      <w:r>
        <w:rPr>
          <w:rFonts w:hint="eastAsia" w:ascii="宋体" w:hAnsi="宋体"/>
          <w:sz w:val="24"/>
        </w:rPr>
        <w:t>备注：招标文件未列明核心品牌的，投标人无需填写核心产品品牌。</w:t>
      </w:r>
    </w:p>
    <w:p>
      <w:pPr>
        <w:spacing w:line="360" w:lineRule="exact"/>
        <w:ind w:firstLine="632" w:firstLineChars="300"/>
        <w:rPr>
          <w:rFonts w:ascii="宋体" w:hAnsi="宋体"/>
          <w:b/>
          <w:color w:val="FF0000"/>
          <w:szCs w:val="21"/>
        </w:rPr>
      </w:pPr>
    </w:p>
    <w:p>
      <w:pPr>
        <w:widowControl/>
        <w:jc w:val="left"/>
        <w:rPr>
          <w:rFonts w:ascii="宋体" w:hAnsi="宋体"/>
          <w:b/>
          <w:sz w:val="30"/>
          <w:szCs w:val="30"/>
        </w:rPr>
      </w:pPr>
    </w:p>
    <w:p>
      <w:pPr>
        <w:widowControl/>
        <w:jc w:val="left"/>
        <w:rPr>
          <w:rFonts w:ascii="宋体" w:hAnsi="宋体"/>
          <w:b/>
          <w:sz w:val="30"/>
          <w:szCs w:val="30"/>
        </w:rPr>
      </w:pPr>
      <w:r>
        <w:rPr>
          <w:rFonts w:ascii="宋体" w:hAnsi="宋体"/>
          <w:b/>
          <w:sz w:val="30"/>
          <w:szCs w:val="30"/>
        </w:rPr>
        <w:br w:type="page"/>
      </w:r>
    </w:p>
    <w:p>
      <w:pPr>
        <w:spacing w:line="360" w:lineRule="auto"/>
        <w:jc w:val="center"/>
        <w:rPr>
          <w:rFonts w:ascii="宋体" w:hAnsi="宋体" w:cs="宋体"/>
          <w:b/>
          <w:bCs/>
          <w:sz w:val="28"/>
        </w:rPr>
      </w:pPr>
      <w:bookmarkStart w:id="4" w:name="_Toc45995264"/>
      <w:r>
        <w:rPr>
          <w:rFonts w:hint="eastAsia" w:ascii="宋体" w:hAnsi="宋体" w:cs="宋体"/>
          <w:b/>
          <w:bCs/>
          <w:sz w:val="28"/>
        </w:rPr>
        <w:t>技术规格偏离表</w:t>
      </w:r>
    </w:p>
    <w:p>
      <w:pPr>
        <w:spacing w:line="360" w:lineRule="auto"/>
        <w:rPr>
          <w:rFonts w:ascii="宋体" w:hAnsi="宋体" w:cs="宋体"/>
          <w:sz w:val="24"/>
          <w:u w:val="single"/>
        </w:rPr>
      </w:pPr>
      <w:r>
        <w:rPr>
          <w:rFonts w:hint="eastAsia" w:ascii="宋体" w:hAnsi="宋体" w:cs="宋体"/>
          <w:sz w:val="24"/>
        </w:rPr>
        <w:t xml:space="preserve">项目名称：                                  招标编号：                </w:t>
      </w:r>
      <w:r>
        <w:rPr>
          <w:rFonts w:hint="eastAsia" w:ascii="宋体" w:hAnsi="宋体" w:cs="宋体"/>
          <w:sz w:val="24"/>
          <w:u w:val="single"/>
        </w:rPr>
        <w:t xml:space="preserve">   </w:t>
      </w:r>
    </w:p>
    <w:tbl>
      <w:tblPr>
        <w:tblStyle w:val="17"/>
        <w:tblW w:w="9060" w:type="dxa"/>
        <w:jc w:val="center"/>
        <w:tblLayout w:type="fixed"/>
        <w:tblCellMar>
          <w:top w:w="0" w:type="dxa"/>
          <w:left w:w="108" w:type="dxa"/>
          <w:bottom w:w="0" w:type="dxa"/>
          <w:right w:w="108" w:type="dxa"/>
        </w:tblCellMar>
      </w:tblPr>
      <w:tblGrid>
        <w:gridCol w:w="1891"/>
        <w:gridCol w:w="2535"/>
        <w:gridCol w:w="2220"/>
        <w:gridCol w:w="1387"/>
        <w:gridCol w:w="1027"/>
      </w:tblGrid>
      <w:tr>
        <w:tblPrEx>
          <w:tblCellMar>
            <w:top w:w="0" w:type="dxa"/>
            <w:left w:w="108" w:type="dxa"/>
            <w:bottom w:w="0" w:type="dxa"/>
            <w:right w:w="108" w:type="dxa"/>
          </w:tblCellMar>
        </w:tblPrEx>
        <w:trPr>
          <w:trHeight w:val="510"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招标文件条目号</w:t>
            </w:r>
          </w:p>
        </w:tc>
        <w:tc>
          <w:tcPr>
            <w:tcW w:w="253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招标技术要求</w:t>
            </w:r>
          </w:p>
        </w:tc>
        <w:tc>
          <w:tcPr>
            <w:tcW w:w="2220" w:type="dxa"/>
            <w:tcBorders>
              <w:top w:val="single" w:color="auto" w:sz="8" w:space="0"/>
              <w:left w:val="nil"/>
              <w:bottom w:val="single" w:color="auto" w:sz="8" w:space="0"/>
              <w:right w:val="single" w:color="auto" w:sz="8" w:space="0"/>
            </w:tcBorders>
            <w:vAlign w:val="center"/>
          </w:tcPr>
          <w:p>
            <w:pPr>
              <w:jc w:val="center"/>
              <w:rPr>
                <w:rFonts w:ascii="宋体" w:hAnsi="宋体" w:cs="宋体"/>
                <w:b/>
                <w:szCs w:val="21"/>
              </w:rPr>
            </w:pPr>
            <w:r>
              <w:rPr>
                <w:rFonts w:hint="eastAsia" w:ascii="宋体" w:hAnsi="宋体" w:cs="宋体"/>
                <w:b/>
                <w:szCs w:val="21"/>
              </w:rPr>
              <w:t>投标响应</w:t>
            </w:r>
          </w:p>
        </w:tc>
        <w:tc>
          <w:tcPr>
            <w:tcW w:w="1387" w:type="dxa"/>
            <w:tcBorders>
              <w:top w:val="single" w:color="auto" w:sz="8" w:space="0"/>
              <w:left w:val="nil"/>
              <w:bottom w:val="single" w:color="auto" w:sz="8" w:space="0"/>
              <w:right w:val="single" w:color="auto" w:sz="8" w:space="0"/>
            </w:tcBorders>
            <w:vAlign w:val="center"/>
          </w:tcPr>
          <w:p>
            <w:pPr>
              <w:jc w:val="center"/>
              <w:rPr>
                <w:rFonts w:ascii="宋体" w:hAnsi="宋体" w:cs="宋体"/>
                <w:b/>
                <w:szCs w:val="21"/>
              </w:rPr>
            </w:pPr>
            <w:r>
              <w:rPr>
                <w:rFonts w:hint="eastAsia" w:ascii="宋体" w:hAnsi="宋体" w:cs="宋体"/>
                <w:b/>
                <w:szCs w:val="21"/>
              </w:rPr>
              <w:t>偏离情况</w:t>
            </w:r>
          </w:p>
        </w:tc>
        <w:tc>
          <w:tcPr>
            <w:tcW w:w="1027" w:type="dxa"/>
            <w:tcBorders>
              <w:top w:val="single" w:color="auto" w:sz="8" w:space="0"/>
              <w:left w:val="nil"/>
              <w:bottom w:val="single" w:color="auto" w:sz="8" w:space="0"/>
              <w:right w:val="single" w:color="auto" w:sz="8" w:space="0"/>
            </w:tcBorders>
            <w:vAlign w:val="center"/>
          </w:tcPr>
          <w:p>
            <w:pPr>
              <w:jc w:val="center"/>
              <w:rPr>
                <w:rFonts w:ascii="宋体" w:hAnsi="宋体" w:cs="宋体"/>
                <w:b/>
                <w:szCs w:val="21"/>
              </w:rPr>
            </w:pPr>
            <w:r>
              <w:rPr>
                <w:rFonts w:hint="eastAsia" w:ascii="宋体" w:hAnsi="宋体" w:cs="宋体"/>
                <w:b/>
                <w:szCs w:val="21"/>
              </w:rPr>
              <w:t>说明</w:t>
            </w:r>
          </w:p>
        </w:tc>
      </w:tr>
      <w:tr>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1</w:t>
            </w:r>
          </w:p>
        </w:tc>
        <w:tc>
          <w:tcPr>
            <w:tcW w:w="253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b/>
                <w:bCs/>
                <w:kern w:val="0"/>
                <w:szCs w:val="21"/>
              </w:rPr>
              <w:t>请投标人自行从</w:t>
            </w:r>
            <w:r>
              <w:rPr>
                <w:rFonts w:hint="eastAsia" w:ascii="宋体" w:hAnsi="宋体" w:cs="宋体"/>
                <w:b/>
                <w:szCs w:val="21"/>
              </w:rPr>
              <w:t>第一章 招标项目需求中具体技术要</w:t>
            </w:r>
            <w:r>
              <w:rPr>
                <w:rFonts w:hint="eastAsia" w:ascii="宋体" w:hAnsi="宋体" w:cs="宋体"/>
                <w:b/>
                <w:bCs/>
                <w:szCs w:val="21"/>
              </w:rPr>
              <w:t>求</w:t>
            </w:r>
            <w:r>
              <w:rPr>
                <w:rFonts w:hint="eastAsia" w:ascii="宋体" w:hAnsi="宋体" w:cs="宋体"/>
                <w:b/>
                <w:bCs/>
                <w:kern w:val="0"/>
                <w:szCs w:val="21"/>
              </w:rPr>
              <w:t>内容复制</w:t>
            </w:r>
          </w:p>
        </w:tc>
        <w:tc>
          <w:tcPr>
            <w:tcW w:w="2220" w:type="dxa"/>
            <w:tcBorders>
              <w:top w:val="single" w:color="auto" w:sz="8" w:space="0"/>
              <w:left w:val="nil"/>
              <w:bottom w:val="single" w:color="auto" w:sz="8" w:space="0"/>
              <w:right w:val="single" w:color="auto" w:sz="8" w:space="0"/>
            </w:tcBorders>
            <w:vAlign w:val="center"/>
          </w:tcPr>
          <w:p>
            <w:pPr>
              <w:spacing w:line="300" w:lineRule="exact"/>
              <w:jc w:val="center"/>
              <w:rPr>
                <w:rFonts w:ascii="宋体" w:hAnsi="宋体" w:cs="宋体"/>
                <w:b/>
                <w:bCs/>
                <w:kern w:val="0"/>
                <w:sz w:val="22"/>
              </w:rPr>
            </w:pPr>
            <w:r>
              <w:rPr>
                <w:rFonts w:hint="eastAsia" w:ascii="宋体" w:hAnsi="宋体" w:cs="宋体"/>
                <w:b/>
                <w:bCs/>
                <w:kern w:val="0"/>
                <w:szCs w:val="21"/>
              </w:rPr>
              <w:t>投标人根据实际情况在此处进行响应</w:t>
            </w:r>
          </w:p>
        </w:tc>
        <w:tc>
          <w:tcPr>
            <w:tcW w:w="1387" w:type="dxa"/>
            <w:tcBorders>
              <w:top w:val="single" w:color="auto" w:sz="8" w:space="0"/>
              <w:left w:val="nil"/>
              <w:bottom w:val="single" w:color="auto" w:sz="8" w:space="0"/>
              <w:right w:val="single" w:color="auto" w:sz="8" w:space="0"/>
            </w:tcBorders>
            <w:vAlign w:val="center"/>
          </w:tcPr>
          <w:p>
            <w:pPr>
              <w:spacing w:line="300" w:lineRule="exact"/>
              <w:jc w:val="center"/>
              <w:rPr>
                <w:rFonts w:ascii="宋体" w:hAnsi="宋体" w:cs="宋体"/>
                <w:b/>
                <w:bCs/>
                <w:kern w:val="0"/>
                <w:sz w:val="22"/>
              </w:rPr>
            </w:pPr>
            <w:r>
              <w:rPr>
                <w:rFonts w:hint="eastAsia" w:ascii="宋体" w:hAnsi="宋体" w:cs="宋体"/>
                <w:b/>
                <w:bCs/>
                <w:kern w:val="0"/>
                <w:szCs w:val="21"/>
              </w:rPr>
              <w:t>填“正偏离”或“无偏离”或“负偏离”</w:t>
            </w:r>
          </w:p>
        </w:tc>
        <w:tc>
          <w:tcPr>
            <w:tcW w:w="102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2</w:t>
            </w:r>
          </w:p>
        </w:tc>
        <w:tc>
          <w:tcPr>
            <w:tcW w:w="253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3</w:t>
            </w:r>
          </w:p>
        </w:tc>
        <w:tc>
          <w:tcPr>
            <w:tcW w:w="253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397" w:hRule="atLeast"/>
          <w:jc w:val="center"/>
        </w:trPr>
        <w:tc>
          <w:tcPr>
            <w:tcW w:w="1891"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kern w:val="0"/>
                <w:sz w:val="22"/>
              </w:rPr>
            </w:pPr>
            <w:r>
              <w:rPr>
                <w:rFonts w:hint="eastAsia" w:ascii="宋体" w:hAnsi="宋体" w:cs="宋体"/>
                <w:b/>
                <w:bCs/>
                <w:kern w:val="0"/>
                <w:sz w:val="22"/>
              </w:rPr>
              <w:t>...</w:t>
            </w:r>
          </w:p>
        </w:tc>
        <w:tc>
          <w:tcPr>
            <w:tcW w:w="2535"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Cs w:val="21"/>
              </w:rPr>
            </w:pPr>
          </w:p>
        </w:tc>
        <w:tc>
          <w:tcPr>
            <w:tcW w:w="2220"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38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c>
          <w:tcPr>
            <w:tcW w:w="1027"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22"/>
              </w:rPr>
            </w:pPr>
          </w:p>
        </w:tc>
      </w:tr>
    </w:tbl>
    <w:p>
      <w:pPr>
        <w:spacing w:line="360" w:lineRule="auto"/>
        <w:jc w:val="left"/>
        <w:rPr>
          <w:rFonts w:ascii="宋体" w:hAnsi="宋体" w:cs="宋体"/>
          <w:sz w:val="24"/>
          <w:szCs w:val="28"/>
        </w:rPr>
      </w:pPr>
    </w:p>
    <w:p>
      <w:pPr>
        <w:spacing w:line="360" w:lineRule="auto"/>
        <w:jc w:val="left"/>
        <w:rPr>
          <w:rFonts w:ascii="宋体" w:hAnsi="宋体" w:cs="宋体"/>
          <w:bCs/>
          <w:szCs w:val="21"/>
          <w:u w:val="single"/>
        </w:rPr>
      </w:pPr>
      <w:r>
        <w:rPr>
          <w:rFonts w:hint="eastAsia" w:ascii="宋体" w:hAnsi="宋体" w:cs="宋体"/>
          <w:bCs/>
          <w:szCs w:val="21"/>
        </w:rPr>
        <w:t>注：1、</w:t>
      </w:r>
      <w:r>
        <w:rPr>
          <w:rFonts w:hint="eastAsia" w:ascii="宋体" w:hAnsi="宋体" w:cs="宋体"/>
          <w:bCs/>
          <w:szCs w:val="21"/>
          <w:u w:val="single"/>
        </w:rPr>
        <w:t>投标人应对照招标文件技术规格（详见招标文件“</w:t>
      </w:r>
      <w:r>
        <w:rPr>
          <w:rFonts w:hint="eastAsia" w:ascii="宋体" w:hAnsi="宋体" w:cs="宋体"/>
          <w:b/>
          <w:szCs w:val="21"/>
          <w:u w:val="single"/>
        </w:rPr>
        <w:t>第一册 专用条款 第二章 招标项目需求 中 具体技术要</w:t>
      </w:r>
      <w:r>
        <w:rPr>
          <w:rFonts w:hint="eastAsia" w:ascii="宋体" w:hAnsi="宋体" w:cs="宋体"/>
          <w:b/>
          <w:bCs/>
          <w:szCs w:val="21"/>
          <w:u w:val="single"/>
        </w:rPr>
        <w:t>求</w:t>
      </w:r>
      <w:r>
        <w:rPr>
          <w:rFonts w:hint="eastAsia" w:ascii="宋体" w:hAnsi="宋体" w:cs="宋体"/>
          <w:bCs/>
          <w:szCs w:val="21"/>
          <w:u w:val="single"/>
        </w:rPr>
        <w:t>”）条目号逐项填写，不得有任何遗漏，"投标响应"一栏必须详细填写投标产品的具体参数，否则评审委员会有权认定为不合格响应。</w:t>
      </w:r>
    </w:p>
    <w:p>
      <w:pPr>
        <w:spacing w:line="360" w:lineRule="auto"/>
        <w:ind w:firstLine="420" w:firstLineChars="200"/>
        <w:jc w:val="left"/>
        <w:rPr>
          <w:rFonts w:ascii="宋体" w:hAnsi="宋体" w:cs="宋体"/>
        </w:rPr>
      </w:pPr>
      <w:r>
        <w:rPr>
          <w:rFonts w:hint="eastAsia" w:ascii="宋体" w:hAnsi="宋体" w:cs="宋体"/>
          <w:szCs w:val="21"/>
        </w:rPr>
        <w:t>2、技术要求中标注“★”的条款为实质性要求和条件条款，投标文件对此项负偏离将导致不能通过符合性审查；标注“▲”的条款为评分时的关键指标，投标文件对此项负偏离不会导致投标无效；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pPr>
        <w:spacing w:line="360" w:lineRule="auto"/>
        <w:ind w:firstLine="420" w:firstLineChars="200"/>
        <w:jc w:val="left"/>
        <w:rPr>
          <w:rFonts w:ascii="宋体" w:hAnsi="宋体" w:cs="宋体"/>
          <w:szCs w:val="21"/>
        </w:rPr>
      </w:pPr>
      <w:r>
        <w:rPr>
          <w:rFonts w:hint="eastAsia" w:ascii="宋体" w:hAnsi="宋体" w:cs="宋体"/>
          <w:szCs w:val="21"/>
        </w:rPr>
        <w:t>3. 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ind w:firstLine="420" w:firstLineChars="200"/>
        <w:jc w:val="left"/>
        <w:rPr>
          <w:rFonts w:ascii="宋体" w:hAnsi="宋体" w:cs="宋体"/>
          <w:szCs w:val="21"/>
        </w:rPr>
      </w:pPr>
      <w:r>
        <w:rPr>
          <w:rFonts w:hint="eastAsia" w:ascii="宋体" w:hAnsi="宋体" w:cs="宋体"/>
          <w:szCs w:val="21"/>
        </w:rPr>
        <w:t>4. 证明资料（均为原件复印件）的提供要求：</w:t>
      </w:r>
    </w:p>
    <w:p>
      <w:pPr>
        <w:spacing w:line="360" w:lineRule="auto"/>
        <w:ind w:firstLine="420" w:firstLineChars="200"/>
        <w:jc w:val="left"/>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spacing w:line="360" w:lineRule="auto"/>
        <w:ind w:firstLine="420" w:firstLineChars="200"/>
        <w:jc w:val="left"/>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（2）我国政府机构出具的产品检验和核准证件应为证件正面、背面和附件标注的全部具体内容；产品检验和核准证件的尺寸和清晰度应该能够在电脑上被阅读、识别和判断。</w:t>
      </w:r>
    </w:p>
    <w:p>
      <w:pPr>
        <w:spacing w:line="360" w:lineRule="auto"/>
        <w:ind w:firstLine="420" w:firstLineChars="200"/>
        <w:jc w:val="left"/>
        <w:rPr>
          <w:rFonts w:ascii="宋体" w:hAnsi="宋体" w:cs="宋体"/>
          <w:szCs w:val="21"/>
        </w:rPr>
      </w:pPr>
      <w:r>
        <w:rPr>
          <w:rFonts w:hint="eastAsia" w:ascii="宋体" w:hAnsi="宋体" w:cs="宋体"/>
          <w:szCs w:val="21"/>
        </w:rPr>
        <w:t>未达到以上提供要求的，评审委员会有权认定为不合格响应的，其相关分数予以扣减或作废标处理。</w:t>
      </w:r>
    </w:p>
    <w:p>
      <w:pPr>
        <w:spacing w:line="360" w:lineRule="auto"/>
        <w:ind w:firstLine="420" w:firstLineChars="200"/>
        <w:jc w:val="left"/>
        <w:rPr>
          <w:rFonts w:ascii="宋体" w:hAnsi="宋体" w:cs="宋体"/>
          <w:szCs w:val="21"/>
        </w:rPr>
      </w:pPr>
      <w:r>
        <w:rPr>
          <w:rFonts w:hint="eastAsia" w:ascii="宋体" w:hAnsi="宋体" w:cs="宋体"/>
          <w:szCs w:val="21"/>
        </w:rPr>
        <w:t>5. 评审委员会有权对以谋取中标为目的的技术要求模糊响应（如有意照搬照抄招标文件的技术要求）或虚假响应予以认定，并视情况经集中采购机构报区政府采购监督管理部门予以处罚。</w:t>
      </w:r>
    </w:p>
    <w:p>
      <w:pPr>
        <w:spacing w:line="360" w:lineRule="auto"/>
        <w:ind w:firstLine="420" w:firstLineChars="200"/>
        <w:jc w:val="left"/>
        <w:rPr>
          <w:rFonts w:ascii="宋体" w:hAnsi="宋体" w:cs="宋体"/>
          <w:szCs w:val="21"/>
        </w:rPr>
      </w:pPr>
      <w:r>
        <w:rPr>
          <w:rFonts w:hint="eastAsia" w:ascii="宋体" w:hAnsi="宋体" w:cs="宋体"/>
          <w:szCs w:val="21"/>
        </w:rPr>
        <w:t>6. 如有偏离，应在“偏离情况”栏内注明“有”，并在“说明”栏内予以说明；如无偏离，应在“偏离情况”栏内注明“无”。</w:t>
      </w:r>
    </w:p>
    <w:bookmarkEnd w:id="4"/>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widowControl/>
        <w:jc w:val="left"/>
        <w:rPr>
          <w:rFonts w:ascii="宋体" w:hAnsi="宋体"/>
          <w:b/>
          <w:sz w:val="30"/>
          <w:szCs w:val="30"/>
        </w:rPr>
      </w:pPr>
    </w:p>
    <w:p>
      <w:pPr>
        <w:spacing w:line="360" w:lineRule="auto"/>
        <w:jc w:val="center"/>
        <w:rPr>
          <w:rFonts w:ascii="宋体" w:hAnsi="宋体" w:cs="宋体"/>
          <w:b/>
          <w:bCs/>
          <w:sz w:val="28"/>
        </w:rPr>
      </w:pPr>
      <w:r>
        <w:rPr>
          <w:rFonts w:ascii="宋体" w:hAnsi="宋体"/>
          <w:b/>
          <w:sz w:val="30"/>
          <w:szCs w:val="30"/>
        </w:rPr>
        <w:br w:type="page"/>
      </w:r>
      <w:r>
        <w:rPr>
          <w:rFonts w:hint="eastAsia" w:ascii="宋体" w:hAnsi="宋体" w:cs="宋体"/>
          <w:b/>
          <w:bCs/>
          <w:sz w:val="28"/>
        </w:rPr>
        <w:t>商务条款偏离表</w:t>
      </w:r>
    </w:p>
    <w:p>
      <w:pPr>
        <w:spacing w:line="360" w:lineRule="auto"/>
        <w:rPr>
          <w:rFonts w:ascii="宋体" w:hAnsi="宋体" w:cs="宋体"/>
          <w:sz w:val="24"/>
          <w:u w:val="single"/>
        </w:rPr>
      </w:pPr>
      <w:r>
        <w:rPr>
          <w:rFonts w:hint="eastAsia" w:ascii="宋体" w:hAnsi="宋体" w:cs="宋体"/>
          <w:sz w:val="24"/>
        </w:rPr>
        <w:t xml:space="preserve">项目名称：                                  招标编号：                </w:t>
      </w:r>
      <w:r>
        <w:rPr>
          <w:rFonts w:hint="eastAsia" w:ascii="宋体" w:hAnsi="宋体" w:cs="宋体"/>
          <w:sz w:val="24"/>
          <w:u w:val="single"/>
        </w:rPr>
        <w:t xml:space="preserve">   </w:t>
      </w:r>
    </w:p>
    <w:tbl>
      <w:tblPr>
        <w:tblStyle w:val="17"/>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3360"/>
        <w:gridCol w:w="1928"/>
        <w:gridCol w:w="1374"/>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6" w:type="dxa"/>
            <w:vAlign w:val="center"/>
          </w:tcPr>
          <w:p>
            <w:pPr>
              <w:spacing w:line="360" w:lineRule="auto"/>
              <w:jc w:val="center"/>
              <w:rPr>
                <w:rFonts w:ascii="宋体" w:hAnsi="宋体" w:cs="宋体"/>
                <w:b/>
                <w:szCs w:val="21"/>
              </w:rPr>
            </w:pPr>
            <w:r>
              <w:rPr>
                <w:rFonts w:hint="eastAsia" w:ascii="宋体" w:hAnsi="宋体" w:cs="宋体"/>
                <w:b/>
                <w:bCs/>
                <w:kern w:val="0"/>
                <w:sz w:val="22"/>
              </w:rPr>
              <w:t>招标文件条目号</w:t>
            </w:r>
          </w:p>
        </w:tc>
        <w:tc>
          <w:tcPr>
            <w:tcW w:w="3360" w:type="dxa"/>
            <w:vAlign w:val="center"/>
          </w:tcPr>
          <w:p>
            <w:pPr>
              <w:spacing w:line="360" w:lineRule="auto"/>
              <w:jc w:val="center"/>
              <w:rPr>
                <w:rFonts w:ascii="宋体" w:hAnsi="宋体" w:cs="宋体"/>
                <w:b/>
                <w:szCs w:val="21"/>
              </w:rPr>
            </w:pPr>
            <w:r>
              <w:rPr>
                <w:rFonts w:hint="eastAsia" w:ascii="宋体" w:hAnsi="宋体" w:cs="宋体"/>
                <w:b/>
                <w:szCs w:val="21"/>
              </w:rPr>
              <w:t>商务需求</w:t>
            </w:r>
          </w:p>
        </w:tc>
        <w:tc>
          <w:tcPr>
            <w:tcW w:w="1928" w:type="dxa"/>
            <w:vAlign w:val="center"/>
          </w:tcPr>
          <w:p>
            <w:pPr>
              <w:jc w:val="center"/>
              <w:rPr>
                <w:rFonts w:ascii="宋体" w:hAnsi="宋体" w:cs="宋体"/>
                <w:b/>
                <w:szCs w:val="21"/>
              </w:rPr>
            </w:pPr>
            <w:r>
              <w:rPr>
                <w:rFonts w:hint="eastAsia" w:ascii="宋体" w:hAnsi="宋体" w:cs="宋体"/>
                <w:b/>
                <w:szCs w:val="21"/>
              </w:rPr>
              <w:t>投标响应</w:t>
            </w:r>
          </w:p>
        </w:tc>
        <w:tc>
          <w:tcPr>
            <w:tcW w:w="1374" w:type="dxa"/>
            <w:vAlign w:val="center"/>
          </w:tcPr>
          <w:p>
            <w:pPr>
              <w:jc w:val="center"/>
              <w:rPr>
                <w:rFonts w:ascii="宋体" w:hAnsi="宋体" w:cs="宋体"/>
                <w:b/>
                <w:szCs w:val="21"/>
              </w:rPr>
            </w:pPr>
            <w:r>
              <w:rPr>
                <w:rFonts w:hint="eastAsia" w:ascii="宋体" w:hAnsi="宋体" w:cs="宋体"/>
                <w:b/>
                <w:szCs w:val="21"/>
              </w:rPr>
              <w:t>偏离情况</w:t>
            </w:r>
          </w:p>
        </w:tc>
        <w:tc>
          <w:tcPr>
            <w:tcW w:w="568" w:type="dxa"/>
            <w:vAlign w:val="center"/>
          </w:tcPr>
          <w:p>
            <w:pPr>
              <w:jc w:val="center"/>
              <w:rPr>
                <w:rFonts w:ascii="宋体" w:hAns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936" w:type="dxa"/>
            <w:vAlign w:val="center"/>
          </w:tcPr>
          <w:p>
            <w:pPr>
              <w:widowControl/>
              <w:jc w:val="center"/>
              <w:rPr>
                <w:rFonts w:ascii="宋体" w:hAnsi="宋体" w:cs="宋体"/>
                <w:b/>
                <w:bCs/>
                <w:szCs w:val="21"/>
              </w:rPr>
            </w:pPr>
            <w:r>
              <w:rPr>
                <w:rFonts w:hint="eastAsia" w:ascii="宋体" w:hAnsi="宋体" w:cs="宋体"/>
                <w:b/>
                <w:bCs/>
                <w:szCs w:val="21"/>
              </w:rPr>
              <w:t>1</w:t>
            </w:r>
          </w:p>
        </w:tc>
        <w:tc>
          <w:tcPr>
            <w:tcW w:w="3360" w:type="dxa"/>
            <w:vAlign w:val="center"/>
          </w:tcPr>
          <w:p>
            <w:pPr>
              <w:spacing w:line="300" w:lineRule="exact"/>
              <w:jc w:val="center"/>
              <w:rPr>
                <w:rFonts w:ascii="宋体" w:hAnsi="宋体" w:cs="宋体"/>
                <w:b/>
                <w:szCs w:val="21"/>
              </w:rPr>
            </w:pPr>
            <w:r>
              <w:rPr>
                <w:rFonts w:hint="eastAsia" w:ascii="宋体" w:hAnsi="宋体" w:cs="宋体"/>
                <w:b/>
                <w:bCs/>
                <w:kern w:val="0"/>
                <w:szCs w:val="21"/>
                <w:u w:val="single"/>
              </w:rPr>
              <w:t>请投标人自行从“招标项目需求”中“商务需求”）内容复制</w:t>
            </w:r>
          </w:p>
        </w:tc>
        <w:tc>
          <w:tcPr>
            <w:tcW w:w="1928" w:type="dxa"/>
            <w:vAlign w:val="center"/>
          </w:tcPr>
          <w:p>
            <w:pPr>
              <w:spacing w:line="300" w:lineRule="exact"/>
              <w:jc w:val="center"/>
              <w:rPr>
                <w:rFonts w:ascii="宋体" w:hAnsi="宋体" w:cs="宋体"/>
                <w:b/>
                <w:bCs/>
                <w:kern w:val="0"/>
                <w:szCs w:val="21"/>
              </w:rPr>
            </w:pPr>
            <w:r>
              <w:rPr>
                <w:rFonts w:hint="eastAsia" w:ascii="宋体" w:hAnsi="宋体" w:cs="宋体"/>
                <w:b/>
                <w:bCs/>
                <w:kern w:val="0"/>
                <w:szCs w:val="21"/>
              </w:rPr>
              <w:t>投标人根据实际情况在此处进行响应</w:t>
            </w:r>
          </w:p>
        </w:tc>
        <w:tc>
          <w:tcPr>
            <w:tcW w:w="1374" w:type="dxa"/>
            <w:vAlign w:val="center"/>
          </w:tcPr>
          <w:p>
            <w:pPr>
              <w:spacing w:line="300" w:lineRule="exact"/>
              <w:jc w:val="center"/>
              <w:rPr>
                <w:rFonts w:ascii="宋体" w:hAnsi="宋体" w:cs="宋体"/>
                <w:b/>
                <w:bCs/>
                <w:kern w:val="0"/>
                <w:szCs w:val="21"/>
              </w:rPr>
            </w:pPr>
            <w:r>
              <w:rPr>
                <w:rFonts w:hint="eastAsia" w:ascii="宋体" w:hAnsi="宋体" w:cs="宋体"/>
                <w:b/>
                <w:bCs/>
                <w:kern w:val="0"/>
                <w:szCs w:val="21"/>
              </w:rPr>
              <w:t>填“正偏离”或“无偏离”或“负偏离”</w:t>
            </w:r>
          </w:p>
        </w:tc>
        <w:tc>
          <w:tcPr>
            <w:tcW w:w="568" w:type="dxa"/>
            <w:vAlign w:val="center"/>
          </w:tcPr>
          <w:p>
            <w:pPr>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36" w:type="dxa"/>
            <w:vAlign w:val="center"/>
          </w:tcPr>
          <w:p>
            <w:pPr>
              <w:spacing w:line="360" w:lineRule="auto"/>
              <w:jc w:val="center"/>
              <w:rPr>
                <w:rFonts w:ascii="宋体" w:hAnsi="宋体" w:cs="宋体"/>
                <w:b/>
                <w:bCs/>
                <w:kern w:val="0"/>
                <w:szCs w:val="21"/>
              </w:rPr>
            </w:pPr>
            <w:r>
              <w:rPr>
                <w:rFonts w:hint="eastAsia" w:ascii="宋体" w:hAnsi="宋体" w:cs="宋体"/>
                <w:b/>
                <w:bCs/>
                <w:kern w:val="0"/>
                <w:szCs w:val="21"/>
              </w:rPr>
              <w:t>2</w:t>
            </w:r>
          </w:p>
        </w:tc>
        <w:tc>
          <w:tcPr>
            <w:tcW w:w="3360" w:type="dxa"/>
          </w:tcPr>
          <w:p>
            <w:pPr>
              <w:spacing w:before="100" w:line="360" w:lineRule="auto"/>
              <w:rPr>
                <w:rFonts w:ascii="宋体" w:hAnsi="宋体" w:cs="宋体"/>
                <w:bCs/>
                <w:szCs w:val="21"/>
              </w:rPr>
            </w:pPr>
          </w:p>
        </w:tc>
        <w:tc>
          <w:tcPr>
            <w:tcW w:w="1928" w:type="dxa"/>
          </w:tcPr>
          <w:p>
            <w:pPr>
              <w:spacing w:before="100" w:line="360" w:lineRule="auto"/>
              <w:rPr>
                <w:rFonts w:ascii="宋体" w:hAnsi="宋体" w:cs="宋体"/>
                <w:kern w:val="0"/>
                <w:szCs w:val="21"/>
              </w:rPr>
            </w:pPr>
          </w:p>
        </w:tc>
        <w:tc>
          <w:tcPr>
            <w:tcW w:w="1374" w:type="dxa"/>
          </w:tcPr>
          <w:p>
            <w:pPr>
              <w:spacing w:before="100" w:line="360" w:lineRule="auto"/>
              <w:rPr>
                <w:rFonts w:ascii="宋体" w:hAnsi="宋体" w:cs="宋体"/>
                <w:kern w:val="0"/>
                <w:szCs w:val="21"/>
              </w:rPr>
            </w:pPr>
          </w:p>
        </w:tc>
        <w:tc>
          <w:tcPr>
            <w:tcW w:w="568" w:type="dxa"/>
          </w:tcPr>
          <w:p>
            <w:pPr>
              <w:spacing w:before="100"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36" w:type="dxa"/>
            <w:vAlign w:val="center"/>
          </w:tcPr>
          <w:p>
            <w:pPr>
              <w:spacing w:line="360" w:lineRule="auto"/>
              <w:jc w:val="center"/>
              <w:rPr>
                <w:rFonts w:ascii="宋体" w:hAnsi="宋体" w:cs="宋体"/>
                <w:b/>
                <w:bCs/>
                <w:kern w:val="0"/>
                <w:szCs w:val="21"/>
              </w:rPr>
            </w:pPr>
            <w:r>
              <w:rPr>
                <w:rFonts w:hint="eastAsia" w:ascii="宋体" w:hAnsi="宋体" w:cs="宋体"/>
                <w:b/>
                <w:bCs/>
                <w:kern w:val="0"/>
                <w:szCs w:val="21"/>
              </w:rPr>
              <w:t>3</w:t>
            </w:r>
          </w:p>
        </w:tc>
        <w:tc>
          <w:tcPr>
            <w:tcW w:w="3360" w:type="dxa"/>
          </w:tcPr>
          <w:p>
            <w:pPr>
              <w:spacing w:before="100" w:line="360" w:lineRule="auto"/>
              <w:rPr>
                <w:rFonts w:ascii="宋体" w:hAnsi="宋体" w:cs="宋体"/>
                <w:bCs/>
                <w:szCs w:val="21"/>
              </w:rPr>
            </w:pPr>
          </w:p>
        </w:tc>
        <w:tc>
          <w:tcPr>
            <w:tcW w:w="1928" w:type="dxa"/>
          </w:tcPr>
          <w:p>
            <w:pPr>
              <w:spacing w:before="100" w:line="360" w:lineRule="auto"/>
              <w:rPr>
                <w:rFonts w:ascii="宋体" w:hAnsi="宋体" w:cs="宋体"/>
                <w:bCs/>
                <w:kern w:val="0"/>
                <w:szCs w:val="21"/>
                <w:u w:val="single"/>
              </w:rPr>
            </w:pPr>
          </w:p>
        </w:tc>
        <w:tc>
          <w:tcPr>
            <w:tcW w:w="1374" w:type="dxa"/>
          </w:tcPr>
          <w:p>
            <w:pPr>
              <w:spacing w:before="100" w:line="360" w:lineRule="auto"/>
              <w:rPr>
                <w:rFonts w:ascii="宋体" w:hAnsi="宋体" w:cs="宋体"/>
                <w:bCs/>
                <w:kern w:val="0"/>
                <w:szCs w:val="21"/>
                <w:u w:val="single"/>
              </w:rPr>
            </w:pPr>
          </w:p>
        </w:tc>
        <w:tc>
          <w:tcPr>
            <w:tcW w:w="568" w:type="dxa"/>
          </w:tcPr>
          <w:p>
            <w:pPr>
              <w:spacing w:before="100" w:line="360" w:lineRule="auto"/>
              <w:rPr>
                <w:rFonts w:ascii="宋体" w:hAnsi="宋体" w:cs="宋体"/>
                <w:bCs/>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36" w:type="dxa"/>
            <w:vAlign w:val="center"/>
          </w:tcPr>
          <w:p>
            <w:pPr>
              <w:spacing w:line="360" w:lineRule="auto"/>
              <w:jc w:val="center"/>
              <w:rPr>
                <w:rFonts w:ascii="宋体" w:hAnsi="宋体" w:cs="宋体"/>
                <w:b/>
                <w:bCs/>
                <w:szCs w:val="21"/>
              </w:rPr>
            </w:pPr>
            <w:r>
              <w:rPr>
                <w:rFonts w:hint="eastAsia" w:ascii="宋体" w:hAnsi="宋体" w:cs="宋体"/>
                <w:b/>
                <w:bCs/>
                <w:szCs w:val="21"/>
              </w:rPr>
              <w:t>...</w:t>
            </w:r>
          </w:p>
        </w:tc>
        <w:tc>
          <w:tcPr>
            <w:tcW w:w="3360" w:type="dxa"/>
          </w:tcPr>
          <w:p>
            <w:pPr>
              <w:spacing w:line="360" w:lineRule="auto"/>
              <w:rPr>
                <w:rFonts w:ascii="宋体" w:hAnsi="宋体" w:cs="宋体"/>
                <w:kern w:val="0"/>
                <w:szCs w:val="21"/>
              </w:rPr>
            </w:pPr>
          </w:p>
        </w:tc>
        <w:tc>
          <w:tcPr>
            <w:tcW w:w="1928" w:type="dxa"/>
          </w:tcPr>
          <w:p>
            <w:pPr>
              <w:spacing w:line="360" w:lineRule="auto"/>
              <w:rPr>
                <w:rFonts w:ascii="宋体" w:hAnsi="宋体" w:cs="宋体"/>
                <w:kern w:val="0"/>
                <w:szCs w:val="21"/>
              </w:rPr>
            </w:pPr>
          </w:p>
        </w:tc>
        <w:tc>
          <w:tcPr>
            <w:tcW w:w="1374" w:type="dxa"/>
          </w:tcPr>
          <w:p>
            <w:pPr>
              <w:spacing w:line="360" w:lineRule="auto"/>
              <w:rPr>
                <w:rFonts w:ascii="宋体" w:hAnsi="宋体" w:cs="宋体"/>
                <w:kern w:val="0"/>
                <w:szCs w:val="21"/>
              </w:rPr>
            </w:pPr>
          </w:p>
        </w:tc>
        <w:tc>
          <w:tcPr>
            <w:tcW w:w="568" w:type="dxa"/>
          </w:tcPr>
          <w:p>
            <w:pPr>
              <w:spacing w:line="360" w:lineRule="auto"/>
              <w:rPr>
                <w:rFonts w:ascii="宋体" w:hAnsi="宋体" w:cs="宋体"/>
                <w:kern w:val="0"/>
                <w:szCs w:val="21"/>
              </w:rPr>
            </w:pPr>
          </w:p>
        </w:tc>
      </w:tr>
    </w:tbl>
    <w:p>
      <w:pPr>
        <w:snapToGrid w:val="0"/>
        <w:rPr>
          <w:rFonts w:ascii="宋体" w:hAnsi="宋体" w:cs="宋体"/>
          <w:sz w:val="24"/>
          <w:u w:val="single"/>
        </w:rPr>
      </w:pPr>
    </w:p>
    <w:p>
      <w:pPr>
        <w:spacing w:before="156" w:beforeLines="50" w:after="156" w:afterLines="50" w:line="360" w:lineRule="exact"/>
        <w:rPr>
          <w:rFonts w:ascii="宋体" w:hAnsi="宋体" w:cs="宋体"/>
          <w:szCs w:val="21"/>
        </w:rPr>
      </w:pPr>
      <w:r>
        <w:rPr>
          <w:rFonts w:hint="eastAsia" w:ascii="宋体" w:hAnsi="宋体" w:cs="宋体"/>
          <w:szCs w:val="21"/>
        </w:rPr>
        <w:t>注：1、投标人应对照招标文件商务条款（详见招标文件</w:t>
      </w:r>
      <w:r>
        <w:rPr>
          <w:rFonts w:hint="eastAsia" w:ascii="宋体" w:hAnsi="宋体" w:cs="宋体"/>
          <w:b/>
          <w:bCs/>
          <w:szCs w:val="21"/>
          <w:u w:val="single"/>
        </w:rPr>
        <w:t>“招标项目需求”</w:t>
      </w:r>
      <w:r>
        <w:rPr>
          <w:rFonts w:hint="eastAsia" w:ascii="宋体" w:hAnsi="宋体" w:cs="宋体"/>
          <w:szCs w:val="21"/>
          <w:u w:val="single"/>
        </w:rPr>
        <w:t>中“</w:t>
      </w:r>
      <w:r>
        <w:rPr>
          <w:rFonts w:hint="eastAsia" w:ascii="宋体" w:hAnsi="宋体" w:cs="宋体"/>
          <w:b/>
          <w:bCs/>
          <w:kern w:val="0"/>
          <w:szCs w:val="21"/>
          <w:u w:val="single"/>
        </w:rPr>
        <w:t>商务需求</w:t>
      </w:r>
      <w:r>
        <w:rPr>
          <w:rFonts w:hint="eastAsia" w:ascii="宋体" w:hAnsi="宋体" w:cs="宋体"/>
          <w:szCs w:val="21"/>
          <w:u w:val="single"/>
        </w:rPr>
        <w:t>”</w:t>
      </w:r>
      <w:r>
        <w:rPr>
          <w:rFonts w:hint="eastAsia" w:ascii="宋体" w:hAnsi="宋体" w:cs="宋体"/>
          <w:szCs w:val="21"/>
        </w:rPr>
        <w:t>），逐条说明已对招标文件的商务内容做出了实质性的响应，并申明与招标文件的偏差和例外；</w:t>
      </w:r>
    </w:p>
    <w:p>
      <w:pPr>
        <w:spacing w:before="156" w:beforeLines="50" w:after="156" w:afterLines="50" w:line="360" w:lineRule="exact"/>
        <w:rPr>
          <w:rFonts w:ascii="宋体" w:hAnsi="宋体" w:cs="宋体"/>
          <w:szCs w:val="21"/>
        </w:rPr>
      </w:pPr>
      <w:r>
        <w:rPr>
          <w:rFonts w:hint="eastAsia" w:ascii="宋体" w:hAnsi="宋体" w:cs="宋体"/>
          <w:szCs w:val="21"/>
        </w:rPr>
        <w:t>2、商务要求中标注“★”的条款为实质性要求和条件条款，投标文件对此项负偏离将导致不能通过符合性审查；标注“▲”的条款为评分时的关键指标，投标文件对此项负偏离不会导致投标无效；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pPr>
        <w:spacing w:before="156" w:beforeLines="50" w:after="156" w:afterLines="50" w:line="360" w:lineRule="exact"/>
        <w:rPr>
          <w:rFonts w:ascii="宋体" w:hAnsi="宋体" w:cs="宋体"/>
          <w:szCs w:val="21"/>
        </w:rPr>
      </w:pPr>
      <w:r>
        <w:rPr>
          <w:rFonts w:hint="eastAsia" w:ascii="宋体" w:hAnsi="宋体" w:cs="宋体"/>
          <w:szCs w:val="21"/>
        </w:rPr>
        <w:t>3、如本表内容与具体商务方案承诺内容有矛盾，以本表为准。</w:t>
      </w: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widowControl/>
        <w:jc w:val="left"/>
        <w:rPr>
          <w:rFonts w:ascii="宋体" w:hAnsi="宋体"/>
          <w:b/>
          <w:sz w:val="30"/>
          <w:szCs w:val="30"/>
        </w:rPr>
      </w:pPr>
    </w:p>
    <w:p>
      <w:pPr>
        <w:widowControl/>
        <w:jc w:val="left"/>
        <w:rPr>
          <w:rFonts w:ascii="宋体" w:hAnsi="宋体"/>
          <w:b/>
          <w:sz w:val="30"/>
          <w:szCs w:val="30"/>
        </w:rPr>
      </w:pPr>
      <w:r>
        <w:rPr>
          <w:rFonts w:ascii="宋体" w:hAnsi="宋体"/>
          <w:b/>
          <w:sz w:val="30"/>
          <w:szCs w:val="30"/>
        </w:rPr>
        <w:br w:type="page"/>
      </w:r>
    </w:p>
    <w:p>
      <w:pPr>
        <w:spacing w:line="360" w:lineRule="auto"/>
        <w:jc w:val="left"/>
        <w:rPr>
          <w:rFonts w:ascii="宋体" w:hAnsi="宋体"/>
          <w:b/>
          <w:sz w:val="30"/>
          <w:szCs w:val="30"/>
        </w:rPr>
      </w:pPr>
      <w:r>
        <w:rPr>
          <w:rFonts w:hint="eastAsia" w:ascii="宋体" w:hAnsi="宋体"/>
          <w:b/>
          <w:sz w:val="30"/>
          <w:szCs w:val="30"/>
        </w:rPr>
        <w:t>投标资质</w:t>
      </w:r>
    </w:p>
    <w:p>
      <w:pPr>
        <w:numPr>
          <w:ilvl w:val="0"/>
          <w:numId w:val="13"/>
        </w:numPr>
        <w:spacing w:line="360" w:lineRule="auto"/>
        <w:jc w:val="left"/>
        <w:rPr>
          <w:rFonts w:ascii="宋体" w:hAnsi="宋体"/>
          <w:b/>
          <w:sz w:val="30"/>
          <w:szCs w:val="30"/>
        </w:rPr>
      </w:pPr>
      <w:r>
        <w:rPr>
          <w:rFonts w:hint="eastAsia" w:ascii="宋体" w:hAnsi="宋体"/>
          <w:b/>
          <w:sz w:val="30"/>
          <w:szCs w:val="30"/>
        </w:rPr>
        <w:t>投标公司资质</w:t>
      </w:r>
    </w:p>
    <w:p>
      <w:pPr>
        <w:numPr>
          <w:ilvl w:val="0"/>
          <w:numId w:val="13"/>
        </w:numPr>
        <w:spacing w:line="360" w:lineRule="auto"/>
        <w:jc w:val="left"/>
        <w:rPr>
          <w:rFonts w:ascii="宋体" w:hAnsi="宋体"/>
          <w:b/>
          <w:sz w:val="30"/>
          <w:szCs w:val="30"/>
        </w:rPr>
      </w:pPr>
      <w:r>
        <w:rPr>
          <w:rFonts w:hint="eastAsia" w:ascii="宋体" w:hAnsi="宋体"/>
          <w:b/>
          <w:sz w:val="30"/>
          <w:szCs w:val="30"/>
        </w:rPr>
        <w:t>授权书</w:t>
      </w:r>
    </w:p>
    <w:p>
      <w:pPr>
        <w:numPr>
          <w:ilvl w:val="0"/>
          <w:numId w:val="13"/>
        </w:numPr>
        <w:spacing w:line="360" w:lineRule="auto"/>
        <w:jc w:val="left"/>
        <w:rPr>
          <w:rFonts w:ascii="宋体" w:hAnsi="宋体"/>
          <w:b/>
          <w:sz w:val="30"/>
          <w:szCs w:val="30"/>
        </w:rPr>
      </w:pPr>
      <w:r>
        <w:rPr>
          <w:rFonts w:hint="eastAsia" w:ascii="宋体" w:hAnsi="宋体"/>
          <w:b/>
          <w:sz w:val="30"/>
          <w:szCs w:val="30"/>
        </w:rPr>
        <w:t>厂家资质</w:t>
      </w:r>
    </w:p>
    <w:p>
      <w:pPr>
        <w:numPr>
          <w:ilvl w:val="0"/>
          <w:numId w:val="13"/>
        </w:numPr>
        <w:spacing w:line="360" w:lineRule="auto"/>
        <w:jc w:val="left"/>
        <w:rPr>
          <w:rFonts w:ascii="宋体" w:hAnsi="宋体"/>
          <w:b/>
          <w:sz w:val="30"/>
          <w:szCs w:val="30"/>
        </w:rPr>
      </w:pPr>
      <w:r>
        <w:rPr>
          <w:rFonts w:hint="eastAsia" w:ascii="宋体" w:hAnsi="宋体"/>
          <w:b/>
          <w:sz w:val="30"/>
          <w:szCs w:val="30"/>
        </w:rPr>
        <w:t>其它厂家证件（注册证或备案证等）</w:t>
      </w:r>
    </w:p>
    <w:p>
      <w:pPr>
        <w:spacing w:line="360" w:lineRule="auto"/>
        <w:rPr>
          <w:rFonts w:ascii="宋体" w:hAnsi="宋体"/>
          <w:b/>
          <w:sz w:val="30"/>
          <w:szCs w:val="30"/>
        </w:rPr>
      </w:pPr>
    </w:p>
    <w:p>
      <w:pPr>
        <w:spacing w:line="360" w:lineRule="auto"/>
        <w:jc w:val="center"/>
        <w:rPr>
          <w:rFonts w:ascii="宋体" w:hAnsi="宋体"/>
          <w:b/>
          <w:sz w:val="30"/>
          <w:szCs w:val="30"/>
        </w:rPr>
      </w:pPr>
    </w:p>
    <w:p>
      <w:pPr>
        <w:widowControl/>
        <w:jc w:val="left"/>
        <w:rPr>
          <w:rFonts w:ascii="宋体" w:hAnsi="宋体"/>
          <w:b/>
          <w:sz w:val="30"/>
          <w:szCs w:val="30"/>
        </w:rPr>
      </w:pPr>
      <w:r>
        <w:rPr>
          <w:rFonts w:ascii="宋体" w:hAnsi="宋体"/>
          <w:b/>
          <w:sz w:val="30"/>
          <w:szCs w:val="30"/>
        </w:rPr>
        <w:br w:type="page"/>
      </w:r>
    </w:p>
    <w:p>
      <w:pPr>
        <w:spacing w:line="360" w:lineRule="auto"/>
        <w:jc w:val="center"/>
        <w:rPr>
          <w:rFonts w:ascii="宋体" w:hAnsi="宋体"/>
          <w:b/>
          <w:sz w:val="30"/>
          <w:szCs w:val="30"/>
        </w:rPr>
      </w:pPr>
      <w:r>
        <w:rPr>
          <w:rFonts w:hint="eastAsia" w:ascii="宋体" w:hAnsi="宋体"/>
          <w:b/>
          <w:sz w:val="30"/>
          <w:szCs w:val="30"/>
        </w:rPr>
        <w:t>法人代表授权人委托书</w:t>
      </w:r>
    </w:p>
    <w:p>
      <w:pPr>
        <w:spacing w:line="360" w:lineRule="auto"/>
        <w:rPr>
          <w:rFonts w:ascii="宋体" w:hAnsi="宋体"/>
          <w:sz w:val="24"/>
        </w:rPr>
      </w:pPr>
      <w:r>
        <w:rPr>
          <w:rFonts w:hint="eastAsia" w:ascii="宋体" w:hAnsi="宋体"/>
          <w:sz w:val="24"/>
        </w:rPr>
        <w:t>本授权书声明：</w:t>
      </w:r>
    </w:p>
    <w:p>
      <w:pPr>
        <w:spacing w:line="360" w:lineRule="auto"/>
        <w:rPr>
          <w:rFonts w:ascii="宋体" w:hAnsi="宋体"/>
          <w:sz w:val="24"/>
        </w:rPr>
      </w:pPr>
    </w:p>
    <w:p>
      <w:pPr>
        <w:spacing w:line="360" w:lineRule="auto"/>
        <w:ind w:firstLine="570"/>
        <w:rPr>
          <w:rFonts w:ascii="宋体" w:hAnsi="宋体"/>
          <w:sz w:val="24"/>
          <w:u w:val="single"/>
        </w:rPr>
      </w:pPr>
      <w:r>
        <w:rPr>
          <w:rFonts w:hint="eastAsia" w:ascii="宋体" w:hAnsi="宋体"/>
          <w:sz w:val="24"/>
        </w:rPr>
        <w:t>注册于</w:t>
      </w:r>
      <w:r>
        <w:rPr>
          <w:rFonts w:hint="eastAsia" w:ascii="宋体" w:hAnsi="宋体"/>
          <w:sz w:val="24"/>
          <w:u w:val="single"/>
        </w:rPr>
        <w:t xml:space="preserve">                         </w:t>
      </w:r>
      <w:r>
        <w:rPr>
          <w:rFonts w:hint="eastAsia" w:ascii="宋体" w:hAnsi="宋体"/>
          <w:sz w:val="24"/>
        </w:rPr>
        <w:t>（公司地址）公司名称：</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授权委托（姓名、职务）</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为本公司的合法代理人，负责在北京中医药大学深圳医院（龙岗）采购采购活动中提交投标文件、确认投标相关信息、成交确认合同的签定、执行、完成和售后合同、售后服务等工作，并以本公司名义处理一切与有关的事务。</w:t>
      </w:r>
    </w:p>
    <w:p>
      <w:pPr>
        <w:spacing w:line="360" w:lineRule="auto"/>
        <w:rPr>
          <w:rFonts w:ascii="宋体" w:hAnsi="宋体"/>
          <w:sz w:val="24"/>
        </w:rPr>
      </w:pPr>
      <w:r>
        <w:rPr>
          <w:rFonts w:hint="eastAsia" w:ascii="宋体" w:hAnsi="宋体"/>
          <w:sz w:val="24"/>
        </w:rPr>
        <w:t xml:space="preserve">     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pPr>
        <w:spacing w:line="360" w:lineRule="auto"/>
        <w:rPr>
          <w:rFonts w:ascii="宋体" w:hAnsi="宋体"/>
          <w:sz w:val="24"/>
          <w:u w:val="single"/>
        </w:rPr>
      </w:pPr>
      <w:r>
        <w:rPr>
          <w:rFonts w:hint="eastAsia" w:ascii="宋体" w:hAnsi="宋体"/>
          <w:sz w:val="24"/>
        </w:rPr>
        <w:t>投标法定代表人签字（盖章）：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被授权人签字（盖章）：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投标企业公章：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198120</wp:posOffset>
                </wp:positionV>
                <wp:extent cx="2743200" cy="1684020"/>
                <wp:effectExtent l="5715" t="7620" r="13335" b="1333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43200" cy="1684020"/>
                        </a:xfrm>
                        <a:prstGeom prst="rect">
                          <a:avLst/>
                        </a:prstGeom>
                        <a:solidFill>
                          <a:srgbClr val="FFFFFF"/>
                        </a:solidFill>
                        <a:ln w="9525" cmpd="sng">
                          <a:solidFill>
                            <a:srgbClr val="000000"/>
                          </a:solidFill>
                          <a:miter lim="800000"/>
                        </a:ln>
                      </wps:spPr>
                      <wps:txbx>
                        <w:txbxContent>
                          <w:p>
                            <w:pPr>
                              <w:spacing w:line="360" w:lineRule="auto"/>
                              <w:ind w:right="560" w:firstLine="1036" w:firstLineChars="344"/>
                              <w:rPr>
                                <w:b/>
                                <w:sz w:val="30"/>
                                <w:szCs w:val="30"/>
                              </w:rPr>
                            </w:pPr>
                          </w:p>
                          <w:p>
                            <w:pPr>
                              <w:spacing w:line="360" w:lineRule="auto"/>
                              <w:ind w:right="560" w:firstLine="970" w:firstLineChars="345"/>
                              <w:rPr>
                                <w:b/>
                                <w:sz w:val="28"/>
                                <w:szCs w:val="28"/>
                              </w:rPr>
                            </w:pPr>
                            <w:r>
                              <w:rPr>
                                <w:rFonts w:hint="eastAsia"/>
                                <w:b/>
                                <w:sz w:val="28"/>
                                <w:szCs w:val="28"/>
                              </w:rPr>
                              <w:t>授权人（送货人）</w:t>
                            </w:r>
                          </w:p>
                          <w:p>
                            <w:pPr>
                              <w:spacing w:line="360" w:lineRule="auto"/>
                              <w:ind w:firstLine="570"/>
                              <w:rPr>
                                <w:b/>
                                <w:sz w:val="28"/>
                                <w:szCs w:val="28"/>
                              </w:rPr>
                            </w:pPr>
                            <w:r>
                              <w:rPr>
                                <w:rFonts w:hint="eastAsia"/>
                                <w:b/>
                                <w:sz w:val="28"/>
                                <w:szCs w:val="28"/>
                              </w:rPr>
                              <w:t>居民身份证复印件粘贴处</w:t>
                            </w:r>
                          </w:p>
                          <w:p>
                            <w:pPr>
                              <w:spacing w:line="360" w:lineRule="auto"/>
                              <w:ind w:firstLine="570"/>
                              <w:jc w:val="center"/>
                              <w:rPr>
                                <w:b/>
                                <w:sz w:val="28"/>
                                <w:szCs w:val="28"/>
                              </w:rPr>
                            </w:pPr>
                            <w:r>
                              <w:rPr>
                                <w:rFonts w:hint="eastAsia"/>
                                <w:b/>
                                <w:sz w:val="28"/>
                                <w:szCs w:val="28"/>
                              </w:rPr>
                              <w:t>（加盖骑缝章）</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15.6pt;height:132.6pt;width:216pt;z-index:251659264;mso-width-relative:page;mso-height-relative:page;" fillcolor="#FFFFFF" filled="t" stroked="t" coordsize="21600,21600" o:gfxdata="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HgHu+2AAAAAoBAAAPAAAAAAAAAAEAIAAAACIA&#10;AABkcnMvZG93bnJldi54bWxQSwECFAAUAAAACACHTuJAVU1m6kICAACGBAAADgAAAAAAAAABACAA&#10;AAAnAQAAZHJzL2Uyb0RvYy54bWxQSwUGAAAAAAYABgBZAQAA2wUAAAAA&#10;">
                <v:fill on="t" focussize="0,0"/>
                <v:stroke color="#000000" miterlimit="8" joinstyle="miter"/>
                <v:imagedata o:title=""/>
                <o:lock v:ext="edit" aspectratio="f"/>
                <v:textbox>
                  <w:txbxContent>
                    <w:p>
                      <w:pPr>
                        <w:spacing w:line="360" w:lineRule="auto"/>
                        <w:ind w:right="560" w:firstLine="1036" w:firstLineChars="344"/>
                        <w:rPr>
                          <w:b/>
                          <w:sz w:val="30"/>
                          <w:szCs w:val="30"/>
                        </w:rPr>
                      </w:pPr>
                    </w:p>
                    <w:p>
                      <w:pPr>
                        <w:spacing w:line="360" w:lineRule="auto"/>
                        <w:ind w:right="560" w:firstLine="970" w:firstLineChars="345"/>
                        <w:rPr>
                          <w:b/>
                          <w:sz w:val="28"/>
                          <w:szCs w:val="28"/>
                        </w:rPr>
                      </w:pPr>
                      <w:r>
                        <w:rPr>
                          <w:rFonts w:hint="eastAsia"/>
                          <w:b/>
                          <w:sz w:val="28"/>
                          <w:szCs w:val="28"/>
                        </w:rPr>
                        <w:t>授权人（送货人）</w:t>
                      </w:r>
                    </w:p>
                    <w:p>
                      <w:pPr>
                        <w:spacing w:line="360" w:lineRule="auto"/>
                        <w:ind w:firstLine="570"/>
                        <w:rPr>
                          <w:b/>
                          <w:sz w:val="28"/>
                          <w:szCs w:val="28"/>
                        </w:rPr>
                      </w:pPr>
                      <w:r>
                        <w:rPr>
                          <w:rFonts w:hint="eastAsia"/>
                          <w:b/>
                          <w:sz w:val="28"/>
                          <w:szCs w:val="28"/>
                        </w:rPr>
                        <w:t>居民身份证复印件粘贴处</w:t>
                      </w:r>
                    </w:p>
                    <w:p>
                      <w:pPr>
                        <w:spacing w:line="360" w:lineRule="auto"/>
                        <w:ind w:firstLine="570"/>
                        <w:jc w:val="center"/>
                        <w:rPr>
                          <w:b/>
                          <w:sz w:val="28"/>
                          <w:szCs w:val="28"/>
                        </w:rPr>
                      </w:pPr>
                      <w:r>
                        <w:rPr>
                          <w:rFonts w:hint="eastAsia"/>
                          <w:b/>
                          <w:sz w:val="28"/>
                          <w:szCs w:val="28"/>
                        </w:rPr>
                        <w:t>（加盖骑缝章）</w:t>
                      </w:r>
                    </w:p>
                    <w:p/>
                  </w:txbxContent>
                </v:textbox>
              </v:rect>
            </w:pict>
          </mc:Fallback>
        </mc:AlternateContent>
      </w: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2743200" cy="1684020"/>
                <wp:effectExtent l="5715" t="7620" r="13335" b="133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743200" cy="1684020"/>
                        </a:xfrm>
                        <a:prstGeom prst="rect">
                          <a:avLst/>
                        </a:prstGeom>
                        <a:solidFill>
                          <a:srgbClr val="FFFFFF"/>
                        </a:solidFill>
                        <a:ln w="9525" cmpd="sng">
                          <a:solidFill>
                            <a:srgbClr val="000000"/>
                          </a:solidFill>
                          <a:miter lim="800000"/>
                        </a:ln>
                      </wps:spPr>
                      <wps:txbx>
                        <w:txbxContent>
                          <w:p>
                            <w:pPr>
                              <w:spacing w:line="360" w:lineRule="auto"/>
                              <w:ind w:right="560" w:firstLine="1036" w:firstLineChars="344"/>
                              <w:rPr>
                                <w:b/>
                                <w:sz w:val="30"/>
                                <w:szCs w:val="30"/>
                              </w:rPr>
                            </w:pPr>
                          </w:p>
                          <w:p>
                            <w:pPr>
                              <w:spacing w:line="360" w:lineRule="auto"/>
                              <w:ind w:right="560" w:firstLine="1193" w:firstLineChars="396"/>
                              <w:rPr>
                                <w:b/>
                                <w:sz w:val="28"/>
                                <w:szCs w:val="28"/>
                              </w:rPr>
                            </w:pPr>
                            <w:r>
                              <w:rPr>
                                <w:rFonts w:hint="eastAsia"/>
                                <w:b/>
                                <w:sz w:val="30"/>
                                <w:szCs w:val="30"/>
                              </w:rPr>
                              <w:t>法人代表人</w:t>
                            </w:r>
                          </w:p>
                          <w:p>
                            <w:pPr>
                              <w:spacing w:line="360" w:lineRule="auto"/>
                              <w:ind w:firstLine="570"/>
                              <w:rPr>
                                <w:b/>
                                <w:sz w:val="28"/>
                                <w:szCs w:val="28"/>
                              </w:rPr>
                            </w:pPr>
                            <w:r>
                              <w:rPr>
                                <w:rFonts w:hint="eastAsia"/>
                                <w:b/>
                                <w:sz w:val="28"/>
                                <w:szCs w:val="28"/>
                              </w:rPr>
                              <w:t>居民身份证复印件粘贴处</w:t>
                            </w:r>
                          </w:p>
                          <w:p>
                            <w:pPr>
                              <w:spacing w:line="360" w:lineRule="auto"/>
                              <w:ind w:firstLine="570"/>
                              <w:jc w:val="center"/>
                              <w:rPr>
                                <w:b/>
                                <w:sz w:val="28"/>
                                <w:szCs w:val="28"/>
                              </w:rPr>
                            </w:pPr>
                            <w:r>
                              <w:rPr>
                                <w:rFonts w:hint="eastAsia"/>
                                <w:b/>
                                <w:sz w:val="28"/>
                                <w:szCs w:val="28"/>
                              </w:rPr>
                              <w:t>（加盖骑缝章）</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15.6pt;height:132.6pt;width:216pt;z-index:251660288;mso-width-relative:page;mso-height-relative:page;" fillcolor="#FFFFFF" filled="t" stroked="t" coordsize="21600,21600" o:gfxdata="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NwVTDWAAAABwEAAA8AAAAAAAAAAQAgAAAAIgAAAGRy&#10;cy9kb3ducmV2LnhtbFBLAQIUABQAAAAIAIdO4kCwpPMuQAIAAIYEAAAOAAAAAAAAAAEAIAAAACUB&#10;AABkcnMvZTJvRG9jLnhtbFBLBQYAAAAABgAGAFkBAADXBQAAAAA=&#10;">
                <v:fill on="t" focussize="0,0"/>
                <v:stroke color="#000000" miterlimit="8" joinstyle="miter"/>
                <v:imagedata o:title=""/>
                <o:lock v:ext="edit" aspectratio="f"/>
                <v:textbox>
                  <w:txbxContent>
                    <w:p>
                      <w:pPr>
                        <w:spacing w:line="360" w:lineRule="auto"/>
                        <w:ind w:right="560" w:firstLine="1036" w:firstLineChars="344"/>
                        <w:rPr>
                          <w:b/>
                          <w:sz w:val="30"/>
                          <w:szCs w:val="30"/>
                        </w:rPr>
                      </w:pPr>
                    </w:p>
                    <w:p>
                      <w:pPr>
                        <w:spacing w:line="360" w:lineRule="auto"/>
                        <w:ind w:right="560" w:firstLine="1193" w:firstLineChars="396"/>
                        <w:rPr>
                          <w:b/>
                          <w:sz w:val="28"/>
                          <w:szCs w:val="28"/>
                        </w:rPr>
                      </w:pPr>
                      <w:r>
                        <w:rPr>
                          <w:rFonts w:hint="eastAsia"/>
                          <w:b/>
                          <w:sz w:val="30"/>
                          <w:szCs w:val="30"/>
                        </w:rPr>
                        <w:t>法人代表人</w:t>
                      </w:r>
                    </w:p>
                    <w:p>
                      <w:pPr>
                        <w:spacing w:line="360" w:lineRule="auto"/>
                        <w:ind w:firstLine="570"/>
                        <w:rPr>
                          <w:b/>
                          <w:sz w:val="28"/>
                          <w:szCs w:val="28"/>
                        </w:rPr>
                      </w:pPr>
                      <w:r>
                        <w:rPr>
                          <w:rFonts w:hint="eastAsia"/>
                          <w:b/>
                          <w:sz w:val="28"/>
                          <w:szCs w:val="28"/>
                        </w:rPr>
                        <w:t>居民身份证复印件粘贴处</w:t>
                      </w:r>
                    </w:p>
                    <w:p>
                      <w:pPr>
                        <w:spacing w:line="360" w:lineRule="auto"/>
                        <w:ind w:firstLine="570"/>
                        <w:jc w:val="center"/>
                        <w:rPr>
                          <w:b/>
                          <w:sz w:val="28"/>
                          <w:szCs w:val="28"/>
                        </w:rPr>
                      </w:pPr>
                      <w:r>
                        <w:rPr>
                          <w:rFonts w:hint="eastAsia"/>
                          <w:b/>
                          <w:sz w:val="28"/>
                          <w:szCs w:val="28"/>
                        </w:rPr>
                        <w:t>（加盖骑缝章）</w:t>
                      </w:r>
                    </w:p>
                    <w:p/>
                  </w:txbxContent>
                </v:textbox>
              </v:rect>
            </w:pict>
          </mc:Fallback>
        </mc:AlternateContent>
      </w:r>
    </w:p>
    <w:p>
      <w:pPr>
        <w:spacing w:line="360" w:lineRule="auto"/>
        <w:rPr>
          <w:rFonts w:ascii="宋体" w:hAnsi="宋体"/>
          <w:sz w:val="24"/>
          <w:u w:val="single"/>
        </w:rPr>
      </w:pPr>
    </w:p>
    <w:p>
      <w:pPr>
        <w:spacing w:line="360" w:lineRule="auto"/>
        <w:rPr>
          <w:rFonts w:ascii="宋体" w:hAnsi="宋体"/>
          <w:sz w:val="24"/>
          <w:u w:val="single"/>
        </w:rPr>
      </w:pPr>
    </w:p>
    <w:p>
      <w:pPr>
        <w:rPr>
          <w:rFonts w:ascii="宋体" w:hAnsi="宋体"/>
          <w:b/>
          <w:szCs w:val="21"/>
        </w:rPr>
      </w:pPr>
    </w:p>
    <w:p>
      <w:pPr>
        <w:rPr>
          <w:rFonts w:ascii="宋体" w:hAnsi="宋体"/>
          <w:szCs w:val="21"/>
        </w:rPr>
      </w:pPr>
    </w:p>
    <w:p>
      <w:pPr>
        <w:rPr>
          <w:rFonts w:ascii="宋体" w:hAnsi="宋体"/>
          <w:szCs w:val="21"/>
        </w:rPr>
      </w:pPr>
    </w:p>
    <w:p>
      <w:pPr>
        <w:rPr>
          <w:rFonts w:ascii="宋体" w:hAnsi="宋体"/>
          <w:szCs w:val="21"/>
        </w:rPr>
      </w:pPr>
    </w:p>
    <w:p>
      <w:pPr>
        <w:tabs>
          <w:tab w:val="left" w:pos="765"/>
        </w:tabs>
        <w:rPr>
          <w:rFonts w:ascii="宋体" w:hAnsi="宋体"/>
          <w:szCs w:val="21"/>
        </w:rPr>
      </w:pPr>
    </w:p>
    <w:p>
      <w:pPr>
        <w:spacing w:line="360" w:lineRule="auto"/>
        <w:ind w:firstLine="480" w:firstLineChars="200"/>
        <w:rPr>
          <w:rFonts w:ascii="宋体" w:hAnsi="宋体"/>
          <w:sz w:val="24"/>
        </w:rPr>
      </w:pPr>
    </w:p>
    <w:p>
      <w:pPr>
        <w:spacing w:line="360" w:lineRule="auto"/>
        <w:ind w:firstLine="4216" w:firstLineChars="1750"/>
        <w:rPr>
          <w:rFonts w:ascii="宋体" w:hAnsi="宋体"/>
          <w:b/>
          <w:color w:val="FF0000"/>
          <w:sz w:val="24"/>
        </w:rPr>
      </w:pPr>
    </w:p>
    <w:p>
      <w:pPr>
        <w:spacing w:line="360" w:lineRule="auto"/>
        <w:rPr>
          <w:rFonts w:ascii="宋体" w:hAnsi="宋体"/>
          <w:b/>
          <w:color w:val="FF0000"/>
          <w:sz w:val="24"/>
        </w:rPr>
      </w:pPr>
    </w:p>
    <w:p>
      <w:pPr>
        <w:widowControl/>
        <w:jc w:val="left"/>
        <w:rPr>
          <w:rStyle w:val="26"/>
          <w:rFonts w:ascii="宋体" w:hAnsi="宋体"/>
          <w:b/>
          <w:szCs w:val="21"/>
        </w:rPr>
      </w:pPr>
      <w:r>
        <w:rPr>
          <w:rStyle w:val="26"/>
          <w:rFonts w:ascii="宋体" w:hAnsi="宋体"/>
          <w:b/>
          <w:szCs w:val="21"/>
        </w:rPr>
        <w:br w:type="page"/>
      </w:r>
    </w:p>
    <w:p>
      <w:pPr>
        <w:rPr>
          <w:rFonts w:ascii="仿宋" w:hAnsi="仿宋" w:eastAsia="仿宋"/>
          <w:b/>
          <w:sz w:val="30"/>
          <w:szCs w:val="30"/>
        </w:rPr>
      </w:pPr>
      <w:r>
        <w:rPr>
          <w:rFonts w:ascii="仿宋" w:hAnsi="仿宋" w:eastAsia="仿宋"/>
          <w:b/>
          <w:sz w:val="30"/>
          <w:szCs w:val="30"/>
        </w:rPr>
        <w:t>政府采购投标及履约承诺函</w:t>
      </w:r>
    </w:p>
    <w:p>
      <w:pPr>
        <w:spacing w:line="360" w:lineRule="auto"/>
        <w:rPr>
          <w:rFonts w:ascii="仿宋" w:hAnsi="仿宋" w:eastAsia="仿宋"/>
          <w:sz w:val="28"/>
          <w:szCs w:val="28"/>
        </w:rPr>
      </w:pPr>
      <w:r>
        <w:rPr>
          <w:rFonts w:ascii="仿宋" w:hAnsi="仿宋" w:eastAsia="仿宋"/>
          <w:sz w:val="28"/>
          <w:szCs w:val="28"/>
        </w:rPr>
        <w:t>致：</w:t>
      </w:r>
      <w:r>
        <w:rPr>
          <w:rFonts w:hint="eastAsia" w:ascii="仿宋" w:hAnsi="仿宋" w:eastAsia="仿宋"/>
          <w:sz w:val="28"/>
          <w:szCs w:val="28"/>
        </w:rPr>
        <w:t>北京中医药大学深圳医院(龙岗)</w:t>
      </w:r>
    </w:p>
    <w:p>
      <w:pPr>
        <w:spacing w:line="360" w:lineRule="auto"/>
        <w:rPr>
          <w:rFonts w:ascii="仿宋" w:hAnsi="仿宋" w:eastAsia="仿宋"/>
          <w:sz w:val="28"/>
          <w:szCs w:val="28"/>
        </w:rPr>
      </w:pPr>
      <w:r>
        <w:rPr>
          <w:rFonts w:ascii="仿宋" w:hAnsi="仿宋" w:eastAsia="仿宋"/>
          <w:sz w:val="28"/>
          <w:szCs w:val="28"/>
        </w:rPr>
        <w:t>我公司承诺：</w:t>
      </w:r>
    </w:p>
    <w:p>
      <w:pPr>
        <w:spacing w:line="360" w:lineRule="auto"/>
        <w:rPr>
          <w:rFonts w:ascii="仿宋" w:hAnsi="仿宋" w:eastAsia="仿宋"/>
          <w:sz w:val="28"/>
          <w:szCs w:val="28"/>
        </w:rPr>
      </w:pPr>
      <w:r>
        <w:rPr>
          <w:rFonts w:ascii="仿宋" w:hAnsi="仿宋" w:eastAsia="仿宋"/>
          <w:sz w:val="28"/>
          <w:szCs w:val="28"/>
        </w:rPr>
        <w:t>1.我公司本招标项目所提供的货物或服务未侵犯知识产权。</w:t>
      </w:r>
    </w:p>
    <w:p>
      <w:pPr>
        <w:spacing w:line="360" w:lineRule="auto"/>
        <w:rPr>
          <w:rFonts w:ascii="仿宋" w:hAnsi="仿宋" w:eastAsia="仿宋"/>
          <w:sz w:val="28"/>
          <w:szCs w:val="28"/>
        </w:rPr>
      </w:pPr>
      <w:r>
        <w:rPr>
          <w:rFonts w:ascii="仿宋" w:hAnsi="仿宋" w:eastAsia="仿宋"/>
          <w:sz w:val="28"/>
          <w:szCs w:val="28"/>
        </w:rPr>
        <w:t>2.我公司参与本项目投标前三年内，在经营活动中没有重大违法记录。</w:t>
      </w:r>
    </w:p>
    <w:p>
      <w:pPr>
        <w:spacing w:line="360" w:lineRule="auto"/>
        <w:rPr>
          <w:rFonts w:ascii="仿宋" w:hAnsi="仿宋" w:eastAsia="仿宋"/>
          <w:sz w:val="28"/>
          <w:szCs w:val="28"/>
        </w:rPr>
      </w:pPr>
      <w:r>
        <w:rPr>
          <w:rFonts w:ascii="仿宋" w:hAnsi="仿宋" w:eastAsia="仿宋"/>
          <w:sz w:val="28"/>
          <w:szCs w:val="28"/>
        </w:rPr>
        <w:t>3.我公司参与本项目政府采购活动时不存在被有关部门禁止参与政府采购活动且在有效期内的情况。</w:t>
      </w:r>
    </w:p>
    <w:p>
      <w:pPr>
        <w:spacing w:line="360" w:lineRule="auto"/>
        <w:rPr>
          <w:rFonts w:ascii="仿宋" w:hAnsi="仿宋" w:eastAsia="仿宋"/>
          <w:sz w:val="28"/>
          <w:szCs w:val="28"/>
        </w:rPr>
      </w:pPr>
      <w:r>
        <w:rPr>
          <w:rFonts w:ascii="仿宋" w:hAnsi="仿宋" w:eastAsia="仿宋"/>
          <w:sz w:val="28"/>
          <w:szCs w:val="28"/>
        </w:rPr>
        <w:t>4.我公司具备《中华人民共和国政府采购法》第二十二条第一款规定的六项条件。</w:t>
      </w:r>
    </w:p>
    <w:p>
      <w:pPr>
        <w:spacing w:line="360" w:lineRule="auto"/>
        <w:rPr>
          <w:rFonts w:ascii="仿宋" w:hAnsi="仿宋" w:eastAsia="仿宋"/>
          <w:sz w:val="28"/>
          <w:szCs w:val="28"/>
        </w:rPr>
      </w:pPr>
      <w:r>
        <w:rPr>
          <w:rFonts w:ascii="仿宋" w:hAnsi="仿宋" w:eastAsia="仿宋"/>
          <w:sz w:val="28"/>
          <w:szCs w:val="28"/>
        </w:rPr>
        <w:t>5.我公司未被列入失信被执行人、重大税收违法案件当事人名单、政府采购严重违法失信行为记录名单</w:t>
      </w:r>
    </w:p>
    <w:p>
      <w:pPr>
        <w:spacing w:line="360" w:lineRule="auto"/>
        <w:rPr>
          <w:rFonts w:ascii="仿宋" w:hAnsi="仿宋" w:eastAsia="仿宋"/>
          <w:sz w:val="28"/>
          <w:szCs w:val="28"/>
        </w:rPr>
      </w:pPr>
      <w:r>
        <w:rPr>
          <w:rFonts w:ascii="仿宋" w:hAnsi="仿宋" w:eastAsia="仿宋"/>
          <w:sz w:val="28"/>
          <w:szCs w:val="28"/>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360" w:lineRule="auto"/>
        <w:rPr>
          <w:rFonts w:ascii="仿宋" w:hAnsi="仿宋" w:eastAsia="仿宋"/>
          <w:sz w:val="28"/>
          <w:szCs w:val="28"/>
        </w:rPr>
      </w:pPr>
      <w:r>
        <w:rPr>
          <w:rFonts w:ascii="仿宋" w:hAnsi="仿宋" w:eastAsia="仿宋"/>
          <w:sz w:val="28"/>
          <w:szCs w:val="28"/>
        </w:rPr>
        <w:t>7.我公司如果中标，做到守信，不偷工减料，依照本项目招标文件需求内容、签署的采购合同及本公司在投标中所作的一切承诺履约。项目验收达到全部指标合格，力争优良。</w:t>
      </w:r>
    </w:p>
    <w:p>
      <w:pPr>
        <w:spacing w:line="360" w:lineRule="auto"/>
        <w:rPr>
          <w:rFonts w:ascii="仿宋" w:hAnsi="仿宋" w:eastAsia="仿宋"/>
          <w:sz w:val="28"/>
          <w:szCs w:val="28"/>
        </w:rPr>
      </w:pPr>
      <w:r>
        <w:rPr>
          <w:rFonts w:ascii="仿宋" w:hAnsi="仿宋" w:eastAsia="仿宋"/>
          <w:sz w:val="28"/>
          <w:szCs w:val="28"/>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rPr>
          <w:rFonts w:ascii="仿宋" w:hAnsi="仿宋" w:eastAsia="仿宋"/>
          <w:sz w:val="28"/>
          <w:szCs w:val="28"/>
        </w:rPr>
      </w:pPr>
      <w:r>
        <w:rPr>
          <w:rFonts w:ascii="仿宋" w:hAnsi="仿宋" w:eastAsia="仿宋"/>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auto"/>
        <w:rPr>
          <w:rFonts w:ascii="仿宋" w:hAnsi="仿宋" w:eastAsia="仿宋"/>
          <w:sz w:val="28"/>
          <w:szCs w:val="28"/>
        </w:rPr>
      </w:pPr>
      <w:r>
        <w:rPr>
          <w:rFonts w:ascii="仿宋" w:hAnsi="仿宋" w:eastAsia="仿宋"/>
          <w:sz w:val="28"/>
          <w:szCs w:val="28"/>
        </w:rPr>
        <w:t>10.我公司承诺不非法转包、分包。</w:t>
      </w:r>
    </w:p>
    <w:p>
      <w:pPr>
        <w:spacing w:line="360" w:lineRule="auto"/>
        <w:rPr>
          <w:rFonts w:ascii="仿宋" w:hAnsi="仿宋" w:eastAsia="仿宋"/>
          <w:sz w:val="28"/>
          <w:szCs w:val="28"/>
        </w:rPr>
      </w:pPr>
      <w:r>
        <w:rPr>
          <w:rFonts w:ascii="仿宋" w:hAnsi="仿宋" w:eastAsia="仿宋"/>
          <w:sz w:val="28"/>
          <w:szCs w:val="28"/>
        </w:rPr>
        <w:t>以上承诺，如有违反，愿依照国家相关法律处理，并承担由此给采购人带来的损失。</w:t>
      </w:r>
    </w:p>
    <w:p>
      <w:pPr>
        <w:spacing w:line="360" w:lineRule="auto"/>
        <w:rPr>
          <w:rFonts w:eastAsia="仿宋"/>
          <w:sz w:val="28"/>
          <w:szCs w:val="28"/>
        </w:rPr>
      </w:pPr>
      <w:r>
        <w:rPr>
          <w:rFonts w:eastAsia="仿宋"/>
          <w:sz w:val="28"/>
          <w:szCs w:val="28"/>
        </w:rPr>
        <w:t>                                    </w:t>
      </w:r>
      <w:r>
        <w:rPr>
          <w:rFonts w:hint="eastAsia" w:eastAsia="仿宋"/>
          <w:sz w:val="28"/>
          <w:szCs w:val="28"/>
        </w:rPr>
        <w:t xml:space="preserve">                   </w:t>
      </w:r>
      <w:r>
        <w:rPr>
          <w:rFonts w:ascii="仿宋" w:hAnsi="仿宋" w:eastAsia="仿宋"/>
          <w:sz w:val="28"/>
          <w:szCs w:val="28"/>
        </w:rPr>
        <w:t>投标人：</w:t>
      </w:r>
      <w:r>
        <w:rPr>
          <w:rFonts w:eastAsia="仿宋"/>
          <w:sz w:val="28"/>
          <w:szCs w:val="28"/>
        </w:rPr>
        <w:t>                             </w:t>
      </w:r>
    </w:p>
    <w:p>
      <w:pPr>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w:t>
      </w:r>
      <w:r>
        <w:rPr>
          <w:rFonts w:eastAsia="仿宋"/>
          <w:sz w:val="28"/>
          <w:szCs w:val="28"/>
        </w:rPr>
        <w:t>  </w:t>
      </w:r>
      <w:r>
        <w:rPr>
          <w:rFonts w:ascii="仿宋" w:hAnsi="仿宋" w:eastAsia="仿宋"/>
          <w:sz w:val="28"/>
          <w:szCs w:val="28"/>
        </w:rPr>
        <w:t>期：</w:t>
      </w:r>
      <w:r>
        <w:rPr>
          <w:rFonts w:eastAsia="仿宋"/>
          <w:sz w:val="28"/>
          <w:szCs w:val="28"/>
        </w:rPr>
        <w:t>      </w:t>
      </w:r>
      <w:r>
        <w:rPr>
          <w:rFonts w:ascii="仿宋" w:hAnsi="仿宋" w:eastAsia="仿宋"/>
          <w:sz w:val="28"/>
          <w:szCs w:val="28"/>
        </w:rPr>
        <w:t>年</w:t>
      </w:r>
      <w:r>
        <w:rPr>
          <w:rFonts w:eastAsia="仿宋"/>
          <w:sz w:val="28"/>
          <w:szCs w:val="28"/>
        </w:rPr>
        <w:t> </w:t>
      </w:r>
      <w:r>
        <w:rPr>
          <w:rFonts w:hint="eastAsia" w:eastAsia="仿宋"/>
          <w:sz w:val="28"/>
          <w:szCs w:val="28"/>
        </w:rPr>
        <w:t xml:space="preserve">  </w:t>
      </w:r>
      <w:r>
        <w:rPr>
          <w:rFonts w:eastAsia="仿宋"/>
          <w:sz w:val="28"/>
          <w:szCs w:val="28"/>
        </w:rPr>
        <w:t>  </w:t>
      </w:r>
      <w:r>
        <w:rPr>
          <w:rFonts w:ascii="仿宋" w:hAnsi="仿宋" w:eastAsia="仿宋"/>
          <w:sz w:val="28"/>
          <w:szCs w:val="28"/>
        </w:rPr>
        <w:t>月</w:t>
      </w:r>
      <w:r>
        <w:rPr>
          <w:rFonts w:hint="eastAsia" w:ascii="仿宋" w:hAnsi="仿宋" w:eastAsia="仿宋"/>
          <w:sz w:val="28"/>
          <w:szCs w:val="28"/>
        </w:rPr>
        <w:t xml:space="preserve">  </w:t>
      </w:r>
      <w:r>
        <w:rPr>
          <w:rFonts w:eastAsia="仿宋"/>
          <w:sz w:val="28"/>
          <w:szCs w:val="28"/>
        </w:rPr>
        <w:t>  </w:t>
      </w:r>
      <w:r>
        <w:rPr>
          <w:rFonts w:ascii="仿宋" w:hAnsi="仿宋" w:eastAsia="仿宋"/>
          <w:sz w:val="28"/>
          <w:szCs w:val="28"/>
        </w:rPr>
        <w:t>日</w:t>
      </w:r>
    </w:p>
    <w:p>
      <w:pPr>
        <w:pStyle w:val="8"/>
      </w:pPr>
    </w:p>
    <w:p>
      <w:pPr>
        <w:spacing w:line="360" w:lineRule="auto"/>
        <w:rPr>
          <w:rFonts w:ascii="宋体" w:hAnsi="宋体"/>
          <w:b/>
          <w:color w:val="FF0000"/>
          <w:sz w:val="24"/>
        </w:rPr>
      </w:pPr>
    </w:p>
    <w:p>
      <w:pPr>
        <w:spacing w:line="360" w:lineRule="auto"/>
        <w:rPr>
          <w:rFonts w:ascii="宋体" w:hAnsi="宋体"/>
          <w:b/>
          <w:color w:val="FF0000"/>
          <w:sz w:val="24"/>
        </w:rPr>
      </w:pPr>
    </w:p>
    <w:p>
      <w:pPr>
        <w:spacing w:line="360" w:lineRule="auto"/>
        <w:rPr>
          <w:rFonts w:ascii="宋体" w:hAnsi="宋体"/>
          <w:b/>
          <w:color w:val="FF0000"/>
          <w:sz w:val="24"/>
        </w:rPr>
      </w:pPr>
    </w:p>
    <w:p>
      <w:pPr>
        <w:spacing w:line="360" w:lineRule="auto"/>
        <w:rPr>
          <w:rFonts w:ascii="宋体" w:hAnsi="宋体"/>
          <w:b/>
          <w:color w:val="FF0000"/>
          <w:sz w:val="24"/>
        </w:rPr>
      </w:pPr>
    </w:p>
    <w:p>
      <w:pPr>
        <w:spacing w:line="360" w:lineRule="auto"/>
        <w:rPr>
          <w:rFonts w:ascii="宋体" w:hAnsi="宋体"/>
          <w:b/>
          <w:color w:val="FF0000"/>
          <w:sz w:val="24"/>
        </w:rPr>
      </w:pPr>
    </w:p>
    <w:p>
      <w:pPr>
        <w:spacing w:line="360" w:lineRule="auto"/>
        <w:rPr>
          <w:rFonts w:ascii="宋体" w:hAnsi="宋体"/>
        </w:rPr>
      </w:pPr>
    </w:p>
    <w:p>
      <w:pPr>
        <w:spacing w:line="360" w:lineRule="auto"/>
        <w:rPr>
          <w:rFonts w:ascii="宋体" w:hAnsi="宋体"/>
        </w:rPr>
      </w:pPr>
      <w:r>
        <w:rPr>
          <w:rFonts w:hint="eastAsia" w:ascii="宋体" w:hAnsi="宋体"/>
        </w:rPr>
        <w:t>（信用自查）</w:t>
      </w:r>
    </w:p>
    <w:p>
      <w:pPr>
        <w:widowControl/>
        <w:spacing w:line="520" w:lineRule="exact"/>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龙岗区进一步规范政商交往行为告知书</w:t>
      </w:r>
    </w:p>
    <w:p>
      <w:pPr>
        <w:pStyle w:val="6"/>
        <w:spacing w:line="460" w:lineRule="exact"/>
      </w:pP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一、不得向公职人员赠送礼品、礼金、消费卡等财物。</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二、不得违规向公职人员提供宴请、旅游、娱乐等安排。</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三、不得通过打麻将等形式向公职人员输送利益。</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四、不得为公职人员报销应由其个人支付的费用。</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五、不得违规向公职人员及其亲友借贷款。</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六、不得违规将车辆、住房等借给公职人员使用。</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七、不得在招投标中与公职人员搞暗箱操作、围标串标。</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八、不得为利益相关人和公职人员牵线搭桥或者代为传递信息、传递财物。</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九、不得让公职人员在企业违规兼职取酬。</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十、不得为公职人员亲友违规承揽业务提供便利。</w:t>
      </w: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pPr>
        <w:pStyle w:val="6"/>
        <w:spacing w:line="460" w:lineRule="exact"/>
        <w:ind w:firstLine="640" w:firstLineChars="200"/>
      </w:pPr>
    </w:p>
    <w:p>
      <w:pPr>
        <w:widowControl/>
        <w:spacing w:line="460" w:lineRule="exact"/>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本人已知晓上述告知内容，并愿意遵照执行（签名）：</w:t>
      </w:r>
    </w:p>
    <w:p>
      <w:pPr>
        <w:spacing w:line="360" w:lineRule="auto"/>
        <w:rPr>
          <w:sz w:val="32"/>
          <w:szCs w:val="32"/>
        </w:rPr>
      </w:pPr>
      <w:r>
        <w:rPr>
          <w:rFonts w:hint="eastAsia" w:ascii="仿宋_GB2312" w:hAnsi="宋体" w:eastAsia="仿宋_GB2312" w:cs="仿宋_GB2312"/>
          <w:color w:val="000000"/>
          <w:kern w:val="0"/>
          <w:sz w:val="31"/>
          <w:szCs w:val="31"/>
          <w:lang w:bidi="ar"/>
        </w:rPr>
        <w:t xml:space="preserve">                                      2024年</w:t>
      </w:r>
      <w:r>
        <w:rPr>
          <w:rFonts w:hint="eastAsia" w:ascii="仿宋_GB2312" w:hAnsi="宋体" w:cs="仿宋_GB2312"/>
          <w:color w:val="000000"/>
          <w:kern w:val="0"/>
          <w:sz w:val="31"/>
          <w:szCs w:val="31"/>
          <w:lang w:bidi="ar"/>
        </w:rPr>
        <w:t xml:space="preserve">  </w:t>
      </w:r>
      <w:r>
        <w:rPr>
          <w:rFonts w:hint="eastAsia" w:ascii="仿宋_GB2312" w:hAnsi="宋体" w:eastAsia="仿宋_GB2312" w:cs="仿宋_GB2312"/>
          <w:color w:val="000000"/>
          <w:kern w:val="0"/>
          <w:sz w:val="31"/>
          <w:szCs w:val="31"/>
          <w:lang w:bidi="ar"/>
        </w:rPr>
        <w:t>月</w:t>
      </w:r>
      <w:r>
        <w:rPr>
          <w:rFonts w:hint="eastAsia" w:ascii="仿宋_GB2312" w:hAnsi="宋体" w:cs="仿宋_GB2312"/>
          <w:color w:val="000000"/>
          <w:kern w:val="0"/>
          <w:sz w:val="31"/>
          <w:szCs w:val="31"/>
          <w:lang w:bidi="ar"/>
        </w:rPr>
        <w:t xml:space="preserve">  </w:t>
      </w:r>
      <w:r>
        <w:rPr>
          <w:rFonts w:hint="eastAsia" w:ascii="仿宋_GB2312" w:hAnsi="宋体" w:eastAsia="仿宋_GB2312" w:cs="仿宋_GB2312"/>
          <w:color w:val="000000"/>
          <w:kern w:val="0"/>
          <w:sz w:val="31"/>
          <w:szCs w:val="31"/>
          <w:lang w:bidi="ar"/>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2591BE-837D-467E-9733-D567178761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BA30CF8-4209-4181-A690-B4E8CDCD7EDA}"/>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3" w:fontKey="{105F92F2-95A6-4A57-9235-295DFC6D1A4E}"/>
  </w:font>
  <w:font w:name="Courier New">
    <w:panose1 w:val="02070309020205020404"/>
    <w:charset w:val="00"/>
    <w:family w:val="modern"/>
    <w:pitch w:val="default"/>
    <w:sig w:usb0="E0002AFF" w:usb1="C0007843" w:usb2="00000009" w:usb3="00000000" w:csb0="400001FF" w:csb1="FFFF0000"/>
  </w:font>
  <w:font w:name="H Yb 2gj">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embedRegular r:id="rId4" w:fontKey="{4717C6B1-189B-4F9C-AFA0-473010176AA0}"/>
  </w:font>
  <w:font w:name="仿宋">
    <w:panose1 w:val="02010609060101010101"/>
    <w:charset w:val="86"/>
    <w:family w:val="modern"/>
    <w:pitch w:val="default"/>
    <w:sig w:usb0="800002BF" w:usb1="38CF7CFA" w:usb2="00000016" w:usb3="00000000" w:csb0="00040001" w:csb1="00000000"/>
    <w:embedRegular r:id="rId5" w:fontKey="{18DACD30-1F44-49C0-982D-4834F9975B88}"/>
  </w:font>
  <w:font w:name="方正小标宋简体">
    <w:panose1 w:val="02000000000000000000"/>
    <w:charset w:val="86"/>
    <w:family w:val="script"/>
    <w:pitch w:val="default"/>
    <w:sig w:usb0="00000001" w:usb1="08000000" w:usb2="00000000" w:usb3="00000000" w:csb0="00040000" w:csb1="00000000"/>
    <w:embedRegular r:id="rId6" w:fontKey="{17F3BF29-E3FA-47ED-B41A-0B68BF63082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2EAEA"/>
    <w:multiLevelType w:val="singleLevel"/>
    <w:tmpl w:val="83C2EAEA"/>
    <w:lvl w:ilvl="0" w:tentative="0">
      <w:start w:val="1"/>
      <w:numFmt w:val="decimal"/>
      <w:suff w:val="nothing"/>
      <w:lvlText w:val="%1、"/>
      <w:lvlJc w:val="left"/>
      <w:pPr>
        <w:ind w:left="0" w:firstLine="0"/>
      </w:pPr>
    </w:lvl>
  </w:abstractNum>
  <w:abstractNum w:abstractNumId="1">
    <w:nsid w:val="9720576F"/>
    <w:multiLevelType w:val="singleLevel"/>
    <w:tmpl w:val="9720576F"/>
    <w:lvl w:ilvl="0" w:tentative="0">
      <w:start w:val="1"/>
      <w:numFmt w:val="decimal"/>
      <w:suff w:val="nothing"/>
      <w:lvlText w:val="（%1）"/>
      <w:lvlJc w:val="left"/>
      <w:pPr>
        <w:ind w:left="0" w:firstLine="0"/>
      </w:pPr>
    </w:lvl>
  </w:abstractNum>
  <w:abstractNum w:abstractNumId="2">
    <w:nsid w:val="BA9AAE13"/>
    <w:multiLevelType w:val="singleLevel"/>
    <w:tmpl w:val="BA9AAE13"/>
    <w:lvl w:ilvl="0" w:tentative="0">
      <w:start w:val="1"/>
      <w:numFmt w:val="decimal"/>
      <w:suff w:val="nothing"/>
      <w:lvlText w:val="%1、"/>
      <w:lvlJc w:val="left"/>
      <w:pPr>
        <w:ind w:left="0" w:firstLine="0"/>
      </w:pPr>
    </w:lvl>
  </w:abstractNum>
  <w:abstractNum w:abstractNumId="3">
    <w:nsid w:val="E1AF30FD"/>
    <w:multiLevelType w:val="singleLevel"/>
    <w:tmpl w:val="E1AF30FD"/>
    <w:lvl w:ilvl="0" w:tentative="0">
      <w:start w:val="1"/>
      <w:numFmt w:val="decimal"/>
      <w:suff w:val="nothing"/>
      <w:lvlText w:val="%1、"/>
      <w:lvlJc w:val="left"/>
      <w:pPr>
        <w:ind w:left="0" w:firstLine="0"/>
      </w:pPr>
    </w:lvl>
  </w:abstractNum>
  <w:abstractNum w:abstractNumId="4">
    <w:nsid w:val="E72B0896"/>
    <w:multiLevelType w:val="singleLevel"/>
    <w:tmpl w:val="E72B0896"/>
    <w:lvl w:ilvl="0" w:tentative="0">
      <w:start w:val="1"/>
      <w:numFmt w:val="decimal"/>
      <w:suff w:val="nothing"/>
      <w:lvlText w:val="%1、"/>
      <w:lvlJc w:val="left"/>
      <w:pPr>
        <w:ind w:left="0" w:firstLine="0"/>
      </w:pPr>
    </w:lvl>
  </w:abstractNum>
  <w:abstractNum w:abstractNumId="5">
    <w:nsid w:val="0DDE211B"/>
    <w:multiLevelType w:val="singleLevel"/>
    <w:tmpl w:val="0DDE211B"/>
    <w:lvl w:ilvl="0" w:tentative="0">
      <w:start w:val="1"/>
      <w:numFmt w:val="decimal"/>
      <w:suff w:val="nothing"/>
      <w:lvlText w:val="%1、"/>
      <w:lvlJc w:val="left"/>
      <w:pPr>
        <w:ind w:left="0" w:firstLine="0"/>
      </w:pPr>
    </w:lvl>
  </w:abstractNum>
  <w:abstractNum w:abstractNumId="6">
    <w:nsid w:val="1528C242"/>
    <w:multiLevelType w:val="singleLevel"/>
    <w:tmpl w:val="1528C242"/>
    <w:lvl w:ilvl="0" w:tentative="0">
      <w:start w:val="1"/>
      <w:numFmt w:val="upperLetter"/>
      <w:lvlText w:val="%1."/>
      <w:lvlJc w:val="left"/>
      <w:pPr>
        <w:tabs>
          <w:tab w:val="left" w:pos="312"/>
        </w:tabs>
      </w:pPr>
    </w:lvl>
  </w:abstractNum>
  <w:abstractNum w:abstractNumId="7">
    <w:nsid w:val="32742069"/>
    <w:multiLevelType w:val="singleLevel"/>
    <w:tmpl w:val="32742069"/>
    <w:lvl w:ilvl="0" w:tentative="0">
      <w:start w:val="1"/>
      <w:numFmt w:val="decimal"/>
      <w:suff w:val="nothing"/>
      <w:lvlText w:val="%1、"/>
      <w:lvlJc w:val="left"/>
      <w:pPr>
        <w:ind w:left="0" w:firstLine="0"/>
      </w:pPr>
    </w:lvl>
  </w:abstractNum>
  <w:abstractNum w:abstractNumId="8">
    <w:nsid w:val="62D1360B"/>
    <w:multiLevelType w:val="multilevel"/>
    <w:tmpl w:val="62D136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3E62A89"/>
    <w:multiLevelType w:val="multilevel"/>
    <w:tmpl w:val="63E62A8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11">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decimal"/>
      <w:isLgl/>
      <w:lvlText w:val="%1.%2"/>
      <w:lvlJc w:val="left"/>
      <w:pPr>
        <w:ind w:left="570" w:hanging="360"/>
      </w:pPr>
      <w:rPr>
        <w:rFonts w:hint="default"/>
      </w:rPr>
    </w:lvl>
    <w:lvl w:ilvl="2" w:tentative="0">
      <w:start w:val="1"/>
      <w:numFmt w:val="decimal"/>
      <w:isLgl/>
      <w:lvlText w:val="%1.%2.%3"/>
      <w:lvlJc w:val="left"/>
      <w:pPr>
        <w:ind w:left="930" w:hanging="720"/>
      </w:pPr>
      <w:rPr>
        <w:rFonts w:hint="default"/>
      </w:rPr>
    </w:lvl>
    <w:lvl w:ilvl="3" w:tentative="0">
      <w:start w:val="1"/>
      <w:numFmt w:val="decimal"/>
      <w:isLgl/>
      <w:lvlText w:val="%1.%2.%3.%4"/>
      <w:lvlJc w:val="left"/>
      <w:pPr>
        <w:ind w:left="930" w:hanging="720"/>
      </w:pPr>
      <w:rPr>
        <w:rFonts w:hint="default"/>
      </w:rPr>
    </w:lvl>
    <w:lvl w:ilvl="4" w:tentative="0">
      <w:start w:val="1"/>
      <w:numFmt w:val="decimal"/>
      <w:isLgl/>
      <w:lvlText w:val="%1.%2.%3.%4.%5"/>
      <w:lvlJc w:val="left"/>
      <w:pPr>
        <w:ind w:left="1290" w:hanging="1080"/>
      </w:pPr>
      <w:rPr>
        <w:rFonts w:hint="default"/>
      </w:rPr>
    </w:lvl>
    <w:lvl w:ilvl="5" w:tentative="0">
      <w:start w:val="1"/>
      <w:numFmt w:val="decimal"/>
      <w:isLgl/>
      <w:lvlText w:val="%1.%2.%3.%4.%5.%6"/>
      <w:lvlJc w:val="left"/>
      <w:pPr>
        <w:ind w:left="1290" w:hanging="1080"/>
      </w:pPr>
      <w:rPr>
        <w:rFonts w:hint="default"/>
      </w:rPr>
    </w:lvl>
    <w:lvl w:ilvl="6" w:tentative="0">
      <w:start w:val="1"/>
      <w:numFmt w:val="decimal"/>
      <w:isLgl/>
      <w:lvlText w:val="%1.%2.%3.%4.%5.%6.%7"/>
      <w:lvlJc w:val="left"/>
      <w:pPr>
        <w:ind w:left="1290" w:hanging="1080"/>
      </w:pPr>
      <w:rPr>
        <w:rFonts w:hint="default"/>
      </w:rPr>
    </w:lvl>
    <w:lvl w:ilvl="7" w:tentative="0">
      <w:start w:val="1"/>
      <w:numFmt w:val="decimal"/>
      <w:isLgl/>
      <w:lvlText w:val="%1.%2.%3.%4.%5.%6.%7.%8"/>
      <w:lvlJc w:val="left"/>
      <w:pPr>
        <w:ind w:left="1650" w:hanging="1440"/>
      </w:pPr>
      <w:rPr>
        <w:rFonts w:hint="default"/>
      </w:rPr>
    </w:lvl>
    <w:lvl w:ilvl="8" w:tentative="0">
      <w:start w:val="1"/>
      <w:numFmt w:val="decimal"/>
      <w:isLgl/>
      <w:lvlText w:val="%1.%2.%3.%4.%5.%6.%7.%8.%9"/>
      <w:lvlJc w:val="left"/>
      <w:pPr>
        <w:ind w:left="1650" w:hanging="1440"/>
      </w:pPr>
      <w:rPr>
        <w:rFonts w:hint="default"/>
      </w:rPr>
    </w:lvl>
  </w:abstractNum>
  <w:abstractNum w:abstractNumId="12">
    <w:nsid w:val="7D898CD0"/>
    <w:multiLevelType w:val="singleLevel"/>
    <w:tmpl w:val="7D898CD0"/>
    <w:lvl w:ilvl="0" w:tentative="0">
      <w:start w:val="1"/>
      <w:numFmt w:val="decimal"/>
      <w:lvlText w:val="%1."/>
      <w:lvlJc w:val="left"/>
      <w:pPr>
        <w:tabs>
          <w:tab w:val="left" w:pos="312"/>
        </w:tabs>
        <w:ind w:left="0" w:firstLine="0"/>
      </w:pPr>
    </w:lvl>
  </w:abstractNum>
  <w:num w:numId="1">
    <w:abstractNumId w:val="8"/>
  </w:num>
  <w:num w:numId="2">
    <w:abstractNumId w:val="11"/>
  </w:num>
  <w:num w:numId="3">
    <w:abstractNumId w:val="10"/>
  </w:num>
  <w:num w:numId="4">
    <w:abstractNumId w:val="9"/>
  </w:num>
  <w:num w:numId="5">
    <w:abstractNumId w:val="12"/>
    <w:lvlOverride w:ilvl="0">
      <w:startOverride w:val="1"/>
    </w:lvlOverride>
  </w:num>
  <w:num w:numId="6">
    <w:abstractNumId w:val="1"/>
    <w:lvlOverride w:ilvl="0">
      <w:startOverride w:val="1"/>
    </w:lvlOverride>
  </w:num>
  <w:num w:numId="7">
    <w:abstractNumId w:val="2"/>
    <w:lvlOverride w:ilvl="0">
      <w:startOverride w:val="1"/>
    </w:lvlOverride>
  </w:num>
  <w:num w:numId="8">
    <w:abstractNumId w:val="0"/>
    <w:lvlOverride w:ilvl="0">
      <w:startOverride w:val="1"/>
    </w:lvlOverride>
  </w:num>
  <w:num w:numId="9">
    <w:abstractNumId w:val="7"/>
    <w:lvlOverride w:ilvl="0">
      <w:startOverride w:val="1"/>
    </w:lvlOverride>
  </w:num>
  <w:num w:numId="10">
    <w:abstractNumId w:val="3"/>
    <w:lvlOverride w:ilvl="0">
      <w:startOverride w:val="1"/>
    </w:lvlOverride>
  </w:num>
  <w:num w:numId="11">
    <w:abstractNumId w:val="5"/>
    <w:lvlOverride w:ilvl="0">
      <w:startOverride w:val="1"/>
    </w:lvlOverride>
  </w:num>
  <w:num w:numId="12">
    <w:abstractNumId w:val="4"/>
    <w:lvlOverride w:ilvl="0">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mFiZjU4OTczNTI5NmUwMzA4OWZmNGQyNWZmMDIifQ=="/>
  </w:docVars>
  <w:rsids>
    <w:rsidRoot w:val="003C1835"/>
    <w:rsid w:val="00005D7C"/>
    <w:rsid w:val="00014D4B"/>
    <w:rsid w:val="00020BB7"/>
    <w:rsid w:val="00020CB6"/>
    <w:rsid w:val="00046811"/>
    <w:rsid w:val="000547DA"/>
    <w:rsid w:val="000746C9"/>
    <w:rsid w:val="00074D63"/>
    <w:rsid w:val="000842C8"/>
    <w:rsid w:val="00086465"/>
    <w:rsid w:val="00091959"/>
    <w:rsid w:val="00097582"/>
    <w:rsid w:val="000A3C95"/>
    <w:rsid w:val="000B3246"/>
    <w:rsid w:val="000B402F"/>
    <w:rsid w:val="000B6A06"/>
    <w:rsid w:val="000C3544"/>
    <w:rsid w:val="000D32AD"/>
    <w:rsid w:val="000D49E1"/>
    <w:rsid w:val="000E07F3"/>
    <w:rsid w:val="000F0575"/>
    <w:rsid w:val="00106E12"/>
    <w:rsid w:val="00115C9E"/>
    <w:rsid w:val="001370E6"/>
    <w:rsid w:val="0013782E"/>
    <w:rsid w:val="00142765"/>
    <w:rsid w:val="00150EF9"/>
    <w:rsid w:val="001510A2"/>
    <w:rsid w:val="00156C4C"/>
    <w:rsid w:val="00161F71"/>
    <w:rsid w:val="001649D2"/>
    <w:rsid w:val="00166824"/>
    <w:rsid w:val="00167589"/>
    <w:rsid w:val="00170DAB"/>
    <w:rsid w:val="00180CE9"/>
    <w:rsid w:val="00181C0E"/>
    <w:rsid w:val="00184096"/>
    <w:rsid w:val="0019018D"/>
    <w:rsid w:val="001960A0"/>
    <w:rsid w:val="00197CA8"/>
    <w:rsid w:val="001B573D"/>
    <w:rsid w:val="001C527D"/>
    <w:rsid w:val="001F1261"/>
    <w:rsid w:val="001F4983"/>
    <w:rsid w:val="001F56C4"/>
    <w:rsid w:val="00206442"/>
    <w:rsid w:val="00211E82"/>
    <w:rsid w:val="00213D08"/>
    <w:rsid w:val="00215A92"/>
    <w:rsid w:val="00221966"/>
    <w:rsid w:val="00245C5E"/>
    <w:rsid w:val="00251FCA"/>
    <w:rsid w:val="002564DB"/>
    <w:rsid w:val="00256C6C"/>
    <w:rsid w:val="00270639"/>
    <w:rsid w:val="0028022B"/>
    <w:rsid w:val="002A19BE"/>
    <w:rsid w:val="002A63A3"/>
    <w:rsid w:val="002B2A1B"/>
    <w:rsid w:val="002D6357"/>
    <w:rsid w:val="002E3D33"/>
    <w:rsid w:val="002E44D6"/>
    <w:rsid w:val="002E6264"/>
    <w:rsid w:val="002F3B78"/>
    <w:rsid w:val="002F7198"/>
    <w:rsid w:val="003013DB"/>
    <w:rsid w:val="0030157E"/>
    <w:rsid w:val="00302092"/>
    <w:rsid w:val="00317E3F"/>
    <w:rsid w:val="00324B86"/>
    <w:rsid w:val="00324EBE"/>
    <w:rsid w:val="0033219E"/>
    <w:rsid w:val="00333B02"/>
    <w:rsid w:val="00343247"/>
    <w:rsid w:val="00353D47"/>
    <w:rsid w:val="003550A4"/>
    <w:rsid w:val="00364D31"/>
    <w:rsid w:val="003834F4"/>
    <w:rsid w:val="0038716A"/>
    <w:rsid w:val="003927AC"/>
    <w:rsid w:val="003A54F2"/>
    <w:rsid w:val="003A7A90"/>
    <w:rsid w:val="003B5C72"/>
    <w:rsid w:val="003B7753"/>
    <w:rsid w:val="003C1835"/>
    <w:rsid w:val="003C7DB7"/>
    <w:rsid w:val="003E03F5"/>
    <w:rsid w:val="003E6EC6"/>
    <w:rsid w:val="003F509C"/>
    <w:rsid w:val="00405615"/>
    <w:rsid w:val="00415F7F"/>
    <w:rsid w:val="00420BC9"/>
    <w:rsid w:val="0042519A"/>
    <w:rsid w:val="00427A4C"/>
    <w:rsid w:val="00433EF1"/>
    <w:rsid w:val="004402EC"/>
    <w:rsid w:val="00441A81"/>
    <w:rsid w:val="004548CB"/>
    <w:rsid w:val="00455FDB"/>
    <w:rsid w:val="00460ED7"/>
    <w:rsid w:val="00465BFC"/>
    <w:rsid w:val="00466F8B"/>
    <w:rsid w:val="00470F2D"/>
    <w:rsid w:val="00472862"/>
    <w:rsid w:val="00495AA7"/>
    <w:rsid w:val="004A322A"/>
    <w:rsid w:val="004E04A5"/>
    <w:rsid w:val="004E0BAE"/>
    <w:rsid w:val="004E4E02"/>
    <w:rsid w:val="004F6BDF"/>
    <w:rsid w:val="0051562C"/>
    <w:rsid w:val="0051798E"/>
    <w:rsid w:val="005439CD"/>
    <w:rsid w:val="00543A42"/>
    <w:rsid w:val="00543F4E"/>
    <w:rsid w:val="005646D8"/>
    <w:rsid w:val="00572B9D"/>
    <w:rsid w:val="00597C71"/>
    <w:rsid w:val="005A4CE0"/>
    <w:rsid w:val="005B6254"/>
    <w:rsid w:val="005E0D80"/>
    <w:rsid w:val="005F0A58"/>
    <w:rsid w:val="005F1984"/>
    <w:rsid w:val="005F4FA1"/>
    <w:rsid w:val="00600C95"/>
    <w:rsid w:val="00601DB7"/>
    <w:rsid w:val="00607389"/>
    <w:rsid w:val="00612A1C"/>
    <w:rsid w:val="00625BAA"/>
    <w:rsid w:val="006270C9"/>
    <w:rsid w:val="00630C01"/>
    <w:rsid w:val="006310FC"/>
    <w:rsid w:val="006355BC"/>
    <w:rsid w:val="006459BF"/>
    <w:rsid w:val="006521A9"/>
    <w:rsid w:val="006525A7"/>
    <w:rsid w:val="00653CD9"/>
    <w:rsid w:val="00664C2F"/>
    <w:rsid w:val="00672D77"/>
    <w:rsid w:val="006760B1"/>
    <w:rsid w:val="006808B9"/>
    <w:rsid w:val="006A3CF3"/>
    <w:rsid w:val="006A6210"/>
    <w:rsid w:val="006B65E0"/>
    <w:rsid w:val="006C304F"/>
    <w:rsid w:val="006E0815"/>
    <w:rsid w:val="006E0D03"/>
    <w:rsid w:val="006F32CE"/>
    <w:rsid w:val="006F4438"/>
    <w:rsid w:val="006F7851"/>
    <w:rsid w:val="00701385"/>
    <w:rsid w:val="007207FE"/>
    <w:rsid w:val="00741420"/>
    <w:rsid w:val="00744D37"/>
    <w:rsid w:val="007463A5"/>
    <w:rsid w:val="00747C29"/>
    <w:rsid w:val="00752470"/>
    <w:rsid w:val="00777891"/>
    <w:rsid w:val="00780C42"/>
    <w:rsid w:val="00785EFA"/>
    <w:rsid w:val="00793721"/>
    <w:rsid w:val="0079667E"/>
    <w:rsid w:val="00796C7B"/>
    <w:rsid w:val="007A2092"/>
    <w:rsid w:val="007B0D64"/>
    <w:rsid w:val="007D14EE"/>
    <w:rsid w:val="007D3459"/>
    <w:rsid w:val="007D40F0"/>
    <w:rsid w:val="007D60D1"/>
    <w:rsid w:val="007D79F6"/>
    <w:rsid w:val="007E6E7F"/>
    <w:rsid w:val="00804193"/>
    <w:rsid w:val="00811A0D"/>
    <w:rsid w:val="0083237C"/>
    <w:rsid w:val="0083261A"/>
    <w:rsid w:val="00841546"/>
    <w:rsid w:val="0085053C"/>
    <w:rsid w:val="00864345"/>
    <w:rsid w:val="0086469B"/>
    <w:rsid w:val="00864E1D"/>
    <w:rsid w:val="008724F0"/>
    <w:rsid w:val="008756B4"/>
    <w:rsid w:val="00875E84"/>
    <w:rsid w:val="008838CF"/>
    <w:rsid w:val="008858D0"/>
    <w:rsid w:val="00891D5B"/>
    <w:rsid w:val="008A4CCF"/>
    <w:rsid w:val="008A5C66"/>
    <w:rsid w:val="008A6B6D"/>
    <w:rsid w:val="008B5E84"/>
    <w:rsid w:val="008C25AA"/>
    <w:rsid w:val="008C47DC"/>
    <w:rsid w:val="008C4A45"/>
    <w:rsid w:val="008C6665"/>
    <w:rsid w:val="008D7E52"/>
    <w:rsid w:val="00910985"/>
    <w:rsid w:val="009145D3"/>
    <w:rsid w:val="009177D9"/>
    <w:rsid w:val="00917CAD"/>
    <w:rsid w:val="00917E06"/>
    <w:rsid w:val="009265C3"/>
    <w:rsid w:val="009438B8"/>
    <w:rsid w:val="009445CC"/>
    <w:rsid w:val="009449FD"/>
    <w:rsid w:val="00953DBB"/>
    <w:rsid w:val="00962514"/>
    <w:rsid w:val="00962690"/>
    <w:rsid w:val="009640FF"/>
    <w:rsid w:val="009744AA"/>
    <w:rsid w:val="00980A8E"/>
    <w:rsid w:val="00992383"/>
    <w:rsid w:val="00993B1B"/>
    <w:rsid w:val="009960DB"/>
    <w:rsid w:val="009B47CF"/>
    <w:rsid w:val="009B59D1"/>
    <w:rsid w:val="009C704B"/>
    <w:rsid w:val="009D6CB1"/>
    <w:rsid w:val="00A044E4"/>
    <w:rsid w:val="00A21515"/>
    <w:rsid w:val="00A21A52"/>
    <w:rsid w:val="00A32242"/>
    <w:rsid w:val="00A36BA5"/>
    <w:rsid w:val="00A37188"/>
    <w:rsid w:val="00A37D6A"/>
    <w:rsid w:val="00A4033C"/>
    <w:rsid w:val="00A53378"/>
    <w:rsid w:val="00A568EE"/>
    <w:rsid w:val="00A64265"/>
    <w:rsid w:val="00A71A6C"/>
    <w:rsid w:val="00AA23C1"/>
    <w:rsid w:val="00AA55D4"/>
    <w:rsid w:val="00AA6196"/>
    <w:rsid w:val="00AB4FA3"/>
    <w:rsid w:val="00AC2D9D"/>
    <w:rsid w:val="00AC63A4"/>
    <w:rsid w:val="00AC6DFA"/>
    <w:rsid w:val="00AE3C0A"/>
    <w:rsid w:val="00B00DC5"/>
    <w:rsid w:val="00B01BD2"/>
    <w:rsid w:val="00B01EEA"/>
    <w:rsid w:val="00B11F74"/>
    <w:rsid w:val="00B14DE1"/>
    <w:rsid w:val="00B22328"/>
    <w:rsid w:val="00B2298D"/>
    <w:rsid w:val="00B23909"/>
    <w:rsid w:val="00B246D9"/>
    <w:rsid w:val="00B4683E"/>
    <w:rsid w:val="00B54751"/>
    <w:rsid w:val="00B55BBE"/>
    <w:rsid w:val="00B57706"/>
    <w:rsid w:val="00B866BC"/>
    <w:rsid w:val="00B93D7F"/>
    <w:rsid w:val="00BB3F37"/>
    <w:rsid w:val="00BE597D"/>
    <w:rsid w:val="00BF1F12"/>
    <w:rsid w:val="00BF386F"/>
    <w:rsid w:val="00C00680"/>
    <w:rsid w:val="00C02B53"/>
    <w:rsid w:val="00C03EB7"/>
    <w:rsid w:val="00C30CC1"/>
    <w:rsid w:val="00C30F04"/>
    <w:rsid w:val="00C44A01"/>
    <w:rsid w:val="00C5423D"/>
    <w:rsid w:val="00C54B72"/>
    <w:rsid w:val="00C71DDC"/>
    <w:rsid w:val="00C72252"/>
    <w:rsid w:val="00C8007E"/>
    <w:rsid w:val="00C84A4C"/>
    <w:rsid w:val="00C85782"/>
    <w:rsid w:val="00C861A6"/>
    <w:rsid w:val="00C872F1"/>
    <w:rsid w:val="00CA0D4C"/>
    <w:rsid w:val="00CA2B4E"/>
    <w:rsid w:val="00CA5115"/>
    <w:rsid w:val="00CC481D"/>
    <w:rsid w:val="00CD1F79"/>
    <w:rsid w:val="00CD6232"/>
    <w:rsid w:val="00CE2FE3"/>
    <w:rsid w:val="00CF4332"/>
    <w:rsid w:val="00CF5CE5"/>
    <w:rsid w:val="00D04839"/>
    <w:rsid w:val="00D15D27"/>
    <w:rsid w:val="00D31E47"/>
    <w:rsid w:val="00D41C10"/>
    <w:rsid w:val="00D42F72"/>
    <w:rsid w:val="00D54A7A"/>
    <w:rsid w:val="00D63662"/>
    <w:rsid w:val="00D6603A"/>
    <w:rsid w:val="00D76D6A"/>
    <w:rsid w:val="00D9368E"/>
    <w:rsid w:val="00D95518"/>
    <w:rsid w:val="00DA383A"/>
    <w:rsid w:val="00DA7B17"/>
    <w:rsid w:val="00DB0B93"/>
    <w:rsid w:val="00DD6945"/>
    <w:rsid w:val="00DF1B28"/>
    <w:rsid w:val="00E01D0A"/>
    <w:rsid w:val="00E16F9A"/>
    <w:rsid w:val="00E26AE3"/>
    <w:rsid w:val="00E27146"/>
    <w:rsid w:val="00E456A3"/>
    <w:rsid w:val="00E524FB"/>
    <w:rsid w:val="00E5380C"/>
    <w:rsid w:val="00E53B1D"/>
    <w:rsid w:val="00E54F2E"/>
    <w:rsid w:val="00E60CD8"/>
    <w:rsid w:val="00E80131"/>
    <w:rsid w:val="00E8406C"/>
    <w:rsid w:val="00E907A9"/>
    <w:rsid w:val="00E93AE9"/>
    <w:rsid w:val="00EA6473"/>
    <w:rsid w:val="00EA7392"/>
    <w:rsid w:val="00EB7BCE"/>
    <w:rsid w:val="00EC1414"/>
    <w:rsid w:val="00EE1520"/>
    <w:rsid w:val="00F0021D"/>
    <w:rsid w:val="00F31AEC"/>
    <w:rsid w:val="00F359FE"/>
    <w:rsid w:val="00F41E87"/>
    <w:rsid w:val="00F42CD9"/>
    <w:rsid w:val="00F50C2C"/>
    <w:rsid w:val="00F51B25"/>
    <w:rsid w:val="00F745F1"/>
    <w:rsid w:val="00F776B9"/>
    <w:rsid w:val="00F85A83"/>
    <w:rsid w:val="00F957C3"/>
    <w:rsid w:val="00FA7837"/>
    <w:rsid w:val="00FA7DD6"/>
    <w:rsid w:val="00FD204D"/>
    <w:rsid w:val="00FD517B"/>
    <w:rsid w:val="00FE33CB"/>
    <w:rsid w:val="00FE4AB2"/>
    <w:rsid w:val="00FF3EE8"/>
    <w:rsid w:val="00FF4EF7"/>
    <w:rsid w:val="0D9024AF"/>
    <w:rsid w:val="1A9946EB"/>
    <w:rsid w:val="5B5C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30"/>
    <w:qFormat/>
    <w:uiPriority w:val="0"/>
    <w:pPr>
      <w:spacing w:before="100" w:beforeAutospacing="1" w:after="100" w:afterAutospacing="1"/>
      <w:jc w:val="left"/>
      <w:outlineLvl w:val="0"/>
    </w:pPr>
    <w:rPr>
      <w:rFonts w:hint="eastAsia" w:ascii="宋体" w:hAnsi="宋体"/>
      <w:kern w:val="44"/>
      <w:sz w:val="48"/>
      <w:szCs w:val="48"/>
    </w:rPr>
  </w:style>
  <w:style w:type="paragraph" w:styleId="4">
    <w:name w:val="heading 2"/>
    <w:basedOn w:val="3"/>
    <w:next w:val="5"/>
    <w:link w:val="31"/>
    <w:qFormat/>
    <w:uiPriority w:val="0"/>
    <w:pPr>
      <w:adjustRightInd w:val="0"/>
      <w:spacing w:line="240" w:lineRule="auto"/>
      <w:jc w:val="center"/>
      <w:textAlignment w:val="baseline"/>
      <w:outlineLvl w:val="1"/>
    </w:pPr>
    <w:rPr>
      <w:rFonts w:ascii="宋体" w:hAnsi="宋体"/>
      <w:kern w:val="0"/>
      <w:sz w:val="24"/>
      <w:szCs w:val="20"/>
    </w:rPr>
  </w:style>
  <w:style w:type="paragraph" w:styleId="3">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eastAsia="仿宋_GB2312"/>
      <w:sz w:val="32"/>
      <w:szCs w:val="32"/>
    </w:rPr>
  </w:style>
  <w:style w:type="paragraph" w:styleId="7">
    <w:name w:val="annotation text"/>
    <w:basedOn w:val="1"/>
    <w:link w:val="32"/>
    <w:qFormat/>
    <w:uiPriority w:val="99"/>
    <w:pPr>
      <w:autoSpaceDE w:val="0"/>
      <w:autoSpaceDN w:val="0"/>
      <w:adjustRightInd w:val="0"/>
      <w:jc w:val="left"/>
      <w:textAlignment w:val="baseline"/>
    </w:pPr>
    <w:rPr>
      <w:rFonts w:ascii="宋体"/>
      <w:kern w:val="0"/>
      <w:sz w:val="34"/>
      <w:szCs w:val="20"/>
    </w:rPr>
  </w:style>
  <w:style w:type="paragraph" w:styleId="8">
    <w:name w:val="Body Text"/>
    <w:basedOn w:val="1"/>
    <w:next w:val="1"/>
    <w:link w:val="24"/>
    <w:qFormat/>
    <w:uiPriority w:val="99"/>
    <w:rPr>
      <w:sz w:val="30"/>
    </w:rPr>
  </w:style>
  <w:style w:type="paragraph" w:styleId="9">
    <w:name w:val="Body Text Indent"/>
    <w:basedOn w:val="1"/>
    <w:link w:val="45"/>
    <w:semiHidden/>
    <w:unhideWhenUsed/>
    <w:uiPriority w:val="99"/>
    <w:pPr>
      <w:spacing w:after="120"/>
      <w:ind w:left="420" w:leftChars="200"/>
    </w:pPr>
  </w:style>
  <w:style w:type="paragraph" w:styleId="10">
    <w:name w:val="Plain Text"/>
    <w:basedOn w:val="1"/>
    <w:link w:val="28"/>
    <w:qFormat/>
    <w:uiPriority w:val="0"/>
    <w:rPr>
      <w:rFonts w:ascii="宋体" w:hAnsi="Courier New"/>
      <w:szCs w:val="20"/>
    </w:rPr>
  </w:style>
  <w:style w:type="paragraph" w:styleId="11">
    <w:name w:val="Balloon Text"/>
    <w:basedOn w:val="1"/>
    <w:link w:val="35"/>
    <w:semiHidden/>
    <w:unhideWhenUsed/>
    <w:qFormat/>
    <w:uiPriority w:val="99"/>
    <w:rPr>
      <w:sz w:val="18"/>
      <w:szCs w:val="18"/>
    </w:rPr>
  </w:style>
  <w:style w:type="paragraph" w:styleId="12">
    <w:name w:val="footer"/>
    <w:basedOn w:val="1"/>
    <w:link w:val="23"/>
    <w:unhideWhenUsed/>
    <w:uiPriority w:val="0"/>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38"/>
    <w:qFormat/>
    <w:uiPriority w:val="10"/>
    <w:pPr>
      <w:spacing w:before="240" w:after="60"/>
      <w:jc w:val="center"/>
      <w:outlineLvl w:val="0"/>
    </w:pPr>
    <w:rPr>
      <w:rFonts w:asciiTheme="majorHAnsi" w:hAnsiTheme="majorHAnsi" w:cstheme="majorBidi"/>
      <w:b/>
      <w:bCs/>
      <w:sz w:val="32"/>
      <w:szCs w:val="32"/>
    </w:rPr>
  </w:style>
  <w:style w:type="paragraph" w:styleId="16">
    <w:name w:val="Body Text First Indent 2"/>
    <w:basedOn w:val="9"/>
    <w:link w:val="46"/>
    <w:semiHidden/>
    <w:unhideWhenUsed/>
    <w:uiPriority w:val="99"/>
    <w:pPr>
      <w:ind w:firstLine="420" w:firstLineChars="200"/>
    </w:pPr>
  </w:style>
  <w:style w:type="table" w:styleId="18">
    <w:name w:val="Table Grid"/>
    <w:basedOn w:val="1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3"/>
    <w:qFormat/>
    <w:uiPriority w:val="99"/>
    <w:rPr>
      <w:sz w:val="18"/>
      <w:szCs w:val="18"/>
    </w:rPr>
  </w:style>
  <w:style w:type="character" w:customStyle="1" w:styleId="23">
    <w:name w:val="页脚 Char"/>
    <w:basedOn w:val="19"/>
    <w:link w:val="12"/>
    <w:uiPriority w:val="99"/>
    <w:rPr>
      <w:sz w:val="18"/>
      <w:szCs w:val="18"/>
    </w:rPr>
  </w:style>
  <w:style w:type="character" w:customStyle="1" w:styleId="24">
    <w:name w:val="正文文本 Char"/>
    <w:basedOn w:val="19"/>
    <w:link w:val="8"/>
    <w:qFormat/>
    <w:uiPriority w:val="99"/>
    <w:rPr>
      <w:rFonts w:ascii="Times New Roman" w:hAnsi="Times New Roman" w:eastAsia="宋体" w:cs="Times New Roman"/>
      <w:sz w:val="30"/>
      <w:szCs w:val="24"/>
    </w:rPr>
  </w:style>
  <w:style w:type="paragraph" w:customStyle="1" w:styleId="25">
    <w:name w:val="列出段落1"/>
    <w:basedOn w:val="1"/>
    <w:link w:val="41"/>
    <w:qFormat/>
    <w:uiPriority w:val="0"/>
    <w:pPr>
      <w:ind w:firstLine="420" w:firstLineChars="200"/>
    </w:pPr>
  </w:style>
  <w:style w:type="character" w:customStyle="1" w:styleId="26">
    <w:name w:val="标题 3 Char"/>
    <w:basedOn w:val="19"/>
    <w:uiPriority w:val="0"/>
    <w:rPr>
      <w:rFonts w:ascii="黑体" w:eastAsia="黑体"/>
      <w:bCs/>
      <w:sz w:val="30"/>
    </w:rPr>
  </w:style>
  <w:style w:type="paragraph" w:customStyle="1" w:styleId="27">
    <w:name w:val="表格文字"/>
    <w:basedOn w:val="1"/>
    <w:qFormat/>
    <w:uiPriority w:val="0"/>
    <w:pPr>
      <w:spacing w:before="25" w:after="25"/>
      <w:jc w:val="left"/>
    </w:pPr>
    <w:rPr>
      <w:bCs/>
      <w:spacing w:val="10"/>
      <w:kern w:val="0"/>
      <w:sz w:val="24"/>
    </w:rPr>
  </w:style>
  <w:style w:type="character" w:customStyle="1" w:styleId="28">
    <w:name w:val="纯文本 Char"/>
    <w:basedOn w:val="19"/>
    <w:link w:val="10"/>
    <w:uiPriority w:val="0"/>
    <w:rPr>
      <w:rFonts w:ascii="宋体" w:hAnsi="Courier New" w:eastAsia="宋体" w:cs="Times New Roman"/>
      <w:szCs w:val="20"/>
    </w:rPr>
  </w:style>
  <w:style w:type="paragraph" w:customStyle="1" w:styleId="29">
    <w:name w:val="列表段落1"/>
    <w:basedOn w:val="1"/>
    <w:qFormat/>
    <w:uiPriority w:val="1"/>
    <w:pPr>
      <w:ind w:firstLine="420" w:firstLineChars="200"/>
    </w:pPr>
    <w:rPr>
      <w:szCs w:val="22"/>
    </w:rPr>
  </w:style>
  <w:style w:type="character" w:customStyle="1" w:styleId="30">
    <w:name w:val="标题 1 Char"/>
    <w:basedOn w:val="19"/>
    <w:link w:val="2"/>
    <w:uiPriority w:val="0"/>
    <w:rPr>
      <w:rFonts w:ascii="宋体" w:hAnsi="宋体" w:eastAsia="宋体" w:cs="Times New Roman"/>
      <w:b/>
      <w:bCs/>
      <w:kern w:val="44"/>
      <w:sz w:val="48"/>
      <w:szCs w:val="48"/>
    </w:rPr>
  </w:style>
  <w:style w:type="character" w:customStyle="1" w:styleId="31">
    <w:name w:val="标题 2 Char"/>
    <w:basedOn w:val="19"/>
    <w:link w:val="4"/>
    <w:uiPriority w:val="0"/>
    <w:rPr>
      <w:rFonts w:ascii="宋体" w:hAnsi="宋体" w:eastAsia="宋体" w:cs="Times New Roman"/>
      <w:b/>
      <w:bCs/>
      <w:kern w:val="0"/>
      <w:sz w:val="24"/>
      <w:szCs w:val="20"/>
    </w:rPr>
  </w:style>
  <w:style w:type="character" w:customStyle="1" w:styleId="32">
    <w:name w:val="批注文字 Char"/>
    <w:basedOn w:val="19"/>
    <w:link w:val="7"/>
    <w:qFormat/>
    <w:uiPriority w:val="99"/>
    <w:rPr>
      <w:rFonts w:ascii="宋体" w:hAnsi="Times New Roman" w:eastAsia="宋体" w:cs="Times New Roman"/>
      <w:kern w:val="0"/>
      <w:sz w:val="34"/>
      <w:szCs w:val="20"/>
    </w:rPr>
  </w:style>
  <w:style w:type="character" w:customStyle="1" w:styleId="33">
    <w:name w:val="标题 3 Char1"/>
    <w:basedOn w:val="19"/>
    <w:link w:val="3"/>
    <w:semiHidden/>
    <w:uiPriority w:val="9"/>
    <w:rPr>
      <w:rFonts w:ascii="Times New Roman" w:hAnsi="Times New Roman" w:eastAsia="宋体" w:cs="Times New Roman"/>
      <w:b/>
      <w:bCs/>
      <w:sz w:val="32"/>
      <w:szCs w:val="32"/>
    </w:rPr>
  </w:style>
  <w:style w:type="character" w:customStyle="1" w:styleId="34">
    <w:name w:val="标题 4 Char"/>
    <w:basedOn w:val="19"/>
    <w:link w:val="5"/>
    <w:semiHidden/>
    <w:uiPriority w:val="9"/>
    <w:rPr>
      <w:rFonts w:asciiTheme="majorHAnsi" w:hAnsiTheme="majorHAnsi" w:eastAsiaTheme="majorEastAsia" w:cstheme="majorBidi"/>
      <w:b/>
      <w:bCs/>
      <w:sz w:val="28"/>
      <w:szCs w:val="28"/>
    </w:rPr>
  </w:style>
  <w:style w:type="character" w:customStyle="1" w:styleId="35">
    <w:name w:val="批注框文本 Char"/>
    <w:basedOn w:val="19"/>
    <w:link w:val="11"/>
    <w:semiHidden/>
    <w:qFormat/>
    <w:uiPriority w:val="99"/>
    <w:rPr>
      <w:rFonts w:ascii="Times New Roman" w:hAnsi="Times New Roman" w:eastAsia="宋体" w:cs="Times New Roman"/>
      <w:kern w:val="2"/>
      <w:sz w:val="18"/>
      <w:szCs w:val="18"/>
    </w:rPr>
  </w:style>
  <w:style w:type="paragraph" w:styleId="36">
    <w:name w:val="List Paragraph"/>
    <w:basedOn w:val="1"/>
    <w:unhideWhenUsed/>
    <w:qFormat/>
    <w:uiPriority w:val="34"/>
    <w:pPr>
      <w:ind w:firstLine="420" w:firstLineChars="200"/>
    </w:pPr>
  </w:style>
  <w:style w:type="paragraph" w:customStyle="1" w:styleId="37">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character" w:customStyle="1" w:styleId="38">
    <w:name w:val="标题 Char"/>
    <w:basedOn w:val="19"/>
    <w:link w:val="15"/>
    <w:uiPriority w:val="10"/>
    <w:rPr>
      <w:rFonts w:eastAsia="宋体" w:asciiTheme="majorHAnsi" w:hAnsiTheme="majorHAnsi" w:cstheme="majorBidi"/>
      <w:b/>
      <w:bCs/>
      <w:kern w:val="2"/>
      <w:sz w:val="32"/>
      <w:szCs w:val="32"/>
    </w:rPr>
  </w:style>
  <w:style w:type="character" w:customStyle="1" w:styleId="39">
    <w:name w:val="0表格正文 字符"/>
    <w:basedOn w:val="19"/>
    <w:link w:val="40"/>
    <w:qFormat/>
    <w:locked/>
    <w:uiPriority w:val="0"/>
    <w:rPr>
      <w:rFonts w:ascii="宋体" w:hAnsi="宋体" w:eastAsia="宋体" w:cs="宋体"/>
      <w:sz w:val="21"/>
      <w:szCs w:val="21"/>
      <w:shd w:val="clear" w:color="auto" w:fill="FFFFFF"/>
    </w:rPr>
  </w:style>
  <w:style w:type="paragraph" w:customStyle="1" w:styleId="40">
    <w:name w:val="0表格正文"/>
    <w:basedOn w:val="1"/>
    <w:link w:val="39"/>
    <w:qFormat/>
    <w:uiPriority w:val="0"/>
    <w:pPr>
      <w:widowControl/>
      <w:shd w:val="clear" w:color="auto" w:fill="FFFFFF"/>
      <w:adjustRightInd w:val="0"/>
      <w:snapToGrid w:val="0"/>
      <w:jc w:val="left"/>
    </w:pPr>
    <w:rPr>
      <w:rFonts w:ascii="宋体" w:hAnsi="宋体" w:cs="宋体"/>
      <w:kern w:val="0"/>
      <w:szCs w:val="21"/>
    </w:rPr>
  </w:style>
  <w:style w:type="character" w:customStyle="1" w:styleId="41">
    <w:name w:val="列表段落 字符"/>
    <w:link w:val="25"/>
    <w:qFormat/>
    <w:locked/>
    <w:uiPriority w:val="34"/>
    <w:rPr>
      <w:rFonts w:ascii="Times New Roman" w:hAnsi="Times New Roman" w:eastAsia="宋体" w:cs="Times New Roman"/>
      <w:kern w:val="2"/>
      <w:sz w:val="21"/>
      <w:szCs w:val="24"/>
    </w:rPr>
  </w:style>
  <w:style w:type="paragraph" w:customStyle="1" w:styleId="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43">
    <w:name w:val="Ｒ07-!正! Char Char"/>
    <w:link w:val="44"/>
    <w:qFormat/>
    <w:locked/>
    <w:uiPriority w:val="0"/>
    <w:rPr>
      <w:rFonts w:ascii="宋体" w:hAnsi="宋体" w:eastAsia="宋体" w:cs="宋体"/>
      <w:spacing w:val="8"/>
      <w:kern w:val="2"/>
      <w:sz w:val="24"/>
      <w:szCs w:val="24"/>
    </w:rPr>
  </w:style>
  <w:style w:type="paragraph" w:customStyle="1" w:styleId="44">
    <w:name w:val="Ｒ07-!正!"/>
    <w:link w:val="43"/>
    <w:qFormat/>
    <w:uiPriority w:val="0"/>
    <w:pPr>
      <w:wordWrap w:val="0"/>
      <w:snapToGrid w:val="0"/>
      <w:spacing w:line="360" w:lineRule="auto"/>
      <w:ind w:firstLine="512" w:firstLineChars="200"/>
    </w:pPr>
    <w:rPr>
      <w:rFonts w:ascii="宋体" w:hAnsi="宋体" w:eastAsia="宋体" w:cs="宋体"/>
      <w:spacing w:val="8"/>
      <w:kern w:val="2"/>
      <w:sz w:val="24"/>
      <w:szCs w:val="24"/>
      <w:lang w:val="en-US" w:eastAsia="zh-CN" w:bidi="ar-SA"/>
    </w:rPr>
  </w:style>
  <w:style w:type="character" w:customStyle="1" w:styleId="45">
    <w:name w:val="正文文本缩进 Char"/>
    <w:basedOn w:val="19"/>
    <w:link w:val="9"/>
    <w:semiHidden/>
    <w:uiPriority w:val="99"/>
    <w:rPr>
      <w:rFonts w:ascii="Times New Roman" w:hAnsi="Times New Roman" w:eastAsia="宋体" w:cs="Times New Roman"/>
      <w:kern w:val="2"/>
      <w:sz w:val="21"/>
      <w:szCs w:val="24"/>
    </w:rPr>
  </w:style>
  <w:style w:type="character" w:customStyle="1" w:styleId="46">
    <w:name w:val="正文首行缩进 2 Char"/>
    <w:basedOn w:val="45"/>
    <w:link w:val="16"/>
    <w:semiHidden/>
    <w:uiPriority w:val="99"/>
    <w:rPr>
      <w:rFonts w:ascii="Times New Roman" w:hAnsi="Times New Roman" w:eastAsia="宋体" w:cs="Times New Roman"/>
      <w:kern w:val="2"/>
      <w:sz w:val="21"/>
      <w:szCs w:val="24"/>
    </w:rPr>
  </w:style>
  <w:style w:type="paragraph" w:customStyle="1" w:styleId="47">
    <w:name w:val="正文1"/>
    <w:qFormat/>
    <w:uiPriority w:val="0"/>
    <w:pPr>
      <w:widowControl w:val="0"/>
      <w:adjustRightInd w:val="0"/>
      <w:spacing w:line="360" w:lineRule="atLeast"/>
      <w:jc w:val="both"/>
      <w:textAlignment w:val="baseline"/>
    </w:pPr>
    <w:rPr>
      <w:rFonts w:ascii="宋体" w:hAnsi="Calibri" w:eastAsia="宋体" w:cs="Times New Roman"/>
      <w:sz w:val="24"/>
      <w:lang w:val="en-US" w:eastAsia="zh-CN" w:bidi="ar-SA"/>
    </w:rPr>
  </w:style>
  <w:style w:type="character" w:customStyle="1" w:styleId="48">
    <w:name w:val="richtext"/>
    <w:basedOn w:val="19"/>
    <w:uiPriority w:val="0"/>
  </w:style>
  <w:style w:type="character" w:customStyle="1" w:styleId="49">
    <w:name w:val="font01"/>
    <w:basedOn w:val="19"/>
    <w:qFormat/>
    <w:uiPriority w:val="0"/>
    <w:rPr>
      <w:rFonts w:hint="eastAsia" w:ascii="宋体" w:hAnsi="宋体" w:eastAsia="宋体" w:cs="宋体"/>
      <w:color w:val="000000"/>
      <w:sz w:val="24"/>
      <w:szCs w:val="24"/>
      <w:u w:val="none"/>
    </w:rPr>
  </w:style>
  <w:style w:type="character" w:customStyle="1" w:styleId="50">
    <w:name w:val="font21"/>
    <w:basedOn w:val="19"/>
    <w:qFormat/>
    <w:uiPriority w:val="0"/>
    <w:rPr>
      <w:rFonts w:ascii="等线" w:hAnsi="等线" w:eastAsia="等线" w:cs="等线"/>
      <w:color w:val="000000"/>
      <w:sz w:val="24"/>
      <w:szCs w:val="24"/>
      <w:u w:val="none"/>
    </w:rPr>
  </w:style>
  <w:style w:type="paragraph" w:customStyle="1" w:styleId="51">
    <w:name w:val="Table Text"/>
    <w:basedOn w:val="1"/>
    <w:semiHidden/>
    <w:qFormat/>
    <w:uiPriority w:val="0"/>
    <w:rPr>
      <w:rFonts w:ascii="宋体" w:hAnsi="宋体" w:cs="宋体"/>
      <w:sz w:val="24"/>
      <w:lang w:eastAsia="en-US"/>
    </w:rPr>
  </w:style>
  <w:style w:type="table" w:customStyle="1" w:styleId="52">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53">
    <w:name w:val="Other|1"/>
    <w:basedOn w:val="1"/>
    <w:qFormat/>
    <w:uiPriority w:val="0"/>
    <w:pPr>
      <w:spacing w:line="451" w:lineRule="auto"/>
      <w:ind w:firstLine="400"/>
      <w:jc w:val="left"/>
    </w:pPr>
    <w:rPr>
      <w:rFonts w:ascii="宋体" w:hAnsi="宋体" w:cs="宋体"/>
      <w:kern w:val="0"/>
      <w:sz w:val="22"/>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17A91-AE74-4C1D-9F87-1CDE3B6DA7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11174</Words>
  <Characters>11392</Characters>
  <Lines>92</Lines>
  <Paragraphs>25</Paragraphs>
  <TotalTime>10354</TotalTime>
  <ScaleCrop>false</ScaleCrop>
  <LinksUpToDate>false</LinksUpToDate>
  <CharactersWithSpaces>12296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2022-07-14T08:45:00Z</dcterms:created>
  <dc:creator>Windows 用户</dc:creator>
  <cp:lastModifiedBy>admin</cp:lastModifiedBy>
  <dcterms:modified xsi:type="dcterms:W3CDTF">2024-05-28T08:51:17Z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47DB4CAF91114C02845204DF55156003</vt:lpwstr>
  </property>
</Properties>
</file>