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cs="仿宋_GB2312" w:asciiTheme="minorEastAsia" w:hAnsiTheme="minorEastAsia" w:eastAsiaTheme="minorEastAsia"/>
          <w:b/>
          <w:sz w:val="52"/>
          <w:szCs w:val="52"/>
          <w:highlight w:val="none"/>
          <w:lang w:eastAsia="zh-CN"/>
        </w:rPr>
      </w:pPr>
      <w:bookmarkStart w:id="0" w:name="_Hlk157273589"/>
      <w:bookmarkStart w:id="1" w:name="_Hlk150865832"/>
      <w:r>
        <w:rPr>
          <w:rFonts w:hint="eastAsia" w:cs="仿宋_GB2312" w:asciiTheme="minorEastAsia" w:hAnsiTheme="minorEastAsia" w:eastAsiaTheme="minorEastAsia"/>
          <w:b/>
          <w:sz w:val="52"/>
          <w:szCs w:val="52"/>
          <w:highlight w:val="none"/>
          <w:lang w:eastAsia="zh-CN"/>
        </w:rPr>
        <w:drawing>
          <wp:inline distT="0" distB="0" distL="114300" distR="114300">
            <wp:extent cx="5758815" cy="8145780"/>
            <wp:effectExtent l="0" t="0" r="13335" b="7620"/>
            <wp:docPr id="1" name="图片 1" descr="SKMBT_3632405271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BT_36324052714131"/>
                    <pic:cNvPicPr>
                      <a:picLocks noChangeAspect="1"/>
                    </pic:cNvPicPr>
                  </pic:nvPicPr>
                  <pic:blipFill>
                    <a:blip r:embed="rId25"/>
                    <a:stretch>
                      <a:fillRect/>
                    </a:stretch>
                  </pic:blipFill>
                  <pic:spPr>
                    <a:xfrm>
                      <a:off x="0" y="0"/>
                      <a:ext cx="5758815" cy="8145780"/>
                    </a:xfrm>
                    <a:prstGeom prst="rect">
                      <a:avLst/>
                    </a:prstGeom>
                  </pic:spPr>
                </pic:pic>
              </a:graphicData>
            </a:graphic>
          </wp:inline>
        </w:drawing>
      </w:r>
    </w:p>
    <w:p>
      <w:pPr>
        <w:adjustRightInd/>
        <w:spacing w:line="360" w:lineRule="auto"/>
        <w:jc w:val="center"/>
        <w:rPr>
          <w:rFonts w:hint="eastAsia" w:cs="仿宋_GB2312" w:asciiTheme="minorEastAsia" w:hAnsiTheme="minorEastAsia" w:eastAsiaTheme="minorEastAsia"/>
          <w:b/>
          <w:sz w:val="52"/>
          <w:szCs w:val="52"/>
          <w:highlight w:val="none"/>
        </w:rPr>
      </w:pPr>
    </w:p>
    <w:bookmarkEnd w:id="0"/>
    <w:p>
      <w:pPr>
        <w:spacing w:line="360" w:lineRule="auto"/>
        <w:jc w:val="center"/>
        <w:rPr>
          <w:rFonts w:ascii="宋体" w:hAnsi="宋体" w:cs="宋体"/>
          <w:b/>
          <w:sz w:val="24"/>
          <w:highlight w:val="none"/>
        </w:rPr>
      </w:pPr>
      <w:bookmarkStart w:id="468" w:name="_GoBack"/>
      <w:bookmarkEnd w:id="468"/>
    </w:p>
    <w:p>
      <w:pPr>
        <w:adjustRightInd/>
        <w:spacing w:line="360" w:lineRule="auto"/>
        <w:jc w:val="center"/>
        <w:rPr>
          <w:rFonts w:ascii="宋体" w:hAnsi="宋体" w:cs="宋体"/>
          <w:b/>
          <w:sz w:val="44"/>
          <w:szCs w:val="44"/>
          <w:highlight w:val="none"/>
        </w:rPr>
      </w:pPr>
    </w:p>
    <w:bookmarkEnd w:id="1"/>
    <w:p>
      <w:pPr>
        <w:spacing w:line="360" w:lineRule="auto"/>
        <w:rPr>
          <w:rFonts w:ascii="宋体" w:hAnsi="宋体" w:cs="宋体"/>
          <w:sz w:val="32"/>
          <w:szCs w:val="32"/>
          <w:highlight w:val="none"/>
        </w:rPr>
      </w:pPr>
    </w:p>
    <w:p>
      <w:pPr>
        <w:pStyle w:val="2"/>
        <w:ind w:firstLine="480"/>
        <w:rPr>
          <w:highlight w:val="none"/>
        </w:rPr>
      </w:pPr>
    </w:p>
    <w:sdt>
      <w:sdtPr>
        <w:rPr>
          <w:rFonts w:ascii="宋体" w:hAnsi="宋体"/>
          <w:sz w:val="48"/>
          <w:szCs w:val="48"/>
          <w:highlight w:val="none"/>
        </w:rPr>
        <w:id w:val="147476114"/>
        <w15:color w:val="DBDBDB"/>
        <w:docPartObj>
          <w:docPartGallery w:val="Table of Contents"/>
          <w:docPartUnique/>
        </w:docPartObj>
      </w:sdtPr>
      <w:sdtEndPr>
        <w:rPr>
          <w:rFonts w:ascii="宋体" w:hAnsi="宋体"/>
          <w:sz w:val="48"/>
          <w:szCs w:val="48"/>
          <w:highlight w:val="none"/>
        </w:rPr>
      </w:sdtEndPr>
      <w:sdtContent>
        <w:p>
          <w:pPr>
            <w:jc w:val="center"/>
            <w:rPr>
              <w:rFonts w:ascii="宋体" w:hAnsi="宋体"/>
              <w:sz w:val="48"/>
              <w:szCs w:val="48"/>
              <w:highlight w:val="none"/>
            </w:rPr>
          </w:pPr>
          <w:r>
            <w:rPr>
              <w:rFonts w:ascii="宋体" w:hAnsi="宋体"/>
              <w:sz w:val="48"/>
              <w:szCs w:val="48"/>
              <w:highlight w:val="none"/>
            </w:rPr>
            <w:t>目</w:t>
          </w:r>
          <w:r>
            <w:rPr>
              <w:rFonts w:hint="eastAsia" w:ascii="宋体" w:hAnsi="宋体"/>
              <w:sz w:val="48"/>
              <w:szCs w:val="48"/>
              <w:highlight w:val="none"/>
            </w:rPr>
            <w:t xml:space="preserve">  </w:t>
          </w:r>
          <w:r>
            <w:rPr>
              <w:rFonts w:ascii="宋体" w:hAnsi="宋体"/>
              <w:sz w:val="48"/>
              <w:szCs w:val="48"/>
              <w:highlight w:val="none"/>
            </w:rPr>
            <w:t>录</w:t>
          </w:r>
        </w:p>
        <w:p>
          <w:pPr>
            <w:pStyle w:val="64"/>
            <w:ind w:firstLine="960"/>
            <w:rPr>
              <w:sz w:val="48"/>
              <w:szCs w:val="48"/>
              <w:highlight w:val="none"/>
            </w:rPr>
          </w:pPr>
        </w:p>
        <w:p>
          <w:pPr>
            <w:rPr>
              <w:highlight w:val="none"/>
            </w:rPr>
          </w:pPr>
        </w:p>
        <w:p>
          <w:pPr>
            <w:pStyle w:val="45"/>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t>第一部分 招标公告</w:t>
          </w:r>
        </w:p>
        <w:p>
          <w:pPr>
            <w:pStyle w:val="45"/>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t>第二部分 投标人须知</w:t>
          </w:r>
        </w:p>
        <w:p>
          <w:pPr>
            <w:pStyle w:val="45"/>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t>第三部分 采购需求</w:t>
          </w:r>
        </w:p>
        <w:p>
          <w:pPr>
            <w:pStyle w:val="45"/>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t>第四部分 评标办法</w:t>
          </w:r>
        </w:p>
        <w:p>
          <w:pPr>
            <w:pStyle w:val="45"/>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t>第五部分 拟签订的合同文本</w:t>
          </w:r>
        </w:p>
        <w:p>
          <w:pPr>
            <w:pStyle w:val="45"/>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t>第六部分 应提交的有关格式范例</w:t>
          </w:r>
        </w:p>
        <w:p>
          <w:pPr>
            <w:spacing w:line="600" w:lineRule="exact"/>
            <w:rPr>
              <w:highlight w:val="none"/>
            </w:rPr>
          </w:pPr>
        </w:p>
      </w:sdtContent>
    </w:sdt>
    <w:p>
      <w:pPr>
        <w:spacing w:line="360" w:lineRule="auto"/>
        <w:ind w:firstLine="549" w:firstLineChars="229"/>
        <w:rPr>
          <w:rFonts w:ascii="宋体" w:hAnsi="宋体" w:cs="宋体"/>
          <w:sz w:val="24"/>
          <w:highlight w:val="none"/>
        </w:rPr>
      </w:pPr>
      <w:bookmarkStart w:id="2" w:name="_Hlt91233176"/>
      <w:bookmarkEnd w:id="2"/>
      <w:bookmarkStart w:id="3"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4" w:name="第一部分"/>
      <w:r>
        <w:rPr>
          <w:rFonts w:hint="eastAsia" w:ascii="宋体" w:hAnsi="宋体" w:cs="宋体"/>
          <w:b/>
          <w:sz w:val="36"/>
          <w:szCs w:val="36"/>
          <w:highlight w:val="none"/>
        </w:rPr>
        <w:br w:type="page"/>
      </w:r>
      <w:bookmarkEnd w:id="3"/>
      <w:bookmarkEnd w:id="4"/>
      <w:bookmarkStart w:id="5" w:name="_Hlt74729822"/>
      <w:bookmarkEnd w:id="5"/>
      <w:bookmarkStart w:id="6" w:name="_Hlt74728647"/>
      <w:bookmarkEnd w:id="6"/>
      <w:bookmarkStart w:id="7" w:name="_Hlt74707423"/>
      <w:bookmarkEnd w:id="7"/>
      <w:bookmarkStart w:id="8" w:name="_Hlt74649545"/>
      <w:bookmarkEnd w:id="8"/>
      <w:bookmarkStart w:id="9" w:name="_Toc32263"/>
      <w:bookmarkStart w:id="10" w:name="_Toc15656"/>
      <w:bookmarkStart w:id="11" w:name="第二部分"/>
      <w:bookmarkStart w:id="12" w:name="_Toc91899870"/>
      <w:bookmarkStart w:id="13" w:name="_Toc91899871"/>
      <w:r>
        <w:rPr>
          <w:rStyle w:val="282"/>
          <w:rFonts w:hint="eastAsia"/>
          <w:highlight w:val="none"/>
        </w:rPr>
        <w:t>第一部分 招标公告</w:t>
      </w:r>
      <w:bookmarkEnd w:id="9"/>
      <w:bookmarkEnd w:id="10"/>
    </w:p>
    <w:p>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u w:val="single"/>
        </w:rPr>
        <w:t>聚贤街道2024-2027年病媒生物防治社会化服务</w:t>
      </w:r>
      <w:r>
        <w:rPr>
          <w:rFonts w:hint="eastAsia" w:asciiTheme="minorEastAsia" w:hAnsiTheme="minorEastAsia" w:eastAsiaTheme="minorEastAsia"/>
          <w:szCs w:val="21"/>
          <w:highlight w:val="none"/>
        </w:rPr>
        <w:t>招标项目的潜在投标人应在政采云平台（</w:t>
      </w:r>
      <w:r>
        <w:rPr>
          <w:rFonts w:asciiTheme="minorEastAsia" w:hAnsiTheme="minorEastAsia" w:eastAsiaTheme="minorEastAsia"/>
          <w:szCs w:val="21"/>
          <w:highlight w:val="none"/>
        </w:rPr>
        <w:t>https://www.zcygov.cn/）获取（下载）招标文件，并于</w:t>
      </w:r>
      <w:r>
        <w:rPr>
          <w:rFonts w:hint="eastAsia" w:asciiTheme="minorEastAsia" w:hAnsiTheme="minorEastAsia" w:eastAsiaTheme="minorEastAsia"/>
          <w:szCs w:val="21"/>
          <w:highlight w:val="none"/>
        </w:rPr>
        <w:t>202</w:t>
      </w: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17</w:t>
      </w:r>
      <w:r>
        <w:rPr>
          <w:rFonts w:hint="eastAsia" w:asciiTheme="minorEastAsia" w:hAnsiTheme="minorEastAsia" w:eastAsiaTheme="minorEastAsia"/>
          <w:szCs w:val="21"/>
          <w:highlight w:val="none"/>
        </w:rPr>
        <w:t>日 09:00（北京时间）前递交（上传）投标文件。</w:t>
      </w:r>
    </w:p>
    <w:p>
      <w:pPr>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 xml:space="preserve">一、项目基本情况                                            </w:t>
      </w:r>
    </w:p>
    <w:p>
      <w:pPr>
        <w:spacing w:line="360" w:lineRule="auto"/>
        <w:outlineLvl w:val="1"/>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bookmarkStart w:id="14" w:name="_Toc23734"/>
      <w:r>
        <w:rPr>
          <w:rFonts w:hint="eastAsia" w:cs="宋体" w:asciiTheme="minorEastAsia" w:hAnsiTheme="minorEastAsia" w:eastAsiaTheme="minorEastAsia"/>
          <w:b/>
          <w:szCs w:val="21"/>
          <w:highlight w:val="none"/>
        </w:rPr>
        <w:t>项目编号：</w:t>
      </w:r>
      <w:bookmarkEnd w:id="14"/>
      <w:r>
        <w:rPr>
          <w:rFonts w:cs="宋体" w:asciiTheme="minorEastAsia" w:hAnsiTheme="minorEastAsia" w:eastAsiaTheme="minorEastAsia"/>
          <w:bCs/>
          <w:szCs w:val="21"/>
          <w:highlight w:val="none"/>
        </w:rPr>
        <w:t>NBJX-2024022</w:t>
      </w:r>
    </w:p>
    <w:p>
      <w:pPr>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b/>
          <w:szCs w:val="21"/>
          <w:highlight w:val="none"/>
        </w:rPr>
        <w:t xml:space="preserve"> 项目名称：</w:t>
      </w:r>
      <w:r>
        <w:rPr>
          <w:rFonts w:hint="eastAsia" w:cs="宋体" w:asciiTheme="minorEastAsia" w:hAnsiTheme="minorEastAsia" w:eastAsiaTheme="minorEastAsia"/>
          <w:bCs/>
          <w:szCs w:val="21"/>
          <w:highlight w:val="none"/>
        </w:rPr>
        <w:t>聚贤街道2024-2027年病媒生物防治社会化服务</w:t>
      </w:r>
    </w:p>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b/>
          <w:szCs w:val="21"/>
          <w:highlight w:val="none"/>
        </w:rPr>
        <w:t xml:space="preserve"> 预算金额（元）：</w:t>
      </w:r>
      <w:r>
        <w:rPr>
          <w:rFonts w:hint="eastAsia" w:cs="宋体" w:asciiTheme="minorEastAsia" w:hAnsiTheme="minorEastAsia" w:eastAsiaTheme="minorEastAsia"/>
          <w:bCs/>
          <w:szCs w:val="21"/>
          <w:highlight w:val="none"/>
        </w:rPr>
        <w:t>410000</w:t>
      </w:r>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最高限价（元）：</w:t>
      </w:r>
      <w:r>
        <w:rPr>
          <w:rFonts w:hint="eastAsia" w:cs="宋体" w:asciiTheme="minorEastAsia" w:hAnsiTheme="minorEastAsia" w:eastAsiaTheme="minorEastAsia"/>
          <w:bCs/>
          <w:szCs w:val="21"/>
          <w:highlight w:val="none"/>
        </w:rPr>
        <w:t>410000</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采购需求：</w:t>
      </w:r>
    </w:p>
    <w:p>
      <w:pPr>
        <w:spacing w:line="360" w:lineRule="auto"/>
        <w:ind w:firstLine="420" w:firstLineChars="200"/>
        <w:rPr>
          <w:rFonts w:cs="宋体" w:asciiTheme="minorEastAsia" w:hAnsiTheme="minorEastAsia" w:eastAsiaTheme="minorEastAsia"/>
          <w:bCs/>
          <w:szCs w:val="21"/>
          <w:highlight w:val="none"/>
        </w:rPr>
      </w:pPr>
      <w:r>
        <w:rPr>
          <w:rFonts w:hint="eastAsia" w:asciiTheme="minorEastAsia" w:hAnsiTheme="minorEastAsia" w:eastAsiaTheme="minorEastAsia"/>
          <w:szCs w:val="21"/>
          <w:highlight w:val="none"/>
        </w:rPr>
        <w:t>标项名称:</w:t>
      </w:r>
      <w:r>
        <w:rPr>
          <w:rFonts w:hint="eastAsia" w:cs="宋体" w:asciiTheme="minorEastAsia" w:hAnsiTheme="minorEastAsia" w:eastAsiaTheme="minorEastAsia"/>
          <w:bCs/>
          <w:szCs w:val="21"/>
          <w:highlight w:val="none"/>
        </w:rPr>
        <w:t xml:space="preserve"> 聚贤街道2024-2027年病媒生物防治社会化服务</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数量:不限</w:t>
      </w:r>
    </w:p>
    <w:p>
      <w:pPr>
        <w:spacing w:line="360" w:lineRule="auto"/>
        <w:ind w:firstLine="420" w:firstLineChars="200"/>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预算金额（元）:</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410000</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简要规格描述或项目基本概况介绍、用途：提供聚贤街道2024-2027年病媒生物防治服务，具体以招标文件第三部分采购需求为准，供应商可点击本公告下方“浏览采购文件”查看采购需求。</w:t>
      </w:r>
    </w:p>
    <w:p>
      <w:pPr>
        <w:pStyle w:val="6"/>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color w:val="auto"/>
          <w:kern w:val="2"/>
          <w:sz w:val="21"/>
          <w:szCs w:val="21"/>
          <w:highlight w:val="none"/>
        </w:rPr>
        <w:t>备注：/。</w:t>
      </w:r>
      <w:bookmarkStart w:id="15" w:name="_Toc27797"/>
    </w:p>
    <w:p>
      <w:pPr>
        <w:pStyle w:val="131"/>
        <w:ind w:firstLine="422"/>
        <w:outlineLvl w:val="2"/>
        <w:rPr>
          <w:rFonts w:cs="宋体" w:asciiTheme="minorEastAsia" w:hAnsiTheme="minorEastAsia" w:eastAsiaTheme="minorEastAsia"/>
          <w:sz w:val="21"/>
          <w:szCs w:val="21"/>
          <w:highlight w:val="none"/>
        </w:rPr>
      </w:pPr>
      <w:r>
        <w:rPr>
          <w:rFonts w:hint="eastAsia" w:cs="宋体" w:asciiTheme="minorEastAsia" w:hAnsiTheme="minorEastAsia" w:eastAsiaTheme="minorEastAsia"/>
          <w:b/>
          <w:sz w:val="21"/>
          <w:szCs w:val="21"/>
          <w:highlight w:val="none"/>
        </w:rPr>
        <w:t>合同履约期限：</w:t>
      </w:r>
      <w:bookmarkEnd w:id="15"/>
      <w:r>
        <w:rPr>
          <w:rFonts w:hint="eastAsia" w:cs="宋体" w:asciiTheme="minorEastAsia" w:hAnsiTheme="minorEastAsia" w:eastAsiaTheme="minorEastAsia"/>
          <w:sz w:val="21"/>
          <w:szCs w:val="21"/>
          <w:highlight w:val="none"/>
        </w:rPr>
        <w:t xml:space="preserve">本项目一招暂定三年，合同一年一签，采购人根据成交供应商在上一阶段合同履约、考核情况及财政资金审批等情况决定是否续签下一年度合同。 </w:t>
      </w:r>
    </w:p>
    <w:p>
      <w:pPr>
        <w:pStyle w:val="6"/>
        <w:spacing w:line="360" w:lineRule="auto"/>
        <w:ind w:firstLine="48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b/>
          <w:color w:val="auto"/>
          <w:sz w:val="21"/>
          <w:szCs w:val="21"/>
          <w:highlight w:val="none"/>
        </w:rPr>
        <w:t>本项目（否）接受联合体投标</w:t>
      </w:r>
      <w:r>
        <w:rPr>
          <w:rFonts w:hint="eastAsia" w:cs="宋体" w:asciiTheme="minorEastAsia" w:hAnsiTheme="minorEastAsia" w:eastAsiaTheme="minorEastAsia"/>
          <w:color w:val="auto"/>
          <w:kern w:val="0"/>
          <w:sz w:val="21"/>
          <w:szCs w:val="21"/>
          <w:highlight w:val="none"/>
        </w:rPr>
        <w:t>。</w:t>
      </w:r>
    </w:p>
    <w:p>
      <w:pPr>
        <w:spacing w:line="360" w:lineRule="auto"/>
        <w:outlineLvl w:val="1"/>
        <w:rPr>
          <w:rFonts w:cs="宋体" w:asciiTheme="minorEastAsia" w:hAnsiTheme="minorEastAsia" w:eastAsiaTheme="minorEastAsia"/>
          <w:b/>
          <w:szCs w:val="21"/>
          <w:highlight w:val="none"/>
        </w:rPr>
      </w:pPr>
      <w:bookmarkStart w:id="16" w:name="_Toc23184"/>
      <w:r>
        <w:rPr>
          <w:rFonts w:hint="eastAsia" w:cs="宋体" w:asciiTheme="minorEastAsia" w:hAnsiTheme="minorEastAsia" w:eastAsiaTheme="minorEastAsia"/>
          <w:b/>
          <w:szCs w:val="21"/>
          <w:highlight w:val="none"/>
        </w:rPr>
        <w:t>二、</w:t>
      </w:r>
      <w:bookmarkStart w:id="17" w:name="_Hlk101132948"/>
      <w:r>
        <w:rPr>
          <w:rFonts w:hint="eastAsia" w:cs="宋体" w:asciiTheme="minorEastAsia" w:hAnsiTheme="minorEastAsia" w:eastAsiaTheme="minorEastAsia"/>
          <w:b/>
          <w:szCs w:val="21"/>
          <w:highlight w:val="none"/>
        </w:rPr>
        <w:t>申请人的资格要求</w:t>
      </w:r>
      <w:bookmarkEnd w:id="17"/>
      <w:r>
        <w:rPr>
          <w:rFonts w:hint="eastAsia" w:cs="宋体" w:asciiTheme="minorEastAsia" w:hAnsiTheme="minorEastAsia" w:eastAsiaTheme="minorEastAsia"/>
          <w:b/>
          <w:szCs w:val="21"/>
          <w:highlight w:val="none"/>
        </w:rPr>
        <w:t>：</w:t>
      </w:r>
      <w:bookmarkEnd w:id="16"/>
    </w:p>
    <w:p>
      <w:pPr>
        <w:spacing w:line="360" w:lineRule="auto"/>
        <w:ind w:firstLine="480"/>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szCs w:val="21"/>
          <w:highlight w:val="none"/>
        </w:rPr>
        <w:t>重大税收违法失信主体</w:t>
      </w:r>
      <w:r>
        <w:rPr>
          <w:rFonts w:hint="eastAsia" w:cs="宋体" w:asciiTheme="minorEastAsia" w:hAnsiTheme="minorEastAsia" w:eastAsiaTheme="minorEastAsia"/>
          <w:snapToGrid w:val="0"/>
          <w:kern w:val="28"/>
          <w:szCs w:val="21"/>
          <w:highlight w:val="none"/>
        </w:rPr>
        <w:t>、政府采购严重违法失信行为记录名单；</w:t>
      </w:r>
    </w:p>
    <w:p>
      <w:pPr>
        <w:spacing w:line="360" w:lineRule="auto"/>
        <w:ind w:firstLine="420" w:firstLineChars="200"/>
        <w:rPr>
          <w:rFonts w:cs="宋体" w:asciiTheme="minorEastAsia" w:hAnsiTheme="minorEastAsia" w:eastAsiaTheme="minorEastAsia"/>
          <w:snapToGrid w:val="0"/>
          <w:kern w:val="28"/>
          <w:szCs w:val="21"/>
          <w:highlight w:val="none"/>
        </w:rPr>
      </w:pPr>
      <w:r>
        <w:rPr>
          <w:rFonts w:cs="宋体" w:asciiTheme="minorEastAsia" w:hAnsiTheme="minorEastAsia" w:eastAsiaTheme="minorEastAsia"/>
          <w:snapToGrid w:val="0"/>
          <w:kern w:val="28"/>
          <w:szCs w:val="21"/>
          <w:highlight w:val="none"/>
        </w:rPr>
        <w:t>2</w:t>
      </w:r>
      <w:r>
        <w:rPr>
          <w:rFonts w:hint="eastAsia" w:cs="宋体" w:asciiTheme="minorEastAsia" w:hAnsiTheme="minorEastAsia" w:eastAsiaTheme="minorEastAsia"/>
          <w:snapToGrid w:val="0"/>
          <w:kern w:val="28"/>
          <w:szCs w:val="21"/>
          <w:highlight w:val="none"/>
        </w:rPr>
        <w:t>.落实政府采购政策需满足的资格要求：本项目专门面向中小微企业采购，</w:t>
      </w:r>
      <w:r>
        <w:rPr>
          <w:rFonts w:hint="eastAsia" w:cs="宋体" w:asciiTheme="minorEastAsia" w:hAnsiTheme="minorEastAsia" w:eastAsiaTheme="minorEastAsia"/>
          <w:szCs w:val="21"/>
          <w:highlight w:val="none"/>
        </w:rPr>
        <w:t>服务全部由符合政策要求的中小微企业承接，提供中小企业声明函或残疾人福利性单位声明函或监狱企业证明</w:t>
      </w:r>
      <w:r>
        <w:rPr>
          <w:rFonts w:hint="eastAsia" w:cs="宋体" w:asciiTheme="minorEastAsia" w:hAnsiTheme="minorEastAsia" w:eastAsiaTheme="minorEastAsia"/>
          <w:snapToGrid w:val="0"/>
          <w:kern w:val="28"/>
          <w:szCs w:val="21"/>
          <w:highlight w:val="none"/>
        </w:rPr>
        <w:t>；</w:t>
      </w:r>
    </w:p>
    <w:p>
      <w:pPr>
        <w:spacing w:line="360" w:lineRule="auto"/>
        <w:ind w:firstLine="420" w:firstLineChars="2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.本项目的特定资格要求：无；</w:t>
      </w:r>
    </w:p>
    <w:p>
      <w:pPr>
        <w:spacing w:line="360" w:lineRule="auto"/>
        <w:outlineLvl w:val="1"/>
        <w:rPr>
          <w:rFonts w:cs="宋体" w:asciiTheme="minorEastAsia" w:hAnsiTheme="minorEastAsia" w:eastAsiaTheme="minorEastAsia"/>
          <w:b/>
          <w:szCs w:val="21"/>
          <w:highlight w:val="none"/>
        </w:rPr>
      </w:pPr>
      <w:bookmarkStart w:id="18" w:name="_Toc15435"/>
      <w:r>
        <w:rPr>
          <w:rFonts w:hint="eastAsia" w:cs="宋体" w:asciiTheme="minorEastAsia" w:hAnsiTheme="minorEastAsia" w:eastAsiaTheme="minorEastAsia"/>
          <w:b/>
          <w:szCs w:val="21"/>
          <w:highlight w:val="none"/>
        </w:rPr>
        <w:t>三、获取招标文件</w:t>
      </w:r>
      <w:bookmarkEnd w:id="18"/>
      <w:r>
        <w:rPr>
          <w:rFonts w:hint="eastAsia" w:cs="宋体" w:asciiTheme="minorEastAsia" w:hAnsiTheme="minorEastAsia" w:eastAsiaTheme="minorEastAsia"/>
          <w:b/>
          <w:szCs w:val="21"/>
          <w:highlight w:val="none"/>
        </w:rPr>
        <w:t xml:space="preserve"> </w:t>
      </w:r>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时间：</w:t>
      </w:r>
      <w:r>
        <w:rPr>
          <w:rFonts w:hint="eastAsia" w:cs="宋体" w:asciiTheme="minorEastAsia" w:hAnsiTheme="minorEastAsia" w:eastAsiaTheme="minorEastAsia"/>
          <w:szCs w:val="21"/>
          <w:highlight w:val="none"/>
          <w:u w:val="single"/>
        </w:rPr>
        <w:t>202</w:t>
      </w:r>
      <w:r>
        <w:rPr>
          <w:rFonts w:cs="宋体" w:asciiTheme="minorEastAsia" w:hAnsiTheme="minorEastAsia" w:eastAsiaTheme="minorEastAsia"/>
          <w:szCs w:val="21"/>
          <w:highlight w:val="none"/>
          <w:u w:val="single"/>
        </w:rPr>
        <w:t>4</w:t>
      </w:r>
      <w:r>
        <w:rPr>
          <w:rFonts w:hint="eastAsia" w:cs="宋体" w:asciiTheme="minorEastAsia" w:hAnsiTheme="minorEastAsia" w:eastAsiaTheme="minorEastAsia"/>
          <w:szCs w:val="21"/>
          <w:highlight w:val="none"/>
          <w:u w:val="single"/>
        </w:rPr>
        <w:t>年</w:t>
      </w:r>
      <w:r>
        <w:rPr>
          <w:rFonts w:hint="eastAsia" w:cs="宋体" w:asciiTheme="minorEastAsia" w:hAnsiTheme="minorEastAsia" w:eastAsiaTheme="minorEastAsia"/>
          <w:szCs w:val="21"/>
          <w:highlight w:val="none"/>
          <w:u w:val="single"/>
          <w:lang w:val="en-US" w:eastAsia="zh-CN"/>
        </w:rPr>
        <w:t>5</w:t>
      </w:r>
      <w:r>
        <w:rPr>
          <w:rFonts w:hint="eastAsia" w:cs="宋体" w:asciiTheme="minorEastAsia" w:hAnsiTheme="minorEastAsia" w:eastAsiaTheme="minorEastAsia"/>
          <w:szCs w:val="21"/>
          <w:highlight w:val="none"/>
          <w:u w:val="single"/>
        </w:rPr>
        <w:t>月</w:t>
      </w:r>
      <w:r>
        <w:rPr>
          <w:rFonts w:hint="eastAsia" w:cs="宋体" w:asciiTheme="minorEastAsia" w:hAnsiTheme="minorEastAsia" w:eastAsiaTheme="minorEastAsia"/>
          <w:szCs w:val="21"/>
          <w:highlight w:val="none"/>
          <w:u w:val="single"/>
          <w:lang w:val="en-US" w:eastAsia="zh-CN"/>
        </w:rPr>
        <w:t>27</w:t>
      </w:r>
      <w:r>
        <w:rPr>
          <w:rFonts w:hint="eastAsia" w:cs="宋体" w:asciiTheme="minorEastAsia" w:hAnsiTheme="minorEastAsia" w:eastAsiaTheme="minorEastAsia"/>
          <w:szCs w:val="21"/>
          <w:highlight w:val="none"/>
          <w:u w:val="single"/>
        </w:rPr>
        <w:t>日</w:t>
      </w:r>
      <w:r>
        <w:rPr>
          <w:rFonts w:hint="eastAsia" w:cs="宋体" w:asciiTheme="minorEastAsia" w:hAnsiTheme="minorEastAsia" w:eastAsiaTheme="minorEastAsia"/>
          <w:szCs w:val="21"/>
          <w:highlight w:val="none"/>
        </w:rPr>
        <w:t>至</w:t>
      </w:r>
      <w:r>
        <w:rPr>
          <w:rFonts w:hint="eastAsia" w:cs="宋体" w:asciiTheme="minorEastAsia" w:hAnsiTheme="minorEastAsia" w:eastAsiaTheme="minorEastAsia"/>
          <w:szCs w:val="21"/>
          <w:highlight w:val="none"/>
          <w:u w:val="single"/>
        </w:rPr>
        <w:t>202</w:t>
      </w:r>
      <w:r>
        <w:rPr>
          <w:rFonts w:cs="宋体" w:asciiTheme="minorEastAsia" w:hAnsiTheme="minorEastAsia" w:eastAsiaTheme="minorEastAsia"/>
          <w:szCs w:val="21"/>
          <w:highlight w:val="none"/>
          <w:u w:val="single"/>
        </w:rPr>
        <w:t>4</w:t>
      </w:r>
      <w:r>
        <w:rPr>
          <w:rFonts w:hint="eastAsia" w:cs="宋体" w:asciiTheme="minorEastAsia" w:hAnsiTheme="minorEastAsia" w:eastAsiaTheme="minorEastAsia"/>
          <w:szCs w:val="21"/>
          <w:highlight w:val="none"/>
          <w:u w:val="single"/>
        </w:rPr>
        <w:t>年</w:t>
      </w:r>
      <w:r>
        <w:rPr>
          <w:rFonts w:hint="eastAsia" w:cs="宋体" w:asciiTheme="minorEastAsia" w:hAnsiTheme="minorEastAsia" w:eastAsiaTheme="minorEastAsia"/>
          <w:szCs w:val="21"/>
          <w:highlight w:val="none"/>
          <w:u w:val="single"/>
          <w:lang w:val="en-US" w:eastAsia="zh-CN"/>
        </w:rPr>
        <w:t>6</w:t>
      </w:r>
      <w:r>
        <w:rPr>
          <w:rFonts w:hint="eastAsia" w:cs="宋体" w:asciiTheme="minorEastAsia" w:hAnsiTheme="minorEastAsia" w:eastAsiaTheme="minorEastAsia"/>
          <w:szCs w:val="21"/>
          <w:highlight w:val="none"/>
          <w:u w:val="single"/>
        </w:rPr>
        <w:t>月</w:t>
      </w:r>
      <w:r>
        <w:rPr>
          <w:rFonts w:hint="eastAsia" w:cs="宋体" w:asciiTheme="minorEastAsia" w:hAnsiTheme="minorEastAsia" w:eastAsiaTheme="minorEastAsia"/>
          <w:szCs w:val="21"/>
          <w:highlight w:val="none"/>
          <w:u w:val="single"/>
          <w:lang w:val="en-US" w:eastAsia="zh-CN"/>
        </w:rPr>
        <w:t>3</w:t>
      </w:r>
      <w:r>
        <w:rPr>
          <w:rFonts w:hint="eastAsia" w:cs="宋体" w:asciiTheme="minorEastAsia" w:hAnsiTheme="minorEastAsia" w:eastAsiaTheme="minorEastAsia"/>
          <w:szCs w:val="21"/>
          <w:highlight w:val="none"/>
          <w:u w:val="single"/>
        </w:rPr>
        <w:t>日</w:t>
      </w:r>
      <w:r>
        <w:rPr>
          <w:rFonts w:hint="eastAsia" w:cs="宋体" w:asciiTheme="minorEastAsia" w:hAnsiTheme="minorEastAsia" w:eastAsiaTheme="minorEastAsia"/>
          <w:szCs w:val="21"/>
          <w:highlight w:val="none"/>
        </w:rPr>
        <w:t>，每天上午00:00至12:00，下午12:00至23:59（北京时间，线上获取法定节假日均可）</w:t>
      </w:r>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地点（网址）：</w:t>
      </w:r>
      <w:r>
        <w:rPr>
          <w:rFonts w:hint="eastAsia" w:cs="宋体" w:asciiTheme="minorEastAsia" w:hAnsiTheme="minorEastAsia" w:eastAsiaTheme="minorEastAsia"/>
          <w:szCs w:val="21"/>
          <w:highlight w:val="none"/>
        </w:rPr>
        <w:t xml:space="preserve">政采云平台（https://www.zcygov.cn/） </w:t>
      </w:r>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方式：</w:t>
      </w:r>
      <w:r>
        <w:rPr>
          <w:rFonts w:hint="eastAsia" w:cs="宋体" w:asciiTheme="minorEastAsia" w:hAnsiTheme="minorEastAsia" w:eastAsiaTheme="minorEastAsia"/>
          <w:szCs w:val="21"/>
          <w:highlight w:val="none"/>
        </w:rPr>
        <w:t>供应商登录政采云平台https://www.zcygov.cn/在线申请获取采购文件（进入“项目采购”应用，在获取采购文件菜单中选择项目，申请获取采购文件）</w:t>
      </w:r>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售价（元）：</w:t>
      </w:r>
      <w:r>
        <w:rPr>
          <w:rFonts w:hint="eastAsia" w:cs="宋体" w:asciiTheme="minorEastAsia" w:hAnsiTheme="minorEastAsia" w:eastAsiaTheme="minorEastAsia"/>
          <w:szCs w:val="21"/>
          <w:highlight w:val="none"/>
        </w:rPr>
        <w:t xml:space="preserve">0 </w:t>
      </w:r>
      <w:r>
        <w:rPr>
          <w:rFonts w:hint="eastAsia" w:cs="宋体" w:asciiTheme="minorEastAsia" w:hAnsiTheme="minorEastAsia" w:eastAsiaTheme="minorEastAsia"/>
          <w:szCs w:val="21"/>
          <w:highlight w:val="none"/>
        </w:rPr>
        <w:tab/>
      </w:r>
    </w:p>
    <w:p>
      <w:pPr>
        <w:spacing w:line="360" w:lineRule="auto"/>
        <w:outlineLvl w:val="1"/>
        <w:rPr>
          <w:rFonts w:cs="宋体" w:asciiTheme="minorEastAsia" w:hAnsiTheme="minorEastAsia" w:eastAsiaTheme="minorEastAsia"/>
          <w:b/>
          <w:szCs w:val="21"/>
          <w:highlight w:val="none"/>
        </w:rPr>
      </w:pPr>
      <w:bookmarkStart w:id="19" w:name="_Toc18115"/>
      <w:r>
        <w:rPr>
          <w:rFonts w:hint="eastAsia" w:cs="宋体" w:asciiTheme="minorEastAsia" w:hAnsiTheme="minorEastAsia" w:eastAsiaTheme="minorEastAsia"/>
          <w:b/>
          <w:szCs w:val="21"/>
          <w:highlight w:val="none"/>
        </w:rPr>
        <w:t>四、提交投标文件截止时间、开标时间和地点</w:t>
      </w:r>
      <w:bookmarkEnd w:id="19"/>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提交投标文件截止时间：</w:t>
      </w:r>
      <w:r>
        <w:rPr>
          <w:rStyle w:val="79"/>
          <w:rFonts w:hint="eastAsia" w:cs="Times New Roman" w:asciiTheme="minorEastAsia" w:hAnsiTheme="minorEastAsia" w:eastAsiaTheme="minorEastAsia"/>
          <w:snapToGrid/>
          <w:color w:val="auto"/>
          <w:kern w:val="2"/>
          <w:sz w:val="21"/>
          <w:szCs w:val="21"/>
          <w:highlight w:val="none"/>
          <w:u w:val="single"/>
        </w:rPr>
        <w:t>202</w:t>
      </w:r>
      <w:r>
        <w:rPr>
          <w:rStyle w:val="79"/>
          <w:rFonts w:cs="Times New Roman" w:asciiTheme="minorEastAsia" w:hAnsiTheme="minorEastAsia" w:eastAsiaTheme="minorEastAsia"/>
          <w:snapToGrid/>
          <w:color w:val="auto"/>
          <w:kern w:val="2"/>
          <w:sz w:val="21"/>
          <w:szCs w:val="21"/>
          <w:highlight w:val="none"/>
          <w:u w:val="single"/>
        </w:rPr>
        <w:t>4年</w:t>
      </w:r>
      <w:r>
        <w:rPr>
          <w:rStyle w:val="79"/>
          <w:rFonts w:hint="eastAsia" w:cs="Times New Roman" w:asciiTheme="minorEastAsia" w:hAnsiTheme="minorEastAsia" w:eastAsiaTheme="minorEastAsia"/>
          <w:snapToGrid/>
          <w:color w:val="auto"/>
          <w:kern w:val="2"/>
          <w:sz w:val="21"/>
          <w:szCs w:val="21"/>
          <w:highlight w:val="none"/>
          <w:u w:val="single"/>
          <w:lang w:val="en-US" w:eastAsia="zh-CN"/>
        </w:rPr>
        <w:t>6</w:t>
      </w:r>
      <w:r>
        <w:rPr>
          <w:rStyle w:val="79"/>
          <w:rFonts w:hint="eastAsia" w:cs="Times New Roman" w:asciiTheme="minorEastAsia" w:hAnsiTheme="minorEastAsia" w:eastAsiaTheme="minorEastAsia"/>
          <w:snapToGrid/>
          <w:color w:val="auto"/>
          <w:kern w:val="2"/>
          <w:sz w:val="21"/>
          <w:szCs w:val="21"/>
          <w:highlight w:val="none"/>
          <w:u w:val="single"/>
        </w:rPr>
        <w:t>月</w:t>
      </w:r>
      <w:r>
        <w:rPr>
          <w:rStyle w:val="79"/>
          <w:rFonts w:hint="eastAsia" w:cs="Times New Roman" w:asciiTheme="minorEastAsia" w:hAnsiTheme="minorEastAsia" w:eastAsiaTheme="minorEastAsia"/>
          <w:snapToGrid/>
          <w:color w:val="auto"/>
          <w:kern w:val="2"/>
          <w:sz w:val="21"/>
          <w:szCs w:val="21"/>
          <w:highlight w:val="none"/>
          <w:u w:val="single"/>
          <w:lang w:val="en-US" w:eastAsia="zh-CN"/>
        </w:rPr>
        <w:t>17</w:t>
      </w:r>
      <w:r>
        <w:rPr>
          <w:rStyle w:val="79"/>
          <w:rFonts w:hint="eastAsia" w:cs="Times New Roman" w:asciiTheme="minorEastAsia" w:hAnsiTheme="minorEastAsia" w:eastAsiaTheme="minorEastAsia"/>
          <w:snapToGrid/>
          <w:color w:val="auto"/>
          <w:kern w:val="2"/>
          <w:sz w:val="21"/>
          <w:szCs w:val="21"/>
          <w:highlight w:val="none"/>
          <w:u w:val="single"/>
        </w:rPr>
        <w:t>日</w:t>
      </w:r>
      <w:r>
        <w:rPr>
          <w:rFonts w:hint="eastAsia" w:asciiTheme="minorEastAsia" w:hAnsiTheme="minorEastAsia" w:eastAsiaTheme="minorEastAsia"/>
          <w:szCs w:val="21"/>
          <w:highlight w:val="none"/>
          <w:u w:val="single"/>
        </w:rPr>
        <w:t>09:00</w:t>
      </w:r>
      <w:r>
        <w:rPr>
          <w:rFonts w:hint="eastAsia" w:cs="宋体" w:asciiTheme="minorEastAsia" w:hAnsiTheme="minorEastAsia" w:eastAsiaTheme="minorEastAsia"/>
          <w:szCs w:val="21"/>
          <w:highlight w:val="none"/>
        </w:rPr>
        <w:t>（北京时间）</w:t>
      </w:r>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投标地点（网址）：</w:t>
      </w:r>
      <w:r>
        <w:rPr>
          <w:rFonts w:hint="eastAsia" w:cs="宋体" w:asciiTheme="minorEastAsia" w:hAnsiTheme="minorEastAsia" w:eastAsiaTheme="minorEastAsia"/>
          <w:szCs w:val="21"/>
          <w:highlight w:val="none"/>
        </w:rPr>
        <w:t xml:space="preserve">请登录政采云投标客户端投标 </w:t>
      </w:r>
    </w:p>
    <w:p>
      <w:pPr>
        <w:spacing w:line="360" w:lineRule="auto"/>
        <w:ind w:firstLine="422" w:firstLineChars="200"/>
        <w:rPr>
          <w:rFonts w:cs="宋体" w:asciiTheme="minorEastAsia" w:hAnsiTheme="minorEastAsia" w:eastAsiaTheme="minorEastAsia"/>
          <w:bCs/>
          <w:szCs w:val="21"/>
          <w:highlight w:val="none"/>
          <w:u w:val="single"/>
        </w:rPr>
      </w:pPr>
      <w:r>
        <w:rPr>
          <w:rFonts w:hint="eastAsia" w:cs="宋体" w:asciiTheme="minorEastAsia" w:hAnsiTheme="minorEastAsia" w:eastAsiaTheme="minorEastAsia"/>
          <w:b/>
          <w:szCs w:val="21"/>
          <w:highlight w:val="none"/>
        </w:rPr>
        <w:t>开标时间：</w:t>
      </w:r>
      <w:r>
        <w:rPr>
          <w:rStyle w:val="79"/>
          <w:rFonts w:hint="eastAsia" w:cs="Times New Roman" w:asciiTheme="minorEastAsia" w:hAnsiTheme="minorEastAsia" w:eastAsiaTheme="minorEastAsia"/>
          <w:snapToGrid/>
          <w:color w:val="auto"/>
          <w:kern w:val="2"/>
          <w:sz w:val="21"/>
          <w:szCs w:val="21"/>
          <w:highlight w:val="none"/>
          <w:u w:val="single"/>
        </w:rPr>
        <w:t>202</w:t>
      </w:r>
      <w:r>
        <w:rPr>
          <w:rStyle w:val="79"/>
          <w:rFonts w:cs="Times New Roman" w:asciiTheme="minorEastAsia" w:hAnsiTheme="minorEastAsia" w:eastAsiaTheme="minorEastAsia"/>
          <w:snapToGrid/>
          <w:color w:val="auto"/>
          <w:kern w:val="2"/>
          <w:sz w:val="21"/>
          <w:szCs w:val="21"/>
          <w:highlight w:val="none"/>
          <w:u w:val="single"/>
        </w:rPr>
        <w:t>4年</w:t>
      </w:r>
      <w:r>
        <w:rPr>
          <w:rStyle w:val="79"/>
          <w:rFonts w:hint="eastAsia" w:cs="Times New Roman" w:asciiTheme="minorEastAsia" w:hAnsiTheme="minorEastAsia" w:eastAsiaTheme="minorEastAsia"/>
          <w:snapToGrid/>
          <w:color w:val="auto"/>
          <w:kern w:val="2"/>
          <w:sz w:val="21"/>
          <w:szCs w:val="21"/>
          <w:highlight w:val="none"/>
          <w:u w:val="single"/>
          <w:lang w:val="en-US" w:eastAsia="zh-CN"/>
        </w:rPr>
        <w:t>6</w:t>
      </w:r>
      <w:r>
        <w:rPr>
          <w:rStyle w:val="79"/>
          <w:rFonts w:hint="eastAsia" w:cs="Times New Roman" w:asciiTheme="minorEastAsia" w:hAnsiTheme="minorEastAsia" w:eastAsiaTheme="minorEastAsia"/>
          <w:snapToGrid/>
          <w:color w:val="auto"/>
          <w:kern w:val="2"/>
          <w:sz w:val="21"/>
          <w:szCs w:val="21"/>
          <w:highlight w:val="none"/>
          <w:u w:val="single"/>
        </w:rPr>
        <w:t>月</w:t>
      </w:r>
      <w:r>
        <w:rPr>
          <w:rStyle w:val="79"/>
          <w:rFonts w:hint="eastAsia" w:cs="Times New Roman" w:asciiTheme="minorEastAsia" w:hAnsiTheme="minorEastAsia" w:eastAsiaTheme="minorEastAsia"/>
          <w:snapToGrid/>
          <w:color w:val="auto"/>
          <w:kern w:val="2"/>
          <w:sz w:val="21"/>
          <w:szCs w:val="21"/>
          <w:highlight w:val="none"/>
          <w:u w:val="single"/>
          <w:lang w:val="en-US" w:eastAsia="zh-CN"/>
        </w:rPr>
        <w:t>17</w:t>
      </w:r>
      <w:r>
        <w:rPr>
          <w:rStyle w:val="79"/>
          <w:rFonts w:hint="eastAsia" w:cs="Times New Roman" w:asciiTheme="minorEastAsia" w:hAnsiTheme="minorEastAsia" w:eastAsiaTheme="minorEastAsia"/>
          <w:snapToGrid/>
          <w:color w:val="auto"/>
          <w:kern w:val="2"/>
          <w:sz w:val="21"/>
          <w:szCs w:val="21"/>
          <w:highlight w:val="none"/>
          <w:u w:val="single"/>
        </w:rPr>
        <w:t>日</w:t>
      </w:r>
      <w:r>
        <w:rPr>
          <w:rFonts w:hint="eastAsia" w:asciiTheme="minorEastAsia" w:hAnsiTheme="minorEastAsia" w:eastAsiaTheme="minorEastAsia"/>
          <w:szCs w:val="21"/>
          <w:highlight w:val="none"/>
          <w:u w:val="single"/>
        </w:rPr>
        <w:t>09:00</w:t>
      </w:r>
    </w:p>
    <w:p>
      <w:pPr>
        <w:spacing w:line="360" w:lineRule="auto"/>
        <w:ind w:firstLine="422"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开标地点（网址）：</w:t>
      </w:r>
      <w:r>
        <w:rPr>
          <w:rFonts w:hint="eastAsia" w:cs="宋体" w:asciiTheme="minorEastAsia" w:hAnsiTheme="minorEastAsia" w:eastAsiaTheme="minorEastAsia"/>
          <w:szCs w:val="21"/>
          <w:highlight w:val="none"/>
        </w:rPr>
        <w:t>宁波市高新区广贤路997号南楼3楼开标室（具体场所安排见电子屏幕）。政采云平台（https://www.zcygov.cn/）</w:t>
      </w:r>
    </w:p>
    <w:p>
      <w:pPr>
        <w:spacing w:line="360" w:lineRule="auto"/>
        <w:outlineLvl w:val="1"/>
        <w:rPr>
          <w:rFonts w:cs="宋体" w:asciiTheme="minorEastAsia" w:hAnsiTheme="minorEastAsia" w:eastAsiaTheme="minorEastAsia"/>
          <w:szCs w:val="21"/>
          <w:highlight w:val="none"/>
        </w:rPr>
      </w:pPr>
      <w:bookmarkStart w:id="20" w:name="_Toc16463"/>
      <w:r>
        <w:rPr>
          <w:rFonts w:hint="eastAsia" w:cs="宋体" w:asciiTheme="minorEastAsia" w:hAnsiTheme="minorEastAsia" w:eastAsiaTheme="minorEastAsia"/>
          <w:b/>
          <w:szCs w:val="21"/>
          <w:highlight w:val="none"/>
        </w:rPr>
        <w:t>五、公告期限</w:t>
      </w:r>
      <w:bookmarkEnd w:id="20"/>
      <w:r>
        <w:rPr>
          <w:rFonts w:hint="eastAsia" w:cs="宋体" w:asciiTheme="minorEastAsia" w:hAnsiTheme="minorEastAsia" w:eastAsiaTheme="minorEastAsia"/>
          <w:b/>
          <w:szCs w:val="21"/>
          <w:highlight w:val="none"/>
        </w:rPr>
        <w:t xml:space="preserve">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pPr>
        <w:spacing w:line="360" w:lineRule="auto"/>
        <w:outlineLvl w:val="1"/>
        <w:rPr>
          <w:rFonts w:cs="宋体" w:asciiTheme="minorEastAsia" w:hAnsiTheme="minorEastAsia" w:eastAsiaTheme="minorEastAsia"/>
          <w:b/>
          <w:szCs w:val="21"/>
          <w:highlight w:val="none"/>
        </w:rPr>
      </w:pPr>
      <w:bookmarkStart w:id="21" w:name="_Toc20735"/>
      <w:r>
        <w:rPr>
          <w:rFonts w:hint="eastAsia" w:cs="宋体" w:asciiTheme="minorEastAsia" w:hAnsiTheme="minorEastAsia" w:eastAsiaTheme="minorEastAsia"/>
          <w:b/>
          <w:szCs w:val="21"/>
          <w:highlight w:val="none"/>
        </w:rPr>
        <w:t>六、其他补充事宜</w:t>
      </w:r>
      <w:bookmarkEnd w:id="21"/>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2.其他事项：</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需要落实的政府采购政策：《关于促进残疾人就业政府采购政策的通知》（财库[2017]141号）、《政府采购促进中小企业发展管理办法》（财库[2020]46号）、《关于政府采购支持监狱企业发展有关问题的通知》(财库[2014]68号)等，具体见第二部分投标人须知。</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w:t>
      </w:r>
      <w:r>
        <w:rPr>
          <w:rFonts w:cs="宋体" w:asciiTheme="minorEastAsia" w:hAnsiTheme="minorEastAsia" w:eastAsiaTheme="minorEastAsia"/>
          <w:szCs w:val="21"/>
          <w:highlight w:val="none"/>
        </w:rPr>
        <w:t>15</w:t>
      </w:r>
      <w:r>
        <w:rPr>
          <w:rFonts w:hint="eastAsia" w:cs="宋体" w:asciiTheme="minorEastAsia" w:hAnsiTheme="minorEastAsia" w:eastAsiaTheme="minorEastAsia"/>
          <w:szCs w:val="21"/>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）招标文件公告期限与招标公告的公告期限一致。</w:t>
      </w:r>
    </w:p>
    <w:p>
      <w:pPr>
        <w:spacing w:line="360" w:lineRule="auto"/>
        <w:outlineLvl w:val="1"/>
        <w:rPr>
          <w:rFonts w:cs="宋体" w:asciiTheme="minorEastAsia" w:hAnsiTheme="minorEastAsia" w:eastAsiaTheme="minorEastAsia"/>
          <w:b/>
          <w:szCs w:val="21"/>
          <w:highlight w:val="none"/>
        </w:rPr>
      </w:pPr>
      <w:bookmarkStart w:id="22" w:name="_Toc3685"/>
      <w:r>
        <w:rPr>
          <w:rFonts w:hint="eastAsia" w:cs="宋体" w:asciiTheme="minorEastAsia" w:hAnsiTheme="minorEastAsia" w:eastAsiaTheme="minorEastAsia"/>
          <w:b/>
          <w:szCs w:val="21"/>
          <w:highlight w:val="none"/>
        </w:rPr>
        <w:t>七、对本次采购提出询问、质疑、投诉，请按以下方式联系</w:t>
      </w:r>
      <w:bookmarkEnd w:id="22"/>
    </w:p>
    <w:p>
      <w:pPr>
        <w:spacing w:line="360" w:lineRule="auto"/>
        <w:ind w:firstLine="48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1.采购人信息</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名称：宁波市鄞州区人民政府聚贤街道办事处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地址：宁波市高新区腊梅路799号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传真：/</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项目联系人（询问）：刘老师 </w:t>
      </w:r>
    </w:p>
    <w:p>
      <w:pPr>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项目联系方式（询问）：0574-</w:t>
      </w:r>
      <w:r>
        <w:rPr>
          <w:rFonts w:cs="宋体" w:asciiTheme="minorEastAsia" w:hAnsiTheme="minorEastAsia" w:eastAsiaTheme="minorEastAsia"/>
          <w:szCs w:val="21"/>
          <w:highlight w:val="none"/>
        </w:rPr>
        <w:t>89076236</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质疑联系人：何老师</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质疑联系方式：0574-87026833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2.采购代理机构信息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名称：宁波建信工程造价咨询事务所有限公司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地址：宁波市高新区江南路1108号皇冠大厦17楼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传真：</w:t>
      </w:r>
      <w:r>
        <w:rPr>
          <w:rFonts w:cs="宋体" w:asciiTheme="minorEastAsia" w:hAnsiTheme="minorEastAsia" w:eastAsiaTheme="minorEastAsia"/>
          <w:szCs w:val="21"/>
          <w:highlight w:val="none"/>
        </w:rPr>
        <w:t>0574-87515221</w:t>
      </w:r>
      <w:r>
        <w:rPr>
          <w:rFonts w:hint="eastAsia" w:cs="宋体" w:asciiTheme="minorEastAsia" w:hAnsiTheme="minorEastAsia" w:eastAsiaTheme="minorEastAsia"/>
          <w:szCs w:val="21"/>
          <w:highlight w:val="none"/>
        </w:rPr>
        <w:t>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项目联系人（询问）：黄博超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项目联系方式（询问）：</w:t>
      </w:r>
      <w:r>
        <w:rPr>
          <w:rFonts w:cs="宋体" w:asciiTheme="minorEastAsia" w:hAnsiTheme="minorEastAsia" w:eastAsiaTheme="minorEastAsia"/>
          <w:szCs w:val="21"/>
          <w:highlight w:val="none"/>
        </w:rPr>
        <w:t>18658229595</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质疑联系人：</w:t>
      </w:r>
      <w:r>
        <w:rPr>
          <w:rFonts w:hint="eastAsia" w:cs="宋体" w:asciiTheme="minorEastAsia" w:hAnsiTheme="minorEastAsia" w:eastAsiaTheme="minorEastAsia"/>
          <w:szCs w:val="21"/>
          <w:highlight w:val="none"/>
          <w:lang w:val="en-US" w:eastAsia="zh-CN"/>
        </w:rPr>
        <w:t>赖欣妍</w:t>
      </w:r>
      <w:r>
        <w:rPr>
          <w:rFonts w:hint="eastAsia" w:cs="宋体" w:asciiTheme="minorEastAsia" w:hAnsiTheme="minorEastAsia" w:eastAsiaTheme="minorEastAsia"/>
          <w:szCs w:val="21"/>
          <w:highlight w:val="none"/>
        </w:rPr>
        <w:t xml:space="preserve">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质疑联系方式：13732112843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3.同级政府采购监督管理部门            </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名 称：宁波高新区政府采购管理办公室</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址：宁波高新区广贤路999号</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传 真：/</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联系人 ：王老师</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监督投诉电话：0574-89288727</w:t>
      </w:r>
    </w:p>
    <w:p>
      <w:pPr>
        <w:ind w:firstLine="199" w:firstLineChars="95"/>
        <w:rPr>
          <w:rFonts w:asciiTheme="minorEastAsia" w:hAnsiTheme="minorEastAsia" w:eastAsiaTheme="minorEastAsia"/>
          <w:szCs w:val="21"/>
          <w:highlight w:val="none"/>
        </w:rPr>
      </w:pP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hAnsi="宋体" w:cs="宋体"/>
          <w:b/>
          <w:sz w:val="36"/>
          <w:szCs w:val="20"/>
          <w:highlight w:val="none"/>
        </w:rPr>
      </w:pPr>
      <w:r>
        <w:rPr>
          <w:rFonts w:hint="eastAsia" w:cs="宋体" w:asciiTheme="minorEastAsia" w:hAnsiTheme="minorEastAsia" w:eastAsiaTheme="minorEastAsia"/>
          <w:szCs w:val="21"/>
          <w:highlight w:val="none"/>
        </w:rPr>
        <w:t xml:space="preserve">CA问题联系电话（人工）：汇信CA 400-888-4636；天谷CA 400-087-8198。  </w:t>
      </w:r>
      <w:r>
        <w:rPr>
          <w:rFonts w:hint="eastAsia" w:hAnsi="宋体" w:cs="宋体"/>
          <w:sz w:val="24"/>
          <w:highlight w:val="none"/>
        </w:rPr>
        <w:t xml:space="preserve">             </w:t>
      </w:r>
      <w:r>
        <w:rPr>
          <w:rFonts w:hAnsi="宋体" w:cs="宋体"/>
          <w:b/>
          <w:sz w:val="36"/>
          <w:szCs w:val="20"/>
          <w:highlight w:val="none"/>
        </w:rPr>
        <w:t xml:space="preserve"> </w:t>
      </w:r>
    </w:p>
    <w:p>
      <w:pPr>
        <w:adjustRightInd/>
        <w:spacing w:line="360" w:lineRule="auto"/>
        <w:jc w:val="center"/>
        <w:outlineLvl w:val="0"/>
        <w:rPr>
          <w:rFonts w:ascii="宋体" w:hAnsi="宋体" w:cs="宋体"/>
          <w:b/>
          <w:sz w:val="36"/>
          <w:szCs w:val="20"/>
          <w:highlight w:val="none"/>
        </w:rPr>
      </w:pPr>
      <w:bookmarkStart w:id="23" w:name="_Toc1745"/>
      <w:bookmarkStart w:id="24" w:name="_Toc31038"/>
      <w:r>
        <w:rPr>
          <w:rFonts w:hint="eastAsia" w:ascii="宋体" w:hAnsi="宋体" w:cs="宋体"/>
          <w:b/>
          <w:sz w:val="36"/>
          <w:szCs w:val="20"/>
          <w:highlight w:val="none"/>
        </w:rPr>
        <w:t>第二部分</w:t>
      </w:r>
      <w:bookmarkEnd w:id="11"/>
      <w:r>
        <w:rPr>
          <w:rFonts w:hint="eastAsia" w:ascii="宋体" w:hAnsi="宋体" w:cs="宋体"/>
          <w:b/>
          <w:sz w:val="36"/>
          <w:szCs w:val="20"/>
          <w:highlight w:val="none"/>
        </w:rPr>
        <w:t xml:space="preserve"> 投标人须知</w:t>
      </w:r>
      <w:bookmarkEnd w:id="12"/>
      <w:bookmarkEnd w:id="23"/>
      <w:bookmarkEnd w:id="24"/>
    </w:p>
    <w:p>
      <w:pPr>
        <w:adjustRightInd/>
        <w:spacing w:line="360" w:lineRule="auto"/>
        <w:ind w:firstLine="3999" w:firstLineChars="1897"/>
        <w:outlineLvl w:val="1"/>
        <w:rPr>
          <w:rFonts w:cs="宋体" w:asciiTheme="minorEastAsia" w:hAnsiTheme="minorEastAsia" w:eastAsiaTheme="minorEastAsia"/>
          <w:b/>
          <w:szCs w:val="21"/>
          <w:highlight w:val="none"/>
        </w:rPr>
      </w:pPr>
      <w:bookmarkStart w:id="25" w:name="_Toc17934"/>
      <w:r>
        <w:rPr>
          <w:rFonts w:hint="eastAsia" w:cs="宋体" w:asciiTheme="minorEastAsia" w:hAnsiTheme="minorEastAsia" w:eastAsiaTheme="minorEastAsia"/>
          <w:b/>
          <w:szCs w:val="21"/>
          <w:highlight w:val="none"/>
        </w:rPr>
        <w:t>前附表</w:t>
      </w:r>
      <w:bookmarkEnd w:id="25"/>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shd w:val="clear" w:color="auto" w:fill="auto"/>
            <w:vAlign w:val="center"/>
          </w:tcPr>
          <w:p>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序号</w:t>
            </w:r>
          </w:p>
        </w:tc>
        <w:tc>
          <w:tcPr>
            <w:tcW w:w="1701" w:type="dxa"/>
            <w:shd w:val="clear" w:color="auto" w:fill="auto"/>
            <w:vAlign w:val="center"/>
          </w:tcPr>
          <w:p>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事项</w:t>
            </w:r>
          </w:p>
        </w:tc>
        <w:tc>
          <w:tcPr>
            <w:tcW w:w="6379" w:type="dxa"/>
            <w:shd w:val="clear" w:color="auto" w:fill="auto"/>
            <w:vAlign w:val="center"/>
          </w:tcPr>
          <w:p>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p>
        </w:tc>
        <w:tc>
          <w:tcPr>
            <w:tcW w:w="1701" w:type="dxa"/>
            <w:shd w:val="clear" w:color="auto" w:fill="auto"/>
            <w:vAlign w:val="center"/>
          </w:tcPr>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项目属性</w:t>
            </w:r>
          </w:p>
        </w:tc>
        <w:tc>
          <w:tcPr>
            <w:tcW w:w="6379" w:type="dxa"/>
            <w:shd w:val="clear" w:color="auto" w:fill="auto"/>
            <w:vAlign w:val="center"/>
          </w:tcPr>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1701" w:type="dxa"/>
            <w:shd w:val="clear" w:color="auto" w:fill="auto"/>
            <w:vAlign w:val="center"/>
          </w:tcPr>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采购标的及其对应的中小企业划分标准所属行业</w:t>
            </w:r>
          </w:p>
        </w:tc>
        <w:tc>
          <w:tcPr>
            <w:tcW w:w="6379" w:type="dxa"/>
            <w:shd w:val="clear" w:color="auto" w:fill="auto"/>
            <w:vAlign w:val="center"/>
          </w:tcPr>
          <w:p>
            <w:pPr>
              <w:snapToGrid w:val="0"/>
              <w:spacing w:line="360" w:lineRule="auto"/>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b/>
                <w:bCs/>
                <w:kern w:val="0"/>
                <w:szCs w:val="21"/>
                <w:highlight w:val="none"/>
              </w:rPr>
              <w:t>标的：</w:t>
            </w:r>
            <w:r>
              <w:rPr>
                <w:rFonts w:hint="eastAsia" w:cs="宋体" w:asciiTheme="minorEastAsia" w:hAnsiTheme="minorEastAsia" w:eastAsiaTheme="minorEastAsia"/>
                <w:b/>
                <w:bCs/>
                <w:kern w:val="0"/>
                <w:szCs w:val="21"/>
                <w:highlight w:val="none"/>
                <w:u w:val="single"/>
              </w:rPr>
              <w:t>聚贤街道2024-2027年病媒生物防治社会化服务</w:t>
            </w:r>
            <w:r>
              <w:rPr>
                <w:rFonts w:hint="eastAsia" w:cs="宋体" w:asciiTheme="minorEastAsia" w:hAnsiTheme="minorEastAsia" w:eastAsiaTheme="minorEastAsia"/>
                <w:b/>
                <w:bCs/>
                <w:kern w:val="0"/>
                <w:szCs w:val="21"/>
                <w:highlight w:val="none"/>
              </w:rPr>
              <w:t>，属于</w:t>
            </w:r>
            <w:r>
              <w:rPr>
                <w:rFonts w:hint="eastAsia" w:cs="宋体" w:asciiTheme="minorEastAsia" w:hAnsiTheme="minorEastAsia" w:eastAsiaTheme="minorEastAsia"/>
                <w:b/>
                <w:bCs/>
                <w:kern w:val="0"/>
                <w:szCs w:val="21"/>
                <w:highlight w:val="none"/>
                <w:u w:val="single"/>
              </w:rPr>
              <w:t>其他未列明行业</w:t>
            </w:r>
            <w:r>
              <w:rPr>
                <w:rFonts w:hint="eastAsia" w:cs="宋体" w:asciiTheme="minorEastAsia" w:hAnsiTheme="minorEastAsia" w:eastAsiaTheme="minorEastAsia"/>
                <w:b/>
                <w:bCs/>
                <w:kern w:val="0"/>
                <w:szCs w:val="21"/>
                <w:highlight w:val="none"/>
              </w:rPr>
              <w:t>；</w:t>
            </w:r>
            <w:bookmarkStart w:id="26" w:name="_Toc15395"/>
          </w:p>
          <w:p>
            <w:pPr>
              <w:pStyle w:val="4"/>
              <w:ind w:left="0" w:firstLine="0"/>
              <w:rPr>
                <w:rFonts w:cs="宋体" w:asciiTheme="minorEastAsia" w:hAnsiTheme="minorEastAsia" w:eastAsiaTheme="minorEastAsia"/>
                <w:b w:val="0"/>
                <w:bCs w:val="0"/>
                <w:sz w:val="21"/>
                <w:szCs w:val="21"/>
                <w:highlight w:val="none"/>
                <w:lang w:val="en-US"/>
              </w:rPr>
            </w:pPr>
            <w:r>
              <w:rPr>
                <w:rFonts w:hint="eastAsia" w:cs="宋体" w:asciiTheme="minorEastAsia" w:hAnsiTheme="minorEastAsia" w:eastAsiaTheme="minorEastAsia"/>
                <w:b w:val="0"/>
                <w:bCs w:val="0"/>
                <w:sz w:val="21"/>
                <w:szCs w:val="21"/>
                <w:highlight w:val="none"/>
                <w:lang w:val="en-US"/>
              </w:rPr>
              <w:t>备注：《关于印发中小企业划型标准规定的通知》（工信</w:t>
            </w:r>
            <w:bookmarkEnd w:id="26"/>
            <w:bookmarkStart w:id="27" w:name="_Toc11782"/>
            <w:r>
              <w:rPr>
                <w:rFonts w:hint="eastAsia" w:cs="宋体" w:asciiTheme="minorEastAsia" w:hAnsiTheme="minorEastAsia" w:eastAsiaTheme="minorEastAsia"/>
                <w:b w:val="0"/>
                <w:bCs w:val="0"/>
                <w:sz w:val="21"/>
                <w:szCs w:val="21"/>
                <w:highlight w:val="none"/>
                <w:lang w:val="en-US"/>
              </w:rPr>
              <w:t>部联企业〔2011〕300）：</w:t>
            </w:r>
            <w:bookmarkEnd w:id="27"/>
            <w:bookmarkStart w:id="28" w:name="_Toc30940"/>
          </w:p>
          <w:bookmarkEnd w:id="28"/>
          <w:p>
            <w:pPr>
              <w:pStyle w:val="4"/>
              <w:ind w:left="0" w:firstLine="0"/>
              <w:rPr>
                <w:rFonts w:cs="宋体" w:asciiTheme="minorEastAsia" w:hAnsiTheme="minorEastAsia" w:eastAsiaTheme="minorEastAsia"/>
                <w:b w:val="0"/>
                <w:bCs w:val="0"/>
                <w:sz w:val="21"/>
                <w:szCs w:val="21"/>
                <w:highlight w:val="none"/>
                <w:lang w:val="en-US"/>
              </w:rPr>
            </w:pPr>
            <w:r>
              <w:rPr>
                <w:rFonts w:hint="eastAsia" w:cs="宋体" w:asciiTheme="minorEastAsia" w:hAnsiTheme="minorEastAsia" w:eastAsiaTheme="minorEastAsia"/>
                <w:b w:val="0"/>
                <w:bCs w:val="0"/>
                <w:sz w:val="21"/>
                <w:szCs w:val="21"/>
                <w:highlight w:val="none"/>
                <w:lang w:val="en-US"/>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1701" w:type="dxa"/>
            <w:shd w:val="clear" w:color="auto" w:fill="auto"/>
            <w:vAlign w:val="center"/>
          </w:tcPr>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是否允许采购进口产品</w:t>
            </w:r>
          </w:p>
        </w:tc>
        <w:tc>
          <w:tcPr>
            <w:tcW w:w="6379" w:type="dxa"/>
            <w:shd w:val="clear" w:color="auto" w:fill="auto"/>
            <w:vAlign w:val="center"/>
          </w:tcPr>
          <w:p>
            <w:pPr>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sym w:font="Wingdings" w:char="00FE"/>
            </w:r>
            <w:r>
              <w:rPr>
                <w:rFonts w:hint="eastAsia" w:cs="宋体" w:asciiTheme="minorEastAsia" w:hAnsiTheme="minorEastAsia" w:eastAsiaTheme="minorEastAsia"/>
                <w:kern w:val="0"/>
                <w:szCs w:val="21"/>
                <w:highlight w:val="none"/>
              </w:rPr>
              <w:t>本项目不允许采购进口产品。</w:t>
            </w:r>
          </w:p>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sym w:font="Wingdings" w:char="00A8"/>
            </w:r>
            <w:r>
              <w:rPr>
                <w:rFonts w:hint="eastAsia" w:cs="宋体" w:asciiTheme="minorEastAsia" w:hAnsiTheme="minorEastAsia" w:eastAsiaTheme="minorEastAsia"/>
                <w:kern w:val="0"/>
                <w:szCs w:val="21"/>
                <w:highlight w:val="none"/>
              </w:rPr>
              <w:t>可以就_____采购进口产品。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p>
        </w:tc>
        <w:tc>
          <w:tcPr>
            <w:tcW w:w="1701" w:type="dxa"/>
            <w:shd w:val="clear" w:color="auto" w:fill="auto"/>
            <w:vAlign w:val="center"/>
          </w:tcPr>
          <w:p>
            <w:pPr>
              <w:snapToGrid w:val="0"/>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分包</w:t>
            </w:r>
          </w:p>
        </w:tc>
        <w:tc>
          <w:tcPr>
            <w:tcW w:w="6379" w:type="dxa"/>
            <w:shd w:val="clear" w:color="auto" w:fill="auto"/>
            <w:vAlign w:val="center"/>
          </w:tcPr>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sym w:font="Wingdings" w:char="00A8"/>
            </w:r>
            <w:r>
              <w:rPr>
                <w:rFonts w:hint="eastAsia" w:cs="宋体" w:asciiTheme="minorEastAsia" w:hAnsiTheme="minorEastAsia" w:eastAsiaTheme="minorEastAsia"/>
                <w:kern w:val="0"/>
                <w:szCs w:val="21"/>
                <w:highlight w:val="none"/>
              </w:rPr>
              <w:t>A</w:t>
            </w:r>
            <w:r>
              <w:rPr>
                <w:rFonts w:hint="eastAsia" w:cs="宋体" w:asciiTheme="minorEastAsia" w:hAnsiTheme="minorEastAsia" w:eastAsiaTheme="minorEastAsia"/>
                <w:szCs w:val="21"/>
                <w:highlight w:val="none"/>
              </w:rPr>
              <w:t>同意将非主体、非关键性的工作分包。</w:t>
            </w:r>
          </w:p>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sym w:font="Wingdings" w:char="00FE"/>
            </w:r>
            <w:r>
              <w:rPr>
                <w:rFonts w:hint="eastAsia" w:cs="宋体" w:asciiTheme="minorEastAsia" w:hAnsiTheme="minorEastAsia" w:eastAsiaTheme="minorEastAsia"/>
                <w:kern w:val="0"/>
                <w:szCs w:val="21"/>
                <w:highlight w:val="none"/>
              </w:rPr>
              <w:t>B</w:t>
            </w:r>
            <w:r>
              <w:rPr>
                <w:rFonts w:hint="eastAsia" w:cs="宋体" w:asciiTheme="minorEastAsia" w:hAnsiTheme="minorEastAsia" w:eastAsiaTheme="minorEastAsia"/>
                <w:szCs w:val="21"/>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p>
        </w:tc>
        <w:tc>
          <w:tcPr>
            <w:tcW w:w="1701" w:type="dxa"/>
            <w:shd w:val="clear" w:color="auto" w:fill="auto"/>
            <w:vAlign w:val="center"/>
          </w:tcPr>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开标前答疑会或现场考察</w:t>
            </w:r>
          </w:p>
        </w:tc>
        <w:tc>
          <w:tcPr>
            <w:tcW w:w="6379" w:type="dxa"/>
            <w:shd w:val="clear" w:color="auto" w:fill="auto"/>
            <w:vAlign w:val="center"/>
          </w:tcPr>
          <w:p>
            <w:pPr>
              <w:spacing w:line="360" w:lineRule="auto"/>
              <w:rPr>
                <w:rFonts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cs="宋体" w:asciiTheme="minorEastAsia" w:hAnsiTheme="minorEastAsia" w:eastAsiaTheme="minorEastAsia"/>
                    <w:kern w:val="0"/>
                    <w:szCs w:val="21"/>
                    <w:highlight w:val="none"/>
                  </w:rPr>
                  <w:sym w:font="Wingdings" w:char="F0FE"/>
                </w:r>
              </w:sdtContent>
            </w:sdt>
            <w:r>
              <w:rPr>
                <w:rFonts w:hint="eastAsia" w:cs="宋体" w:asciiTheme="minorEastAsia" w:hAnsiTheme="minorEastAsia" w:eastAsiaTheme="minorEastAsia"/>
                <w:kern w:val="0"/>
                <w:szCs w:val="21"/>
                <w:highlight w:val="none"/>
              </w:rPr>
              <w:t>A</w:t>
            </w:r>
            <w:r>
              <w:rPr>
                <w:rFonts w:hint="eastAsia" w:cs="宋体" w:asciiTheme="minorEastAsia" w:hAnsiTheme="minorEastAsia" w:eastAsiaTheme="minorEastAsia"/>
                <w:szCs w:val="21"/>
                <w:highlight w:val="none"/>
              </w:rPr>
              <w:t>不组织。</w:t>
            </w:r>
          </w:p>
          <w:p>
            <w:pPr>
              <w:spacing w:line="360" w:lineRule="auto"/>
              <w:rPr>
                <w:rFonts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70344828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cs="Segoe UI Symbol" w:eastAsiaTheme="minorEastAsia"/>
                    <w:kern w:val="0"/>
                    <w:szCs w:val="21"/>
                    <w:highlight w:val="none"/>
                  </w:rPr>
                  <w:t>☐</w:t>
                </w:r>
              </w:sdtContent>
            </w:sdt>
            <w:r>
              <w:rPr>
                <w:rFonts w:hint="eastAsia" w:cs="宋体" w:asciiTheme="minorEastAsia" w:hAnsiTheme="minorEastAsia" w:eastAsiaTheme="minorEastAsia"/>
                <w:kern w:val="0"/>
                <w:szCs w:val="21"/>
                <w:highlight w:val="none"/>
              </w:rPr>
              <w:t>B组织，</w:t>
            </w:r>
            <w:r>
              <w:rPr>
                <w:rFonts w:hint="eastAsia" w:cs="宋体" w:asciiTheme="minorEastAsia" w:hAnsiTheme="minorEastAsia" w:eastAsiaTheme="minorEastAsia"/>
                <w:szCs w:val="21"/>
                <w:highlight w:val="none"/>
              </w:rPr>
              <w:t>时间：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,地点：</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，联系方式：</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w:t>
            </w:r>
          </w:p>
        </w:tc>
        <w:tc>
          <w:tcPr>
            <w:tcW w:w="1701" w:type="dxa"/>
            <w:shd w:val="clear" w:color="auto" w:fill="auto"/>
            <w:vAlign w:val="center"/>
          </w:tcPr>
          <w:p>
            <w:pPr>
              <w:jc w:val="center"/>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样品提供</w:t>
            </w:r>
          </w:p>
        </w:tc>
        <w:tc>
          <w:tcPr>
            <w:tcW w:w="6379" w:type="dxa"/>
            <w:shd w:val="clear" w:color="auto" w:fill="auto"/>
          </w:tcPr>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sym w:font="Wingdings" w:char="F0FE"/>
            </w:r>
            <w:r>
              <w:rPr>
                <w:rFonts w:hint="eastAsia" w:cs="宋体" w:asciiTheme="minorEastAsia" w:hAnsiTheme="minorEastAsia" w:eastAsiaTheme="minorEastAsia"/>
                <w:kern w:val="0"/>
                <w:szCs w:val="21"/>
                <w:highlight w:val="none"/>
              </w:rPr>
              <w:t>A</w:t>
            </w:r>
            <w:r>
              <w:rPr>
                <w:rFonts w:hint="eastAsia" w:cs="宋体" w:asciiTheme="minorEastAsia" w:hAnsiTheme="minorEastAsia" w:eastAsiaTheme="minorEastAsia"/>
                <w:szCs w:val="21"/>
                <w:highlight w:val="none"/>
              </w:rPr>
              <w:t>不要求提供。</w:t>
            </w:r>
          </w:p>
          <w:p>
            <w:pPr>
              <w:spacing w:line="360" w:lineRule="auto"/>
              <w:rPr>
                <w:rFonts w:cs="宋体" w:asciiTheme="minorEastAsia" w:hAnsiTheme="minorEastAsia" w:eastAsiaTheme="minorEastAsia"/>
                <w:kern w:val="0"/>
                <w:szCs w:val="21"/>
                <w:highlight w:val="none"/>
              </w:rPr>
            </w:pPr>
            <w:r>
              <w:rPr>
                <w:rFonts w:ascii="Segoe UI Symbol" w:hAnsi="Segoe UI Symbol" w:cs="Segoe UI Symbol" w:eastAsiaTheme="minorEastAsia"/>
                <w:kern w:val="0"/>
                <w:szCs w:val="21"/>
                <w:highlight w:val="none"/>
              </w:rPr>
              <w:t>☐</w:t>
            </w:r>
            <w:r>
              <w:rPr>
                <w:rFonts w:hint="eastAsia" w:cs="宋体" w:asciiTheme="minorEastAsia" w:hAnsiTheme="minorEastAsia" w:eastAsiaTheme="minorEastAsia"/>
                <w:kern w:val="0"/>
                <w:szCs w:val="21"/>
                <w:highlight w:val="none"/>
              </w:rPr>
              <w:t>B要求提供，</w:t>
            </w:r>
          </w:p>
          <w:p>
            <w:pPr>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w:t>
            </w:r>
            <w:r>
              <w:rPr>
                <w:rFonts w:hint="eastAsia" w:cs="宋体" w:asciiTheme="minorEastAsia" w:hAnsiTheme="minorEastAsia" w:eastAsiaTheme="minorEastAsia"/>
                <w:snapToGrid w:val="0"/>
                <w:kern w:val="28"/>
                <w:szCs w:val="21"/>
                <w:highlight w:val="none"/>
              </w:rPr>
              <w:t>样品：</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w:t>
            </w:r>
          </w:p>
          <w:p>
            <w:pPr>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w:t>
            </w:r>
            <w:r>
              <w:rPr>
                <w:rFonts w:hint="eastAsia" w:cs="宋体" w:asciiTheme="minorEastAsia" w:hAnsiTheme="minorEastAsia" w:eastAsiaTheme="minorEastAsia"/>
                <w:snapToGrid w:val="0"/>
                <w:kern w:val="28"/>
                <w:szCs w:val="21"/>
                <w:highlight w:val="none"/>
              </w:rPr>
              <w:t>样品制作的标准和要求：</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w:t>
            </w:r>
          </w:p>
          <w:p>
            <w:pPr>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（3）样品的评审方法以及评审标准</w:t>
            </w:r>
            <w:r>
              <w:rPr>
                <w:rFonts w:hint="eastAsia" w:cs="宋体" w:asciiTheme="minorEastAsia" w:hAnsiTheme="minorEastAsia" w:eastAsiaTheme="minorEastAsia"/>
                <w:snapToGrid w:val="0"/>
                <w:kern w:val="28"/>
                <w:szCs w:val="21"/>
                <w:highlight w:val="none"/>
              </w:rPr>
              <w:t>：详见</w:t>
            </w:r>
            <w:r>
              <w:rPr>
                <w:rFonts w:hint="eastAsia" w:cs="宋体" w:asciiTheme="minorEastAsia" w:hAnsiTheme="minorEastAsia" w:eastAsiaTheme="minorEastAsia"/>
                <w:szCs w:val="21"/>
                <w:highlight w:val="none"/>
                <w:u w:val="single"/>
              </w:rPr>
              <w:t>评标办法</w:t>
            </w:r>
            <w:r>
              <w:rPr>
                <w:rFonts w:hint="eastAsia" w:cs="宋体" w:asciiTheme="minorEastAsia" w:hAnsiTheme="minorEastAsia" w:eastAsiaTheme="minorEastAsia"/>
                <w:kern w:val="0"/>
                <w:szCs w:val="21"/>
                <w:highlight w:val="none"/>
              </w:rPr>
              <w:t>；</w:t>
            </w:r>
          </w:p>
          <w:p>
            <w:pPr>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（4）是否需要随样品提交检测报告：</w:t>
            </w:r>
            <w:r>
              <w:rPr>
                <w:rFonts w:ascii="Segoe UI Symbol" w:hAnsi="Segoe UI Symbol" w:cs="Segoe UI Symbol" w:eastAsiaTheme="minorEastAsia"/>
                <w:kern w:val="0"/>
                <w:szCs w:val="21"/>
                <w:highlight w:val="none"/>
              </w:rPr>
              <w:t>☐</w:t>
            </w:r>
            <w:r>
              <w:rPr>
                <w:rFonts w:hint="eastAsia" w:cs="宋体" w:asciiTheme="minorEastAsia" w:hAnsiTheme="minorEastAsia" w:eastAsiaTheme="minorEastAsia"/>
                <w:kern w:val="0"/>
                <w:szCs w:val="21"/>
                <w:highlight w:val="none"/>
              </w:rPr>
              <w:t>否；</w:t>
            </w:r>
            <w:r>
              <w:rPr>
                <w:rFonts w:ascii="Segoe UI Symbol" w:hAnsi="Segoe UI Symbol" w:cs="Segoe UI Symbol" w:eastAsiaTheme="minorEastAsia"/>
                <w:kern w:val="0"/>
                <w:szCs w:val="21"/>
                <w:highlight w:val="none"/>
              </w:rPr>
              <w:t>☐</w:t>
            </w:r>
            <w:r>
              <w:rPr>
                <w:rFonts w:hint="eastAsia" w:cs="宋体" w:asciiTheme="minorEastAsia" w:hAnsiTheme="minorEastAsia" w:eastAsiaTheme="minorEastAsia"/>
                <w:kern w:val="0"/>
                <w:szCs w:val="21"/>
                <w:highlight w:val="none"/>
              </w:rPr>
              <w:t>是，检测机构的要求</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；检测内容</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w:t>
            </w:r>
          </w:p>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（5）提供样品的时间：</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；地点：</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kern w:val="0"/>
                <w:szCs w:val="21"/>
                <w:highlight w:val="none"/>
              </w:rPr>
              <w:t>；联系人</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kern w:val="28"/>
                <w:szCs w:val="21"/>
                <w:highlight w:val="none"/>
              </w:rPr>
              <w:t>联系电话：</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。请投标人在上述时间内提供样品并按规定位置安装完毕。超过截止时间的，采购人或采购代理机构将不予接收，并将清场并封闭样品现场。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jc w:val="lef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w:t>
            </w:r>
          </w:p>
        </w:tc>
        <w:tc>
          <w:tcPr>
            <w:tcW w:w="1701" w:type="dxa"/>
            <w:shd w:val="clear" w:color="auto" w:fill="auto"/>
            <w:vAlign w:val="center"/>
          </w:tcPr>
          <w:p>
            <w:pPr>
              <w:jc w:val="center"/>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方案讲解演示</w:t>
            </w:r>
          </w:p>
        </w:tc>
        <w:tc>
          <w:tcPr>
            <w:tcW w:w="6379" w:type="dxa"/>
            <w:shd w:val="clear" w:color="auto" w:fill="auto"/>
            <w:vAlign w:val="center"/>
          </w:tcPr>
          <w:p>
            <w:pPr>
              <w:spacing w:line="360" w:lineRule="auto"/>
              <w:rPr>
                <w:rFonts w:cs="宋体" w:asciiTheme="minorEastAsia" w:hAnsiTheme="minorEastAsia" w:eastAsiaTheme="minorEastAsia"/>
                <w:szCs w:val="21"/>
                <w:highlight w:val="none"/>
              </w:rPr>
            </w:pPr>
            <w:sdt>
              <w:sdtPr>
                <w:rPr>
                  <w:rFonts w:hint="eastAsia" w:cs="宋体" w:asciiTheme="minorEastAsia" w:hAnsiTheme="minorEastAsia" w:eastAsiaTheme="minorEastAsia"/>
                  <w:kern w:val="0"/>
                  <w:szCs w:val="21"/>
                  <w:highlight w:val="none"/>
                </w:rPr>
                <w:id w:val="-113147250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cs="宋体" w:asciiTheme="minorEastAsia" w:hAnsiTheme="minorEastAsia" w:eastAsiaTheme="minorEastAsia"/>
                    <w:kern w:val="0"/>
                    <w:szCs w:val="21"/>
                    <w:highlight w:val="none"/>
                  </w:rPr>
                  <w:sym w:font="Wingdings" w:char="F0FE"/>
                </w:r>
              </w:sdtContent>
            </w:sdt>
            <w:r>
              <w:rPr>
                <w:rFonts w:hint="eastAsia" w:cs="宋体" w:asciiTheme="minorEastAsia" w:hAnsiTheme="minorEastAsia" w:eastAsiaTheme="minorEastAsia"/>
                <w:kern w:val="0"/>
                <w:szCs w:val="21"/>
                <w:highlight w:val="none"/>
              </w:rPr>
              <w:t>A</w:t>
            </w:r>
            <w:r>
              <w:rPr>
                <w:rFonts w:hint="eastAsia" w:cs="宋体" w:asciiTheme="minorEastAsia" w:hAnsiTheme="minorEastAsia" w:eastAsiaTheme="minorEastAsia"/>
                <w:szCs w:val="21"/>
                <w:highlight w:val="none"/>
              </w:rPr>
              <w:t>不组织。</w:t>
            </w:r>
          </w:p>
          <w:p>
            <w:pPr>
              <w:spacing w:line="360" w:lineRule="auto"/>
              <w:rPr>
                <w:rFonts w:cs="宋体" w:asciiTheme="minorEastAsia" w:hAnsiTheme="minorEastAsia" w:eastAsiaTheme="minorEastAsia"/>
                <w:kern w:val="0"/>
                <w:szCs w:val="21"/>
                <w:highlight w:val="none"/>
              </w:rPr>
            </w:pPr>
            <w:sdt>
              <w:sdtPr>
                <w:rPr>
                  <w:rFonts w:hint="eastAsia" w:cs="宋体" w:asciiTheme="minorEastAsia" w:hAnsiTheme="minorEastAsia" w:eastAsiaTheme="minorEastAsia"/>
                  <w:kern w:val="0"/>
                  <w:szCs w:val="21"/>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cs="Segoe UI Symbol" w:eastAsiaTheme="minorEastAsia"/>
                    <w:kern w:val="0"/>
                    <w:szCs w:val="21"/>
                    <w:highlight w:val="none"/>
                  </w:rPr>
                  <w:t>☐</w:t>
                </w:r>
              </w:sdtContent>
            </w:sdt>
            <w:r>
              <w:rPr>
                <w:rFonts w:hint="eastAsia" w:cs="宋体" w:asciiTheme="minorEastAsia" w:hAnsiTheme="minorEastAsia" w:eastAsiaTheme="minorEastAsia"/>
                <w:kern w:val="0"/>
                <w:szCs w:val="21"/>
                <w:highlight w:val="none"/>
              </w:rPr>
              <w:t>B组织。</w:t>
            </w:r>
          </w:p>
          <w:p>
            <w:pPr>
              <w:snapToGrid w:val="0"/>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（1）在评标时安排每个投标人进行方案讲解演示。每个投标人时间不超过</w:t>
            </w:r>
            <w:r>
              <w:rPr>
                <w:rFonts w:cs="宋体" w:asciiTheme="minorEastAsia" w:hAnsiTheme="minorEastAsia" w:eastAsiaTheme="minorEastAsia"/>
                <w:kern w:val="0"/>
                <w:szCs w:val="21"/>
                <w:highlight w:val="none"/>
                <w:u w:val="single"/>
              </w:rPr>
              <w:t>/</w:t>
            </w:r>
            <w:r>
              <w:rPr>
                <w:rFonts w:hint="eastAsia" w:cs="宋体" w:asciiTheme="minorEastAsia" w:hAnsiTheme="minorEastAsia" w:eastAsiaTheme="minorEastAsia"/>
                <w:kern w:val="0"/>
                <w:szCs w:val="21"/>
                <w:highlight w:val="none"/>
              </w:rPr>
              <w:t>分钟，讲解次序以投标文件解密时间先后次序为准，讲解演示人员不超过</w:t>
            </w:r>
            <w:r>
              <w:rPr>
                <w:rFonts w:cs="宋体" w:asciiTheme="minorEastAsia" w:hAnsiTheme="minorEastAsia" w:eastAsiaTheme="minorEastAsia"/>
                <w:kern w:val="0"/>
                <w:szCs w:val="21"/>
                <w:highlight w:val="none"/>
                <w:u w:val="single"/>
              </w:rPr>
              <w:t>/</w:t>
            </w:r>
            <w:r>
              <w:rPr>
                <w:rFonts w:hint="eastAsia" w:cs="宋体" w:asciiTheme="minorEastAsia" w:hAnsiTheme="minorEastAsia" w:eastAsiaTheme="minorEastAsia"/>
                <w:kern w:val="0"/>
                <w:szCs w:val="21"/>
                <w:highlight w:val="none"/>
              </w:rPr>
              <w:t>人。讲解演示结束后按要求解答评标委员会提问。</w:t>
            </w:r>
          </w:p>
          <w:p>
            <w:pPr>
              <w:snapToGrid w:val="0"/>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（2）方案讲解演示方式：</w:t>
            </w:r>
          </w:p>
          <w:p>
            <w:pPr>
              <w:snapToGrid w:val="0"/>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评标现场讲解演示。现场讲解地点为</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u w:val="single"/>
              </w:rPr>
              <w:t xml:space="preserve">  /    </w:t>
            </w:r>
            <w:r>
              <w:rPr>
                <w:rFonts w:hint="eastAsia" w:cs="宋体" w:asciiTheme="minorEastAsia" w:hAnsiTheme="minorEastAsia" w:eastAsiaTheme="minorEastAsia"/>
                <w:kern w:val="0"/>
                <w:szCs w:val="21"/>
                <w:highlight w:val="none"/>
              </w:rPr>
              <w:t>，讲解演示所用电脑等设备由投标人自备。</w:t>
            </w:r>
            <w:r>
              <w:rPr>
                <w:rFonts w:hint="eastAsia" w:cs="宋体" w:asciiTheme="minorEastAsia" w:hAnsiTheme="minorEastAsia" w:eastAsiaTheme="minorEastAsia"/>
                <w:b/>
                <w:bCs/>
                <w:kern w:val="0"/>
                <w:szCs w:val="21"/>
                <w:highlight w:val="none"/>
              </w:rPr>
              <w:t>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w:t>
            </w:r>
          </w:p>
        </w:tc>
        <w:tc>
          <w:tcPr>
            <w:tcW w:w="1701" w:type="dxa"/>
            <w:shd w:val="clear" w:color="auto" w:fill="auto"/>
            <w:vAlign w:val="center"/>
          </w:tcPr>
          <w:p>
            <w:pPr>
              <w:jc w:val="center"/>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投标人应当提供的资格、资信证明文件</w:t>
            </w:r>
          </w:p>
        </w:tc>
        <w:tc>
          <w:tcPr>
            <w:tcW w:w="6379" w:type="dxa"/>
            <w:shd w:val="clear" w:color="auto" w:fill="auto"/>
          </w:tcPr>
          <w:p>
            <w:pPr>
              <w:snapToGrid w:val="0"/>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（1）资格证明文件：见招标文件第二部分11.1。</w:t>
            </w:r>
          </w:p>
          <w:p>
            <w:pPr>
              <w:snapToGrid w:val="0"/>
              <w:spacing w:line="360" w:lineRule="auto"/>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投标人未提供有效的资格证明文件的，视为投标人不具备招标文件中规定的资格要求，投标无效。</w:t>
            </w:r>
          </w:p>
          <w:p>
            <w:pPr>
              <w:snapToGrid w:val="0"/>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9</w:t>
            </w:r>
          </w:p>
        </w:tc>
        <w:tc>
          <w:tcPr>
            <w:tcW w:w="1701" w:type="dxa"/>
            <w:shd w:val="clear" w:color="auto" w:fill="auto"/>
            <w:vAlign w:val="center"/>
          </w:tcPr>
          <w:p>
            <w:pPr>
              <w:jc w:val="center"/>
              <w:rPr>
                <w:rFonts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报价要求</w:t>
            </w:r>
          </w:p>
        </w:tc>
        <w:tc>
          <w:tcPr>
            <w:tcW w:w="6379" w:type="dxa"/>
            <w:shd w:val="clear" w:color="auto" w:fill="auto"/>
            <w:vAlign w:val="center"/>
          </w:tcPr>
          <w:p>
            <w:pPr>
              <w:snapToGrid w:val="0"/>
              <w:spacing w:line="360" w:lineRule="auto"/>
              <w:jc w:val="left"/>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1、有关本项目实施所需的所有费用（含税费）均计入报价。</w:t>
            </w:r>
          </w:p>
          <w:p>
            <w:pPr>
              <w:snapToGrid w:val="0"/>
              <w:spacing w:line="360" w:lineRule="auto"/>
              <w:jc w:val="left"/>
              <w:rPr>
                <w:rFonts w:cs="宋体" w:asciiTheme="minorEastAsia" w:hAnsiTheme="minorEastAsia" w:eastAsiaTheme="minorEastAsia"/>
                <w:b/>
                <w:bCs/>
                <w:szCs w:val="21"/>
                <w:highlight w:val="none"/>
              </w:rPr>
            </w:pPr>
            <w:r>
              <w:rPr>
                <w:rFonts w:hint="eastAsia" w:cs="宋体" w:asciiTheme="minorEastAsia" w:hAnsiTheme="minorEastAsia" w:eastAsiaTheme="minorEastAsia"/>
                <w:kern w:val="0"/>
                <w:szCs w:val="21"/>
                <w:highlight w:val="none"/>
                <w:lang w:val="zh-CN"/>
              </w:rPr>
              <w:t>2、</w:t>
            </w:r>
            <w:r>
              <w:rPr>
                <w:rFonts w:hint="eastAsia" w:cs="宋体" w:asciiTheme="minorEastAsia" w:hAnsiTheme="minorEastAsia" w:eastAsiaTheme="minorEastAsia"/>
                <w:b/>
                <w:bCs/>
                <w:kern w:val="0"/>
                <w:szCs w:val="21"/>
                <w:highlight w:val="none"/>
                <w:lang w:val="zh-CN"/>
              </w:rPr>
              <w:t>投标文件</w:t>
            </w:r>
            <w:r>
              <w:rPr>
                <w:rFonts w:hint="eastAsia" w:cs="宋体" w:asciiTheme="minorEastAsia" w:hAnsiTheme="minorEastAsia" w:eastAsiaTheme="minorEastAsia"/>
                <w:b/>
                <w:bCs/>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Cs w:val="21"/>
                <w:highlight w:val="none"/>
                <w:lang w:val="zh-CN"/>
              </w:rPr>
              <w:t>投标文件中价格全部采用人民币报价。招标文件未列明，而投标人认为必需的费用也需列入报价。</w:t>
            </w:r>
          </w:p>
          <w:p>
            <w:pPr>
              <w:tabs>
                <w:tab w:val="left" w:pos="647"/>
              </w:tabs>
              <w:spacing w:line="360" w:lineRule="auto"/>
              <w:rPr>
                <w:rFonts w:cs="宋体" w:asciiTheme="minorEastAsia" w:hAnsiTheme="minorEastAsia" w:eastAsiaTheme="minorEastAsia"/>
                <w:b/>
                <w:bCs/>
                <w:szCs w:val="21"/>
                <w:highlight w:val="none"/>
              </w:rPr>
            </w:pPr>
            <w:r>
              <w:rPr>
                <w:rFonts w:hint="eastAsia" w:cs="宋体" w:asciiTheme="minorEastAsia" w:hAnsiTheme="minorEastAsia" w:eastAsiaTheme="minorEastAsia"/>
                <w:szCs w:val="21"/>
                <w:highlight w:val="none"/>
              </w:rPr>
              <w:t>3、本项目投标报价是履行合同的最终价格，</w:t>
            </w:r>
            <w:r>
              <w:rPr>
                <w:rFonts w:hint="eastAsia" w:ascii="宋体" w:hAnsi="宋体"/>
                <w:szCs w:val="21"/>
                <w:highlight w:val="none"/>
              </w:rPr>
              <w:t>包含完成年度除四害防治服务所需的全部费用，应包含但不限于服务人员工资[包括人员基本工资、节假日加班工资、奖金、各类福利补贴(如高温补贴、加班补贴、夜班补贴、危险作业补贴等)、国家规定的社保(五险一金等)、人身意外伤害险、辞退补偿费用、日常加班费用等]；工作服、设备及作业工具费、消杀药剂费、防疫费、交通费及住宿费、健康体检费、保险费、管理费、人员培训费、税金(含增值税等一切税费)、利润、风险费等所有费用。</w:t>
            </w:r>
          </w:p>
          <w:p>
            <w:pPr>
              <w:snapToGrid w:val="0"/>
              <w:spacing w:line="360" w:lineRule="auto"/>
              <w:jc w:val="left"/>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4、最高限价：</w:t>
            </w:r>
            <w:bookmarkStart w:id="29" w:name="_Hlk149832601"/>
            <w:bookmarkStart w:id="30" w:name="_Hlk149653888"/>
            <w:r>
              <w:rPr>
                <w:rFonts w:hint="eastAsia" w:ascii="宋体" w:hAnsi="宋体" w:cs="宋体"/>
                <w:kern w:val="1"/>
                <w:szCs w:val="21"/>
                <w:highlight w:val="none"/>
              </w:rPr>
              <w:t>410000元/年</w:t>
            </w:r>
            <w:bookmarkEnd w:id="29"/>
            <w:r>
              <w:rPr>
                <w:rFonts w:hint="eastAsia" w:ascii="宋体" w:hAnsi="宋体" w:cs="宋体"/>
                <w:kern w:val="1"/>
                <w:szCs w:val="21"/>
                <w:highlight w:val="none"/>
              </w:rPr>
              <w:t>，</w:t>
            </w:r>
            <w:r>
              <w:rPr>
                <w:rFonts w:hint="eastAsia" w:cs="宋体" w:asciiTheme="minorEastAsia" w:hAnsiTheme="minorEastAsia" w:eastAsiaTheme="minorEastAsia"/>
                <w:b/>
                <w:kern w:val="0"/>
                <w:szCs w:val="21"/>
                <w:highlight w:val="none"/>
              </w:rPr>
              <w:t>投标报价超过最高限价的作无效标处理。</w:t>
            </w:r>
          </w:p>
          <w:bookmarkEnd w:id="30"/>
          <w:p>
            <w:pPr>
              <w:snapToGrid w:val="0"/>
              <w:spacing w:line="360" w:lineRule="auto"/>
              <w:jc w:val="left"/>
              <w:rPr>
                <w:rFonts w:cs="宋体" w:asciiTheme="minorEastAsia" w:hAnsiTheme="minorEastAsia" w:eastAsiaTheme="minorEastAsia"/>
                <w:bCs/>
                <w:kern w:val="0"/>
                <w:szCs w:val="21"/>
                <w:highlight w:val="none"/>
                <w:lang w:val="zh-CN"/>
              </w:rPr>
            </w:pPr>
            <w:r>
              <w:rPr>
                <w:rFonts w:hint="eastAsia" w:cs="宋体" w:asciiTheme="minorEastAsia" w:hAnsiTheme="minorEastAsia" w:eastAsiaTheme="minorEastAsia"/>
                <w:bCs/>
                <w:kern w:val="0"/>
                <w:szCs w:val="21"/>
                <w:highlight w:val="none"/>
                <w:lang w:val="zh-CN"/>
              </w:rPr>
              <w:t>5、投标报价出现下列情形的，投标无效：</w:t>
            </w:r>
          </w:p>
          <w:p>
            <w:pPr>
              <w:snapToGrid w:val="0"/>
              <w:spacing w:line="360" w:lineRule="auto"/>
              <w:jc w:val="left"/>
              <w:rPr>
                <w:rFonts w:cs="宋体" w:asciiTheme="minorEastAsia" w:hAnsiTheme="minorEastAsia" w:eastAsiaTheme="minorEastAsia"/>
                <w:bCs/>
                <w:kern w:val="0"/>
                <w:szCs w:val="21"/>
                <w:highlight w:val="none"/>
                <w:lang w:val="zh-CN"/>
              </w:rPr>
            </w:pPr>
            <w:r>
              <w:rPr>
                <w:rFonts w:hint="eastAsia" w:cs="宋体" w:asciiTheme="minorEastAsia" w:hAnsiTheme="minorEastAsia" w:eastAsiaTheme="minorEastAsia"/>
                <w:bCs/>
                <w:kern w:val="0"/>
                <w:szCs w:val="21"/>
                <w:highlight w:val="none"/>
                <w:lang w:val="zh-CN"/>
              </w:rPr>
              <w:t>（1）投标文件出现不是唯一的、有选择性投标报价的；</w:t>
            </w:r>
          </w:p>
          <w:p>
            <w:pPr>
              <w:snapToGrid w:val="0"/>
              <w:spacing w:line="360" w:lineRule="auto"/>
              <w:jc w:val="left"/>
              <w:rPr>
                <w:rFonts w:cs="宋体" w:asciiTheme="minorEastAsia" w:hAnsiTheme="minorEastAsia" w:eastAsiaTheme="minorEastAsia"/>
                <w:bCs/>
                <w:kern w:val="0"/>
                <w:szCs w:val="21"/>
                <w:highlight w:val="none"/>
                <w:lang w:val="zh-CN"/>
              </w:rPr>
            </w:pPr>
            <w:r>
              <w:rPr>
                <w:rFonts w:hint="eastAsia" w:cs="宋体" w:asciiTheme="minorEastAsia" w:hAnsiTheme="minorEastAsia" w:eastAsiaTheme="minorEastAsia"/>
                <w:bCs/>
                <w:kern w:val="0"/>
                <w:szCs w:val="21"/>
                <w:highlight w:val="none"/>
                <w:lang w:val="zh-CN"/>
              </w:rPr>
              <w:t>（2）投标报价超过招标文件中规定的预算金额或者最高限价的；</w:t>
            </w:r>
          </w:p>
          <w:p>
            <w:pPr>
              <w:spacing w:line="360" w:lineRule="auto"/>
              <w:rPr>
                <w:rFonts w:cs="宋体" w:asciiTheme="minorEastAsia" w:hAnsiTheme="minorEastAsia" w:eastAsiaTheme="minorEastAsia"/>
                <w:bCs/>
                <w:szCs w:val="21"/>
                <w:highlight w:val="none"/>
              </w:rPr>
            </w:pPr>
            <w:r>
              <w:rPr>
                <w:rFonts w:hint="eastAsia" w:cs="宋体" w:asciiTheme="minorEastAsia" w:hAnsiTheme="minorEastAsia" w:eastAsiaTheme="minorEastAsia"/>
                <w:bCs/>
                <w:kern w:val="0"/>
                <w:szCs w:val="21"/>
                <w:highlight w:val="none"/>
              </w:rPr>
              <w:t>（3）报价明显低于其他通过符合性审查投标人的报价，有可能影响产品质量或者不能诚信履约的，未能按要求提供书面说明或者提交相关证明材料证明其报价合理性的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Cs/>
                <w:szCs w:val="21"/>
                <w:highlight w:val="none"/>
              </w:rPr>
              <w:t>；</w:t>
            </w:r>
          </w:p>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bCs/>
                <w:kern w:val="0"/>
                <w:szCs w:val="21"/>
                <w:highlight w:val="none"/>
              </w:rPr>
              <w:t>（4）投标人对根据修正原则修正后的报价不确认的</w:t>
            </w:r>
            <w:r>
              <w:rPr>
                <w:rFonts w:hint="eastAsia" w:cs="宋体" w:asciiTheme="minorEastAsia" w:hAnsiTheme="minorEastAsia" w:eastAsiaTheme="minorEastAsia"/>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0</w:t>
            </w:r>
          </w:p>
        </w:tc>
        <w:tc>
          <w:tcPr>
            <w:tcW w:w="1701" w:type="dxa"/>
            <w:shd w:val="clear" w:color="auto" w:fill="auto"/>
            <w:vAlign w:val="center"/>
          </w:tcPr>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中小企业信用融资</w:t>
            </w:r>
          </w:p>
        </w:tc>
        <w:tc>
          <w:tcPr>
            <w:tcW w:w="6379" w:type="dxa"/>
            <w:shd w:val="clear" w:color="auto" w:fill="auto"/>
            <w:vAlign w:val="center"/>
          </w:tcPr>
          <w:p>
            <w:pPr>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napToGrid w:val="0"/>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1</w:t>
            </w:r>
          </w:p>
        </w:tc>
        <w:tc>
          <w:tcPr>
            <w:tcW w:w="1701" w:type="dxa"/>
            <w:shd w:val="clear" w:color="auto" w:fill="auto"/>
            <w:vAlign w:val="center"/>
          </w:tcPr>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 xml:space="preserve">备份投标文件送达地点和签收人员 </w:t>
            </w:r>
          </w:p>
        </w:tc>
        <w:tc>
          <w:tcPr>
            <w:tcW w:w="6379" w:type="dxa"/>
            <w:shd w:val="clear" w:color="auto" w:fill="auto"/>
            <w:vAlign w:val="center"/>
          </w:tcPr>
          <w:p>
            <w:pPr>
              <w:spacing w:line="360" w:lineRule="auto"/>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（1）供应商如提供备份投标文件的，可采用邮寄方式或直接提交方式递交备份投标文件，供应商需将以U盘存储的备份投标文件密封递交，逾期送达或未密封将予以拒收。</w:t>
            </w:r>
          </w:p>
          <w:p>
            <w:pPr>
              <w:spacing w:line="360" w:lineRule="auto"/>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（2）采用邮寄方式递交备份投标文件，需按以下要求递交：</w:t>
            </w:r>
          </w:p>
          <w:p>
            <w:pPr>
              <w:spacing w:line="360" w:lineRule="auto"/>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供应商应在开标前一日17:00（含）前将备份投标文件邮寄至规定地点，邮寄地址为：</w:t>
            </w:r>
            <w:r>
              <w:rPr>
                <w:rFonts w:hint="eastAsia" w:cs="宋体" w:asciiTheme="minorEastAsia" w:hAnsiTheme="minorEastAsia" w:eastAsiaTheme="minorEastAsia"/>
                <w:b/>
                <w:bCs/>
                <w:snapToGrid w:val="0"/>
                <w:kern w:val="28"/>
                <w:szCs w:val="21"/>
                <w:highlight w:val="none"/>
                <w:u w:val="single"/>
              </w:rPr>
              <w:t>宁波市高新区江南路1108号皇冠大厦17楼代理部</w:t>
            </w:r>
            <w:r>
              <w:rPr>
                <w:rFonts w:hint="eastAsia" w:cs="宋体" w:asciiTheme="minorEastAsia" w:hAnsiTheme="minorEastAsia" w:eastAsiaTheme="minorEastAsia"/>
                <w:snapToGrid w:val="0"/>
                <w:kern w:val="28"/>
                <w:szCs w:val="21"/>
                <w:highlight w:val="none"/>
              </w:rPr>
              <w:t>，收件人：</w:t>
            </w:r>
            <w:r>
              <w:rPr>
                <w:rFonts w:hint="eastAsia" w:cs="宋体" w:asciiTheme="minorEastAsia" w:hAnsiTheme="minorEastAsia" w:eastAsiaTheme="minorEastAsia"/>
                <w:b/>
                <w:bCs/>
                <w:snapToGrid w:val="0"/>
                <w:kern w:val="28"/>
                <w:szCs w:val="21"/>
                <w:highlight w:val="none"/>
                <w:u w:val="single"/>
              </w:rPr>
              <w:t>黄工</w:t>
            </w:r>
            <w:r>
              <w:rPr>
                <w:rFonts w:hint="eastAsia" w:cs="宋体" w:asciiTheme="minorEastAsia" w:hAnsiTheme="minorEastAsia" w:eastAsiaTheme="minorEastAsia"/>
                <w:snapToGrid w:val="0"/>
                <w:kern w:val="28"/>
                <w:szCs w:val="21"/>
                <w:highlight w:val="none"/>
              </w:rPr>
              <w:t>，联系方式：</w:t>
            </w:r>
            <w:r>
              <w:rPr>
                <w:rFonts w:hint="eastAsia" w:cs="宋体" w:asciiTheme="minorEastAsia" w:hAnsiTheme="minorEastAsia" w:eastAsiaTheme="minorEastAsia"/>
                <w:b/>
                <w:bCs/>
                <w:snapToGrid w:val="0"/>
                <w:kern w:val="28"/>
                <w:szCs w:val="21"/>
                <w:highlight w:val="none"/>
                <w:u w:val="single"/>
              </w:rPr>
              <w:t>18658229595</w:t>
            </w:r>
            <w:r>
              <w:rPr>
                <w:rFonts w:hint="eastAsia" w:cs="宋体" w:asciiTheme="minorEastAsia" w:hAnsiTheme="minorEastAsia" w:eastAsiaTheme="minorEastAsia"/>
                <w:snapToGrid w:val="0"/>
                <w:kern w:val="28"/>
                <w:szCs w:val="21"/>
                <w:highlight w:val="none"/>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line="360" w:lineRule="auto"/>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（3）采用直接提交方式送达备份投标文件，需按以下要求递交：在投标截止时间前将备份投标文件送至</w:t>
            </w:r>
            <w:r>
              <w:rPr>
                <w:rFonts w:hint="eastAsia" w:cs="宋体" w:asciiTheme="minorEastAsia" w:hAnsiTheme="minorEastAsia" w:eastAsiaTheme="minorEastAsia"/>
                <w:b/>
                <w:bCs/>
                <w:szCs w:val="21"/>
                <w:highlight w:val="none"/>
                <w:u w:val="single"/>
              </w:rPr>
              <w:t>宁波市高新区广贤路997号南楼3楼开标室（具体场所安排见电子屏幕）</w:t>
            </w:r>
            <w:r>
              <w:rPr>
                <w:rFonts w:hint="eastAsia" w:cs="宋体" w:asciiTheme="minorEastAsia" w:hAnsiTheme="minorEastAsia" w:eastAsiaTheme="minorEastAsia"/>
                <w:b/>
                <w:bCs/>
                <w:snapToGrid w:val="0"/>
                <w:kern w:val="28"/>
                <w:szCs w:val="21"/>
                <w:highlight w:val="none"/>
                <w:u w:val="single"/>
              </w:rPr>
              <w:t>。</w:t>
            </w:r>
            <w:r>
              <w:rPr>
                <w:rFonts w:hint="eastAsia" w:cs="宋体" w:asciiTheme="minorEastAsia" w:hAnsiTheme="minorEastAsia" w:eastAsiaTheme="minorEastAsia"/>
                <w:snapToGrid w:val="0"/>
                <w:kern w:val="28"/>
                <w:szCs w:val="21"/>
                <w:highlight w:val="none"/>
              </w:rPr>
              <w:t xml:space="preserve">       </w:t>
            </w:r>
          </w:p>
          <w:p>
            <w:pPr>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b/>
                <w:bCs/>
                <w:snapToGrid w:val="0"/>
                <w:kern w:val="28"/>
                <w:szCs w:val="21"/>
                <w:highlight w:val="none"/>
              </w:rPr>
              <w:t>采购人、采购代理机构不强制投标人提交备份投标文件。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2</w:t>
            </w:r>
          </w:p>
        </w:tc>
        <w:tc>
          <w:tcPr>
            <w:tcW w:w="1701" w:type="dxa"/>
            <w:shd w:val="clear" w:color="auto" w:fill="auto"/>
            <w:vAlign w:val="center"/>
          </w:tcPr>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采购代理服</w:t>
            </w:r>
          </w:p>
          <w:p>
            <w:pPr>
              <w:snapToGrid w:val="0"/>
              <w:spacing w:line="360" w:lineRule="auto"/>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务费</w:t>
            </w:r>
          </w:p>
        </w:tc>
        <w:tc>
          <w:tcPr>
            <w:tcW w:w="6379" w:type="dxa"/>
            <w:shd w:val="clear" w:color="auto" w:fill="auto"/>
            <w:vAlign w:val="center"/>
          </w:tcPr>
          <w:p>
            <w:pPr>
              <w:spacing w:line="360" w:lineRule="auto"/>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采购代理服务费用收取标准：按照宁波市中介超市网就本项目中选价格</w:t>
            </w:r>
            <w:r>
              <w:rPr>
                <w:rFonts w:hint="eastAsia" w:cs="宋体" w:asciiTheme="minorEastAsia" w:hAnsiTheme="minorEastAsia" w:eastAsiaTheme="minorEastAsia"/>
                <w:snapToGrid w:val="0"/>
                <w:kern w:val="28"/>
                <w:szCs w:val="21"/>
                <w:highlight w:val="none"/>
                <w:lang w:eastAsia="zh-CN"/>
              </w:rPr>
              <w:t>（</w:t>
            </w:r>
            <w:r>
              <w:rPr>
                <w:rFonts w:hint="eastAsia" w:cs="宋体" w:asciiTheme="minorEastAsia" w:hAnsiTheme="minorEastAsia" w:eastAsiaTheme="minorEastAsia"/>
                <w:snapToGrid w:val="0"/>
                <w:kern w:val="28"/>
                <w:szCs w:val="21"/>
                <w:highlight w:val="none"/>
                <w:lang w:val="en-US" w:eastAsia="zh-CN"/>
              </w:rPr>
              <w:t>人民币6000元整</w:t>
            </w:r>
            <w:r>
              <w:rPr>
                <w:rFonts w:hint="eastAsia" w:cs="宋体" w:asciiTheme="minorEastAsia" w:hAnsiTheme="minorEastAsia" w:eastAsiaTheme="minorEastAsia"/>
                <w:snapToGrid w:val="0"/>
                <w:kern w:val="28"/>
                <w:szCs w:val="21"/>
                <w:highlight w:val="none"/>
                <w:lang w:eastAsia="zh-CN"/>
              </w:rPr>
              <w:t>）</w:t>
            </w:r>
            <w:r>
              <w:rPr>
                <w:rFonts w:hint="eastAsia" w:cs="宋体" w:asciiTheme="minorEastAsia" w:hAnsiTheme="minorEastAsia" w:eastAsiaTheme="minorEastAsia"/>
                <w:snapToGrid w:val="0"/>
                <w:kern w:val="28"/>
                <w:szCs w:val="21"/>
                <w:highlight w:val="none"/>
              </w:rPr>
              <w:t>，由代理机构向中标供应商一次性收取招标服务费。</w:t>
            </w:r>
          </w:p>
        </w:tc>
      </w:tr>
      <w:bookmarkEnd w:id="13"/>
    </w:tbl>
    <w:p>
      <w:pPr>
        <w:rPr>
          <w:rFonts w:cs="宋体" w:asciiTheme="minorEastAsia" w:hAnsiTheme="minorEastAsia" w:eastAsiaTheme="minorEastAsia"/>
          <w:b/>
          <w:szCs w:val="21"/>
          <w:highlight w:val="none"/>
        </w:rPr>
      </w:pPr>
      <w:bookmarkStart w:id="31" w:name="第三部分"/>
      <w:bookmarkStart w:id="32" w:name="_Toc164416483"/>
    </w:p>
    <w:p>
      <w:pPr>
        <w:adjustRightInd/>
        <w:spacing w:line="360" w:lineRule="auto"/>
        <w:ind w:firstLine="3788" w:firstLineChars="1797"/>
        <w:jc w:val="left"/>
        <w:outlineLvl w:val="1"/>
        <w:rPr>
          <w:rFonts w:cs="宋体" w:asciiTheme="minorEastAsia" w:hAnsiTheme="minorEastAsia" w:eastAsiaTheme="minorEastAsia"/>
          <w:b/>
          <w:szCs w:val="21"/>
          <w:highlight w:val="none"/>
        </w:rPr>
      </w:pPr>
      <w:bookmarkStart w:id="33" w:name="_Toc19896"/>
      <w:r>
        <w:rPr>
          <w:rFonts w:hint="eastAsia" w:cs="宋体" w:asciiTheme="minorEastAsia" w:hAnsiTheme="minorEastAsia" w:eastAsiaTheme="minorEastAsia"/>
          <w:b/>
          <w:szCs w:val="21"/>
          <w:highlight w:val="none"/>
        </w:rPr>
        <w:t>一、总则</w:t>
      </w:r>
      <w:bookmarkEnd w:id="33"/>
    </w:p>
    <w:p>
      <w:pPr>
        <w:snapToGrid w:val="0"/>
        <w:spacing w:line="360" w:lineRule="auto"/>
        <w:ind w:firstLine="316" w:firstLineChars="150"/>
        <w:jc w:val="left"/>
        <w:outlineLvl w:val="1"/>
        <w:rPr>
          <w:rFonts w:cs="宋体" w:asciiTheme="minorEastAsia" w:hAnsiTheme="minorEastAsia" w:eastAsiaTheme="minorEastAsia"/>
          <w:b/>
          <w:szCs w:val="21"/>
          <w:highlight w:val="none"/>
        </w:rPr>
      </w:pPr>
      <w:bookmarkStart w:id="34" w:name="_Toc4803"/>
      <w:r>
        <w:rPr>
          <w:rFonts w:hint="eastAsia" w:cs="宋体" w:asciiTheme="minorEastAsia" w:hAnsiTheme="minorEastAsia" w:eastAsiaTheme="minorEastAsia"/>
          <w:b/>
          <w:szCs w:val="21"/>
          <w:highlight w:val="none"/>
        </w:rPr>
        <w:t>1. 适用范围</w:t>
      </w:r>
      <w:bookmarkEnd w:id="34"/>
    </w:p>
    <w:p>
      <w:pPr>
        <w:snapToGrid w:val="0"/>
        <w:spacing w:line="360" w:lineRule="auto"/>
        <w:ind w:firstLine="420" w:firstLineChars="20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本招标文件适用于该项目的招标、投标、开标、资格审查及信用信息查询、评标、定标、合同、验收等行为（法律、法规另有规定的，从其规定）。</w:t>
      </w:r>
    </w:p>
    <w:p>
      <w:pPr>
        <w:snapToGrid w:val="0"/>
        <w:spacing w:line="360" w:lineRule="auto"/>
        <w:ind w:firstLine="316" w:firstLineChars="150"/>
        <w:jc w:val="left"/>
        <w:outlineLvl w:val="1"/>
        <w:rPr>
          <w:rFonts w:cs="宋体" w:asciiTheme="minorEastAsia" w:hAnsiTheme="minorEastAsia" w:eastAsiaTheme="minorEastAsia"/>
          <w:b/>
          <w:szCs w:val="21"/>
          <w:highlight w:val="none"/>
        </w:rPr>
      </w:pPr>
      <w:bookmarkStart w:id="35" w:name="_Toc17533"/>
      <w:r>
        <w:rPr>
          <w:rFonts w:hint="eastAsia" w:cs="宋体" w:asciiTheme="minorEastAsia" w:hAnsiTheme="minorEastAsia" w:eastAsiaTheme="minorEastAsia"/>
          <w:b/>
          <w:szCs w:val="21"/>
          <w:highlight w:val="none"/>
        </w:rPr>
        <w:t>2.定义</w:t>
      </w:r>
      <w:bookmarkEnd w:id="35"/>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2.1 “采购人”系指招标公告中载明的本项目的采购人。</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2.2 “采购代理机构”系指招标公告中载明的本项目的采购代理机构。</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2.3 “投标人”系指是指响应招标、参加投标竞争的法人、其他组织或者自然人。</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2.4 “负责人”系指法人企业的法定负责人，或其他组织为法律、行政法规规定代表单位行使职权的主要负责人，或自然人本人。</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2.5“电子签名”系指数据电文中以电子形式所含、所附用于识别签名人身份并表明签名人认可其中内容的数据；“公章”系指单位法定名称章。</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2.6“电子交易平台”系指本项目政府采购活动所依托的政府采购云平台（https://www.zcygov.cn/）。</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2.7 “▲” 系指实质性要求条款，“</w:t>
      </w:r>
      <w:sdt>
        <w:sdtPr>
          <w:rPr>
            <w:rFonts w:hint="eastAsia" w:cs="宋体" w:asciiTheme="minorEastAsia" w:hAnsiTheme="minorEastAsia" w:eastAsiaTheme="minorEastAsia"/>
            <w:kern w:val="0"/>
            <w:szCs w:val="21"/>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hint="eastAsia" w:cs="宋体" w:asciiTheme="minorEastAsia" w:hAnsiTheme="minorEastAsia" w:eastAsiaTheme="minorEastAsia"/>
              <w:kern w:val="0"/>
              <w:szCs w:val="21"/>
              <w:highlight w:val="none"/>
            </w:rPr>
            <w:sym w:font="Wingdings" w:char="F0FE"/>
          </w:r>
        </w:sdtContent>
      </w:sdt>
      <w:r>
        <w:rPr>
          <w:rFonts w:hint="eastAsia" w:cs="宋体" w:asciiTheme="minorEastAsia" w:hAnsiTheme="minorEastAsia" w:eastAsiaTheme="minorEastAsia"/>
          <w:szCs w:val="21"/>
          <w:highlight w:val="none"/>
        </w:rPr>
        <w:t>” 系指适用本项目的要求，“</w:t>
      </w:r>
      <w:sdt>
        <w:sdtPr>
          <w:rPr>
            <w:rFonts w:hint="eastAsia" w:cs="宋体" w:asciiTheme="minorEastAsia" w:hAnsiTheme="minorEastAsia" w:eastAsiaTheme="minorEastAsia"/>
            <w:kern w:val="0"/>
            <w:szCs w:val="21"/>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Cs w:val="21"/>
            <w:highlight w:val="none"/>
          </w:rPr>
        </w:sdtEndPr>
        <w:sdtContent>
          <w:r>
            <w:rPr>
              <w:rFonts w:ascii="Segoe UI Symbol" w:hAnsi="Segoe UI Symbol" w:cs="Segoe UI Symbol" w:eastAsiaTheme="minorEastAsia"/>
              <w:kern w:val="0"/>
              <w:szCs w:val="21"/>
              <w:highlight w:val="none"/>
            </w:rPr>
            <w:t>☐</w:t>
          </w:r>
        </w:sdtContent>
      </w:sdt>
      <w:r>
        <w:rPr>
          <w:rFonts w:hint="eastAsia" w:cs="宋体" w:asciiTheme="minorEastAsia" w:hAnsiTheme="minorEastAsia" w:eastAsiaTheme="minorEastAsia"/>
          <w:szCs w:val="21"/>
          <w:highlight w:val="none"/>
        </w:rPr>
        <w:t>” 系指不适用本项目的要求。</w:t>
      </w:r>
    </w:p>
    <w:p>
      <w:pPr>
        <w:spacing w:line="360" w:lineRule="auto"/>
        <w:ind w:firstLine="211" w:firstLineChars="1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w:t>
      </w: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b/>
          <w:szCs w:val="21"/>
          <w:highlight w:val="none"/>
        </w:rPr>
        <w:t>采购项目需要落实的政府采购政策</w:t>
      </w:r>
    </w:p>
    <w:p>
      <w:pPr>
        <w:spacing w:line="360" w:lineRule="auto"/>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kern w:val="0"/>
          <w:szCs w:val="21"/>
          <w:highlight w:val="none"/>
        </w:rPr>
        <w:t>优先采购向我国企业转让技术、与我国企业签订消化吸收再创新方案的供应商的进口产品</w:t>
      </w:r>
      <w:r>
        <w:rPr>
          <w:rFonts w:hint="eastAsia" w:cs="宋体" w:asciiTheme="minorEastAsia" w:hAnsiTheme="minorEastAsia" w:eastAsiaTheme="minorEastAsia"/>
          <w:szCs w:val="21"/>
          <w:highlight w:val="none"/>
        </w:rPr>
        <w:t>。</w:t>
      </w:r>
    </w:p>
    <w:p>
      <w:pPr>
        <w:spacing w:line="360" w:lineRule="auto"/>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 支持绿色发展</w:t>
      </w:r>
    </w:p>
    <w:p>
      <w:pPr>
        <w:spacing w:line="360" w:lineRule="auto"/>
        <w:ind w:firstLine="420"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本项目不适用）</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6" w:name="_Hlk107568539"/>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3.2.3 鼓励供应商在参加政府采购过程中开展绿色设计、选择绿色材料、打造绿色制造工艺、开展绿色运输、做好废弃产品回收处理，实现产品全周期的绿色环保。</w:t>
      </w:r>
      <w:bookmarkEnd w:id="36"/>
    </w:p>
    <w:p>
      <w:pPr>
        <w:spacing w:line="360" w:lineRule="auto"/>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3.3支持中小企业发展</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符合中小企业划分标准的个体工商户，在政府采购活动中视同中小企业。</w:t>
      </w:r>
    </w:p>
    <w:p>
      <w:pPr>
        <w:widowControl/>
        <w:spacing w:line="360" w:lineRule="auto"/>
        <w:ind w:firstLine="420" w:firstLineChars="200"/>
        <w:jc w:val="left"/>
        <w:rPr>
          <w:rFonts w:cs="宋体" w:asciiTheme="minorEastAsia" w:hAnsiTheme="minorEastAsia" w:eastAsiaTheme="minorEastAsia"/>
          <w:kern w:val="0"/>
          <w:szCs w:val="21"/>
          <w:highlight w:val="none"/>
        </w:rPr>
      </w:pPr>
      <w:r>
        <w:rPr>
          <w:rFonts w:cs="宋体" w:asciiTheme="minorEastAsia" w:hAnsiTheme="minorEastAsia" w:eastAsiaTheme="minorEastAsia"/>
          <w:bCs/>
          <w:szCs w:val="21"/>
          <w:highlight w:val="none"/>
        </w:rPr>
        <w:t>3.3.2</w:t>
      </w:r>
      <w:r>
        <w:rPr>
          <w:rFonts w:hint="eastAsia" w:cs="宋体" w:asciiTheme="minorEastAsia" w:hAnsiTheme="minorEastAsia" w:eastAsiaTheme="minorEastAsia"/>
          <w:kern w:val="0"/>
          <w:szCs w:val="21"/>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37" w:name="_Hlk101132181"/>
      <w:r>
        <w:rPr>
          <w:rFonts w:hint="eastAsia" w:cs="宋体" w:asciiTheme="minorEastAsia" w:hAnsiTheme="minorEastAsia" w:eastAsiaTheme="minorEastAsia"/>
          <w:szCs w:val="21"/>
          <w:highlight w:val="none"/>
        </w:rPr>
        <w:t>联合协议或者分包意向协议约定小微企业的合同份额占到合同总金额30%以上的</w:t>
      </w:r>
      <w:bookmarkEnd w:id="37"/>
      <w:r>
        <w:rPr>
          <w:rFonts w:hint="eastAsia" w:cs="宋体" w:asciiTheme="minorEastAsia" w:hAnsiTheme="minorEastAsia" w:eastAsiaTheme="minorEastAsia"/>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3.3.4符合《关于促进残疾人就业政府采购政策的通知》（财库〔2017〕141号）规定的条件并按照招标文件格式要求提供《残疾人福利性单位声明函》的残疾人福利性单位视同小型、微型企业；</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3.3.7中小企业享受扶持政策获得政府采购合同的，小微企业不得将合同分包给大中型企业，中型企业不得将合同分包给大型企业。</w:t>
      </w:r>
    </w:p>
    <w:p>
      <w:pPr>
        <w:spacing w:line="360" w:lineRule="auto"/>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w:t>
      </w:r>
      <w:r>
        <w:rPr>
          <w:rFonts w:hint="eastAsia" w:cs="宋体" w:asciiTheme="minorEastAsia" w:hAnsiTheme="minorEastAsia" w:eastAsiaTheme="minorEastAsia"/>
          <w:bCs/>
          <w:szCs w:val="21"/>
          <w:highlight w:val="none"/>
        </w:rPr>
        <w:t>支持创新发展</w:t>
      </w:r>
      <w:r>
        <w:rPr>
          <w:rFonts w:hint="eastAsia" w:cs="宋体" w:asciiTheme="minorEastAsia" w:hAnsiTheme="minorEastAsia" w:eastAsiaTheme="minorEastAsia"/>
          <w:szCs w:val="21"/>
          <w:highlight w:val="none"/>
        </w:rPr>
        <w:t>（本项目不适用）</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3.4.1 采购人优先采购被认定为首台套产品和“制造精品”的自主创新产品。</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3.4.2首台套产品被纳入《首台套产品推广应用指导目录》之日起</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3.5平等对待内外资企业和符合条件的破产重整企业</w:t>
      </w:r>
    </w:p>
    <w:p>
      <w:pPr>
        <w:spacing w:line="360" w:lineRule="auto"/>
        <w:ind w:firstLine="420" w:firstLineChars="200"/>
        <w:rPr>
          <w:rFonts w:asciiTheme="minorEastAsia" w:hAnsiTheme="minorEastAsia" w:eastAsiaTheme="minorEastAsia"/>
          <w:b/>
          <w:szCs w:val="21"/>
          <w:highlight w:val="none"/>
        </w:rPr>
      </w:pPr>
      <w:r>
        <w:rPr>
          <w:rFonts w:hint="eastAsia" w:cs="宋体" w:asciiTheme="minorEastAsia" w:hAnsiTheme="minorEastAsia" w:eastAsiaTheme="minorEastAsia"/>
          <w:szCs w:val="21"/>
          <w:highlight w:val="none"/>
        </w:rPr>
        <w:t>平等对待内外资企业和符合条件的破产重整企业，切实保障企业公平竞争，平等维护企业的合法利益。</w:t>
      </w:r>
      <w:r>
        <w:rPr>
          <w:rFonts w:hint="eastAsia" w:cs="宋体" w:asciiTheme="minorEastAsia" w:hAnsiTheme="minorEastAsia" w:eastAsiaTheme="minorEastAsia"/>
          <w:szCs w:val="21"/>
          <w:highlight w:val="none"/>
        </w:rPr>
        <w:cr/>
      </w:r>
      <w:r>
        <w:rPr>
          <w:rFonts w:hint="eastAsia" w:cs="宋体" w:asciiTheme="minorEastAsia" w:hAnsiTheme="minorEastAsia" w:eastAsiaTheme="minorEastAsia"/>
          <w:b/>
          <w:szCs w:val="21"/>
          <w:highlight w:val="none"/>
        </w:rPr>
        <w:t>4. 询问、质疑、投诉</w:t>
      </w:r>
    </w:p>
    <w:p>
      <w:pPr>
        <w:autoSpaceDE w:val="0"/>
        <w:autoSpaceDN w:val="0"/>
        <w:spacing w:line="360" w:lineRule="auto"/>
        <w:ind w:firstLine="210" w:firstLineChars="100"/>
        <w:jc w:val="left"/>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4.</w:t>
      </w:r>
      <w:r>
        <w:rPr>
          <w:rFonts w:hint="eastAsia" w:cs="宋体" w:asciiTheme="minorEastAsia" w:hAnsiTheme="minorEastAsia" w:eastAsiaTheme="minorEastAsia"/>
          <w:kern w:val="0"/>
          <w:szCs w:val="21"/>
          <w:highlight w:val="none"/>
        </w:rPr>
        <w:t>1</w:t>
      </w:r>
      <w:r>
        <w:rPr>
          <w:rFonts w:hint="eastAsia" w:cs="宋体" w:asciiTheme="minorEastAsia" w:hAnsiTheme="minorEastAsia" w:eastAsiaTheme="minorEastAsia"/>
          <w:kern w:val="0"/>
          <w:szCs w:val="21"/>
          <w:highlight w:val="none"/>
          <w:lang w:val="zh-CN"/>
        </w:rPr>
        <w:t>供应商询问</w:t>
      </w:r>
    </w:p>
    <w:p>
      <w:pPr>
        <w:autoSpaceDE w:val="0"/>
        <w:autoSpaceDN w:val="0"/>
        <w:spacing w:line="360" w:lineRule="auto"/>
        <w:ind w:firstLine="420" w:firstLineChars="200"/>
        <w:jc w:val="left"/>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10" w:firstLineChars="100"/>
        <w:jc w:val="left"/>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4.</w:t>
      </w:r>
      <w:r>
        <w:rPr>
          <w:rFonts w:hint="eastAsia" w:cs="宋体" w:asciiTheme="minorEastAsia" w:hAnsiTheme="minorEastAsia" w:eastAsiaTheme="minorEastAsia"/>
          <w:kern w:val="0"/>
          <w:szCs w:val="21"/>
          <w:highlight w:val="none"/>
        </w:rPr>
        <w:t>2</w:t>
      </w:r>
      <w:r>
        <w:rPr>
          <w:rFonts w:hint="eastAsia" w:cs="宋体" w:asciiTheme="minorEastAsia" w:hAnsiTheme="minorEastAsia" w:eastAsiaTheme="minorEastAsia"/>
          <w:kern w:val="0"/>
          <w:szCs w:val="21"/>
          <w:highlight w:val="none"/>
          <w:lang w:val="zh-CN"/>
        </w:rPr>
        <w:t>供应商质疑</w:t>
      </w:r>
    </w:p>
    <w:p>
      <w:pPr>
        <w:pStyle w:val="35"/>
        <w:spacing w:line="360" w:lineRule="auto"/>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kern w:val="0"/>
          <w:highlight w:val="none"/>
          <w:lang w:val="zh-CN"/>
        </w:rPr>
        <w:t>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highlight w:val="none"/>
        </w:rPr>
        <w:t>.1提出质疑的供应商应当是参与所质疑项目采购活动的供应商。潜在供应商已依法获取其可质疑的招标文件的，可以对该文件提出质疑。</w:t>
      </w:r>
    </w:p>
    <w:p>
      <w:pPr>
        <w:pStyle w:val="35"/>
        <w:spacing w:line="360" w:lineRule="auto"/>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kern w:val="0"/>
          <w:highlight w:val="none"/>
          <w:lang w:val="zh-CN"/>
        </w:rPr>
        <w:t>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20" w:firstLineChars="200"/>
        <w:rPr>
          <w:rFonts w:cs="宋体" w:asciiTheme="minorEastAsia" w:hAnsiTheme="minorEastAsia" w:eastAsiaTheme="minorEastAsia"/>
          <w:snapToGrid/>
          <w:color w:val="auto"/>
          <w:kern w:val="2"/>
          <w:sz w:val="21"/>
          <w:szCs w:val="21"/>
          <w:highlight w:val="none"/>
        </w:rPr>
      </w:pPr>
      <w:r>
        <w:rPr>
          <w:rFonts w:hint="eastAsia" w:cs="宋体" w:asciiTheme="minorEastAsia" w:hAnsiTheme="minorEastAsia" w:eastAsiaTheme="minorEastAsia"/>
          <w:snapToGrid/>
          <w:color w:val="auto"/>
          <w:kern w:val="2"/>
          <w:sz w:val="21"/>
          <w:szCs w:val="21"/>
          <w:highlight w:val="none"/>
        </w:rPr>
        <w:t>4.2.2.1对招标文件提出质疑的，质疑期限为供应商获得招标文件之日或者招标文件公告期限届满之日起计算。</w:t>
      </w:r>
    </w:p>
    <w:p>
      <w:pPr>
        <w:pStyle w:val="35"/>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highlight w:val="none"/>
        </w:rPr>
        <w:t>4.2.2.2对采购过程提出质疑的，质疑期限为各采购程序环节结束之日起计算。4.2.2.3对采购结果提出质疑的，质疑期限自采购结果公告期限届满之日起计算。</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.3</w:t>
      </w:r>
      <w:r>
        <w:rPr>
          <w:rFonts w:hint="eastAsia" w:cs="宋体" w:asciiTheme="minorEastAsia" w:hAnsiTheme="minorEastAsia" w:eastAsiaTheme="minorEastAsia"/>
          <w:highlight w:val="none"/>
        </w:rPr>
        <w:t>供应商提出质疑应当提交质疑函和必要的证明材料。质疑函应当包括下列内容：</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　　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.3.1供应商的姓名或者名称、地址、邮编、联系人及联系电话；</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　　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.3.2质疑项目的名称、编号；</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　　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.3.3具体、明确的质疑事项和与质疑事项相关的请求；</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　　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.3.4事实依据；</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　　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.3.5必要的法律依据；</w:t>
      </w:r>
    </w:p>
    <w:p>
      <w:pPr>
        <w:pStyle w:val="35"/>
        <w:spacing w:line="360" w:lineRule="auto"/>
        <w:ind w:firstLine="840" w:firstLineChars="4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4.</w:t>
      </w:r>
      <w:r>
        <w:rPr>
          <w:rFonts w:hint="eastAsia"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.3.6提出质疑的日期。</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lang w:val="zh-CN"/>
        </w:rPr>
        <w:t>质疑函范本请到浙江政府采购网下载专区下载。</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rPr>
        <w:t>4.2.4</w:t>
      </w:r>
      <w:r>
        <w:rPr>
          <w:rFonts w:hint="eastAsia" w:cs="宋体" w:asciiTheme="minorEastAsia" w:hAnsiTheme="minorEastAsia" w:eastAsiaTheme="minorEastAsia"/>
          <w:kern w:val="0"/>
          <w:highlight w:val="none"/>
          <w:lang w:val="zh-CN"/>
        </w:rPr>
        <w:t>对同一采购程序环节的质疑，供应商须在法定质疑期内一次性提出。</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rPr>
        <w:t>4.2.5</w:t>
      </w:r>
      <w:r>
        <w:rPr>
          <w:rFonts w:hint="eastAsia" w:cs="宋体" w:asciiTheme="minorEastAsia" w:hAnsiTheme="minorEastAsia" w:eastAsiaTheme="minorEastAsia"/>
          <w:kern w:val="0"/>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cs="宋体" w:asciiTheme="minorEastAsia" w:hAnsiTheme="minorEastAsia" w:eastAsiaTheme="minorEastAsia"/>
          <w:kern w:val="0"/>
          <w:highlight w:val="none"/>
        </w:rPr>
        <w:t>浙江省财政厅关于进一步加强政府采购公平竞争打造最优营商环境的通知</w:t>
      </w:r>
      <w:r>
        <w:rPr>
          <w:rFonts w:hint="eastAsia" w:cs="宋体" w:asciiTheme="minorEastAsia" w:hAnsiTheme="minorEastAsia" w:eastAsiaTheme="minorEastAsia"/>
          <w:kern w:val="0"/>
          <w:highlight w:val="none"/>
          <w:lang w:val="zh-CN"/>
        </w:rPr>
        <w:t>》（</w:t>
      </w:r>
      <w:r>
        <w:rPr>
          <w:rFonts w:hint="eastAsia" w:cs="宋体" w:asciiTheme="minorEastAsia" w:hAnsiTheme="minorEastAsia" w:eastAsiaTheme="minorEastAsia"/>
          <w:kern w:val="0"/>
          <w:highlight w:val="none"/>
        </w:rPr>
        <w:t>浙财</w:t>
      </w:r>
      <w:r>
        <w:rPr>
          <w:rFonts w:hint="eastAsia" w:cs="宋体" w:asciiTheme="minorEastAsia" w:hAnsiTheme="minorEastAsia" w:eastAsiaTheme="minorEastAsia"/>
          <w:kern w:val="0"/>
          <w:highlight w:val="none"/>
          <w:lang w:val="zh-CN"/>
        </w:rPr>
        <w:t>采监〔2021〕</w:t>
      </w:r>
      <w:r>
        <w:rPr>
          <w:rFonts w:hint="eastAsia" w:cs="宋体" w:asciiTheme="minorEastAsia" w:hAnsiTheme="minorEastAsia" w:eastAsiaTheme="minorEastAsia"/>
          <w:kern w:val="0"/>
          <w:highlight w:val="none"/>
        </w:rPr>
        <w:t>2</w:t>
      </w:r>
      <w:r>
        <w:rPr>
          <w:rFonts w:cs="宋体" w:asciiTheme="minorEastAsia" w:hAnsiTheme="minorEastAsia" w:eastAsiaTheme="minorEastAsia"/>
          <w:kern w:val="0"/>
          <w:highlight w:val="none"/>
        </w:rPr>
        <w:t>2</w:t>
      </w:r>
      <w:r>
        <w:rPr>
          <w:rFonts w:hint="eastAsia" w:cs="宋体" w:asciiTheme="minorEastAsia" w:hAnsiTheme="minorEastAsia" w:eastAsiaTheme="minorEastAsia"/>
          <w:kern w:val="0"/>
          <w:highlight w:val="none"/>
          <w:lang w:val="zh-CN"/>
        </w:rPr>
        <w:t>号）,采购人或者采购代理机构在质疑回复后5个工作日内，在浙江政府采购网的“其他公告”栏目公开质疑答复，答复内容应当完整。质疑函作为附件上传。</w:t>
      </w:r>
    </w:p>
    <w:p>
      <w:pPr>
        <w:pStyle w:val="35"/>
        <w:spacing w:line="360" w:lineRule="auto"/>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4</w:t>
      </w:r>
      <w:r>
        <w:rPr>
          <w:rFonts w:hint="eastAsia" w:cs="宋体" w:asciiTheme="minorEastAsia" w:hAnsiTheme="minorEastAsia" w:eastAsiaTheme="minorEastAsia"/>
          <w:kern w:val="0"/>
          <w:highlight w:val="none"/>
          <w:lang w:val="zh-CN"/>
        </w:rPr>
        <w:t>.2</w:t>
      </w:r>
      <w:r>
        <w:rPr>
          <w:rFonts w:hint="eastAsia" w:cs="宋体" w:asciiTheme="minorEastAsia" w:hAnsiTheme="minorEastAsia" w:eastAsiaTheme="minorEastAsia"/>
          <w:kern w:val="0"/>
          <w:highlight w:val="none"/>
        </w:rPr>
        <w:t>.5询问或者质疑事项可能影响采购结果的，采购人应当暂停签订合同，已经签订合同的，应当中止履行合同。</w:t>
      </w:r>
    </w:p>
    <w:p>
      <w:pPr>
        <w:pStyle w:val="35"/>
        <w:spacing w:line="360" w:lineRule="auto"/>
        <w:ind w:firstLine="420" w:firstLineChars="200"/>
        <w:rPr>
          <w:rFonts w:cs="宋体" w:asciiTheme="minorEastAsia" w:hAnsiTheme="minorEastAsia" w:eastAsiaTheme="minorEastAsia"/>
          <w:kern w:val="0"/>
          <w:highlight w:val="none"/>
          <w:lang w:val="zh-CN"/>
        </w:rPr>
      </w:pPr>
      <w:r>
        <w:rPr>
          <w:rFonts w:hint="eastAsia" w:cs="宋体" w:asciiTheme="minorEastAsia" w:hAnsiTheme="minorEastAsia" w:eastAsiaTheme="minorEastAsia"/>
          <w:kern w:val="0"/>
          <w:highlight w:val="none"/>
        </w:rPr>
        <w:t>4</w:t>
      </w:r>
      <w:r>
        <w:rPr>
          <w:rFonts w:hint="eastAsia" w:cs="宋体" w:asciiTheme="minorEastAsia" w:hAnsiTheme="minorEastAsia" w:eastAsiaTheme="minorEastAsia"/>
          <w:kern w:val="0"/>
          <w:highlight w:val="none"/>
          <w:lang w:val="zh-CN"/>
        </w:rPr>
        <w:t>.3供应商投诉</w:t>
      </w:r>
    </w:p>
    <w:p>
      <w:pPr>
        <w:pStyle w:val="35"/>
        <w:spacing w:line="360" w:lineRule="auto"/>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4.3.1质疑供应商对采购人、采购代理机构的答复不满意或者采购人、采购代理机构未在规定的时间内作出答复的，可以在答复期满后十五个工作日内向同级政府采购监督管理部门提出投诉，投诉部分联系方式见招标文件第一部分。</w:t>
      </w:r>
    </w:p>
    <w:p>
      <w:pPr>
        <w:pStyle w:val="35"/>
        <w:spacing w:line="360" w:lineRule="auto"/>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4.3.</w:t>
      </w:r>
      <w:r>
        <w:rPr>
          <w:rFonts w:hint="eastAsia" w:cs="宋体" w:asciiTheme="minorEastAsia" w:hAnsiTheme="minorEastAsia" w:eastAsiaTheme="minorEastAsia"/>
          <w:kern w:val="0"/>
          <w:highlight w:val="none"/>
          <w:lang w:val="zh-CN"/>
        </w:rPr>
        <w:t>2</w:t>
      </w:r>
      <w:r>
        <w:rPr>
          <w:rFonts w:hint="eastAsia" w:cs="宋体" w:asciiTheme="minorEastAsia" w:hAnsiTheme="minorEastAsia" w:eastAsiaTheme="minorEastAsia"/>
          <w:kern w:val="0"/>
          <w:highlight w:val="none"/>
        </w:rPr>
        <w:t>供应商投诉的事项不得超出已质疑事项的范围，基于质疑答复内容提出的投诉事项除外。</w:t>
      </w:r>
    </w:p>
    <w:p>
      <w:pPr>
        <w:pStyle w:val="35"/>
        <w:spacing w:line="360" w:lineRule="auto"/>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4.3.3供应商投诉应当有明确的请求和必要的证明材料。</w:t>
      </w:r>
    </w:p>
    <w:p>
      <w:pPr>
        <w:pStyle w:val="35"/>
        <w:spacing w:line="360" w:lineRule="auto"/>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4.3.5 以联合体形式参加政府采购活动的，其投诉应当由组成联合体的所有供应商共同提出。</w:t>
      </w:r>
    </w:p>
    <w:p>
      <w:pPr>
        <w:pStyle w:val="35"/>
        <w:spacing w:line="360" w:lineRule="auto"/>
        <w:ind w:firstLine="420" w:firstLineChars="20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rPr>
        <w:t>投诉书范本请到浙江政府采购网下载专区下载。</w:t>
      </w:r>
    </w:p>
    <w:p>
      <w:pPr>
        <w:pStyle w:val="131"/>
        <w:snapToGrid w:val="0"/>
        <w:spacing w:before="0"/>
        <w:ind w:firstLine="420"/>
        <w:rPr>
          <w:rFonts w:cs="宋体" w:asciiTheme="minorEastAsia" w:hAnsiTheme="minorEastAsia" w:eastAsiaTheme="minorEastAsia"/>
          <w:sz w:val="21"/>
          <w:szCs w:val="21"/>
          <w:highlight w:val="none"/>
        </w:rPr>
      </w:pPr>
    </w:p>
    <w:p>
      <w:pPr>
        <w:adjustRightInd/>
        <w:spacing w:line="360" w:lineRule="auto"/>
        <w:jc w:val="center"/>
        <w:outlineLvl w:val="1"/>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 xml:space="preserve">      </w:t>
      </w:r>
      <w:bookmarkStart w:id="38" w:name="_Toc20717"/>
      <w:r>
        <w:rPr>
          <w:rFonts w:hint="eastAsia" w:cs="宋体" w:asciiTheme="minorEastAsia" w:hAnsiTheme="minorEastAsia" w:eastAsiaTheme="minorEastAsia"/>
          <w:b/>
          <w:szCs w:val="21"/>
          <w:highlight w:val="none"/>
        </w:rPr>
        <w:t>二、招标文件的构成、澄清、修改</w:t>
      </w:r>
      <w:bookmarkEnd w:id="38"/>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5．招标文件的构成</w:t>
      </w:r>
    </w:p>
    <w:p>
      <w:pPr>
        <w:pStyle w:val="35"/>
        <w:spacing w:line="360" w:lineRule="auto"/>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5.1 招标文件包括下列文件及附件：</w:t>
      </w:r>
    </w:p>
    <w:p>
      <w:pPr>
        <w:pStyle w:val="35"/>
        <w:tabs>
          <w:tab w:val="left" w:pos="840"/>
        </w:tabs>
        <w:spacing w:line="360" w:lineRule="auto"/>
        <w:ind w:firstLine="840" w:firstLineChars="400"/>
        <w:rPr>
          <w:rFonts w:cs="宋体" w:asciiTheme="minorEastAsia" w:hAnsiTheme="minorEastAsia" w:eastAsiaTheme="minorEastAsia"/>
          <w:highlight w:val="none"/>
        </w:rPr>
      </w:pPr>
      <w:r>
        <w:rPr>
          <w:rFonts w:hint="eastAsia" w:cs="宋体" w:asciiTheme="minorEastAsia" w:hAnsiTheme="minorEastAsia" w:eastAsiaTheme="minorEastAsia"/>
          <w:highlight w:val="none"/>
        </w:rPr>
        <w:t>5.1.1招标公告；</w:t>
      </w:r>
    </w:p>
    <w:p>
      <w:pPr>
        <w:pStyle w:val="35"/>
        <w:tabs>
          <w:tab w:val="left" w:pos="840"/>
        </w:tabs>
        <w:spacing w:line="360" w:lineRule="auto"/>
        <w:ind w:firstLine="840" w:firstLineChars="400"/>
        <w:rPr>
          <w:rFonts w:cs="宋体" w:asciiTheme="minorEastAsia" w:hAnsiTheme="minorEastAsia" w:eastAsiaTheme="minorEastAsia"/>
          <w:highlight w:val="none"/>
        </w:rPr>
      </w:pPr>
      <w:r>
        <w:rPr>
          <w:rFonts w:hint="eastAsia" w:cs="宋体" w:asciiTheme="minorEastAsia" w:hAnsiTheme="minorEastAsia" w:eastAsiaTheme="minorEastAsia"/>
          <w:highlight w:val="none"/>
        </w:rPr>
        <w:t>5.1.2投标人须知；</w:t>
      </w:r>
    </w:p>
    <w:p>
      <w:pPr>
        <w:pStyle w:val="35"/>
        <w:tabs>
          <w:tab w:val="left" w:pos="840"/>
        </w:tabs>
        <w:spacing w:line="360" w:lineRule="auto"/>
        <w:ind w:firstLine="840" w:firstLineChars="400"/>
        <w:rPr>
          <w:rFonts w:cs="宋体" w:asciiTheme="minorEastAsia" w:hAnsiTheme="minorEastAsia" w:eastAsiaTheme="minorEastAsia"/>
          <w:highlight w:val="none"/>
        </w:rPr>
      </w:pPr>
      <w:r>
        <w:rPr>
          <w:rFonts w:hint="eastAsia" w:cs="宋体" w:asciiTheme="minorEastAsia" w:hAnsiTheme="minorEastAsia" w:eastAsiaTheme="minorEastAsia"/>
          <w:highlight w:val="none"/>
        </w:rPr>
        <w:t>5.1.3采购需求；</w:t>
      </w:r>
    </w:p>
    <w:p>
      <w:pPr>
        <w:pStyle w:val="35"/>
        <w:tabs>
          <w:tab w:val="left" w:pos="840"/>
        </w:tabs>
        <w:spacing w:line="360" w:lineRule="auto"/>
        <w:ind w:firstLine="840" w:firstLineChars="400"/>
        <w:rPr>
          <w:rFonts w:cs="宋体" w:asciiTheme="minorEastAsia" w:hAnsiTheme="minorEastAsia" w:eastAsiaTheme="minorEastAsia"/>
          <w:highlight w:val="none"/>
        </w:rPr>
      </w:pPr>
      <w:r>
        <w:rPr>
          <w:rFonts w:hint="eastAsia" w:cs="宋体" w:asciiTheme="minorEastAsia" w:hAnsiTheme="minorEastAsia" w:eastAsiaTheme="minorEastAsia"/>
          <w:highlight w:val="none"/>
        </w:rPr>
        <w:t>5.1.4评标办法；</w:t>
      </w:r>
    </w:p>
    <w:p>
      <w:pPr>
        <w:pStyle w:val="35"/>
        <w:tabs>
          <w:tab w:val="left" w:pos="840"/>
        </w:tabs>
        <w:spacing w:line="360" w:lineRule="auto"/>
        <w:ind w:firstLine="840" w:firstLineChars="400"/>
        <w:rPr>
          <w:rFonts w:cs="宋体" w:asciiTheme="minorEastAsia" w:hAnsiTheme="minorEastAsia" w:eastAsiaTheme="minorEastAsia"/>
          <w:highlight w:val="none"/>
        </w:rPr>
      </w:pPr>
      <w:r>
        <w:rPr>
          <w:rFonts w:hint="eastAsia" w:cs="宋体" w:asciiTheme="minorEastAsia" w:hAnsiTheme="minorEastAsia" w:eastAsiaTheme="minorEastAsia"/>
          <w:highlight w:val="none"/>
        </w:rPr>
        <w:t>5.1.5拟签订的合同文本；</w:t>
      </w:r>
    </w:p>
    <w:p>
      <w:pPr>
        <w:pStyle w:val="35"/>
        <w:tabs>
          <w:tab w:val="left" w:pos="840"/>
        </w:tabs>
        <w:spacing w:line="360" w:lineRule="auto"/>
        <w:ind w:firstLine="840" w:firstLineChars="400"/>
        <w:rPr>
          <w:rFonts w:cs="宋体" w:asciiTheme="minorEastAsia" w:hAnsiTheme="minorEastAsia" w:eastAsiaTheme="minorEastAsia"/>
          <w:highlight w:val="none"/>
        </w:rPr>
      </w:pPr>
      <w:r>
        <w:rPr>
          <w:rFonts w:hint="eastAsia" w:cs="宋体" w:asciiTheme="minorEastAsia" w:hAnsiTheme="minorEastAsia" w:eastAsiaTheme="minorEastAsia"/>
          <w:highlight w:val="none"/>
        </w:rPr>
        <w:t>5.1.6应提交的有关格式范例。</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5.2与本项目有关的</w:t>
      </w:r>
      <w:r>
        <w:rPr>
          <w:rFonts w:hint="eastAsia" w:cs="宋体" w:asciiTheme="minorEastAsia" w:hAnsiTheme="minorEastAsia" w:eastAsiaTheme="minorEastAsia"/>
          <w:bCs/>
          <w:szCs w:val="21"/>
          <w:highlight w:val="none"/>
        </w:rPr>
        <w:t>澄清或者修改的内容为招标文件的组成部分（如有）</w:t>
      </w:r>
      <w:r>
        <w:rPr>
          <w:rFonts w:hint="eastAsia" w:cs="宋体" w:asciiTheme="minorEastAsia" w:hAnsiTheme="minorEastAsia" w:eastAsiaTheme="minorEastAsia"/>
          <w:szCs w:val="21"/>
          <w:highlight w:val="none"/>
        </w:rPr>
        <w:t>。</w:t>
      </w:r>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6. 招标文件的澄清、修改</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6.1已获取招标文件的潜在投标人，若有问题需要澄清，应于投标截止时间前，以书面形式向采购代理机构提出。</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cs="宋体" w:asciiTheme="minorEastAsia" w:hAnsiTheme="minorEastAsia" w:eastAsiaTheme="minorEastAsia"/>
          <w:sz w:val="21"/>
          <w:highlight w:val="none"/>
          <w:lang w:val="en-US"/>
        </w:rPr>
      </w:pPr>
      <w:r>
        <w:rPr>
          <w:rFonts w:hint="eastAsia" w:cs="宋体" w:asciiTheme="minorEastAsia" w:hAnsiTheme="minorEastAsia" w:eastAsiaTheme="minorEastAsia"/>
          <w:sz w:val="21"/>
          <w:highlight w:val="none"/>
          <w:lang w:val="en-US"/>
        </w:rPr>
        <w:t xml:space="preserve">    </w:t>
      </w:r>
    </w:p>
    <w:p>
      <w:pPr>
        <w:adjustRightInd/>
        <w:spacing w:line="360" w:lineRule="auto"/>
        <w:jc w:val="center"/>
        <w:outlineLvl w:val="1"/>
        <w:rPr>
          <w:rFonts w:cs="宋体" w:asciiTheme="minorEastAsia" w:hAnsiTheme="minorEastAsia" w:eastAsiaTheme="minorEastAsia"/>
          <w:b/>
          <w:szCs w:val="21"/>
          <w:highlight w:val="none"/>
        </w:rPr>
      </w:pPr>
      <w:bookmarkStart w:id="39" w:name="_Toc6708"/>
      <w:r>
        <w:rPr>
          <w:rFonts w:hint="eastAsia" w:cs="宋体" w:asciiTheme="minorEastAsia" w:hAnsiTheme="minorEastAsia" w:eastAsiaTheme="minorEastAsia"/>
          <w:b/>
          <w:szCs w:val="21"/>
          <w:highlight w:val="none"/>
        </w:rPr>
        <w:t>三、投标</w:t>
      </w:r>
      <w:bookmarkEnd w:id="39"/>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7. 招标文件的获取</w:t>
      </w:r>
    </w:p>
    <w:p>
      <w:pPr>
        <w:spacing w:line="360" w:lineRule="auto"/>
        <w:ind w:firstLine="420" w:firstLineChars="200"/>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napToGrid w:val="0"/>
          <w:kern w:val="28"/>
          <w:szCs w:val="21"/>
          <w:highlight w:val="none"/>
        </w:rPr>
        <w:t>详见招标公告中获取招标文件的时间期限、地点、方式及招标文件售价。</w:t>
      </w:r>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8.开标前答疑会或现场考察</w:t>
      </w:r>
    </w:p>
    <w:p>
      <w:pPr>
        <w:pStyle w:val="35"/>
        <w:spacing w:line="360" w:lineRule="auto"/>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kern w:val="28"/>
          <w:highlight w:val="none"/>
        </w:rPr>
        <w:t>9.投标保证金</w:t>
      </w:r>
    </w:p>
    <w:p>
      <w:pPr>
        <w:pStyle w:val="6"/>
        <w:spacing w:line="360" w:lineRule="auto"/>
        <w:ind w:firstLine="411" w:firstLineChars="196"/>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本项目不需缴纳投标保证金。</w:t>
      </w:r>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10. 投标文件的语言</w:t>
      </w:r>
    </w:p>
    <w:p>
      <w:pPr>
        <w:autoSpaceDE w:val="0"/>
        <w:autoSpaceDN w:val="0"/>
        <w:spacing w:line="360" w:lineRule="auto"/>
        <w:ind w:firstLine="420" w:firstLineChars="20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rPr>
        <w:t>投标文件及投标人与采购有关的来往通知、函件和文件均应使用中文。</w:t>
      </w:r>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11. 投标文件的组成</w:t>
      </w:r>
    </w:p>
    <w:p>
      <w:pPr>
        <w:snapToGrid w:val="0"/>
        <w:spacing w:line="360" w:lineRule="auto"/>
        <w:ind w:firstLine="420" w:firstLineChars="200"/>
        <w:rPr>
          <w:rFonts w:cs="宋体" w:asciiTheme="minorEastAsia" w:hAnsiTheme="minorEastAsia" w:eastAsiaTheme="minorEastAsia"/>
          <w:szCs w:val="21"/>
          <w:highlight w:val="none"/>
        </w:rPr>
      </w:pPr>
      <w:bookmarkStart w:id="40" w:name="_Hlk149819396"/>
      <w:r>
        <w:rPr>
          <w:rFonts w:hint="eastAsia" w:cs="宋体" w:asciiTheme="minorEastAsia" w:hAnsiTheme="minorEastAsia" w:eastAsiaTheme="minorEastAsia"/>
          <w:szCs w:val="21"/>
          <w:highlight w:val="none"/>
        </w:rPr>
        <w:t>11.1</w:t>
      </w:r>
      <w:r>
        <w:rPr>
          <w:rFonts w:hint="eastAsia" w:cs="宋体" w:asciiTheme="minorEastAsia" w:hAnsiTheme="minorEastAsia" w:eastAsiaTheme="minorEastAsia"/>
          <w:b/>
          <w:szCs w:val="21"/>
          <w:highlight w:val="none"/>
        </w:rPr>
        <w:t>资格文件</w:t>
      </w:r>
      <w:r>
        <w:rPr>
          <w:rFonts w:hint="eastAsia" w:cs="宋体" w:asciiTheme="minorEastAsia" w:hAnsiTheme="minorEastAsia" w:eastAsiaTheme="minorEastAsia"/>
          <w:szCs w:val="21"/>
          <w:highlight w:val="none"/>
        </w:rPr>
        <w:t>：</w:t>
      </w:r>
    </w:p>
    <w:p>
      <w:pPr>
        <w:snapToGrid w:val="0"/>
        <w:spacing w:line="360" w:lineRule="auto"/>
        <w:ind w:left="479" w:leftChars="228"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11.1.1有效的企业法人营业执照（或事业法人登记证）、其他组织（个体工商户）的营业执照或者民办非企业单位登记证书；</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11.1.2符合参加政府采购活动应当具备的一般条件的承诺函；</w:t>
      </w:r>
    </w:p>
    <w:p>
      <w:pPr>
        <w:snapToGrid w:val="0"/>
        <w:spacing w:line="360" w:lineRule="auto"/>
        <w:ind w:firstLine="840" w:firstLineChars="400"/>
        <w:rPr>
          <w:rFonts w:cs="宋体" w:asciiTheme="minorEastAsia" w:hAnsiTheme="minorEastAsia" w:eastAsiaTheme="minorEastAsia"/>
          <w:snapToGrid w:val="0"/>
          <w:kern w:val="28"/>
          <w:szCs w:val="21"/>
          <w:highlight w:val="none"/>
        </w:rPr>
      </w:pPr>
      <w:r>
        <w:rPr>
          <w:rFonts w:hint="eastAsia" w:cs="宋体" w:asciiTheme="minorEastAsia" w:hAnsiTheme="minorEastAsia" w:eastAsiaTheme="minorEastAsia"/>
          <w:szCs w:val="21"/>
          <w:highlight w:val="none"/>
        </w:rPr>
        <w:t>1</w:t>
      </w:r>
      <w:r>
        <w:rPr>
          <w:rFonts w:cs="宋体" w:asciiTheme="minorEastAsia" w:hAnsiTheme="minorEastAsia" w:eastAsiaTheme="minorEastAsia"/>
          <w:szCs w:val="21"/>
          <w:highlight w:val="none"/>
        </w:rPr>
        <w:t>1.1.</w:t>
      </w:r>
      <w:bookmarkStart w:id="41" w:name="_Hlk101259339"/>
      <w:r>
        <w:rPr>
          <w:rFonts w:hint="eastAsia" w:cs="宋体" w:asciiTheme="minorEastAsia" w:hAnsiTheme="minorEastAsia" w:eastAsiaTheme="minorEastAsia"/>
          <w:szCs w:val="21"/>
          <w:highlight w:val="none"/>
        </w:rPr>
        <w:t>3</w:t>
      </w:r>
      <w:bookmarkEnd w:id="41"/>
      <w:r>
        <w:rPr>
          <w:rFonts w:hint="eastAsia" w:cs="宋体" w:asciiTheme="minorEastAsia" w:hAnsiTheme="minorEastAsia" w:eastAsiaTheme="minorEastAsia"/>
          <w:szCs w:val="21"/>
          <w:highlight w:val="none"/>
        </w:rPr>
        <w:t>落实政府采购政策需满足的资格要求（提供下列证明材料之一）</w:t>
      </w:r>
      <w:r>
        <w:rPr>
          <w:rFonts w:hint="eastAsia" w:cs="宋体" w:asciiTheme="minorEastAsia" w:hAnsiTheme="minorEastAsia" w:eastAsiaTheme="minorEastAsia"/>
          <w:snapToGrid w:val="0"/>
          <w:kern w:val="28"/>
          <w:szCs w:val="21"/>
          <w:highlight w:val="none"/>
        </w:rPr>
        <w:t>：</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）中小企业声明函；</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）残疾人福利性单位声明函；</w:t>
      </w:r>
    </w:p>
    <w:p>
      <w:pPr>
        <w:snapToGrid w:val="0"/>
        <w:spacing w:line="360" w:lineRule="auto"/>
        <w:ind w:left="479" w:leftChars="228"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）由省级以上监狱管理局、戒毒管理局（含新疆生产建设兵团）出具的属于监狱企业的证明文件。</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11.1.</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本项目的特定资格要求</w:t>
      </w:r>
      <w:r>
        <w:rPr>
          <w:rFonts w:hint="eastAsia" w:cs="宋体" w:asciiTheme="minorEastAsia" w:hAnsiTheme="minorEastAsia" w:eastAsiaTheme="minorEastAsia"/>
          <w:snapToGrid w:val="0"/>
          <w:kern w:val="28"/>
          <w:szCs w:val="21"/>
          <w:highlight w:val="none"/>
        </w:rPr>
        <w:t>：无</w:t>
      </w:r>
      <w:r>
        <w:rPr>
          <w:rFonts w:hint="eastAsia" w:cs="宋体" w:asciiTheme="minorEastAsia" w:hAnsiTheme="minorEastAsia" w:eastAsiaTheme="minorEastAsia"/>
          <w:szCs w:val="21"/>
          <w:highlight w:val="none"/>
        </w:rPr>
        <w:t>；</w:t>
      </w:r>
    </w:p>
    <w:p>
      <w:pPr>
        <w:snapToGrid w:val="0"/>
        <w:spacing w:line="360" w:lineRule="auto"/>
        <w:ind w:firstLine="422" w:firstLineChars="200"/>
        <w:rPr>
          <w:rFonts w:cs="宋体" w:asciiTheme="minorEastAsia" w:hAnsiTheme="minorEastAsia" w:eastAsiaTheme="minorEastAsia"/>
          <w:b/>
          <w:bCs/>
          <w:szCs w:val="21"/>
          <w:highlight w:val="none"/>
          <w:lang w:val="zh-CN"/>
        </w:rPr>
      </w:pPr>
      <w:r>
        <w:rPr>
          <w:rFonts w:hint="eastAsia" w:cs="宋体" w:asciiTheme="minorEastAsia" w:hAnsiTheme="minorEastAsia" w:eastAsiaTheme="minorEastAsia"/>
          <w:b/>
          <w:bCs/>
          <w:szCs w:val="21"/>
          <w:highlight w:val="none"/>
          <w:lang w:val="zh-CN"/>
        </w:rPr>
        <w:t>11.</w:t>
      </w:r>
      <w:r>
        <w:rPr>
          <w:rFonts w:hint="eastAsia" w:cs="宋体" w:asciiTheme="minorEastAsia" w:hAnsiTheme="minorEastAsia" w:eastAsiaTheme="minorEastAsia"/>
          <w:b/>
          <w:bCs/>
          <w:szCs w:val="21"/>
          <w:highlight w:val="none"/>
        </w:rPr>
        <w:t>2</w:t>
      </w:r>
      <w:r>
        <w:rPr>
          <w:rFonts w:hint="eastAsia" w:cs="宋体" w:asciiTheme="minorEastAsia" w:hAnsiTheme="minorEastAsia" w:eastAsiaTheme="minorEastAsia"/>
          <w:b/>
          <w:bCs/>
          <w:szCs w:val="21"/>
          <w:highlight w:val="none"/>
          <w:lang w:val="zh-CN"/>
        </w:rPr>
        <w:t xml:space="preserve">  </w:t>
      </w:r>
      <w:r>
        <w:rPr>
          <w:rFonts w:hint="eastAsia" w:cs="宋体" w:asciiTheme="minorEastAsia" w:hAnsiTheme="minorEastAsia" w:eastAsiaTheme="minorEastAsia"/>
          <w:b/>
          <w:bCs/>
          <w:szCs w:val="21"/>
          <w:highlight w:val="none"/>
        </w:rPr>
        <w:t>商务技术</w:t>
      </w:r>
      <w:r>
        <w:rPr>
          <w:rFonts w:hint="eastAsia" w:cs="宋体" w:asciiTheme="minorEastAsia" w:hAnsiTheme="minorEastAsia" w:eastAsiaTheme="minorEastAsia"/>
          <w:b/>
          <w:bCs/>
          <w:szCs w:val="21"/>
          <w:highlight w:val="none"/>
          <w:lang w:val="zh-CN"/>
        </w:rPr>
        <w:t>文件：</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11.2.1投标函；</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11.2.2授权委托书或法定代表人（单位负责人、自然人本人）身份证明；</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11.2.</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符合性审查资料；</w:t>
      </w:r>
    </w:p>
    <w:p>
      <w:pPr>
        <w:snapToGrid w:val="0"/>
        <w:spacing w:line="360" w:lineRule="auto"/>
        <w:ind w:firstLine="840" w:firstLineChars="400"/>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rPr>
        <w:t>11.2.</w:t>
      </w: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lang w:val="zh-CN"/>
        </w:rPr>
        <w:t>政府采购供应商廉洁自律承诺书</w:t>
      </w:r>
      <w:r>
        <w:rPr>
          <w:rFonts w:hint="eastAsia" w:cs="宋体" w:asciiTheme="minorEastAsia" w:hAnsiTheme="minorEastAsia" w:eastAsiaTheme="minorEastAsia"/>
          <w:szCs w:val="21"/>
          <w:highlight w:val="none"/>
        </w:rPr>
        <w:t>；</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11.2.</w:t>
      </w:r>
      <w:r>
        <w:rPr>
          <w:rFonts w:cs="宋体" w:asciiTheme="minorEastAsia" w:hAnsiTheme="minorEastAsia" w:eastAsiaTheme="minorEastAsia"/>
          <w:szCs w:val="21"/>
          <w:highlight w:val="none"/>
        </w:rPr>
        <w:t xml:space="preserve">5 </w:t>
      </w:r>
      <w:r>
        <w:rPr>
          <w:rFonts w:hint="eastAsia" w:cs="宋体" w:asciiTheme="minorEastAsia" w:hAnsiTheme="minorEastAsia" w:eastAsiaTheme="minorEastAsia"/>
          <w:szCs w:val="21"/>
          <w:highlight w:val="none"/>
        </w:rPr>
        <w:t>商务技术要求响应偏离表</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11.2.</w:t>
      </w:r>
      <w:r>
        <w:rPr>
          <w:rFonts w:cs="宋体" w:asciiTheme="minorEastAsia" w:hAnsiTheme="minorEastAsia" w:eastAsiaTheme="minorEastAsia"/>
          <w:szCs w:val="21"/>
          <w:highlight w:val="none"/>
        </w:rPr>
        <w:t>6</w:t>
      </w:r>
      <w:r>
        <w:rPr>
          <w:rFonts w:hint="eastAsia" w:cs="宋体" w:asciiTheme="minorEastAsia" w:hAnsiTheme="minorEastAsia" w:eastAsiaTheme="minorEastAsia"/>
          <w:highlight w:val="none"/>
        </w:rPr>
        <w:t>评标标准相应的商务技术资</w:t>
      </w:r>
      <w:r>
        <w:rPr>
          <w:rFonts w:hint="eastAsia" w:cs="宋体" w:asciiTheme="minorEastAsia" w:hAnsiTheme="minorEastAsia" w:eastAsiaTheme="minorEastAsia"/>
          <w:snapToGrid w:val="0"/>
          <w:highlight w:val="none"/>
        </w:rPr>
        <w:t>料；</w:t>
      </w:r>
      <w:r>
        <w:rPr>
          <w:rFonts w:hint="eastAsia" w:cs="宋体" w:asciiTheme="minorEastAsia" w:hAnsiTheme="minorEastAsia" w:eastAsiaTheme="minorEastAsia"/>
          <w:snapToGrid w:val="0"/>
          <w:szCs w:val="21"/>
          <w:highlight w:val="none"/>
        </w:rPr>
        <w:t>（格式自拟）</w:t>
      </w:r>
      <w:r>
        <w:rPr>
          <w:rFonts w:hint="eastAsia" w:cs="宋体" w:asciiTheme="minorEastAsia" w:hAnsiTheme="minorEastAsia" w:eastAsiaTheme="minorEastAsia"/>
          <w:szCs w:val="21"/>
          <w:highlight w:val="none"/>
        </w:rPr>
        <w:t xml:space="preserve"> ；</w:t>
      </w:r>
    </w:p>
    <w:p>
      <w:pPr>
        <w:snapToGrid w:val="0"/>
        <w:spacing w:line="360" w:lineRule="auto"/>
        <w:ind w:firstLine="420" w:firstLineChars="200"/>
        <w:rPr>
          <w:rFonts w:cs="宋体" w:asciiTheme="minorEastAsia" w:hAnsiTheme="minorEastAsia" w:eastAsiaTheme="minorEastAsia"/>
          <w:szCs w:val="21"/>
          <w:highlight w:val="none"/>
          <w:u w:val="single"/>
          <w:lang w:val="zh-CN"/>
        </w:rPr>
      </w:pPr>
      <w:r>
        <w:rPr>
          <w:rFonts w:hint="eastAsia" w:cs="宋体" w:asciiTheme="minorEastAsia" w:hAnsiTheme="minorEastAsia" w:eastAsiaTheme="minorEastAsia"/>
          <w:kern w:val="0"/>
          <w:szCs w:val="21"/>
          <w:highlight w:val="none"/>
          <w:lang w:val="zh-CN"/>
        </w:rPr>
        <w:t>11.</w:t>
      </w:r>
      <w:r>
        <w:rPr>
          <w:rFonts w:hint="eastAsia" w:cs="宋体" w:asciiTheme="minorEastAsia" w:hAnsiTheme="minorEastAsia" w:eastAsiaTheme="minorEastAsia"/>
          <w:kern w:val="0"/>
          <w:szCs w:val="21"/>
          <w:highlight w:val="none"/>
        </w:rPr>
        <w:t>3</w:t>
      </w:r>
      <w:r>
        <w:rPr>
          <w:rFonts w:hint="eastAsia" w:cs="宋体" w:asciiTheme="minorEastAsia" w:hAnsiTheme="minorEastAsia" w:eastAsiaTheme="minorEastAsia"/>
          <w:b/>
          <w:szCs w:val="21"/>
          <w:highlight w:val="none"/>
        </w:rPr>
        <w:t>报价文件：</w:t>
      </w:r>
      <w:r>
        <w:rPr>
          <w:rFonts w:hint="eastAsia" w:cs="宋体" w:asciiTheme="minorEastAsia" w:hAnsiTheme="minorEastAsia" w:eastAsiaTheme="minorEastAsia"/>
          <w:szCs w:val="21"/>
          <w:highlight w:val="none"/>
        </w:rPr>
        <w:t xml:space="preserve"> </w:t>
      </w:r>
    </w:p>
    <w:p>
      <w:pPr>
        <w:snapToGrid w:val="0"/>
        <w:spacing w:line="360" w:lineRule="auto"/>
        <w:ind w:firstLine="840" w:firstLineChars="4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11.3.1开标一览表（报价表）；</w:t>
      </w:r>
    </w:p>
    <w:p>
      <w:pPr>
        <w:pStyle w:val="2"/>
        <w:ind w:firstLine="840" w:firstLineChars="4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11.3.2投标报价明细表；</w:t>
      </w:r>
    </w:p>
    <w:bookmarkEnd w:id="40"/>
    <w:p>
      <w:pPr>
        <w:spacing w:line="360" w:lineRule="auto"/>
        <w:ind w:firstLine="632" w:firstLineChars="3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投标文件含有采购人不能接受的附加条件的，投标无效；</w:t>
      </w:r>
    </w:p>
    <w:p>
      <w:pPr>
        <w:spacing w:line="360" w:lineRule="auto"/>
        <w:ind w:firstLine="632" w:firstLineChars="3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投标人提供虚假材料投标的，投标无效。</w:t>
      </w:r>
    </w:p>
    <w:p>
      <w:pPr>
        <w:snapToGrid w:val="0"/>
        <w:spacing w:line="360" w:lineRule="auto"/>
        <w:rPr>
          <w:rFonts w:cs="宋体" w:asciiTheme="minorEastAsia" w:hAnsiTheme="minorEastAsia" w:eastAsiaTheme="minorEastAsia"/>
          <w:b/>
          <w:szCs w:val="21"/>
          <w:highlight w:val="none"/>
        </w:rPr>
      </w:pPr>
      <w:bookmarkStart w:id="42" w:name="_Toc14413"/>
      <w:r>
        <w:rPr>
          <w:rFonts w:hint="eastAsia" w:cs="宋体" w:asciiTheme="minorEastAsia" w:hAnsiTheme="minorEastAsia" w:eastAsiaTheme="minorEastAsia"/>
          <w:b/>
          <w:szCs w:val="21"/>
          <w:highlight w:val="none"/>
        </w:rPr>
        <w:t>12</w:t>
      </w:r>
      <w:r>
        <w:rPr>
          <w:rFonts w:hint="eastAsia" w:cs="宋体" w:asciiTheme="minorEastAsia" w:hAnsiTheme="minorEastAsia" w:eastAsiaTheme="minorEastAsia"/>
          <w:b/>
          <w:szCs w:val="21"/>
          <w:highlight w:val="none"/>
          <w:lang w:val="zh-CN"/>
        </w:rPr>
        <w:t xml:space="preserve">. </w:t>
      </w:r>
      <w:r>
        <w:rPr>
          <w:rFonts w:hint="eastAsia" w:cs="宋体" w:asciiTheme="minorEastAsia" w:hAnsiTheme="minorEastAsia" w:eastAsiaTheme="minorEastAsia"/>
          <w:b/>
          <w:szCs w:val="21"/>
          <w:highlight w:val="none"/>
        </w:rPr>
        <w:t>投标文件的编制</w:t>
      </w:r>
      <w:bookmarkEnd w:id="42"/>
    </w:p>
    <w:p>
      <w:pPr>
        <w:spacing w:line="360" w:lineRule="auto"/>
        <w:ind w:firstLine="420"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13.投标文件的签署、盖章</w:t>
      </w:r>
    </w:p>
    <w:p>
      <w:pPr>
        <w:pStyle w:val="131"/>
        <w:snapToGrid w:val="0"/>
        <w:spacing w:before="0"/>
        <w:ind w:firstLine="420"/>
        <w:rPr>
          <w:rFonts w:cs="宋体" w:asciiTheme="minorEastAsia" w:hAnsiTheme="minorEastAsia" w:eastAsiaTheme="minorEastAsia"/>
          <w:b/>
          <w:sz w:val="21"/>
          <w:szCs w:val="21"/>
          <w:highlight w:val="none"/>
        </w:rPr>
      </w:pPr>
      <w:r>
        <w:rPr>
          <w:rFonts w:hint="eastAsia" w:cs="宋体" w:asciiTheme="minorEastAsia" w:hAnsiTheme="minorEastAsia" w:eastAsiaTheme="minorEastAsia"/>
          <w:sz w:val="21"/>
          <w:szCs w:val="21"/>
          <w:highlight w:val="none"/>
        </w:rPr>
        <w:t>13.1投标文件按照招标文件第六部分格式要求进行签署、盖章。</w:t>
      </w:r>
      <w:r>
        <w:rPr>
          <w:rFonts w:hint="eastAsia" w:cs="宋体" w:asciiTheme="minorEastAsia" w:hAnsiTheme="minorEastAsia" w:eastAsiaTheme="minorEastAsia"/>
          <w:b/>
          <w:sz w:val="21"/>
          <w:szCs w:val="21"/>
          <w:highlight w:val="none"/>
        </w:rPr>
        <w:t>▲投标人的投标文件未按照招标文件要求签署、盖章的，其投标无效</w:t>
      </w:r>
      <w:r>
        <w:rPr>
          <w:rFonts w:hint="eastAsia" w:cs="宋体" w:asciiTheme="minorEastAsia" w:hAnsiTheme="minorEastAsia" w:eastAsiaTheme="minorEastAsia"/>
          <w:sz w:val="21"/>
          <w:szCs w:val="21"/>
          <w:highlight w:val="none"/>
        </w:rPr>
        <w:t>。</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13.3招标文件对投标文件签署、盖章的要求适用于电子签名。</w:t>
      </w:r>
    </w:p>
    <w:p>
      <w:pPr>
        <w:pStyle w:val="131"/>
        <w:spacing w:before="0"/>
        <w:ind w:firstLine="0" w:firstLineChars="0"/>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14. 投标文件的提交、补充、修改、撤回</w:t>
      </w:r>
    </w:p>
    <w:p>
      <w:pPr>
        <w:pStyle w:val="131"/>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15.备份投标文件</w:t>
      </w:r>
    </w:p>
    <w:p>
      <w:pPr>
        <w:pStyle w:val="35"/>
        <w:spacing w:line="360" w:lineRule="auto"/>
        <w:ind w:firstLine="315" w:firstLineChars="150"/>
        <w:rPr>
          <w:rFonts w:cs="宋体" w:asciiTheme="minorEastAsia" w:hAnsiTheme="minorEastAsia" w:eastAsiaTheme="minorEastAsia"/>
          <w:b/>
          <w:highlight w:val="none"/>
        </w:rPr>
      </w:pPr>
      <w:r>
        <w:rPr>
          <w:rFonts w:hint="eastAsia" w:cs="宋体" w:asciiTheme="minorEastAsia" w:hAnsiTheme="minorEastAsia" w:eastAsiaTheme="minorEastAsia"/>
          <w:highlight w:val="none"/>
        </w:rPr>
        <w:t xml:space="preserve"> 15.1投标人在电子交易平台传输递交投标文件后，还可以在投标截止时间前直接提交或者以邮寄方式递交备份投标文件1份，</w:t>
      </w:r>
      <w:r>
        <w:rPr>
          <w:rFonts w:hint="eastAsia" w:cs="宋体" w:asciiTheme="minorEastAsia" w:hAnsiTheme="minorEastAsia" w:eastAsiaTheme="minorEastAsia"/>
          <w:b/>
          <w:highlight w:val="none"/>
        </w:rPr>
        <w:t>但采购人、采购代理机构不强制投标人提交备份投标文件。</w:t>
      </w:r>
    </w:p>
    <w:p>
      <w:pPr>
        <w:pStyle w:val="35"/>
        <w:spacing w:line="360" w:lineRule="auto"/>
        <w:ind w:firstLine="420" w:firstLineChars="200"/>
        <w:rPr>
          <w:rFonts w:cs="宋体" w:asciiTheme="minorEastAsia" w:hAnsiTheme="minorEastAsia" w:eastAsiaTheme="minorEastAsia"/>
          <w:b/>
          <w:highlight w:val="none"/>
        </w:rPr>
      </w:pPr>
      <w:r>
        <w:rPr>
          <w:rFonts w:hint="eastAsia" w:cs="宋体" w:asciiTheme="minorEastAsia" w:hAnsiTheme="minorEastAsia" w:eastAsiaTheme="minorEastAsia"/>
          <w:highlight w:val="none"/>
        </w:rPr>
        <w:t>15.2备份投标文件须在“政采云投标客户端”制作生成，并储存在</w:t>
      </w:r>
      <w:r>
        <w:rPr>
          <w:rFonts w:hint="eastAsia" w:cs="宋体" w:asciiTheme="minorEastAsia" w:hAnsiTheme="minorEastAsia" w:eastAsiaTheme="minorEastAsia"/>
          <w:kern w:val="28"/>
          <w:highlight w:val="none"/>
        </w:rPr>
        <w:t>U盘存储</w:t>
      </w:r>
      <w:r>
        <w:rPr>
          <w:rFonts w:hint="eastAsia" w:cs="宋体" w:asciiTheme="minorEastAsia" w:hAnsiTheme="minorEastAsia" w:eastAsiaTheme="minorEastAsia"/>
          <w:highlight w:val="none"/>
        </w:rPr>
        <w:t>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highlight w:val="none"/>
        </w:rPr>
        <w:t>不符合上述制作、存储、密封规定的备份投标文件将被视为无效或者被拒绝接收。</w:t>
      </w:r>
    </w:p>
    <w:p>
      <w:pPr>
        <w:pStyle w:val="35"/>
        <w:spacing w:line="360" w:lineRule="auto"/>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15.3直接提交备份投标文件的，投标人应于投标截止时间前在</w:t>
      </w:r>
      <w:r>
        <w:rPr>
          <w:rFonts w:hint="eastAsia" w:cs="宋体" w:asciiTheme="minorEastAsia" w:hAnsiTheme="minorEastAsia" w:eastAsiaTheme="minorEastAsia"/>
          <w:snapToGrid/>
          <w:highlight w:val="none"/>
        </w:rPr>
        <w:t>招标文件第二部分投标人须知前附表载明</w:t>
      </w:r>
      <w:r>
        <w:rPr>
          <w:rFonts w:hint="eastAsia" w:cs="宋体" w:asciiTheme="minorEastAsia" w:hAnsiTheme="minorEastAsia" w:eastAsiaTheme="minorEastAsia"/>
          <w:highlight w:val="none"/>
        </w:rPr>
        <w:t>地点将备份投标文件提交给采购代理机构，采购代理机构将拒绝接受逾期送达的备份投标文件。</w:t>
      </w:r>
    </w:p>
    <w:p>
      <w:pPr>
        <w:pStyle w:val="35"/>
        <w:spacing w:line="360" w:lineRule="auto"/>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cs="宋体" w:asciiTheme="minorEastAsia" w:hAnsiTheme="minorEastAsia" w:eastAsiaTheme="minorEastAsia"/>
          <w:snapToGrid/>
          <w:highlight w:val="none"/>
        </w:rPr>
        <w:t>；</w:t>
      </w:r>
      <w:r>
        <w:rPr>
          <w:rFonts w:hint="eastAsia" w:cs="宋体" w:asciiTheme="minorEastAsia" w:hAnsiTheme="minorEastAsia" w:eastAsiaTheme="minorEastAsia"/>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20" w:firstLineChars="199"/>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15.5投标人仅提交备份投标文件，未在电子交易平台传输递交投标文件的，投标无效。</w:t>
      </w:r>
    </w:p>
    <w:p>
      <w:pPr>
        <w:pStyle w:val="131"/>
        <w:spacing w:before="0"/>
        <w:ind w:firstLine="0" w:firstLineChars="0"/>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16.投标文件的无效处理</w:t>
      </w:r>
    </w:p>
    <w:p>
      <w:pPr>
        <w:pStyle w:val="26"/>
        <w:spacing w:line="360" w:lineRule="auto"/>
        <w:ind w:firstLine="315" w:firstLineChars="15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有招标文件第四部分</w:t>
      </w:r>
      <w:r>
        <w:rPr>
          <w:rFonts w:cs="宋体" w:asciiTheme="minorEastAsia" w:hAnsiTheme="minorEastAsia" w:eastAsiaTheme="minorEastAsia"/>
          <w:sz w:val="21"/>
          <w:szCs w:val="21"/>
          <w:highlight w:val="none"/>
        </w:rPr>
        <w:t>4.2规定</w:t>
      </w:r>
      <w:r>
        <w:rPr>
          <w:rFonts w:hint="eastAsia" w:cs="宋体" w:asciiTheme="minorEastAsia" w:hAnsiTheme="minorEastAsia" w:eastAsiaTheme="minorEastAsia"/>
          <w:sz w:val="21"/>
          <w:szCs w:val="21"/>
          <w:highlight w:val="none"/>
        </w:rPr>
        <w:t>的情形之一的，投标无效。</w:t>
      </w:r>
    </w:p>
    <w:p>
      <w:pPr>
        <w:pStyle w:val="131"/>
        <w:spacing w:before="0"/>
        <w:ind w:firstLine="0" w:firstLineChars="0"/>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17.投标有效期</w:t>
      </w:r>
    </w:p>
    <w:p>
      <w:pPr>
        <w:spacing w:line="360" w:lineRule="auto"/>
        <w:ind w:firstLine="420"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szCs w:val="21"/>
          <w:highlight w:val="none"/>
        </w:rPr>
        <w:t>17.1投标有效期为从提交投标文件的截止之日起90天。▲</w:t>
      </w:r>
      <w:r>
        <w:rPr>
          <w:rFonts w:hint="eastAsia" w:cs="宋体" w:asciiTheme="minorEastAsia" w:hAnsiTheme="minorEastAsia" w:eastAsiaTheme="minorEastAsia"/>
          <w:b/>
          <w:szCs w:val="21"/>
          <w:highlight w:val="none"/>
        </w:rPr>
        <w:t>投标人的投标文件中承诺的投标有效期少于招标文件中载明的投标有效期的，投标无效。</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17.2投标文件合格投递后，自投标截止日期起，在投标有效期内有效。</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422"/>
        <w:rPr>
          <w:rFonts w:cs="宋体" w:asciiTheme="minorEastAsia" w:hAnsiTheme="minorEastAsia" w:eastAsiaTheme="minorEastAsia"/>
          <w:b/>
          <w:sz w:val="21"/>
          <w:szCs w:val="21"/>
          <w:highlight w:val="none"/>
        </w:rPr>
      </w:pPr>
    </w:p>
    <w:p>
      <w:pPr>
        <w:pStyle w:val="131"/>
        <w:spacing w:before="0"/>
        <w:ind w:firstLine="1265" w:firstLineChars="600"/>
        <w:outlineLvl w:val="1"/>
        <w:rPr>
          <w:rFonts w:cs="宋体" w:asciiTheme="minorEastAsia" w:hAnsiTheme="minorEastAsia" w:eastAsiaTheme="minorEastAsia"/>
          <w:b/>
          <w:sz w:val="21"/>
          <w:szCs w:val="21"/>
          <w:highlight w:val="none"/>
        </w:rPr>
      </w:pPr>
      <w:bookmarkStart w:id="43" w:name="_Toc24357"/>
      <w:r>
        <w:rPr>
          <w:rFonts w:hint="eastAsia" w:cs="宋体" w:asciiTheme="minorEastAsia" w:hAnsiTheme="minorEastAsia" w:eastAsiaTheme="minorEastAsia"/>
          <w:b/>
          <w:sz w:val="21"/>
          <w:szCs w:val="21"/>
          <w:highlight w:val="none"/>
        </w:rPr>
        <w:t>四、开标、资格审查与信用信息查询</w:t>
      </w:r>
      <w:bookmarkEnd w:id="43"/>
    </w:p>
    <w:p>
      <w:pPr>
        <w:pStyle w:val="556"/>
        <w:spacing w:before="0" w:line="360" w:lineRule="auto"/>
        <w:ind w:left="0" w:firstLine="211" w:firstLineChars="100"/>
        <w:contextualSpacing/>
        <w:rPr>
          <w:rFonts w:cs="宋体" w:asciiTheme="minorEastAsia" w:hAnsiTheme="minorEastAsia" w:eastAsiaTheme="minorEastAsia"/>
          <w:sz w:val="21"/>
          <w:szCs w:val="21"/>
          <w:highlight w:val="none"/>
        </w:rPr>
      </w:pPr>
      <w:r>
        <w:rPr>
          <w:rFonts w:hint="eastAsia" w:cs="宋体" w:asciiTheme="minorEastAsia" w:hAnsiTheme="minorEastAsia" w:eastAsiaTheme="minorEastAsia"/>
          <w:b/>
          <w:sz w:val="21"/>
          <w:szCs w:val="21"/>
          <w:highlight w:val="none"/>
        </w:rPr>
        <w:t>18.开标</w:t>
      </w:r>
      <w:r>
        <w:rPr>
          <w:rFonts w:hint="eastAsia" w:cs="宋体" w:asciiTheme="minorEastAsia" w:hAnsiTheme="minorEastAsia" w:eastAsiaTheme="minorEastAsia"/>
          <w:sz w:val="21"/>
          <w:szCs w:val="21"/>
          <w:highlight w:val="none"/>
        </w:rPr>
        <w:t xml:space="preserve"> </w:t>
      </w:r>
    </w:p>
    <w:p>
      <w:pPr>
        <w:pStyle w:val="556"/>
        <w:spacing w:before="0" w:line="360" w:lineRule="auto"/>
        <w:ind w:left="0" w:firstLine="420" w:firstLineChars="200"/>
        <w:contextualSpacing/>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10" w:firstLineChars="100"/>
        <w:contextualSpacing/>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10" w:firstLineChars="100"/>
        <w:contextualSpacing/>
        <w:rPr>
          <w:rFonts w:cs="宋体" w:asciiTheme="minorEastAsia" w:hAnsiTheme="minorEastAsia" w:eastAsiaTheme="minorEastAsia"/>
          <w:b/>
          <w:sz w:val="21"/>
          <w:szCs w:val="21"/>
          <w:highlight w:val="none"/>
        </w:rPr>
      </w:pPr>
      <w:r>
        <w:rPr>
          <w:rFonts w:hint="eastAsia" w:cs="宋体" w:asciiTheme="minorEastAsia" w:hAnsiTheme="minorEastAsia" w:eastAsiaTheme="minorEastAsia"/>
          <w:sz w:val="21"/>
          <w:szCs w:val="21"/>
          <w:highlight w:val="none"/>
        </w:rPr>
        <w:t>　18.3</w:t>
      </w:r>
      <w:r>
        <w:rPr>
          <w:rFonts w:hint="eastAsia" w:cs="宋体" w:asciiTheme="minorEastAsia" w:hAnsiTheme="minorEastAsia" w:eastAsiaTheme="minorEastAsia"/>
          <w:b/>
          <w:sz w:val="21"/>
          <w:szCs w:val="21"/>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　19、资格审查</w:t>
      </w:r>
    </w:p>
    <w:p>
      <w:pPr>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19.1</w:t>
      </w:r>
      <w:r>
        <w:rPr>
          <w:rFonts w:hint="eastAsia" w:cs="宋体" w:asciiTheme="minorEastAsia" w:hAnsiTheme="minorEastAsia" w:eastAsiaTheme="minorEastAsia"/>
          <w:szCs w:val="21"/>
          <w:highlight w:val="none"/>
        </w:rPr>
        <w:t>采购人或采购代理机构依据法律法规和招标文件的规定，对投标人的资格进行审查。</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rPr>
        <w:t>19.2投标人未按照招标文件要求提供与</w:t>
      </w:r>
      <w:r>
        <w:rPr>
          <w:rFonts w:hint="eastAsia" w:cs="宋体" w:asciiTheme="minorEastAsia" w:hAnsiTheme="minorEastAsia" w:eastAsiaTheme="minorEastAsia"/>
          <w:sz w:val="21"/>
          <w:szCs w:val="21"/>
          <w:highlight w:val="none"/>
        </w:rPr>
        <w:t>资格条件相应的</w:t>
      </w:r>
      <w:r>
        <w:rPr>
          <w:rFonts w:hint="eastAsia" w:cs="宋体" w:asciiTheme="minorEastAsia" w:hAnsiTheme="minorEastAsia" w:eastAsiaTheme="minorEastAsia"/>
          <w:kern w:val="0"/>
          <w:sz w:val="21"/>
          <w:szCs w:val="21"/>
          <w:highlight w:val="none"/>
        </w:rPr>
        <w:t>有效资格证明材料的，视为</w:t>
      </w:r>
      <w:r>
        <w:rPr>
          <w:rFonts w:hint="eastAsia" w:cs="宋体" w:asciiTheme="minorEastAsia" w:hAnsiTheme="minorEastAsia" w:eastAsiaTheme="minorEastAsia"/>
          <w:sz w:val="21"/>
          <w:szCs w:val="21"/>
          <w:highlight w:val="none"/>
        </w:rPr>
        <w:t>投标人不具备招标文件中规定的资格要求，其投标无效。</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rPr>
        <w:t>19.</w:t>
      </w:r>
      <w:r>
        <w:rPr>
          <w:rFonts w:hint="eastAsia" w:cs="宋体" w:asciiTheme="minorEastAsia" w:hAnsiTheme="minorEastAsia" w:eastAsiaTheme="minorEastAsia"/>
          <w:sz w:val="21"/>
          <w:szCs w:val="21"/>
          <w:highlight w:val="none"/>
        </w:rPr>
        <w:t>3对未通过资格审查的投标人，采购人或采购代理机构告知其未通过的原因。</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rPr>
        <w:t>19.</w:t>
      </w:r>
      <w:r>
        <w:rPr>
          <w:rFonts w:hint="eastAsia" w:cs="宋体" w:asciiTheme="minorEastAsia" w:hAnsiTheme="minorEastAsia" w:eastAsiaTheme="minorEastAsia"/>
          <w:sz w:val="21"/>
          <w:szCs w:val="21"/>
          <w:highlight w:val="none"/>
        </w:rPr>
        <w:t>4合格投标人不足3家的，不再评标。</w:t>
      </w:r>
    </w:p>
    <w:p>
      <w:pPr>
        <w:pStyle w:val="131"/>
        <w:spacing w:before="0"/>
        <w:ind w:firstLine="0" w:firstLineChars="0"/>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20、信用信息查询</w:t>
      </w:r>
    </w:p>
    <w:p>
      <w:pPr>
        <w:pStyle w:val="131"/>
        <w:spacing w:before="0"/>
        <w:ind w:firstLine="495" w:firstLineChars="0"/>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20.2信用信息查询记录和证据留存的具体方式：现场查询的投标人的信用记录、查询结果经确认后将与采购文件一起存档。</w:t>
      </w:r>
    </w:p>
    <w:p>
      <w:pPr>
        <w:pStyle w:val="131"/>
        <w:spacing w:before="0"/>
        <w:ind w:firstLine="495" w:firstLineChars="0"/>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sz w:val="21"/>
          <w:szCs w:val="21"/>
          <w:highlight w:val="none"/>
        </w:rPr>
        <w:t>。</w:t>
      </w:r>
    </w:p>
    <w:p>
      <w:pPr>
        <w:pStyle w:val="131"/>
        <w:spacing w:before="0"/>
        <w:ind w:firstLine="0" w:firstLineChars="0"/>
        <w:rPr>
          <w:rFonts w:cs="宋体" w:asciiTheme="minorEastAsia" w:hAnsiTheme="minorEastAsia" w:eastAsiaTheme="minorEastAsia"/>
          <w:kern w:val="0"/>
          <w:sz w:val="21"/>
          <w:szCs w:val="21"/>
          <w:highlight w:val="none"/>
        </w:rPr>
      </w:pPr>
    </w:p>
    <w:p>
      <w:pPr>
        <w:snapToGrid w:val="0"/>
        <w:spacing w:line="360" w:lineRule="auto"/>
        <w:jc w:val="center"/>
        <w:outlineLvl w:val="1"/>
        <w:rPr>
          <w:rFonts w:cs="宋体" w:asciiTheme="minorEastAsia" w:hAnsiTheme="minorEastAsia" w:eastAsiaTheme="minorEastAsia"/>
          <w:b/>
          <w:szCs w:val="21"/>
          <w:highlight w:val="none"/>
        </w:rPr>
      </w:pPr>
      <w:bookmarkStart w:id="44" w:name="_Toc23139"/>
      <w:r>
        <w:rPr>
          <w:rFonts w:hint="eastAsia" w:cs="宋体" w:asciiTheme="minorEastAsia" w:hAnsiTheme="minorEastAsia" w:eastAsiaTheme="minorEastAsia"/>
          <w:b/>
          <w:szCs w:val="21"/>
          <w:highlight w:val="none"/>
        </w:rPr>
        <w:t>五、评标</w:t>
      </w:r>
      <w:bookmarkEnd w:id="44"/>
    </w:p>
    <w:p>
      <w:pPr>
        <w:spacing w:line="360" w:lineRule="auto"/>
        <w:rPr>
          <w:rFonts w:cs="宋体" w:asciiTheme="minorEastAsia" w:hAnsiTheme="minorEastAsia" w:eastAsiaTheme="minorEastAsia"/>
          <w:b/>
          <w:szCs w:val="21"/>
          <w:highlight w:val="none"/>
        </w:rPr>
      </w:pPr>
      <w:bookmarkStart w:id="45" w:name="_Toc91899903"/>
      <w:r>
        <w:rPr>
          <w:rFonts w:hint="eastAsia" w:cs="宋体" w:asciiTheme="minorEastAsia" w:hAnsiTheme="minorEastAsia" w:eastAsiaTheme="minorEastAsia"/>
          <w:b/>
          <w:szCs w:val="21"/>
          <w:highlight w:val="none"/>
        </w:rPr>
        <w:t>21.</w:t>
      </w:r>
      <w:r>
        <w:rPr>
          <w:rFonts w:hint="eastAsia" w:cs="宋体" w:asciiTheme="minorEastAsia" w:hAnsiTheme="minorEastAsia" w:eastAsiaTheme="minorEastAsia"/>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Cs w:val="21"/>
          <w:highlight w:val="none"/>
        </w:rPr>
        <w:t>详见招标文件第四部分评标办法。</w:t>
      </w:r>
    </w:p>
    <w:p>
      <w:pPr>
        <w:spacing w:line="360" w:lineRule="auto"/>
        <w:rPr>
          <w:rFonts w:cs="宋体" w:asciiTheme="minorEastAsia" w:hAnsiTheme="minorEastAsia" w:eastAsiaTheme="minorEastAsia"/>
          <w:b/>
          <w:szCs w:val="21"/>
          <w:highlight w:val="none"/>
        </w:rPr>
      </w:pPr>
    </w:p>
    <w:p>
      <w:pPr>
        <w:snapToGrid w:val="0"/>
        <w:spacing w:line="360" w:lineRule="auto"/>
        <w:jc w:val="center"/>
        <w:outlineLvl w:val="1"/>
        <w:rPr>
          <w:rFonts w:cs="宋体" w:asciiTheme="minorEastAsia" w:hAnsiTheme="minorEastAsia" w:eastAsiaTheme="minorEastAsia"/>
          <w:b/>
          <w:szCs w:val="21"/>
          <w:highlight w:val="none"/>
        </w:rPr>
      </w:pPr>
      <w:bookmarkStart w:id="46" w:name="_Toc32708"/>
      <w:r>
        <w:rPr>
          <w:rFonts w:hint="eastAsia" w:cs="宋体" w:asciiTheme="minorEastAsia" w:hAnsiTheme="minorEastAsia" w:eastAsiaTheme="minorEastAsia"/>
          <w:b/>
          <w:szCs w:val="21"/>
          <w:highlight w:val="none"/>
        </w:rPr>
        <w:t>六、定 标</w:t>
      </w:r>
      <w:bookmarkEnd w:id="46"/>
    </w:p>
    <w:p>
      <w:pPr>
        <w:pStyle w:val="26"/>
        <w:spacing w:line="360" w:lineRule="auto"/>
        <w:ind w:left="420" w:hanging="420" w:hangingChars="199"/>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22. 确定中标供应商</w:t>
      </w:r>
    </w:p>
    <w:p>
      <w:pPr>
        <w:pStyle w:val="131"/>
        <w:snapToGrid w:val="0"/>
        <w:spacing w:before="0"/>
        <w:ind w:firstLine="420"/>
        <w:rPr>
          <w:rFonts w:cs="宋体" w:asciiTheme="minorEastAsia" w:hAnsiTheme="minorEastAsia" w:eastAsiaTheme="minorEastAsia"/>
          <w:b/>
          <w:sz w:val="21"/>
          <w:szCs w:val="21"/>
          <w:highlight w:val="none"/>
        </w:rPr>
      </w:pPr>
      <w:r>
        <w:rPr>
          <w:rFonts w:hint="eastAsia" w:cs="宋体" w:asciiTheme="minorEastAsia" w:hAnsiTheme="minorEastAsia" w:eastAsiaTheme="minorEastAsia"/>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cs="宋体" w:asciiTheme="minorEastAsia" w:hAnsiTheme="minorEastAsia" w:eastAsiaTheme="minorEastAsia"/>
          <w:sz w:val="21"/>
          <w:szCs w:val="21"/>
          <w:highlight w:val="none"/>
        </w:rPr>
        <w:t>5</w:t>
      </w:r>
      <w:r>
        <w:rPr>
          <w:rFonts w:hint="eastAsia" w:cs="宋体" w:asciiTheme="minorEastAsia" w:hAnsiTheme="minorEastAsia" w:eastAsiaTheme="minorEastAsia"/>
          <w:sz w:val="21"/>
          <w:szCs w:val="21"/>
          <w:highlight w:val="none"/>
        </w:rPr>
        <w:t>个工作日内在线确定中标或者成交供应商。中标、成交通知书和中标、成交结果公告应当在规定时间内同时发出。</w:t>
      </w:r>
    </w:p>
    <w:p>
      <w:pPr>
        <w:pStyle w:val="131"/>
        <w:numPr>
          <w:ilvl w:val="0"/>
          <w:numId w:val="1"/>
        </w:numPr>
        <w:snapToGrid w:val="0"/>
        <w:spacing w:before="0"/>
        <w:ind w:firstLine="0" w:firstLineChars="0"/>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中标通知与中标结果公告</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23.3公告期限为1个工作日。</w:t>
      </w:r>
    </w:p>
    <w:p>
      <w:pPr>
        <w:snapToGrid w:val="0"/>
        <w:spacing w:line="360" w:lineRule="auto"/>
        <w:ind w:left="120" w:leftChars="57" w:firstLine="316" w:firstLineChars="150"/>
        <w:jc w:val="center"/>
        <w:rPr>
          <w:rFonts w:cs="宋体" w:asciiTheme="minorEastAsia" w:hAnsiTheme="minorEastAsia" w:eastAsiaTheme="minorEastAsia"/>
          <w:b/>
          <w:szCs w:val="21"/>
          <w:highlight w:val="none"/>
        </w:rPr>
      </w:pPr>
    </w:p>
    <w:p>
      <w:pPr>
        <w:snapToGrid w:val="0"/>
        <w:spacing w:line="360" w:lineRule="auto"/>
        <w:ind w:left="120" w:leftChars="57" w:firstLine="316" w:firstLineChars="150"/>
        <w:jc w:val="center"/>
        <w:outlineLvl w:val="1"/>
        <w:rPr>
          <w:rFonts w:cs="宋体" w:asciiTheme="minorEastAsia" w:hAnsiTheme="minorEastAsia" w:eastAsiaTheme="minorEastAsia"/>
          <w:b/>
          <w:szCs w:val="21"/>
          <w:highlight w:val="none"/>
        </w:rPr>
      </w:pPr>
      <w:bookmarkStart w:id="47" w:name="_Toc22272"/>
      <w:r>
        <w:rPr>
          <w:rFonts w:hint="eastAsia" w:cs="宋体" w:asciiTheme="minorEastAsia" w:hAnsiTheme="minorEastAsia" w:eastAsiaTheme="minorEastAsia"/>
          <w:b/>
          <w:szCs w:val="21"/>
          <w:highlight w:val="none"/>
        </w:rPr>
        <w:t>七、合同授予</w:t>
      </w:r>
      <w:bookmarkEnd w:id="47"/>
    </w:p>
    <w:p>
      <w:pPr>
        <w:pStyle w:val="26"/>
        <w:spacing w:line="360" w:lineRule="auto"/>
        <w:ind w:left="420" w:hanging="420" w:hangingChars="199"/>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 xml:space="preserve">24. </w:t>
      </w:r>
      <w:r>
        <w:rPr>
          <w:rFonts w:hint="eastAsia" w:cs="宋体" w:asciiTheme="minorEastAsia" w:hAnsiTheme="minorEastAsia" w:eastAsiaTheme="minorEastAsia"/>
          <w:sz w:val="21"/>
          <w:szCs w:val="21"/>
          <w:highlight w:val="none"/>
        </w:rPr>
        <w:t>合同主要条款详见第五部分拟签订的合同文本。</w:t>
      </w:r>
    </w:p>
    <w:p>
      <w:pPr>
        <w:pStyle w:val="26"/>
        <w:spacing w:line="360" w:lineRule="auto"/>
        <w:ind w:left="420" w:hanging="420" w:hangingChars="199"/>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25. 合同的签订</w:t>
      </w:r>
    </w:p>
    <w:p>
      <w:pPr>
        <w:pStyle w:val="131"/>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1"/>
        <w:snapToGrid w:val="0"/>
        <w:spacing w:before="0"/>
        <w:ind w:firstLine="420"/>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25.3如签订合同并生效后，供应商无故拒绝或延期，除按照合同条款处理外，列入不良行为记录一次，并给予通报。</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25.5采购合同由采购人与中标供应商根据招标文件、投标文件等内容通过政府采购电子交易平台在线签订，自动备案。</w:t>
      </w:r>
    </w:p>
    <w:p>
      <w:pPr>
        <w:pStyle w:val="26"/>
        <w:spacing w:line="360" w:lineRule="auto"/>
        <w:ind w:left="420" w:hanging="420" w:hangingChars="199"/>
        <w:rPr>
          <w:rFonts w:cs="宋体" w:asciiTheme="minorEastAsia" w:hAnsiTheme="minorEastAsia" w:eastAsiaTheme="minorEastAsia"/>
          <w:b/>
          <w:sz w:val="21"/>
          <w:szCs w:val="21"/>
          <w:highlight w:val="none"/>
        </w:rPr>
      </w:pPr>
      <w:r>
        <w:rPr>
          <w:rFonts w:hint="eastAsia" w:cs="宋体" w:asciiTheme="minorEastAsia" w:hAnsiTheme="minorEastAsia" w:eastAsiaTheme="minorEastAsia"/>
          <w:b/>
          <w:sz w:val="21"/>
          <w:szCs w:val="21"/>
          <w:highlight w:val="none"/>
        </w:rPr>
        <w:t>26. 履约保证金（本项目不适用）</w:t>
      </w:r>
    </w:p>
    <w:p>
      <w:pPr>
        <w:tabs>
          <w:tab w:val="left" w:pos="0"/>
        </w:tabs>
        <w:spacing w:line="360" w:lineRule="auto"/>
        <w:ind w:firstLine="482"/>
        <w:rPr>
          <w:rFonts w:cs="宋体" w:asciiTheme="minorEastAsia" w:hAnsiTheme="minorEastAsia" w:eastAsiaTheme="minorEastAsia"/>
          <w:szCs w:val="21"/>
          <w:highlight w:val="none"/>
        </w:rPr>
      </w:pPr>
      <w:r>
        <w:rPr>
          <w:rFonts w:hint="eastAsia" w:cs="宋体" w:asciiTheme="minorEastAsia" w:hAnsiTheme="minorEastAsia" w:eastAsiaTheme="minorEastAsia"/>
          <w:kern w:val="0"/>
          <w:szCs w:val="21"/>
          <w:highlight w:val="none"/>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Cs w:val="21"/>
          <w:highlight w:val="none"/>
        </w:rPr>
        <w:t>。履约保证金的数额不得超过政府采购合同金额的</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w:t>
      </w:r>
    </w:p>
    <w:p>
      <w:pPr>
        <w:pStyle w:val="4"/>
        <w:ind w:left="0" w:firstLine="420" w:firstLineChars="200"/>
        <w:rPr>
          <w:rFonts w:cs="宋体" w:asciiTheme="minorEastAsia" w:hAnsiTheme="minorEastAsia" w:eastAsiaTheme="minorEastAsia"/>
          <w:b w:val="0"/>
          <w:bCs w:val="0"/>
          <w:snapToGrid w:val="0"/>
          <w:kern w:val="28"/>
          <w:sz w:val="21"/>
          <w:szCs w:val="21"/>
          <w:highlight w:val="none"/>
        </w:rPr>
      </w:pPr>
      <w:bookmarkStart w:id="48" w:name="_Toc5410"/>
      <w:r>
        <w:rPr>
          <w:rFonts w:hint="eastAsia" w:cs="宋体" w:asciiTheme="minorEastAsia" w:hAnsiTheme="minorEastAsia" w:eastAsiaTheme="minorEastAsia"/>
          <w:b w:val="0"/>
          <w:bCs w:val="0"/>
          <w:snapToGrid w:val="0"/>
          <w:kern w:val="28"/>
          <w:sz w:val="21"/>
          <w:szCs w:val="21"/>
          <w:highlight w:val="none"/>
        </w:rPr>
        <w:t>供应商</w:t>
      </w:r>
      <w:r>
        <w:rPr>
          <w:rFonts w:hint="eastAsia" w:cs="宋体" w:asciiTheme="minorEastAsia" w:hAnsiTheme="minorEastAsia" w:eastAsiaTheme="minorEastAsia"/>
          <w:b w:val="0"/>
          <w:bCs w:val="0"/>
          <w:snapToGrid w:val="0"/>
          <w:kern w:val="28"/>
          <w:sz w:val="21"/>
          <w:szCs w:val="21"/>
          <w:highlight w:val="none"/>
          <w:lang w:val="en-US"/>
        </w:rPr>
        <w:t>可</w:t>
      </w:r>
      <w:r>
        <w:rPr>
          <w:rFonts w:hint="eastAsia" w:cs="宋体" w:asciiTheme="minorEastAsia" w:hAnsiTheme="minorEastAsia" w:eastAsiaTheme="minorEastAsia"/>
          <w:b w:val="0"/>
          <w:bCs w:val="0"/>
          <w:snapToGrid w:val="0"/>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8"/>
    </w:p>
    <w:p>
      <w:pPr>
        <w:pStyle w:val="4"/>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lang w:val="en-US"/>
        </w:rPr>
        <w:t>27.预付款</w:t>
      </w:r>
    </w:p>
    <w:p>
      <w:pPr>
        <w:pStyle w:val="4"/>
        <w:ind w:left="0" w:firstLine="420" w:firstLineChars="200"/>
        <w:rPr>
          <w:rFonts w:cs="宋体" w:asciiTheme="minorEastAsia" w:hAnsiTheme="minorEastAsia" w:eastAsiaTheme="minorEastAsia"/>
          <w:b w:val="0"/>
          <w:bCs w:val="0"/>
          <w:snapToGrid w:val="0"/>
          <w:kern w:val="28"/>
          <w:sz w:val="21"/>
          <w:szCs w:val="21"/>
          <w:highlight w:val="none"/>
        </w:rPr>
      </w:pPr>
      <w:r>
        <w:rPr>
          <w:rFonts w:hint="eastAsia" w:cs="宋体" w:asciiTheme="minorEastAsia" w:hAnsiTheme="minorEastAsia" w:eastAsiaTheme="minorEastAsia"/>
          <w:b w:val="0"/>
          <w:bCs w:val="0"/>
          <w:snapToGrid w:val="0"/>
          <w:kern w:val="28"/>
          <w:sz w:val="21"/>
          <w:szCs w:val="21"/>
          <w:highlight w:val="none"/>
        </w:rPr>
        <w:t>采购单位应当在政府采购合同中约定预付款，对中小企业合同预付款比例原则上不低于合同金额的</w:t>
      </w:r>
      <w:r>
        <w:rPr>
          <w:rFonts w:cs="宋体" w:asciiTheme="minorEastAsia" w:hAnsiTheme="minorEastAsia" w:eastAsiaTheme="minorEastAsia"/>
          <w:b w:val="0"/>
          <w:bCs w:val="0"/>
          <w:snapToGrid w:val="0"/>
          <w:kern w:val="28"/>
          <w:sz w:val="21"/>
          <w:szCs w:val="21"/>
          <w:highlight w:val="none"/>
        </w:rPr>
        <w:t>40％</w:t>
      </w:r>
      <w:r>
        <w:rPr>
          <w:rFonts w:hint="eastAsia" w:cs="宋体" w:asciiTheme="minorEastAsia" w:hAnsiTheme="minorEastAsia" w:eastAsiaTheme="minorEastAsia"/>
          <w:b w:val="0"/>
          <w:bCs w:val="0"/>
          <w:snapToGrid w:val="0"/>
          <w:kern w:val="28"/>
          <w:sz w:val="21"/>
          <w:szCs w:val="21"/>
          <w:highlight w:val="none"/>
        </w:rPr>
        <w:t>，不高于合同金额的</w:t>
      </w:r>
      <w:r>
        <w:rPr>
          <w:rFonts w:cs="宋体" w:asciiTheme="minorEastAsia" w:hAnsiTheme="minorEastAsia" w:eastAsiaTheme="minorEastAsia"/>
          <w:b w:val="0"/>
          <w:bCs w:val="0"/>
          <w:snapToGrid w:val="0"/>
          <w:kern w:val="28"/>
          <w:sz w:val="21"/>
          <w:szCs w:val="21"/>
          <w:highlight w:val="none"/>
        </w:rPr>
        <w:t>70%；项目分年安排预算的，每年预付款比例</w:t>
      </w:r>
      <w:r>
        <w:rPr>
          <w:rFonts w:hint="eastAsia" w:cs="宋体" w:asciiTheme="minorEastAsia" w:hAnsiTheme="minorEastAsia" w:eastAsiaTheme="minorEastAsia"/>
          <w:b w:val="0"/>
          <w:bCs w:val="0"/>
          <w:snapToGrid w:val="0"/>
          <w:kern w:val="28"/>
          <w:sz w:val="21"/>
          <w:szCs w:val="21"/>
          <w:highlight w:val="none"/>
        </w:rPr>
        <w:t>不低于</w:t>
      </w:r>
      <w:r>
        <w:rPr>
          <w:rFonts w:cs="宋体" w:asciiTheme="minorEastAsia" w:hAnsiTheme="minorEastAsia" w:eastAsiaTheme="minorEastAsia"/>
          <w:b w:val="0"/>
          <w:bCs w:val="0"/>
          <w:snapToGrid w:val="0"/>
          <w:kern w:val="28"/>
          <w:sz w:val="21"/>
          <w:szCs w:val="21"/>
          <w:highlight w:val="none"/>
        </w:rPr>
        <w:t>项目年度计划支付资金额的40％</w:t>
      </w:r>
      <w:r>
        <w:rPr>
          <w:rFonts w:hint="eastAsia" w:cs="宋体" w:asciiTheme="minorEastAsia" w:hAnsiTheme="minorEastAsia" w:eastAsiaTheme="minorEastAsia"/>
          <w:b w:val="0"/>
          <w:bCs w:val="0"/>
          <w:snapToGrid w:val="0"/>
          <w:kern w:val="28"/>
          <w:sz w:val="21"/>
          <w:szCs w:val="21"/>
          <w:highlight w:val="none"/>
        </w:rPr>
        <w:t>，不高于合同金额的</w:t>
      </w:r>
      <w:r>
        <w:rPr>
          <w:rFonts w:cs="宋体" w:asciiTheme="minorEastAsia" w:hAnsiTheme="minorEastAsia" w:eastAsiaTheme="minorEastAsia"/>
          <w:b w:val="0"/>
          <w:bCs w:val="0"/>
          <w:snapToGrid w:val="0"/>
          <w:kern w:val="28"/>
          <w:sz w:val="21"/>
          <w:szCs w:val="21"/>
          <w:highlight w:val="none"/>
        </w:rPr>
        <w:t>70%；采购项目实施以人工投入为主的，</w:t>
      </w:r>
      <w:r>
        <w:rPr>
          <w:rFonts w:hint="eastAsia" w:cs="宋体" w:asciiTheme="minorEastAsia" w:hAnsiTheme="minorEastAsia" w:eastAsiaTheme="minorEastAsia"/>
          <w:b w:val="0"/>
          <w:bCs w:val="0"/>
          <w:snapToGrid w:val="0"/>
          <w:kern w:val="28"/>
          <w:sz w:val="21"/>
          <w:szCs w:val="21"/>
          <w:highlight w:val="none"/>
        </w:rPr>
        <w:t>可适当降低预付款比例，但不得低于</w:t>
      </w:r>
      <w:r>
        <w:rPr>
          <w:rFonts w:cs="宋体" w:asciiTheme="minorEastAsia" w:hAnsiTheme="minorEastAsia" w:eastAsiaTheme="minorEastAsia"/>
          <w:b w:val="0"/>
          <w:bCs w:val="0"/>
          <w:snapToGrid w:val="0"/>
          <w:kern w:val="28"/>
          <w:sz w:val="21"/>
          <w:szCs w:val="21"/>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b w:val="0"/>
          <w:bCs w:val="0"/>
          <w:snapToGrid w:val="0"/>
          <w:kern w:val="28"/>
          <w:sz w:val="21"/>
          <w:szCs w:val="21"/>
          <w:highlight w:val="none"/>
        </w:rPr>
        <w:t>供应商</w:t>
      </w:r>
      <w:r>
        <w:rPr>
          <w:rFonts w:cs="宋体" w:asciiTheme="minorEastAsia" w:hAnsiTheme="minorEastAsia" w:eastAsiaTheme="minorEastAsia"/>
          <w:b w:val="0"/>
          <w:bCs w:val="0"/>
          <w:snapToGrid w:val="0"/>
          <w:kern w:val="28"/>
          <w:sz w:val="21"/>
          <w:szCs w:val="21"/>
          <w:highlight w:val="none"/>
        </w:rPr>
        <w:t>明确表示无需预付款或者主动要求降低预付款比例的，</w:t>
      </w:r>
      <w:r>
        <w:rPr>
          <w:rFonts w:hint="eastAsia" w:cs="宋体" w:asciiTheme="minorEastAsia" w:hAnsiTheme="minorEastAsia" w:eastAsiaTheme="minorEastAsia"/>
          <w:b w:val="0"/>
          <w:bCs w:val="0"/>
          <w:snapToGrid w:val="0"/>
          <w:kern w:val="28"/>
          <w:sz w:val="21"/>
          <w:szCs w:val="21"/>
          <w:highlight w:val="none"/>
        </w:rPr>
        <w:t>采购单位</w:t>
      </w:r>
      <w:r>
        <w:rPr>
          <w:rFonts w:cs="宋体" w:asciiTheme="minorEastAsia" w:hAnsiTheme="minorEastAsia" w:eastAsiaTheme="minorEastAsia"/>
          <w:b w:val="0"/>
          <w:bCs w:val="0"/>
          <w:snapToGrid w:val="0"/>
          <w:kern w:val="28"/>
          <w:sz w:val="21"/>
          <w:szCs w:val="21"/>
          <w:highlight w:val="none"/>
        </w:rPr>
        <w:t>可不适用前述规定。</w:t>
      </w:r>
    </w:p>
    <w:p>
      <w:pPr>
        <w:snapToGrid w:val="0"/>
        <w:spacing w:line="360" w:lineRule="auto"/>
        <w:ind w:firstLine="2203" w:firstLineChars="1045"/>
        <w:rPr>
          <w:rFonts w:cs="宋体" w:asciiTheme="minorEastAsia" w:hAnsiTheme="minorEastAsia" w:eastAsiaTheme="minorEastAsia"/>
          <w:b/>
          <w:szCs w:val="21"/>
          <w:highlight w:val="none"/>
        </w:rPr>
      </w:pPr>
    </w:p>
    <w:p>
      <w:pPr>
        <w:snapToGrid w:val="0"/>
        <w:spacing w:line="360" w:lineRule="auto"/>
        <w:ind w:firstLine="3046" w:firstLineChars="1445"/>
        <w:outlineLvl w:val="1"/>
        <w:rPr>
          <w:rFonts w:cs="宋体" w:asciiTheme="minorEastAsia" w:hAnsiTheme="minorEastAsia" w:eastAsiaTheme="minorEastAsia"/>
          <w:b/>
          <w:szCs w:val="21"/>
          <w:highlight w:val="none"/>
        </w:rPr>
      </w:pPr>
      <w:bookmarkStart w:id="49" w:name="_Toc362"/>
      <w:r>
        <w:rPr>
          <w:rFonts w:hint="eastAsia" w:cs="宋体" w:asciiTheme="minorEastAsia" w:hAnsiTheme="minorEastAsia" w:eastAsiaTheme="minorEastAsia"/>
          <w:b/>
          <w:szCs w:val="21"/>
          <w:highlight w:val="none"/>
        </w:rPr>
        <w:t>八、电子交易活动的中止</w:t>
      </w:r>
      <w:bookmarkEnd w:id="49"/>
    </w:p>
    <w:p>
      <w:pPr>
        <w:pStyle w:val="131"/>
        <w:snapToGrid w:val="0"/>
        <w:spacing w:before="0"/>
        <w:ind w:firstLine="0" w:firstLineChars="0"/>
        <w:rPr>
          <w:rFonts w:cs="宋体" w:asciiTheme="minorEastAsia" w:hAnsiTheme="minorEastAsia" w:eastAsiaTheme="minorEastAsia"/>
          <w:b/>
          <w:sz w:val="21"/>
          <w:szCs w:val="21"/>
          <w:highlight w:val="none"/>
        </w:rPr>
      </w:pPr>
      <w:r>
        <w:rPr>
          <w:rFonts w:cs="宋体" w:asciiTheme="minorEastAsia" w:hAnsiTheme="minorEastAsia" w:eastAsiaTheme="minorEastAsia"/>
          <w:b/>
          <w:bCs/>
          <w:sz w:val="21"/>
          <w:szCs w:val="21"/>
          <w:highlight w:val="none"/>
        </w:rPr>
        <w:t>28</w:t>
      </w:r>
      <w:r>
        <w:rPr>
          <w:rFonts w:hint="eastAsia" w:cs="宋体" w:asciiTheme="minorEastAsia" w:hAnsiTheme="minorEastAsia" w:eastAsiaTheme="minorEastAsia"/>
          <w:b/>
          <w:sz w:val="21"/>
          <w:szCs w:val="21"/>
          <w:highlight w:val="none"/>
        </w:rPr>
        <w:t>. 电子交易活动的中止</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r>
        <w:rPr>
          <w:rFonts w:cs="宋体" w:asciiTheme="minorEastAsia" w:hAnsiTheme="minorEastAsia" w:eastAsiaTheme="minorEastAsia"/>
          <w:sz w:val="21"/>
          <w:szCs w:val="21"/>
          <w:highlight w:val="none"/>
        </w:rPr>
        <w:t>8</w:t>
      </w:r>
      <w:r>
        <w:rPr>
          <w:rFonts w:hint="eastAsia" w:cs="宋体" w:asciiTheme="minorEastAsia" w:hAnsiTheme="minorEastAsia" w:eastAsiaTheme="minorEastAsia"/>
          <w:sz w:val="21"/>
          <w:szCs w:val="21"/>
          <w:highlight w:val="none"/>
        </w:rPr>
        <w:t xml:space="preserve">.1电子交易平台发生故障而无法登录访问的； </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r>
        <w:rPr>
          <w:rFonts w:cs="宋体" w:asciiTheme="minorEastAsia" w:hAnsiTheme="minorEastAsia" w:eastAsiaTheme="minorEastAsia"/>
          <w:sz w:val="21"/>
          <w:szCs w:val="21"/>
          <w:highlight w:val="none"/>
        </w:rPr>
        <w:t>8</w:t>
      </w:r>
      <w:r>
        <w:rPr>
          <w:rFonts w:hint="eastAsia" w:cs="宋体" w:asciiTheme="minorEastAsia" w:hAnsiTheme="minorEastAsia" w:eastAsiaTheme="minorEastAsia"/>
          <w:sz w:val="21"/>
          <w:szCs w:val="21"/>
          <w:highlight w:val="none"/>
        </w:rPr>
        <w:t>.2电子交易平台应用或数据库出现错误，不能进行正常操作的；</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r>
        <w:rPr>
          <w:rFonts w:cs="宋体" w:asciiTheme="minorEastAsia" w:hAnsiTheme="minorEastAsia" w:eastAsiaTheme="minorEastAsia"/>
          <w:sz w:val="21"/>
          <w:szCs w:val="21"/>
          <w:highlight w:val="none"/>
        </w:rPr>
        <w:t>8</w:t>
      </w:r>
      <w:r>
        <w:rPr>
          <w:rFonts w:hint="eastAsia" w:cs="宋体" w:asciiTheme="minorEastAsia" w:hAnsiTheme="minorEastAsia" w:eastAsiaTheme="minorEastAsia"/>
          <w:sz w:val="21"/>
          <w:szCs w:val="21"/>
          <w:highlight w:val="none"/>
        </w:rPr>
        <w:t>.3电子交易平台发现严重安全漏洞，有潜在泄密危险的；</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r>
        <w:rPr>
          <w:rFonts w:cs="宋体" w:asciiTheme="minorEastAsia" w:hAnsiTheme="minorEastAsia" w:eastAsiaTheme="minorEastAsia"/>
          <w:sz w:val="21"/>
          <w:szCs w:val="21"/>
          <w:highlight w:val="none"/>
        </w:rPr>
        <w:t>8</w:t>
      </w:r>
      <w:r>
        <w:rPr>
          <w:rFonts w:hint="eastAsia" w:cs="宋体" w:asciiTheme="minorEastAsia" w:hAnsiTheme="minorEastAsia" w:eastAsiaTheme="minorEastAsia"/>
          <w:sz w:val="21"/>
          <w:szCs w:val="21"/>
          <w:highlight w:val="none"/>
        </w:rPr>
        <w:t xml:space="preserve">.4病毒发作导致不能进行正常操作的； </w:t>
      </w:r>
    </w:p>
    <w:p>
      <w:pPr>
        <w:pStyle w:val="131"/>
        <w:snapToGrid w:val="0"/>
        <w:spacing w:before="0"/>
        <w:ind w:firstLine="42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r>
        <w:rPr>
          <w:rFonts w:cs="宋体" w:asciiTheme="minorEastAsia" w:hAnsiTheme="minorEastAsia" w:eastAsiaTheme="minorEastAsia"/>
          <w:sz w:val="21"/>
          <w:szCs w:val="21"/>
          <w:highlight w:val="none"/>
        </w:rPr>
        <w:t>8</w:t>
      </w:r>
      <w:r>
        <w:rPr>
          <w:rFonts w:hint="eastAsia" w:cs="宋体" w:asciiTheme="minorEastAsia" w:hAnsiTheme="minorEastAsia" w:eastAsiaTheme="minorEastAsia"/>
          <w:sz w:val="21"/>
          <w:szCs w:val="21"/>
          <w:highlight w:val="none"/>
        </w:rPr>
        <w:t>.5其他无法保证电子交易的公平、公正和安全的情况。</w:t>
      </w:r>
    </w:p>
    <w:p>
      <w:pPr>
        <w:pStyle w:val="131"/>
        <w:snapToGrid w:val="0"/>
        <w:spacing w:before="0"/>
        <w:ind w:firstLine="0" w:firstLineChars="0"/>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t>28</w:t>
      </w:r>
      <w:r>
        <w:rPr>
          <w:rFonts w:hint="eastAsia" w:cs="宋体" w:asciiTheme="minorEastAsia" w:hAnsiTheme="minorEastAsia" w:eastAsiaTheme="minorEastAsia"/>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Cs w:val="21"/>
          <w:highlight w:val="none"/>
        </w:rPr>
      </w:pPr>
    </w:p>
    <w:p>
      <w:pPr>
        <w:snapToGrid w:val="0"/>
        <w:spacing w:line="360" w:lineRule="auto"/>
        <w:ind w:left="120" w:leftChars="57" w:firstLine="316" w:firstLineChars="150"/>
        <w:jc w:val="center"/>
        <w:outlineLvl w:val="1"/>
        <w:rPr>
          <w:rFonts w:cs="宋体" w:asciiTheme="minorEastAsia" w:hAnsiTheme="minorEastAsia" w:eastAsiaTheme="minorEastAsia"/>
          <w:b/>
          <w:szCs w:val="21"/>
          <w:highlight w:val="none"/>
        </w:rPr>
      </w:pPr>
      <w:bookmarkStart w:id="50" w:name="_Toc12798"/>
      <w:r>
        <w:rPr>
          <w:rFonts w:hint="eastAsia" w:cs="宋体" w:asciiTheme="minorEastAsia" w:hAnsiTheme="minorEastAsia" w:eastAsiaTheme="minorEastAsia"/>
          <w:b/>
          <w:szCs w:val="21"/>
          <w:highlight w:val="none"/>
        </w:rPr>
        <w:t>九、验收</w:t>
      </w:r>
      <w:bookmarkEnd w:id="50"/>
    </w:p>
    <w:p>
      <w:pPr>
        <w:pStyle w:val="26"/>
        <w:spacing w:line="360" w:lineRule="auto"/>
        <w:ind w:firstLine="0" w:firstLineChars="0"/>
        <w:rPr>
          <w:rFonts w:cs="宋体" w:asciiTheme="minorEastAsia" w:hAnsiTheme="minorEastAsia" w:eastAsiaTheme="minorEastAsia"/>
          <w:b/>
          <w:sz w:val="21"/>
          <w:szCs w:val="21"/>
          <w:highlight w:val="none"/>
        </w:rPr>
      </w:pPr>
      <w:r>
        <w:rPr>
          <w:rFonts w:cs="宋体" w:asciiTheme="minorEastAsia" w:hAnsiTheme="minorEastAsia" w:eastAsiaTheme="minorEastAsia"/>
          <w:b/>
          <w:sz w:val="21"/>
          <w:szCs w:val="21"/>
          <w:highlight w:val="none"/>
        </w:rPr>
        <w:t>29</w:t>
      </w:r>
      <w:r>
        <w:rPr>
          <w:rFonts w:hint="eastAsia" w:cs="宋体" w:asciiTheme="minorEastAsia" w:hAnsiTheme="minorEastAsia" w:eastAsiaTheme="minorEastAsia"/>
          <w:b/>
          <w:sz w:val="21"/>
          <w:szCs w:val="21"/>
          <w:highlight w:val="none"/>
        </w:rPr>
        <w:t>.验收</w:t>
      </w:r>
    </w:p>
    <w:p>
      <w:pPr>
        <w:tabs>
          <w:tab w:val="left" w:pos="0"/>
        </w:tabs>
        <w:spacing w:line="360" w:lineRule="auto"/>
        <w:ind w:firstLine="48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29</w:t>
      </w:r>
      <w:r>
        <w:rPr>
          <w:rFonts w:hint="eastAsia" w:cs="宋体" w:asciiTheme="minorEastAsia" w:hAnsiTheme="minorEastAsia" w:eastAsiaTheme="minorEastAsia"/>
          <w:kern w:val="0"/>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29</w:t>
      </w:r>
      <w:r>
        <w:rPr>
          <w:rFonts w:hint="eastAsia" w:cs="宋体" w:asciiTheme="minorEastAsia" w:hAnsiTheme="minorEastAsia" w:eastAsiaTheme="minorEastAsia"/>
          <w:kern w:val="0"/>
          <w:szCs w:val="21"/>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29</w:t>
      </w:r>
      <w:r>
        <w:rPr>
          <w:rFonts w:hint="eastAsia" w:cs="宋体" w:asciiTheme="minorEastAsia" w:hAnsiTheme="minorEastAsia" w:eastAsiaTheme="minorEastAsia"/>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宋体" w:asciiTheme="minorEastAsia" w:hAnsiTheme="minorEastAsia" w:eastAsiaTheme="minorEastAsia"/>
          <w:kern w:val="0"/>
          <w:szCs w:val="21"/>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r>
        <w:rPr>
          <w:rFonts w:cs="宋体" w:asciiTheme="minorEastAsia" w:hAnsiTheme="minorEastAsia" w:eastAsiaTheme="minorEastAsia"/>
          <w:kern w:val="0"/>
          <w:szCs w:val="21"/>
          <w:highlight w:val="none"/>
        </w:rPr>
        <w:t>29</w:t>
      </w:r>
      <w:r>
        <w:rPr>
          <w:rFonts w:hint="eastAsia" w:cs="宋体" w:asciiTheme="minorEastAsia" w:hAnsiTheme="minorEastAsia" w:eastAsiaTheme="minorEastAsia"/>
          <w:kern w:val="0"/>
          <w:szCs w:val="21"/>
          <w:highlight w:val="none"/>
        </w:rPr>
        <w:t>.4验收合格的项目，采购人将根据采购合同的约定及时向供应商支付采购资金、退还履约保证金（如有）。验收不合格的项目，采购人将依法及时处理。采购合同的履行、违约责任和解决争议的方式等适用《中华人民共和国民法典》。</w:t>
      </w:r>
      <w:bookmarkEnd w:id="45"/>
      <w:bookmarkStart w:id="51" w:name="_Hlt75236011"/>
      <w:bookmarkEnd w:id="51"/>
      <w:bookmarkStart w:id="52" w:name="_Hlt74714665"/>
      <w:bookmarkEnd w:id="52"/>
      <w:bookmarkStart w:id="53" w:name="_Hlt74730295"/>
      <w:bookmarkEnd w:id="53"/>
      <w:bookmarkStart w:id="54" w:name="_Hlt75236101"/>
      <w:bookmarkEnd w:id="54"/>
      <w:bookmarkStart w:id="55" w:name="_Hlt74707468"/>
      <w:bookmarkEnd w:id="55"/>
      <w:bookmarkStart w:id="56" w:name="_Hlt68403820"/>
      <w:bookmarkEnd w:id="56"/>
      <w:bookmarkStart w:id="57" w:name="_Hlt74729768"/>
      <w:bookmarkEnd w:id="57"/>
      <w:bookmarkStart w:id="58" w:name="_Hlt68057669"/>
      <w:bookmarkEnd w:id="58"/>
      <w:bookmarkStart w:id="59" w:name="_Hlt68072998"/>
      <w:bookmarkEnd w:id="59"/>
      <w:bookmarkStart w:id="60" w:name="_Hlt68073093"/>
      <w:bookmarkEnd w:id="60"/>
      <w:bookmarkStart w:id="61" w:name="_Hlt68072990"/>
      <w:bookmarkEnd w:id="61"/>
      <w:bookmarkStart w:id="62" w:name="_Hlt75236290"/>
      <w:bookmarkEnd w:id="62"/>
    </w:p>
    <w:bookmarkEnd w:id="31"/>
    <w:bookmarkEnd w:id="32"/>
    <w:p>
      <w:pPr>
        <w:spacing w:line="360" w:lineRule="auto"/>
        <w:jc w:val="center"/>
        <w:outlineLvl w:val="0"/>
        <w:rPr>
          <w:rFonts w:ascii="宋体" w:hAnsi="宋体" w:cs="宋体"/>
          <w:b/>
          <w:sz w:val="36"/>
          <w:szCs w:val="36"/>
          <w:highlight w:val="none"/>
        </w:rPr>
      </w:pPr>
      <w:bookmarkStart w:id="63" w:name="_Toc9424"/>
      <w:bookmarkStart w:id="64" w:name="_Toc17321"/>
      <w:bookmarkStart w:id="65" w:name="第四部分"/>
      <w:r>
        <w:rPr>
          <w:rFonts w:hint="eastAsia" w:ascii="宋体" w:hAnsi="宋体" w:cs="宋体"/>
          <w:b/>
          <w:sz w:val="36"/>
          <w:szCs w:val="36"/>
          <w:highlight w:val="none"/>
        </w:rPr>
        <w:t>第三部分   采购需求</w:t>
      </w:r>
      <w:bookmarkEnd w:id="63"/>
      <w:bookmarkEnd w:id="64"/>
    </w:p>
    <w:p>
      <w:pPr>
        <w:spacing w:line="360" w:lineRule="auto"/>
        <w:ind w:firstLine="422" w:firstLineChars="200"/>
        <w:rPr>
          <w:rFonts w:asciiTheme="minorEastAsia" w:hAnsiTheme="minorEastAsia" w:eastAsiaTheme="minorEastAsia"/>
          <w:b/>
          <w:bCs/>
          <w:szCs w:val="21"/>
          <w:highlight w:val="none"/>
        </w:rPr>
      </w:pPr>
      <w:bookmarkStart w:id="66" w:name="_Hlk149746681"/>
      <w:r>
        <w:rPr>
          <w:rFonts w:hint="eastAsia" w:asciiTheme="minorEastAsia" w:hAnsiTheme="minorEastAsia" w:eastAsiaTheme="minorEastAsia"/>
          <w:b/>
          <w:bCs/>
          <w:szCs w:val="21"/>
          <w:highlight w:val="none"/>
        </w:rPr>
        <w:t>（一）、采购标的信息汇总表</w:t>
      </w:r>
    </w:p>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23"/>
        <w:gridCol w:w="1275"/>
        <w:gridCol w:w="1418"/>
        <w:gridCol w:w="1843"/>
        <w:gridCol w:w="1134"/>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Ansi="宋体" w:cs="Calibri"/>
                <w:highlight w:val="none"/>
              </w:rPr>
              <w:t>序号</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hAnsi="宋体" w:cs="Calibri"/>
                <w:highlight w:val="none"/>
              </w:rPr>
              <w:t>采购人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hAnsi="宋体" w:cs="Calibri"/>
                <w:highlight w:val="none"/>
              </w:rPr>
              <w:t>采购标的</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hAnsi="宋体" w:cs="Calibri"/>
                <w:highlight w:val="none"/>
              </w:rPr>
              <w:t>数量及</w:t>
            </w:r>
            <w:r>
              <w:rPr>
                <w:rFonts w:hAnsi="宋体" w:cs="Calibri"/>
                <w:highlight w:val="none"/>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asciiTheme="minorEastAsia" w:hAnsiTheme="minorEastAsia" w:eastAsiaTheme="minorEastAsia"/>
                <w:kern w:val="0"/>
                <w:szCs w:val="21"/>
                <w:highlight w:val="none"/>
              </w:rPr>
              <w:t>预算金额（最高限价）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hAnsi="宋体" w:cs="Calibri"/>
                <w:highlight w:val="none"/>
              </w:rPr>
              <w:t>是否进口</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ascii="宋体" w:hAnsi="宋体"/>
                <w:szCs w:val="21"/>
                <w:highlight w:val="none"/>
              </w:rPr>
              <w:t>成交人数量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12" w:type="dxa"/>
            <w:tcBorders>
              <w:top w:val="single" w:color="auto" w:sz="4" w:space="0"/>
              <w:left w:val="single" w:color="auto" w:sz="4" w:space="0"/>
              <w:right w:val="single" w:color="auto" w:sz="4" w:space="0"/>
            </w:tcBorders>
            <w:vAlign w:val="center"/>
          </w:tcPr>
          <w:p>
            <w:pPr>
              <w:widowControl/>
              <w:snapToGrid w:val="0"/>
              <w:spacing w:line="300" w:lineRule="auto"/>
              <w:ind w:firstLine="210" w:firstLineChars="100"/>
              <w:jc w:val="left"/>
              <w:rPr>
                <w:rFonts w:hAnsi="宋体" w:cs="Calibri"/>
                <w:highlight w:val="none"/>
              </w:rPr>
            </w:pPr>
            <w:r>
              <w:rPr>
                <w:rFonts w:hAnsi="宋体" w:cs="Calibri"/>
                <w:highlight w:val="none"/>
              </w:rPr>
              <w:t>1</w:t>
            </w:r>
          </w:p>
        </w:tc>
        <w:tc>
          <w:tcPr>
            <w:tcW w:w="1523" w:type="dxa"/>
            <w:tcBorders>
              <w:top w:val="single" w:color="auto" w:sz="4" w:space="0"/>
              <w:left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hAnsi="宋体" w:cs="Arial"/>
                <w:kern w:val="0"/>
                <w:szCs w:val="21"/>
                <w:highlight w:val="none"/>
                <w:lang w:val="en"/>
              </w:rPr>
              <w:t>宁波市鄞州区人民政府聚贤街道办事处</w:t>
            </w:r>
          </w:p>
        </w:tc>
        <w:tc>
          <w:tcPr>
            <w:tcW w:w="1275" w:type="dxa"/>
            <w:tcBorders>
              <w:top w:val="single" w:color="auto" w:sz="4" w:space="0"/>
              <w:left w:val="single" w:color="auto" w:sz="4" w:space="0"/>
              <w:right w:val="single" w:color="auto" w:sz="4" w:space="0"/>
            </w:tcBorders>
            <w:vAlign w:val="center"/>
          </w:tcPr>
          <w:p>
            <w:pPr>
              <w:widowControl/>
              <w:snapToGrid w:val="0"/>
              <w:spacing w:line="300" w:lineRule="auto"/>
              <w:jc w:val="center"/>
              <w:rPr>
                <w:rFonts w:hAnsi="宋体" w:cs="Arial"/>
                <w:kern w:val="0"/>
                <w:szCs w:val="21"/>
                <w:highlight w:val="none"/>
                <w:lang w:val="en"/>
              </w:rPr>
            </w:pPr>
            <w:r>
              <w:rPr>
                <w:rFonts w:hint="eastAsia" w:hAnsi="宋体" w:cs="Arial"/>
                <w:kern w:val="0"/>
                <w:szCs w:val="21"/>
                <w:highlight w:val="none"/>
                <w:lang w:val="en"/>
              </w:rPr>
              <w:t>聚贤街道2024-2027年病媒生物防治社会化服务</w:t>
            </w:r>
          </w:p>
        </w:tc>
        <w:tc>
          <w:tcPr>
            <w:tcW w:w="1418" w:type="dxa"/>
            <w:tcBorders>
              <w:top w:val="single" w:color="auto" w:sz="4" w:space="0"/>
              <w:left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hAnsi="宋体" w:cs="Calibri"/>
                <w:highlight w:val="none"/>
              </w:rPr>
              <w:t>不限/项</w:t>
            </w:r>
          </w:p>
        </w:tc>
        <w:tc>
          <w:tcPr>
            <w:tcW w:w="1843" w:type="dxa"/>
            <w:tcBorders>
              <w:top w:val="single" w:color="auto" w:sz="4" w:space="0"/>
              <w:left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asciiTheme="minorEastAsia" w:hAnsiTheme="minorEastAsia" w:eastAsiaTheme="minorEastAsia"/>
                <w:kern w:val="0"/>
                <w:szCs w:val="21"/>
                <w:highlight w:val="none"/>
              </w:rPr>
              <w:t>人民币：41</w:t>
            </w:r>
            <w:r>
              <w:rPr>
                <w:rFonts w:asciiTheme="minorEastAsia" w:hAnsiTheme="minorEastAsia" w:eastAsiaTheme="minorEastAsia"/>
                <w:kern w:val="0"/>
                <w:szCs w:val="21"/>
                <w:highlight w:val="none"/>
              </w:rPr>
              <w:t>0000</w:t>
            </w:r>
            <w:r>
              <w:rPr>
                <w:rFonts w:hint="eastAsia" w:asciiTheme="minorEastAsia" w:hAnsiTheme="minorEastAsia" w:eastAsiaTheme="minorEastAsia"/>
                <w:kern w:val="0"/>
                <w:szCs w:val="21"/>
                <w:highlight w:val="none"/>
              </w:rPr>
              <w:t>元/年</w:t>
            </w:r>
          </w:p>
        </w:tc>
        <w:tc>
          <w:tcPr>
            <w:tcW w:w="1134" w:type="dxa"/>
            <w:tcBorders>
              <w:top w:val="single" w:color="auto" w:sz="4" w:space="0"/>
              <w:left w:val="single" w:color="auto" w:sz="4" w:space="0"/>
              <w:right w:val="single" w:color="auto" w:sz="4" w:space="0"/>
            </w:tcBorders>
            <w:vAlign w:val="center"/>
          </w:tcPr>
          <w:p>
            <w:pPr>
              <w:widowControl/>
              <w:snapToGrid w:val="0"/>
              <w:spacing w:line="300" w:lineRule="auto"/>
              <w:jc w:val="center"/>
              <w:rPr>
                <w:rFonts w:hAnsi="宋体" w:cs="Calibri"/>
                <w:highlight w:val="none"/>
              </w:rPr>
            </w:pPr>
            <w:r>
              <w:rPr>
                <w:rFonts w:hint="eastAsia" w:hAnsi="宋体" w:cs="Calibri"/>
                <w:highlight w:val="none"/>
              </w:rPr>
              <w:t>否</w:t>
            </w:r>
          </w:p>
        </w:tc>
        <w:tc>
          <w:tcPr>
            <w:tcW w:w="1381" w:type="dxa"/>
            <w:vAlign w:val="center"/>
          </w:tcPr>
          <w:p>
            <w:pPr>
              <w:widowControl/>
              <w:snapToGrid w:val="0"/>
              <w:spacing w:line="300" w:lineRule="auto"/>
              <w:jc w:val="center"/>
              <w:rPr>
                <w:rFonts w:hAnsi="宋体" w:cs="Calibri"/>
                <w:highlight w:val="none"/>
              </w:rPr>
            </w:pPr>
            <w:r>
              <w:rPr>
                <w:rFonts w:hAnsi="宋体" w:cs="Calibri"/>
                <w:highlight w:val="none"/>
              </w:rPr>
              <w:t>1</w:t>
            </w:r>
            <w:r>
              <w:rPr>
                <w:rFonts w:hint="eastAsia" w:hAnsi="宋体" w:cs="Calibri"/>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86" w:type="dxa"/>
            <w:gridSpan w:val="7"/>
            <w:tcBorders>
              <w:left w:val="single" w:color="auto" w:sz="4" w:space="0"/>
              <w:bottom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注：采购方式：公开招标。</w:t>
            </w:r>
          </w:p>
        </w:tc>
      </w:tr>
    </w:tbl>
    <w:p>
      <w:pPr>
        <w:snapToGrid w:val="0"/>
        <w:spacing w:line="360" w:lineRule="auto"/>
        <w:ind w:firstLine="422" w:firstLineChars="200"/>
        <w:outlineLvl w:val="1"/>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（二）、技术要求</w:t>
      </w:r>
    </w:p>
    <w:p>
      <w:pPr>
        <w:spacing w:line="360" w:lineRule="auto"/>
        <w:rPr>
          <w:rFonts w:asciiTheme="minorEastAsia" w:hAnsiTheme="minorEastAsia" w:eastAsiaTheme="minorEastAsia"/>
          <w:szCs w:val="21"/>
          <w:highlight w:val="none"/>
        </w:rPr>
      </w:pPr>
      <w:bookmarkStart w:id="67" w:name="_Hlk158212562"/>
      <w:bookmarkStart w:id="68" w:name="_Hlk164437971"/>
      <w:r>
        <w:rPr>
          <w:rFonts w:hint="eastAsia" w:asciiTheme="minorEastAsia" w:hAnsiTheme="minorEastAsia" w:eastAsiaTheme="minorEastAsia"/>
          <w:szCs w:val="21"/>
          <w:highlight w:val="none"/>
        </w:rPr>
        <w:t>一</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防治对象：本项目“除四害”防治对象为老鼠、蟑螂、苍蝇、蚊子。</w:t>
      </w:r>
    </w:p>
    <w:p>
      <w:pPr>
        <w:spacing w:line="360" w:lineRule="auto"/>
        <w:rPr>
          <w:rFonts w:ascii="宋体" w:hAnsi="宋体"/>
          <w:szCs w:val="21"/>
          <w:highlight w:val="none"/>
        </w:rPr>
      </w:pPr>
      <w:r>
        <w:rPr>
          <w:rFonts w:hint="eastAsia" w:asciiTheme="minorEastAsia" w:hAnsiTheme="minorEastAsia" w:eastAsiaTheme="minorEastAsia"/>
          <w:szCs w:val="21"/>
          <w:highlight w:val="none"/>
        </w:rPr>
        <w:t>二</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 xml:space="preserve">防治范围: </w:t>
      </w:r>
      <w:r>
        <w:rPr>
          <w:rFonts w:hint="eastAsia" w:ascii="宋体" w:hAnsi="宋体"/>
          <w:szCs w:val="21"/>
          <w:highlight w:val="none"/>
        </w:rPr>
        <w:t>按《宁波市爱国卫生条例》、《宁波市除四害工作管理规定》标准做好辖区（包含蓝湾、江南景苑、东海府、涨馨苑、悦湾、雍景湾、珑耀华庭、瑞臻华庭、皇冠花园一、二、三期、藏珑、80墅、科技广场、研发园单身公寓、华苑银座、凌云公寓、东晟府、五和苑、齐和家园、庄和家园、深蓝公寓（公寓楼四幢）、新材料国际创新中心、君晟华庭、锦尚雅苑、扬帆广场、宝龙、迪信通、印创广场、明月时光中心小区公共绿地、下水道窨井、楼道、垃圾箱、公厕等处，及扬帆广场五小店面、街道办事处、菁华垃圾中转站及以上辖区内现有居住小区的外环境公共绿地、下水道窨井、楼道、垃圾箱、公厕、五小店面等处）的病媒生物防治工作</w:t>
      </w:r>
      <w:r>
        <w:rPr>
          <w:rFonts w:hint="eastAsia" w:asciiTheme="minorEastAsia" w:hAnsiTheme="minorEastAsia" w:eastAsiaTheme="minorEastAsia"/>
          <w:szCs w:val="21"/>
          <w:highlight w:val="none"/>
        </w:rPr>
        <w:t>。</w:t>
      </w:r>
    </w:p>
    <w:p>
      <w:pPr>
        <w:pStyle w:val="3"/>
        <w:tabs>
          <w:tab w:val="left" w:pos="5220"/>
        </w:tabs>
        <w:spacing w:before="0" w:after="0" w:line="360" w:lineRule="auto"/>
        <w:jc w:val="left"/>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三</w:t>
      </w:r>
      <w:r>
        <w:rPr>
          <w:rFonts w:asciiTheme="minorEastAsia" w:hAnsiTheme="minorEastAsia" w:eastAsiaTheme="minorEastAsia"/>
          <w:b w:val="0"/>
          <w:bCs w:val="0"/>
          <w:sz w:val="21"/>
          <w:szCs w:val="21"/>
          <w:highlight w:val="none"/>
        </w:rPr>
        <w:t>、</w:t>
      </w:r>
      <w:r>
        <w:rPr>
          <w:rFonts w:hint="eastAsia" w:asciiTheme="minorEastAsia" w:hAnsiTheme="minorEastAsia" w:eastAsiaTheme="minorEastAsia"/>
          <w:b w:val="0"/>
          <w:bCs w:val="0"/>
          <w:sz w:val="21"/>
          <w:szCs w:val="21"/>
          <w:highlight w:val="none"/>
        </w:rPr>
        <w:t>服务</w:t>
      </w:r>
      <w:r>
        <w:rPr>
          <w:rFonts w:asciiTheme="minorEastAsia" w:hAnsiTheme="minorEastAsia" w:eastAsiaTheme="minorEastAsia"/>
          <w:b w:val="0"/>
          <w:bCs w:val="0"/>
          <w:sz w:val="21"/>
          <w:szCs w:val="21"/>
          <w:highlight w:val="none"/>
        </w:rPr>
        <w:t>内容</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1、承包消杀目标。消杀对象：老鼠、蟑螂、苍蝇、蚊子；</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2、提供“除四害”宣传资料，按照“除四害”技术方案做好宣传工作、四害密度监测工作、药物、药械投放工作，确保除四害服务达到国家考核标准；</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3、消灭、消除本项目消杀范围内的四害活动痕迹（如蟑迹、鼠迹等）；</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、指导做好防蝇、防鼠等设施建设；</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、指导居民室内“除四害”的作业方式、方法</w:t>
      </w:r>
      <w:r>
        <w:rPr>
          <w:rFonts w:asciiTheme="minorEastAsia" w:hAnsiTheme="minorEastAsia" w:eastAsiaTheme="minorEastAsia"/>
          <w:szCs w:val="21"/>
          <w:highlight w:val="none"/>
        </w:rPr>
        <w:t>。</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、具体服务内容：</w:t>
      </w:r>
    </w:p>
    <w:p>
      <w:pPr>
        <w:spacing w:line="360" w:lineRule="auto"/>
        <w:ind w:firstLine="420" w:firstLineChars="20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①</w:t>
      </w:r>
      <w:r>
        <w:rPr>
          <w:rFonts w:hint="eastAsia" w:cs="宋体" w:asciiTheme="minorEastAsia" w:hAnsiTheme="minorEastAsia" w:eastAsiaTheme="minorEastAsia"/>
          <w:szCs w:val="21"/>
          <w:highlight w:val="none"/>
        </w:rPr>
        <w:t>公共外环境的除四害工作</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在防治区域内不同程度垒建毒鼠屋，每月</w:t>
      </w:r>
      <w:r>
        <w:rPr>
          <w:rFonts w:hint="eastAsia" w:cs="宋体" w:asciiTheme="minorEastAsia" w:hAnsiTheme="minorEastAsia" w:eastAsiaTheme="minorEastAsia"/>
          <w:szCs w:val="21"/>
          <w:highlight w:val="none"/>
        </w:rPr>
        <w:t>不少于3次</w:t>
      </w:r>
      <w:r>
        <w:rPr>
          <w:rFonts w:hint="eastAsia" w:asciiTheme="minorEastAsia" w:hAnsiTheme="minorEastAsia" w:eastAsiaTheme="minorEastAsia"/>
          <w:szCs w:val="21"/>
          <w:highlight w:val="none"/>
        </w:rPr>
        <w:t>在外环境绿化带投放灭鼠蜡丸、蜡块。根据鼠害密度、不同季节在毒鼠屋中定期投放新鲜、适口的毒饵。依照全年春秋两季灭鼠要求，在下水道窨井口悬挂灭鼠蜡块，平时不定期检查绿化带的鼠洞，发现鼠洞及时填补。</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每月</w:t>
      </w:r>
      <w:r>
        <w:rPr>
          <w:rFonts w:hint="eastAsia" w:cs="宋体" w:asciiTheme="minorEastAsia" w:hAnsiTheme="minorEastAsia" w:eastAsiaTheme="minorEastAsia"/>
          <w:szCs w:val="21"/>
          <w:highlight w:val="none"/>
        </w:rPr>
        <w:t>不少于3</w:t>
      </w:r>
      <w:r>
        <w:rPr>
          <w:rFonts w:hint="eastAsia" w:asciiTheme="minorEastAsia" w:hAnsiTheme="minorEastAsia" w:eastAsiaTheme="minorEastAsia"/>
          <w:szCs w:val="21"/>
          <w:highlight w:val="none"/>
        </w:rPr>
        <w:t>次对绿化带、下水道、垃圾房、楼道等外环境进行蚊蝇滞留喷杀。采用小积水投放灭蚊幼缓释剂，下水道每十天或半月投放一次飞彪灭蚊幼缓释剂。为減少诱杀活蝇造成化学环境污染，在室外绿化带悬挂诱蝇笼。</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②五小企业的除四害工作</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根据营业特点，合理安排消杀时间，根据四害的抗药性不断变换使用药物，需在短期内使“五小”企业的四害密度快速下降。</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③其他防治范围的除四害工作</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灭前对四害的种类、数量、危害和栖居场所进行调查，根据季节制定不同的防治方案，采取药物、笼、夹、粘捕等药物和工具轮番交替使用，每月不少于3次检查和防治，使四害的密度有效地控制在标准之内。</w:t>
      </w:r>
    </w:p>
    <w:p>
      <w:pPr>
        <w:pStyle w:val="3"/>
        <w:tabs>
          <w:tab w:val="left" w:pos="5220"/>
        </w:tabs>
        <w:spacing w:before="0" w:after="0" w:line="360" w:lineRule="auto"/>
        <w:jc w:val="left"/>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四</w:t>
      </w:r>
      <w:r>
        <w:rPr>
          <w:rFonts w:asciiTheme="minorEastAsia" w:hAnsiTheme="minorEastAsia" w:eastAsiaTheme="minorEastAsia"/>
          <w:b w:val="0"/>
          <w:bCs w:val="0"/>
          <w:sz w:val="21"/>
          <w:szCs w:val="21"/>
          <w:highlight w:val="none"/>
        </w:rPr>
        <w:t>、</w:t>
      </w:r>
      <w:r>
        <w:rPr>
          <w:rFonts w:hint="eastAsia" w:asciiTheme="minorEastAsia" w:hAnsiTheme="minorEastAsia" w:eastAsiaTheme="minorEastAsia"/>
          <w:b w:val="0"/>
          <w:bCs w:val="0"/>
          <w:sz w:val="21"/>
          <w:szCs w:val="21"/>
          <w:highlight w:val="none"/>
        </w:rPr>
        <w:t>服务标准</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1、严格执行</w:t>
      </w:r>
      <w:r>
        <w:rPr>
          <w:rFonts w:hint="eastAsia"/>
          <w:szCs w:val="21"/>
          <w:highlight w:val="none"/>
        </w:rPr>
        <w:t>《宁波市爱国卫生条例》、</w:t>
      </w:r>
      <w:r>
        <w:rPr>
          <w:rFonts w:hint="eastAsia" w:asciiTheme="minorEastAsia" w:hAnsiTheme="minorEastAsia" w:eastAsiaTheme="minorEastAsia"/>
          <w:szCs w:val="21"/>
          <w:highlight w:val="none"/>
        </w:rPr>
        <w:t>《宁波市除四害工作管理规定》标准和除四害实施方案、技术方案，</w:t>
      </w:r>
      <w:r>
        <w:rPr>
          <w:rFonts w:asciiTheme="minorEastAsia" w:hAnsiTheme="minorEastAsia" w:eastAsiaTheme="minorEastAsia"/>
          <w:szCs w:val="21"/>
          <w:highlight w:val="none"/>
        </w:rPr>
        <w:t>本项目要求</w:t>
      </w:r>
      <w:r>
        <w:rPr>
          <w:rFonts w:hint="eastAsia" w:asciiTheme="minorEastAsia" w:hAnsiTheme="minorEastAsia" w:eastAsiaTheme="minorEastAsia"/>
          <w:szCs w:val="21"/>
          <w:highlight w:val="none"/>
        </w:rPr>
        <w:t>防治对象密度达到国家考核标准。</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2、中标人需确保采购人在国家卫生镇创建暗访、检查及接受上级有关部门考核、检查期间消杀范围内的“四害”密度达到国家考核标准。</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、各级爱卫办、疾病预防控制机构等检查部门对本项目消杀范围内的消杀情况进行考核、检测时需达到合格要求。</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、日常时期灭蚊、蝇、鼠、蟑标准</w:t>
      </w:r>
      <w:r>
        <w:rPr>
          <w:rFonts w:asciiTheme="minorEastAsia" w:hAnsiTheme="minorEastAsia" w:eastAsiaTheme="minorEastAsia"/>
          <w:szCs w:val="21"/>
          <w:highlight w:val="none"/>
        </w:rPr>
        <w:t>应</w:t>
      </w:r>
      <w:r>
        <w:rPr>
          <w:rFonts w:hint="eastAsia" w:asciiTheme="minorEastAsia" w:hAnsiTheme="minorEastAsia" w:eastAsiaTheme="minorEastAsia"/>
          <w:szCs w:val="21"/>
          <w:highlight w:val="none"/>
        </w:rPr>
        <w:t>达到</w:t>
      </w:r>
      <w:r>
        <w:rPr>
          <w:rFonts w:asciiTheme="minorEastAsia" w:hAnsiTheme="minorEastAsia" w:eastAsiaTheme="minorEastAsia"/>
          <w:szCs w:val="21"/>
          <w:highlight w:val="none"/>
        </w:rPr>
        <w:t>：</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灭蚊标准：居民住宅、单位内外环境各种积水容器和积水中，蚊幼及蛹的阳性率不超过3%；用500毫升采集供应试点区域内大中型水体中的蚊幼或蛹阳性率不超过3%,阳性勺内蚊幼或蛹的平均数不超过5只；特殊场所白天人诱蚊半小时诱获成蚊不超过1只。</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灭蝇标准：重点单位有蝇房间不超过1%，其他单位不超过3%，平均每阳性房间不超过3只；重点单位防蝇设施不合格房不超过5%；加工、销售直接入口食品的场所不得有蝇；蝇类孳生地得到有效治理，幼虫和蛹的检出率不超过3%。</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灭鼠标准：有鼠洞、鼠类、鼠咬痕等鼠迹房间不超过2%；重点单位防鼠设施不合格处不超过5%；不同类型的外环境累计2000平方米，鼠迹不超过5处；在不同环境布200块有效粉块，粉剂法鼠密度不超过5%。</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灭蟑标准：室内有蟑螂成虫或若虫阳性房间不超过3%，平均每间大蠊不超过5只，小蠊不超过10只；有活蟑螂卵鞘房间不超过2%，平均每间房不超过4只；有蟑螂、蜕皮等蟑迹的房间不超过5%。</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、开展四害密度监测和督查</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应建立健全四害密度监测和督查制度，定期派出督查部人员随机抽查服务范围内的四害密度情況，积极排查寻找四害消杀的育点和空白点。向摊位业主、五小单位业主、居民等询问调查除四害工作中存在的问题，及时整改到位。采购人将不定期对投标人制度的落实情况进行抽样检查。</w:t>
      </w:r>
    </w:p>
    <w:p>
      <w:pPr>
        <w:pStyle w:val="3"/>
        <w:tabs>
          <w:tab w:val="left" w:pos="5220"/>
        </w:tabs>
        <w:spacing w:before="0" w:after="0" w:line="360" w:lineRule="auto"/>
        <w:jc w:val="left"/>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五、其他要求</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.所服务的项目应有现场密度监测记录。承包期内应</w:t>
      </w:r>
      <w:r>
        <w:rPr>
          <w:rFonts w:asciiTheme="minorEastAsia" w:hAnsiTheme="minorEastAsia" w:eastAsiaTheme="minorEastAsia"/>
          <w:szCs w:val="21"/>
          <w:highlight w:val="none"/>
        </w:rPr>
        <w:t>建立包括但不限于</w:t>
      </w:r>
      <w:r>
        <w:rPr>
          <w:rFonts w:hint="eastAsia" w:asciiTheme="minorEastAsia" w:hAnsiTheme="minorEastAsia" w:eastAsiaTheme="minorEastAsia"/>
          <w:szCs w:val="21"/>
          <w:highlight w:val="none"/>
        </w:rPr>
        <w:t>现场密度监测记录、</w:t>
      </w:r>
      <w:r>
        <w:rPr>
          <w:rFonts w:asciiTheme="minorEastAsia" w:hAnsiTheme="minorEastAsia" w:eastAsiaTheme="minorEastAsia"/>
          <w:szCs w:val="21"/>
          <w:highlight w:val="none"/>
        </w:rPr>
        <w:t>药品投放、器械投放等台账</w:t>
      </w:r>
      <w:r>
        <w:rPr>
          <w:rFonts w:hint="eastAsia" w:asciiTheme="minorEastAsia" w:hAnsiTheme="minorEastAsia" w:eastAsiaTheme="minorEastAsia"/>
          <w:szCs w:val="21"/>
          <w:highlight w:val="none"/>
        </w:rPr>
        <w:t>；每季度要有监测资料备案，并有留底备查。</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.组建不少于六名人员组成本项目服务团队，其中项目负责人1名并具有</w:t>
      </w:r>
      <w:r>
        <w:rPr>
          <w:rFonts w:hint="eastAsia" w:ascii="宋体" w:hAnsi="宋体" w:cs="宋体"/>
          <w:szCs w:val="21"/>
          <w:highlight w:val="none"/>
        </w:rPr>
        <w:t>有害生物防制员职业资格证书；其他团队成员</w:t>
      </w:r>
      <w:r>
        <w:rPr>
          <w:rFonts w:hint="eastAsia" w:asciiTheme="minorEastAsia" w:hAnsiTheme="minorEastAsia" w:eastAsiaTheme="minorEastAsia"/>
          <w:szCs w:val="21"/>
          <w:highlight w:val="none"/>
        </w:rPr>
        <w:t>不少于五名，其中不少于三名人员担任常规消杀工作并具有</w:t>
      </w:r>
      <w:r>
        <w:rPr>
          <w:rFonts w:hint="eastAsia" w:ascii="宋体" w:hAnsi="宋体" w:cs="宋体"/>
          <w:szCs w:val="21"/>
          <w:highlight w:val="none"/>
        </w:rPr>
        <w:t>有害生物防制员职业资格证书</w:t>
      </w:r>
      <w:r>
        <w:rPr>
          <w:rFonts w:hint="eastAsia" w:asciiTheme="minorEastAsia" w:hAnsiTheme="minorEastAsia" w:eastAsiaTheme="minorEastAsia"/>
          <w:szCs w:val="21"/>
          <w:highlight w:val="none"/>
        </w:rPr>
        <w:t>，不少于二名应急队员担任应急处置及迎检消杀任务并具有</w:t>
      </w:r>
      <w:r>
        <w:rPr>
          <w:rFonts w:hint="eastAsia" w:ascii="宋体" w:hAnsi="宋体" w:cs="宋体"/>
          <w:szCs w:val="21"/>
          <w:highlight w:val="none"/>
        </w:rPr>
        <w:t>有害生物防制员职业资格证书</w:t>
      </w:r>
      <w:r>
        <w:rPr>
          <w:rFonts w:hint="eastAsia" w:asciiTheme="minorEastAsia" w:hAnsiTheme="minorEastAsia" w:eastAsiaTheme="minorEastAsia"/>
          <w:szCs w:val="21"/>
          <w:highlight w:val="none"/>
        </w:rPr>
        <w:t>。消杀时应文明作业，并填写除四害服务卡作为当次服务的凭据，统一佩戴上岗证。</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.指导社区、</w:t>
      </w:r>
      <w:r>
        <w:rPr>
          <w:rFonts w:asciiTheme="minorEastAsia" w:hAnsiTheme="minorEastAsia" w:eastAsiaTheme="minorEastAsia"/>
          <w:szCs w:val="21"/>
          <w:highlight w:val="none"/>
        </w:rPr>
        <w:t>居民</w:t>
      </w:r>
      <w:r>
        <w:rPr>
          <w:rFonts w:hint="eastAsia" w:asciiTheme="minorEastAsia" w:hAnsiTheme="minorEastAsia" w:eastAsiaTheme="minorEastAsia"/>
          <w:szCs w:val="21"/>
          <w:highlight w:val="none"/>
        </w:rPr>
        <w:t>及“五小”行业防鼠、防蚊蝇设施的建设安装和做好日常的除四害巩固工作。</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.所使用的除四害药物符合国家规定或使用全国爱卫会除四害专家委员会推荐和认定的药物（消杀药品三证、实物样品提供给采购人，必要时留底备查），严禁生产、销售和使用国家禁止的灭鼠药物和杀虫剂。</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.成交供应商不得转包、分包，若经采购人发现，采购人可终止合同，由此产生的一切经济、法律责任均由成交供应商承担。</w:t>
      </w:r>
    </w:p>
    <w:p>
      <w:pPr>
        <w:pStyle w:val="3"/>
        <w:tabs>
          <w:tab w:val="left" w:pos="5220"/>
        </w:tabs>
        <w:spacing w:before="0" w:after="0" w:line="360" w:lineRule="auto"/>
        <w:jc w:val="left"/>
        <w:rPr>
          <w:rFonts w:asciiTheme="minorEastAsia" w:hAnsiTheme="minorEastAsia" w:eastAsiaTheme="minorEastAsia"/>
          <w:b w:val="0"/>
          <w:sz w:val="21"/>
          <w:szCs w:val="21"/>
          <w:highlight w:val="none"/>
        </w:rPr>
      </w:pPr>
      <w:r>
        <w:rPr>
          <w:rFonts w:hint="eastAsia" w:asciiTheme="minorEastAsia" w:hAnsiTheme="minorEastAsia" w:eastAsiaTheme="minorEastAsia"/>
          <w:b w:val="0"/>
          <w:sz w:val="21"/>
          <w:szCs w:val="21"/>
          <w:highlight w:val="none"/>
        </w:rPr>
        <w:t>六、考核要求</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每月对消杀月报进行抽查，如抽查发现存在造假或与事实不符的情况每处扣500元；单个年度合同期内出现上级有关部门考核、检查期间消杀范围内的“四害”密度未达到国家考核标准及以上要求的，扣除中标人</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000元/次的服务质量违约金，采购人提出整改，并督促整改完成；单个年度内出现二次未达到国家考核标准及以上要求的，采购人有权终止合同。合同履行满三个月后，本项目消杀范围内的“四害”密度未达到国家考核标准的扣</w:t>
      </w: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rPr>
        <w:t>000元人民币，并整改直至达到标准，否则采购人有权终止合同。</w:t>
      </w:r>
    </w:p>
    <w:bookmarkEnd w:id="66"/>
    <w:p>
      <w:pPr>
        <w:pStyle w:val="35"/>
        <w:snapToGrid w:val="0"/>
        <w:spacing w:before="120" w:after="120"/>
        <w:ind w:firstLine="211" w:firstLineChars="100"/>
        <w:outlineLvl w:val="0"/>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（三）、商务要求表</w:t>
      </w:r>
    </w:p>
    <w:tbl>
      <w:tblPr>
        <w:tblStyle w:val="65"/>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376" w:type="dxa"/>
            <w:vAlign w:val="center"/>
          </w:tcPr>
          <w:p>
            <w:pPr>
              <w:spacing w:line="400" w:lineRule="exact"/>
              <w:jc w:val="center"/>
              <w:rPr>
                <w:rFonts w:cs="宋体" w:asciiTheme="minorEastAsia" w:hAnsiTheme="minorEastAsia" w:eastAsiaTheme="minorEastAsia"/>
                <w:szCs w:val="21"/>
                <w:highlight w:val="none"/>
              </w:rPr>
            </w:pPr>
            <w:bookmarkStart w:id="69" w:name="_Hlk149747539"/>
            <w:r>
              <w:rPr>
                <w:rFonts w:hint="eastAsia" w:cs="宋体" w:asciiTheme="minorEastAsia" w:hAnsiTheme="minorEastAsia" w:eastAsiaTheme="minorEastAsia"/>
                <w:szCs w:val="21"/>
                <w:highlight w:val="none"/>
              </w:rPr>
              <w:t>▲合同履约期限</w:t>
            </w:r>
          </w:p>
        </w:tc>
        <w:tc>
          <w:tcPr>
            <w:tcW w:w="6325" w:type="dxa"/>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Cs/>
                <w:szCs w:val="21"/>
                <w:highlight w:val="none"/>
              </w:rPr>
              <w:t>本项目一招暂定三年，合同一年一签，采购人根据成交供应商在上一阶段合同履约、考核情况及财政资金审批等情况决定是否续签下一年度合同。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▲付款条件</w:t>
            </w:r>
          </w:p>
        </w:tc>
        <w:tc>
          <w:tcPr>
            <w:tcW w:w="6325" w:type="dxa"/>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（1）在合同生效以及具备实施条件后7个工作日内，采购人向中标人支付当年度签约合同价的30%作为预付款；</w:t>
            </w:r>
          </w:p>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（2）合同履行满半年后，采购人在7个工作日内向中标人支付当年度签约合同价的</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0%；</w:t>
            </w:r>
          </w:p>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）年度合同履行完毕后，采购人在7个工作日内向中标人付清当年度剩余合同款项。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履约保证金</w:t>
            </w:r>
          </w:p>
        </w:tc>
        <w:tc>
          <w:tcPr>
            <w:tcW w:w="6325" w:type="dxa"/>
            <w:vAlign w:val="center"/>
          </w:tcPr>
          <w:p>
            <w:pPr>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▲签订合同时间</w:t>
            </w:r>
          </w:p>
        </w:tc>
        <w:tc>
          <w:tcPr>
            <w:tcW w:w="6325" w:type="dxa"/>
            <w:vAlign w:val="center"/>
          </w:tcPr>
          <w:p>
            <w:pPr>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中标通知书发出之日起30日内签订合同。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pPr>
              <w:spacing w:line="400" w:lineRule="exact"/>
              <w:jc w:val="center"/>
              <w:rPr>
                <w:rFonts w:cs="宋体" w:asciiTheme="minorEastAsia" w:hAnsiTheme="minorEastAsia" w:eastAsiaTheme="minorEastAsia"/>
                <w:szCs w:val="21"/>
                <w:highlight w:val="none"/>
              </w:rPr>
            </w:pPr>
            <w:r>
              <w:rPr>
                <w:rFonts w:hint="eastAsia" w:ascii="宋体" w:hAnsi="宋体"/>
                <w:bCs/>
                <w:szCs w:val="21"/>
                <w:highlight w:val="none"/>
              </w:rPr>
              <w:t>服务响应</w:t>
            </w:r>
          </w:p>
        </w:tc>
        <w:tc>
          <w:tcPr>
            <w:tcW w:w="6325" w:type="dxa"/>
            <w:vAlign w:val="center"/>
          </w:tcPr>
          <w:p>
            <w:pPr>
              <w:spacing w:line="400" w:lineRule="exact"/>
              <w:rPr>
                <w:rFonts w:cs="宋体" w:asciiTheme="minorEastAsia" w:hAnsiTheme="minorEastAsia" w:eastAsiaTheme="minorEastAsia"/>
                <w:szCs w:val="21"/>
                <w:highlight w:val="none"/>
              </w:rPr>
            </w:pPr>
            <w:r>
              <w:rPr>
                <w:rFonts w:hint="eastAsia" w:ascii="Cambria" w:hAnsi="Cambria"/>
                <w:szCs w:val="22"/>
                <w:highlight w:val="none"/>
              </w:rPr>
              <w:t>中标人接采购人通知后</w:t>
            </w:r>
            <w:r>
              <w:rPr>
                <w:rFonts w:ascii="Cambria" w:hAnsi="Cambria"/>
                <w:szCs w:val="22"/>
                <w:highlight w:val="none"/>
              </w:rPr>
              <w:t>1</w:t>
            </w:r>
            <w:r>
              <w:rPr>
                <w:rFonts w:hint="eastAsia" w:ascii="Cambria" w:hAnsi="Cambria"/>
                <w:szCs w:val="22"/>
                <w:highlight w:val="none"/>
              </w:rPr>
              <w:t>小时内响应，2小时内提出解决问题方式并按采购人要求落实到位。</w:t>
            </w:r>
          </w:p>
        </w:tc>
      </w:tr>
      <w:bookmarkEnd w:id="67"/>
      <w:bookmarkEnd w:id="69"/>
    </w:tbl>
    <w:p>
      <w:pPr>
        <w:tabs>
          <w:tab w:val="left" w:pos="1834"/>
        </w:tabs>
        <w:spacing w:line="360" w:lineRule="auto"/>
        <w:rPr>
          <w:rFonts w:cs="宋体" w:asciiTheme="minorEastAsia" w:hAnsiTheme="minorEastAsia" w:eastAsiaTheme="minorEastAsia"/>
          <w:bCs/>
          <w:szCs w:val="21"/>
          <w:highlight w:val="none"/>
        </w:rPr>
      </w:pPr>
      <w:r>
        <w:rPr>
          <w:rFonts w:hint="eastAsia" w:asciiTheme="minorEastAsia" w:hAnsiTheme="minorEastAsia" w:eastAsiaTheme="minorEastAsia"/>
          <w:szCs w:val="21"/>
          <w:highlight w:val="none"/>
        </w:rPr>
        <w:t xml:space="preserve">   </w:t>
      </w:r>
      <w:r>
        <w:rPr>
          <w:rFonts w:hint="eastAsia" w:asciiTheme="minorEastAsia" w:hAnsiTheme="minorEastAsia" w:eastAsiaTheme="minorEastAsia"/>
          <w:b/>
          <w:bCs/>
          <w:szCs w:val="21"/>
          <w:highlight w:val="none"/>
        </w:rPr>
        <w:t xml:space="preserve"> </w:t>
      </w:r>
    </w:p>
    <w:bookmarkEnd w:id="68"/>
    <w:p>
      <w:pPr>
        <w:spacing w:line="360" w:lineRule="auto"/>
        <w:jc w:val="center"/>
        <w:outlineLvl w:val="0"/>
        <w:rPr>
          <w:rFonts w:ascii="宋体" w:hAnsi="宋体" w:cs="宋体"/>
          <w:b/>
          <w:sz w:val="36"/>
          <w:szCs w:val="36"/>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bookmarkStart w:id="70" w:name="_Toc22878"/>
      <w:bookmarkStart w:id="71" w:name="_Toc22578"/>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72" w:name="_Toc184312099"/>
      <w:bookmarkEnd w:id="72"/>
      <w:bookmarkStart w:id="73" w:name="_Toc184308089"/>
      <w:bookmarkEnd w:id="73"/>
      <w:bookmarkStart w:id="74" w:name="_Toc184312110"/>
      <w:bookmarkEnd w:id="74"/>
      <w:bookmarkStart w:id="75" w:name="_Toc184313280"/>
      <w:bookmarkEnd w:id="75"/>
      <w:bookmarkStart w:id="76" w:name="_Toc184313303"/>
      <w:bookmarkEnd w:id="76"/>
      <w:bookmarkStart w:id="77" w:name="_Toc184308044"/>
      <w:bookmarkEnd w:id="77"/>
      <w:bookmarkStart w:id="78" w:name="_Toc184313249"/>
      <w:bookmarkEnd w:id="78"/>
      <w:bookmarkStart w:id="79" w:name="_Toc184308076"/>
      <w:bookmarkEnd w:id="79"/>
      <w:bookmarkStart w:id="80" w:name="_Toc184313279"/>
      <w:bookmarkEnd w:id="80"/>
      <w:bookmarkStart w:id="81" w:name="_Toc184312126"/>
      <w:bookmarkEnd w:id="81"/>
      <w:bookmarkStart w:id="82" w:name="_Toc184313262"/>
      <w:bookmarkEnd w:id="82"/>
      <w:bookmarkStart w:id="83" w:name="_Toc184308040"/>
      <w:bookmarkEnd w:id="83"/>
      <w:bookmarkStart w:id="84" w:name="_Toc184313289"/>
      <w:bookmarkEnd w:id="84"/>
      <w:bookmarkStart w:id="85" w:name="_Toc184308097"/>
      <w:bookmarkEnd w:id="85"/>
      <w:bookmarkStart w:id="86" w:name="_Toc184310300"/>
      <w:bookmarkEnd w:id="86"/>
      <w:bookmarkStart w:id="87" w:name="_Toc184313297"/>
      <w:bookmarkEnd w:id="87"/>
      <w:bookmarkStart w:id="88" w:name="_Toc184313307"/>
      <w:bookmarkEnd w:id="88"/>
      <w:bookmarkStart w:id="89" w:name="_Toc184314416"/>
      <w:bookmarkEnd w:id="89"/>
      <w:bookmarkStart w:id="90" w:name="_Toc184308079"/>
      <w:bookmarkEnd w:id="90"/>
      <w:bookmarkStart w:id="91" w:name="_Toc184308067"/>
      <w:bookmarkEnd w:id="91"/>
      <w:bookmarkStart w:id="92" w:name="_Toc184310293"/>
      <w:bookmarkEnd w:id="92"/>
      <w:bookmarkStart w:id="93" w:name="_Toc184314433"/>
      <w:bookmarkEnd w:id="93"/>
      <w:bookmarkStart w:id="94" w:name="_Toc184310315"/>
      <w:bookmarkEnd w:id="94"/>
      <w:bookmarkStart w:id="95" w:name="_Toc184310306"/>
      <w:bookmarkEnd w:id="95"/>
      <w:bookmarkStart w:id="96" w:name="_Toc184310338"/>
      <w:bookmarkEnd w:id="96"/>
      <w:bookmarkStart w:id="97" w:name="_Toc184308106"/>
      <w:bookmarkEnd w:id="97"/>
      <w:bookmarkStart w:id="98" w:name="_Toc184314427"/>
      <w:bookmarkEnd w:id="98"/>
      <w:bookmarkStart w:id="99" w:name="_Toc184308080"/>
      <w:bookmarkEnd w:id="99"/>
      <w:bookmarkStart w:id="100" w:name="_Toc184313305"/>
      <w:bookmarkEnd w:id="100"/>
      <w:bookmarkStart w:id="101" w:name="_Toc184313254"/>
      <w:bookmarkEnd w:id="101"/>
      <w:bookmarkStart w:id="102" w:name="_Toc184312100"/>
      <w:bookmarkEnd w:id="102"/>
      <w:bookmarkStart w:id="103" w:name="_Toc184313256"/>
      <w:bookmarkEnd w:id="103"/>
      <w:bookmarkStart w:id="104" w:name="_Toc184310281"/>
      <w:bookmarkEnd w:id="104"/>
      <w:bookmarkStart w:id="105" w:name="_Toc184310337"/>
      <w:bookmarkEnd w:id="105"/>
      <w:bookmarkStart w:id="106" w:name="_Toc184308059"/>
      <w:bookmarkEnd w:id="106"/>
      <w:bookmarkStart w:id="107" w:name="_Toc184312096"/>
      <w:bookmarkEnd w:id="107"/>
      <w:bookmarkStart w:id="108" w:name="_Toc184314436"/>
      <w:bookmarkEnd w:id="108"/>
      <w:bookmarkStart w:id="109" w:name="_Toc184308099"/>
      <w:bookmarkEnd w:id="109"/>
      <w:bookmarkStart w:id="110" w:name="_Toc184313265"/>
      <w:bookmarkEnd w:id="110"/>
      <w:bookmarkStart w:id="111" w:name="_Toc184308069"/>
      <w:bookmarkEnd w:id="111"/>
      <w:bookmarkStart w:id="112" w:name="_Toc184314448"/>
      <w:bookmarkEnd w:id="112"/>
      <w:bookmarkStart w:id="113" w:name="_Toc184313296"/>
      <w:bookmarkEnd w:id="113"/>
      <w:bookmarkStart w:id="114" w:name="_Toc184314461"/>
      <w:bookmarkEnd w:id="114"/>
      <w:bookmarkStart w:id="115" w:name="_Toc184312122"/>
      <w:bookmarkEnd w:id="115"/>
      <w:bookmarkStart w:id="116" w:name="_Toc184312091"/>
      <w:bookmarkEnd w:id="116"/>
      <w:bookmarkStart w:id="117" w:name="_Toc184310297"/>
      <w:bookmarkEnd w:id="117"/>
      <w:bookmarkStart w:id="118" w:name="_Toc184312101"/>
      <w:bookmarkEnd w:id="118"/>
      <w:bookmarkStart w:id="119" w:name="_Toc184313271"/>
      <w:bookmarkEnd w:id="119"/>
      <w:bookmarkStart w:id="120" w:name="_Toc184313304"/>
      <w:bookmarkEnd w:id="120"/>
      <w:bookmarkStart w:id="121" w:name="_Toc184310292"/>
      <w:bookmarkEnd w:id="121"/>
      <w:bookmarkStart w:id="122" w:name="_Toc184308051"/>
      <w:bookmarkEnd w:id="122"/>
      <w:bookmarkStart w:id="123" w:name="_Toc184314421"/>
      <w:bookmarkEnd w:id="123"/>
      <w:bookmarkStart w:id="124" w:name="_Toc184310286"/>
      <w:bookmarkEnd w:id="124"/>
      <w:bookmarkStart w:id="125" w:name="_Toc184312079"/>
      <w:bookmarkEnd w:id="125"/>
      <w:bookmarkStart w:id="126" w:name="_Toc184308072"/>
      <w:bookmarkEnd w:id="126"/>
      <w:bookmarkStart w:id="127" w:name="_Toc184312132"/>
      <w:bookmarkEnd w:id="127"/>
      <w:bookmarkStart w:id="128" w:name="_Toc184313310"/>
      <w:bookmarkEnd w:id="128"/>
      <w:bookmarkStart w:id="129" w:name="_Toc184310276"/>
      <w:bookmarkEnd w:id="129"/>
      <w:bookmarkStart w:id="130" w:name="_Toc184312094"/>
      <w:bookmarkEnd w:id="130"/>
      <w:bookmarkStart w:id="131" w:name="_Toc184312111"/>
      <w:bookmarkEnd w:id="131"/>
      <w:bookmarkStart w:id="132" w:name="_Toc184308074"/>
      <w:bookmarkEnd w:id="132"/>
      <w:bookmarkStart w:id="133" w:name="_Toc184310313"/>
      <w:bookmarkEnd w:id="133"/>
      <w:bookmarkStart w:id="134" w:name="_Toc184314467"/>
      <w:bookmarkEnd w:id="134"/>
      <w:bookmarkStart w:id="135" w:name="_Toc184312121"/>
      <w:bookmarkEnd w:id="135"/>
      <w:bookmarkStart w:id="136" w:name="_Toc184312113"/>
      <w:bookmarkEnd w:id="136"/>
      <w:bookmarkStart w:id="137" w:name="_Toc184308102"/>
      <w:bookmarkEnd w:id="137"/>
      <w:bookmarkStart w:id="138" w:name="_Toc184314417"/>
      <w:bookmarkEnd w:id="138"/>
      <w:bookmarkStart w:id="139" w:name="_Toc184313266"/>
      <w:bookmarkEnd w:id="139"/>
      <w:bookmarkStart w:id="140" w:name="_Toc184312108"/>
      <w:bookmarkEnd w:id="140"/>
      <w:bookmarkStart w:id="141" w:name="_Toc184310327"/>
      <w:bookmarkEnd w:id="141"/>
      <w:bookmarkStart w:id="142" w:name="_Toc184313269"/>
      <w:bookmarkEnd w:id="142"/>
      <w:bookmarkStart w:id="143" w:name="_Toc184312134"/>
      <w:bookmarkEnd w:id="143"/>
      <w:bookmarkStart w:id="144" w:name="_Toc184314441"/>
      <w:bookmarkEnd w:id="144"/>
      <w:bookmarkStart w:id="145" w:name="_Toc184314458"/>
      <w:bookmarkEnd w:id="145"/>
      <w:bookmarkStart w:id="146" w:name="_Toc184313270"/>
      <w:bookmarkEnd w:id="146"/>
      <w:bookmarkStart w:id="147" w:name="_Toc184310317"/>
      <w:bookmarkEnd w:id="147"/>
      <w:bookmarkStart w:id="148" w:name="_Toc184313287"/>
      <w:bookmarkEnd w:id="148"/>
      <w:bookmarkStart w:id="149" w:name="_Toc184310334"/>
      <w:bookmarkEnd w:id="149"/>
      <w:bookmarkStart w:id="150" w:name="_Toc184313291"/>
      <w:bookmarkEnd w:id="150"/>
      <w:bookmarkStart w:id="151" w:name="_Toc184310331"/>
      <w:bookmarkEnd w:id="151"/>
      <w:bookmarkStart w:id="152" w:name="_Toc184310330"/>
      <w:bookmarkEnd w:id="152"/>
      <w:bookmarkStart w:id="153" w:name="_Toc184314462"/>
      <w:bookmarkEnd w:id="153"/>
      <w:bookmarkStart w:id="154" w:name="_Toc184312098"/>
      <w:bookmarkEnd w:id="154"/>
      <w:bookmarkStart w:id="155" w:name="_Toc184310316"/>
      <w:bookmarkEnd w:id="155"/>
      <w:bookmarkStart w:id="156" w:name="_Toc184310310"/>
      <w:bookmarkEnd w:id="156"/>
      <w:bookmarkStart w:id="157" w:name="_Toc184308085"/>
      <w:bookmarkEnd w:id="157"/>
      <w:bookmarkStart w:id="158" w:name="_Toc184312087"/>
      <w:bookmarkEnd w:id="158"/>
      <w:bookmarkStart w:id="159" w:name="_Toc184314472"/>
      <w:bookmarkEnd w:id="159"/>
      <w:bookmarkStart w:id="160" w:name="_Toc184313273"/>
      <w:bookmarkEnd w:id="160"/>
      <w:bookmarkStart w:id="161" w:name="_Toc184312080"/>
      <w:bookmarkEnd w:id="161"/>
      <w:bookmarkStart w:id="162" w:name="_Toc184313281"/>
      <w:bookmarkEnd w:id="162"/>
      <w:bookmarkStart w:id="163" w:name="_Toc184308055"/>
      <w:bookmarkEnd w:id="163"/>
      <w:bookmarkStart w:id="164" w:name="_Toc184314463"/>
      <w:bookmarkEnd w:id="164"/>
      <w:bookmarkStart w:id="165" w:name="_Toc184314437"/>
      <w:bookmarkEnd w:id="165"/>
      <w:bookmarkStart w:id="166" w:name="_Toc184308068"/>
      <w:bookmarkEnd w:id="166"/>
      <w:bookmarkStart w:id="167" w:name="_Toc184310329"/>
      <w:bookmarkEnd w:id="167"/>
      <w:bookmarkStart w:id="168" w:name="_Toc184310336"/>
      <w:bookmarkEnd w:id="168"/>
      <w:bookmarkStart w:id="169" w:name="_Toc184313288"/>
      <w:bookmarkEnd w:id="169"/>
      <w:bookmarkStart w:id="170" w:name="_Toc184308073"/>
      <w:bookmarkEnd w:id="170"/>
      <w:bookmarkStart w:id="171" w:name="_Toc184312103"/>
      <w:bookmarkEnd w:id="171"/>
      <w:bookmarkStart w:id="172" w:name="_Toc184314443"/>
      <w:bookmarkEnd w:id="172"/>
      <w:bookmarkStart w:id="173" w:name="_Toc184310273"/>
      <w:bookmarkEnd w:id="173"/>
      <w:bookmarkStart w:id="174" w:name="_Toc184312133"/>
      <w:bookmarkEnd w:id="174"/>
      <w:bookmarkStart w:id="175" w:name="_Toc184313290"/>
      <w:bookmarkEnd w:id="175"/>
      <w:bookmarkStart w:id="176" w:name="_Toc184308088"/>
      <w:bookmarkEnd w:id="176"/>
      <w:bookmarkStart w:id="177" w:name="_Toc184313247"/>
      <w:bookmarkEnd w:id="177"/>
      <w:bookmarkStart w:id="178" w:name="_Toc184313274"/>
      <w:bookmarkEnd w:id="178"/>
      <w:bookmarkStart w:id="179" w:name="_Toc184310335"/>
      <w:bookmarkEnd w:id="179"/>
      <w:bookmarkStart w:id="180" w:name="_Toc184312106"/>
      <w:bookmarkEnd w:id="180"/>
      <w:bookmarkStart w:id="181" w:name="_Toc184312130"/>
      <w:bookmarkEnd w:id="181"/>
      <w:bookmarkStart w:id="182" w:name="_Toc184308049"/>
      <w:bookmarkEnd w:id="182"/>
      <w:bookmarkStart w:id="183" w:name="_Toc184313309"/>
      <w:bookmarkEnd w:id="183"/>
      <w:bookmarkStart w:id="184" w:name="_Toc184308083"/>
      <w:bookmarkEnd w:id="184"/>
      <w:bookmarkStart w:id="185" w:name="_Toc184308046"/>
      <w:bookmarkEnd w:id="185"/>
      <w:bookmarkStart w:id="186" w:name="_Toc184308092"/>
      <w:bookmarkEnd w:id="186"/>
      <w:bookmarkStart w:id="187" w:name="_Toc184308043"/>
      <w:bookmarkEnd w:id="187"/>
      <w:bookmarkStart w:id="188" w:name="_Toc184313245"/>
      <w:bookmarkEnd w:id="188"/>
      <w:bookmarkStart w:id="189" w:name="_Toc184313240"/>
      <w:bookmarkEnd w:id="189"/>
      <w:bookmarkStart w:id="190" w:name="_Toc184313253"/>
      <w:bookmarkEnd w:id="190"/>
      <w:bookmarkStart w:id="191" w:name="_Toc184308098"/>
      <w:bookmarkEnd w:id="191"/>
      <w:bookmarkStart w:id="192" w:name="_Toc184308064"/>
      <w:bookmarkEnd w:id="192"/>
      <w:bookmarkStart w:id="193" w:name="_Toc184314422"/>
      <w:bookmarkEnd w:id="193"/>
      <w:bookmarkStart w:id="194" w:name="_Toc184308078"/>
      <w:bookmarkEnd w:id="194"/>
      <w:bookmarkStart w:id="195" w:name="_Toc184310277"/>
      <w:bookmarkEnd w:id="195"/>
      <w:bookmarkStart w:id="196" w:name="_Toc184314479"/>
      <w:bookmarkEnd w:id="196"/>
      <w:bookmarkStart w:id="197" w:name="_Toc184310309"/>
      <w:bookmarkEnd w:id="197"/>
      <w:bookmarkStart w:id="198" w:name="_Toc184308053"/>
      <w:bookmarkEnd w:id="198"/>
      <w:bookmarkStart w:id="199" w:name="_Toc184308077"/>
      <w:bookmarkEnd w:id="199"/>
      <w:bookmarkStart w:id="200" w:name="_Toc184314473"/>
      <w:bookmarkEnd w:id="200"/>
      <w:bookmarkStart w:id="201" w:name="_Toc184313286"/>
      <w:bookmarkEnd w:id="201"/>
      <w:bookmarkStart w:id="202" w:name="_Toc184314449"/>
      <w:bookmarkEnd w:id="202"/>
      <w:bookmarkStart w:id="203" w:name="_Toc184312097"/>
      <w:bookmarkEnd w:id="203"/>
      <w:bookmarkStart w:id="204" w:name="_Toc184313272"/>
      <w:bookmarkEnd w:id="204"/>
      <w:bookmarkStart w:id="205" w:name="_Toc184314459"/>
      <w:bookmarkEnd w:id="205"/>
      <w:bookmarkStart w:id="206" w:name="_Toc184313308"/>
      <w:bookmarkEnd w:id="206"/>
      <w:bookmarkStart w:id="207" w:name="_Toc184310312"/>
      <w:bookmarkEnd w:id="207"/>
      <w:bookmarkStart w:id="208" w:name="_Toc184313246"/>
      <w:bookmarkEnd w:id="208"/>
      <w:bookmarkStart w:id="209" w:name="_Toc184314469"/>
      <w:bookmarkEnd w:id="209"/>
      <w:bookmarkStart w:id="210" w:name="_Toc184310339"/>
      <w:bookmarkEnd w:id="210"/>
      <w:bookmarkStart w:id="211" w:name="_Toc184314439"/>
      <w:bookmarkEnd w:id="211"/>
      <w:bookmarkStart w:id="212" w:name="_Toc184312123"/>
      <w:bookmarkEnd w:id="212"/>
      <w:bookmarkStart w:id="213" w:name="_Toc184312137"/>
      <w:bookmarkEnd w:id="213"/>
      <w:bookmarkStart w:id="214" w:name="_Toc184314454"/>
      <w:bookmarkEnd w:id="214"/>
      <w:bookmarkStart w:id="215" w:name="_Toc184313255"/>
      <w:bookmarkEnd w:id="215"/>
      <w:bookmarkStart w:id="216" w:name="_Toc184314413"/>
      <w:bookmarkEnd w:id="216"/>
      <w:bookmarkStart w:id="217" w:name="_Toc184310343"/>
      <w:bookmarkEnd w:id="217"/>
      <w:bookmarkStart w:id="218" w:name="_Toc184308070"/>
      <w:bookmarkEnd w:id="218"/>
      <w:bookmarkStart w:id="219" w:name="_Toc184314464"/>
      <w:bookmarkEnd w:id="219"/>
      <w:bookmarkStart w:id="220" w:name="_Toc184310291"/>
      <w:bookmarkEnd w:id="220"/>
      <w:bookmarkStart w:id="221" w:name="_Toc184312119"/>
      <w:bookmarkEnd w:id="221"/>
      <w:bookmarkStart w:id="222" w:name="_Toc184310298"/>
      <w:bookmarkEnd w:id="222"/>
      <w:bookmarkStart w:id="223" w:name="_Toc184310304"/>
      <w:bookmarkEnd w:id="223"/>
      <w:bookmarkStart w:id="224" w:name="_Toc184312076"/>
      <w:bookmarkEnd w:id="224"/>
      <w:bookmarkStart w:id="225" w:name="_Toc184310340"/>
      <w:bookmarkEnd w:id="225"/>
      <w:bookmarkStart w:id="226" w:name="_Toc184310302"/>
      <w:bookmarkEnd w:id="226"/>
      <w:bookmarkStart w:id="227" w:name="_Toc184314465"/>
      <w:bookmarkEnd w:id="227"/>
      <w:bookmarkStart w:id="228" w:name="_Toc184313293"/>
      <w:bookmarkEnd w:id="228"/>
      <w:bookmarkStart w:id="229" w:name="_Toc184312068"/>
      <w:bookmarkEnd w:id="229"/>
      <w:bookmarkStart w:id="230" w:name="_Toc184313276"/>
      <w:bookmarkEnd w:id="230"/>
      <w:bookmarkStart w:id="231" w:name="_Toc184313242"/>
      <w:bookmarkEnd w:id="231"/>
      <w:bookmarkStart w:id="232" w:name="_Toc184308066"/>
      <w:bookmarkEnd w:id="232"/>
      <w:bookmarkStart w:id="233" w:name="_Toc184308038"/>
      <w:bookmarkEnd w:id="233"/>
      <w:bookmarkStart w:id="234" w:name="_Toc184310318"/>
      <w:bookmarkEnd w:id="234"/>
      <w:bookmarkStart w:id="235" w:name="_Toc184314419"/>
      <w:bookmarkEnd w:id="235"/>
      <w:bookmarkStart w:id="236" w:name="_Toc184310325"/>
      <w:bookmarkEnd w:id="236"/>
      <w:bookmarkStart w:id="237" w:name="_Toc184312095"/>
      <w:bookmarkEnd w:id="237"/>
      <w:bookmarkStart w:id="238" w:name="_Toc184312082"/>
      <w:bookmarkEnd w:id="238"/>
      <w:bookmarkStart w:id="239" w:name="_Toc184312107"/>
      <w:bookmarkEnd w:id="239"/>
      <w:bookmarkStart w:id="240" w:name="_Toc184308036"/>
      <w:bookmarkEnd w:id="240"/>
      <w:bookmarkStart w:id="241" w:name="_Toc184313275"/>
      <w:bookmarkEnd w:id="241"/>
      <w:bookmarkStart w:id="242" w:name="_Toc184308075"/>
      <w:bookmarkEnd w:id="242"/>
      <w:bookmarkStart w:id="243" w:name="_Toc184310295"/>
      <w:bookmarkEnd w:id="243"/>
      <w:bookmarkStart w:id="244" w:name="_Toc184314425"/>
      <w:bookmarkEnd w:id="244"/>
      <w:bookmarkStart w:id="245" w:name="_Toc184310280"/>
      <w:bookmarkEnd w:id="245"/>
      <w:bookmarkStart w:id="246" w:name="_Toc184313285"/>
      <w:bookmarkEnd w:id="246"/>
      <w:bookmarkStart w:id="247" w:name="_Toc184312124"/>
      <w:bookmarkEnd w:id="247"/>
      <w:bookmarkStart w:id="248" w:name="_Toc184313258"/>
      <w:bookmarkEnd w:id="248"/>
      <w:bookmarkStart w:id="249" w:name="_Toc184313292"/>
      <w:bookmarkEnd w:id="249"/>
      <w:bookmarkStart w:id="250" w:name="_Toc184312138"/>
      <w:bookmarkEnd w:id="250"/>
      <w:bookmarkStart w:id="251" w:name="_Toc184314444"/>
      <w:bookmarkEnd w:id="251"/>
      <w:bookmarkStart w:id="252" w:name="_Toc184312077"/>
      <w:bookmarkEnd w:id="252"/>
      <w:bookmarkStart w:id="253" w:name="_Toc184308039"/>
      <w:bookmarkEnd w:id="253"/>
      <w:bookmarkStart w:id="254" w:name="_Toc184312135"/>
      <w:bookmarkEnd w:id="254"/>
      <w:bookmarkStart w:id="255" w:name="_Toc184310328"/>
      <w:bookmarkEnd w:id="255"/>
      <w:bookmarkStart w:id="256" w:name="_Toc184313277"/>
      <w:bookmarkEnd w:id="256"/>
      <w:bookmarkStart w:id="257" w:name="_Toc184308065"/>
      <w:bookmarkEnd w:id="257"/>
      <w:bookmarkStart w:id="258" w:name="_Toc184310287"/>
      <w:bookmarkEnd w:id="258"/>
      <w:bookmarkStart w:id="259" w:name="_Toc184310341"/>
      <w:bookmarkEnd w:id="259"/>
      <w:bookmarkStart w:id="260" w:name="_Toc184313239"/>
      <w:bookmarkEnd w:id="260"/>
      <w:bookmarkStart w:id="261" w:name="_Toc184308105"/>
      <w:bookmarkEnd w:id="261"/>
      <w:bookmarkStart w:id="262" w:name="_Toc184313260"/>
      <w:bookmarkEnd w:id="262"/>
      <w:bookmarkStart w:id="263" w:name="_Toc184308037"/>
      <w:bookmarkEnd w:id="263"/>
      <w:bookmarkStart w:id="264" w:name="_Toc184314428"/>
      <w:bookmarkEnd w:id="264"/>
      <w:bookmarkStart w:id="265" w:name="_Toc184313241"/>
      <w:bookmarkEnd w:id="265"/>
      <w:bookmarkStart w:id="266" w:name="_Toc184312112"/>
      <w:bookmarkEnd w:id="266"/>
      <w:bookmarkStart w:id="267" w:name="_Toc184314478"/>
      <w:bookmarkEnd w:id="267"/>
      <w:bookmarkStart w:id="268" w:name="_Toc184312105"/>
      <w:bookmarkEnd w:id="268"/>
      <w:bookmarkStart w:id="269" w:name="_Toc184310344"/>
      <w:bookmarkEnd w:id="269"/>
      <w:bookmarkStart w:id="270" w:name="_Toc184313248"/>
      <w:bookmarkEnd w:id="270"/>
      <w:bookmarkStart w:id="271" w:name="_Toc184312118"/>
      <w:bookmarkEnd w:id="271"/>
      <w:bookmarkStart w:id="272" w:name="_Toc184308062"/>
      <w:bookmarkEnd w:id="272"/>
      <w:bookmarkStart w:id="273" w:name="_Toc184310296"/>
      <w:bookmarkEnd w:id="273"/>
      <w:bookmarkStart w:id="274" w:name="_Toc184312081"/>
      <w:bookmarkEnd w:id="274"/>
      <w:bookmarkStart w:id="275" w:name="_Toc184312069"/>
      <w:bookmarkEnd w:id="275"/>
      <w:bookmarkStart w:id="276" w:name="_Toc184312075"/>
      <w:bookmarkEnd w:id="276"/>
      <w:bookmarkStart w:id="277" w:name="_Toc184308103"/>
      <w:bookmarkEnd w:id="277"/>
      <w:bookmarkStart w:id="278" w:name="_Toc184313263"/>
      <w:bookmarkEnd w:id="278"/>
      <w:bookmarkStart w:id="279" w:name="_Toc184308058"/>
      <w:bookmarkEnd w:id="279"/>
      <w:bookmarkStart w:id="280" w:name="_Toc184314415"/>
      <w:bookmarkEnd w:id="280"/>
      <w:bookmarkStart w:id="281" w:name="_Toc184312071"/>
      <w:bookmarkEnd w:id="281"/>
      <w:bookmarkStart w:id="282" w:name="_Toc184312115"/>
      <w:bookmarkEnd w:id="282"/>
      <w:bookmarkStart w:id="283" w:name="_Toc184308042"/>
      <w:bookmarkEnd w:id="283"/>
      <w:bookmarkStart w:id="284" w:name="_Toc184314476"/>
      <w:bookmarkEnd w:id="284"/>
      <w:bookmarkStart w:id="285" w:name="_Toc184313298"/>
      <w:bookmarkEnd w:id="285"/>
      <w:bookmarkStart w:id="286" w:name="_Toc184308054"/>
      <w:bookmarkEnd w:id="286"/>
      <w:bookmarkStart w:id="287" w:name="_Toc184310290"/>
      <w:bookmarkEnd w:id="287"/>
      <w:bookmarkStart w:id="288" w:name="_Toc184314440"/>
      <w:bookmarkEnd w:id="288"/>
      <w:bookmarkStart w:id="289" w:name="_Toc184310326"/>
      <w:bookmarkEnd w:id="289"/>
      <w:bookmarkStart w:id="290" w:name="_Toc184312072"/>
      <w:bookmarkEnd w:id="290"/>
      <w:bookmarkStart w:id="291" w:name="_Toc184314482"/>
      <w:bookmarkEnd w:id="291"/>
      <w:bookmarkStart w:id="292" w:name="_Toc184314410"/>
      <w:bookmarkEnd w:id="292"/>
      <w:bookmarkStart w:id="293" w:name="_Toc184308086"/>
      <w:bookmarkEnd w:id="293"/>
      <w:bookmarkStart w:id="294" w:name="_Toc184314424"/>
      <w:bookmarkEnd w:id="294"/>
      <w:bookmarkStart w:id="295" w:name="_Toc184308093"/>
      <w:bookmarkEnd w:id="295"/>
      <w:bookmarkStart w:id="296" w:name="_Toc184312073"/>
      <w:bookmarkEnd w:id="296"/>
      <w:bookmarkStart w:id="297" w:name="_Toc184308041"/>
      <w:bookmarkEnd w:id="297"/>
      <w:bookmarkStart w:id="298" w:name="_Toc184310299"/>
      <w:bookmarkEnd w:id="298"/>
      <w:bookmarkStart w:id="299" w:name="_Toc184310288"/>
      <w:bookmarkEnd w:id="299"/>
      <w:bookmarkStart w:id="300" w:name="_Toc184310279"/>
      <w:bookmarkEnd w:id="300"/>
      <w:bookmarkStart w:id="301" w:name="_Toc184308050"/>
      <w:bookmarkEnd w:id="301"/>
      <w:bookmarkStart w:id="302" w:name="_Toc184314460"/>
      <w:bookmarkEnd w:id="302"/>
      <w:bookmarkStart w:id="303" w:name="_Toc184308101"/>
      <w:bookmarkEnd w:id="303"/>
      <w:bookmarkStart w:id="304" w:name="_Toc184313283"/>
      <w:bookmarkEnd w:id="304"/>
      <w:bookmarkStart w:id="305" w:name="_Toc184312070"/>
      <w:bookmarkEnd w:id="305"/>
      <w:bookmarkStart w:id="306" w:name="_Toc184313301"/>
      <w:bookmarkEnd w:id="306"/>
      <w:bookmarkStart w:id="307" w:name="_Toc184314429"/>
      <w:bookmarkEnd w:id="307"/>
      <w:bookmarkStart w:id="308" w:name="_Toc184313250"/>
      <w:bookmarkEnd w:id="308"/>
      <w:bookmarkStart w:id="309" w:name="_Toc184308056"/>
      <w:bookmarkEnd w:id="309"/>
      <w:bookmarkStart w:id="310" w:name="_Toc184310319"/>
      <w:bookmarkEnd w:id="310"/>
      <w:bookmarkStart w:id="311" w:name="_Toc184312104"/>
      <w:bookmarkEnd w:id="311"/>
      <w:bookmarkStart w:id="312" w:name="_Toc184314474"/>
      <w:bookmarkEnd w:id="312"/>
      <w:bookmarkStart w:id="313" w:name="_Toc184310278"/>
      <w:bookmarkEnd w:id="313"/>
      <w:bookmarkStart w:id="314" w:name="_Toc184310285"/>
      <w:bookmarkEnd w:id="314"/>
      <w:bookmarkStart w:id="315" w:name="_Toc184313268"/>
      <w:bookmarkEnd w:id="315"/>
      <w:bookmarkStart w:id="316" w:name="_Toc184312089"/>
      <w:bookmarkEnd w:id="316"/>
      <w:bookmarkStart w:id="317" w:name="_Toc184314477"/>
      <w:bookmarkEnd w:id="317"/>
      <w:bookmarkStart w:id="318" w:name="_Toc184314451"/>
      <w:bookmarkEnd w:id="318"/>
      <w:bookmarkStart w:id="319" w:name="_Toc184312109"/>
      <w:bookmarkEnd w:id="319"/>
      <w:bookmarkStart w:id="320" w:name="_Toc184314447"/>
      <w:bookmarkEnd w:id="320"/>
      <w:bookmarkStart w:id="321" w:name="_Toc184314431"/>
      <w:bookmarkEnd w:id="321"/>
      <w:bookmarkStart w:id="322" w:name="_Toc184314442"/>
      <w:bookmarkEnd w:id="322"/>
      <w:bookmarkStart w:id="323" w:name="_Toc184308071"/>
      <w:bookmarkEnd w:id="323"/>
      <w:bookmarkStart w:id="324" w:name="_Toc184308094"/>
      <w:bookmarkEnd w:id="324"/>
      <w:bookmarkStart w:id="325" w:name="_Toc184310283"/>
      <w:bookmarkEnd w:id="325"/>
      <w:bookmarkStart w:id="326" w:name="_Toc184314471"/>
      <w:bookmarkEnd w:id="326"/>
      <w:bookmarkStart w:id="327" w:name="_Toc184308057"/>
      <w:bookmarkEnd w:id="327"/>
      <w:bookmarkStart w:id="328" w:name="_Toc184313299"/>
      <w:bookmarkEnd w:id="328"/>
      <w:bookmarkStart w:id="329" w:name="_Toc184314445"/>
      <w:bookmarkEnd w:id="329"/>
      <w:bookmarkStart w:id="330" w:name="_Toc184312129"/>
      <w:bookmarkEnd w:id="330"/>
      <w:bookmarkStart w:id="331" w:name="_Toc184314446"/>
      <w:bookmarkEnd w:id="331"/>
      <w:bookmarkStart w:id="332" w:name="_Toc184312136"/>
      <w:bookmarkEnd w:id="332"/>
      <w:bookmarkStart w:id="333" w:name="_Toc184312092"/>
      <w:bookmarkEnd w:id="333"/>
      <w:bookmarkStart w:id="334" w:name="_Toc184313264"/>
      <w:bookmarkEnd w:id="334"/>
      <w:bookmarkStart w:id="335" w:name="_Toc184310284"/>
      <w:bookmarkEnd w:id="335"/>
      <w:bookmarkStart w:id="336" w:name="_Toc184308096"/>
      <w:bookmarkEnd w:id="336"/>
      <w:bookmarkStart w:id="337" w:name="_Toc184310323"/>
      <w:bookmarkEnd w:id="337"/>
      <w:bookmarkStart w:id="338" w:name="_Toc184313302"/>
      <w:bookmarkEnd w:id="338"/>
      <w:bookmarkStart w:id="339" w:name="_Toc184313259"/>
      <w:bookmarkEnd w:id="339"/>
      <w:bookmarkStart w:id="340" w:name="_Toc184312127"/>
      <w:bookmarkEnd w:id="340"/>
      <w:bookmarkStart w:id="341" w:name="_Toc184310314"/>
      <w:bookmarkEnd w:id="341"/>
      <w:bookmarkStart w:id="342" w:name="_Toc184314455"/>
      <w:bookmarkEnd w:id="342"/>
      <w:bookmarkStart w:id="343" w:name="_Toc184308048"/>
      <w:bookmarkEnd w:id="343"/>
      <w:bookmarkStart w:id="344" w:name="_Toc184312085"/>
      <w:bookmarkEnd w:id="344"/>
      <w:bookmarkStart w:id="345" w:name="_Toc184312067"/>
      <w:bookmarkEnd w:id="345"/>
      <w:bookmarkStart w:id="346" w:name="_Toc184314435"/>
      <w:bookmarkEnd w:id="346"/>
      <w:bookmarkStart w:id="347" w:name="_Toc184310322"/>
      <w:bookmarkEnd w:id="347"/>
      <w:bookmarkStart w:id="348" w:name="_Toc184313257"/>
      <w:bookmarkEnd w:id="348"/>
      <w:bookmarkStart w:id="349" w:name="_Toc184312093"/>
      <w:bookmarkEnd w:id="349"/>
      <w:bookmarkStart w:id="350" w:name="_Toc184314481"/>
      <w:bookmarkEnd w:id="350"/>
      <w:bookmarkStart w:id="351" w:name="_Toc184314432"/>
      <w:bookmarkEnd w:id="351"/>
      <w:bookmarkStart w:id="352" w:name="_Toc184312116"/>
      <w:bookmarkEnd w:id="352"/>
      <w:bookmarkStart w:id="353" w:name="_Toc184310305"/>
      <w:bookmarkEnd w:id="353"/>
      <w:bookmarkStart w:id="354" w:name="_Toc184310324"/>
      <w:bookmarkEnd w:id="354"/>
      <w:bookmarkStart w:id="355" w:name="_Toc184314470"/>
      <w:bookmarkEnd w:id="355"/>
      <w:bookmarkStart w:id="356" w:name="_Toc184314418"/>
      <w:bookmarkEnd w:id="356"/>
      <w:bookmarkStart w:id="357" w:name="_Toc184313295"/>
      <w:bookmarkEnd w:id="357"/>
      <w:bookmarkStart w:id="358" w:name="_Toc184312120"/>
      <w:bookmarkEnd w:id="358"/>
      <w:bookmarkStart w:id="359" w:name="_Toc184310333"/>
      <w:bookmarkEnd w:id="359"/>
      <w:bookmarkStart w:id="360" w:name="_Toc184312102"/>
      <w:bookmarkEnd w:id="360"/>
      <w:bookmarkStart w:id="361" w:name="_Toc184313251"/>
      <w:bookmarkEnd w:id="361"/>
      <w:bookmarkStart w:id="362" w:name="_Toc184312088"/>
      <w:bookmarkEnd w:id="362"/>
      <w:bookmarkStart w:id="363" w:name="_Toc184312128"/>
      <w:bookmarkEnd w:id="363"/>
      <w:bookmarkStart w:id="364" w:name="_Toc184308100"/>
      <w:bookmarkEnd w:id="364"/>
      <w:bookmarkStart w:id="365" w:name="_Toc184308091"/>
      <w:bookmarkEnd w:id="365"/>
      <w:bookmarkStart w:id="366" w:name="_Toc184314452"/>
      <w:bookmarkEnd w:id="366"/>
      <w:bookmarkStart w:id="367" w:name="_Toc184308061"/>
      <w:bookmarkEnd w:id="367"/>
      <w:bookmarkStart w:id="368" w:name="_Toc184314475"/>
      <w:bookmarkEnd w:id="368"/>
      <w:bookmarkStart w:id="369" w:name="_Toc184314450"/>
      <w:bookmarkEnd w:id="369"/>
      <w:bookmarkStart w:id="370" w:name="_Toc184308082"/>
      <w:bookmarkEnd w:id="370"/>
      <w:bookmarkStart w:id="371" w:name="_Toc184314430"/>
      <w:bookmarkEnd w:id="371"/>
      <w:bookmarkStart w:id="372" w:name="_Toc184310301"/>
      <w:bookmarkEnd w:id="372"/>
      <w:bookmarkStart w:id="373" w:name="_Toc184308090"/>
      <w:bookmarkEnd w:id="373"/>
      <w:bookmarkStart w:id="374" w:name="_Toc184314434"/>
      <w:bookmarkEnd w:id="374"/>
      <w:bookmarkStart w:id="375" w:name="_Toc184313282"/>
      <w:bookmarkEnd w:id="375"/>
      <w:bookmarkStart w:id="376" w:name="_Toc184310307"/>
      <w:bookmarkEnd w:id="376"/>
      <w:bookmarkStart w:id="377" w:name="_Toc184314420"/>
      <w:bookmarkEnd w:id="377"/>
      <w:bookmarkStart w:id="378" w:name="_Toc184314468"/>
      <w:bookmarkEnd w:id="378"/>
      <w:bookmarkStart w:id="379" w:name="_Toc184312086"/>
      <w:bookmarkEnd w:id="379"/>
      <w:bookmarkStart w:id="380" w:name="_Toc184313261"/>
      <w:bookmarkEnd w:id="380"/>
      <w:bookmarkStart w:id="381" w:name="_Toc184310274"/>
      <w:bookmarkEnd w:id="381"/>
      <w:bookmarkStart w:id="382" w:name="_Toc184310294"/>
      <w:bookmarkEnd w:id="382"/>
      <w:bookmarkStart w:id="383" w:name="_Toc184308063"/>
      <w:bookmarkEnd w:id="383"/>
      <w:bookmarkStart w:id="384" w:name="_Toc184314411"/>
      <w:bookmarkEnd w:id="384"/>
      <w:bookmarkStart w:id="385" w:name="_Toc184308087"/>
      <w:bookmarkEnd w:id="385"/>
      <w:bookmarkStart w:id="386" w:name="_Toc184313243"/>
      <w:bookmarkEnd w:id="386"/>
      <w:bookmarkStart w:id="387" w:name="_Toc184314480"/>
      <w:bookmarkEnd w:id="387"/>
      <w:bookmarkStart w:id="388" w:name="_Toc184314453"/>
      <w:bookmarkEnd w:id="388"/>
      <w:bookmarkStart w:id="389" w:name="_Toc184312114"/>
      <w:bookmarkEnd w:id="389"/>
      <w:bookmarkStart w:id="390" w:name="_Toc184313284"/>
      <w:bookmarkEnd w:id="390"/>
      <w:bookmarkStart w:id="391" w:name="_Toc184312078"/>
      <w:bookmarkEnd w:id="391"/>
      <w:bookmarkStart w:id="392" w:name="_Toc184308107"/>
      <w:bookmarkEnd w:id="392"/>
      <w:bookmarkStart w:id="393" w:name="_Toc184308060"/>
      <w:bookmarkEnd w:id="393"/>
      <w:bookmarkStart w:id="394" w:name="_Toc184312084"/>
      <w:bookmarkEnd w:id="394"/>
      <w:bookmarkStart w:id="395" w:name="_Toc184308047"/>
      <w:bookmarkEnd w:id="395"/>
      <w:bookmarkStart w:id="396" w:name="_Toc184308081"/>
      <w:bookmarkEnd w:id="396"/>
      <w:bookmarkStart w:id="397" w:name="_Toc184312131"/>
      <w:bookmarkEnd w:id="397"/>
      <w:bookmarkStart w:id="398" w:name="_Toc184310308"/>
      <w:bookmarkEnd w:id="398"/>
      <w:bookmarkStart w:id="399" w:name="_Toc184313244"/>
      <w:bookmarkEnd w:id="399"/>
      <w:bookmarkStart w:id="400" w:name="_Toc184313252"/>
      <w:bookmarkEnd w:id="400"/>
      <w:bookmarkStart w:id="401" w:name="_Toc184313294"/>
      <w:bookmarkEnd w:id="401"/>
      <w:bookmarkStart w:id="402" w:name="_Toc184310303"/>
      <w:bookmarkEnd w:id="402"/>
      <w:bookmarkStart w:id="403" w:name="_Toc184312125"/>
      <w:bookmarkEnd w:id="403"/>
      <w:bookmarkStart w:id="404" w:name="_Toc184310272"/>
      <w:bookmarkEnd w:id="404"/>
      <w:bookmarkStart w:id="405" w:name="_Toc184312074"/>
      <w:bookmarkEnd w:id="405"/>
      <w:bookmarkStart w:id="406" w:name="_Toc184313278"/>
      <w:bookmarkEnd w:id="406"/>
      <w:bookmarkStart w:id="407" w:name="_Toc184308095"/>
      <w:bookmarkEnd w:id="407"/>
      <w:bookmarkStart w:id="408" w:name="_Toc184312083"/>
      <w:bookmarkEnd w:id="408"/>
      <w:bookmarkStart w:id="409" w:name="_Toc184312117"/>
      <w:bookmarkEnd w:id="409"/>
      <w:bookmarkStart w:id="410" w:name="_Toc184314438"/>
      <w:bookmarkEnd w:id="410"/>
      <w:bookmarkStart w:id="411" w:name="_Toc184314426"/>
      <w:bookmarkEnd w:id="411"/>
      <w:bookmarkStart w:id="412" w:name="_Toc184310311"/>
      <w:bookmarkEnd w:id="412"/>
      <w:bookmarkStart w:id="413" w:name="_Toc184313238"/>
      <w:bookmarkEnd w:id="413"/>
      <w:bookmarkStart w:id="414" w:name="_Toc184312090"/>
      <w:bookmarkEnd w:id="414"/>
      <w:bookmarkStart w:id="415" w:name="_Toc184314414"/>
      <w:bookmarkEnd w:id="415"/>
      <w:bookmarkStart w:id="416" w:name="_Toc184314412"/>
      <w:bookmarkEnd w:id="416"/>
      <w:bookmarkStart w:id="417" w:name="_Toc184310332"/>
      <w:bookmarkEnd w:id="417"/>
      <w:bookmarkStart w:id="418" w:name="_Toc184310320"/>
      <w:bookmarkEnd w:id="418"/>
      <w:bookmarkStart w:id="419" w:name="_Toc184310275"/>
      <w:bookmarkEnd w:id="419"/>
      <w:bookmarkStart w:id="420" w:name="_Toc184308052"/>
      <w:bookmarkEnd w:id="420"/>
      <w:bookmarkStart w:id="421" w:name="_Toc184314457"/>
      <w:bookmarkEnd w:id="421"/>
      <w:bookmarkStart w:id="422" w:name="_Toc184310289"/>
      <w:bookmarkEnd w:id="422"/>
      <w:bookmarkStart w:id="423" w:name="_Toc184308084"/>
      <w:bookmarkEnd w:id="423"/>
      <w:bookmarkStart w:id="424" w:name="_Toc184310282"/>
      <w:bookmarkEnd w:id="424"/>
      <w:bookmarkStart w:id="425" w:name="_Toc184308108"/>
      <w:bookmarkEnd w:id="425"/>
      <w:bookmarkStart w:id="426" w:name="_Toc184314466"/>
      <w:bookmarkEnd w:id="426"/>
      <w:bookmarkStart w:id="427" w:name="_Toc184313306"/>
      <w:bookmarkEnd w:id="427"/>
      <w:bookmarkStart w:id="428" w:name="_Toc184310342"/>
      <w:bookmarkEnd w:id="428"/>
      <w:bookmarkStart w:id="429" w:name="_Toc184314423"/>
      <w:bookmarkEnd w:id="429"/>
      <w:bookmarkStart w:id="430" w:name="_Toc184314456"/>
      <w:bookmarkEnd w:id="430"/>
      <w:bookmarkStart w:id="431" w:name="_Toc184313300"/>
      <w:bookmarkEnd w:id="431"/>
      <w:bookmarkStart w:id="432" w:name="_Toc184310321"/>
      <w:bookmarkEnd w:id="432"/>
      <w:bookmarkStart w:id="433" w:name="_Toc184312139"/>
      <w:bookmarkEnd w:id="433"/>
      <w:bookmarkStart w:id="434" w:name="_Toc184313267"/>
      <w:bookmarkEnd w:id="434"/>
      <w:bookmarkStart w:id="435" w:name="_Toc184308045"/>
      <w:bookmarkEnd w:id="435"/>
      <w:bookmarkStart w:id="436" w:name="_Toc184308104"/>
      <w:bookmarkEnd w:id="436"/>
      <w:r>
        <w:rPr>
          <w:rFonts w:hint="eastAsia" w:ascii="宋体" w:hAnsi="宋体" w:cs="宋体"/>
          <w:b/>
          <w:sz w:val="36"/>
          <w:szCs w:val="36"/>
          <w:highlight w:val="none"/>
        </w:rPr>
        <w:t>评标办法</w:t>
      </w:r>
      <w:bookmarkEnd w:id="70"/>
      <w:bookmarkEnd w:id="71"/>
    </w:p>
    <w:p>
      <w:pPr>
        <w:snapToGrid w:val="0"/>
        <w:spacing w:line="360" w:lineRule="auto"/>
        <w:jc w:val="center"/>
        <w:rPr>
          <w:rFonts w:ascii="宋体" w:hAnsi="宋体" w:cs="宋体"/>
          <w:b/>
          <w:szCs w:val="21"/>
          <w:highlight w:val="none"/>
        </w:rPr>
      </w:pPr>
      <w:r>
        <w:rPr>
          <w:rFonts w:hint="eastAsia" w:ascii="宋体" w:hAnsi="宋体" w:cs="宋体"/>
          <w:b/>
          <w:szCs w:val="21"/>
          <w:highlight w:val="none"/>
        </w:rPr>
        <w:t>评标办法前附表</w:t>
      </w:r>
    </w:p>
    <w:tbl>
      <w:tblPr>
        <w:tblStyle w:val="65"/>
        <w:tblW w:w="8867"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51"/>
        <w:gridCol w:w="5842"/>
        <w:gridCol w:w="709"/>
        <w:gridCol w:w="67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434" w:hRule="atLeast"/>
        </w:trPr>
        <w:tc>
          <w:tcPr>
            <w:tcW w:w="7480" w:type="dxa"/>
            <w:gridSpan w:val="3"/>
            <w:vAlign w:val="center"/>
          </w:tcPr>
          <w:p>
            <w:pPr>
              <w:widowControl/>
              <w:tabs>
                <w:tab w:val="left" w:pos="0"/>
              </w:tabs>
              <w:autoSpaceDE w:val="0"/>
              <w:autoSpaceDN w:val="0"/>
              <w:spacing w:line="300" w:lineRule="exact"/>
              <w:jc w:val="center"/>
              <w:rPr>
                <w:rFonts w:ascii="宋体" w:hAnsi="宋体" w:cs="宋体"/>
                <w:b/>
                <w:bCs/>
                <w:kern w:val="0"/>
                <w:szCs w:val="21"/>
                <w:highlight w:val="none"/>
                <w:lang w:val="zh-CN"/>
              </w:rPr>
            </w:pPr>
            <w:r>
              <w:rPr>
                <w:rFonts w:hint="eastAsia" w:ascii="宋体" w:hAnsi="宋体" w:cs="宋体"/>
                <w:b/>
                <w:bCs/>
                <w:kern w:val="0"/>
                <w:szCs w:val="21"/>
                <w:highlight w:val="none"/>
                <w:lang w:val="zh-CN"/>
              </w:rPr>
              <w:t>评分内容及标准</w:t>
            </w:r>
          </w:p>
        </w:tc>
        <w:tc>
          <w:tcPr>
            <w:tcW w:w="709" w:type="dxa"/>
            <w:vAlign w:val="center"/>
          </w:tcPr>
          <w:p>
            <w:pPr>
              <w:widowControl/>
              <w:tabs>
                <w:tab w:val="left" w:pos="0"/>
              </w:tabs>
              <w:autoSpaceDE w:val="0"/>
              <w:autoSpaceDN w:val="0"/>
              <w:spacing w:line="300" w:lineRule="exact"/>
              <w:jc w:val="center"/>
              <w:rPr>
                <w:rFonts w:ascii="宋体" w:hAnsi="宋体" w:cs="宋体"/>
                <w:b/>
                <w:bCs/>
                <w:kern w:val="0"/>
                <w:szCs w:val="21"/>
                <w:highlight w:val="none"/>
                <w:lang w:val="zh-CN"/>
              </w:rPr>
            </w:pPr>
            <w:r>
              <w:rPr>
                <w:rFonts w:hint="eastAsia" w:ascii="宋体" w:hAnsi="宋体" w:cs="宋体"/>
                <w:b/>
                <w:bCs/>
                <w:kern w:val="0"/>
                <w:szCs w:val="21"/>
                <w:highlight w:val="none"/>
                <w:lang w:val="zh-CN"/>
              </w:rPr>
              <w:t>分值</w:t>
            </w:r>
          </w:p>
        </w:tc>
        <w:tc>
          <w:tcPr>
            <w:tcW w:w="678" w:type="dxa"/>
            <w:vAlign w:val="center"/>
          </w:tcPr>
          <w:p>
            <w:pPr>
              <w:widowControl/>
              <w:tabs>
                <w:tab w:val="left" w:pos="0"/>
              </w:tabs>
              <w:autoSpaceDE w:val="0"/>
              <w:autoSpaceDN w:val="0"/>
              <w:spacing w:line="300" w:lineRule="exact"/>
              <w:jc w:val="center"/>
              <w:rPr>
                <w:rFonts w:ascii="宋体" w:hAnsi="宋体" w:cs="宋体"/>
                <w:b/>
                <w:bCs/>
                <w:kern w:val="0"/>
                <w:szCs w:val="21"/>
                <w:highlight w:val="none"/>
              </w:rPr>
            </w:pPr>
            <w:r>
              <w:rPr>
                <w:rFonts w:hint="eastAsia" w:ascii="宋体" w:hAnsi="宋体" w:cs="宋体"/>
                <w:b/>
                <w:bCs/>
                <w:kern w:val="0"/>
                <w:szCs w:val="21"/>
                <w:highlight w:val="none"/>
              </w:rPr>
              <w:t>评审</w:t>
            </w:r>
          </w:p>
          <w:p>
            <w:pPr>
              <w:widowControl/>
              <w:tabs>
                <w:tab w:val="left" w:pos="0"/>
              </w:tabs>
              <w:autoSpaceDE w:val="0"/>
              <w:autoSpaceDN w:val="0"/>
              <w:spacing w:line="300" w:lineRule="exact"/>
              <w:jc w:val="center"/>
              <w:rPr>
                <w:rFonts w:ascii="宋体" w:hAnsi="宋体" w:cs="宋体"/>
                <w:b/>
                <w:bCs/>
                <w:kern w:val="0"/>
                <w:szCs w:val="21"/>
                <w:highlight w:val="none"/>
              </w:rPr>
            </w:pPr>
            <w:r>
              <w:rPr>
                <w:rFonts w:hint="eastAsia" w:ascii="宋体" w:hAnsi="宋体" w:cs="宋体"/>
                <w:b/>
                <w:bCs/>
                <w:kern w:val="0"/>
                <w:szCs w:val="21"/>
                <w:highlight w:val="none"/>
              </w:rPr>
              <w:t>类型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787" w:type="dxa"/>
            <w:vMerge w:val="restart"/>
            <w:tcBorders>
              <w:top w:val="single" w:color="auto" w:sz="4" w:space="0"/>
            </w:tcBorders>
            <w:vAlign w:val="center"/>
          </w:tcPr>
          <w:p>
            <w:pPr>
              <w:widowControl/>
              <w:tabs>
                <w:tab w:val="left" w:pos="0"/>
              </w:tabs>
              <w:spacing w:line="300" w:lineRule="exact"/>
              <w:jc w:val="center"/>
              <w:rPr>
                <w:rFonts w:ascii="宋体" w:hAnsi="宋体" w:cs="宋体"/>
                <w:kern w:val="0"/>
                <w:szCs w:val="21"/>
                <w:highlight w:val="none"/>
              </w:rPr>
            </w:pPr>
            <w:r>
              <w:rPr>
                <w:rFonts w:hint="eastAsia" w:ascii="宋体" w:hAnsi="宋体" w:cs="宋体"/>
                <w:kern w:val="0"/>
                <w:szCs w:val="21"/>
                <w:highlight w:val="none"/>
              </w:rPr>
              <w:t>价格</w:t>
            </w:r>
          </w:p>
          <w:p>
            <w:pPr>
              <w:widowControl/>
              <w:tabs>
                <w:tab w:val="left" w:pos="0"/>
              </w:tabs>
              <w:spacing w:line="300" w:lineRule="exact"/>
              <w:jc w:val="center"/>
              <w:rPr>
                <w:rFonts w:ascii="宋体" w:hAnsi="宋体" w:cs="宋体"/>
                <w:kern w:val="0"/>
                <w:szCs w:val="21"/>
                <w:highlight w:val="none"/>
              </w:rPr>
            </w:pPr>
            <w:r>
              <w:rPr>
                <w:rFonts w:hint="eastAsia" w:ascii="宋体" w:hAnsi="宋体" w:cs="宋体"/>
                <w:kern w:val="0"/>
                <w:szCs w:val="21"/>
                <w:highlight w:val="none"/>
              </w:rPr>
              <w:t>分</w:t>
            </w:r>
          </w:p>
          <w:p>
            <w:pPr>
              <w:widowControl/>
              <w:tabs>
                <w:tab w:val="left" w:pos="0"/>
              </w:tabs>
              <w:spacing w:line="300" w:lineRule="exact"/>
              <w:jc w:val="center"/>
              <w:rPr>
                <w:rFonts w:ascii="宋体" w:hAnsi="宋体" w:cs="宋体"/>
                <w:kern w:val="0"/>
                <w:szCs w:val="21"/>
                <w:highlight w:val="none"/>
                <w:lang w:val="zh-CN"/>
              </w:rPr>
            </w:pPr>
            <w:r>
              <w:rPr>
                <w:rFonts w:ascii="宋体" w:hAnsi="宋体" w:cs="宋体"/>
                <w:kern w:val="0"/>
                <w:szCs w:val="21"/>
                <w:highlight w:val="none"/>
              </w:rPr>
              <w:t>1</w:t>
            </w:r>
            <w:r>
              <w:rPr>
                <w:rFonts w:hint="eastAsia" w:ascii="宋体" w:hAnsi="宋体" w:cs="宋体"/>
                <w:kern w:val="0"/>
                <w:szCs w:val="21"/>
                <w:highlight w:val="none"/>
              </w:rPr>
              <w:t>2分</w:t>
            </w:r>
          </w:p>
        </w:tc>
        <w:tc>
          <w:tcPr>
            <w:tcW w:w="6693" w:type="dxa"/>
            <w:gridSpan w:val="2"/>
            <w:tcBorders>
              <w:bottom w:val="single" w:color="auto" w:sz="4" w:space="0"/>
            </w:tcBorders>
            <w:vAlign w:val="center"/>
          </w:tcPr>
          <w:p>
            <w:pPr>
              <w:snapToGrid w:val="0"/>
              <w:spacing w:line="300" w:lineRule="auto"/>
              <w:jc w:val="left"/>
              <w:rPr>
                <w:szCs w:val="21"/>
                <w:highlight w:val="none"/>
              </w:rPr>
            </w:pPr>
            <w:r>
              <w:rPr>
                <w:rFonts w:hint="eastAsia"/>
                <w:szCs w:val="21"/>
                <w:highlight w:val="none"/>
              </w:rPr>
              <w:t>评标基准价=满足招标文件要求且“投标报价”中最低的价格为评标基准价</w:t>
            </w:r>
          </w:p>
          <w:p>
            <w:pPr>
              <w:widowControl/>
              <w:snapToGrid w:val="0"/>
              <w:spacing w:line="300" w:lineRule="auto"/>
              <w:jc w:val="left"/>
              <w:rPr>
                <w:szCs w:val="21"/>
                <w:highlight w:val="none"/>
              </w:rPr>
            </w:pPr>
            <w:r>
              <w:rPr>
                <w:rFonts w:hint="eastAsia"/>
                <w:szCs w:val="21"/>
                <w:highlight w:val="none"/>
              </w:rPr>
              <w:t>投标报价等于评标基准价时，其价格得分为满分</w:t>
            </w:r>
            <w:r>
              <w:rPr>
                <w:szCs w:val="21"/>
                <w:highlight w:val="none"/>
              </w:rPr>
              <w:t>1</w:t>
            </w:r>
            <w:r>
              <w:rPr>
                <w:rFonts w:hint="eastAsia"/>
                <w:szCs w:val="21"/>
                <w:highlight w:val="none"/>
              </w:rPr>
              <w:t>2分</w:t>
            </w:r>
          </w:p>
          <w:p>
            <w:pPr>
              <w:snapToGrid w:val="0"/>
              <w:spacing w:line="300" w:lineRule="auto"/>
              <w:jc w:val="left"/>
              <w:rPr>
                <w:szCs w:val="21"/>
                <w:highlight w:val="none"/>
              </w:rPr>
            </w:pPr>
            <w:r>
              <w:rPr>
                <w:rFonts w:hint="eastAsia"/>
                <w:szCs w:val="21"/>
                <w:highlight w:val="none"/>
              </w:rPr>
              <w:t>其他投标人价格得分=（评标基准价/投标报价）×</w:t>
            </w:r>
            <w:r>
              <w:rPr>
                <w:szCs w:val="21"/>
                <w:highlight w:val="none"/>
              </w:rPr>
              <w:t>1</w:t>
            </w:r>
            <w:r>
              <w:rPr>
                <w:rFonts w:hint="eastAsia"/>
                <w:szCs w:val="21"/>
                <w:highlight w:val="none"/>
              </w:rPr>
              <w:t>2％×100</w:t>
            </w:r>
          </w:p>
          <w:p>
            <w:pPr>
              <w:snapToGrid w:val="0"/>
              <w:spacing w:line="300" w:lineRule="auto"/>
              <w:jc w:val="left"/>
              <w:rPr>
                <w:szCs w:val="21"/>
                <w:highlight w:val="none"/>
              </w:rPr>
            </w:pPr>
            <w:r>
              <w:rPr>
                <w:rFonts w:hint="eastAsia"/>
                <w:szCs w:val="21"/>
                <w:highlight w:val="none"/>
              </w:rPr>
              <w:t>（计算结果四舍五入，保留小数点后2位）</w:t>
            </w:r>
          </w:p>
        </w:tc>
        <w:tc>
          <w:tcPr>
            <w:tcW w:w="709" w:type="dxa"/>
            <w:tcBorders>
              <w:bottom w:val="single" w:color="auto" w:sz="4" w:space="0"/>
            </w:tcBorders>
            <w:vAlign w:val="center"/>
          </w:tcPr>
          <w:p>
            <w:pPr>
              <w:widowControl/>
              <w:tabs>
                <w:tab w:val="left" w:pos="0"/>
              </w:tabs>
              <w:spacing w:line="300" w:lineRule="exact"/>
              <w:jc w:val="center"/>
              <w:rPr>
                <w:rFonts w:ascii="宋体" w:hAnsi="宋体" w:cs="宋体"/>
                <w:bCs/>
                <w:kern w:val="0"/>
                <w:szCs w:val="21"/>
                <w:highlight w:val="none"/>
              </w:rPr>
            </w:pPr>
            <w:r>
              <w:rPr>
                <w:rFonts w:ascii="宋体" w:hAnsi="宋体" w:cs="宋体"/>
                <w:bCs/>
                <w:kern w:val="0"/>
                <w:szCs w:val="21"/>
                <w:highlight w:val="none"/>
              </w:rPr>
              <w:t>1</w:t>
            </w:r>
            <w:r>
              <w:rPr>
                <w:rFonts w:hint="eastAsia" w:ascii="宋体" w:hAnsi="宋体" w:cs="宋体"/>
                <w:bCs/>
                <w:kern w:val="0"/>
                <w:szCs w:val="21"/>
                <w:highlight w:val="none"/>
              </w:rPr>
              <w:t>2</w:t>
            </w:r>
            <w:r>
              <w:rPr>
                <w:rFonts w:hint="eastAsia" w:ascii="宋体" w:hAnsi="宋体" w:cs="宋体"/>
                <w:kern w:val="0"/>
                <w:szCs w:val="21"/>
                <w:highlight w:val="none"/>
              </w:rPr>
              <w:t>分</w:t>
            </w:r>
          </w:p>
        </w:tc>
        <w:tc>
          <w:tcPr>
            <w:tcW w:w="678" w:type="dxa"/>
            <w:tcBorders>
              <w:bottom w:val="single" w:color="auto" w:sz="4" w:space="0"/>
            </w:tcBorders>
            <w:vAlign w:val="center"/>
          </w:tcPr>
          <w:p>
            <w:pPr>
              <w:widowControl/>
              <w:tabs>
                <w:tab w:val="left" w:pos="0"/>
              </w:tabs>
              <w:spacing w:line="300" w:lineRule="exact"/>
              <w:jc w:val="center"/>
              <w:rPr>
                <w:rFonts w:ascii="宋体" w:hAnsi="宋体" w:cs="宋体"/>
                <w:bCs/>
                <w:kern w:val="0"/>
                <w:szCs w:val="21"/>
                <w:highlight w:val="none"/>
              </w:rPr>
            </w:pPr>
            <w:r>
              <w:rPr>
                <w:rFonts w:hint="eastAsia" w:ascii="宋体" w:hAnsi="宋体" w:cs="宋体"/>
                <w:bCs/>
                <w:kern w:val="0"/>
                <w:szCs w:val="21"/>
                <w:highlight w:val="none"/>
              </w:rPr>
              <w:t>客观</w:t>
            </w:r>
          </w:p>
          <w:p>
            <w:pPr>
              <w:widowControl/>
              <w:tabs>
                <w:tab w:val="left" w:pos="0"/>
              </w:tabs>
              <w:spacing w:line="300" w:lineRule="exact"/>
              <w:jc w:val="center"/>
              <w:rPr>
                <w:rFonts w:ascii="宋体" w:hAnsi="宋体" w:cs="宋体"/>
                <w:bCs/>
                <w:kern w:val="0"/>
                <w:szCs w:val="21"/>
                <w:highlight w:val="none"/>
              </w:rPr>
            </w:pPr>
            <w:r>
              <w:rPr>
                <w:rFonts w:hint="eastAsia" w:ascii="宋体" w:hAnsi="宋体" w:cs="宋体"/>
                <w:bCs/>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87" w:type="dxa"/>
            <w:vMerge w:val="continue"/>
            <w:vAlign w:val="center"/>
          </w:tcPr>
          <w:p>
            <w:pPr>
              <w:widowControl/>
              <w:tabs>
                <w:tab w:val="left" w:pos="0"/>
              </w:tabs>
              <w:spacing w:line="300" w:lineRule="exact"/>
              <w:jc w:val="center"/>
              <w:rPr>
                <w:rFonts w:ascii="宋体" w:hAnsi="宋体" w:cs="宋体"/>
                <w:kern w:val="0"/>
                <w:szCs w:val="21"/>
                <w:highlight w:val="none"/>
              </w:rPr>
            </w:pPr>
          </w:p>
        </w:tc>
        <w:tc>
          <w:tcPr>
            <w:tcW w:w="8080" w:type="dxa"/>
            <w:gridSpan w:val="4"/>
            <w:tcBorders>
              <w:bottom w:val="single" w:color="auto" w:sz="4" w:space="0"/>
            </w:tcBorders>
            <w:vAlign w:val="center"/>
          </w:tcPr>
          <w:p>
            <w:pPr>
              <w:widowControl/>
              <w:tabs>
                <w:tab w:val="left" w:pos="0"/>
              </w:tabs>
              <w:spacing w:line="300" w:lineRule="exact"/>
              <w:jc w:val="left"/>
              <w:rPr>
                <w:rFonts w:ascii="宋体" w:hAnsi="宋体" w:cs="宋体"/>
                <w:bCs/>
                <w:kern w:val="0"/>
                <w:szCs w:val="21"/>
                <w:highlight w:val="none"/>
              </w:rPr>
            </w:pPr>
            <w:r>
              <w:rPr>
                <w:rFonts w:hint="eastAsia"/>
                <w:b/>
                <w:bCs/>
                <w:szCs w:val="21"/>
                <w:highlight w:val="none"/>
              </w:rPr>
              <w:t>注：</w:t>
            </w:r>
            <w:r>
              <w:rPr>
                <w:rFonts w:hint="eastAsia" w:ascii="宋体" w:hAnsi="宋体" w:cs="宋体"/>
                <w:b/>
                <w:bCs/>
                <w:szCs w:val="21"/>
                <w:highlight w:val="none"/>
              </w:rPr>
              <w:t>本项目为专门面向中小微企业采购的项目，对上述报价分计算时，不再执行价格评审优惠的扶持政策</w:t>
            </w:r>
            <w:r>
              <w:rPr>
                <w:rFonts w:hint="eastAsia"/>
                <w:b/>
                <w:bCs/>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restart"/>
            <w:vAlign w:val="center"/>
          </w:tcPr>
          <w:p>
            <w:pPr>
              <w:spacing w:line="300" w:lineRule="exact"/>
              <w:jc w:val="center"/>
              <w:rPr>
                <w:rFonts w:ascii="宋体" w:hAnsi="宋体" w:cs="宋体"/>
                <w:kern w:val="0"/>
                <w:szCs w:val="21"/>
                <w:highlight w:val="none"/>
              </w:rPr>
            </w:pPr>
            <w:r>
              <w:rPr>
                <w:rFonts w:hint="eastAsia" w:ascii="宋体" w:hAnsi="宋体" w:cs="宋体"/>
                <w:kern w:val="0"/>
                <w:szCs w:val="21"/>
                <w:highlight w:val="none"/>
              </w:rPr>
              <w:t>技术商务分88分</w:t>
            </w: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体系</w:t>
            </w:r>
          </w:p>
          <w:p>
            <w:pPr>
              <w:widowControl/>
              <w:snapToGrid w:val="0"/>
              <w:jc w:val="center"/>
              <w:rPr>
                <w:rFonts w:ascii="宋体" w:hAnsi="宋体" w:cs="宋体"/>
                <w:kern w:val="0"/>
                <w:szCs w:val="21"/>
                <w:highlight w:val="none"/>
              </w:rPr>
            </w:pPr>
            <w:r>
              <w:rPr>
                <w:rFonts w:hint="eastAsia" w:ascii="宋体" w:hAnsi="宋体" w:cs="宋体"/>
                <w:kern w:val="0"/>
                <w:szCs w:val="21"/>
                <w:highlight w:val="none"/>
              </w:rPr>
              <w:t>证书</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投标人具有有效的质量管理体系认证证书的得1分；环境管理体系认证证书的得1分；职业健康安全管理体系认证证书的得1分。此项评审满分3分。</w:t>
            </w:r>
          </w:p>
          <w:p>
            <w:pPr>
              <w:widowControl/>
              <w:spacing w:line="360" w:lineRule="auto"/>
              <w:jc w:val="left"/>
              <w:rPr>
                <w:szCs w:val="21"/>
                <w:highlight w:val="none"/>
              </w:rPr>
            </w:pPr>
            <w:r>
              <w:rPr>
                <w:rFonts w:hint="eastAsia" w:ascii="宋体" w:hAnsi="宋体" w:cs="宋体"/>
                <w:szCs w:val="21"/>
                <w:highlight w:val="none"/>
              </w:rPr>
              <w:t>注：投标文件中提供有效的认证证书复印件加盖公章。</w:t>
            </w:r>
          </w:p>
        </w:tc>
        <w:tc>
          <w:tcPr>
            <w:tcW w:w="709"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3分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客观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业绩</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自20</w:t>
            </w:r>
            <w:r>
              <w:rPr>
                <w:rFonts w:ascii="宋体" w:hAnsi="宋体" w:cs="宋体"/>
                <w:szCs w:val="21"/>
                <w:highlight w:val="none"/>
              </w:rPr>
              <w:t>21</w:t>
            </w:r>
            <w:r>
              <w:rPr>
                <w:rFonts w:hint="eastAsia" w:ascii="宋体" w:hAnsi="宋体" w:cs="宋体"/>
                <w:szCs w:val="21"/>
                <w:highlight w:val="none"/>
              </w:rPr>
              <w:t>年1月1日以来（以合同签订时间为准），</w:t>
            </w:r>
            <w:r>
              <w:rPr>
                <w:rFonts w:hint="eastAsia"/>
                <w:szCs w:val="21"/>
                <w:highlight w:val="none"/>
              </w:rPr>
              <w:t>投标人</w:t>
            </w:r>
            <w:r>
              <w:rPr>
                <w:rFonts w:hint="eastAsia" w:ascii="宋体" w:hAnsi="宋体" w:cs="宋体"/>
                <w:szCs w:val="21"/>
                <w:highlight w:val="none"/>
              </w:rPr>
              <w:t>有类似项目业绩的，每提供一份类似项目合同得</w:t>
            </w:r>
            <w:r>
              <w:rPr>
                <w:rFonts w:ascii="宋体" w:hAnsi="宋体" w:cs="宋体"/>
                <w:szCs w:val="21"/>
                <w:highlight w:val="none"/>
              </w:rPr>
              <w:t>0.5</w:t>
            </w:r>
            <w:r>
              <w:rPr>
                <w:rFonts w:hint="eastAsia" w:ascii="宋体" w:hAnsi="宋体" w:cs="宋体"/>
                <w:szCs w:val="21"/>
                <w:highlight w:val="none"/>
              </w:rPr>
              <w:t>分，本项最多得1分。</w:t>
            </w:r>
          </w:p>
          <w:p>
            <w:pPr>
              <w:pStyle w:val="64"/>
              <w:ind w:left="0" w:leftChars="0" w:firstLine="0" w:firstLineChars="0"/>
              <w:rPr>
                <w:szCs w:val="21"/>
                <w:highlight w:val="none"/>
              </w:rPr>
            </w:pPr>
            <w:r>
              <w:rPr>
                <w:rFonts w:hint="eastAsia" w:cs="宋体"/>
                <w:szCs w:val="21"/>
                <w:highlight w:val="none"/>
              </w:rPr>
              <w:t>注：投标文件中提供合同复印件并加盖公章。</w:t>
            </w:r>
          </w:p>
        </w:tc>
        <w:tc>
          <w:tcPr>
            <w:tcW w:w="709"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1分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客观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项目负责人</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投标人拟派本项目的项目负责人具有人社部门颁发的</w:t>
            </w:r>
            <w:r>
              <w:rPr>
                <w:rFonts w:ascii="宋体" w:hAnsi="宋体" w:cs="宋体"/>
                <w:szCs w:val="21"/>
                <w:highlight w:val="none"/>
              </w:rPr>
              <w:t>高级 （国家职业资格三级）</w:t>
            </w:r>
            <w:r>
              <w:rPr>
                <w:rFonts w:hint="eastAsia" w:ascii="宋体" w:hAnsi="宋体" w:cs="宋体"/>
                <w:szCs w:val="21"/>
                <w:highlight w:val="none"/>
              </w:rPr>
              <w:t>有害生物防制员职业资格证书的得4分；</w:t>
            </w:r>
            <w:r>
              <w:rPr>
                <w:rFonts w:ascii="宋体" w:hAnsi="宋体" w:cs="宋体"/>
                <w:szCs w:val="21"/>
                <w:highlight w:val="none"/>
              </w:rPr>
              <w:t>中级 （国家职业资格四级）</w:t>
            </w:r>
            <w:r>
              <w:rPr>
                <w:rFonts w:hint="eastAsia" w:ascii="宋体" w:hAnsi="宋体" w:cs="宋体"/>
                <w:szCs w:val="21"/>
                <w:highlight w:val="none"/>
              </w:rPr>
              <w:t>及以下有害生物防制员职业资格证书的得2分；无不得分。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注：投标文件中提供项目负责人职业资格证书复印件加盖公章以及社保机构出具的由投标人为其缴纳的近开标日前三个月任意一个月的社保缴纳证明材料，材料不齐的不得分。</w:t>
            </w:r>
          </w:p>
        </w:tc>
        <w:tc>
          <w:tcPr>
            <w:tcW w:w="709"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4分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客观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项目服务团队</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投标人拟派本项目的项目服务团队（不含项目负责人）具有人社部门颁发的有害生物防制员职业资格证书的，每具有一个得</w:t>
            </w:r>
            <w:r>
              <w:rPr>
                <w:rFonts w:ascii="宋体" w:hAnsi="宋体" w:cs="宋体"/>
                <w:szCs w:val="21"/>
                <w:highlight w:val="none"/>
              </w:rPr>
              <w:t>1</w:t>
            </w:r>
            <w:r>
              <w:rPr>
                <w:rFonts w:hint="eastAsia" w:ascii="宋体" w:hAnsi="宋体" w:cs="宋体"/>
                <w:szCs w:val="21"/>
                <w:highlight w:val="none"/>
              </w:rPr>
              <w:t>分，满分5分。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注：投标文件中提供项目服务团队人员的职业资格证书复印件加盖公章以及社保部门出具的由投标人为其缴纳的近开标日前三个月任意一个月的社保缴纳证明材料，材料不齐的不得分。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客观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项目了解情况</w:t>
            </w:r>
          </w:p>
        </w:tc>
        <w:tc>
          <w:tcPr>
            <w:tcW w:w="5842" w:type="dxa"/>
            <w:vAlign w:val="center"/>
          </w:tcPr>
          <w:p>
            <w:pPr>
              <w:widowControl/>
              <w:spacing w:line="360" w:lineRule="auto"/>
              <w:jc w:val="left"/>
              <w:rPr>
                <w:szCs w:val="21"/>
                <w:highlight w:val="none"/>
              </w:rPr>
            </w:pPr>
            <w:r>
              <w:rPr>
                <w:rFonts w:hint="eastAsia"/>
                <w:szCs w:val="21"/>
                <w:highlight w:val="none"/>
              </w:rPr>
              <w:t>根据投标人针对本项目了解情况（包括：项目现状情况排摸、项目现状了解及分析），由评标委员会进行综合评审：</w:t>
            </w:r>
          </w:p>
          <w:p>
            <w:pPr>
              <w:widowControl/>
              <w:spacing w:line="360" w:lineRule="auto"/>
              <w:jc w:val="left"/>
              <w:rPr>
                <w:szCs w:val="21"/>
                <w:highlight w:val="none"/>
              </w:rPr>
            </w:pPr>
            <w:r>
              <w:rPr>
                <w:rFonts w:hint="eastAsia" w:ascii="宋体" w:hAnsi="宋体"/>
                <w:szCs w:val="21"/>
                <w:highlight w:val="none"/>
              </w:rPr>
              <w:t>①</w:t>
            </w:r>
            <w:r>
              <w:rPr>
                <w:rFonts w:hint="eastAsia"/>
                <w:szCs w:val="21"/>
                <w:highlight w:val="none"/>
              </w:rPr>
              <w:t>方案内容齐全，对项目防治范围内现状情况排摸详细，对项目现状了解清晰透彻的得</w:t>
            </w:r>
            <w:r>
              <w:rPr>
                <w:szCs w:val="21"/>
                <w:highlight w:val="none"/>
              </w:rPr>
              <w:t>5</w:t>
            </w:r>
            <w:r>
              <w:rPr>
                <w:rFonts w:hint="eastAsia"/>
                <w:szCs w:val="21"/>
                <w:highlight w:val="none"/>
              </w:rPr>
              <w:t>分；</w:t>
            </w:r>
          </w:p>
          <w:p>
            <w:pPr>
              <w:widowControl/>
              <w:spacing w:line="360" w:lineRule="auto"/>
              <w:jc w:val="left"/>
              <w:rPr>
                <w:szCs w:val="21"/>
                <w:highlight w:val="none"/>
              </w:rPr>
            </w:pPr>
            <w:r>
              <w:rPr>
                <w:rFonts w:hint="eastAsia" w:ascii="宋体" w:hAnsi="宋体"/>
                <w:szCs w:val="21"/>
                <w:highlight w:val="none"/>
              </w:rPr>
              <w:t>②</w:t>
            </w:r>
            <w:r>
              <w:rPr>
                <w:rFonts w:hint="eastAsia"/>
                <w:szCs w:val="21"/>
                <w:highlight w:val="none"/>
              </w:rPr>
              <w:t>方案内容存在缺项，对项目防治范围内现状情况排摸不充分，对项目现状基本了解的得3分；</w:t>
            </w:r>
          </w:p>
          <w:p>
            <w:pPr>
              <w:widowControl/>
              <w:spacing w:line="360" w:lineRule="auto"/>
              <w:jc w:val="left"/>
              <w:rPr>
                <w:szCs w:val="21"/>
                <w:highlight w:val="none"/>
              </w:rPr>
            </w:pPr>
            <w:r>
              <w:rPr>
                <w:rFonts w:hint="eastAsia" w:ascii="宋体" w:hAnsi="宋体"/>
                <w:szCs w:val="21"/>
                <w:highlight w:val="none"/>
              </w:rPr>
              <w:t>③</w:t>
            </w:r>
            <w:r>
              <w:rPr>
                <w:rFonts w:hint="eastAsia"/>
                <w:szCs w:val="21"/>
                <w:highlight w:val="none"/>
              </w:rPr>
              <w:t>方案内容存在明显漏洞，对项目防治范围内现状情况排摸粗糙，对项目现状了解混乱的得1分；</w:t>
            </w:r>
          </w:p>
          <w:p>
            <w:pPr>
              <w:widowControl/>
              <w:spacing w:line="360" w:lineRule="auto"/>
              <w:jc w:val="left"/>
              <w:rPr>
                <w:szCs w:val="21"/>
                <w:highlight w:val="none"/>
              </w:rPr>
            </w:pPr>
            <w:r>
              <w:rPr>
                <w:rFonts w:hint="eastAsia" w:ascii="宋体" w:hAnsi="宋体"/>
                <w:szCs w:val="21"/>
                <w:highlight w:val="none"/>
              </w:rPr>
              <w:t>注：</w:t>
            </w:r>
            <w:r>
              <w:rPr>
                <w:rFonts w:hint="eastAsia"/>
                <w:szCs w:val="21"/>
                <w:highlight w:val="none"/>
              </w:rPr>
              <w:t>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restart"/>
            <w:vAlign w:val="center"/>
          </w:tcPr>
          <w:p>
            <w:pPr>
              <w:widowControl/>
              <w:snapToGrid w:val="0"/>
              <w:jc w:val="center"/>
              <w:rPr>
                <w:rFonts w:ascii="宋体" w:hAnsi="宋体" w:cs="宋体"/>
                <w:kern w:val="0"/>
                <w:szCs w:val="21"/>
                <w:highlight w:val="none"/>
              </w:rPr>
            </w:pPr>
            <w:r>
              <w:rPr>
                <w:rFonts w:hint="eastAsia" w:ascii="宋体" w:hAnsi="宋体" w:cs="宋体"/>
                <w:szCs w:val="21"/>
                <w:highlight w:val="none"/>
              </w:rPr>
              <w:t>除四害消杀服务实施方案</w:t>
            </w:r>
          </w:p>
        </w:tc>
        <w:tc>
          <w:tcPr>
            <w:tcW w:w="5842" w:type="dxa"/>
            <w:vAlign w:val="center"/>
          </w:tcPr>
          <w:p>
            <w:pPr>
              <w:widowControl/>
              <w:spacing w:line="360" w:lineRule="auto"/>
              <w:jc w:val="left"/>
              <w:rPr>
                <w:szCs w:val="21"/>
                <w:highlight w:val="none"/>
              </w:rPr>
            </w:pPr>
            <w:r>
              <w:rPr>
                <w:rFonts w:hint="eastAsia"/>
                <w:szCs w:val="21"/>
                <w:highlight w:val="none"/>
              </w:rPr>
              <w:t>根据投标人针对本项目制定的除四害消杀服务作业计划和作业流程（程序），由评标委员会进行综合评审：</w:t>
            </w:r>
          </w:p>
          <w:p>
            <w:pPr>
              <w:widowControl/>
              <w:spacing w:line="360" w:lineRule="auto"/>
              <w:jc w:val="left"/>
              <w:rPr>
                <w:szCs w:val="21"/>
                <w:highlight w:val="none"/>
              </w:rPr>
            </w:pPr>
            <w:r>
              <w:rPr>
                <w:rFonts w:hint="eastAsia"/>
                <w:szCs w:val="21"/>
                <w:highlight w:val="none"/>
              </w:rPr>
              <w:t>①方案内容完整，服务作业计划安排合理，作业流程（程序）规范，完全能确保项目顺利开展的得5分；</w:t>
            </w:r>
          </w:p>
          <w:p>
            <w:pPr>
              <w:widowControl/>
              <w:spacing w:line="360" w:lineRule="auto"/>
              <w:jc w:val="left"/>
              <w:rPr>
                <w:szCs w:val="21"/>
                <w:highlight w:val="none"/>
              </w:rPr>
            </w:pPr>
            <w:r>
              <w:rPr>
                <w:rFonts w:hint="eastAsia"/>
                <w:szCs w:val="21"/>
                <w:highlight w:val="none"/>
              </w:rPr>
              <w:t>②方案内容较完整，服务作业计划安排较合理，作业流程（程序）较规范，较能确保项目顺利开展的得</w:t>
            </w:r>
            <w:r>
              <w:rPr>
                <w:szCs w:val="21"/>
                <w:highlight w:val="none"/>
              </w:rPr>
              <w:t>4</w:t>
            </w:r>
            <w:r>
              <w:rPr>
                <w:rFonts w:hint="eastAsia"/>
                <w:szCs w:val="21"/>
                <w:highlight w:val="none"/>
              </w:rPr>
              <w:t>分；</w:t>
            </w:r>
          </w:p>
          <w:p>
            <w:pPr>
              <w:widowControl/>
              <w:spacing w:line="360" w:lineRule="auto"/>
              <w:jc w:val="left"/>
              <w:rPr>
                <w:szCs w:val="21"/>
                <w:highlight w:val="none"/>
              </w:rPr>
            </w:pPr>
            <w:r>
              <w:rPr>
                <w:rFonts w:hint="eastAsia"/>
                <w:szCs w:val="21"/>
                <w:highlight w:val="none"/>
              </w:rPr>
              <w:t>③方案内容基本完整，服务作业计划安排基本合理，作业流程（程序）基本规范，基本能确保项目顺利开展的得</w:t>
            </w:r>
            <w:r>
              <w:rPr>
                <w:szCs w:val="21"/>
                <w:highlight w:val="none"/>
              </w:rPr>
              <w:t>3</w:t>
            </w:r>
            <w:r>
              <w:rPr>
                <w:rFonts w:hint="eastAsia"/>
                <w:szCs w:val="21"/>
                <w:highlight w:val="none"/>
              </w:rPr>
              <w:t>分；</w:t>
            </w:r>
          </w:p>
          <w:p>
            <w:pPr>
              <w:widowControl/>
              <w:spacing w:line="360" w:lineRule="auto"/>
              <w:jc w:val="left"/>
              <w:rPr>
                <w:szCs w:val="21"/>
                <w:highlight w:val="none"/>
              </w:rPr>
            </w:pPr>
            <w:r>
              <w:rPr>
                <w:rFonts w:hint="eastAsia"/>
                <w:szCs w:val="21"/>
                <w:highlight w:val="none"/>
              </w:rPr>
              <w:t>④方案内容存在较大缺陷，服务作业计划安排不够合理，作业流程（程序）不够规范，可能无法保障项目顺利开展的得1分；</w:t>
            </w:r>
            <w:r>
              <w:rPr>
                <w:szCs w:val="21"/>
                <w:highlight w:val="none"/>
              </w:rPr>
              <w:t xml:space="preserve"> </w:t>
            </w:r>
          </w:p>
          <w:p>
            <w:pPr>
              <w:widowControl/>
              <w:spacing w:line="360" w:lineRule="auto"/>
              <w:jc w:val="left"/>
              <w:rPr>
                <w:szCs w:val="21"/>
                <w:highlight w:val="none"/>
              </w:rPr>
            </w:pPr>
            <w:r>
              <w:rPr>
                <w:rFonts w:hint="eastAsia"/>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continue"/>
            <w:vAlign w:val="center"/>
          </w:tcPr>
          <w:p>
            <w:pPr>
              <w:widowControl/>
              <w:snapToGrid w:val="0"/>
              <w:jc w:val="center"/>
              <w:rPr>
                <w:rFonts w:ascii="宋体" w:hAnsi="宋体" w:cs="宋体"/>
                <w:szCs w:val="21"/>
                <w:highlight w:val="none"/>
              </w:rPr>
            </w:pP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根据投标人针对本项目制定的消杀药品管理方案（包括药品采购、保存、投放使用以及具体实施方法和技术措施）</w:t>
            </w:r>
            <w:r>
              <w:rPr>
                <w:rFonts w:hint="eastAsia"/>
                <w:szCs w:val="21"/>
                <w:highlight w:val="none"/>
              </w:rPr>
              <w:t>，由评标委员会进行综合评审</w:t>
            </w:r>
            <w:r>
              <w:rPr>
                <w:rFonts w:hint="eastAsia" w:ascii="宋体" w:hAnsi="宋体" w:cs="宋体"/>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①方案内容全面，药品质量安全可靠，能对消杀药品进行闭环管理的得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②方案内容较全面，药品质量安全较可靠，能对消杀药品进行较好地闭环管理的得</w:t>
            </w:r>
            <w:r>
              <w:rPr>
                <w:rFonts w:ascii="宋体" w:hAnsi="宋体" w:cs="宋体"/>
                <w:szCs w:val="21"/>
                <w:highlight w:val="none"/>
              </w:rPr>
              <w:t>4</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③方案内容基本全面，药品质量安全基本可靠，基本能对消杀药品进行闭环管理的得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④方案内容不够全面，药品质量安全不够可靠，不能对消杀药品进行闭环管理的得1分；</w:t>
            </w:r>
          </w:p>
          <w:p>
            <w:pPr>
              <w:widowControl/>
              <w:spacing w:line="360" w:lineRule="auto"/>
              <w:jc w:val="left"/>
              <w:rPr>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continue"/>
            <w:vAlign w:val="center"/>
          </w:tcPr>
          <w:p>
            <w:pPr>
              <w:widowControl/>
              <w:snapToGrid w:val="0"/>
              <w:jc w:val="center"/>
              <w:rPr>
                <w:rFonts w:ascii="宋体" w:hAnsi="宋体" w:cs="宋体"/>
                <w:szCs w:val="21"/>
                <w:highlight w:val="none"/>
              </w:rPr>
            </w:pP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根据投标人针对本项目制定的药械及设施设备投放建设方案</w:t>
            </w:r>
            <w:r>
              <w:rPr>
                <w:rFonts w:hint="eastAsia"/>
                <w:szCs w:val="21"/>
                <w:highlight w:val="none"/>
              </w:rPr>
              <w:t>，由评标委员会进行综合评审</w:t>
            </w:r>
            <w:r>
              <w:rPr>
                <w:rFonts w:hint="eastAsia" w:ascii="宋体" w:hAnsi="宋体" w:cs="宋体"/>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①方案内容全面，药械及设施设备投放充分考虑防治对象生物特点的得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②方案内容较全面，药械及设施设备投放较充分考虑防治对象生物特点的得</w:t>
            </w:r>
            <w:r>
              <w:rPr>
                <w:rFonts w:ascii="宋体" w:hAnsi="宋体" w:cs="宋体"/>
                <w:szCs w:val="21"/>
                <w:highlight w:val="none"/>
              </w:rPr>
              <w:t>4</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③方案内容基本全面，药械及设施设备投放基本考虑防治对象生物特点的得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④方案内容不够全面，药械及设施设备投放未充分考虑防治对象生物特点的得1分；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continue"/>
            <w:vAlign w:val="center"/>
          </w:tcPr>
          <w:p>
            <w:pPr>
              <w:widowControl/>
              <w:snapToGrid w:val="0"/>
              <w:jc w:val="center"/>
              <w:rPr>
                <w:rFonts w:ascii="宋体" w:hAnsi="宋体" w:cs="宋体"/>
                <w:szCs w:val="21"/>
                <w:highlight w:val="none"/>
              </w:rPr>
            </w:pP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根据投标人针对本项目制定的消杀服务工作目标及保障承诺，由评标委员会进行综合评审：</w:t>
            </w:r>
          </w:p>
          <w:p>
            <w:pPr>
              <w:widowControl/>
              <w:spacing w:line="360" w:lineRule="auto"/>
              <w:jc w:val="left"/>
              <w:rPr>
                <w:rFonts w:ascii="宋体" w:hAnsi="宋体" w:cs="宋体"/>
                <w:szCs w:val="21"/>
                <w:highlight w:val="none"/>
              </w:rPr>
            </w:pPr>
            <w:r>
              <w:rPr>
                <w:rFonts w:hint="eastAsia" w:ascii="宋体" w:hAnsi="宋体" w:cs="宋体"/>
                <w:szCs w:val="21"/>
                <w:highlight w:val="none"/>
              </w:rPr>
              <w:t>①消杀服务目标明确，服务保障承诺合理可行的得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②消杀服务目标较明确，服务保障承诺较合理可行的得</w:t>
            </w:r>
            <w:r>
              <w:rPr>
                <w:rFonts w:ascii="宋体" w:hAnsi="宋体" w:cs="宋体"/>
                <w:szCs w:val="21"/>
                <w:highlight w:val="none"/>
              </w:rPr>
              <w:t>4</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③消杀服务目标基本明确，服务保障承诺基本合理可行的得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④消杀服务目标不够明确，服务保障承诺不够合理可行的得1分；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continue"/>
            <w:vAlign w:val="center"/>
          </w:tcPr>
          <w:p>
            <w:pPr>
              <w:widowControl/>
              <w:snapToGrid w:val="0"/>
              <w:jc w:val="center"/>
              <w:rPr>
                <w:rFonts w:ascii="宋体" w:hAnsi="宋体" w:cs="宋体"/>
                <w:szCs w:val="21"/>
                <w:highlight w:val="none"/>
              </w:rPr>
            </w:pP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根据投标人针对本项目制定的人员稳定性保障方案（主要包括：人员流动管控方案、替补人员准备方案）</w:t>
            </w:r>
            <w:r>
              <w:rPr>
                <w:rFonts w:hint="eastAsia"/>
                <w:szCs w:val="21"/>
                <w:highlight w:val="none"/>
              </w:rPr>
              <w:t>，由评标委员会进行综合评审</w:t>
            </w:r>
            <w:r>
              <w:rPr>
                <w:rFonts w:hint="eastAsia" w:ascii="宋体" w:hAnsi="宋体" w:cs="宋体"/>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①方案内容齐全，人员流动管控方案详尽、替补人员方案能满足项目对人员资格要求的得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②方案内容较完整、人员流动管控方案较详尽，替补人员资格与项目实际需要存在一定差距的得3分；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③方案内容存在明显缺陷，未准备替补人员，不能保证项目顺利开展的得1分；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restart"/>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服务难点、要点分析及对应解决措施</w:t>
            </w:r>
          </w:p>
        </w:tc>
        <w:tc>
          <w:tcPr>
            <w:tcW w:w="5842" w:type="dxa"/>
            <w:vAlign w:val="center"/>
          </w:tcPr>
          <w:p>
            <w:pPr>
              <w:widowControl/>
              <w:spacing w:line="360" w:lineRule="auto"/>
              <w:jc w:val="left"/>
              <w:rPr>
                <w:szCs w:val="21"/>
                <w:highlight w:val="none"/>
              </w:rPr>
            </w:pPr>
            <w:r>
              <w:rPr>
                <w:rFonts w:hint="eastAsia"/>
                <w:szCs w:val="21"/>
                <w:highlight w:val="none"/>
              </w:rPr>
              <w:t>根据投标人针对本项目服务难点、要点分析，由评标委员会进行综合评审：</w:t>
            </w:r>
          </w:p>
          <w:p>
            <w:pPr>
              <w:pStyle w:val="64"/>
              <w:numPr>
                <w:ilvl w:val="0"/>
                <w:numId w:val="2"/>
              </w:numPr>
              <w:ind w:leftChars="0" w:firstLineChars="0"/>
              <w:rPr>
                <w:szCs w:val="21"/>
                <w:highlight w:val="none"/>
              </w:rPr>
            </w:pPr>
            <w:r>
              <w:rPr>
                <w:rFonts w:hint="eastAsia"/>
                <w:szCs w:val="21"/>
                <w:highlight w:val="none"/>
              </w:rPr>
              <w:t>难点要点分析准确，能确保项目顺利开展的得5分；</w:t>
            </w:r>
          </w:p>
          <w:p>
            <w:pPr>
              <w:pStyle w:val="64"/>
              <w:ind w:left="0" w:leftChars="0" w:firstLine="0" w:firstLineChars="0"/>
              <w:rPr>
                <w:szCs w:val="21"/>
                <w:highlight w:val="none"/>
              </w:rPr>
            </w:pPr>
            <w:r>
              <w:rPr>
                <w:rFonts w:hint="eastAsia"/>
                <w:szCs w:val="21"/>
                <w:highlight w:val="none"/>
              </w:rPr>
              <w:t>②难点要点分析较准确，基本能确保项目顺利开展的得</w:t>
            </w:r>
            <w:r>
              <w:rPr>
                <w:szCs w:val="21"/>
                <w:highlight w:val="none"/>
              </w:rPr>
              <w:t>3</w:t>
            </w:r>
            <w:r>
              <w:rPr>
                <w:rFonts w:hint="eastAsia"/>
                <w:szCs w:val="21"/>
                <w:highlight w:val="none"/>
              </w:rPr>
              <w:t>分；</w:t>
            </w:r>
          </w:p>
          <w:p>
            <w:pPr>
              <w:pStyle w:val="64"/>
              <w:ind w:left="0" w:leftChars="0" w:firstLine="0" w:firstLineChars="0"/>
              <w:rPr>
                <w:szCs w:val="21"/>
                <w:highlight w:val="none"/>
              </w:rPr>
            </w:pPr>
            <w:r>
              <w:rPr>
                <w:rFonts w:hint="eastAsia"/>
                <w:szCs w:val="21"/>
                <w:highlight w:val="none"/>
              </w:rPr>
              <w:t>③难点要点分析不准确，可能无法保障项目顺利开展的得1分；</w:t>
            </w:r>
          </w:p>
          <w:p>
            <w:pPr>
              <w:widowControl/>
              <w:jc w:val="left"/>
              <w:rPr>
                <w:rFonts w:ascii="宋体" w:hAnsi="宋体" w:cs="宋体"/>
                <w:szCs w:val="21"/>
                <w:highlight w:val="none"/>
              </w:rPr>
            </w:pPr>
            <w:r>
              <w:rPr>
                <w:rFonts w:hint="eastAsia"/>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5分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continue"/>
            <w:vAlign w:val="center"/>
          </w:tcPr>
          <w:p>
            <w:pPr>
              <w:widowControl/>
              <w:snapToGrid w:val="0"/>
              <w:jc w:val="center"/>
              <w:rPr>
                <w:rFonts w:ascii="宋体" w:hAnsi="宋体" w:cs="宋体"/>
                <w:kern w:val="0"/>
                <w:szCs w:val="21"/>
                <w:highlight w:val="none"/>
              </w:rPr>
            </w:pPr>
          </w:p>
        </w:tc>
        <w:tc>
          <w:tcPr>
            <w:tcW w:w="5842" w:type="dxa"/>
            <w:vAlign w:val="center"/>
          </w:tcPr>
          <w:p>
            <w:pPr>
              <w:widowControl/>
              <w:spacing w:line="360" w:lineRule="auto"/>
              <w:jc w:val="left"/>
              <w:rPr>
                <w:szCs w:val="21"/>
                <w:highlight w:val="none"/>
              </w:rPr>
            </w:pPr>
            <w:r>
              <w:rPr>
                <w:rFonts w:hint="eastAsia"/>
                <w:szCs w:val="21"/>
                <w:highlight w:val="none"/>
              </w:rPr>
              <w:t>根据投标人针对本项目服务难点、要点的解决措施，由评标委员会进行综合评审：</w:t>
            </w:r>
          </w:p>
          <w:p>
            <w:pPr>
              <w:pStyle w:val="64"/>
              <w:ind w:left="0" w:leftChars="0" w:firstLine="0" w:firstLineChars="0"/>
              <w:rPr>
                <w:rFonts w:ascii="Times New Roman" w:hAnsi="Times New Roman"/>
                <w:szCs w:val="21"/>
                <w:highlight w:val="none"/>
              </w:rPr>
            </w:pPr>
            <w:r>
              <w:rPr>
                <w:rFonts w:hint="eastAsia"/>
                <w:szCs w:val="21"/>
                <w:highlight w:val="none"/>
              </w:rPr>
              <w:t>①</w:t>
            </w:r>
            <w:r>
              <w:rPr>
                <w:rFonts w:hint="eastAsia" w:ascii="Times New Roman" w:hAnsi="Times New Roman"/>
                <w:szCs w:val="21"/>
                <w:highlight w:val="none"/>
              </w:rPr>
              <w:t>难点要点解决措施针对性强，</w:t>
            </w:r>
            <w:r>
              <w:rPr>
                <w:rFonts w:hint="eastAsia"/>
                <w:szCs w:val="21"/>
                <w:highlight w:val="none"/>
              </w:rPr>
              <w:t>能确保项目顺利开展的得5分</w:t>
            </w:r>
            <w:r>
              <w:rPr>
                <w:rFonts w:hint="eastAsia" w:ascii="Times New Roman" w:hAnsi="Times New Roman"/>
                <w:szCs w:val="21"/>
                <w:highlight w:val="none"/>
              </w:rPr>
              <w:t>；</w:t>
            </w:r>
          </w:p>
          <w:p>
            <w:pPr>
              <w:pStyle w:val="64"/>
              <w:ind w:left="0" w:leftChars="0" w:firstLine="0" w:firstLineChars="0"/>
              <w:rPr>
                <w:rFonts w:ascii="Times New Roman" w:hAnsi="Times New Roman"/>
                <w:szCs w:val="21"/>
                <w:highlight w:val="none"/>
              </w:rPr>
            </w:pPr>
            <w:r>
              <w:rPr>
                <w:rFonts w:hint="eastAsia" w:ascii="Times New Roman" w:hAnsi="Times New Roman"/>
                <w:szCs w:val="21"/>
                <w:highlight w:val="none"/>
              </w:rPr>
              <w:t>②难点要点解决措施针对性较强，</w:t>
            </w:r>
            <w:r>
              <w:rPr>
                <w:rFonts w:hint="eastAsia"/>
                <w:szCs w:val="21"/>
                <w:highlight w:val="none"/>
              </w:rPr>
              <w:t>基本能确保项目顺利开展的得</w:t>
            </w:r>
            <w:r>
              <w:rPr>
                <w:szCs w:val="21"/>
                <w:highlight w:val="none"/>
              </w:rPr>
              <w:t>3</w:t>
            </w:r>
            <w:r>
              <w:rPr>
                <w:rFonts w:hint="eastAsia"/>
                <w:szCs w:val="21"/>
                <w:highlight w:val="none"/>
              </w:rPr>
              <w:t>分</w:t>
            </w:r>
            <w:r>
              <w:rPr>
                <w:rFonts w:hint="eastAsia" w:ascii="Times New Roman" w:hAnsi="Times New Roman"/>
                <w:szCs w:val="21"/>
                <w:highlight w:val="none"/>
              </w:rPr>
              <w:t>；</w:t>
            </w:r>
          </w:p>
          <w:p>
            <w:pPr>
              <w:pStyle w:val="64"/>
              <w:ind w:left="0" w:leftChars="0" w:firstLine="0" w:firstLineChars="0"/>
              <w:rPr>
                <w:rFonts w:ascii="Times New Roman" w:hAnsi="Times New Roman"/>
                <w:szCs w:val="21"/>
                <w:highlight w:val="none"/>
              </w:rPr>
            </w:pPr>
            <w:r>
              <w:rPr>
                <w:rFonts w:hint="eastAsia"/>
                <w:szCs w:val="21"/>
                <w:highlight w:val="none"/>
              </w:rPr>
              <w:t>③</w:t>
            </w:r>
            <w:r>
              <w:rPr>
                <w:rFonts w:hint="eastAsia" w:ascii="Times New Roman" w:hAnsi="Times New Roman"/>
                <w:szCs w:val="21"/>
                <w:highlight w:val="none"/>
              </w:rPr>
              <w:t>难点要点解决措施针对性不强，</w:t>
            </w:r>
            <w:r>
              <w:rPr>
                <w:rFonts w:hint="eastAsia"/>
                <w:szCs w:val="21"/>
                <w:highlight w:val="none"/>
              </w:rPr>
              <w:t>可能无法保障项目顺利开展的得1分</w:t>
            </w:r>
            <w:r>
              <w:rPr>
                <w:rFonts w:hint="eastAsia" w:ascii="Times New Roman" w:hAnsi="Times New Roman"/>
                <w:szCs w:val="21"/>
                <w:highlight w:val="none"/>
              </w:rPr>
              <w:t>；</w:t>
            </w:r>
          </w:p>
          <w:p>
            <w:pPr>
              <w:widowControl/>
              <w:spacing w:line="360" w:lineRule="auto"/>
              <w:jc w:val="left"/>
              <w:rPr>
                <w:szCs w:val="21"/>
                <w:highlight w:val="none"/>
              </w:rPr>
            </w:pPr>
            <w:r>
              <w:rPr>
                <w:rFonts w:hint="eastAsia"/>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5分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szCs w:val="21"/>
                <w:highlight w:val="none"/>
              </w:rPr>
              <w:t>安全文明作业方案</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根据投标人针对本项目服务过程中的安全文明作业方案（主要包括服务人员安全保障措施、安全管理制度、安全责任落实措施、四害消杀文明作业措施），由评标委员会进行综合评审：</w:t>
            </w:r>
          </w:p>
          <w:p>
            <w:pPr>
              <w:widowControl/>
              <w:spacing w:line="360" w:lineRule="auto"/>
              <w:jc w:val="left"/>
              <w:rPr>
                <w:rFonts w:ascii="宋体" w:hAnsi="宋体" w:cs="宋体"/>
                <w:szCs w:val="21"/>
                <w:highlight w:val="none"/>
              </w:rPr>
            </w:pPr>
            <w:r>
              <w:rPr>
                <w:rFonts w:hint="eastAsia" w:ascii="宋体" w:hAnsi="宋体" w:cs="宋体"/>
                <w:szCs w:val="21"/>
                <w:highlight w:val="none"/>
              </w:rPr>
              <w:t>①方案内容完整、合理性高、可行性强，能确保项目顺利开展的的得5分；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②方案内容较完整、合理性较高、可行性较强，基本能确保项目顺利开展的得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③方案内容存在明显缺陷，可能无法保障项目顺利开展的得1分；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szCs w:val="21"/>
                <w:highlight w:val="none"/>
              </w:rPr>
            </w:pPr>
            <w:r>
              <w:rPr>
                <w:rFonts w:hint="eastAsia" w:ascii="宋体" w:hAnsi="宋体" w:cs="宋体"/>
                <w:szCs w:val="21"/>
                <w:highlight w:val="none"/>
              </w:rPr>
              <w:t>质量保障措施方案</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根据投标人针对本项目服务质量保障措施方案，由评标委员会进行综合评审：</w:t>
            </w:r>
          </w:p>
          <w:p>
            <w:pPr>
              <w:widowControl/>
              <w:spacing w:line="360" w:lineRule="auto"/>
              <w:jc w:val="left"/>
              <w:rPr>
                <w:rFonts w:ascii="宋体" w:hAnsi="宋体" w:cs="宋体"/>
                <w:szCs w:val="21"/>
                <w:highlight w:val="none"/>
              </w:rPr>
            </w:pPr>
            <w:r>
              <w:rPr>
                <w:rFonts w:hint="eastAsia" w:ascii="宋体" w:hAnsi="宋体" w:cs="宋体"/>
                <w:szCs w:val="21"/>
                <w:highlight w:val="none"/>
              </w:rPr>
              <w:t>①保障措施合理、完整、高效，完全能确保项目顺利开展的得5分；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②保障措施较合理、较完整、有效，较能确保项目顺利开展的得</w:t>
            </w:r>
            <w:r>
              <w:rPr>
                <w:rFonts w:ascii="宋体" w:hAnsi="宋体" w:cs="宋体"/>
                <w:szCs w:val="21"/>
                <w:highlight w:val="none"/>
              </w:rPr>
              <w:t>4</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③保障措施合理性、完整性、有效性一般，但基本能确保项目顺利开展的得3分；</w:t>
            </w:r>
          </w:p>
          <w:p>
            <w:pPr>
              <w:widowControl/>
              <w:spacing w:line="360" w:lineRule="auto"/>
              <w:jc w:val="left"/>
              <w:rPr>
                <w:rFonts w:ascii="宋体" w:hAnsi="宋体" w:cs="宋体"/>
                <w:szCs w:val="21"/>
                <w:highlight w:val="none"/>
              </w:rPr>
            </w:pPr>
            <w:r>
              <w:rPr>
                <w:rFonts w:hint="eastAsia" w:ascii="宋体" w:hAnsi="宋体" w:cs="宋体"/>
                <w:szCs w:val="21"/>
                <w:highlight w:val="none"/>
              </w:rPr>
              <w:t>④保障措施存在较大缺陷，可能无法确保项目顺利开展的得1分，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内部管理制度建设</w:t>
            </w:r>
          </w:p>
        </w:tc>
        <w:tc>
          <w:tcPr>
            <w:tcW w:w="5842" w:type="dxa"/>
            <w:tcBorders>
              <w:top w:val="single" w:color="auto" w:sz="4" w:space="0"/>
            </w:tcBorders>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根据投标人的内部管理制度建设情况（主要包括人员管理制度、考核制度、四害密度监测和督查制度、诚信廉洁制度）</w:t>
            </w:r>
            <w:r>
              <w:rPr>
                <w:rFonts w:hint="eastAsia"/>
                <w:szCs w:val="21"/>
                <w:highlight w:val="none"/>
              </w:rPr>
              <w:t>，由评标委员会进行综合评审</w:t>
            </w:r>
            <w:r>
              <w:rPr>
                <w:rFonts w:hint="eastAsia" w:ascii="宋体" w:hAnsi="宋体" w:cs="宋体"/>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①内部管理制度健全，可操作性强的得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②内部管理制度较健全，可操作性较强的得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③内部管理制度不健全，可操作性一般的得1分；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restart"/>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应急保障预案</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根据投标人针对本项目服务过程中的迎检工作配合保障方案，由评标委员会进行综合评审：</w:t>
            </w:r>
          </w:p>
          <w:p>
            <w:pPr>
              <w:widowControl/>
              <w:spacing w:line="360" w:lineRule="auto"/>
              <w:jc w:val="left"/>
              <w:rPr>
                <w:rFonts w:ascii="宋体" w:hAnsi="宋体" w:cs="宋体"/>
                <w:szCs w:val="21"/>
                <w:highlight w:val="none"/>
              </w:rPr>
            </w:pPr>
            <w:r>
              <w:rPr>
                <w:rFonts w:hint="eastAsia" w:ascii="宋体" w:hAnsi="宋体" w:cs="宋体"/>
                <w:szCs w:val="21"/>
                <w:highlight w:val="none"/>
              </w:rPr>
              <w:t>①方案内容完整，具有完善的迎检配合措施，能完全保障本项目迎检工作顺利开展的得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②方案内容较完整，具有较完善的迎检配合措施，能保障本项目迎检工作顺利开展的得</w:t>
            </w:r>
            <w:r>
              <w:rPr>
                <w:rFonts w:ascii="宋体" w:hAnsi="宋体" w:cs="宋体"/>
                <w:szCs w:val="21"/>
                <w:highlight w:val="none"/>
              </w:rPr>
              <w:t>4</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③方案内容基本完整，具有基本的迎检配合措施，基本能保障本项目迎检工作顺利开展的得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④方案内容存在较大缺陷，迎检配合措施不够完善有待改进，可能无法保障本项目迎检工作顺利开展的得1分；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Merge w:val="continue"/>
            <w:vAlign w:val="center"/>
          </w:tcPr>
          <w:p>
            <w:pPr>
              <w:widowControl/>
              <w:snapToGrid w:val="0"/>
              <w:jc w:val="center"/>
              <w:rPr>
                <w:rFonts w:ascii="宋体" w:hAnsi="宋体" w:cs="宋体"/>
                <w:kern w:val="0"/>
                <w:szCs w:val="21"/>
                <w:highlight w:val="none"/>
              </w:rPr>
            </w:pP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w:t>
            </w:r>
            <w:r>
              <w:rPr>
                <w:rFonts w:hint="eastAsia"/>
                <w:szCs w:val="21"/>
                <w:highlight w:val="none"/>
              </w:rPr>
              <w:t>投标人</w:t>
            </w:r>
            <w:r>
              <w:rPr>
                <w:rFonts w:hint="eastAsia" w:ascii="宋体" w:hAnsi="宋体" w:cs="宋体"/>
                <w:szCs w:val="21"/>
                <w:highlight w:val="none"/>
              </w:rPr>
              <w:t>针对本项目服务过程中对药物中毒预防及处理制定的应急保障方案</w:t>
            </w:r>
            <w:r>
              <w:rPr>
                <w:rFonts w:hint="eastAsia"/>
                <w:szCs w:val="21"/>
                <w:highlight w:val="none"/>
              </w:rPr>
              <w:t>，由评标委员会进行综合评审</w:t>
            </w:r>
            <w:r>
              <w:rPr>
                <w:rFonts w:hint="eastAsia" w:ascii="宋体" w:hAnsi="宋体" w:cs="宋体"/>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①方案内容完整，具有合理可行的在药物中毒预防方面及人畜意外药物中毒时针对中毒患者救治和事件后续处理的方案的得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②方案内容较完整，具有较合理可行的在药物中毒预防方面及人畜意外药物中毒时针对中毒患者救治和事件后续处理的方案的得</w:t>
            </w:r>
            <w:r>
              <w:rPr>
                <w:rFonts w:ascii="宋体" w:hAnsi="宋体" w:cs="宋体"/>
                <w:szCs w:val="21"/>
                <w:highlight w:val="none"/>
              </w:rPr>
              <w:t>4</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③方案内容基本完整，在药物中毒预防方面及人畜意外药物中毒时针对中毒患者救治和事件后续处理的方案基本合理可行的得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④方案内容存在较大缺陷，在药物中毒预防方面及人畜意外药物中毒时针对中毒患者救治和事件后续处理的方案不够合理、不够可行的得1分；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widowControl/>
              <w:spacing w:line="300" w:lineRule="exact"/>
              <w:jc w:val="center"/>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szCs w:val="21"/>
                <w:highlight w:val="none"/>
              </w:rPr>
              <w:t>除“四害”宣传计划</w:t>
            </w:r>
          </w:p>
        </w:tc>
        <w:tc>
          <w:tcPr>
            <w:tcW w:w="5842" w:type="dxa"/>
            <w:vAlign w:val="center"/>
          </w:tcPr>
          <w:p>
            <w:pPr>
              <w:widowControl/>
              <w:spacing w:line="360" w:lineRule="auto"/>
              <w:jc w:val="left"/>
              <w:rPr>
                <w:rFonts w:ascii="宋体" w:hAnsi="宋体" w:cs="宋体"/>
                <w:szCs w:val="21"/>
                <w:highlight w:val="none"/>
              </w:rPr>
            </w:pPr>
            <w:r>
              <w:rPr>
                <w:rFonts w:hint="eastAsia" w:ascii="宋体" w:hAnsi="宋体" w:cs="宋体"/>
                <w:szCs w:val="21"/>
                <w:highlight w:val="none"/>
              </w:rPr>
              <w:t>根据投标人针对本项目制定的除“四害”宣传计划（主要包括“除四害”宣传资料的提供、宣传方式、宣传时间计划安排）</w:t>
            </w:r>
            <w:r>
              <w:rPr>
                <w:rFonts w:hint="eastAsia"/>
                <w:szCs w:val="21"/>
                <w:highlight w:val="none"/>
              </w:rPr>
              <w:t>，由评标委员会进行综合评审</w:t>
            </w:r>
            <w:r>
              <w:rPr>
                <w:rFonts w:hint="eastAsia" w:ascii="宋体" w:hAnsi="宋体" w:cs="宋体"/>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①计划内容完整，提供并发放“除四害”宣传资料、宣传方式多样、宣传时间计划安排详尽的得</w:t>
            </w:r>
            <w:r>
              <w:rPr>
                <w:rFonts w:ascii="宋体" w:hAnsi="宋体" w:cs="宋体"/>
                <w:szCs w:val="21"/>
                <w:highlight w:val="none"/>
              </w:rPr>
              <w:t>5</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②计划内容较完整，提供并发放“除四害”宣传资料、宣传方式笼统、宣传时间计划安排基本到位的得</w:t>
            </w:r>
            <w:r>
              <w:rPr>
                <w:rFonts w:ascii="宋体" w:hAnsi="宋体" w:cs="宋体"/>
                <w:szCs w:val="21"/>
                <w:highlight w:val="none"/>
              </w:rPr>
              <w:t>3</w:t>
            </w:r>
            <w:r>
              <w:rPr>
                <w:rFonts w:hint="eastAsia" w:ascii="宋体" w:hAnsi="宋体" w:cs="宋体"/>
                <w:szCs w:val="21"/>
                <w:highlight w:val="none"/>
              </w:rPr>
              <w:t>分；</w:t>
            </w:r>
          </w:p>
          <w:p>
            <w:pPr>
              <w:widowControl/>
              <w:spacing w:line="360" w:lineRule="auto"/>
              <w:jc w:val="left"/>
              <w:rPr>
                <w:rFonts w:ascii="宋体" w:hAnsi="宋体" w:cs="宋体"/>
                <w:szCs w:val="21"/>
                <w:highlight w:val="none"/>
              </w:rPr>
            </w:pPr>
            <w:r>
              <w:rPr>
                <w:rFonts w:hint="eastAsia" w:ascii="宋体" w:hAnsi="宋体" w:cs="宋体"/>
                <w:szCs w:val="21"/>
                <w:highlight w:val="none"/>
              </w:rPr>
              <w:t>③方案内容存在较大缺陷，可能无法满足服务期间除“四害”宣传工作要求的得1分；</w:t>
            </w:r>
          </w:p>
          <w:p>
            <w:pPr>
              <w:widowControl/>
              <w:spacing w:line="360" w:lineRule="auto"/>
              <w:jc w:val="left"/>
              <w:rPr>
                <w:rFonts w:ascii="宋体" w:hAnsi="宋体" w:cs="宋体"/>
                <w:szCs w:val="21"/>
                <w:highlight w:val="none"/>
              </w:rPr>
            </w:pPr>
            <w:r>
              <w:rPr>
                <w:rFonts w:hint="eastAsia" w:ascii="宋体" w:hAnsi="宋体" w:cs="宋体"/>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widowControl/>
              <w:spacing w:line="300" w:lineRule="exact"/>
              <w:jc w:val="left"/>
              <w:rPr>
                <w:rFonts w:ascii="宋体" w:hAnsi="宋体" w:cs="宋体"/>
                <w:kern w:val="0"/>
                <w:szCs w:val="21"/>
                <w:highlight w:val="none"/>
              </w:rPr>
            </w:pPr>
          </w:p>
        </w:tc>
        <w:tc>
          <w:tcPr>
            <w:tcW w:w="851" w:type="dxa"/>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服务响应能力</w:t>
            </w:r>
          </w:p>
        </w:tc>
        <w:tc>
          <w:tcPr>
            <w:tcW w:w="5842" w:type="dxa"/>
            <w:vAlign w:val="center"/>
          </w:tcPr>
          <w:p>
            <w:pPr>
              <w:spacing w:line="360" w:lineRule="exact"/>
              <w:rPr>
                <w:szCs w:val="21"/>
                <w:highlight w:val="none"/>
              </w:rPr>
            </w:pPr>
            <w:r>
              <w:rPr>
                <w:szCs w:val="21"/>
                <w:highlight w:val="none"/>
              </w:rPr>
              <w:t>根据供应商</w:t>
            </w:r>
            <w:r>
              <w:rPr>
                <w:rFonts w:hint="eastAsia"/>
                <w:szCs w:val="21"/>
                <w:highlight w:val="none"/>
              </w:rPr>
              <w:t>所能</w:t>
            </w:r>
            <w:r>
              <w:rPr>
                <w:szCs w:val="21"/>
                <w:highlight w:val="none"/>
              </w:rPr>
              <w:t>提供的</w:t>
            </w:r>
            <w:r>
              <w:rPr>
                <w:rFonts w:hint="eastAsia"/>
                <w:szCs w:val="21"/>
                <w:highlight w:val="none"/>
              </w:rPr>
              <w:t>服务便捷性情况（包括服务响应时间、解决问题及时），由评标委员会进行综合评审</w:t>
            </w:r>
            <w:r>
              <w:rPr>
                <w:szCs w:val="21"/>
                <w:highlight w:val="none"/>
              </w:rPr>
              <w:t>：</w:t>
            </w:r>
          </w:p>
          <w:p>
            <w:pPr>
              <w:spacing w:line="360" w:lineRule="exact"/>
              <w:rPr>
                <w:szCs w:val="21"/>
                <w:highlight w:val="none"/>
              </w:rPr>
            </w:pPr>
            <w:r>
              <w:rPr>
                <w:rFonts w:hint="eastAsia" w:ascii="宋体" w:hAnsi="宋体"/>
                <w:szCs w:val="21"/>
                <w:highlight w:val="none"/>
              </w:rPr>
              <w:t>①</w:t>
            </w:r>
            <w:r>
              <w:rPr>
                <w:rFonts w:hint="eastAsia"/>
                <w:szCs w:val="21"/>
                <w:highlight w:val="none"/>
              </w:rPr>
              <w:t>服务便捷、服务响应迅速、解决问题及时，能提供优质便捷服务的得</w:t>
            </w:r>
            <w:r>
              <w:rPr>
                <w:szCs w:val="21"/>
                <w:highlight w:val="none"/>
              </w:rPr>
              <w:t>5</w:t>
            </w:r>
            <w:r>
              <w:rPr>
                <w:rFonts w:hint="eastAsia"/>
                <w:szCs w:val="21"/>
                <w:highlight w:val="none"/>
              </w:rPr>
              <w:t>分；</w:t>
            </w:r>
          </w:p>
          <w:p>
            <w:pPr>
              <w:spacing w:line="360" w:lineRule="exact"/>
              <w:rPr>
                <w:szCs w:val="21"/>
                <w:highlight w:val="none"/>
              </w:rPr>
            </w:pPr>
            <w:r>
              <w:rPr>
                <w:rFonts w:hint="eastAsia" w:ascii="宋体" w:hAnsi="宋体"/>
                <w:szCs w:val="21"/>
                <w:highlight w:val="none"/>
              </w:rPr>
              <w:t>②</w:t>
            </w:r>
            <w:r>
              <w:rPr>
                <w:rFonts w:hint="eastAsia"/>
                <w:szCs w:val="21"/>
                <w:highlight w:val="none"/>
              </w:rPr>
              <w:t>服务响应比较迅速、解决问题基本及时，基本满足项目需求的得</w:t>
            </w:r>
            <w:r>
              <w:rPr>
                <w:szCs w:val="21"/>
                <w:highlight w:val="none"/>
              </w:rPr>
              <w:t>3</w:t>
            </w:r>
            <w:r>
              <w:rPr>
                <w:rFonts w:hint="eastAsia"/>
                <w:szCs w:val="21"/>
                <w:highlight w:val="none"/>
              </w:rPr>
              <w:t>分；</w:t>
            </w:r>
          </w:p>
          <w:p>
            <w:pPr>
              <w:snapToGrid w:val="0"/>
              <w:spacing w:line="300" w:lineRule="auto"/>
              <w:jc w:val="left"/>
              <w:rPr>
                <w:szCs w:val="21"/>
                <w:highlight w:val="none"/>
              </w:rPr>
            </w:pPr>
            <w:r>
              <w:rPr>
                <w:rFonts w:hint="eastAsia" w:ascii="宋体" w:hAnsi="宋体"/>
                <w:szCs w:val="21"/>
                <w:highlight w:val="none"/>
              </w:rPr>
              <w:t>③</w:t>
            </w:r>
            <w:r>
              <w:rPr>
                <w:rFonts w:hint="eastAsia"/>
                <w:szCs w:val="21"/>
                <w:highlight w:val="none"/>
              </w:rPr>
              <w:t>服务响应时间较长或解决问题不够及时，难以保障除四害防治工作顺利实施的得1分；</w:t>
            </w:r>
          </w:p>
          <w:p>
            <w:pPr>
              <w:snapToGrid w:val="0"/>
              <w:spacing w:line="300" w:lineRule="auto"/>
              <w:jc w:val="left"/>
              <w:rPr>
                <w:szCs w:val="21"/>
                <w:highlight w:val="none"/>
              </w:rPr>
            </w:pPr>
            <w:r>
              <w:rPr>
                <w:rFonts w:hint="eastAsia"/>
                <w:szCs w:val="21"/>
                <w:highlight w:val="none"/>
              </w:rPr>
              <w:t>注：未提供不得分。</w:t>
            </w:r>
          </w:p>
        </w:tc>
        <w:tc>
          <w:tcPr>
            <w:tcW w:w="709" w:type="dxa"/>
            <w:vAlign w:val="center"/>
          </w:tcPr>
          <w:p>
            <w:pPr>
              <w:widowControl/>
              <w:spacing w:line="300" w:lineRule="exact"/>
              <w:jc w:val="center"/>
              <w:rPr>
                <w:rFonts w:ascii="宋体" w:hAns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分</w:t>
            </w:r>
          </w:p>
        </w:tc>
        <w:tc>
          <w:tcPr>
            <w:tcW w:w="678" w:type="dxa"/>
            <w:vAlign w:val="center"/>
          </w:tcPr>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主观</w:t>
            </w:r>
          </w:p>
          <w:p>
            <w:pPr>
              <w:widowControl/>
              <w:spacing w:line="300" w:lineRule="exact"/>
              <w:jc w:val="center"/>
              <w:rPr>
                <w:rFonts w:ascii="宋体" w:hAnsi="宋体" w:cs="宋体"/>
                <w:kern w:val="0"/>
                <w:szCs w:val="21"/>
                <w:highlight w:val="none"/>
              </w:rPr>
            </w:pPr>
            <w:r>
              <w:rPr>
                <w:rFonts w:hint="eastAsia" w:ascii="宋体" w:hAnsi="宋体" w:cs="宋体"/>
                <w:kern w:val="0"/>
                <w:szCs w:val="21"/>
                <w:highlight w:val="none"/>
              </w:rPr>
              <w:t>评审</w:t>
            </w:r>
          </w:p>
        </w:tc>
      </w:tr>
    </w:tbl>
    <w:p>
      <w:pPr>
        <w:snapToGrid w:val="0"/>
        <w:spacing w:line="360" w:lineRule="auto"/>
        <w:rPr>
          <w:rFonts w:ascii="宋体" w:hAnsi="宋体" w:cs="宋体"/>
          <w:szCs w:val="21"/>
          <w:highlight w:val="none"/>
        </w:rPr>
      </w:pPr>
      <w:r>
        <w:rPr>
          <w:rFonts w:hint="eastAsia" w:ascii="宋体" w:hAnsi="宋体" w:cs="宋体"/>
          <w:szCs w:val="21"/>
          <w:highlight w:val="none"/>
          <w:shd w:val="clear" w:color="auto" w:fill="FFFFFF"/>
        </w:rPr>
        <w:t> </w:t>
      </w:r>
      <w:r>
        <w:rPr>
          <w:rFonts w:hint="eastAsia" w:ascii="宋体" w:hAnsi="宋体" w:cs="宋体"/>
          <w:b/>
          <w:szCs w:val="21"/>
          <w:highlight w:val="none"/>
        </w:rPr>
        <w:t>备注：</w:t>
      </w:r>
      <w:r>
        <w:rPr>
          <w:rFonts w:hint="eastAsia" w:ascii="宋体" w:hAnsi="宋体" w:cs="宋体"/>
          <w:bCs/>
          <w:szCs w:val="21"/>
          <w:highlight w:val="none"/>
        </w:rPr>
        <w:t>（1）</w:t>
      </w:r>
      <w:r>
        <w:rPr>
          <w:rFonts w:hint="eastAsia" w:ascii="宋体" w:hAnsi="宋体" w:cs="宋体"/>
          <w:szCs w:val="21"/>
          <w:highlight w:val="none"/>
        </w:rPr>
        <w:t>投标人编制投标文件（商务技术文件部分）时，建议按此目录（内容）提供评标标准相应的商务技术资料。</w:t>
      </w:r>
    </w:p>
    <w:p>
      <w:pPr>
        <w:snapToGrid w:val="0"/>
        <w:spacing w:line="360" w:lineRule="auto"/>
        <w:rPr>
          <w:rFonts w:ascii="宋体" w:hAnsi="宋体" w:cs="宋体"/>
          <w:szCs w:val="21"/>
          <w:highlight w:val="none"/>
        </w:rPr>
      </w:pPr>
      <w:r>
        <w:rPr>
          <w:rFonts w:hint="eastAsia" w:ascii="宋体" w:hAnsi="宋体" w:cs="宋体"/>
          <w:szCs w:val="21"/>
          <w:highlight w:val="none"/>
        </w:rPr>
        <w:t>（2）评委在上表设定的分值范围内打分，平均分值计算四舍五入保留两位小数点。  </w:t>
      </w:r>
    </w:p>
    <w:p>
      <w:pPr>
        <w:snapToGrid w:val="0"/>
        <w:spacing w:line="360" w:lineRule="auto"/>
        <w:outlineLvl w:val="1"/>
        <w:rPr>
          <w:rFonts w:ascii="宋体" w:hAnsi="宋体" w:cs="宋体"/>
          <w:b/>
          <w:szCs w:val="21"/>
          <w:highlight w:val="none"/>
        </w:rPr>
      </w:pPr>
      <w:bookmarkStart w:id="437" w:name="_Toc22860"/>
      <w:r>
        <w:rPr>
          <w:rFonts w:hint="eastAsia" w:ascii="宋体" w:hAnsi="宋体" w:cs="宋体"/>
          <w:b/>
          <w:szCs w:val="21"/>
          <w:highlight w:val="none"/>
        </w:rPr>
        <w:t>一、评标方法</w:t>
      </w:r>
      <w:bookmarkEnd w:id="437"/>
    </w:p>
    <w:p>
      <w:pPr>
        <w:adjustRightInd/>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1.本项目采用综合评分法。</w:t>
      </w:r>
      <w:r>
        <w:rPr>
          <w:rFonts w:hint="eastAsia" w:ascii="宋体" w:hAnsi="宋体" w:cs="宋体"/>
          <w:kern w:val="0"/>
          <w:szCs w:val="21"/>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kern w:val="0"/>
          <w:szCs w:val="21"/>
          <w:highlight w:val="none"/>
        </w:rPr>
      </w:pPr>
      <w:bookmarkStart w:id="438" w:name="_Toc29389"/>
      <w:r>
        <w:rPr>
          <w:rFonts w:hint="eastAsia" w:ascii="宋体" w:hAnsi="宋体" w:cs="宋体"/>
          <w:b/>
          <w:szCs w:val="21"/>
          <w:highlight w:val="none"/>
        </w:rPr>
        <w:t>二、评标标准</w:t>
      </w:r>
      <w:bookmarkEnd w:id="438"/>
    </w:p>
    <w:p>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2.</w:t>
      </w:r>
      <w:r>
        <w:rPr>
          <w:rFonts w:hint="eastAsia" w:ascii="宋体" w:hAnsi="宋体" w:cs="宋体"/>
          <w:szCs w:val="21"/>
          <w:highlight w:val="none"/>
        </w:rPr>
        <w:t xml:space="preserve"> </w:t>
      </w:r>
      <w:r>
        <w:rPr>
          <w:rFonts w:hint="eastAsia" w:ascii="宋体" w:hAnsi="宋体" w:cs="宋体"/>
          <w:b/>
          <w:szCs w:val="21"/>
          <w:highlight w:val="none"/>
        </w:rPr>
        <w:t>评标标准：</w:t>
      </w:r>
      <w:r>
        <w:rPr>
          <w:rFonts w:hint="eastAsia" w:ascii="宋体" w:hAnsi="宋体" w:cs="宋体"/>
          <w:kern w:val="0"/>
          <w:szCs w:val="21"/>
          <w:highlight w:val="none"/>
        </w:rPr>
        <w:t>见评标办法前附表。</w:t>
      </w:r>
    </w:p>
    <w:p>
      <w:pPr>
        <w:spacing w:line="360" w:lineRule="auto"/>
        <w:outlineLvl w:val="1"/>
        <w:rPr>
          <w:rFonts w:ascii="宋体" w:hAnsi="宋体" w:cs="宋体"/>
          <w:b/>
          <w:szCs w:val="21"/>
          <w:highlight w:val="none"/>
        </w:rPr>
      </w:pPr>
      <w:bookmarkStart w:id="439" w:name="_Toc1306"/>
      <w:r>
        <w:rPr>
          <w:rFonts w:hint="eastAsia" w:ascii="宋体" w:hAnsi="宋体" w:cs="宋体"/>
          <w:b/>
          <w:szCs w:val="21"/>
          <w:highlight w:val="none"/>
        </w:rPr>
        <w:t>三、评标程序</w:t>
      </w:r>
      <w:bookmarkEnd w:id="439"/>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3.1符合性审查。</w:t>
      </w:r>
      <w:r>
        <w:rPr>
          <w:rFonts w:hint="eastAsia" w:ascii="宋体" w:hAnsi="宋体" w:cs="宋体"/>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3.2 比较与评价。</w:t>
      </w:r>
      <w:r>
        <w:rPr>
          <w:rFonts w:hint="eastAsia" w:ascii="宋体" w:hAnsi="宋体" w:cs="宋体"/>
          <w:kern w:val="0"/>
          <w:szCs w:val="21"/>
          <w:highlight w:val="none"/>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3.3汇总商务技术得分。</w:t>
      </w:r>
      <w:r>
        <w:rPr>
          <w:rFonts w:hint="eastAsia" w:ascii="宋体" w:hAnsi="宋体" w:cs="宋体"/>
          <w:kern w:val="0"/>
          <w:szCs w:val="21"/>
          <w:highlight w:val="none"/>
        </w:rPr>
        <w:t>评标委员会各成员应当独立对每个投标人的商务和技术文件进行评价，并汇总商务技术得分情况。</w:t>
      </w:r>
    </w:p>
    <w:p>
      <w:pPr>
        <w:spacing w:line="360" w:lineRule="auto"/>
        <w:ind w:firstLine="413" w:firstLineChars="196"/>
        <w:rPr>
          <w:rFonts w:ascii="宋体" w:hAnsi="宋体" w:cs="宋体"/>
          <w:b/>
          <w:kern w:val="0"/>
          <w:szCs w:val="21"/>
          <w:highlight w:val="none"/>
        </w:rPr>
      </w:pPr>
      <w:r>
        <w:rPr>
          <w:rFonts w:hint="eastAsia" w:ascii="宋体" w:hAnsi="宋体" w:cs="宋体"/>
          <w:b/>
          <w:kern w:val="0"/>
          <w:szCs w:val="21"/>
          <w:highlight w:val="none"/>
        </w:rPr>
        <w:t>3.4报价评审。</w:t>
      </w:r>
    </w:p>
    <w:p>
      <w:pPr>
        <w:pStyle w:val="131"/>
        <w:spacing w:before="0"/>
        <w:ind w:firstLine="445" w:firstLineChars="212"/>
        <w:rPr>
          <w:rFonts w:ascii="宋体" w:hAnsi="宋体" w:cs="宋体"/>
          <w:kern w:val="0"/>
          <w:sz w:val="21"/>
          <w:szCs w:val="21"/>
          <w:highlight w:val="none"/>
        </w:rPr>
      </w:pPr>
      <w:r>
        <w:rPr>
          <w:rFonts w:hint="eastAsia" w:ascii="宋体" w:hAnsi="宋体" w:cs="宋体"/>
          <w:kern w:val="0"/>
          <w:sz w:val="21"/>
          <w:szCs w:val="21"/>
          <w:highlight w:val="none"/>
        </w:rPr>
        <w:t>3.4.1投标文件报价出现前后不一致的，按照下列规定修正：</w:t>
      </w:r>
    </w:p>
    <w:p>
      <w:pPr>
        <w:pStyle w:val="131"/>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3.4.1.1投标文件中开标一览表(报价表)内容与投标文件中相应内容不一致的，以开标一览表(报价表)为准；</w:t>
      </w:r>
    </w:p>
    <w:p>
      <w:pPr>
        <w:pStyle w:val="131"/>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3.4.1.2大写金额和小写金额不一致的，以大写金额为准；</w:t>
      </w:r>
    </w:p>
    <w:p>
      <w:pPr>
        <w:pStyle w:val="131"/>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3.4.1.3单价金额小数点或者百分比有明显错位的，以开标一览表的总价为准，并修改单价；</w:t>
      </w:r>
    </w:p>
    <w:p>
      <w:pPr>
        <w:pStyle w:val="131"/>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3.4.1.4总价金额与按单价汇总金额不一致的，以单价金额计算结果为准。</w:t>
      </w:r>
    </w:p>
    <w:p>
      <w:pPr>
        <w:pStyle w:val="131"/>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3.4.2投标文件出现不是唯一的、有选择性投标报价的，投标无效。</w:t>
      </w:r>
    </w:p>
    <w:p>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3.4.3投标报价超过招标文件中规定的预算金额或者最高限价的，投标无效。</w:t>
      </w:r>
    </w:p>
    <w:p>
      <w:pPr>
        <w:pStyle w:val="131"/>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20"/>
        <w:rPr>
          <w:rFonts w:ascii="宋体" w:hAnsi="宋体" w:cs="宋体"/>
          <w:kern w:val="0"/>
          <w:sz w:val="21"/>
          <w:szCs w:val="21"/>
          <w:highlight w:val="none"/>
        </w:rPr>
      </w:pPr>
      <w:r>
        <w:rPr>
          <w:rFonts w:hint="eastAsia" w:ascii="宋体" w:hAnsi="宋体" w:cs="宋体"/>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kern w:val="0"/>
          <w:sz w:val="21"/>
          <w:szCs w:val="21"/>
          <w:highlight w:val="none"/>
        </w:rPr>
        <w:t>（注：</w:t>
      </w:r>
      <w:r>
        <w:rPr>
          <w:rFonts w:hint="eastAsia" w:ascii="宋体" w:hAnsi="宋体" w:cs="宋体"/>
          <w:b/>
          <w:bCs/>
          <w:sz w:val="21"/>
          <w:szCs w:val="21"/>
          <w:highlight w:val="none"/>
        </w:rPr>
        <w:t>本项目为专门面向中小微企业采购的项目，不再执行价格评审优惠的扶持政策</w:t>
      </w:r>
      <w:r>
        <w:rPr>
          <w:rFonts w:hint="eastAsia"/>
          <w:b/>
          <w:bCs/>
          <w:sz w:val="21"/>
          <w:szCs w:val="21"/>
          <w:highlight w:val="none"/>
        </w:rPr>
        <w:t>。</w:t>
      </w:r>
      <w:r>
        <w:rPr>
          <w:rFonts w:hint="eastAsia" w:ascii="宋体" w:hAnsi="宋体" w:cs="宋体"/>
          <w:kern w:val="0"/>
          <w:sz w:val="21"/>
          <w:szCs w:val="21"/>
          <w:highlight w:val="none"/>
        </w:rPr>
        <w:t>）</w:t>
      </w:r>
    </w:p>
    <w:p>
      <w:pPr>
        <w:spacing w:line="360" w:lineRule="auto"/>
        <w:ind w:firstLine="422" w:firstLineChars="200"/>
        <w:rPr>
          <w:rFonts w:ascii="宋体" w:hAnsi="宋体" w:cs="宋体"/>
          <w:kern w:val="0"/>
          <w:szCs w:val="21"/>
          <w:highlight w:val="none"/>
        </w:rPr>
      </w:pPr>
      <w:r>
        <w:rPr>
          <w:rFonts w:hint="eastAsia" w:ascii="宋体" w:hAnsi="宋体" w:cs="宋体"/>
          <w:b/>
          <w:kern w:val="0"/>
          <w:szCs w:val="21"/>
          <w:highlight w:val="none"/>
        </w:rPr>
        <w:t>3.5排序与推荐。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13" w:firstLineChars="196"/>
        <w:rPr>
          <w:rFonts w:ascii="宋体" w:hAnsi="宋体" w:cs="宋体"/>
          <w:kern w:val="0"/>
          <w:szCs w:val="21"/>
          <w:highlight w:val="none"/>
        </w:rPr>
      </w:pPr>
      <w:r>
        <w:rPr>
          <w:rFonts w:hint="eastAsia" w:ascii="宋体" w:hAnsi="宋体" w:cs="宋体"/>
          <w:b/>
          <w:kern w:val="0"/>
          <w:szCs w:val="21"/>
          <w:highlight w:val="none"/>
        </w:rPr>
        <w:t>3.6编写评标报告。</w:t>
      </w:r>
      <w:r>
        <w:rPr>
          <w:rFonts w:hint="eastAsia" w:ascii="宋体" w:hAnsi="宋体" w:cs="宋体"/>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宋体" w:hAnsi="宋体" w:cs="宋体"/>
          <w:b/>
          <w:szCs w:val="21"/>
          <w:highlight w:val="none"/>
        </w:rPr>
      </w:pPr>
      <w:bookmarkStart w:id="440" w:name="_Toc29108"/>
      <w:r>
        <w:rPr>
          <w:rFonts w:hint="eastAsia" w:ascii="宋体" w:hAnsi="宋体" w:cs="宋体"/>
          <w:b/>
          <w:szCs w:val="21"/>
          <w:highlight w:val="none"/>
        </w:rPr>
        <w:t>四、评标中的其他事项</w:t>
      </w:r>
      <w:bookmarkEnd w:id="440"/>
    </w:p>
    <w:p>
      <w:pPr>
        <w:pStyle w:val="131"/>
        <w:spacing w:before="0"/>
        <w:ind w:firstLine="413" w:firstLineChars="196"/>
        <w:rPr>
          <w:rFonts w:ascii="宋体" w:hAnsi="宋体" w:cs="宋体"/>
          <w:kern w:val="0"/>
          <w:sz w:val="21"/>
          <w:szCs w:val="21"/>
          <w:highlight w:val="none"/>
        </w:rPr>
      </w:pPr>
      <w:r>
        <w:rPr>
          <w:rFonts w:hint="eastAsia" w:ascii="宋体" w:hAnsi="宋体" w:cs="宋体"/>
          <w:b/>
          <w:kern w:val="0"/>
          <w:sz w:val="21"/>
          <w:szCs w:val="21"/>
          <w:highlight w:val="none"/>
        </w:rPr>
        <w:t>4.1投标人澄清、说明或者补正。</w:t>
      </w:r>
      <w:r>
        <w:rPr>
          <w:rFonts w:hint="eastAsia" w:ascii="宋体" w:hAnsi="宋体" w:cs="宋体"/>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 w:val="21"/>
          <w:szCs w:val="21"/>
          <w:highlight w:val="none"/>
        </w:rPr>
      </w:pPr>
      <w:r>
        <w:rPr>
          <w:rFonts w:hint="eastAsia" w:cs="宋体"/>
          <w:b/>
          <w:kern w:val="0"/>
          <w:sz w:val="21"/>
          <w:szCs w:val="21"/>
          <w:highlight w:val="none"/>
        </w:rPr>
        <w:t>4.2投标无效。</w:t>
      </w:r>
      <w:r>
        <w:rPr>
          <w:rFonts w:hint="eastAsia" w:cs="宋体"/>
          <w:sz w:val="21"/>
          <w:szCs w:val="21"/>
          <w:highlight w:val="none"/>
        </w:rPr>
        <w:t>有下列情形之一的，投标无效：</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4.2.2投标文件未按照招标文件要求签署、盖章的；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4.2.4投标文件含有采购人不能接受的附加条件的；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4.2.5投标文件中承诺的投标有效期少于招标文件中载明的投标有效期的；</w:t>
      </w:r>
    </w:p>
    <w:p>
      <w:pPr>
        <w:snapToGrid w:val="0"/>
        <w:spacing w:line="360" w:lineRule="auto"/>
        <w:ind w:firstLine="105" w:firstLineChars="50"/>
        <w:jc w:val="left"/>
        <w:rPr>
          <w:rFonts w:ascii="宋体" w:hAnsi="宋体" w:cs="宋体"/>
          <w:kern w:val="0"/>
          <w:szCs w:val="21"/>
          <w:highlight w:val="none"/>
        </w:rPr>
      </w:pPr>
      <w:r>
        <w:rPr>
          <w:rFonts w:hint="eastAsia" w:ascii="宋体" w:hAnsi="宋体" w:cs="宋体"/>
          <w:kern w:val="0"/>
          <w:szCs w:val="21"/>
          <w:highlight w:val="none"/>
        </w:rPr>
        <w:t xml:space="preserve">   4.2.6投标文件出现不是唯一的、有选择性投标报价的;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4.2.7投标报价超过招标文件中规定的预算金额或者最高限价的；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4.2.9投标人对根据修正原则修正后的报价不确认的；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4.2.10投标人提供虚假材料投标的；</w:t>
      </w:r>
    </w:p>
    <w:p>
      <w:pPr>
        <w:spacing w:line="360" w:lineRule="auto"/>
        <w:ind w:firstLine="210" w:firstLineChars="100"/>
        <w:rPr>
          <w:rFonts w:ascii="宋体" w:hAnsi="宋体" w:cs="宋体"/>
          <w:kern w:val="0"/>
          <w:szCs w:val="21"/>
          <w:highlight w:val="none"/>
        </w:rPr>
      </w:pPr>
      <w:r>
        <w:rPr>
          <w:rFonts w:hint="eastAsia" w:ascii="宋体" w:hAnsi="宋体" w:cs="宋体"/>
          <w:kern w:val="0"/>
          <w:szCs w:val="21"/>
          <w:highlight w:val="none"/>
        </w:rPr>
        <w:t xml:space="preserve">  4.2.11投标人有恶意串通、妨碍其他投标人的竞争行为、损害采购人或者其他投标人的合法权益情形的；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4.2.12投标人仅提交备份投标文件，未在电子交易平台传输递交投标文件的，投标无效；</w:t>
      </w:r>
    </w:p>
    <w:p>
      <w:pPr>
        <w:spacing w:line="360" w:lineRule="auto"/>
        <w:ind w:firstLine="420" w:firstLineChars="200"/>
        <w:rPr>
          <w:rFonts w:ascii="宋体" w:hAnsi="宋体" w:cs="宋体"/>
          <w:kern w:val="0"/>
          <w:szCs w:val="21"/>
          <w:highlight w:val="none"/>
        </w:rPr>
      </w:pPr>
      <w:bookmarkStart w:id="441" w:name="_Toc16784"/>
      <w:r>
        <w:rPr>
          <w:rFonts w:hint="eastAsia" w:ascii="宋体" w:hAnsi="宋体" w:cs="宋体"/>
          <w:kern w:val="0"/>
          <w:szCs w:val="21"/>
          <w:highlight w:val="none"/>
        </w:rPr>
        <w:t>4.2.13 投标文件不满足招标文件的其它实质性要求的；</w:t>
      </w:r>
      <w:bookmarkEnd w:id="441"/>
    </w:p>
    <w:p>
      <w:pPr>
        <w:spacing w:line="360" w:lineRule="auto"/>
        <w:ind w:firstLine="420" w:firstLineChars="200"/>
        <w:rPr>
          <w:rFonts w:ascii="宋体" w:hAnsi="宋体" w:cs="宋体"/>
          <w:kern w:val="0"/>
          <w:szCs w:val="21"/>
          <w:highlight w:val="none"/>
        </w:rPr>
      </w:pPr>
      <w:r>
        <w:rPr>
          <w:rFonts w:ascii="宋体" w:hAnsi="宋体" w:cs="宋体"/>
          <w:kern w:val="0"/>
          <w:szCs w:val="21"/>
          <w:highlight w:val="none"/>
        </w:rPr>
        <w:t>4.2.14</w:t>
      </w:r>
      <w:r>
        <w:rPr>
          <w:rFonts w:hint="eastAsia" w:ascii="宋体" w:hAnsi="宋体" w:cs="宋体"/>
          <w:kern w:val="0"/>
          <w:szCs w:val="21"/>
          <w:highlight w:val="none"/>
        </w:rPr>
        <w:t>不同投标人的投标文件出自同一终端设备或在相同Internet主机分配地址（相同IP地址）网上报名投标的。</w:t>
      </w:r>
    </w:p>
    <w:p>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4.2.1</w:t>
      </w:r>
      <w:r>
        <w:rPr>
          <w:rFonts w:ascii="宋体" w:hAnsi="宋体" w:cs="宋体"/>
          <w:kern w:val="0"/>
          <w:szCs w:val="21"/>
          <w:highlight w:val="none"/>
        </w:rPr>
        <w:t>5</w:t>
      </w:r>
      <w:r>
        <w:rPr>
          <w:rFonts w:hint="eastAsia" w:ascii="宋体" w:hAnsi="宋体" w:cs="宋体"/>
          <w:kern w:val="0"/>
          <w:szCs w:val="21"/>
          <w:highlight w:val="none"/>
        </w:rPr>
        <w:t>法律、法规、规章（适用本市的）及省级以上规范性文件（适用本市的）规定的其他无效情形。</w:t>
      </w:r>
    </w:p>
    <w:p>
      <w:pPr>
        <w:pStyle w:val="26"/>
        <w:snapToGrid w:val="0"/>
        <w:spacing w:line="360" w:lineRule="auto"/>
        <w:ind w:firstLine="413" w:firstLineChars="196"/>
        <w:rPr>
          <w:rFonts w:cs="宋体"/>
          <w:sz w:val="21"/>
          <w:szCs w:val="21"/>
          <w:highlight w:val="none"/>
        </w:rPr>
      </w:pPr>
      <w:r>
        <w:rPr>
          <w:rFonts w:hint="eastAsia" w:cs="宋体"/>
          <w:b/>
          <w:sz w:val="21"/>
          <w:szCs w:val="21"/>
          <w:highlight w:val="none"/>
        </w:rPr>
        <w:t>5.废标。</w:t>
      </w:r>
      <w:r>
        <w:rPr>
          <w:rFonts w:hint="eastAsia" w:cs="宋体"/>
          <w:sz w:val="21"/>
          <w:szCs w:val="21"/>
          <w:highlight w:val="none"/>
        </w:rPr>
        <w:t>根据《中华人民共和国政府采购法》第三十六条之规定，在采购中，出现下列情形之一的，应予废标：</w:t>
      </w:r>
    </w:p>
    <w:p>
      <w:pPr>
        <w:pStyle w:val="26"/>
        <w:snapToGrid w:val="0"/>
        <w:spacing w:line="360" w:lineRule="auto"/>
        <w:ind w:firstLine="420"/>
        <w:rPr>
          <w:rFonts w:cs="宋体"/>
          <w:sz w:val="21"/>
          <w:szCs w:val="21"/>
          <w:highlight w:val="none"/>
        </w:rPr>
      </w:pPr>
      <w:r>
        <w:rPr>
          <w:rFonts w:hint="eastAsia" w:cs="宋体"/>
          <w:sz w:val="21"/>
          <w:szCs w:val="21"/>
          <w:highlight w:val="none"/>
        </w:rPr>
        <w:t>5.1符合专业条件的供应商或者对招标文件作实质响应的供应商不足3家的；</w:t>
      </w:r>
    </w:p>
    <w:p>
      <w:pPr>
        <w:pStyle w:val="26"/>
        <w:snapToGrid w:val="0"/>
        <w:spacing w:line="360" w:lineRule="auto"/>
        <w:ind w:firstLine="420"/>
        <w:rPr>
          <w:rFonts w:cs="宋体"/>
          <w:sz w:val="21"/>
          <w:szCs w:val="21"/>
          <w:highlight w:val="none"/>
        </w:rPr>
      </w:pPr>
      <w:r>
        <w:rPr>
          <w:rFonts w:hint="eastAsia" w:cs="宋体"/>
          <w:sz w:val="21"/>
          <w:szCs w:val="21"/>
          <w:highlight w:val="none"/>
        </w:rPr>
        <w:t>5.2出现影响采购公正的违法、违规行为的；</w:t>
      </w:r>
    </w:p>
    <w:p>
      <w:pPr>
        <w:pStyle w:val="26"/>
        <w:snapToGrid w:val="0"/>
        <w:spacing w:line="360" w:lineRule="auto"/>
        <w:ind w:firstLine="420"/>
        <w:rPr>
          <w:rFonts w:cs="宋体"/>
          <w:sz w:val="21"/>
          <w:szCs w:val="21"/>
          <w:highlight w:val="none"/>
        </w:rPr>
      </w:pPr>
      <w:r>
        <w:rPr>
          <w:rFonts w:hint="eastAsia" w:cs="宋体"/>
          <w:sz w:val="21"/>
          <w:szCs w:val="21"/>
          <w:highlight w:val="none"/>
        </w:rPr>
        <w:t>5.3投标人的报价均超过了采购预算，采购人不能支付的；</w:t>
      </w:r>
    </w:p>
    <w:p>
      <w:pPr>
        <w:pStyle w:val="26"/>
        <w:snapToGrid w:val="0"/>
        <w:spacing w:line="360" w:lineRule="auto"/>
        <w:ind w:firstLine="420"/>
        <w:rPr>
          <w:rFonts w:cs="宋体"/>
          <w:sz w:val="21"/>
          <w:szCs w:val="21"/>
          <w:highlight w:val="none"/>
        </w:rPr>
      </w:pPr>
      <w:r>
        <w:rPr>
          <w:rFonts w:hint="eastAsia" w:cs="宋体"/>
          <w:sz w:val="21"/>
          <w:szCs w:val="21"/>
          <w:highlight w:val="none"/>
        </w:rPr>
        <w:t>5.4因重大变故，采购任务取消的。</w:t>
      </w:r>
    </w:p>
    <w:p>
      <w:pPr>
        <w:pStyle w:val="26"/>
        <w:snapToGrid w:val="0"/>
        <w:spacing w:line="360" w:lineRule="auto"/>
        <w:ind w:firstLine="420"/>
        <w:rPr>
          <w:rFonts w:cs="宋体"/>
          <w:sz w:val="21"/>
          <w:szCs w:val="21"/>
          <w:highlight w:val="none"/>
        </w:rPr>
      </w:pPr>
      <w:r>
        <w:rPr>
          <w:rFonts w:hint="eastAsia" w:cs="宋体"/>
          <w:sz w:val="21"/>
          <w:szCs w:val="21"/>
          <w:highlight w:val="none"/>
        </w:rPr>
        <w:t>废标后，采购代理机构应当将废标理由通知所有投标人。</w:t>
      </w:r>
    </w:p>
    <w:p>
      <w:pPr>
        <w:pStyle w:val="26"/>
        <w:snapToGrid w:val="0"/>
        <w:spacing w:line="360" w:lineRule="auto"/>
        <w:ind w:firstLine="517" w:firstLineChars="245"/>
        <w:rPr>
          <w:rFonts w:cs="宋体"/>
          <w:sz w:val="21"/>
          <w:szCs w:val="21"/>
          <w:highlight w:val="none"/>
        </w:rPr>
      </w:pPr>
      <w:r>
        <w:rPr>
          <w:rFonts w:hint="eastAsia" w:cs="宋体"/>
          <w:b/>
          <w:sz w:val="21"/>
          <w:szCs w:val="21"/>
          <w:highlight w:val="none"/>
        </w:rPr>
        <w:t>6.修改招标文件，重新组织采购活动。</w:t>
      </w:r>
      <w:r>
        <w:rPr>
          <w:rFonts w:hint="eastAsia" w:cs="宋体"/>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22"/>
        <w:rPr>
          <w:rFonts w:cs="宋体"/>
          <w:sz w:val="21"/>
          <w:szCs w:val="21"/>
          <w:highlight w:val="none"/>
        </w:rPr>
      </w:pPr>
      <w:r>
        <w:rPr>
          <w:rFonts w:hint="eastAsia" w:cs="宋体"/>
          <w:b/>
          <w:kern w:val="0"/>
          <w:sz w:val="21"/>
          <w:szCs w:val="21"/>
          <w:highlight w:val="none"/>
        </w:rPr>
        <w:t>7.重新开展采购。</w:t>
      </w:r>
      <w:r>
        <w:rPr>
          <w:rFonts w:hint="eastAsia" w:cs="宋体"/>
          <w:sz w:val="21"/>
          <w:szCs w:val="21"/>
          <w:highlight w:val="none"/>
        </w:rPr>
        <w:t>有政府采购法第七十一条、第七十二条规定的违法行为之一，影响或者可能影响中标结果的，依照下列规定处理：</w:t>
      </w:r>
    </w:p>
    <w:p>
      <w:pPr>
        <w:pStyle w:val="26"/>
        <w:snapToGrid w:val="0"/>
        <w:spacing w:line="360" w:lineRule="auto"/>
        <w:ind w:firstLine="420"/>
        <w:rPr>
          <w:rFonts w:cs="宋体"/>
          <w:sz w:val="21"/>
          <w:szCs w:val="21"/>
          <w:highlight w:val="none"/>
        </w:rPr>
      </w:pPr>
      <w:r>
        <w:rPr>
          <w:rFonts w:hint="eastAsia" w:cs="宋体"/>
          <w:sz w:val="21"/>
          <w:szCs w:val="21"/>
          <w:highlight w:val="none"/>
        </w:rPr>
        <w:t>7.1未确定中标供应商的，终止本次政府采购活动，重新开展政府采购活动。</w:t>
      </w:r>
    </w:p>
    <w:p>
      <w:pPr>
        <w:pStyle w:val="26"/>
        <w:snapToGrid w:val="0"/>
        <w:spacing w:line="360" w:lineRule="auto"/>
        <w:ind w:firstLine="420"/>
        <w:rPr>
          <w:rFonts w:cs="宋体"/>
          <w:sz w:val="21"/>
          <w:szCs w:val="21"/>
          <w:highlight w:val="none"/>
        </w:rPr>
      </w:pPr>
      <w:r>
        <w:rPr>
          <w:rFonts w:hint="eastAsia" w:cs="宋体"/>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ind w:firstLine="420"/>
        <w:rPr>
          <w:rFonts w:cs="宋体"/>
          <w:sz w:val="21"/>
          <w:szCs w:val="21"/>
          <w:highlight w:val="none"/>
        </w:rPr>
      </w:pPr>
      <w:r>
        <w:rPr>
          <w:rFonts w:hint="eastAsia" w:cs="宋体"/>
          <w:sz w:val="21"/>
          <w:szCs w:val="21"/>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ind w:firstLine="420"/>
        <w:rPr>
          <w:rFonts w:cs="宋体"/>
          <w:sz w:val="21"/>
          <w:szCs w:val="21"/>
          <w:highlight w:val="none"/>
        </w:rPr>
      </w:pPr>
      <w:r>
        <w:rPr>
          <w:rFonts w:hint="eastAsia" w:cs="宋体"/>
          <w:sz w:val="21"/>
          <w:szCs w:val="21"/>
          <w:highlight w:val="none"/>
        </w:rPr>
        <w:t>7.4政府采购合同已经履行，给采购人、供应商造成损失的，由责任人承担赔偿责任。</w:t>
      </w:r>
    </w:p>
    <w:p>
      <w:pPr>
        <w:pStyle w:val="26"/>
        <w:snapToGrid w:val="0"/>
        <w:spacing w:line="360" w:lineRule="auto"/>
        <w:ind w:firstLine="420"/>
        <w:rPr>
          <w:rFonts w:cs="宋体"/>
          <w:sz w:val="21"/>
          <w:szCs w:val="21"/>
          <w:highlight w:val="none"/>
        </w:rPr>
      </w:pPr>
      <w:r>
        <w:rPr>
          <w:rFonts w:hint="eastAsia" w:cs="宋体"/>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bookmarkEnd w:id="65"/>
    <w:p>
      <w:pPr>
        <w:spacing w:line="360" w:lineRule="auto"/>
        <w:ind w:left="720" w:leftChars="343" w:firstLine="1084" w:firstLineChars="300"/>
        <w:outlineLvl w:val="0"/>
        <w:rPr>
          <w:rFonts w:hint="eastAsia" w:ascii="宋体" w:hAnsi="宋体" w:cs="宋体"/>
          <w:b/>
          <w:sz w:val="36"/>
          <w:szCs w:val="36"/>
          <w:highlight w:val="none"/>
        </w:rPr>
      </w:pPr>
      <w:bookmarkStart w:id="442" w:name="_Toc12957"/>
      <w:bookmarkStart w:id="443" w:name="_Toc20593"/>
      <w:bookmarkStart w:id="444" w:name="第五部分"/>
      <w:bookmarkStart w:id="445" w:name="_Toc86217003"/>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bookmarkEnd w:id="442"/>
      <w:bookmarkEnd w:id="443"/>
    </w:p>
    <w:p>
      <w:pPr>
        <w:spacing w:before="120" w:line="360" w:lineRule="auto"/>
        <w:ind w:left="960"/>
        <w:rPr>
          <w:rFonts w:cs="仿宋" w:asciiTheme="minorEastAsia" w:hAnsiTheme="minorEastAsia" w:eastAsiaTheme="minorEastAsia"/>
          <w:sz w:val="24"/>
          <w:highlight w:val="none"/>
        </w:rPr>
      </w:pPr>
    </w:p>
    <w:p>
      <w:pPr>
        <w:spacing w:before="120" w:line="360" w:lineRule="auto"/>
        <w:ind w:left="960"/>
        <w:rPr>
          <w:rFonts w:cs="仿宋" w:asciiTheme="minorEastAsia" w:hAnsiTheme="minorEastAsia" w:eastAsiaTheme="minorEastAsia"/>
          <w:sz w:val="24"/>
          <w:highlight w:val="none"/>
        </w:rPr>
      </w:pPr>
    </w:p>
    <w:p>
      <w:pPr>
        <w:spacing w:before="120" w:line="360" w:lineRule="auto"/>
        <w:ind w:left="960"/>
        <w:rPr>
          <w:rFonts w:cs="仿宋" w:asciiTheme="minorEastAsia" w:hAnsiTheme="minorEastAsia" w:eastAsiaTheme="minorEastAsia"/>
          <w:sz w:val="24"/>
          <w:highlight w:val="none"/>
        </w:rPr>
      </w:pPr>
    </w:p>
    <w:p>
      <w:pPr>
        <w:spacing w:before="120" w:line="360" w:lineRule="auto"/>
        <w:ind w:left="960"/>
        <w:rPr>
          <w:rFonts w:cs="仿宋" w:asciiTheme="minorEastAsia" w:hAnsiTheme="minorEastAsia" w:eastAsiaTheme="minorEastAsia"/>
          <w:sz w:val="24"/>
          <w:highlight w:val="none"/>
        </w:rPr>
      </w:pPr>
    </w:p>
    <w:p>
      <w:pPr>
        <w:spacing w:before="120" w:line="360" w:lineRule="auto"/>
        <w:ind w:left="960"/>
        <w:rPr>
          <w:rFonts w:cs="仿宋" w:asciiTheme="minorEastAsia" w:hAnsiTheme="minorEastAsia" w:eastAsiaTheme="minorEastAsia"/>
          <w:sz w:val="24"/>
          <w:highlight w:val="none"/>
        </w:rPr>
      </w:pPr>
    </w:p>
    <w:p>
      <w:pPr>
        <w:spacing w:before="120" w:line="360" w:lineRule="auto"/>
        <w:ind w:left="96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r>
        <w:rPr>
          <w:rFonts w:hint="eastAsia" w:cs="仿宋" w:asciiTheme="minorEastAsia" w:hAnsiTheme="minorEastAsia" w:eastAsiaTheme="minorEastAsia"/>
          <w:sz w:val="24"/>
          <w:highlight w:val="none"/>
          <w:u w:val="single"/>
        </w:rPr>
        <w:t>聚贤街道2024-2027年病媒生物防治社会化服务</w:t>
      </w:r>
    </w:p>
    <w:p>
      <w:pPr>
        <w:pStyle w:val="598"/>
        <w:spacing w:before="120"/>
        <w:rPr>
          <w:rFonts w:cs="仿宋" w:asciiTheme="minorEastAsia" w:hAnsiTheme="minorEastAsia" w:eastAsiaTheme="minorEastAsia"/>
          <w:szCs w:val="24"/>
          <w:highlight w:val="none"/>
        </w:rPr>
      </w:pPr>
    </w:p>
    <w:p>
      <w:pPr>
        <w:pStyle w:val="598"/>
        <w:spacing w:before="120"/>
        <w:rPr>
          <w:rFonts w:cs="仿宋" w:asciiTheme="minorEastAsia" w:hAnsiTheme="minorEastAsia" w:eastAsiaTheme="minorEastAsia"/>
          <w:szCs w:val="24"/>
          <w:highlight w:val="none"/>
        </w:rPr>
      </w:pPr>
    </w:p>
    <w:p>
      <w:pPr>
        <w:spacing w:line="360" w:lineRule="auto"/>
        <w:rPr>
          <w:rFonts w:cs="仿宋" w:asciiTheme="minorEastAsia" w:hAnsiTheme="minorEastAsia" w:eastAsiaTheme="minorEastAsia"/>
          <w:sz w:val="24"/>
          <w:highlight w:val="none"/>
        </w:rPr>
      </w:pPr>
    </w:p>
    <w:p>
      <w:pPr>
        <w:spacing w:before="120" w:line="360" w:lineRule="auto"/>
        <w:ind w:left="96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甲方：宁波市鄞州区人民政府聚贤街道办事处</w:t>
      </w:r>
    </w:p>
    <w:p>
      <w:pPr>
        <w:spacing w:before="120" w:line="360" w:lineRule="auto"/>
        <w:rPr>
          <w:rFonts w:cs="仿宋" w:asciiTheme="minorEastAsia" w:hAnsiTheme="minorEastAsia" w:eastAsiaTheme="minorEastAsia"/>
          <w:sz w:val="24"/>
          <w:highlight w:val="none"/>
        </w:rPr>
      </w:pPr>
    </w:p>
    <w:p>
      <w:pPr>
        <w:spacing w:before="120" w:line="360" w:lineRule="auto"/>
        <w:ind w:left="960"/>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乙方：</w:t>
      </w:r>
      <w:r>
        <w:rPr>
          <w:rFonts w:hint="eastAsia" w:cs="仿宋" w:asciiTheme="minorEastAsia" w:hAnsiTheme="minorEastAsia" w:eastAsiaTheme="minorEastAsia"/>
          <w:sz w:val="24"/>
          <w:highlight w:val="none"/>
          <w:u w:val="single"/>
        </w:rPr>
        <w:t xml:space="preserve">                                       </w:t>
      </w:r>
    </w:p>
    <w:p>
      <w:pPr>
        <w:spacing w:before="120" w:line="360" w:lineRule="auto"/>
        <w:rPr>
          <w:rFonts w:cs="仿宋" w:asciiTheme="minorEastAsia" w:hAnsiTheme="minorEastAsia" w:eastAsiaTheme="minorEastAsia"/>
          <w:sz w:val="24"/>
          <w:highlight w:val="none"/>
        </w:rPr>
      </w:pPr>
    </w:p>
    <w:p>
      <w:pPr>
        <w:spacing w:before="120" w:line="360" w:lineRule="auto"/>
        <w:ind w:firstLine="960" w:firstLineChars="400"/>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签订地：宁波市高新区</w:t>
      </w:r>
    </w:p>
    <w:p>
      <w:pPr>
        <w:spacing w:before="120" w:line="360" w:lineRule="auto"/>
        <w:rPr>
          <w:rFonts w:cs="仿宋" w:asciiTheme="minorEastAsia" w:hAnsiTheme="minorEastAsia" w:eastAsiaTheme="minorEastAsia"/>
          <w:sz w:val="24"/>
          <w:highlight w:val="none"/>
        </w:rPr>
      </w:pPr>
    </w:p>
    <w:p>
      <w:pPr>
        <w:spacing w:before="120" w:line="360" w:lineRule="auto"/>
        <w:ind w:firstLine="960" w:firstLineChars="400"/>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签订日期：</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p>
    <w:p>
      <w:pPr>
        <w:pStyle w:val="35"/>
        <w:widowControl/>
        <w:spacing w:line="360" w:lineRule="auto"/>
        <w:jc w:val="left"/>
        <w:rPr>
          <w:rFonts w:hAnsi="宋体" w:cs="宋体"/>
          <w:highlight w:val="none"/>
        </w:rPr>
      </w:pPr>
    </w:p>
    <w:p>
      <w:pPr>
        <w:pStyle w:val="35"/>
        <w:widowControl/>
        <w:spacing w:line="360" w:lineRule="auto"/>
        <w:jc w:val="left"/>
        <w:rPr>
          <w:rFonts w:hAnsi="宋体" w:cs="宋体"/>
          <w:highlight w:val="none"/>
        </w:rPr>
      </w:pPr>
    </w:p>
    <w:p>
      <w:pPr>
        <w:pStyle w:val="35"/>
        <w:widowControl/>
        <w:spacing w:line="360" w:lineRule="auto"/>
        <w:jc w:val="left"/>
        <w:rPr>
          <w:rFonts w:hAnsi="宋体" w:cs="宋体"/>
          <w:highlight w:val="none"/>
        </w:rPr>
      </w:pPr>
    </w:p>
    <w:p>
      <w:pPr>
        <w:pStyle w:val="35"/>
        <w:widowControl/>
        <w:spacing w:line="360" w:lineRule="auto"/>
        <w:jc w:val="left"/>
        <w:rPr>
          <w:rFonts w:hAnsi="宋体" w:cs="宋体"/>
          <w:highlight w:val="none"/>
        </w:rPr>
      </w:pPr>
    </w:p>
    <w:p>
      <w:pPr>
        <w:pStyle w:val="35"/>
        <w:widowControl/>
        <w:spacing w:line="360" w:lineRule="auto"/>
        <w:jc w:val="left"/>
        <w:rPr>
          <w:rFonts w:hAnsi="宋体" w:cs="宋体"/>
          <w:highlight w:val="none"/>
        </w:rPr>
      </w:pPr>
    </w:p>
    <w:p>
      <w:pPr>
        <w:pStyle w:val="35"/>
        <w:widowControl/>
        <w:spacing w:line="360" w:lineRule="auto"/>
        <w:jc w:val="left"/>
        <w:rPr>
          <w:rFonts w:hAnsi="宋体" w:cs="宋体"/>
          <w:highlight w:val="none"/>
        </w:rPr>
      </w:pPr>
    </w:p>
    <w:p>
      <w:pPr>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spacing w:line="360" w:lineRule="auto"/>
        <w:rPr>
          <w:rFonts w:ascii="宋体" w:hAnsi="宋体"/>
          <w:szCs w:val="21"/>
          <w:highlight w:val="none"/>
          <w:u w:val="single"/>
        </w:rPr>
      </w:pPr>
      <w:r>
        <w:rPr>
          <w:rFonts w:hint="eastAsia" w:ascii="宋体" w:hAnsi="宋体"/>
          <w:szCs w:val="21"/>
          <w:highlight w:val="none"/>
        </w:rPr>
        <w:t>采购人(甲方)：</w:t>
      </w:r>
      <w:r>
        <w:rPr>
          <w:rFonts w:hint="eastAsia" w:ascii="宋体" w:hAnsi="宋体"/>
          <w:szCs w:val="21"/>
          <w:highlight w:val="none"/>
          <w:u w:val="single"/>
        </w:rPr>
        <w:t>宁波市鄞州区人民政府聚贤街道办事处</w:t>
      </w:r>
    </w:p>
    <w:p>
      <w:pPr>
        <w:pStyle w:val="35"/>
        <w:widowControl/>
        <w:spacing w:line="360" w:lineRule="auto"/>
        <w:jc w:val="left"/>
        <w:rPr>
          <w:rFonts w:hAnsi="宋体" w:cs="宋体"/>
          <w:highlight w:val="none"/>
        </w:rPr>
      </w:pPr>
      <w:r>
        <w:rPr>
          <w:rFonts w:hint="eastAsia" w:hAnsi="宋体"/>
          <w:highlight w:val="none"/>
        </w:rPr>
        <w:t>供应商(乙方)：</w:t>
      </w:r>
    </w:p>
    <w:p>
      <w:pPr>
        <w:spacing w:line="360" w:lineRule="auto"/>
        <w:ind w:firstLine="420" w:firstLineChars="200"/>
        <w:rPr>
          <w:rFonts w:ascii="宋体" w:hAnsi="宋体" w:cs="仿宋"/>
          <w:szCs w:val="21"/>
          <w:highlight w:val="none"/>
        </w:rPr>
      </w:pPr>
      <w:r>
        <w:rPr>
          <w:rFonts w:hint="eastAsia" w:hAnsi="宋体" w:cs="宋体"/>
          <w:highlight w:val="none"/>
        </w:rPr>
        <w:t xml:space="preserve">  </w:t>
      </w:r>
      <w:r>
        <w:rPr>
          <w:rFonts w:hint="eastAsia" w:ascii="宋体" w:hAnsi="宋体" w:cs="宋体"/>
          <w:szCs w:val="21"/>
          <w:highlight w:val="none"/>
        </w:rPr>
        <w:t xml:space="preserve"> </w:t>
      </w:r>
      <w:r>
        <w:rPr>
          <w:rFonts w:hint="eastAsia" w:ascii="宋体" w:hAnsi="宋体" w:cs="仿宋"/>
          <w:szCs w:val="21"/>
          <w:highlight w:val="none"/>
          <w:lang w:val="zh-CN"/>
        </w:rPr>
        <w:t>根据《中华人民共和国民法典》《中华人民共和国政府采购法》等相关法律法规之规定，按照平等、自愿、公平和诚实信用的原则，经</w:t>
      </w:r>
      <w:r>
        <w:rPr>
          <w:rFonts w:hint="eastAsia" w:ascii="宋体" w:hAnsi="宋体"/>
          <w:szCs w:val="21"/>
          <w:highlight w:val="none"/>
          <w:u w:val="single"/>
        </w:rPr>
        <w:t>宁波市鄞州区人民政府聚贤街道办事处</w:t>
      </w:r>
      <w:r>
        <w:rPr>
          <w:rFonts w:hint="eastAsia" w:ascii="宋体" w:hAnsi="宋体" w:cs="仿宋"/>
          <w:szCs w:val="21"/>
          <w:highlight w:val="none"/>
          <w:lang w:val="zh-CN"/>
        </w:rPr>
        <w:t>(以下简称：甲方)和</w:t>
      </w:r>
      <w:r>
        <w:rPr>
          <w:rFonts w:hint="eastAsia" w:ascii="宋体" w:hAnsi="宋体" w:cs="仿宋"/>
          <w:szCs w:val="21"/>
          <w:highlight w:val="none"/>
          <w:u w:val="single"/>
        </w:rPr>
        <w:t xml:space="preserve">   （中或者成交标供应商名称）   </w:t>
      </w:r>
      <w:r>
        <w:rPr>
          <w:rFonts w:hint="eastAsia" w:ascii="宋体" w:hAnsi="宋体" w:cs="仿宋"/>
          <w:szCs w:val="21"/>
          <w:highlight w:val="none"/>
          <w:lang w:val="zh-CN"/>
        </w:rPr>
        <w:t>(以下简称：乙方)协商一致，约定以下合同</w:t>
      </w:r>
      <w:r>
        <w:rPr>
          <w:rFonts w:hint="eastAsia" w:ascii="宋体" w:hAnsi="宋体" w:cs="仿宋"/>
          <w:szCs w:val="21"/>
          <w:highlight w:val="none"/>
        </w:rPr>
        <w:t>条款，以兹共同遵守、全面履行。</w:t>
      </w:r>
    </w:p>
    <w:p>
      <w:pPr>
        <w:snapToGrid w:val="0"/>
        <w:spacing w:line="360" w:lineRule="auto"/>
        <w:rPr>
          <w:rFonts w:ascii="宋体" w:hAnsi="宋体" w:cs="宋体"/>
          <w:b/>
          <w:bCs/>
          <w:szCs w:val="21"/>
          <w:highlight w:val="none"/>
        </w:rPr>
      </w:pPr>
      <w:r>
        <w:rPr>
          <w:rFonts w:hint="eastAsia" w:ascii="宋体" w:hAnsi="宋体" w:cs="宋体"/>
          <w:b/>
          <w:bCs/>
          <w:szCs w:val="21"/>
          <w:highlight w:val="none"/>
        </w:rPr>
        <w:t>一、合同组成部分</w:t>
      </w:r>
    </w:p>
    <w:p>
      <w:pPr>
        <w:snapToGrid w:val="0"/>
        <w:spacing w:line="360" w:lineRule="auto"/>
        <w:rPr>
          <w:rFonts w:ascii="宋体" w:hAnsi="宋体" w:cs="宋体"/>
          <w:szCs w:val="21"/>
          <w:highlight w:val="none"/>
        </w:rPr>
      </w:pPr>
      <w:r>
        <w:rPr>
          <w:rFonts w:hint="eastAsia" w:ascii="宋体" w:hAnsi="宋体" w:cs="宋体"/>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 本合同及其补充合同、变更协议；</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 中标或者成交通知书；</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 投标或者响应文件（含澄清或者说明文件）；</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 采购文件（含澄清或者修改文件）；</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 其他相关采购文件。</w:t>
      </w:r>
    </w:p>
    <w:p>
      <w:pPr>
        <w:spacing w:line="500" w:lineRule="atLeast"/>
        <w:ind w:left="-481" w:leftChars="-229" w:firstLine="316" w:firstLineChars="150"/>
        <w:rPr>
          <w:rFonts w:ascii="宋体" w:hAnsi="宋体"/>
          <w:b/>
          <w:szCs w:val="21"/>
          <w:highlight w:val="none"/>
        </w:rPr>
      </w:pPr>
      <w:r>
        <w:rPr>
          <w:rFonts w:hint="eastAsia" w:ascii="宋体" w:hAnsi="宋体"/>
          <w:b/>
          <w:szCs w:val="21"/>
          <w:highlight w:val="none"/>
        </w:rPr>
        <w:t>二、服务内容</w:t>
      </w:r>
    </w:p>
    <w:p>
      <w:pPr>
        <w:spacing w:line="500" w:lineRule="atLeast"/>
        <w:ind w:firstLine="420" w:firstLineChars="200"/>
        <w:rPr>
          <w:rFonts w:ascii="宋体" w:hAnsi="宋体"/>
          <w:szCs w:val="21"/>
          <w:highlight w:val="none"/>
        </w:rPr>
      </w:pPr>
      <w:r>
        <w:rPr>
          <w:rFonts w:hint="eastAsia" w:ascii="宋体" w:hAnsi="宋体"/>
          <w:szCs w:val="21"/>
          <w:highlight w:val="none"/>
        </w:rPr>
        <w:t>1、承包消杀目标。消杀对象：老鼠、蟑螂、蚊子、苍蝇；</w:t>
      </w:r>
    </w:p>
    <w:p>
      <w:pPr>
        <w:spacing w:line="500" w:lineRule="atLeast"/>
        <w:ind w:firstLine="420" w:firstLineChars="200"/>
        <w:rPr>
          <w:rFonts w:ascii="宋体" w:hAnsi="宋体"/>
          <w:szCs w:val="21"/>
          <w:highlight w:val="none"/>
        </w:rPr>
      </w:pPr>
      <w:r>
        <w:rPr>
          <w:rFonts w:hint="eastAsia" w:ascii="宋体" w:hAnsi="宋体"/>
          <w:szCs w:val="21"/>
          <w:highlight w:val="none"/>
        </w:rPr>
        <w:t>2、提供“除四害”宣传资料，按照“除四害”技术方案做好宣传工作、四害密度监测工作、药物、药械投放工作，确保除四害服务达到国家考核标准；</w:t>
      </w:r>
    </w:p>
    <w:p>
      <w:pPr>
        <w:spacing w:line="500" w:lineRule="atLeast"/>
        <w:ind w:firstLine="420" w:firstLineChars="200"/>
        <w:rPr>
          <w:rFonts w:ascii="宋体" w:hAnsi="宋体"/>
          <w:szCs w:val="21"/>
          <w:highlight w:val="none"/>
        </w:rPr>
      </w:pPr>
      <w:r>
        <w:rPr>
          <w:rFonts w:hint="eastAsia" w:ascii="宋体" w:hAnsi="宋体"/>
          <w:szCs w:val="21"/>
          <w:highlight w:val="none"/>
        </w:rPr>
        <w:t>3、消灭、消除本项目消杀范围内的四害活动痕迹（如蟑迹、鼠迹等）；</w:t>
      </w:r>
    </w:p>
    <w:p>
      <w:pPr>
        <w:spacing w:line="500" w:lineRule="atLeas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、指导做好防蝇、防鼠等设施建设；</w:t>
      </w:r>
    </w:p>
    <w:p>
      <w:pPr>
        <w:spacing w:line="500" w:lineRule="atLeast"/>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、指导居民室内“除四害”的作业方式、方法</w:t>
      </w:r>
      <w:r>
        <w:rPr>
          <w:rFonts w:ascii="宋体" w:hAnsi="宋体"/>
          <w:szCs w:val="21"/>
          <w:highlight w:val="none"/>
        </w:rPr>
        <w:t>。</w:t>
      </w:r>
    </w:p>
    <w:p>
      <w:pPr>
        <w:spacing w:line="500" w:lineRule="atLeast"/>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、具体服务内容：</w:t>
      </w:r>
    </w:p>
    <w:p>
      <w:pPr>
        <w:spacing w:line="500" w:lineRule="atLeast"/>
        <w:ind w:firstLine="420" w:firstLineChars="200"/>
        <w:rPr>
          <w:rFonts w:ascii="宋体" w:hAnsi="宋体"/>
          <w:szCs w:val="21"/>
          <w:highlight w:val="none"/>
        </w:rPr>
      </w:pPr>
      <w:r>
        <w:rPr>
          <w:rFonts w:ascii="宋体" w:hAnsi="宋体"/>
          <w:szCs w:val="21"/>
          <w:highlight w:val="none"/>
        </w:rPr>
        <w:t>①</w:t>
      </w:r>
      <w:r>
        <w:rPr>
          <w:rFonts w:hint="eastAsia" w:ascii="宋体" w:hAnsi="宋体"/>
          <w:szCs w:val="21"/>
          <w:highlight w:val="none"/>
        </w:rPr>
        <w:t>公共外环境的除四害工作</w:t>
      </w:r>
    </w:p>
    <w:p>
      <w:pPr>
        <w:spacing w:line="500" w:lineRule="atLeast"/>
        <w:ind w:firstLine="420" w:firstLineChars="200"/>
        <w:rPr>
          <w:rFonts w:ascii="宋体" w:hAnsi="宋体"/>
          <w:szCs w:val="21"/>
          <w:highlight w:val="none"/>
        </w:rPr>
      </w:pPr>
      <w:r>
        <w:rPr>
          <w:rFonts w:hint="eastAsia" w:ascii="宋体" w:hAnsi="宋体"/>
          <w:szCs w:val="21"/>
          <w:highlight w:val="none"/>
        </w:rPr>
        <w:t>在防治区域内不同程度垒建毒鼠屋，每月</w:t>
      </w:r>
      <w:r>
        <w:rPr>
          <w:rFonts w:hint="eastAsia" w:cs="宋体" w:asciiTheme="minorEastAsia" w:hAnsiTheme="minorEastAsia" w:eastAsiaTheme="minorEastAsia"/>
          <w:szCs w:val="21"/>
          <w:highlight w:val="none"/>
        </w:rPr>
        <w:t>不少于3次</w:t>
      </w:r>
      <w:r>
        <w:rPr>
          <w:rFonts w:hint="eastAsia" w:ascii="宋体" w:hAnsi="宋体"/>
          <w:szCs w:val="21"/>
          <w:highlight w:val="none"/>
        </w:rPr>
        <w:t>在外环境绿化带投放灭鼠蜡丸、蜡块。根据鼠害密度、不同季节在毒鼠屋中定期投放新鲜、适口的毒饵。依照全年春秋两季灭鼠要求，在下水道窨井口悬挂灭鼠蜡块，平时不定期检查绿化带的鼠洞，发现鼠洞及时填补。</w:t>
      </w:r>
    </w:p>
    <w:p>
      <w:pPr>
        <w:spacing w:line="500" w:lineRule="atLeast"/>
        <w:ind w:firstLine="420" w:firstLineChars="200"/>
        <w:rPr>
          <w:rFonts w:ascii="宋体" w:hAnsi="宋体"/>
          <w:szCs w:val="21"/>
          <w:highlight w:val="none"/>
        </w:rPr>
      </w:pPr>
      <w:r>
        <w:rPr>
          <w:rFonts w:hint="eastAsia" w:ascii="宋体" w:hAnsi="宋体"/>
          <w:szCs w:val="21"/>
          <w:highlight w:val="none"/>
        </w:rPr>
        <w:t>每月</w:t>
      </w:r>
      <w:r>
        <w:rPr>
          <w:rFonts w:hint="eastAsia" w:cs="宋体" w:asciiTheme="minorEastAsia" w:hAnsiTheme="minorEastAsia" w:eastAsiaTheme="minorEastAsia"/>
          <w:szCs w:val="21"/>
          <w:highlight w:val="none"/>
        </w:rPr>
        <w:t>不少于3次</w:t>
      </w:r>
      <w:r>
        <w:rPr>
          <w:rFonts w:hint="eastAsia" w:ascii="宋体" w:hAnsi="宋体"/>
          <w:szCs w:val="21"/>
          <w:highlight w:val="none"/>
        </w:rPr>
        <w:t>对绿化带、下水道、垃圾房、楼道等外环境进行蚊蝇滞留喷杀。采用小积水投放灭蚊幼缓释剂，下水道每十天或半月投放一次飞彪灭蚊幼缓释剂。为減少诱杀活蝇造成化学环境污染，在室外绿化带悬挂诱蝇笼。</w:t>
      </w:r>
    </w:p>
    <w:p>
      <w:pPr>
        <w:spacing w:line="500" w:lineRule="atLeast"/>
        <w:ind w:firstLine="420" w:firstLineChars="200"/>
        <w:rPr>
          <w:rFonts w:ascii="宋体" w:hAnsi="宋体"/>
          <w:szCs w:val="21"/>
          <w:highlight w:val="none"/>
        </w:rPr>
      </w:pPr>
      <w:r>
        <w:rPr>
          <w:rFonts w:hint="eastAsia" w:ascii="宋体" w:hAnsi="宋体"/>
          <w:szCs w:val="21"/>
          <w:highlight w:val="none"/>
        </w:rPr>
        <w:t>②五小企业的除四害工作</w:t>
      </w:r>
    </w:p>
    <w:p>
      <w:pPr>
        <w:spacing w:line="500" w:lineRule="atLeast"/>
        <w:ind w:firstLine="420" w:firstLineChars="200"/>
        <w:rPr>
          <w:rFonts w:ascii="宋体" w:hAnsi="宋体"/>
          <w:szCs w:val="21"/>
          <w:highlight w:val="none"/>
        </w:rPr>
      </w:pPr>
      <w:r>
        <w:rPr>
          <w:rFonts w:hint="eastAsia" w:ascii="宋体" w:hAnsi="宋体"/>
          <w:szCs w:val="21"/>
          <w:highlight w:val="none"/>
        </w:rPr>
        <w:t>根据营业特点，合理安排消杀时间，根据四害的抗药性不断变换使用药物，需在短期内使“五小”企业的四害密度快速下降。</w:t>
      </w:r>
    </w:p>
    <w:p>
      <w:pPr>
        <w:spacing w:line="500" w:lineRule="atLeast"/>
        <w:ind w:firstLine="420" w:firstLineChars="200"/>
        <w:rPr>
          <w:rFonts w:ascii="宋体" w:hAnsi="宋体"/>
          <w:szCs w:val="21"/>
          <w:highlight w:val="none"/>
        </w:rPr>
      </w:pPr>
      <w:r>
        <w:rPr>
          <w:rFonts w:hint="eastAsia" w:ascii="宋体" w:hAnsi="宋体"/>
          <w:szCs w:val="21"/>
          <w:highlight w:val="none"/>
        </w:rPr>
        <w:t>③</w:t>
      </w:r>
      <w:r>
        <w:rPr>
          <w:rFonts w:hint="eastAsia" w:cs="宋体" w:asciiTheme="minorEastAsia" w:hAnsiTheme="minorEastAsia" w:eastAsiaTheme="minorEastAsia"/>
          <w:szCs w:val="21"/>
          <w:highlight w:val="none"/>
        </w:rPr>
        <w:t>其他防治范围的除四害工作</w:t>
      </w:r>
    </w:p>
    <w:p>
      <w:pPr>
        <w:spacing w:line="500" w:lineRule="atLeast"/>
        <w:ind w:firstLine="420" w:firstLineChars="200"/>
        <w:rPr>
          <w:rFonts w:ascii="宋体" w:hAnsi="宋体"/>
          <w:szCs w:val="21"/>
          <w:highlight w:val="none"/>
        </w:rPr>
      </w:pPr>
      <w:r>
        <w:rPr>
          <w:rFonts w:hint="eastAsia" w:ascii="宋体" w:hAnsi="宋体"/>
          <w:szCs w:val="21"/>
          <w:highlight w:val="none"/>
        </w:rPr>
        <w:t>灭前对四害的种类、数量、危害和栖居场所进行调查，根据季节制定不同的防治方案，采取药物、笼、夹、粘捕等药物和工具轮番交替使用，每月</w:t>
      </w:r>
      <w:r>
        <w:rPr>
          <w:rFonts w:hint="eastAsia" w:cs="宋体" w:asciiTheme="minorEastAsia" w:hAnsiTheme="minorEastAsia" w:eastAsiaTheme="minorEastAsia"/>
          <w:szCs w:val="21"/>
          <w:highlight w:val="none"/>
        </w:rPr>
        <w:t>不少于3次</w:t>
      </w:r>
      <w:r>
        <w:rPr>
          <w:rFonts w:hint="eastAsia" w:ascii="宋体" w:hAnsi="宋体"/>
          <w:szCs w:val="21"/>
          <w:highlight w:val="none"/>
        </w:rPr>
        <w:t>检查和防治，使四害的密度有效地控制在标准之内。</w:t>
      </w:r>
    </w:p>
    <w:p>
      <w:pPr>
        <w:spacing w:line="500" w:lineRule="atLeast"/>
        <w:ind w:left="-481" w:leftChars="-229" w:firstLine="316" w:firstLineChars="150"/>
        <w:rPr>
          <w:rFonts w:ascii="宋体" w:hAnsi="宋体"/>
          <w:b/>
          <w:szCs w:val="21"/>
          <w:highlight w:val="none"/>
        </w:rPr>
      </w:pPr>
      <w:r>
        <w:rPr>
          <w:rFonts w:hint="eastAsia" w:ascii="宋体" w:hAnsi="宋体"/>
          <w:b/>
          <w:szCs w:val="21"/>
          <w:highlight w:val="none"/>
        </w:rPr>
        <w:t>三</w:t>
      </w:r>
      <w:r>
        <w:rPr>
          <w:rFonts w:ascii="宋体" w:hAnsi="宋体"/>
          <w:b/>
          <w:szCs w:val="21"/>
          <w:highlight w:val="none"/>
        </w:rPr>
        <w:t>、</w:t>
      </w:r>
      <w:r>
        <w:rPr>
          <w:rFonts w:hint="eastAsia" w:ascii="宋体" w:hAnsi="宋体"/>
          <w:b/>
          <w:szCs w:val="21"/>
          <w:highlight w:val="none"/>
        </w:rPr>
        <w:t>防治对象</w:t>
      </w:r>
    </w:p>
    <w:p>
      <w:pPr>
        <w:spacing w:line="500" w:lineRule="atLeast"/>
        <w:ind w:firstLine="420" w:firstLineChars="200"/>
        <w:rPr>
          <w:rFonts w:ascii="宋体" w:hAnsi="宋体"/>
          <w:szCs w:val="21"/>
          <w:highlight w:val="none"/>
        </w:rPr>
      </w:pPr>
      <w:r>
        <w:rPr>
          <w:rFonts w:hint="eastAsia" w:ascii="宋体" w:hAnsi="宋体"/>
          <w:szCs w:val="21"/>
          <w:highlight w:val="none"/>
        </w:rPr>
        <w:t>本项目“除四害”防治对象为老鼠、蟑螂、苍蝇、蚊子。</w:t>
      </w:r>
    </w:p>
    <w:p>
      <w:pPr>
        <w:spacing w:line="500" w:lineRule="atLeast"/>
        <w:ind w:left="-481" w:leftChars="-229" w:firstLine="316" w:firstLineChars="150"/>
        <w:rPr>
          <w:rFonts w:ascii="宋体" w:hAnsi="宋体"/>
          <w:b/>
          <w:szCs w:val="21"/>
          <w:highlight w:val="none"/>
        </w:rPr>
      </w:pPr>
      <w:r>
        <w:rPr>
          <w:rFonts w:hint="eastAsia" w:ascii="宋体" w:hAnsi="宋体"/>
          <w:b/>
          <w:szCs w:val="21"/>
          <w:highlight w:val="none"/>
        </w:rPr>
        <w:t>四</w:t>
      </w:r>
      <w:r>
        <w:rPr>
          <w:rFonts w:ascii="宋体" w:hAnsi="宋体"/>
          <w:b/>
          <w:szCs w:val="21"/>
          <w:highlight w:val="none"/>
        </w:rPr>
        <w:t>、</w:t>
      </w:r>
      <w:r>
        <w:rPr>
          <w:rFonts w:hint="eastAsia" w:ascii="宋体" w:hAnsi="宋体"/>
          <w:b/>
          <w:szCs w:val="21"/>
          <w:highlight w:val="none"/>
        </w:rPr>
        <w:t>服务</w:t>
      </w:r>
      <w:r>
        <w:rPr>
          <w:rFonts w:ascii="宋体" w:hAnsi="宋体"/>
          <w:b/>
          <w:szCs w:val="21"/>
          <w:highlight w:val="none"/>
        </w:rPr>
        <w:t>期限</w:t>
      </w:r>
    </w:p>
    <w:p>
      <w:pPr>
        <w:spacing w:line="500" w:lineRule="atLeast"/>
        <w:ind w:firstLine="420" w:firstLineChars="200"/>
        <w:rPr>
          <w:rFonts w:ascii="宋体" w:hAnsi="宋体"/>
          <w:bCs/>
          <w:szCs w:val="21"/>
          <w:highlight w:val="none"/>
        </w:rPr>
      </w:pPr>
      <w:r>
        <w:rPr>
          <w:rFonts w:hint="eastAsia" w:cs="宋体" w:asciiTheme="minorEastAsia" w:hAnsiTheme="minorEastAsia" w:eastAsiaTheme="minorEastAsia"/>
          <w:bCs/>
          <w:szCs w:val="21"/>
          <w:highlight w:val="none"/>
        </w:rPr>
        <w:t>本项目一招暂定三年，合同一年一签，采购人根据成交供应商在上一阶段合同履约、考核情况及财政资金审批等情况决定是否续签下一年度合同</w:t>
      </w:r>
      <w:r>
        <w:rPr>
          <w:rFonts w:hint="eastAsia" w:ascii="宋体" w:hAnsi="宋体"/>
          <w:bCs/>
          <w:szCs w:val="21"/>
          <w:highlight w:val="none"/>
        </w:rPr>
        <w:t>。</w:t>
      </w:r>
    </w:p>
    <w:p>
      <w:pPr>
        <w:spacing w:line="500" w:lineRule="atLeast"/>
        <w:ind w:firstLine="420" w:firstLineChars="200"/>
        <w:rPr>
          <w:rFonts w:ascii="宋体" w:hAnsi="宋体"/>
          <w:szCs w:val="21"/>
          <w:highlight w:val="none"/>
        </w:rPr>
      </w:pPr>
      <w:r>
        <w:rPr>
          <w:rFonts w:hint="eastAsia" w:ascii="宋体" w:hAnsi="宋体"/>
          <w:szCs w:val="21"/>
          <w:highlight w:val="none"/>
        </w:rPr>
        <w:t xml:space="preserve">本合同服务期限自 </w:t>
      </w:r>
      <w:r>
        <w:rPr>
          <w:rFonts w:hint="eastAsia" w:ascii="宋体" w:hAnsi="宋体"/>
          <w:b/>
          <w:szCs w:val="21"/>
          <w:highlight w:val="none"/>
        </w:rPr>
        <w:t>20</w:t>
      </w:r>
      <w:r>
        <w:rPr>
          <w:rFonts w:ascii="宋体" w:hAnsi="宋体"/>
          <w:b/>
          <w:szCs w:val="21"/>
          <w:highlight w:val="none"/>
        </w:rPr>
        <w:t>24</w:t>
      </w:r>
      <w:r>
        <w:rPr>
          <w:rFonts w:hint="eastAsia" w:ascii="宋体" w:hAnsi="宋体"/>
          <w:b/>
          <w:szCs w:val="21"/>
          <w:highlight w:val="none"/>
        </w:rPr>
        <w:t>年   月   日起至年   月   日止</w:t>
      </w:r>
      <w:r>
        <w:rPr>
          <w:rFonts w:hint="eastAsia" w:ascii="宋体" w:hAnsi="宋体"/>
          <w:szCs w:val="21"/>
          <w:highlight w:val="none"/>
        </w:rPr>
        <w:t>。</w:t>
      </w:r>
    </w:p>
    <w:p>
      <w:pPr>
        <w:spacing w:line="500" w:lineRule="atLeast"/>
        <w:ind w:left="-481" w:leftChars="-229" w:firstLine="316" w:firstLineChars="150"/>
        <w:rPr>
          <w:rFonts w:ascii="宋体" w:hAnsi="宋体"/>
          <w:b/>
          <w:szCs w:val="21"/>
          <w:highlight w:val="none"/>
        </w:rPr>
      </w:pPr>
      <w:r>
        <w:rPr>
          <w:rFonts w:hint="eastAsia" w:ascii="宋体" w:hAnsi="宋体"/>
          <w:b/>
          <w:szCs w:val="21"/>
          <w:highlight w:val="none"/>
        </w:rPr>
        <w:t>五、</w:t>
      </w:r>
      <w:r>
        <w:rPr>
          <w:rFonts w:hint="eastAsia" w:ascii="宋体" w:hAnsi="宋体"/>
          <w:b/>
          <w:szCs w:val="21"/>
          <w:highlight w:val="none"/>
        </w:rPr>
        <w:tab/>
      </w:r>
      <w:r>
        <w:rPr>
          <w:rFonts w:hint="eastAsia" w:ascii="宋体" w:hAnsi="宋体"/>
          <w:b/>
          <w:szCs w:val="21"/>
          <w:highlight w:val="none"/>
        </w:rPr>
        <w:t>防治范围</w:t>
      </w:r>
    </w:p>
    <w:p>
      <w:pPr>
        <w:spacing w:line="500" w:lineRule="atLeast"/>
        <w:ind w:firstLine="420" w:firstLineChars="200"/>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按《宁波市爱国卫生条例》、《宁波市除四害工作管理规定》标准做好辖区（包含蓝湾、江南景苑、东海府、涨馨苑、悦湾、雍景湾、珑耀华庭、瑞臻华庭、皇冠花园一、二、三期、藏珑、80墅、科技广场、研发园单身公寓、华苑银座、凌云公寓、东晟府、五和苑、齐和家园、庄和家园、深蓝公寓（公寓楼四幢）、新材料国际创新中心、君晟华庭、锦尚雅苑、扬帆广场、宝龙、迪信通、印创广场、明月时光中心小区公共绿地、下水道窨井、楼道、垃圾箱、公厕等处，及扬帆广场五小店面、街道办事处、菁华垃圾中转站及以上辖区内现有居住小区的外环境公共绿地、下水道窨井、楼道、垃圾箱、公厕、五小店面等处）的病媒生物防治工作。</w:t>
      </w:r>
    </w:p>
    <w:p>
      <w:pPr>
        <w:spacing w:line="500" w:lineRule="atLeast"/>
        <w:rPr>
          <w:rFonts w:ascii="宋体" w:hAnsi="宋体"/>
          <w:b/>
          <w:bCs/>
          <w:szCs w:val="21"/>
          <w:highlight w:val="none"/>
        </w:rPr>
      </w:pPr>
      <w:r>
        <w:rPr>
          <w:rFonts w:hint="eastAsia" w:ascii="宋体" w:hAnsi="宋体"/>
          <w:b/>
          <w:bCs/>
          <w:szCs w:val="21"/>
          <w:highlight w:val="none"/>
        </w:rPr>
        <w:t>六、服务费用及付款方式</w:t>
      </w:r>
    </w:p>
    <w:p>
      <w:pPr>
        <w:spacing w:line="500" w:lineRule="atLeast"/>
        <w:ind w:firstLine="422" w:firstLineChars="200"/>
        <w:rPr>
          <w:rFonts w:ascii="宋体" w:hAnsi="宋体"/>
          <w:b/>
          <w:szCs w:val="21"/>
          <w:highlight w:val="none"/>
        </w:rPr>
      </w:pPr>
      <w:r>
        <w:rPr>
          <w:rFonts w:hint="eastAsia" w:ascii="宋体" w:hAnsi="宋体"/>
          <w:b/>
          <w:szCs w:val="21"/>
          <w:highlight w:val="none"/>
        </w:rPr>
        <w:t>本项目单个年度除四害防治服务</w:t>
      </w:r>
      <w:r>
        <w:rPr>
          <w:rFonts w:ascii="宋体" w:hAnsi="宋体"/>
          <w:b/>
          <w:szCs w:val="21"/>
          <w:highlight w:val="none"/>
        </w:rPr>
        <w:t>费用为</w:t>
      </w:r>
      <w:r>
        <w:rPr>
          <w:rFonts w:hint="eastAsia" w:ascii="宋体" w:hAnsi="宋体"/>
          <w:b/>
          <w:szCs w:val="21"/>
          <w:highlight w:val="none"/>
        </w:rPr>
        <w:t>：</w:t>
      </w:r>
      <w:r>
        <w:rPr>
          <w:rFonts w:hint="eastAsia" w:ascii="宋体" w:hAnsi="宋体"/>
          <w:b/>
          <w:szCs w:val="21"/>
          <w:highlight w:val="none"/>
          <w:u w:val="single"/>
        </w:rPr>
        <w:t xml:space="preserve">     </w:t>
      </w:r>
      <w:r>
        <w:rPr>
          <w:rFonts w:hint="eastAsia" w:ascii="宋体" w:hAnsi="宋体"/>
          <w:b/>
          <w:szCs w:val="21"/>
          <w:highlight w:val="none"/>
        </w:rPr>
        <w:t>元，三年度除四害防治服务费合计为：</w:t>
      </w:r>
      <w:r>
        <w:rPr>
          <w:rFonts w:hint="eastAsia" w:ascii="宋体" w:hAnsi="宋体"/>
          <w:b/>
          <w:szCs w:val="21"/>
          <w:highlight w:val="none"/>
          <w:u w:val="single"/>
        </w:rPr>
        <w:t xml:space="preserve">     </w:t>
      </w:r>
      <w:r>
        <w:rPr>
          <w:rFonts w:hint="eastAsia" w:ascii="宋体" w:hAnsi="宋体"/>
          <w:b/>
          <w:szCs w:val="21"/>
          <w:highlight w:val="none"/>
        </w:rPr>
        <w:t>元。</w:t>
      </w:r>
    </w:p>
    <w:p>
      <w:pPr>
        <w:spacing w:line="500" w:lineRule="atLeast"/>
        <w:ind w:firstLine="420" w:firstLineChars="200"/>
        <w:rPr>
          <w:rFonts w:ascii="宋体" w:hAnsi="宋体"/>
          <w:szCs w:val="21"/>
          <w:highlight w:val="none"/>
        </w:rPr>
      </w:pPr>
      <w:r>
        <w:rPr>
          <w:rFonts w:hint="eastAsia" w:ascii="宋体" w:hAnsi="宋体"/>
          <w:szCs w:val="21"/>
          <w:highlight w:val="none"/>
        </w:rPr>
        <w:t>本项目的合同总价包含完成年度除四害防治服务所需的全部费用，应包含但不限于服务人员工资[包括人员基本工资、节假日加班工资、奖金、各类福利补贴(如高温补贴、加班补贴、夜班补贴、危险作业补贴等)、国家规定的社保(五险一金等)、人身意外伤害险、辞退补偿费用、日常加班费用等]；工作服、设备及作业工具费、消杀药剂费、防疫费、交通费及住宿费、健康体检费、保险费、管理费、人员培训费、税金(含增值税等一切税费)、利润、风险费等所有费用。</w:t>
      </w:r>
    </w:p>
    <w:p>
      <w:pPr>
        <w:spacing w:line="400" w:lineRule="exact"/>
        <w:ind w:firstLine="420" w:firstLineChars="200"/>
        <w:rPr>
          <w:rFonts w:ascii="宋体" w:hAnsi="宋体"/>
          <w:szCs w:val="21"/>
          <w:highlight w:val="none"/>
        </w:rPr>
      </w:pPr>
      <w:r>
        <w:rPr>
          <w:rFonts w:hint="eastAsia" w:ascii="宋体" w:hAnsi="宋体"/>
          <w:szCs w:val="21"/>
          <w:highlight w:val="none"/>
        </w:rPr>
        <w:t>付款：</w:t>
      </w:r>
    </w:p>
    <w:p>
      <w:pPr>
        <w:spacing w:line="400" w:lineRule="exact"/>
        <w:ind w:firstLine="420" w:firstLineChars="200"/>
        <w:rPr>
          <w:rFonts w:cs="宋体" w:asciiTheme="minorEastAsia" w:hAnsiTheme="minorEastAsia" w:eastAsiaTheme="minorEastAsia"/>
          <w:szCs w:val="21"/>
          <w:highlight w:val="none"/>
        </w:rPr>
      </w:pPr>
      <w:r>
        <w:rPr>
          <w:rFonts w:hint="eastAsia" w:ascii="宋体" w:hAnsi="宋体"/>
          <w:szCs w:val="21"/>
          <w:highlight w:val="none"/>
        </w:rPr>
        <w:t>（</w:t>
      </w:r>
      <w:r>
        <w:rPr>
          <w:rFonts w:hint="eastAsia" w:cs="宋体" w:asciiTheme="minorEastAsia" w:hAnsiTheme="minorEastAsia" w:eastAsiaTheme="minorEastAsia"/>
          <w:szCs w:val="21"/>
          <w:highlight w:val="none"/>
        </w:rPr>
        <w:t>1</w:t>
      </w:r>
      <w:r>
        <w:rPr>
          <w:rFonts w:hint="eastAsia" w:ascii="宋体" w:hAnsi="宋体"/>
          <w:szCs w:val="21"/>
          <w:highlight w:val="none"/>
        </w:rPr>
        <w:t>）</w:t>
      </w:r>
      <w:r>
        <w:rPr>
          <w:rFonts w:hint="eastAsia" w:cs="宋体" w:asciiTheme="minorEastAsia" w:hAnsiTheme="minorEastAsia" w:eastAsiaTheme="minorEastAsia"/>
          <w:szCs w:val="21"/>
          <w:highlight w:val="none"/>
        </w:rPr>
        <w:t>在合同生效以及具备实施条件后7个工作日内，采购人向中标人支付当年度签约合同价的30%作为预付款；</w:t>
      </w:r>
    </w:p>
    <w:p>
      <w:pPr>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（2）合同履行满半年后，采购人在7个工作日内向中标人支付当年度签约合同价的</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0%；</w:t>
      </w:r>
    </w:p>
    <w:p>
      <w:pPr>
        <w:spacing w:line="500" w:lineRule="atLeast"/>
        <w:ind w:firstLine="420" w:firstLineChars="200"/>
        <w:rPr>
          <w:rFonts w:ascii="宋体" w:hAnsi="宋体"/>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）年度合同履行完毕后，采购人在7个工作日内向中标人付清当年度剩余合同款项。</w:t>
      </w:r>
      <w:r>
        <w:rPr>
          <w:rFonts w:ascii="宋体" w:hAnsi="宋体"/>
          <w:szCs w:val="21"/>
          <w:highlight w:val="none"/>
        </w:rPr>
        <w:t xml:space="preserve"> </w:t>
      </w:r>
    </w:p>
    <w:p>
      <w:pPr>
        <w:spacing w:line="500" w:lineRule="atLeast"/>
        <w:ind w:firstLine="420" w:firstLineChars="200"/>
        <w:rPr>
          <w:rFonts w:ascii="宋体" w:hAnsi="宋体"/>
          <w:szCs w:val="21"/>
          <w:highlight w:val="none"/>
        </w:rPr>
      </w:pPr>
      <w:r>
        <w:rPr>
          <w:rFonts w:hint="eastAsia" w:ascii="宋体" w:hAnsi="宋体"/>
          <w:szCs w:val="21"/>
          <w:highlight w:val="none"/>
        </w:rPr>
        <w:t>合同履行期间，合同价不因市场因素和政策的变动而调整，但若防治范围调整，则按调整后的面积计算。</w:t>
      </w:r>
    </w:p>
    <w:p>
      <w:pPr>
        <w:tabs>
          <w:tab w:val="left" w:pos="960"/>
        </w:tabs>
        <w:spacing w:line="500" w:lineRule="atLeast"/>
        <w:rPr>
          <w:rFonts w:ascii="宋体" w:hAnsi="宋体"/>
          <w:b/>
          <w:szCs w:val="21"/>
          <w:highlight w:val="none"/>
        </w:rPr>
      </w:pPr>
      <w:r>
        <w:rPr>
          <w:rFonts w:hint="eastAsia" w:ascii="宋体" w:hAnsi="宋体"/>
          <w:b/>
          <w:szCs w:val="21"/>
          <w:highlight w:val="none"/>
        </w:rPr>
        <w:t>七</w:t>
      </w:r>
      <w:r>
        <w:rPr>
          <w:rFonts w:ascii="宋体" w:hAnsi="宋体"/>
          <w:b/>
          <w:szCs w:val="21"/>
          <w:highlight w:val="none"/>
        </w:rPr>
        <w:t>、</w:t>
      </w:r>
      <w:r>
        <w:rPr>
          <w:rFonts w:hint="eastAsia" w:ascii="宋体" w:hAnsi="宋体"/>
          <w:b/>
          <w:szCs w:val="21"/>
          <w:highlight w:val="none"/>
        </w:rPr>
        <w:t>服务标准</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1、严格执行</w:t>
      </w:r>
      <w:r>
        <w:rPr>
          <w:rFonts w:hint="eastAsia"/>
          <w:szCs w:val="21"/>
          <w:highlight w:val="none"/>
        </w:rPr>
        <w:t>《宁波市爱国卫生条例》、</w:t>
      </w:r>
      <w:r>
        <w:rPr>
          <w:rFonts w:hint="eastAsia" w:asciiTheme="minorEastAsia" w:hAnsiTheme="minorEastAsia" w:eastAsiaTheme="minorEastAsia"/>
          <w:szCs w:val="21"/>
          <w:highlight w:val="none"/>
        </w:rPr>
        <w:t>《宁波市除四害工作管理规定》标准和除四害实施方案、技术方案，</w:t>
      </w:r>
      <w:r>
        <w:rPr>
          <w:rFonts w:asciiTheme="minorEastAsia" w:hAnsiTheme="minorEastAsia" w:eastAsiaTheme="minorEastAsia"/>
          <w:szCs w:val="21"/>
          <w:highlight w:val="none"/>
        </w:rPr>
        <w:t>本项目要求</w:t>
      </w:r>
      <w:r>
        <w:rPr>
          <w:rFonts w:hint="eastAsia" w:asciiTheme="minorEastAsia" w:hAnsiTheme="minorEastAsia" w:eastAsiaTheme="minorEastAsia"/>
          <w:szCs w:val="21"/>
          <w:highlight w:val="none"/>
        </w:rPr>
        <w:t>防治对象密度达到国家考核标准。</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2、中标人需确保采购人在国家卫生镇创建暗访、检查及接受上级有关部门考核、检查期间消杀范围内的“四害”密度达到国家考核标准。</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、各级爱卫办、疾病预防控制机构等检查部门对本项目消杀范围内的消杀情况进行考核、检测时需达到合格要求。</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、日常时期灭蚊、蝇、鼠、蟑标准</w:t>
      </w:r>
      <w:r>
        <w:rPr>
          <w:rFonts w:asciiTheme="minorEastAsia" w:hAnsiTheme="minorEastAsia" w:eastAsiaTheme="minorEastAsia"/>
          <w:szCs w:val="21"/>
          <w:highlight w:val="none"/>
        </w:rPr>
        <w:t>应</w:t>
      </w:r>
      <w:r>
        <w:rPr>
          <w:rFonts w:hint="eastAsia" w:asciiTheme="minorEastAsia" w:hAnsiTheme="minorEastAsia" w:eastAsiaTheme="minorEastAsia"/>
          <w:szCs w:val="21"/>
          <w:highlight w:val="none"/>
        </w:rPr>
        <w:t>达到</w:t>
      </w:r>
      <w:r>
        <w:rPr>
          <w:rFonts w:asciiTheme="minorEastAsia" w:hAnsiTheme="minorEastAsia" w:eastAsiaTheme="minorEastAsia"/>
          <w:szCs w:val="21"/>
          <w:highlight w:val="none"/>
        </w:rPr>
        <w:t>：</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灭蚊标准：居民住宅、单位内外环境各种积水容器和积水中，蚊幼及蛹的阳性率不超过3%；用500毫升采集供应试点区域内大中型水体中的蚊幼或蛹阳性率不超过3%,阳性勺内蚊幼或蛹的平均数不超过5只；特殊场所白天人诱蚊半小时诱获成蚊不超过1只。</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灭蝇标准：重点单位有蝇房间不超过1%，其他单位不超过3%，平均每阳性房间不超过3只；重点单位防蝇设施不合格房不超过5%；加工、销售直接入口食品的场所不得有蝇；蝇类孳生地得到有效治理，幼虫和蛹的检出率不超过3%。</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灭鼠标准：有鼠洞、鼠类、鼠咬痕等鼠迹房间不超过2%；重点单位防鼠设施不合格处不超过5%；不同类型的外环境累计2000平方米，鼠迹不超过5处；在不同环境布200块有效粉块，粉剂法鼠密度不超过5%。</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灭蟑标准：室内有蟑螂成虫或若虫阳性房间不超过3%，平均每间大蠊不超过5只，小蠊不超过10只；有活蟑螂卵鞘房间不超过2%，平均每间房不超过4只；有蟑螂、蜕皮等蟑迹的房间不超过5%。</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、开展四害密度监测和督查</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应建立健全四害密度监测和督查制度，定期派出督查部人员随机抽查服务范围内的四害密度情況，积极排查寻找四害消杀的育点和空白点。向摊位业主、五小单位业主、居民等询问调查除四害工作中存在的问题，及时整改到位。采购人将不定期对投标人制度的落实情况进行抽样检查。</w:t>
      </w:r>
    </w:p>
    <w:p>
      <w:pPr>
        <w:tabs>
          <w:tab w:val="left" w:pos="960"/>
        </w:tabs>
        <w:spacing w:line="500" w:lineRule="atLeast"/>
        <w:rPr>
          <w:rFonts w:ascii="宋体" w:hAnsi="宋体"/>
          <w:b/>
          <w:szCs w:val="21"/>
          <w:highlight w:val="none"/>
        </w:rPr>
      </w:pPr>
      <w:r>
        <w:rPr>
          <w:rFonts w:hint="eastAsia" w:ascii="宋体" w:hAnsi="宋体"/>
          <w:b/>
          <w:szCs w:val="21"/>
          <w:highlight w:val="none"/>
        </w:rPr>
        <w:t>八</w:t>
      </w:r>
      <w:r>
        <w:rPr>
          <w:rFonts w:ascii="宋体" w:hAnsi="宋体"/>
          <w:b/>
          <w:szCs w:val="21"/>
          <w:highlight w:val="none"/>
        </w:rPr>
        <w:t>、</w:t>
      </w:r>
      <w:r>
        <w:rPr>
          <w:rFonts w:hint="eastAsia" w:ascii="宋体" w:hAnsi="宋体"/>
          <w:b/>
          <w:szCs w:val="21"/>
          <w:highlight w:val="none"/>
        </w:rPr>
        <w:t>其他要求</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.所服务的项目应有现场密度监测记录。承包期内应</w:t>
      </w:r>
      <w:r>
        <w:rPr>
          <w:rFonts w:asciiTheme="minorEastAsia" w:hAnsiTheme="minorEastAsia" w:eastAsiaTheme="minorEastAsia"/>
          <w:szCs w:val="21"/>
          <w:highlight w:val="none"/>
        </w:rPr>
        <w:t>建立包括但不限于</w:t>
      </w:r>
      <w:r>
        <w:rPr>
          <w:rFonts w:hint="eastAsia" w:asciiTheme="minorEastAsia" w:hAnsiTheme="minorEastAsia" w:eastAsiaTheme="minorEastAsia"/>
          <w:szCs w:val="21"/>
          <w:highlight w:val="none"/>
        </w:rPr>
        <w:t>现场密度监测记录、</w:t>
      </w:r>
      <w:r>
        <w:rPr>
          <w:rFonts w:asciiTheme="minorEastAsia" w:hAnsiTheme="minorEastAsia" w:eastAsiaTheme="minorEastAsia"/>
          <w:szCs w:val="21"/>
          <w:highlight w:val="none"/>
        </w:rPr>
        <w:t>药品投放、器械投放等台账</w:t>
      </w:r>
      <w:r>
        <w:rPr>
          <w:rFonts w:hint="eastAsia" w:asciiTheme="minorEastAsia" w:hAnsiTheme="minorEastAsia" w:eastAsiaTheme="minorEastAsia"/>
          <w:szCs w:val="21"/>
          <w:highlight w:val="none"/>
        </w:rPr>
        <w:t>；每季度要有监测资料备案，并有留底备查。</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.组建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 xml:space="preserve"> 名人员组成本项目服务团队，其中项目负责人1名（姓名/联系方式）并具有</w:t>
      </w:r>
      <w:r>
        <w:rPr>
          <w:rFonts w:hint="eastAsia" w:ascii="宋体" w:hAnsi="宋体" w:cs="宋体"/>
          <w:szCs w:val="21"/>
          <w:highlight w:val="none"/>
        </w:rPr>
        <w:t>有害生物防制员职业资格证书；其他团队成员</w:t>
      </w:r>
      <w:r>
        <w:rPr>
          <w:rFonts w:hint="eastAsia" w:asciiTheme="minorEastAsia" w:hAnsiTheme="minorEastAsia" w:eastAsiaTheme="minorEastAsia"/>
          <w:szCs w:val="21"/>
          <w:highlight w:val="none"/>
        </w:rPr>
        <w:t>共</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名，其中</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名人员担任常规消杀工作并具有</w:t>
      </w:r>
      <w:r>
        <w:rPr>
          <w:rFonts w:hint="eastAsia" w:ascii="宋体" w:hAnsi="宋体" w:cs="宋体"/>
          <w:szCs w:val="21"/>
          <w:highlight w:val="none"/>
        </w:rPr>
        <w:t>有害生物防制员职业资格证书</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名应急队员担任应急处置及迎检消杀任务并具有</w:t>
      </w:r>
      <w:r>
        <w:rPr>
          <w:rFonts w:hint="eastAsia" w:ascii="宋体" w:hAnsi="宋体" w:cs="宋体"/>
          <w:szCs w:val="21"/>
          <w:highlight w:val="none"/>
        </w:rPr>
        <w:t>有害生物防制员职业资格证书</w:t>
      </w:r>
      <w:r>
        <w:rPr>
          <w:rFonts w:hint="eastAsia" w:asciiTheme="minorEastAsia" w:hAnsiTheme="minorEastAsia" w:eastAsiaTheme="minorEastAsia"/>
          <w:szCs w:val="21"/>
          <w:highlight w:val="none"/>
        </w:rPr>
        <w:t>。消杀时应文明作业，并填写除四害服务卡作为当次服务的凭据，统一佩戴上岗证。</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.指导社区、</w:t>
      </w:r>
      <w:r>
        <w:rPr>
          <w:rFonts w:asciiTheme="minorEastAsia" w:hAnsiTheme="minorEastAsia" w:eastAsiaTheme="minorEastAsia"/>
          <w:szCs w:val="21"/>
          <w:highlight w:val="none"/>
        </w:rPr>
        <w:t>居民</w:t>
      </w:r>
      <w:r>
        <w:rPr>
          <w:rFonts w:hint="eastAsia" w:asciiTheme="minorEastAsia" w:hAnsiTheme="minorEastAsia" w:eastAsiaTheme="minorEastAsia"/>
          <w:szCs w:val="21"/>
          <w:highlight w:val="none"/>
        </w:rPr>
        <w:t>及“五小”行业防鼠、防蚊蝇设施的建设安装和做好日常的除四害巩固工作。</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.所使用的除四害药物符合国家规定或使用全国爱卫会除四害专家委员会推荐和认定的药物（消杀药品三证、实物样品提供给采购人，必要时留底备查），严禁生产、销售和使用国家禁止的灭鼠药物和杀虫剂。</w:t>
      </w:r>
    </w:p>
    <w:p>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.成交供应商不得转包、分包，若经采购人发现，采购人可终止合同，由此产生的一切经济、法律责任均由成交供应商承担。</w:t>
      </w:r>
    </w:p>
    <w:p>
      <w:pPr>
        <w:spacing w:line="500" w:lineRule="exact"/>
        <w:rPr>
          <w:rFonts w:ascii="宋体" w:hAnsi="宋体"/>
          <w:b/>
          <w:szCs w:val="21"/>
          <w:highlight w:val="none"/>
        </w:rPr>
      </w:pPr>
      <w:r>
        <w:rPr>
          <w:rFonts w:hint="eastAsia" w:ascii="宋体" w:hAnsi="宋体"/>
          <w:b/>
          <w:szCs w:val="21"/>
          <w:highlight w:val="none"/>
        </w:rPr>
        <w:t>九、考核要求</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每月对消杀月报进行抽查，如抽查发现存在造假或与事实不符的情况每处扣500元；单个年度合同期内出现上级有关部门考核、检查期间消杀范围内的“四害”密度未达到国家考核标准及以上要求的，扣除中标人</w:t>
      </w:r>
      <w:r>
        <w:rPr>
          <w:rFonts w:hint="eastAsia" w:asciiTheme="minorEastAsia" w:hAnsiTheme="minorEastAsia" w:eastAsiaTheme="minorEastAsia"/>
          <w:szCs w:val="21"/>
          <w:highlight w:val="none"/>
          <w:lang w:eastAsia="zh"/>
        </w:rPr>
        <w:t>5000</w:t>
      </w:r>
      <w:r>
        <w:rPr>
          <w:rFonts w:hint="eastAsia" w:asciiTheme="minorEastAsia" w:hAnsiTheme="minorEastAsia" w:eastAsiaTheme="minorEastAsia"/>
          <w:szCs w:val="21"/>
          <w:highlight w:val="none"/>
        </w:rPr>
        <w:t>元/次的服务质量违约金，采购人提出整改，并督促整改完成；单个年度内出现二次未达到国家考核标准及以上要求的，采购人有权终止合同。合同履行满三个月后，本项目消杀范围内的“四害”密度未达到国家考核标准的扣</w:t>
      </w:r>
      <w:r>
        <w:rPr>
          <w:rFonts w:hint="eastAsia" w:asciiTheme="minorEastAsia" w:hAnsiTheme="minorEastAsia" w:eastAsiaTheme="minorEastAsia"/>
          <w:szCs w:val="21"/>
          <w:highlight w:val="none"/>
          <w:lang w:eastAsia="zh"/>
        </w:rPr>
        <w:t>10000</w:t>
      </w:r>
      <w:r>
        <w:rPr>
          <w:rFonts w:hint="eastAsia" w:asciiTheme="minorEastAsia" w:hAnsiTheme="minorEastAsia" w:eastAsiaTheme="minorEastAsia"/>
          <w:szCs w:val="21"/>
          <w:highlight w:val="none"/>
        </w:rPr>
        <w:t>元人民币，并整改直至达到标准，否则采购人有权终止合同。</w:t>
      </w:r>
    </w:p>
    <w:p>
      <w:pPr>
        <w:spacing w:line="500" w:lineRule="exact"/>
        <w:rPr>
          <w:rFonts w:ascii="宋体" w:hAnsi="宋体"/>
          <w:b/>
          <w:szCs w:val="21"/>
          <w:highlight w:val="none"/>
        </w:rPr>
      </w:pPr>
      <w:r>
        <w:rPr>
          <w:rFonts w:hint="eastAsia" w:ascii="宋体" w:hAnsi="宋体"/>
          <w:b/>
          <w:szCs w:val="21"/>
          <w:highlight w:val="none"/>
        </w:rPr>
        <w:t>十、安全作业：</w:t>
      </w:r>
    </w:p>
    <w:p>
      <w:pPr>
        <w:snapToGrid w:val="0"/>
        <w:spacing w:line="360" w:lineRule="auto"/>
        <w:rPr>
          <w:rFonts w:ascii="宋体" w:hAnsi="宋体"/>
          <w:szCs w:val="21"/>
          <w:highlight w:val="none"/>
        </w:rPr>
      </w:pPr>
      <w:r>
        <w:rPr>
          <w:rFonts w:hint="eastAsia" w:ascii="宋体" w:hAnsi="宋体"/>
          <w:szCs w:val="21"/>
          <w:highlight w:val="none"/>
        </w:rPr>
        <w:t>乙方必须遵守安全作业、社会治安等有关规定。如发生工伤或安全事故，造成人员伤亡或财产损失等，均由乙方自行承担一切经济损失或责任，与甲方无任何关系。</w:t>
      </w:r>
    </w:p>
    <w:p>
      <w:pPr>
        <w:snapToGrid w:val="0"/>
        <w:spacing w:line="360" w:lineRule="auto"/>
        <w:rPr>
          <w:b/>
          <w:szCs w:val="21"/>
          <w:highlight w:val="none"/>
        </w:rPr>
      </w:pPr>
      <w:r>
        <w:rPr>
          <w:rFonts w:hint="eastAsia" w:ascii="宋体" w:hAnsi="宋体" w:cs="宋体"/>
          <w:b/>
          <w:szCs w:val="21"/>
          <w:highlight w:val="none"/>
        </w:rPr>
        <w:t>十一、税费</w:t>
      </w:r>
    </w:p>
    <w:p>
      <w:pPr>
        <w:snapToGrid w:val="0"/>
        <w:spacing w:line="360" w:lineRule="auto"/>
        <w:rPr>
          <w:szCs w:val="21"/>
          <w:highlight w:val="none"/>
        </w:rPr>
      </w:pPr>
      <w:r>
        <w:rPr>
          <w:rFonts w:hint="eastAsia" w:ascii="宋体" w:hAnsi="宋体" w:cs="宋体"/>
          <w:szCs w:val="21"/>
          <w:highlight w:val="none"/>
        </w:rPr>
        <w:t>本合同执行中相关的一切税费均由乙方负担。</w:t>
      </w:r>
    </w:p>
    <w:p>
      <w:pPr>
        <w:pStyle w:val="35"/>
        <w:snapToGrid w:val="0"/>
        <w:spacing w:after="120" w:line="360" w:lineRule="auto"/>
        <w:rPr>
          <w:rFonts w:hAnsi="宋体"/>
          <w:b/>
          <w:highlight w:val="none"/>
        </w:rPr>
      </w:pPr>
      <w:r>
        <w:rPr>
          <w:rFonts w:hAnsi="宋体" w:cs="宋体"/>
          <w:b/>
          <w:highlight w:val="none"/>
        </w:rPr>
        <w:t>十</w:t>
      </w:r>
      <w:r>
        <w:rPr>
          <w:rFonts w:hint="eastAsia" w:hAnsi="宋体" w:cs="宋体"/>
          <w:b/>
          <w:highlight w:val="none"/>
        </w:rPr>
        <w:t>二</w:t>
      </w:r>
      <w:r>
        <w:rPr>
          <w:rFonts w:hAnsi="宋体" w:cs="宋体"/>
          <w:b/>
          <w:highlight w:val="none"/>
        </w:rPr>
        <w:t>、不可抗力事件处理</w:t>
      </w:r>
    </w:p>
    <w:p>
      <w:pPr>
        <w:spacing w:line="360" w:lineRule="auto"/>
        <w:rPr>
          <w:rFonts w:ascii="宋体" w:hAnsi="宋体" w:cs="宋体"/>
          <w:highlight w:val="none"/>
        </w:rPr>
      </w:pPr>
      <w:r>
        <w:rPr>
          <w:rFonts w:ascii="宋体" w:hAnsi="宋体" w:cs="宋体"/>
          <w:highlight w:val="none"/>
        </w:rPr>
        <w:t>1.在合同有效期内，任何一方因不可抗力事件导致不能履行合同，则合同履行期可延长，其延长期与不可抗力影响期相同。</w:t>
      </w:r>
    </w:p>
    <w:p>
      <w:pPr>
        <w:spacing w:line="360" w:lineRule="auto"/>
        <w:rPr>
          <w:rFonts w:ascii="宋体" w:hAnsi="宋体" w:cs="宋体"/>
          <w:highlight w:val="none"/>
        </w:rPr>
      </w:pPr>
      <w:r>
        <w:rPr>
          <w:rFonts w:ascii="宋体" w:hAnsi="宋体" w:cs="宋体"/>
          <w:highlight w:val="none"/>
        </w:rPr>
        <w:t>2.不可抗力事件发生后，应立即通知对方，并寄送有关权威机构出具的证明。</w:t>
      </w:r>
    </w:p>
    <w:p>
      <w:pPr>
        <w:spacing w:line="360" w:lineRule="auto"/>
        <w:rPr>
          <w:rFonts w:ascii="宋体" w:hAnsi="宋体" w:cs="宋体"/>
          <w:highlight w:val="none"/>
        </w:rPr>
      </w:pPr>
      <w:r>
        <w:rPr>
          <w:rFonts w:ascii="宋体" w:hAnsi="宋体" w:cs="宋体"/>
          <w:highlight w:val="none"/>
        </w:rPr>
        <w:t>3.不可抗力事件延续120天以上，双方应通过友好协商，确定是否继续履行合同。</w:t>
      </w:r>
    </w:p>
    <w:p>
      <w:pPr>
        <w:spacing w:line="360" w:lineRule="auto"/>
        <w:rPr>
          <w:b/>
          <w:szCs w:val="21"/>
          <w:highlight w:val="none"/>
        </w:rPr>
      </w:pPr>
      <w:r>
        <w:rPr>
          <w:rFonts w:hint="eastAsia" w:ascii="宋体" w:hAnsi="宋体" w:cs="宋体"/>
          <w:b/>
          <w:szCs w:val="21"/>
          <w:highlight w:val="none"/>
        </w:rPr>
        <w:t>十三、争议的解决</w:t>
      </w:r>
    </w:p>
    <w:p>
      <w:pPr>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本合同履行过程中发生的任何争议，双方当事人均可通过和解或者调解解决；不愿和解、调解或者和解、调解不成的，任何一方可向甲方所在地人民法院起诉。</w:t>
      </w:r>
    </w:p>
    <w:p>
      <w:pPr>
        <w:spacing w:line="360" w:lineRule="auto"/>
        <w:rPr>
          <w:b/>
          <w:szCs w:val="21"/>
          <w:highlight w:val="none"/>
        </w:rPr>
      </w:pPr>
      <w:r>
        <w:rPr>
          <w:rFonts w:hint="eastAsia" w:ascii="宋体" w:hAnsi="宋体" w:cs="宋体"/>
          <w:b/>
          <w:szCs w:val="21"/>
          <w:highlight w:val="none"/>
        </w:rPr>
        <w:t>十四、合同的生效及其他</w:t>
      </w:r>
    </w:p>
    <w:p>
      <w:pPr>
        <w:spacing w:line="360" w:lineRule="auto"/>
        <w:rPr>
          <w:szCs w:val="21"/>
          <w:highlight w:val="none"/>
        </w:rPr>
      </w:pPr>
      <w:r>
        <w:rPr>
          <w:rFonts w:hint="eastAsia" w:ascii="宋体" w:hAnsi="宋体" w:cs="宋体"/>
          <w:szCs w:val="21"/>
          <w:highlight w:val="none"/>
        </w:rPr>
        <w:t>1</w:t>
      </w:r>
      <w:r>
        <w:rPr>
          <w:rFonts w:hAnsi="宋体" w:cs="宋体"/>
          <w:szCs w:val="21"/>
          <w:highlight w:val="none"/>
        </w:rPr>
        <w:t>.</w:t>
      </w:r>
      <w:r>
        <w:rPr>
          <w:rFonts w:hint="eastAsia" w:ascii="宋体" w:hAnsi="宋体" w:cs="宋体"/>
          <w:szCs w:val="21"/>
          <w:highlight w:val="none"/>
        </w:rPr>
        <w:t>本合同经甲乙双方法定代表人或其委托人签字并加盖公章后生效。</w:t>
      </w:r>
    </w:p>
    <w:p>
      <w:pPr>
        <w:spacing w:line="360" w:lineRule="auto"/>
        <w:rPr>
          <w:szCs w:val="21"/>
          <w:highlight w:val="none"/>
        </w:rPr>
      </w:pPr>
      <w:r>
        <w:rPr>
          <w:rFonts w:hint="eastAsia" w:ascii="宋体" w:hAnsi="宋体" w:cs="宋体"/>
          <w:szCs w:val="21"/>
          <w:highlight w:val="none"/>
        </w:rPr>
        <w:t>2</w:t>
      </w:r>
      <w:r>
        <w:rPr>
          <w:rFonts w:hAnsi="宋体" w:cs="宋体"/>
          <w:szCs w:val="21"/>
          <w:highlight w:val="none"/>
        </w:rPr>
        <w:t>.</w:t>
      </w:r>
      <w:r>
        <w:rPr>
          <w:rFonts w:hint="eastAsia" w:ascii="宋体" w:hAnsi="宋体" w:cs="宋体"/>
          <w:szCs w:val="21"/>
          <w:highlight w:val="none"/>
        </w:rPr>
        <w:t>本合同一式</w:t>
      </w:r>
      <w:r>
        <w:rPr>
          <w:rFonts w:hint="eastAsia" w:ascii="宋体" w:hAnsi="宋体" w:cs="宋体"/>
          <w:i/>
          <w:szCs w:val="21"/>
          <w:highlight w:val="none"/>
          <w:u w:val="single"/>
        </w:rPr>
        <w:t>肆</w:t>
      </w:r>
      <w:r>
        <w:rPr>
          <w:rFonts w:hint="eastAsia" w:ascii="宋体" w:hAnsi="宋体" w:cs="宋体"/>
          <w:szCs w:val="21"/>
          <w:highlight w:val="none"/>
        </w:rPr>
        <w:t>份，甲乙各执</w:t>
      </w:r>
      <w:r>
        <w:rPr>
          <w:rFonts w:hint="eastAsia" w:ascii="宋体" w:hAnsi="宋体" w:cs="宋体"/>
          <w:i/>
          <w:szCs w:val="21"/>
          <w:highlight w:val="none"/>
          <w:u w:val="single"/>
        </w:rPr>
        <w:t>贰</w:t>
      </w:r>
      <w:r>
        <w:rPr>
          <w:rFonts w:hint="eastAsia" w:ascii="宋体" w:hAnsi="宋体" w:cs="宋体"/>
          <w:szCs w:val="21"/>
          <w:highlight w:val="none"/>
        </w:rPr>
        <w:t>份，具有同等法律效力。</w:t>
      </w:r>
    </w:p>
    <w:p>
      <w:pPr>
        <w:spacing w:line="360" w:lineRule="auto"/>
        <w:rPr>
          <w:szCs w:val="21"/>
          <w:highlight w:val="none"/>
        </w:rPr>
      </w:pPr>
      <w:r>
        <w:rPr>
          <w:rFonts w:hint="eastAsia" w:ascii="宋体" w:hAnsi="宋体" w:cs="宋体"/>
          <w:szCs w:val="21"/>
          <w:highlight w:val="none"/>
        </w:rPr>
        <w:t>3</w:t>
      </w:r>
      <w:r>
        <w:rPr>
          <w:rFonts w:hAnsi="宋体" w:cs="宋体"/>
          <w:szCs w:val="21"/>
          <w:highlight w:val="none"/>
        </w:rPr>
        <w:t>.</w:t>
      </w:r>
      <w:r>
        <w:rPr>
          <w:rFonts w:hint="eastAsia" w:ascii="宋体" w:hAnsi="宋体" w:cs="宋体"/>
          <w:szCs w:val="21"/>
          <w:highlight w:val="none"/>
        </w:rPr>
        <w:t>其他未明事宜由合同双方按照</w:t>
      </w:r>
      <w:r>
        <w:rPr>
          <w:rFonts w:hint="eastAsia" w:ascii="宋体" w:hAnsi="宋体" w:cs="仿宋"/>
          <w:szCs w:val="21"/>
          <w:highlight w:val="none"/>
          <w:lang w:val="zh-CN"/>
        </w:rPr>
        <w:t>《中华人民共和国民法典》等有关法律规定执行</w:t>
      </w:r>
      <w:r>
        <w:rPr>
          <w:rFonts w:hint="eastAsia" w:ascii="宋体" w:hAnsi="宋体" w:cs="宋体"/>
          <w:szCs w:val="21"/>
          <w:highlight w:val="none"/>
        </w:rPr>
        <w:t>。</w:t>
      </w:r>
    </w:p>
    <w:p>
      <w:pPr>
        <w:spacing w:line="360" w:lineRule="auto"/>
        <w:rPr>
          <w:szCs w:val="21"/>
          <w:highlight w:val="none"/>
        </w:rPr>
      </w:pPr>
      <w:r>
        <w:rPr>
          <w:rFonts w:hint="eastAsia" w:ascii="宋体" w:hAnsi="宋体" w:cs="宋体"/>
          <w:szCs w:val="21"/>
          <w:highlight w:val="none"/>
        </w:rPr>
        <w:t xml:space="preserve">甲  方（盖章）：                        乙  方（盖章）： </w:t>
      </w:r>
    </w:p>
    <w:p>
      <w:pPr>
        <w:spacing w:line="360" w:lineRule="auto"/>
        <w:rPr>
          <w:szCs w:val="21"/>
          <w:highlight w:val="none"/>
        </w:rPr>
      </w:pPr>
      <w:r>
        <w:rPr>
          <w:rFonts w:hint="eastAsia" w:ascii="宋体" w:hAnsi="宋体" w:cs="宋体"/>
          <w:szCs w:val="21"/>
          <w:highlight w:val="none"/>
        </w:rPr>
        <w:t>法定代表人或受委托人（签字或签章）：     法定代表人或受委托人（签字或签章）：</w:t>
      </w:r>
    </w:p>
    <w:p>
      <w:pPr>
        <w:spacing w:line="360" w:lineRule="auto"/>
        <w:rPr>
          <w:szCs w:val="21"/>
          <w:highlight w:val="none"/>
        </w:rPr>
      </w:pPr>
      <w:r>
        <w:rPr>
          <w:rFonts w:hint="eastAsia" w:ascii="宋体" w:hAnsi="宋体" w:cs="宋体"/>
          <w:szCs w:val="21"/>
          <w:highlight w:val="none"/>
        </w:rPr>
        <w:t xml:space="preserve">地  址：                               地 址： </w:t>
      </w:r>
    </w:p>
    <w:p>
      <w:pPr>
        <w:spacing w:line="360" w:lineRule="auto"/>
        <w:rPr>
          <w:szCs w:val="21"/>
          <w:highlight w:val="none"/>
        </w:rPr>
      </w:pPr>
      <w:r>
        <w:rPr>
          <w:rFonts w:hint="eastAsia" w:ascii="宋体" w:hAnsi="宋体" w:cs="宋体"/>
          <w:szCs w:val="21"/>
          <w:highlight w:val="none"/>
        </w:rPr>
        <w:t xml:space="preserve">电  话：                               电  话： </w:t>
      </w:r>
    </w:p>
    <w:p>
      <w:pPr>
        <w:spacing w:line="360" w:lineRule="auto"/>
        <w:rPr>
          <w:szCs w:val="21"/>
          <w:highlight w:val="none"/>
        </w:rPr>
      </w:pPr>
      <w:r>
        <w:rPr>
          <w:rFonts w:hint="eastAsia" w:ascii="宋体" w:hAnsi="宋体" w:cs="宋体"/>
          <w:szCs w:val="21"/>
          <w:highlight w:val="none"/>
        </w:rPr>
        <w:t xml:space="preserve">传  真：                               传  真： </w:t>
      </w:r>
    </w:p>
    <w:p>
      <w:pPr>
        <w:spacing w:line="360" w:lineRule="auto"/>
        <w:rPr>
          <w:szCs w:val="21"/>
          <w:highlight w:val="none"/>
        </w:rPr>
      </w:pPr>
      <w:r>
        <w:rPr>
          <w:rFonts w:hint="eastAsia" w:ascii="宋体" w:hAnsi="宋体" w:cs="宋体"/>
          <w:szCs w:val="21"/>
          <w:highlight w:val="none"/>
        </w:rPr>
        <w:t>开户银行：                             开户银行：</w:t>
      </w:r>
    </w:p>
    <w:p>
      <w:pPr>
        <w:spacing w:line="360" w:lineRule="auto"/>
        <w:rPr>
          <w:spacing w:val="-16"/>
          <w:szCs w:val="21"/>
          <w:highlight w:val="none"/>
        </w:rPr>
      </w:pPr>
      <w:r>
        <w:rPr>
          <w:rFonts w:hint="eastAsia" w:ascii="宋体" w:hAnsi="宋体" w:cs="宋体"/>
          <w:spacing w:val="-16"/>
          <w:szCs w:val="21"/>
          <w:highlight w:val="none"/>
        </w:rPr>
        <w:t>帐  号：                                      帐  号</w:t>
      </w:r>
    </w:p>
    <w:p>
      <w:pPr>
        <w:spacing w:line="360" w:lineRule="auto"/>
        <w:rPr>
          <w:szCs w:val="21"/>
          <w:highlight w:val="none"/>
        </w:rPr>
      </w:pPr>
    </w:p>
    <w:p>
      <w:pPr>
        <w:spacing w:line="360" w:lineRule="auto"/>
        <w:rPr>
          <w:szCs w:val="21"/>
          <w:highlight w:val="none"/>
        </w:rPr>
      </w:pPr>
    </w:p>
    <w:p>
      <w:pPr>
        <w:rPr>
          <w:highlight w:val="none"/>
        </w:rPr>
      </w:pPr>
    </w:p>
    <w:p>
      <w:pPr>
        <w:spacing w:line="360" w:lineRule="auto"/>
        <w:ind w:left="720" w:firstLine="723" w:firstLineChars="200"/>
        <w:outlineLvl w:val="0"/>
        <w:rPr>
          <w:rFonts w:ascii="宋体" w:hAnsi="宋体" w:cs="宋体"/>
          <w:b/>
          <w:sz w:val="36"/>
          <w:szCs w:val="20"/>
          <w:highlight w:val="none"/>
        </w:rPr>
      </w:pPr>
      <w:bookmarkStart w:id="446" w:name="_Toc12182"/>
      <w:bookmarkStart w:id="447" w:name="_Toc14949"/>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spacing w:line="360" w:lineRule="auto"/>
        <w:ind w:left="720" w:firstLine="723" w:firstLineChars="200"/>
        <w:outlineLvl w:val="0"/>
        <w:rPr>
          <w:rFonts w:ascii="宋体" w:hAnsi="宋体" w:cs="宋体"/>
          <w:b/>
          <w:sz w:val="36"/>
          <w:szCs w:val="20"/>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44"/>
      <w:r>
        <w:rPr>
          <w:rFonts w:hint="eastAsia" w:ascii="宋体" w:hAnsi="宋体" w:cs="宋体"/>
          <w:b/>
          <w:sz w:val="36"/>
          <w:szCs w:val="20"/>
          <w:highlight w:val="none"/>
        </w:rPr>
        <w:t xml:space="preserve"> </w:t>
      </w:r>
      <w:bookmarkEnd w:id="445"/>
      <w:r>
        <w:rPr>
          <w:rFonts w:hint="eastAsia" w:ascii="宋体" w:hAnsi="宋体" w:cs="宋体"/>
          <w:b/>
          <w:sz w:val="36"/>
          <w:szCs w:val="20"/>
          <w:highlight w:val="none"/>
        </w:rPr>
        <w:t>应提交的有关格式范例</w:t>
      </w:r>
      <w:bookmarkEnd w:id="446"/>
      <w:bookmarkEnd w:id="447"/>
    </w:p>
    <w:p>
      <w:pPr>
        <w:spacing w:line="360" w:lineRule="auto"/>
        <w:jc w:val="center"/>
        <w:rPr>
          <w:rFonts w:ascii="宋体" w:hAnsi="宋体" w:cs="宋体"/>
          <w:b/>
          <w:kern w:val="0"/>
          <w:sz w:val="36"/>
          <w:szCs w:val="36"/>
          <w:highlight w:val="none"/>
        </w:rPr>
      </w:pPr>
    </w:p>
    <w:p>
      <w:pPr>
        <w:spacing w:line="360" w:lineRule="auto"/>
        <w:jc w:val="center"/>
        <w:outlineLvl w:val="1"/>
        <w:rPr>
          <w:rFonts w:ascii="宋体" w:hAnsi="宋体" w:cs="宋体"/>
          <w:b/>
          <w:kern w:val="0"/>
          <w:sz w:val="36"/>
          <w:szCs w:val="36"/>
          <w:highlight w:val="none"/>
        </w:rPr>
      </w:pPr>
      <w:bookmarkStart w:id="448" w:name="_Toc29848"/>
      <w:r>
        <w:rPr>
          <w:rFonts w:hint="eastAsia" w:ascii="宋体" w:hAnsi="宋体" w:cs="宋体"/>
          <w:b/>
          <w:kern w:val="0"/>
          <w:sz w:val="36"/>
          <w:szCs w:val="36"/>
          <w:highlight w:val="none"/>
        </w:rPr>
        <w:t>资格文件部分</w:t>
      </w:r>
      <w:bookmarkEnd w:id="448"/>
    </w:p>
    <w:p>
      <w:pPr>
        <w:jc w:val="center"/>
        <w:rPr>
          <w:b/>
          <w:bCs/>
          <w:sz w:val="36"/>
          <w:szCs w:val="36"/>
          <w:highlight w:val="none"/>
        </w:rPr>
      </w:pPr>
      <w:bookmarkStart w:id="449" w:name="_Toc26717"/>
      <w:r>
        <w:rPr>
          <w:rFonts w:hint="eastAsia"/>
          <w:b/>
          <w:bCs/>
          <w:sz w:val="36"/>
          <w:szCs w:val="36"/>
          <w:highlight w:val="none"/>
        </w:rPr>
        <w:t>目录</w:t>
      </w:r>
      <w:bookmarkEnd w:id="449"/>
    </w:p>
    <w:p>
      <w:pPr>
        <w:spacing w:line="360" w:lineRule="auto"/>
        <w:jc w:val="center"/>
        <w:rPr>
          <w:rFonts w:ascii="宋体" w:hAnsi="宋体" w:cs="宋体"/>
          <w:b/>
          <w:kern w:val="0"/>
          <w:sz w:val="36"/>
          <w:szCs w:val="36"/>
          <w:highlight w:val="none"/>
        </w:rPr>
      </w:pPr>
    </w:p>
    <w:p>
      <w:pPr>
        <w:snapToGrid w:val="0"/>
        <w:spacing w:line="360" w:lineRule="auto"/>
        <w:rPr>
          <w:rFonts w:ascii="宋体" w:hAnsi="宋体" w:cs="宋体"/>
          <w:sz w:val="24"/>
          <w:highlight w:val="none"/>
        </w:rPr>
      </w:pPr>
      <w:bookmarkStart w:id="450" w:name="_Hlk150504462"/>
      <w:r>
        <w:rPr>
          <w:rFonts w:hint="eastAsia" w:ascii="宋体" w:hAnsi="宋体" w:cs="宋体"/>
          <w:sz w:val="24"/>
          <w:highlight w:val="none"/>
        </w:rPr>
        <w:t>（1）有效的企业法人营业执照（或事业法人登记证）、其他组织（个体工商户）的营业执照或者民办非企业单位登记证书 ……………………………………（页码）</w:t>
      </w:r>
    </w:p>
    <w:p>
      <w:pPr>
        <w:snapToGrid w:val="0"/>
        <w:spacing w:line="360" w:lineRule="auto"/>
        <w:rPr>
          <w:rFonts w:ascii="宋体" w:hAnsi="宋体" w:cs="宋体"/>
          <w:sz w:val="24"/>
          <w:highlight w:val="none"/>
        </w:rPr>
      </w:pPr>
      <w:r>
        <w:rPr>
          <w:rFonts w:hint="eastAsia" w:ascii="宋体" w:hAnsi="宋体" w:cs="宋体"/>
          <w:sz w:val="24"/>
          <w:highlight w:val="none"/>
        </w:rPr>
        <w:t>（2）符合参加政府采购活动应当具备的一般条件的承诺函……………（页码）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3-1</w:t>
      </w:r>
      <w:r>
        <w:rPr>
          <w:rFonts w:hint="eastAsia" w:ascii="宋体" w:hAnsi="宋体" w:cs="宋体"/>
          <w:sz w:val="24"/>
          <w:highlight w:val="none"/>
        </w:rPr>
        <w:t>）中小企业声明函………………………………………………………………（页码）</w:t>
      </w:r>
    </w:p>
    <w:p>
      <w:pPr>
        <w:snapToGrid w:val="0"/>
        <w:spacing w:line="360" w:lineRule="auto"/>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-2</w:t>
      </w:r>
      <w:r>
        <w:rPr>
          <w:rFonts w:hint="eastAsia" w:ascii="宋体" w:hAnsi="宋体" w:cs="宋体"/>
          <w:sz w:val="24"/>
          <w:highlight w:val="none"/>
        </w:rPr>
        <w:t>）残疾人福利性单位声明函(如有） …………………………………………（页码）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3-3</w:t>
      </w:r>
      <w:r>
        <w:rPr>
          <w:rFonts w:hint="eastAsia" w:ascii="宋体" w:hAnsi="宋体" w:cs="宋体"/>
          <w:sz w:val="24"/>
          <w:highlight w:val="none"/>
        </w:rPr>
        <w:t>）由省级以上监狱管理局、戒毒管理局（含新疆生产建设兵团）出具的属于监狱企业的证明文件（如有） ……………………………………………………（页码）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bookmarkEnd w:id="450"/>
    <w:p>
      <w:pPr>
        <w:snapToGrid w:val="0"/>
        <w:spacing w:line="360" w:lineRule="auto"/>
        <w:rPr>
          <w:rFonts w:ascii="宋体" w:hAnsi="宋体" w:cs="宋体"/>
          <w:sz w:val="24"/>
          <w:highlight w:val="none"/>
        </w:rPr>
      </w:pPr>
    </w:p>
    <w:p>
      <w:pPr>
        <w:spacing w:line="360" w:lineRule="auto"/>
        <w:ind w:firstLine="480" w:firstLineChars="200"/>
        <w:rPr>
          <w:rFonts w:ascii="宋体" w:hAnsi="宋体" w:cs="宋体"/>
          <w:sz w:val="24"/>
          <w:highlight w:val="none"/>
        </w:rPr>
      </w:pPr>
    </w:p>
    <w:p>
      <w:pPr>
        <w:pStyle w:val="24"/>
        <w:rPr>
          <w:highlight w:val="none"/>
          <w:lang w:val="en-US"/>
        </w:rPr>
      </w:pPr>
      <w:r>
        <w:rPr>
          <w:rFonts w:hint="eastAsia" w:hAnsi="宋体" w:cs="宋体"/>
          <w:highlight w:val="none"/>
          <w:lang w:val="en-US"/>
        </w:rPr>
        <w:t xml:space="preserve">       </w:t>
      </w: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bookmarkStart w:id="451" w:name="_Hlk150504704"/>
      <w:r>
        <w:rPr>
          <w:rFonts w:hint="eastAsia" w:ascii="宋体" w:hAnsi="宋体" w:cs="宋体"/>
          <w:b/>
          <w:kern w:val="0"/>
          <w:sz w:val="32"/>
          <w:szCs w:val="32"/>
          <w:highlight w:val="none"/>
        </w:rPr>
        <w:t xml:space="preserve">一、有效的企业法人营业执照（或事业法人登记证）、其他组织（个体工商户）的营业执照或者民办非企业单位登记证书复印件加盖公章 </w:t>
      </w:r>
    </w:p>
    <w:bookmarkEnd w:id="451"/>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ind w:right="480"/>
        <w:jc w:val="center"/>
        <w:rPr>
          <w:rFonts w:ascii="宋体" w:hAnsi="宋体" w:cs="宋体"/>
          <w:b/>
          <w:kern w:val="0"/>
          <w:sz w:val="32"/>
          <w:szCs w:val="32"/>
          <w:highlight w:val="none"/>
        </w:rPr>
      </w:pPr>
      <w:bookmarkStart w:id="452" w:name="_Hlk150505012"/>
      <w:r>
        <w:rPr>
          <w:rFonts w:hint="eastAsia" w:ascii="宋体" w:hAnsi="宋体" w:cs="宋体"/>
          <w:b/>
          <w:kern w:val="0"/>
          <w:sz w:val="32"/>
          <w:szCs w:val="32"/>
          <w:highlight w:val="none"/>
        </w:rPr>
        <w:t xml:space="preserve"> 二、符合参加政府采购活动应当具备的一般条件的承诺函</w:t>
      </w:r>
    </w:p>
    <w:bookmarkEnd w:id="452"/>
    <w:p>
      <w:pPr>
        <w:snapToGrid w:val="0"/>
        <w:spacing w:line="360" w:lineRule="auto"/>
        <w:rPr>
          <w:rFonts w:ascii="宋体" w:hAnsi="宋体" w:cs="宋体"/>
          <w:sz w:val="24"/>
          <w:highlight w:val="none"/>
        </w:rPr>
      </w:pPr>
      <w:bookmarkStart w:id="453" w:name="_Hlk150505034"/>
      <w:r>
        <w:rPr>
          <w:rFonts w:hint="eastAsia" w:ascii="宋体" w:hAnsi="宋体" w:cs="宋体"/>
          <w:sz w:val="24"/>
          <w:highlight w:val="none"/>
          <w:u w:val="single"/>
        </w:rPr>
        <w:t>（采购人）</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 xml:space="preserve">项目编号：          </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lang w:val="zh-CN"/>
        </w:rPr>
      </w:pP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bookmarkEnd w:id="453"/>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pStyle w:val="64"/>
        <w:ind w:firstLine="420"/>
        <w:rPr>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bookmarkStart w:id="454" w:name="_Hlk150505363"/>
      <w:r>
        <w:rPr>
          <w:rFonts w:hint="eastAsia" w:ascii="宋体" w:hAnsi="宋体" w:cs="宋体"/>
          <w:b/>
          <w:kern w:val="0"/>
          <w:sz w:val="32"/>
          <w:szCs w:val="32"/>
          <w:highlight w:val="none"/>
        </w:rPr>
        <w:t>三、落实政府采购政策需满足的资格要求</w:t>
      </w:r>
    </w:p>
    <w:bookmarkEnd w:id="454"/>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（根据招标公告落实政府采购政策需满足的资格要求选择提供相应的材料；提供下列证明材料之一）</w:t>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3</w:t>
      </w:r>
      <w:r>
        <w:rPr>
          <w:rFonts w:cs="仿宋_GB2312" w:asciiTheme="minorEastAsia" w:hAnsiTheme="minorEastAsia" w:eastAsiaTheme="minorEastAsia"/>
          <w:b/>
          <w:sz w:val="36"/>
          <w:szCs w:val="36"/>
          <w:highlight w:val="none"/>
        </w:rPr>
        <w:t xml:space="preserve">-1  </w:t>
      </w:r>
      <w:r>
        <w:rPr>
          <w:rFonts w:hint="eastAsia" w:cs="仿宋_GB2312" w:asciiTheme="minorEastAsia" w:hAnsiTheme="minorEastAsia" w:eastAsiaTheme="minorEastAsia"/>
          <w:b/>
          <w:sz w:val="36"/>
          <w:szCs w:val="36"/>
          <w:highlight w:val="none"/>
        </w:rPr>
        <w:t>中小企业声明函（服务）</w:t>
      </w:r>
    </w:p>
    <w:p>
      <w:pPr>
        <w:spacing w:line="360" w:lineRule="auto"/>
        <w:jc w:val="center"/>
        <w:rPr>
          <w:rFonts w:cs="宋体" w:asciiTheme="minorEastAsia" w:hAnsiTheme="minorEastAsia" w:eastAsiaTheme="minorEastAsia"/>
          <w:b/>
          <w:sz w:val="32"/>
          <w:szCs w:val="32"/>
          <w:highlight w:val="none"/>
        </w:rPr>
      </w:pPr>
    </w:p>
    <w:p>
      <w:pPr>
        <w:spacing w:line="360" w:lineRule="auto"/>
        <w:ind w:firstLine="360" w:firstLineChars="150"/>
        <w:jc w:val="left"/>
        <w:rPr>
          <w:rFonts w:cs="宋体" w:asciiTheme="minorEastAsia" w:hAnsiTheme="minorEastAsia" w:eastAsiaTheme="minorEastAsia"/>
          <w:sz w:val="24"/>
          <w:highlight w:val="none"/>
        </w:rPr>
      </w:pPr>
      <w:bookmarkStart w:id="455" w:name="_Hlk150505462"/>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（项目</w:t>
      </w:r>
      <w:r>
        <w:rPr>
          <w:rFonts w:hint="eastAsia" w:cs="宋体" w:asciiTheme="minorEastAsia" w:hAnsiTheme="minorEastAsia" w:eastAsiaTheme="minorEastAsia"/>
          <w:sz w:val="24"/>
          <w:highlight w:val="none"/>
          <w:u w:val="single"/>
        </w:rPr>
        <w:t xml:space="preserve">名称）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b/>
          <w:bCs/>
          <w:sz w:val="24"/>
          <w:highlight w:val="none"/>
          <w:u w:val="single"/>
        </w:rPr>
        <w:t>聚贤街道2024-2027年病媒生物防治社会化服务</w:t>
      </w:r>
      <w:r>
        <w:rPr>
          <w:rFonts w:hint="eastAsia" w:cs="宋体" w:asciiTheme="minorEastAsia" w:hAnsiTheme="minorEastAsia" w:eastAsiaTheme="minorEastAsia"/>
          <w:sz w:val="24"/>
          <w:highlight w:val="none"/>
        </w:rPr>
        <w:t>，属于</w:t>
      </w:r>
      <w:r>
        <w:rPr>
          <w:rFonts w:hint="eastAsia" w:cs="宋体" w:asciiTheme="minorEastAsia" w:hAnsiTheme="minorEastAsia" w:eastAsiaTheme="minorEastAsia"/>
          <w:b/>
          <w:bCs/>
          <w:sz w:val="24"/>
          <w:highlight w:val="none"/>
          <w:u w:val="single"/>
        </w:rPr>
        <w:t>其他未列明行业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pPr>
        <w:spacing w:line="360" w:lineRule="auto"/>
        <w:ind w:firstLine="480" w:firstLineChars="200"/>
        <w:jc w:val="left"/>
        <w:rPr>
          <w:rFonts w:cs="宋体" w:asciiTheme="minorEastAsia" w:hAnsiTheme="minorEastAsia" w:eastAsiaTheme="minorEastAsia"/>
          <w:sz w:val="24"/>
          <w:highlight w:val="none"/>
        </w:rPr>
      </w:pP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投标人名称（电子签名）：</w:t>
      </w:r>
    </w:p>
    <w:p>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采购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bookmarkEnd w:id="455"/>
    </w:p>
    <w:p>
      <w:pPr>
        <w:spacing w:line="360" w:lineRule="auto"/>
        <w:jc w:val="center"/>
        <w:rPr>
          <w:rFonts w:ascii="宋体" w:hAnsi="宋体" w:cs="宋体"/>
          <w:b/>
          <w:spacing w:val="6"/>
          <w:sz w:val="32"/>
          <w:szCs w:val="32"/>
          <w:highlight w:val="none"/>
        </w:rPr>
      </w:pPr>
      <w:bookmarkStart w:id="456" w:name="OLE_LINK13"/>
      <w:bookmarkStart w:id="457" w:name="OLE_LINK14"/>
      <w:r>
        <w:rPr>
          <w:rFonts w:hint="eastAsia" w:ascii="宋体" w:hAnsi="宋体" w:cs="宋体"/>
          <w:b/>
          <w:spacing w:val="6"/>
          <w:sz w:val="32"/>
          <w:szCs w:val="32"/>
          <w:highlight w:val="none"/>
        </w:rPr>
        <w:t>3</w:t>
      </w:r>
      <w:r>
        <w:rPr>
          <w:rFonts w:ascii="宋体" w:hAnsi="宋体" w:cs="宋体"/>
          <w:b/>
          <w:spacing w:val="6"/>
          <w:sz w:val="32"/>
          <w:szCs w:val="32"/>
          <w:highlight w:val="none"/>
        </w:rPr>
        <w:t xml:space="preserve">-2  </w:t>
      </w:r>
      <w:r>
        <w:rPr>
          <w:rFonts w:hint="eastAsia" w:ascii="宋体" w:hAnsi="宋体" w:cs="宋体"/>
          <w:b/>
          <w:spacing w:val="6"/>
          <w:sz w:val="32"/>
          <w:szCs w:val="32"/>
          <w:highlight w:val="none"/>
        </w:rPr>
        <w:t>残疾人福利性单位声明函（如是，请提供）</w:t>
      </w:r>
    </w:p>
    <w:bookmarkEnd w:id="456"/>
    <w:bookmarkEnd w:id="457"/>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章/公章</w:t>
      </w:r>
      <w:r>
        <w:rPr>
          <w:rFonts w:hint="eastAsia" w:ascii="宋体" w:hAnsi="宋体" w:cs="宋体"/>
          <w:kern w:val="0"/>
          <w:sz w:val="24"/>
          <w:highlight w:val="none"/>
          <w:lang w:val="zh-CN"/>
        </w:rPr>
        <w:t>）</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pStyle w:val="2"/>
        <w:ind w:firstLine="480"/>
        <w:rPr>
          <w:highlight w:val="none"/>
        </w:rPr>
      </w:pPr>
    </w:p>
    <w:p>
      <w:pPr>
        <w:pStyle w:val="2"/>
        <w:ind w:firstLine="480"/>
        <w:rPr>
          <w:highlight w:val="none"/>
        </w:rPr>
      </w:pPr>
    </w:p>
    <w:p>
      <w:pPr>
        <w:pStyle w:val="2"/>
        <w:ind w:firstLine="480"/>
        <w:rPr>
          <w:highlight w:val="none"/>
        </w:rPr>
      </w:pPr>
    </w:p>
    <w:p>
      <w:pPr>
        <w:spacing w:line="360" w:lineRule="auto"/>
        <w:ind w:right="420" w:firstLine="480" w:firstLineChars="200"/>
        <w:rPr>
          <w:rFonts w:cs="宋体" w:asciiTheme="minorEastAsia" w:hAnsiTheme="minorEastAsia" w:eastAsiaTheme="minorEastAsia"/>
          <w:sz w:val="24"/>
          <w:highlight w:val="none"/>
        </w:rPr>
      </w:pPr>
    </w:p>
    <w:p>
      <w:pPr>
        <w:spacing w:line="360" w:lineRule="auto"/>
        <w:ind w:right="420" w:firstLine="482" w:firstLineChars="200"/>
        <w:rPr>
          <w:rFonts w:ascii="宋体" w:hAnsi="宋体" w:cs="宋体"/>
          <w:sz w:val="24"/>
          <w:highlight w:val="none"/>
        </w:rPr>
      </w:pPr>
      <w:r>
        <w:rPr>
          <w:rFonts w:hint="eastAsia" w:cs="宋体" w:asciiTheme="minorEastAsia" w:hAnsiTheme="minorEastAsia" w:eastAsiaTheme="minorEastAsia"/>
          <w:b/>
          <w:bCs/>
          <w:sz w:val="24"/>
          <w:highlight w:val="none"/>
        </w:rPr>
        <w:t>3</w:t>
      </w:r>
      <w:r>
        <w:rPr>
          <w:rFonts w:cs="宋体" w:asciiTheme="minorEastAsia" w:hAnsiTheme="minorEastAsia" w:eastAsiaTheme="minorEastAsia"/>
          <w:b/>
          <w:bCs/>
          <w:sz w:val="24"/>
          <w:highlight w:val="none"/>
        </w:rPr>
        <w:t>-3</w:t>
      </w:r>
      <w:r>
        <w:rPr>
          <w:rFonts w:hint="eastAsia" w:cs="宋体" w:asciiTheme="minorEastAsia" w:hAnsiTheme="minorEastAsia" w:eastAsiaTheme="minorEastAsia"/>
          <w:sz w:val="24"/>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如是，请提供）</w:t>
      </w:r>
    </w:p>
    <w:p>
      <w:pPr>
        <w:widowControl/>
        <w:spacing w:line="360" w:lineRule="auto"/>
        <w:ind w:left="150"/>
        <w:jc w:val="center"/>
        <w:rPr>
          <w:rFonts w:ascii="宋体" w:hAnsi="宋体" w:cs="宋体"/>
          <w:b/>
          <w:kern w:val="0"/>
          <w:sz w:val="32"/>
          <w:szCs w:val="32"/>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rPr>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spacing w:line="360" w:lineRule="auto"/>
        <w:jc w:val="center"/>
        <w:rPr>
          <w:highlight w:val="none"/>
        </w:rPr>
      </w:pPr>
      <w:r>
        <w:rPr>
          <w:rFonts w:hint="eastAsia" w:ascii="宋体" w:hAnsi="宋体" w:cs="宋体"/>
          <w:b/>
          <w:kern w:val="0"/>
          <w:sz w:val="32"/>
          <w:szCs w:val="32"/>
          <w:highlight w:val="none"/>
        </w:rPr>
        <w:t>无</w:t>
      </w:r>
      <w:r>
        <w:rPr>
          <w:rFonts w:ascii="宋体" w:hAnsi="宋体" w:cs="宋体"/>
          <w:b/>
          <w:kern w:val="0"/>
          <w:sz w:val="32"/>
          <w:szCs w:val="32"/>
          <w:highlight w:val="none"/>
        </w:rPr>
        <w:br w:type="page"/>
      </w:r>
    </w:p>
    <w:p>
      <w:pPr>
        <w:rPr>
          <w:rFonts w:ascii="宋体" w:hAnsi="宋体" w:cs="宋体"/>
          <w:b/>
          <w:kern w:val="0"/>
          <w:sz w:val="32"/>
          <w:szCs w:val="32"/>
          <w:highlight w:val="none"/>
        </w:rPr>
      </w:pPr>
    </w:p>
    <w:p>
      <w:pPr>
        <w:pStyle w:val="64"/>
        <w:ind w:firstLine="420"/>
        <w:rPr>
          <w:highlight w:val="none"/>
        </w:rPr>
      </w:pP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1"/>
        <w:rPr>
          <w:rFonts w:ascii="宋体" w:hAnsi="宋体" w:cs="宋体"/>
          <w:b/>
          <w:kern w:val="0"/>
          <w:sz w:val="28"/>
          <w:szCs w:val="28"/>
          <w:highlight w:val="none"/>
        </w:rPr>
      </w:pPr>
      <w:bookmarkStart w:id="458" w:name="_Toc24305"/>
      <w:r>
        <w:rPr>
          <w:rFonts w:hint="eastAsia" w:ascii="宋体" w:hAnsi="宋体" w:cs="宋体"/>
          <w:b/>
          <w:kern w:val="0"/>
          <w:sz w:val="28"/>
          <w:szCs w:val="28"/>
          <w:highlight w:val="none"/>
        </w:rPr>
        <w:t>目录</w:t>
      </w:r>
      <w:bookmarkEnd w:id="458"/>
    </w:p>
    <w:p>
      <w:pPr>
        <w:snapToGrid w:val="0"/>
        <w:spacing w:line="360" w:lineRule="auto"/>
        <w:outlineLvl w:val="1"/>
        <w:rPr>
          <w:rFonts w:ascii="宋体" w:hAnsi="宋体" w:cs="宋体"/>
          <w:sz w:val="24"/>
          <w:highlight w:val="none"/>
        </w:rPr>
      </w:pPr>
      <w:bookmarkStart w:id="459" w:name="_Toc8519"/>
      <w:r>
        <w:rPr>
          <w:rFonts w:hint="eastAsia" w:ascii="宋体" w:hAnsi="宋体" w:cs="宋体"/>
          <w:sz w:val="24"/>
          <w:highlight w:val="none"/>
        </w:rPr>
        <w:t>（1）投标函………………………………………………………………（页码）</w:t>
      </w:r>
      <w:bookmarkEnd w:id="459"/>
    </w:p>
    <w:p>
      <w:pPr>
        <w:snapToGrid w:val="0"/>
        <w:spacing w:line="360" w:lineRule="auto"/>
        <w:rPr>
          <w:rFonts w:ascii="宋体" w:hAnsi="宋体" w:cs="宋体"/>
          <w:sz w:val="24"/>
          <w:highlight w:val="none"/>
        </w:rPr>
      </w:pPr>
      <w:r>
        <w:rPr>
          <w:rFonts w:hint="eastAsia" w:ascii="宋体" w:hAnsi="宋体" w:cs="宋体"/>
          <w:sz w:val="24"/>
          <w:highlight w:val="none"/>
        </w:rPr>
        <w:t>（2）授权委托书或法定代表人（单位负责人、自然人本人）身份证明…（页码）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）符合性审查资料 ………………………………………………………（页码）</w:t>
      </w:r>
    </w:p>
    <w:p>
      <w:pPr>
        <w:snapToGrid w:val="0"/>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ascii="宋体" w:hAnsi="宋体" w:cs="宋体"/>
          <w:sz w:val="24"/>
          <w:highlight w:val="none"/>
        </w:rPr>
        <w:t>4</w:t>
      </w:r>
      <w:r>
        <w:rPr>
          <w:rFonts w:hint="eastAsia" w:ascii="宋体" w:hAnsi="宋体" w:cs="宋体"/>
          <w:sz w:val="24"/>
          <w:highlight w:val="none"/>
        </w:rPr>
        <w:t>）</w:t>
      </w:r>
      <w:r>
        <w:rPr>
          <w:rFonts w:hint="eastAsia" w:ascii="宋体" w:hAnsi="宋体" w:cs="宋体"/>
          <w:sz w:val="24"/>
          <w:highlight w:val="none"/>
          <w:lang w:val="zh-CN"/>
        </w:rPr>
        <w:t>政府采购供应商廉洁自律承诺书</w:t>
      </w:r>
      <w:r>
        <w:rPr>
          <w:rFonts w:hint="eastAsia" w:ascii="宋体" w:hAnsi="宋体" w:cs="宋体"/>
          <w:sz w:val="24"/>
          <w:highlight w:val="none"/>
        </w:rPr>
        <w:t xml:space="preserve"> …………………………………（页码）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）商务技术要求响应偏离表 …………………………………………………（页码）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）评标标准相应的商务技术资料（格式自拟）………………………………（页码）</w:t>
      </w:r>
    </w:p>
    <w:p>
      <w:pPr>
        <w:snapToGrid w:val="0"/>
        <w:spacing w:line="360" w:lineRule="auto"/>
        <w:rPr>
          <w:rFonts w:ascii="宋体" w:hAnsi="宋体" w:cs="宋体"/>
          <w:sz w:val="24"/>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ind w:firstLine="174" w:firstLineChars="83"/>
        <w:rPr>
          <w:highlight w:val="none"/>
        </w:rPr>
      </w:pPr>
    </w:p>
    <w:p>
      <w:pPr>
        <w:numPr>
          <w:ilvl w:val="0"/>
          <w:numId w:val="3"/>
        </w:numPr>
        <w:jc w:val="center"/>
        <w:rPr>
          <w:b/>
          <w:bCs/>
          <w:sz w:val="32"/>
          <w:szCs w:val="32"/>
          <w:highlight w:val="none"/>
        </w:rPr>
      </w:pPr>
      <w:bookmarkStart w:id="460" w:name="_Toc2704"/>
      <w:r>
        <w:rPr>
          <w:rFonts w:hint="eastAsia"/>
          <w:b/>
          <w:bCs/>
          <w:sz w:val="32"/>
          <w:szCs w:val="32"/>
          <w:highlight w:val="none"/>
        </w:rPr>
        <w:t>投标函</w:t>
      </w:r>
      <w:bookmarkEnd w:id="460"/>
    </w:p>
    <w:p>
      <w:pPr>
        <w:pStyle w:val="64"/>
        <w:ind w:left="840" w:leftChars="400" w:firstLine="0" w:firstLineChars="0"/>
        <w:rPr>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u w:val="single"/>
        </w:rPr>
        <w:t>（采购人）</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 xml:space="preserve">项目编号：          </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投标人名称（电子签章）：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u w:val="single"/>
        </w:rPr>
        <w:t>（项目名称）</w:t>
      </w:r>
      <w:r>
        <w:rPr>
          <w:rFonts w:hint="eastAsia" w:ascii="宋体" w:hAnsi="宋体" w:cs="宋体"/>
          <w:sz w:val="24"/>
          <w:highlight w:val="none"/>
        </w:rPr>
        <w:t>【</w:t>
      </w:r>
      <w:r>
        <w:rPr>
          <w:rFonts w:hint="eastAsia" w:ascii="宋体" w:hAnsi="宋体" w:cs="宋体"/>
          <w:sz w:val="24"/>
          <w:highlight w:val="none"/>
          <w:u w:val="single"/>
        </w:rPr>
        <w:t xml:space="preserve">项目编号：         </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 xml:space="preserve">：   </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w:t>
      </w:r>
      <w:r>
        <w:rPr>
          <w:rFonts w:hint="eastAsia" w:ascii="宋体" w:hAnsi="宋体" w:cs="宋体"/>
          <w:sz w:val="24"/>
          <w:highlight w:val="none"/>
        </w:rPr>
        <w:t xml:space="preserve">（电子签章）：  </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pStyle w:val="2"/>
        <w:ind w:firstLine="480"/>
        <w:rPr>
          <w:highlight w:val="none"/>
          <w:lang w:val="zh-CN"/>
        </w:rPr>
      </w:pPr>
    </w:p>
    <w:p>
      <w:pPr>
        <w:autoSpaceDE w:val="0"/>
        <w:autoSpaceDN w:val="0"/>
        <w:spacing w:line="360" w:lineRule="auto"/>
        <w:jc w:val="center"/>
        <w:rPr>
          <w:rFonts w:ascii="宋体" w:hAnsi="宋体" w:cs="宋体"/>
          <w:b/>
          <w:sz w:val="30"/>
          <w:szCs w:val="30"/>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w:t>
      </w:r>
    </w:p>
    <w:p>
      <w:pPr>
        <w:autoSpaceDE w:val="0"/>
        <w:autoSpaceDN w:val="0"/>
        <w:spacing w:line="360" w:lineRule="auto"/>
        <w:jc w:val="center"/>
        <w:rPr>
          <w:rFonts w:ascii="宋体" w:hAnsi="宋体" w:cs="宋体"/>
          <w:b/>
          <w:sz w:val="24"/>
          <w:highlight w:val="none"/>
        </w:rPr>
      </w:pPr>
      <w:r>
        <w:rPr>
          <w:rFonts w:hint="eastAsia" w:ascii="宋体" w:hAnsi="宋体" w:cs="宋体"/>
          <w:b/>
          <w:sz w:val="30"/>
          <w:szCs w:val="30"/>
          <w:highlight w:val="none"/>
        </w:rPr>
        <w:t>（适用于法定代表人、单位负责人或者自然人本人代表投标人参加投标）</w:t>
      </w:r>
    </w:p>
    <w:p>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pPr>
              <w:pStyle w:val="149"/>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 xml:space="preserve">)：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pP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三、符合性审查资料</w:t>
      </w:r>
    </w:p>
    <w:p>
      <w:pPr>
        <w:jc w:val="center"/>
        <w:rPr>
          <w:rFonts w:ascii="宋体" w:hAnsi="宋体" w:cs="宋体"/>
          <w:b/>
          <w:kern w:val="0"/>
          <w:sz w:val="32"/>
          <w:szCs w:val="32"/>
          <w:highlight w:val="none"/>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highlight w:val="none"/>
              </w:rPr>
            </w:pPr>
            <w:r>
              <w:rPr>
                <w:rFonts w:hint="eastAsia" w:hAnsi="宋体"/>
                <w:sz w:val="24"/>
                <w:highlight w:val="none"/>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rPr>
          <w:rFonts w:ascii="宋体" w:hAnsi="宋体" w:cs="宋体"/>
          <w:b/>
          <w:kern w:val="0"/>
          <w:sz w:val="32"/>
          <w:szCs w:val="32"/>
          <w:highlight w:val="none"/>
        </w:rPr>
      </w:pPr>
      <w:r>
        <w:rPr>
          <w:rFonts w:hint="eastAsia" w:ascii="宋体" w:hAnsi="宋体" w:cs="宋体"/>
          <w:b/>
          <w:kern w:val="0"/>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四、</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r>
        <w:rPr>
          <w:rFonts w:hint="eastAsia" w:ascii="宋体" w:hAnsi="宋体" w:cs="宋体"/>
          <w:kern w:val="0"/>
          <w:sz w:val="24"/>
          <w:highlight w:val="none"/>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rPr>
          <w:rFonts w:ascii="宋体" w:hAnsi="宋体" w:cs="宋体"/>
          <w:b/>
          <w:bCs/>
          <w:sz w:val="24"/>
          <w:highlight w:val="none"/>
        </w:rPr>
      </w:pPr>
      <w:r>
        <w:rPr>
          <w:rFonts w:ascii="宋体" w:hAnsi="宋体" w:cs="宋体"/>
          <w:b/>
          <w:bCs/>
          <w:sz w:val="24"/>
          <w:highlight w:val="none"/>
        </w:rPr>
        <w:br w:type="page"/>
      </w: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五、商务技术要求响应偏离表</w:t>
      </w:r>
    </w:p>
    <w:tbl>
      <w:tblPr>
        <w:tblStyle w:val="6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376"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250"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421"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376" w:type="dxa"/>
          </w:tcPr>
          <w:p>
            <w:pPr>
              <w:jc w:val="center"/>
              <w:rPr>
                <w:rFonts w:ascii="宋体" w:hAnsi="宋体" w:cs="宋体"/>
                <w:b/>
                <w:kern w:val="0"/>
                <w:sz w:val="32"/>
                <w:szCs w:val="32"/>
                <w:highlight w:val="none"/>
              </w:rPr>
            </w:pPr>
          </w:p>
        </w:tc>
        <w:tc>
          <w:tcPr>
            <w:tcW w:w="3250" w:type="dxa"/>
          </w:tcPr>
          <w:p>
            <w:pPr>
              <w:jc w:val="center"/>
              <w:rPr>
                <w:rFonts w:ascii="宋体" w:hAnsi="宋体" w:cs="宋体"/>
                <w:b/>
                <w:kern w:val="0"/>
                <w:sz w:val="32"/>
                <w:szCs w:val="32"/>
                <w:highlight w:val="none"/>
              </w:rPr>
            </w:pPr>
          </w:p>
        </w:tc>
        <w:tc>
          <w:tcPr>
            <w:tcW w:w="1421"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376" w:type="dxa"/>
          </w:tcPr>
          <w:p>
            <w:pPr>
              <w:jc w:val="center"/>
              <w:rPr>
                <w:rFonts w:ascii="宋体" w:hAnsi="宋体" w:cs="宋体"/>
                <w:b/>
                <w:kern w:val="0"/>
                <w:sz w:val="32"/>
                <w:szCs w:val="32"/>
                <w:highlight w:val="none"/>
              </w:rPr>
            </w:pPr>
          </w:p>
        </w:tc>
        <w:tc>
          <w:tcPr>
            <w:tcW w:w="3250" w:type="dxa"/>
          </w:tcPr>
          <w:p>
            <w:pPr>
              <w:jc w:val="center"/>
              <w:rPr>
                <w:rFonts w:ascii="宋体" w:hAnsi="宋体" w:cs="宋体"/>
                <w:b/>
                <w:kern w:val="0"/>
                <w:sz w:val="32"/>
                <w:szCs w:val="32"/>
                <w:highlight w:val="none"/>
              </w:rPr>
            </w:pPr>
          </w:p>
        </w:tc>
        <w:tc>
          <w:tcPr>
            <w:tcW w:w="1421"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376" w:type="dxa"/>
          </w:tcPr>
          <w:p>
            <w:pPr>
              <w:jc w:val="center"/>
              <w:rPr>
                <w:rFonts w:ascii="宋体" w:hAnsi="宋体" w:cs="宋体"/>
                <w:b/>
                <w:kern w:val="0"/>
                <w:sz w:val="32"/>
                <w:szCs w:val="32"/>
                <w:highlight w:val="none"/>
              </w:rPr>
            </w:pPr>
          </w:p>
        </w:tc>
        <w:tc>
          <w:tcPr>
            <w:tcW w:w="3250" w:type="dxa"/>
          </w:tcPr>
          <w:p>
            <w:pPr>
              <w:jc w:val="center"/>
              <w:rPr>
                <w:rFonts w:ascii="宋体" w:hAnsi="宋体" w:cs="宋体"/>
                <w:b/>
                <w:kern w:val="0"/>
                <w:sz w:val="32"/>
                <w:szCs w:val="32"/>
                <w:highlight w:val="none"/>
              </w:rPr>
            </w:pPr>
          </w:p>
        </w:tc>
        <w:tc>
          <w:tcPr>
            <w:tcW w:w="1421" w:type="dxa"/>
          </w:tcPr>
          <w:p>
            <w:pPr>
              <w:jc w:val="center"/>
              <w:rPr>
                <w:rFonts w:ascii="宋体" w:hAnsi="宋体" w:cs="宋体"/>
                <w:b/>
                <w:kern w:val="0"/>
                <w:sz w:val="32"/>
                <w:szCs w:val="32"/>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288"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『编制说明』：</w:t>
      </w:r>
    </w:p>
    <w:p>
      <w:pPr>
        <w:numPr>
          <w:ilvl w:val="0"/>
          <w:numId w:val="4"/>
        </w:numPr>
        <w:snapToGrid w:val="0"/>
        <w:spacing w:line="288"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投标人需按“第三部分  采购需求”中“（二）、技术要求”和“（三）、商务要求表”对应填写,在本表中如实填写具体响应情况(有技术参数的提供响应的技术参数)，未按要求填写的，有可能作负偏离处理。</w:t>
      </w:r>
    </w:p>
    <w:p>
      <w:pPr>
        <w:numPr>
          <w:ilvl w:val="0"/>
          <w:numId w:val="4"/>
        </w:numPr>
        <w:snapToGrid w:val="0"/>
        <w:spacing w:line="288"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偏离说明是指对招标文件要求存在不同之处的解释说明。偏离系指：正偏离（高于采购需求）、负偏离（低于采购需求）、无偏离（满足采购需求）。</w:t>
      </w:r>
    </w:p>
    <w:p>
      <w:pPr>
        <w:jc w:val="center"/>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ascii="宋体" w:hAnsi="宋体" w:cs="宋体"/>
          <w:kern w:val="0"/>
          <w:sz w:val="24"/>
          <w:highlight w:val="none"/>
          <w:lang w:val="zh-CN"/>
        </w:rPr>
        <w:t xml:space="preserve">                         </w:t>
      </w: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w:t>
      </w:r>
    </w:p>
    <w:p>
      <w:pPr>
        <w:spacing w:line="360" w:lineRule="auto"/>
        <w:ind w:firstLine="4800" w:firstLineChars="20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jc w:val="center"/>
        <w:rPr>
          <w:rFonts w:ascii="宋体" w:hAnsi="宋体" w:cs="宋体"/>
          <w:b/>
          <w:kern w:val="0"/>
          <w:sz w:val="32"/>
          <w:szCs w:val="32"/>
          <w:highlight w:val="none"/>
        </w:rPr>
      </w:pPr>
    </w:p>
    <w:p>
      <w:pPr>
        <w:pStyle w:val="2"/>
        <w:ind w:firstLine="480"/>
        <w:rPr>
          <w:highlight w:val="none"/>
        </w:rPr>
      </w:pPr>
    </w:p>
    <w:p>
      <w:pPr>
        <w:pStyle w:val="2"/>
        <w:ind w:firstLine="480"/>
        <w:rPr>
          <w:highlight w:val="none"/>
        </w:rPr>
      </w:pPr>
    </w:p>
    <w:p>
      <w:pPr>
        <w:pStyle w:val="24"/>
        <w:rPr>
          <w:highlight w:val="none"/>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widowControl/>
        <w:adjustRightInd/>
        <w:jc w:val="left"/>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六、评标标准相应的商务技术资料</w:t>
      </w:r>
    </w:p>
    <w:p>
      <w:pPr>
        <w:snapToGrid w:val="0"/>
        <w:spacing w:line="360" w:lineRule="auto"/>
        <w:ind w:firstLine="960" w:firstLineChars="400"/>
        <w:rPr>
          <w:rFonts w:ascii="宋体" w:hAnsi="宋体" w:cs="宋体"/>
          <w:sz w:val="24"/>
          <w:highlight w:val="none"/>
        </w:rPr>
      </w:pPr>
    </w:p>
    <w:p>
      <w:pPr>
        <w:snapToGrid w:val="0"/>
        <w:spacing w:line="360" w:lineRule="auto"/>
        <w:ind w:firstLine="964" w:firstLineChars="400"/>
        <w:rPr>
          <w:rFonts w:ascii="宋体" w:hAnsi="宋体" w:cs="宋体"/>
          <w:b/>
          <w:bCs/>
          <w:sz w:val="24"/>
          <w:highlight w:val="none"/>
        </w:rPr>
      </w:pPr>
    </w:p>
    <w:p>
      <w:pPr>
        <w:snapToGrid w:val="0"/>
        <w:spacing w:line="360" w:lineRule="auto"/>
        <w:ind w:firstLine="3360" w:firstLineChars="1400"/>
        <w:rPr>
          <w:rFonts w:ascii="宋体" w:hAnsi="宋体" w:cs="宋体"/>
          <w:sz w:val="24"/>
          <w:highlight w:val="none"/>
        </w:rPr>
      </w:pPr>
      <w:r>
        <w:rPr>
          <w:rFonts w:hint="eastAsia" w:ascii="宋体" w:hAnsi="宋体" w:cs="宋体"/>
          <w:sz w:val="24"/>
          <w:highlight w:val="none"/>
        </w:rPr>
        <w:t>（格式自拟）</w:t>
      </w: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pStyle w:val="27"/>
        <w:rPr>
          <w:highlight w:val="none"/>
        </w:rPr>
      </w:pPr>
    </w:p>
    <w:p>
      <w:pPr>
        <w:jc w:val="center"/>
        <w:rPr>
          <w:b/>
          <w:bCs/>
          <w:sz w:val="36"/>
          <w:szCs w:val="36"/>
          <w:highlight w:val="none"/>
        </w:rPr>
      </w:pPr>
      <w:bookmarkStart w:id="461" w:name="_Toc16712"/>
      <w:r>
        <w:rPr>
          <w:rFonts w:hint="eastAsia"/>
          <w:b/>
          <w:bCs/>
          <w:sz w:val="36"/>
          <w:szCs w:val="36"/>
          <w:highlight w:val="none"/>
        </w:rPr>
        <w:t>报价文件部分</w:t>
      </w:r>
      <w:bookmarkEnd w:id="461"/>
    </w:p>
    <w:p>
      <w:pPr>
        <w:spacing w:line="360" w:lineRule="auto"/>
        <w:jc w:val="center"/>
        <w:outlineLvl w:val="0"/>
        <w:rPr>
          <w:rFonts w:ascii="宋体" w:hAnsi="宋体" w:cs="宋体"/>
          <w:b/>
          <w:kern w:val="0"/>
          <w:sz w:val="36"/>
          <w:szCs w:val="36"/>
          <w:highlight w:val="none"/>
        </w:rPr>
      </w:pPr>
      <w:bookmarkStart w:id="462" w:name="_Toc31513"/>
    </w:p>
    <w:p>
      <w:pPr>
        <w:jc w:val="center"/>
        <w:rPr>
          <w:b/>
          <w:bCs/>
          <w:sz w:val="36"/>
          <w:szCs w:val="36"/>
          <w:highlight w:val="none"/>
        </w:rPr>
      </w:pPr>
      <w:r>
        <w:rPr>
          <w:rFonts w:hint="eastAsia"/>
          <w:b/>
          <w:bCs/>
          <w:sz w:val="36"/>
          <w:szCs w:val="36"/>
          <w:highlight w:val="none"/>
        </w:rPr>
        <w:t>目录</w:t>
      </w:r>
      <w:bookmarkEnd w:id="462"/>
    </w:p>
    <w:p>
      <w:pPr>
        <w:spacing w:line="360" w:lineRule="auto"/>
        <w:jc w:val="center"/>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（2）投标报价明细表………………………………………………………（页码）</w:t>
      </w:r>
    </w:p>
    <w:p>
      <w:pPr>
        <w:snapToGrid w:val="0"/>
        <w:spacing w:line="360" w:lineRule="auto"/>
        <w:ind w:right="480"/>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64"/>
        <w:ind w:firstLine="420"/>
        <w:rPr>
          <w:highlight w:val="none"/>
        </w:rPr>
      </w:pPr>
    </w:p>
    <w:p>
      <w:pPr>
        <w:rPr>
          <w:highlight w:val="none"/>
        </w:rPr>
      </w:pPr>
    </w:p>
    <w:p>
      <w:pPr>
        <w:pStyle w:val="64"/>
        <w:ind w:firstLine="420"/>
        <w:rPr>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4"/>
        <w:ind w:firstLine="420"/>
        <w:rPr>
          <w:highlight w:val="none"/>
        </w:rPr>
      </w:pPr>
    </w:p>
    <w:p>
      <w:pPr>
        <w:jc w:val="center"/>
        <w:rPr>
          <w:b/>
          <w:bCs/>
          <w:sz w:val="30"/>
          <w:szCs w:val="30"/>
          <w:highlight w:val="none"/>
        </w:rPr>
      </w:pPr>
      <w:bookmarkStart w:id="463" w:name="_Toc21159"/>
      <w:r>
        <w:rPr>
          <w:rFonts w:hint="eastAsia"/>
          <w:b/>
          <w:bCs/>
          <w:sz w:val="30"/>
          <w:szCs w:val="30"/>
          <w:highlight w:val="none"/>
        </w:rPr>
        <w:t>开标一览表（报价表）</w:t>
      </w:r>
      <w:bookmarkEnd w:id="463"/>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u w:val="single"/>
        </w:rPr>
        <w:t>（项目名称）</w:t>
      </w:r>
      <w:r>
        <w:rPr>
          <w:rFonts w:hint="eastAsia" w:ascii="宋体" w:hAnsi="宋体" w:cs="宋体"/>
          <w:kern w:val="0"/>
          <w:sz w:val="24"/>
          <w:highlight w:val="none"/>
          <w:lang w:val="zh-CN"/>
        </w:rPr>
        <w:t>【项目编号：_</w:t>
      </w:r>
      <w:r>
        <w:rPr>
          <w:rFonts w:ascii="宋体" w:hAnsi="宋体" w:cs="宋体"/>
          <w:kern w:val="0"/>
          <w:sz w:val="24"/>
          <w:highlight w:val="none"/>
          <w:lang w:val="zh-CN"/>
        </w:rPr>
        <w:t>_______</w:t>
      </w:r>
      <w:r>
        <w:rPr>
          <w:rFonts w:hint="eastAsia" w:ascii="宋体" w:hAnsi="宋体" w:cs="宋体"/>
          <w:sz w:val="24"/>
          <w:highlight w:val="none"/>
        </w:rPr>
        <w:t xml:space="preserve"> 】的实施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w:t>
      </w:r>
      <w:r>
        <w:rPr>
          <w:rFonts w:ascii="宋体" w:hAnsi="宋体" w:cs="宋体"/>
          <w:b/>
          <w:kern w:val="0"/>
          <w:sz w:val="24"/>
          <w:highlight w:val="none"/>
          <w:lang w:val="zh-CN"/>
        </w:rPr>
        <w:t xml:space="preserve">             </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16"/>
        <w:gridCol w:w="2725"/>
        <w:gridCol w:w="2060"/>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 w:val="24"/>
                <w:highlight w:val="none"/>
              </w:rPr>
            </w:pPr>
            <w:r>
              <w:rPr>
                <w:rFonts w:hint="eastAsia" w:ascii="宋体" w:hAnsi="宋体" w:cs="宋体"/>
                <w:sz w:val="24"/>
                <w:highlight w:val="none"/>
                <w:lang w:bidi="ar"/>
              </w:rPr>
              <w:t>序号</w:t>
            </w:r>
          </w:p>
        </w:tc>
        <w:tc>
          <w:tcPr>
            <w:tcW w:w="924"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 w:val="24"/>
                <w:highlight w:val="none"/>
              </w:rPr>
            </w:pPr>
            <w:r>
              <w:rPr>
                <w:rFonts w:hint="eastAsia" w:ascii="宋体" w:hAnsi="宋体" w:cs="宋体"/>
                <w:sz w:val="24"/>
                <w:highlight w:val="none"/>
                <w:lang w:bidi="ar"/>
              </w:rPr>
              <w:t>采购内容</w:t>
            </w:r>
          </w:p>
        </w:tc>
        <w:tc>
          <w:tcPr>
            <w:tcW w:w="1467"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 w:val="24"/>
                <w:highlight w:val="none"/>
              </w:rPr>
            </w:pPr>
            <w:r>
              <w:rPr>
                <w:rFonts w:hint="eastAsia" w:ascii="宋体" w:hAnsi="宋体" w:cs="宋体"/>
                <w:sz w:val="24"/>
                <w:highlight w:val="none"/>
              </w:rPr>
              <w:t>合同履约期限</w:t>
            </w:r>
          </w:p>
        </w:tc>
        <w:tc>
          <w:tcPr>
            <w:tcW w:w="1109"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 w:val="24"/>
                <w:highlight w:val="none"/>
              </w:rPr>
            </w:pPr>
            <w:r>
              <w:rPr>
                <w:rFonts w:hint="eastAsia" w:ascii="宋体" w:hAnsi="宋体" w:cs="宋体"/>
                <w:sz w:val="24"/>
                <w:highlight w:val="none"/>
              </w:rPr>
              <w:t>年度投标报价（元/年）</w:t>
            </w:r>
          </w:p>
        </w:tc>
        <w:tc>
          <w:tcPr>
            <w:tcW w:w="1091"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pPr>
              <w:pStyle w:val="60"/>
              <w:widowControl w:val="0"/>
              <w:snapToGrid w:val="0"/>
              <w:spacing w:after="120" w:line="360" w:lineRule="auto"/>
              <w:jc w:val="center"/>
              <w:rPr>
                <w:rFonts w:cs="宋体"/>
                <w:highlight w:val="none"/>
              </w:rPr>
            </w:pPr>
            <w:r>
              <w:rPr>
                <w:rFonts w:hint="eastAsia" w:cs="宋体"/>
                <w:highlight w:val="none"/>
              </w:rPr>
              <w:t>1</w:t>
            </w:r>
          </w:p>
        </w:tc>
        <w:tc>
          <w:tcPr>
            <w:tcW w:w="924"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highlight w:val="none"/>
              </w:rPr>
            </w:pPr>
            <w:r>
              <w:rPr>
                <w:rFonts w:hint="eastAsia" w:cs="宋体" w:asciiTheme="minorEastAsia" w:hAnsiTheme="minorEastAsia" w:eastAsiaTheme="minorEastAsia"/>
                <w:bCs/>
                <w:szCs w:val="21"/>
                <w:highlight w:val="none"/>
              </w:rPr>
              <w:t>聚贤街道2024-2027年病媒生物防治社会化服务</w:t>
            </w:r>
          </w:p>
        </w:tc>
        <w:tc>
          <w:tcPr>
            <w:tcW w:w="1467" w:type="pct"/>
            <w:tcBorders>
              <w:top w:val="single" w:color="auto" w:sz="4" w:space="0"/>
              <w:left w:val="single" w:color="auto" w:sz="4" w:space="0"/>
              <w:bottom w:val="single" w:color="auto" w:sz="4" w:space="0"/>
              <w:right w:val="single" w:color="auto" w:sz="4" w:space="0"/>
            </w:tcBorders>
            <w:vAlign w:val="center"/>
          </w:tcPr>
          <w:p>
            <w:pPr>
              <w:pStyle w:val="60"/>
              <w:widowControl w:val="0"/>
              <w:spacing w:after="120" w:line="360" w:lineRule="auto"/>
              <w:jc w:val="center"/>
              <w:rPr>
                <w:rFonts w:cs="宋体"/>
                <w:highlight w:val="none"/>
              </w:rPr>
            </w:pPr>
            <w:r>
              <w:rPr>
                <w:rFonts w:hint="eastAsia" w:cs="宋体" w:asciiTheme="minorEastAsia" w:hAnsiTheme="minorEastAsia" w:eastAsiaTheme="minorEastAsia"/>
                <w:sz w:val="21"/>
                <w:szCs w:val="21"/>
                <w:highlight w:val="none"/>
              </w:rPr>
              <w:t>本项目一招暂定三年，合同一年一签，采购人根据成交供应商在上一阶段合同履约、考核情况及财政资金审批等情况决定是否续签下一年度合同。</w:t>
            </w:r>
          </w:p>
        </w:tc>
        <w:tc>
          <w:tcPr>
            <w:tcW w:w="1109"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Arial"/>
                <w:bCs/>
                <w:szCs w:val="21"/>
                <w:highlight w:val="none"/>
              </w:rPr>
            </w:pPr>
            <w:r>
              <w:rPr>
                <w:rFonts w:hint="eastAsia" w:ascii="宋体" w:hAnsi="宋体" w:cs="Arial"/>
                <w:bCs/>
                <w:szCs w:val="21"/>
                <w:highlight w:val="none"/>
              </w:rPr>
              <w:t>小写：</w:t>
            </w:r>
          </w:p>
          <w:p>
            <w:pPr>
              <w:spacing w:line="460" w:lineRule="exact"/>
              <w:rPr>
                <w:rFonts w:cs="宋体"/>
                <w:highlight w:val="none"/>
              </w:rPr>
            </w:pPr>
            <w:r>
              <w:rPr>
                <w:rFonts w:hint="eastAsia" w:ascii="宋体" w:hAnsi="宋体" w:cs="Arial"/>
                <w:bCs/>
                <w:szCs w:val="21"/>
                <w:highlight w:val="none"/>
              </w:rPr>
              <w:t>大写：</w:t>
            </w:r>
          </w:p>
        </w:tc>
        <w:tc>
          <w:tcPr>
            <w:tcW w:w="1091" w:type="pct"/>
            <w:tcBorders>
              <w:top w:val="single" w:color="auto" w:sz="4" w:space="0"/>
              <w:left w:val="single" w:color="auto" w:sz="4" w:space="0"/>
              <w:bottom w:val="single" w:color="auto" w:sz="4" w:space="0"/>
              <w:right w:val="single" w:color="auto" w:sz="4" w:space="0"/>
            </w:tcBorders>
            <w:vAlign w:val="center"/>
          </w:tcPr>
          <w:p>
            <w:pPr>
              <w:spacing w:line="460" w:lineRule="exact"/>
              <w:rPr>
                <w:rFonts w:cs="宋体"/>
                <w:highlight w:val="none"/>
              </w:rPr>
            </w:pPr>
            <w:r>
              <w:rPr>
                <w:rFonts w:hint="eastAsia" w:ascii="宋体" w:hAnsi="宋体" w:cs="Arial"/>
                <w:bCs/>
                <w:szCs w:val="21"/>
                <w:highlight w:val="none"/>
              </w:rPr>
              <w:t>如无则“/”表示</w:t>
            </w: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1、投标人需按本表格式填写，否则视为投标文件含有采购人不能接受的附加条件，投标无效。本</w:t>
      </w:r>
      <w:r>
        <w:rPr>
          <w:rFonts w:ascii="宋体" w:hAnsi="宋体" w:cs="宋体"/>
          <w:kern w:val="0"/>
          <w:sz w:val="24"/>
          <w:highlight w:val="none"/>
          <w:lang w:val="zh-CN"/>
        </w:rPr>
        <w:t>表中的</w:t>
      </w:r>
      <w:r>
        <w:rPr>
          <w:rFonts w:hint="eastAsia" w:ascii="宋体" w:hAnsi="宋体" w:cs="宋体"/>
          <w:kern w:val="0"/>
          <w:sz w:val="24"/>
          <w:highlight w:val="none"/>
          <w:lang w:val="zh-CN"/>
        </w:rPr>
        <w:t>“年度</w:t>
      </w:r>
      <w:r>
        <w:rPr>
          <w:rFonts w:ascii="宋体" w:hAnsi="宋体" w:cs="宋体"/>
          <w:kern w:val="0"/>
          <w:sz w:val="24"/>
          <w:highlight w:val="none"/>
          <w:lang w:val="zh-CN"/>
        </w:rPr>
        <w:t>投标</w:t>
      </w:r>
      <w:r>
        <w:rPr>
          <w:rFonts w:hint="eastAsia" w:ascii="宋体" w:hAnsi="宋体" w:cs="宋体"/>
          <w:kern w:val="0"/>
          <w:sz w:val="24"/>
          <w:highlight w:val="none"/>
          <w:lang w:val="zh-CN"/>
        </w:rPr>
        <w:t>报价”</w:t>
      </w:r>
      <w:r>
        <w:rPr>
          <w:rFonts w:ascii="宋体" w:hAnsi="宋体" w:cs="宋体"/>
          <w:kern w:val="0"/>
          <w:sz w:val="24"/>
          <w:highlight w:val="none"/>
          <w:lang w:val="zh-CN"/>
        </w:rPr>
        <w:t>应和</w:t>
      </w:r>
      <w:r>
        <w:rPr>
          <w:rFonts w:hint="eastAsia" w:ascii="宋体" w:hAnsi="宋体" w:cs="宋体"/>
          <w:kern w:val="0"/>
          <w:sz w:val="24"/>
          <w:highlight w:val="none"/>
          <w:lang w:val="zh-CN"/>
        </w:rPr>
        <w:t>投标报价明细表中</w:t>
      </w:r>
      <w:r>
        <w:rPr>
          <w:rFonts w:ascii="宋体" w:hAnsi="宋体" w:cs="宋体"/>
          <w:kern w:val="0"/>
          <w:sz w:val="24"/>
          <w:highlight w:val="none"/>
          <w:lang w:val="zh-CN"/>
        </w:rPr>
        <w:t>的</w:t>
      </w:r>
      <w:r>
        <w:rPr>
          <w:rFonts w:hint="eastAsia" w:ascii="宋体" w:hAnsi="宋体" w:cs="宋体"/>
          <w:kern w:val="0"/>
          <w:sz w:val="24"/>
          <w:highlight w:val="none"/>
          <w:lang w:val="zh-CN"/>
        </w:rPr>
        <w:t xml:space="preserve"> “单个年度费用总额”</w:t>
      </w:r>
      <w:r>
        <w:rPr>
          <w:rFonts w:ascii="宋体" w:hAnsi="宋体" w:cs="宋体"/>
          <w:kern w:val="0"/>
          <w:sz w:val="24"/>
          <w:highlight w:val="none"/>
          <w:lang w:val="zh-CN"/>
        </w:rPr>
        <w:t>相等。</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jc w:val="center"/>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ascii="宋体" w:hAnsi="宋体" w:cs="宋体"/>
          <w:kern w:val="0"/>
          <w:sz w:val="24"/>
          <w:highlight w:val="none"/>
          <w:lang w:val="zh-CN"/>
        </w:rPr>
        <w:t xml:space="preserve">                        </w:t>
      </w: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w:t>
      </w:r>
    </w:p>
    <w:p>
      <w:pPr>
        <w:spacing w:line="360" w:lineRule="auto"/>
        <w:ind w:firstLine="4800" w:firstLineChars="20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rPr>
          <w:highlight w:val="none"/>
        </w:rPr>
      </w:pPr>
    </w:p>
    <w:p>
      <w:pPr>
        <w:jc w:val="center"/>
        <w:rPr>
          <w:rFonts w:ascii="宋体" w:hAnsi="宋体"/>
          <w:b/>
          <w:sz w:val="28"/>
          <w:highlight w:val="none"/>
        </w:rPr>
      </w:pPr>
      <w:r>
        <w:rPr>
          <w:rFonts w:hint="eastAsia" w:ascii="宋体" w:hAnsi="宋体"/>
          <w:b/>
          <w:sz w:val="28"/>
          <w:highlight w:val="none"/>
        </w:rPr>
        <w:t>投标报价明细表</w:t>
      </w:r>
    </w:p>
    <w:p>
      <w:pPr>
        <w:spacing w:line="400" w:lineRule="exact"/>
        <w:rPr>
          <w:rFonts w:ascii="宋体" w:hAnsi="宋体"/>
          <w:highlight w:val="none"/>
        </w:rPr>
      </w:pPr>
      <w:r>
        <w:rPr>
          <w:rFonts w:hint="eastAsia" w:ascii="宋体" w:hAnsi="宋体"/>
          <w:highlight w:val="none"/>
        </w:rPr>
        <w:t>项目名称：</w:t>
      </w:r>
      <w:r>
        <w:rPr>
          <w:rFonts w:hint="eastAsia" w:cs="宋体" w:asciiTheme="minorEastAsia" w:hAnsiTheme="minorEastAsia" w:eastAsiaTheme="minorEastAsia"/>
          <w:bCs/>
          <w:szCs w:val="21"/>
          <w:highlight w:val="none"/>
        </w:rPr>
        <w:t>聚贤街道2024-2027年病媒生物防治社会化服务</w:t>
      </w:r>
    </w:p>
    <w:p>
      <w:pPr>
        <w:tabs>
          <w:tab w:val="left" w:pos="8190"/>
        </w:tabs>
        <w:spacing w:line="400" w:lineRule="exact"/>
        <w:rPr>
          <w:rFonts w:ascii="宋体" w:hAnsi="宋体"/>
          <w:highlight w:val="none"/>
          <w:u w:val="single"/>
        </w:rPr>
      </w:pPr>
      <w:r>
        <w:rPr>
          <w:rFonts w:hint="eastAsia" w:ascii="宋体" w:hAnsi="宋体"/>
          <w:highlight w:val="none"/>
        </w:rPr>
        <w:t>项目编号：</w:t>
      </w:r>
      <w:r>
        <w:rPr>
          <w:rFonts w:cs="宋体" w:asciiTheme="minorEastAsia" w:hAnsiTheme="minorEastAsia" w:eastAsiaTheme="minorEastAsia"/>
          <w:bCs/>
          <w:szCs w:val="21"/>
          <w:highlight w:val="none"/>
        </w:rPr>
        <w:t>NBJX-2024022</w:t>
      </w:r>
      <w:r>
        <w:rPr>
          <w:rFonts w:ascii="宋体" w:hAnsi="宋体"/>
          <w:highlight w:val="none"/>
        </w:rPr>
        <w:t xml:space="preserve">                          </w:t>
      </w:r>
      <w:r>
        <w:rPr>
          <w:rFonts w:ascii="宋体" w:hAnsi="宋体"/>
          <w:highlight w:val="none"/>
        </w:rPr>
        <w:tab/>
      </w:r>
      <w:r>
        <w:rPr>
          <w:rFonts w:hint="eastAsia" w:ascii="宋体" w:hAnsi="宋体"/>
          <w:highlight w:val="none"/>
        </w:rPr>
        <w:t>单位：元</w:t>
      </w:r>
    </w:p>
    <w:tbl>
      <w:tblPr>
        <w:tblStyle w:val="65"/>
        <w:tblW w:w="9127" w:type="dxa"/>
        <w:tblInd w:w="-34" w:type="dxa"/>
        <w:tblLayout w:type="fixed"/>
        <w:tblCellMar>
          <w:top w:w="0" w:type="dxa"/>
          <w:left w:w="108" w:type="dxa"/>
          <w:bottom w:w="0" w:type="dxa"/>
          <w:right w:w="108" w:type="dxa"/>
        </w:tblCellMar>
      </w:tblPr>
      <w:tblGrid>
        <w:gridCol w:w="505"/>
        <w:gridCol w:w="2813"/>
        <w:gridCol w:w="1045"/>
        <w:gridCol w:w="1181"/>
        <w:gridCol w:w="1477"/>
        <w:gridCol w:w="2106"/>
      </w:tblGrid>
      <w:tr>
        <w:tblPrEx>
          <w:tblCellMar>
            <w:top w:w="0" w:type="dxa"/>
            <w:left w:w="108" w:type="dxa"/>
            <w:bottom w:w="0" w:type="dxa"/>
            <w:right w:w="108" w:type="dxa"/>
          </w:tblCellMar>
        </w:tblPrEx>
        <w:trPr>
          <w:trHeight w:val="702"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2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　　　目　</w:t>
            </w:r>
          </w:p>
        </w:tc>
        <w:tc>
          <w:tcPr>
            <w:tcW w:w="10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计量</w:t>
            </w:r>
          </w:p>
          <w:p>
            <w:pPr>
              <w:widowControl/>
              <w:jc w:val="center"/>
              <w:rPr>
                <w:rFonts w:ascii="宋体" w:hAnsi="宋体" w:cs="宋体"/>
                <w:kern w:val="0"/>
                <w:szCs w:val="21"/>
                <w:highlight w:val="none"/>
              </w:rPr>
            </w:pPr>
            <w:r>
              <w:rPr>
                <w:rFonts w:hint="eastAsia" w:ascii="宋体" w:hAnsi="宋体" w:cs="宋体"/>
                <w:kern w:val="0"/>
                <w:szCs w:val="21"/>
                <w:highlight w:val="none"/>
              </w:rPr>
              <w:t>单位</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数量</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费用小计</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备　注</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281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0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0</w:t>
            </w:r>
          </w:p>
        </w:tc>
        <w:tc>
          <w:tcPr>
            <w:tcW w:w="2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highlight w:val="none"/>
              </w:rPr>
            </w:pPr>
          </w:p>
        </w:tc>
        <w:tc>
          <w:tcPr>
            <w:tcW w:w="21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2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0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r>
        <w:tblPrEx>
          <w:tblCellMar>
            <w:top w:w="0" w:type="dxa"/>
            <w:left w:w="108" w:type="dxa"/>
            <w:bottom w:w="0" w:type="dxa"/>
            <w:right w:w="108" w:type="dxa"/>
          </w:tblCellMar>
        </w:tblPrEx>
        <w:trPr>
          <w:trHeight w:val="702" w:hRule="atLeast"/>
        </w:trPr>
        <w:tc>
          <w:tcPr>
            <w:tcW w:w="702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单个年度费用总额：</w:t>
            </w:r>
          </w:p>
        </w:tc>
        <w:tc>
          <w:tcPr>
            <w:tcW w:w="21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单个</w:t>
            </w:r>
            <w:r>
              <w:rPr>
                <w:rFonts w:ascii="宋体" w:hAnsi="宋体" w:cs="宋体"/>
                <w:kern w:val="0"/>
                <w:szCs w:val="21"/>
                <w:highlight w:val="none"/>
              </w:rPr>
              <w:t>年度</w:t>
            </w:r>
          </w:p>
        </w:tc>
      </w:tr>
    </w:tbl>
    <w:p>
      <w:pPr>
        <w:rPr>
          <w:rFonts w:ascii="宋体" w:hAnsi="宋体"/>
          <w:szCs w:val="21"/>
          <w:highlight w:val="none"/>
        </w:rPr>
      </w:pPr>
      <w:r>
        <w:rPr>
          <w:rFonts w:hint="eastAsia" w:ascii="宋体" w:hAnsi="宋体"/>
          <w:b/>
          <w:szCs w:val="21"/>
          <w:highlight w:val="none"/>
        </w:rPr>
        <w:t>备注：</w:t>
      </w:r>
      <w:r>
        <w:rPr>
          <w:rFonts w:hint="eastAsia" w:ascii="宋体" w:hAnsi="宋体"/>
          <w:szCs w:val="21"/>
          <w:highlight w:val="none"/>
        </w:rPr>
        <w:t>1、此表在不改变表式的情况下，可自行制作。</w:t>
      </w:r>
    </w:p>
    <w:p>
      <w:pPr>
        <w:ind w:firstLine="630" w:firstLineChars="300"/>
        <w:rPr>
          <w:rFonts w:ascii="宋体" w:hAnsi="宋体"/>
          <w:szCs w:val="21"/>
          <w:highlight w:val="none"/>
        </w:rPr>
      </w:pPr>
    </w:p>
    <w:p>
      <w:pPr>
        <w:ind w:firstLine="630" w:firstLineChars="300"/>
        <w:rPr>
          <w:rFonts w:ascii="宋体" w:hAnsi="宋体"/>
          <w:szCs w:val="21"/>
          <w:highlight w:val="none"/>
        </w:rPr>
      </w:pPr>
    </w:p>
    <w:p>
      <w:pPr>
        <w:jc w:val="center"/>
        <w:rPr>
          <w:rFonts w:ascii="宋体" w:hAnsi="宋体" w:cs="宋体"/>
          <w:b/>
          <w:kern w:val="0"/>
          <w:sz w:val="32"/>
          <w:szCs w:val="32"/>
          <w:highlight w:val="none"/>
        </w:rPr>
      </w:pPr>
      <w:r>
        <w:rPr>
          <w:rFonts w:hint="eastAsia" w:ascii="宋体" w:hAnsi="宋体" w:cs="宋体"/>
          <w:kern w:val="0"/>
          <w:sz w:val="24"/>
          <w:highlight w:val="none"/>
          <w:lang w:val="zh-CN"/>
        </w:rPr>
        <w:t xml:space="preserve"> </w:t>
      </w:r>
      <w:r>
        <w:rPr>
          <w:rFonts w:ascii="宋体" w:hAnsi="宋体" w:cs="宋体"/>
          <w:kern w:val="0"/>
          <w:sz w:val="24"/>
          <w:highlight w:val="none"/>
          <w:lang w:val="zh-CN"/>
        </w:rPr>
        <w:t xml:space="preserve">                  </w:t>
      </w:r>
      <w:r>
        <w:rPr>
          <w:rFonts w:hint="eastAsia" w:ascii="宋体" w:hAnsi="宋体" w:cs="宋体"/>
          <w:kern w:val="0"/>
          <w:sz w:val="24"/>
          <w:highlight w:val="none"/>
          <w:lang w:val="zh-CN"/>
        </w:rPr>
        <w:t>投标人名称(电子签</w:t>
      </w:r>
      <w:r>
        <w:rPr>
          <w:rFonts w:hint="eastAsia" w:ascii="宋体" w:hAnsi="宋体" w:cs="宋体"/>
          <w:kern w:val="0"/>
          <w:sz w:val="24"/>
          <w:highlight w:val="none"/>
        </w:rPr>
        <w:t>章</w:t>
      </w:r>
      <w:r>
        <w:rPr>
          <w:rFonts w:hint="eastAsia" w:ascii="宋体" w:hAnsi="宋体" w:cs="宋体"/>
          <w:kern w:val="0"/>
          <w:sz w:val="24"/>
          <w:highlight w:val="none"/>
          <w:lang w:val="zh-CN"/>
        </w:rPr>
        <w:t>)：</w:t>
      </w:r>
    </w:p>
    <w:p>
      <w:pPr>
        <w:spacing w:line="360" w:lineRule="auto"/>
        <w:ind w:firstLine="4800" w:firstLineChars="20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ind w:firstLine="174" w:firstLineChars="83"/>
        <w:rPr>
          <w:highlight w:val="none"/>
        </w:rPr>
      </w:pPr>
      <w:r>
        <w:rPr>
          <w:rFonts w:hint="eastAsia"/>
          <w:highlight w:val="none"/>
        </w:rPr>
        <w:t>附件</w:t>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政府采购活动现场确认声明书</w:t>
      </w:r>
    </w:p>
    <w:p>
      <w:pPr>
        <w:pStyle w:val="2"/>
        <w:ind w:firstLine="1446" w:firstLineChars="600"/>
        <w:rPr>
          <w:highlight w:val="none"/>
        </w:rPr>
      </w:pPr>
      <w:r>
        <w:rPr>
          <w:rFonts w:hint="eastAsia" w:ascii="宋体" w:hAnsi="宋体" w:cs="宋体"/>
          <w:b/>
          <w:bCs/>
          <w:szCs w:val="21"/>
          <w:highlight w:val="none"/>
        </w:rPr>
        <w:t>此声明书非投标文件的组成内容，无需编入投标文件中。</w:t>
      </w:r>
    </w:p>
    <w:p>
      <w:pPr>
        <w:adjustRightInd/>
        <w:snapToGrid w:val="0"/>
        <w:spacing w:line="360" w:lineRule="auto"/>
        <w:rPr>
          <w:rFonts w:ascii="宋体" w:hAnsi="宋体" w:cs="宋体"/>
          <w:spacing w:val="6"/>
          <w:szCs w:val="21"/>
          <w:highlight w:val="none"/>
        </w:rPr>
      </w:pPr>
      <w:r>
        <w:rPr>
          <w:rFonts w:hint="eastAsia" w:ascii="宋体" w:hAnsi="宋体" w:cs="宋体"/>
          <w:spacing w:val="6"/>
          <w:szCs w:val="21"/>
          <w:highlight w:val="none"/>
          <w:u w:val="single"/>
        </w:rPr>
        <w:t>宁波建信工程造价咨询事务所有限公司</w:t>
      </w:r>
      <w:r>
        <w:rPr>
          <w:rFonts w:hint="eastAsia" w:ascii="宋体" w:hAnsi="宋体" w:cs="宋体"/>
          <w:spacing w:val="6"/>
          <w:szCs w:val="21"/>
          <w:highlight w:val="none"/>
        </w:rPr>
        <w:t>：</w:t>
      </w:r>
    </w:p>
    <w:p>
      <w:pPr>
        <w:adjustRightInd/>
        <w:snapToGrid w:val="0"/>
        <w:spacing w:line="360" w:lineRule="auto"/>
        <w:ind w:firstLine="444" w:firstLineChars="200"/>
        <w:rPr>
          <w:rFonts w:ascii="宋体" w:hAnsi="宋体" w:cs="宋体"/>
          <w:spacing w:val="6"/>
          <w:szCs w:val="21"/>
          <w:highlight w:val="none"/>
        </w:rPr>
      </w:pPr>
      <w:r>
        <w:rPr>
          <w:rFonts w:hint="eastAsia" w:ascii="宋体" w:hAnsi="宋体" w:cs="宋体"/>
          <w:spacing w:val="6"/>
          <w:szCs w:val="21"/>
          <w:highlight w:val="none"/>
        </w:rPr>
        <w:t>本人</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（授权代表姓名），经由</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（单位）</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（法定代表人姓名）合法授权参加</w:t>
      </w:r>
      <w:r>
        <w:rPr>
          <w:rFonts w:hint="eastAsia" w:ascii="宋体" w:hAnsi="宋体" w:cs="宋体"/>
          <w:spacing w:val="6"/>
          <w:szCs w:val="21"/>
          <w:highlight w:val="none"/>
          <w:u w:val="single"/>
        </w:rPr>
        <w:t xml:space="preserve">   （项目名称）       </w:t>
      </w:r>
      <w:r>
        <w:rPr>
          <w:rFonts w:hint="eastAsia" w:ascii="宋体" w:hAnsi="宋体" w:cs="宋体"/>
          <w:spacing w:val="6"/>
          <w:szCs w:val="21"/>
          <w:highlight w:val="none"/>
        </w:rPr>
        <w:t>（项目编号：</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 xml:space="preserve">）政府采购活动，经与本单位法人代表（负责人）联系确认，现就有关公平竞争事项郑重声明如下： </w:t>
      </w:r>
    </w:p>
    <w:p>
      <w:pPr>
        <w:widowControl/>
        <w:numPr>
          <w:ilvl w:val="0"/>
          <w:numId w:val="5"/>
        </w:numPr>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本单位与采购人之间 （□不存在利害关系 □存在下列利害关系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widowControl/>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A.投资关系    B.行政隶属关系    C.业务指导关系</w:t>
      </w:r>
    </w:p>
    <w:p>
      <w:pPr>
        <w:widowControl/>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D.其他可能</w:t>
      </w:r>
      <w:r>
        <w:rPr>
          <w:rFonts w:hint="eastAsia" w:ascii="宋体" w:hAnsi="宋体" w:cs="宋体"/>
          <w:szCs w:val="21"/>
          <w:highlight w:val="none"/>
        </w:rPr>
        <w:t>影响采购公正的</w:t>
      </w:r>
      <w:r>
        <w:rPr>
          <w:rFonts w:hint="eastAsia" w:ascii="宋体" w:hAnsi="宋体" w:cs="宋体"/>
          <w:kern w:val="0"/>
          <w:szCs w:val="21"/>
          <w:highlight w:val="none"/>
        </w:rPr>
        <w:t xml:space="preserve">利害关系（如有，请如实说明）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widowControl/>
        <w:numPr>
          <w:ilvl w:val="0"/>
          <w:numId w:val="5"/>
        </w:numPr>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（供应商名称）之间存在下列利害关系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A.法定代表人或负责人或实际控制人是同一人</w:t>
      </w:r>
    </w:p>
    <w:p>
      <w:pPr>
        <w:adjustRightInd/>
        <w:snapToGrid w:val="0"/>
        <w:spacing w:line="360" w:lineRule="auto"/>
        <w:ind w:firstLine="420" w:firstLineChars="200"/>
        <w:rPr>
          <w:rFonts w:ascii="宋体" w:hAnsi="宋体" w:cs="宋体"/>
          <w:spacing w:val="6"/>
          <w:szCs w:val="21"/>
          <w:highlight w:val="none"/>
        </w:rPr>
      </w:pPr>
      <w:r>
        <w:rPr>
          <w:rFonts w:hint="eastAsia" w:ascii="宋体" w:hAnsi="宋体" w:cs="宋体"/>
          <w:kern w:val="0"/>
          <w:szCs w:val="21"/>
          <w:highlight w:val="none"/>
        </w:rPr>
        <w:t>B.法定代表人或负责人或实际控制人是夫妻关系</w:t>
      </w:r>
    </w:p>
    <w:p>
      <w:pPr>
        <w:adjustRightInd/>
        <w:snapToGrid w:val="0"/>
        <w:spacing w:line="360" w:lineRule="auto"/>
        <w:ind w:firstLine="420" w:firstLineChars="200"/>
        <w:rPr>
          <w:rFonts w:ascii="宋体" w:hAnsi="宋体" w:cs="宋体"/>
          <w:spacing w:val="6"/>
          <w:szCs w:val="21"/>
          <w:highlight w:val="none"/>
        </w:rPr>
      </w:pPr>
      <w:r>
        <w:rPr>
          <w:rFonts w:hint="eastAsia" w:ascii="宋体" w:hAnsi="宋体" w:cs="宋体"/>
          <w:kern w:val="0"/>
          <w:szCs w:val="21"/>
          <w:highlight w:val="none"/>
        </w:rPr>
        <w:t>C.法定代表人或负责人或实际控制人是直系血亲关系</w:t>
      </w:r>
    </w:p>
    <w:p>
      <w:pPr>
        <w:adjustRightInd/>
        <w:snapToGrid w:val="0"/>
        <w:spacing w:line="360" w:lineRule="auto"/>
        <w:ind w:firstLine="420" w:firstLineChars="200"/>
        <w:rPr>
          <w:rFonts w:ascii="宋体" w:hAnsi="宋体" w:cs="宋体"/>
          <w:spacing w:val="6"/>
          <w:szCs w:val="21"/>
          <w:highlight w:val="none"/>
        </w:rPr>
      </w:pPr>
      <w:r>
        <w:rPr>
          <w:rFonts w:hint="eastAsia" w:ascii="宋体" w:hAnsi="宋体" w:cs="宋体"/>
          <w:kern w:val="0"/>
          <w:szCs w:val="21"/>
          <w:highlight w:val="none"/>
        </w:rPr>
        <w:t>D.法定代表人或负责人或实际控制人存在三代以内旁系血亲关系</w:t>
      </w:r>
    </w:p>
    <w:p>
      <w:pPr>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E.法定代表人或负责人或实际控制人存在近姻亲关系</w:t>
      </w:r>
    </w:p>
    <w:p>
      <w:pPr>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F.法定代表人或负责人或实际控制人存在股份控制或实际控制关系</w:t>
      </w:r>
    </w:p>
    <w:p>
      <w:pPr>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G.存在共同直接或间接投资设立子公司、联营企业和合营企业情况</w:t>
      </w:r>
    </w:p>
    <w:p>
      <w:pPr>
        <w:adjustRightInd/>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H.存在分级代理或代销关系、同一生产制造商关系、</w:t>
      </w:r>
      <w:r>
        <w:rPr>
          <w:rFonts w:hint="eastAsia" w:ascii="宋体" w:hAnsi="宋体" w:cs="宋体"/>
          <w:szCs w:val="21"/>
          <w:highlight w:val="none"/>
        </w:rPr>
        <w:t>管理关系、重要业务（占主营业务收入50%以上）或重要财务往来关系（如融资）等其他实质性控制关系</w:t>
      </w:r>
    </w:p>
    <w:p>
      <w:pPr>
        <w:adjustRightInd/>
        <w:snapToGrid w:val="0"/>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I</w:t>
      </w:r>
      <w:r>
        <w:rPr>
          <w:rFonts w:hint="eastAsia" w:ascii="宋体" w:hAnsi="宋体" w:cs="宋体"/>
          <w:kern w:val="0"/>
          <w:szCs w:val="21"/>
          <w:highlight w:val="none"/>
        </w:rPr>
        <w:t>.</w:t>
      </w:r>
      <w:r>
        <w:rPr>
          <w:rFonts w:hint="eastAsia" w:ascii="宋体" w:hAnsi="宋体" w:cs="宋体"/>
          <w:szCs w:val="21"/>
          <w:highlight w:val="none"/>
        </w:rPr>
        <w:t>其他利害关系情况</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widowControl/>
        <w:numPr>
          <w:ilvl w:val="0"/>
          <w:numId w:val="6"/>
        </w:numPr>
        <w:adjustRightInd/>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pPr>
        <w:widowControl/>
        <w:numPr>
          <w:ilvl w:val="0"/>
          <w:numId w:val="6"/>
        </w:numPr>
        <w:adjustRightInd/>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我发现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项利害关系。</w:t>
      </w:r>
    </w:p>
    <w:p>
      <w:pPr>
        <w:adjustRightInd/>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（供应商代表签名）：</w:t>
      </w:r>
    </w:p>
    <w:p>
      <w:pPr>
        <w:adjustRightInd/>
        <w:spacing w:line="360" w:lineRule="auto"/>
        <w:ind w:firstLine="420" w:firstLineChars="200"/>
        <w:rPr>
          <w:rFonts w:ascii="宋体" w:hAnsi="宋体" w:cs="宋体"/>
          <w:b/>
          <w:szCs w:val="21"/>
          <w:highlight w:val="none"/>
        </w:rPr>
      </w:pPr>
      <w:r>
        <w:rPr>
          <w:rFonts w:hint="eastAsia" w:ascii="宋体" w:hAnsi="宋体" w:cs="宋体"/>
          <w:szCs w:val="21"/>
          <w:highlight w:val="none"/>
        </w:rPr>
        <w:t xml:space="preserve">                                   年  月  日（请填写开标日当天日期）</w:t>
      </w:r>
    </w:p>
    <w:p>
      <w:pPr>
        <w:adjustRightInd/>
        <w:rPr>
          <w:rFonts w:ascii="宋体" w:hAnsi="宋体" w:cs="宋体"/>
          <w:b/>
          <w:bCs/>
          <w:szCs w:val="21"/>
          <w:highlight w:val="none"/>
        </w:rPr>
      </w:pPr>
      <w:r>
        <w:rPr>
          <w:rFonts w:hint="eastAsia" w:ascii="宋体" w:hAnsi="宋体" w:cs="宋体"/>
          <w:b/>
          <w:bCs/>
          <w:szCs w:val="21"/>
          <w:highlight w:val="none"/>
        </w:rPr>
        <w:t>说明：（1）供应商解密响应文件及获知其他供应商信息后进行如实声明并由授权代表签名后，以扫描件形式通过邮件方式发送至邮箱：</w:t>
      </w:r>
      <w:r>
        <w:rPr>
          <w:rFonts w:hint="eastAsia" w:ascii="宋体" w:hAnsi="宋体" w:cs="宋体"/>
          <w:b/>
          <w:bCs/>
          <w:szCs w:val="21"/>
          <w:highlight w:val="none"/>
          <w:u w:val="single"/>
          <w:lang w:val="en-US" w:eastAsia="zh-CN"/>
        </w:rPr>
        <w:t>57111757</w:t>
      </w:r>
      <w:r>
        <w:rPr>
          <w:rFonts w:hint="eastAsia" w:ascii="宋体" w:hAnsi="宋体" w:cs="宋体"/>
          <w:b/>
          <w:bCs/>
          <w:szCs w:val="21"/>
          <w:highlight w:val="none"/>
          <w:u w:val="single"/>
        </w:rPr>
        <w:t>@qq.com</w:t>
      </w:r>
      <w:r>
        <w:rPr>
          <w:rFonts w:hint="eastAsia" w:ascii="宋体" w:hAnsi="宋体" w:cs="宋体"/>
          <w:b/>
          <w:bCs/>
          <w:szCs w:val="21"/>
          <w:highlight w:val="none"/>
        </w:rPr>
        <w:t>。</w:t>
      </w:r>
    </w:p>
    <w:p>
      <w:pPr>
        <w:adjustRightInd/>
        <w:ind w:firstLine="422" w:firstLineChars="200"/>
        <w:rPr>
          <w:rFonts w:ascii="宋体" w:hAnsi="宋体" w:cs="宋体"/>
          <w:b/>
          <w:bCs/>
          <w:szCs w:val="21"/>
          <w:highlight w:val="none"/>
        </w:rPr>
      </w:pPr>
      <w:r>
        <w:rPr>
          <w:rFonts w:hint="eastAsia" w:ascii="宋体" w:hAnsi="宋体" w:cs="宋体"/>
          <w:b/>
          <w:bCs/>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kern w:val="0"/>
          <w:szCs w:val="21"/>
          <w:highlight w:val="none"/>
        </w:rPr>
        <w:t>□不存在利害关系</w:t>
      </w:r>
      <w:r>
        <w:rPr>
          <w:rFonts w:hint="eastAsia" w:ascii="宋体" w:hAnsi="宋体" w:cs="宋体"/>
          <w:b/>
          <w:bCs/>
          <w:szCs w:val="21"/>
          <w:highlight w:val="none"/>
        </w:rPr>
        <w:t>”</w:t>
      </w:r>
      <w:r>
        <w:rPr>
          <w:rFonts w:hint="eastAsia" w:ascii="宋体" w:hAnsi="宋体" w:cs="宋体"/>
          <w:b/>
          <w:bCs/>
          <w:kern w:val="0"/>
          <w:szCs w:val="21"/>
          <w:highlight w:val="none"/>
        </w:rPr>
        <w:t>打钩，二中的</w:t>
      </w:r>
      <w:r>
        <w:rPr>
          <w:rFonts w:hint="eastAsia" w:ascii="宋体" w:hAnsi="宋体" w:cs="宋体"/>
          <w:b/>
          <w:bCs/>
          <w:szCs w:val="21"/>
          <w:highlight w:val="none"/>
        </w:rPr>
        <w:t>“</w:t>
      </w:r>
      <w:r>
        <w:rPr>
          <w:rFonts w:hint="eastAsia" w:ascii="宋体" w:hAnsi="宋体" w:cs="宋体"/>
          <w:b/>
          <w:bCs/>
          <w:kern w:val="0"/>
          <w:szCs w:val="21"/>
          <w:highlight w:val="none"/>
        </w:rPr>
        <w:t>□与其他所有供应商之间均不存在利害关系</w:t>
      </w:r>
      <w:r>
        <w:rPr>
          <w:rFonts w:hint="eastAsia" w:ascii="宋体" w:hAnsi="宋体" w:cs="宋体"/>
          <w:b/>
          <w:bCs/>
          <w:szCs w:val="21"/>
          <w:highlight w:val="none"/>
        </w:rPr>
        <w:t>”</w:t>
      </w:r>
      <w:r>
        <w:rPr>
          <w:rFonts w:hint="eastAsia" w:ascii="宋体" w:hAnsi="宋体" w:cs="宋体"/>
          <w:b/>
          <w:bCs/>
          <w:kern w:val="0"/>
          <w:szCs w:val="21"/>
          <w:highlight w:val="none"/>
        </w:rPr>
        <w:t>打钩</w:t>
      </w:r>
      <w:r>
        <w:rPr>
          <w:rFonts w:hint="eastAsia" w:ascii="宋体" w:hAnsi="宋体" w:cs="宋体"/>
          <w:b/>
          <w:bCs/>
          <w:szCs w:val="21"/>
          <w:highlight w:val="none"/>
        </w:rPr>
        <w:t>，四中的2个下划线用斜杠“/”划掉。</w:t>
      </w:r>
    </w:p>
    <w:p>
      <w:pPr>
        <w:spacing w:line="360" w:lineRule="auto"/>
        <w:ind w:firstLine="422" w:firstLineChars="200"/>
        <w:rPr>
          <w:rFonts w:ascii="宋体" w:hAnsi="宋体" w:cs="宋体"/>
          <w:b/>
          <w:szCs w:val="21"/>
          <w:highlight w:val="none"/>
        </w:rPr>
      </w:pPr>
      <w:r>
        <w:rPr>
          <w:rFonts w:hint="eastAsia" w:ascii="宋体" w:hAnsi="宋体" w:cs="宋体"/>
          <w:b/>
          <w:bCs/>
          <w:szCs w:val="21"/>
          <w:highlight w:val="none"/>
        </w:rPr>
        <w:t>（3）此声明书非投标文件的组成内容，无需编入投标文件中。</w:t>
      </w:r>
    </w:p>
    <w:p>
      <w:pPr>
        <w:pStyle w:val="2"/>
        <w:ind w:firstLine="480"/>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64" w:name="_Toc164085800"/>
    <w:bookmarkStart w:id="465" w:name="_Toc36110187"/>
    <w:bookmarkStart w:id="466" w:name="_Toc91899912"/>
    <w:bookmarkStart w:id="467" w:name="_Toc131845147"/>
    <w:r>
      <w:rPr>
        <w:rFonts w:hint="eastAsia" w:ascii="仿宋_GB2312" w:eastAsia="仿宋_GB2312"/>
        <w:kern w:val="0"/>
        <w:szCs w:val="21"/>
      </w:rPr>
      <w:t xml:space="preserve"> 页</w:t>
    </w:r>
    <w:bookmarkEnd w:id="464"/>
    <w:bookmarkEnd w:id="465"/>
    <w:bookmarkEnd w:id="466"/>
    <w:bookmarkEnd w:id="4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rPr>
      <w:t xml:space="preserve">            </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r>
      <w:t xml:space="preserve">                 </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w:t>
    </w:r>
  </w:p>
  <w:p>
    <w:pPr>
      <w:pStyle w:val="42"/>
      <w:jc w:val="right"/>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 xml:space="preserve"> 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80F08"/>
    <w:multiLevelType w:val="singleLevel"/>
    <w:tmpl w:val="F5E80F08"/>
    <w:lvl w:ilvl="0" w:tentative="0">
      <w:start w:val="23"/>
      <w:numFmt w:val="decimal"/>
      <w:suff w:val="space"/>
      <w:lvlText w:val="%1."/>
      <w:lvlJc w:val="left"/>
    </w:lvl>
  </w:abstractNum>
  <w:abstractNum w:abstractNumId="1">
    <w:nsid w:val="0D43D065"/>
    <w:multiLevelType w:val="singleLevel"/>
    <w:tmpl w:val="0D43D065"/>
    <w:lvl w:ilvl="0" w:tentative="0">
      <w:start w:val="1"/>
      <w:numFmt w:val="chineseCounting"/>
      <w:suff w:val="nothing"/>
      <w:lvlText w:val="%1、"/>
      <w:lvlJc w:val="left"/>
      <w:rPr>
        <w:rFonts w:hint="eastAsia"/>
      </w:rPr>
    </w:lvl>
  </w:abstractNum>
  <w:abstractNum w:abstractNumId="2">
    <w:nsid w:val="3B500D3E"/>
    <w:multiLevelType w:val="singleLevel"/>
    <w:tmpl w:val="3B500D3E"/>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DEC5342"/>
    <w:multiLevelType w:val="multilevel"/>
    <w:tmpl w:val="6DEC5342"/>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OWE5OTJkNTMwZmQ3ZjFlOTUwNTgzYWQzYjRiZjkifQ=="/>
  </w:docVars>
  <w:rsids>
    <w:rsidRoot w:val="00172A27"/>
    <w:rsid w:val="00000451"/>
    <w:rsid w:val="0000108B"/>
    <w:rsid w:val="0000133D"/>
    <w:rsid w:val="00001509"/>
    <w:rsid w:val="00001704"/>
    <w:rsid w:val="000032B2"/>
    <w:rsid w:val="0000363B"/>
    <w:rsid w:val="000058BD"/>
    <w:rsid w:val="00005A5E"/>
    <w:rsid w:val="00006109"/>
    <w:rsid w:val="00006150"/>
    <w:rsid w:val="000063E8"/>
    <w:rsid w:val="00006725"/>
    <w:rsid w:val="0000675E"/>
    <w:rsid w:val="00007CAA"/>
    <w:rsid w:val="00010FE9"/>
    <w:rsid w:val="0001122F"/>
    <w:rsid w:val="00011A4B"/>
    <w:rsid w:val="00011A5C"/>
    <w:rsid w:val="00012251"/>
    <w:rsid w:val="0001337C"/>
    <w:rsid w:val="000138C4"/>
    <w:rsid w:val="00013C1F"/>
    <w:rsid w:val="00013F31"/>
    <w:rsid w:val="000140D8"/>
    <w:rsid w:val="00014530"/>
    <w:rsid w:val="00014BBC"/>
    <w:rsid w:val="00014D8B"/>
    <w:rsid w:val="000150EE"/>
    <w:rsid w:val="00015826"/>
    <w:rsid w:val="0001687E"/>
    <w:rsid w:val="000168D8"/>
    <w:rsid w:val="00017024"/>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D20"/>
    <w:rsid w:val="00025350"/>
    <w:rsid w:val="000253E5"/>
    <w:rsid w:val="00025776"/>
    <w:rsid w:val="00026300"/>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FA7"/>
    <w:rsid w:val="0003533D"/>
    <w:rsid w:val="000357E4"/>
    <w:rsid w:val="00035ACA"/>
    <w:rsid w:val="00035FFB"/>
    <w:rsid w:val="00036C29"/>
    <w:rsid w:val="00037B93"/>
    <w:rsid w:val="00040447"/>
    <w:rsid w:val="00040494"/>
    <w:rsid w:val="00040B70"/>
    <w:rsid w:val="00041BF2"/>
    <w:rsid w:val="00042107"/>
    <w:rsid w:val="00042441"/>
    <w:rsid w:val="00042533"/>
    <w:rsid w:val="00042DBB"/>
    <w:rsid w:val="00042E65"/>
    <w:rsid w:val="0004347C"/>
    <w:rsid w:val="00043907"/>
    <w:rsid w:val="00044D2D"/>
    <w:rsid w:val="00044F48"/>
    <w:rsid w:val="00047354"/>
    <w:rsid w:val="00050072"/>
    <w:rsid w:val="00050656"/>
    <w:rsid w:val="0005072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698"/>
    <w:rsid w:val="00056791"/>
    <w:rsid w:val="00056868"/>
    <w:rsid w:val="00056876"/>
    <w:rsid w:val="000568DF"/>
    <w:rsid w:val="000576D1"/>
    <w:rsid w:val="00057811"/>
    <w:rsid w:val="000578A3"/>
    <w:rsid w:val="00057D4C"/>
    <w:rsid w:val="00060C48"/>
    <w:rsid w:val="00061A3C"/>
    <w:rsid w:val="00061C48"/>
    <w:rsid w:val="000627C2"/>
    <w:rsid w:val="00063589"/>
    <w:rsid w:val="00064278"/>
    <w:rsid w:val="000646CA"/>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56A"/>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AD4"/>
    <w:rsid w:val="00083E07"/>
    <w:rsid w:val="00084D27"/>
    <w:rsid w:val="00084ED6"/>
    <w:rsid w:val="0008580E"/>
    <w:rsid w:val="00085A0E"/>
    <w:rsid w:val="00085C4F"/>
    <w:rsid w:val="00085C5B"/>
    <w:rsid w:val="00086EFD"/>
    <w:rsid w:val="00086F8A"/>
    <w:rsid w:val="00087031"/>
    <w:rsid w:val="00090243"/>
    <w:rsid w:val="000904F6"/>
    <w:rsid w:val="00090918"/>
    <w:rsid w:val="00090AAD"/>
    <w:rsid w:val="00090ED8"/>
    <w:rsid w:val="00090F9F"/>
    <w:rsid w:val="0009145F"/>
    <w:rsid w:val="0009184E"/>
    <w:rsid w:val="00091B4E"/>
    <w:rsid w:val="000923DB"/>
    <w:rsid w:val="00092467"/>
    <w:rsid w:val="0009287C"/>
    <w:rsid w:val="00092DE1"/>
    <w:rsid w:val="00092EF7"/>
    <w:rsid w:val="00092FE9"/>
    <w:rsid w:val="000936BF"/>
    <w:rsid w:val="0009382F"/>
    <w:rsid w:val="00093A30"/>
    <w:rsid w:val="00093E26"/>
    <w:rsid w:val="00094342"/>
    <w:rsid w:val="000945BA"/>
    <w:rsid w:val="00095954"/>
    <w:rsid w:val="00095E1B"/>
    <w:rsid w:val="000960BA"/>
    <w:rsid w:val="0009662A"/>
    <w:rsid w:val="0009690D"/>
    <w:rsid w:val="00096DFF"/>
    <w:rsid w:val="000975B9"/>
    <w:rsid w:val="000A0729"/>
    <w:rsid w:val="000A0E69"/>
    <w:rsid w:val="000A105F"/>
    <w:rsid w:val="000A1A52"/>
    <w:rsid w:val="000A1F98"/>
    <w:rsid w:val="000A2103"/>
    <w:rsid w:val="000A3D58"/>
    <w:rsid w:val="000A3FE3"/>
    <w:rsid w:val="000A47B0"/>
    <w:rsid w:val="000A4851"/>
    <w:rsid w:val="000A49BB"/>
    <w:rsid w:val="000A4F22"/>
    <w:rsid w:val="000A5674"/>
    <w:rsid w:val="000A5A46"/>
    <w:rsid w:val="000A7299"/>
    <w:rsid w:val="000A752E"/>
    <w:rsid w:val="000B0E04"/>
    <w:rsid w:val="000B16CF"/>
    <w:rsid w:val="000B268D"/>
    <w:rsid w:val="000B291B"/>
    <w:rsid w:val="000B41D6"/>
    <w:rsid w:val="000B456C"/>
    <w:rsid w:val="000B45B9"/>
    <w:rsid w:val="000B47CE"/>
    <w:rsid w:val="000B4B56"/>
    <w:rsid w:val="000B4C62"/>
    <w:rsid w:val="000B541D"/>
    <w:rsid w:val="000B54C1"/>
    <w:rsid w:val="000B5553"/>
    <w:rsid w:val="000B5FE8"/>
    <w:rsid w:val="000B61DC"/>
    <w:rsid w:val="000B666E"/>
    <w:rsid w:val="000B6BCD"/>
    <w:rsid w:val="000B7593"/>
    <w:rsid w:val="000C0A43"/>
    <w:rsid w:val="000C0CB1"/>
    <w:rsid w:val="000C1411"/>
    <w:rsid w:val="000C1A69"/>
    <w:rsid w:val="000C1ADE"/>
    <w:rsid w:val="000C1C38"/>
    <w:rsid w:val="000C21DC"/>
    <w:rsid w:val="000C2264"/>
    <w:rsid w:val="000C256B"/>
    <w:rsid w:val="000C2819"/>
    <w:rsid w:val="000C2D53"/>
    <w:rsid w:val="000C2ED5"/>
    <w:rsid w:val="000C3970"/>
    <w:rsid w:val="000C3B1A"/>
    <w:rsid w:val="000C4727"/>
    <w:rsid w:val="000C47AE"/>
    <w:rsid w:val="000C51AD"/>
    <w:rsid w:val="000C5356"/>
    <w:rsid w:val="000C5374"/>
    <w:rsid w:val="000C5EC0"/>
    <w:rsid w:val="000C6162"/>
    <w:rsid w:val="000C64CC"/>
    <w:rsid w:val="000C6688"/>
    <w:rsid w:val="000C692E"/>
    <w:rsid w:val="000C6B28"/>
    <w:rsid w:val="000C725C"/>
    <w:rsid w:val="000C7BEB"/>
    <w:rsid w:val="000D0124"/>
    <w:rsid w:val="000D059B"/>
    <w:rsid w:val="000D11E5"/>
    <w:rsid w:val="000D19E8"/>
    <w:rsid w:val="000D1FA1"/>
    <w:rsid w:val="000D2834"/>
    <w:rsid w:val="000D2B7E"/>
    <w:rsid w:val="000D2C29"/>
    <w:rsid w:val="000D2CAC"/>
    <w:rsid w:val="000D34C8"/>
    <w:rsid w:val="000D34FD"/>
    <w:rsid w:val="000D3BE5"/>
    <w:rsid w:val="000D3C37"/>
    <w:rsid w:val="000D453A"/>
    <w:rsid w:val="000D4AFA"/>
    <w:rsid w:val="000D5A3E"/>
    <w:rsid w:val="000D5EA6"/>
    <w:rsid w:val="000D5F00"/>
    <w:rsid w:val="000D6C36"/>
    <w:rsid w:val="000D6C9F"/>
    <w:rsid w:val="000D6E3B"/>
    <w:rsid w:val="000D6F30"/>
    <w:rsid w:val="000D74E4"/>
    <w:rsid w:val="000D7C9D"/>
    <w:rsid w:val="000D7CE0"/>
    <w:rsid w:val="000E0080"/>
    <w:rsid w:val="000E0993"/>
    <w:rsid w:val="000E0F69"/>
    <w:rsid w:val="000E2785"/>
    <w:rsid w:val="000E27BB"/>
    <w:rsid w:val="000E294D"/>
    <w:rsid w:val="000E3153"/>
    <w:rsid w:val="000E31CF"/>
    <w:rsid w:val="000E3484"/>
    <w:rsid w:val="000E386F"/>
    <w:rsid w:val="000E4051"/>
    <w:rsid w:val="000E4139"/>
    <w:rsid w:val="000E4765"/>
    <w:rsid w:val="000E50D8"/>
    <w:rsid w:val="000E5B7E"/>
    <w:rsid w:val="000E5FF9"/>
    <w:rsid w:val="000E6AA6"/>
    <w:rsid w:val="000E6AE1"/>
    <w:rsid w:val="000E7142"/>
    <w:rsid w:val="000E7632"/>
    <w:rsid w:val="000E7737"/>
    <w:rsid w:val="000E7739"/>
    <w:rsid w:val="000E77EE"/>
    <w:rsid w:val="000F131E"/>
    <w:rsid w:val="000F1604"/>
    <w:rsid w:val="000F287A"/>
    <w:rsid w:val="000F2940"/>
    <w:rsid w:val="000F2AB3"/>
    <w:rsid w:val="000F38C3"/>
    <w:rsid w:val="000F3D08"/>
    <w:rsid w:val="000F4495"/>
    <w:rsid w:val="000F44B9"/>
    <w:rsid w:val="000F4A05"/>
    <w:rsid w:val="000F4AA8"/>
    <w:rsid w:val="000F4AEA"/>
    <w:rsid w:val="000F4E67"/>
    <w:rsid w:val="000F4E88"/>
    <w:rsid w:val="000F505B"/>
    <w:rsid w:val="000F5677"/>
    <w:rsid w:val="000F5DDB"/>
    <w:rsid w:val="000F6177"/>
    <w:rsid w:val="000F628E"/>
    <w:rsid w:val="000F68A0"/>
    <w:rsid w:val="000F6CC2"/>
    <w:rsid w:val="000F729C"/>
    <w:rsid w:val="000F73EF"/>
    <w:rsid w:val="000F7D4B"/>
    <w:rsid w:val="0010118C"/>
    <w:rsid w:val="0010125E"/>
    <w:rsid w:val="001015F8"/>
    <w:rsid w:val="00101967"/>
    <w:rsid w:val="00103251"/>
    <w:rsid w:val="00103509"/>
    <w:rsid w:val="0010393D"/>
    <w:rsid w:val="00103EBD"/>
    <w:rsid w:val="00104699"/>
    <w:rsid w:val="00104C1E"/>
    <w:rsid w:val="00104E5B"/>
    <w:rsid w:val="00104EEC"/>
    <w:rsid w:val="001050DC"/>
    <w:rsid w:val="00105482"/>
    <w:rsid w:val="001056A5"/>
    <w:rsid w:val="00105BA9"/>
    <w:rsid w:val="00105FE1"/>
    <w:rsid w:val="0010682A"/>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698E"/>
    <w:rsid w:val="001176FF"/>
    <w:rsid w:val="0012153F"/>
    <w:rsid w:val="0012159D"/>
    <w:rsid w:val="00121804"/>
    <w:rsid w:val="0012197F"/>
    <w:rsid w:val="00121EC9"/>
    <w:rsid w:val="0012208F"/>
    <w:rsid w:val="001224FE"/>
    <w:rsid w:val="001231D3"/>
    <w:rsid w:val="001232A7"/>
    <w:rsid w:val="001238AA"/>
    <w:rsid w:val="00123F7C"/>
    <w:rsid w:val="0012419E"/>
    <w:rsid w:val="0012432A"/>
    <w:rsid w:val="001248EF"/>
    <w:rsid w:val="00124AC0"/>
    <w:rsid w:val="00124FC4"/>
    <w:rsid w:val="001253AB"/>
    <w:rsid w:val="0012574C"/>
    <w:rsid w:val="001259B8"/>
    <w:rsid w:val="001264B9"/>
    <w:rsid w:val="001268B6"/>
    <w:rsid w:val="0012693E"/>
    <w:rsid w:val="00126A3A"/>
    <w:rsid w:val="00127060"/>
    <w:rsid w:val="0012716F"/>
    <w:rsid w:val="0012785E"/>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C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336"/>
    <w:rsid w:val="00151820"/>
    <w:rsid w:val="00151B2F"/>
    <w:rsid w:val="001524DC"/>
    <w:rsid w:val="001525E5"/>
    <w:rsid w:val="00152CFE"/>
    <w:rsid w:val="00153859"/>
    <w:rsid w:val="00153915"/>
    <w:rsid w:val="001539F0"/>
    <w:rsid w:val="00154BBA"/>
    <w:rsid w:val="00155B95"/>
    <w:rsid w:val="00156853"/>
    <w:rsid w:val="00156DEE"/>
    <w:rsid w:val="00157432"/>
    <w:rsid w:val="00161185"/>
    <w:rsid w:val="001620BA"/>
    <w:rsid w:val="001623AC"/>
    <w:rsid w:val="00162BAA"/>
    <w:rsid w:val="00163326"/>
    <w:rsid w:val="00163C40"/>
    <w:rsid w:val="0016488B"/>
    <w:rsid w:val="00165758"/>
    <w:rsid w:val="00165A65"/>
    <w:rsid w:val="00165EEA"/>
    <w:rsid w:val="00166317"/>
    <w:rsid w:val="00167055"/>
    <w:rsid w:val="00167478"/>
    <w:rsid w:val="00167594"/>
    <w:rsid w:val="00167BDE"/>
    <w:rsid w:val="00167CDC"/>
    <w:rsid w:val="001702BE"/>
    <w:rsid w:val="001704B3"/>
    <w:rsid w:val="0017059C"/>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362"/>
    <w:rsid w:val="00173631"/>
    <w:rsid w:val="0017372D"/>
    <w:rsid w:val="00173826"/>
    <w:rsid w:val="00173C58"/>
    <w:rsid w:val="00173E59"/>
    <w:rsid w:val="001741DC"/>
    <w:rsid w:val="00174C4F"/>
    <w:rsid w:val="00174F57"/>
    <w:rsid w:val="00175078"/>
    <w:rsid w:val="001755DC"/>
    <w:rsid w:val="00175914"/>
    <w:rsid w:val="001763D8"/>
    <w:rsid w:val="00176AA6"/>
    <w:rsid w:val="00177063"/>
    <w:rsid w:val="0018095E"/>
    <w:rsid w:val="00180A47"/>
    <w:rsid w:val="0018133C"/>
    <w:rsid w:val="001815A7"/>
    <w:rsid w:val="00182105"/>
    <w:rsid w:val="001827B7"/>
    <w:rsid w:val="001827EF"/>
    <w:rsid w:val="00182982"/>
    <w:rsid w:val="001829BC"/>
    <w:rsid w:val="00182D68"/>
    <w:rsid w:val="00182EAB"/>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61"/>
    <w:rsid w:val="00192991"/>
    <w:rsid w:val="00193470"/>
    <w:rsid w:val="00193B94"/>
    <w:rsid w:val="001940A7"/>
    <w:rsid w:val="001940C4"/>
    <w:rsid w:val="00194BB1"/>
    <w:rsid w:val="00194BC6"/>
    <w:rsid w:val="00195070"/>
    <w:rsid w:val="00195245"/>
    <w:rsid w:val="0019526D"/>
    <w:rsid w:val="0019553F"/>
    <w:rsid w:val="001956BE"/>
    <w:rsid w:val="00195871"/>
    <w:rsid w:val="0019602C"/>
    <w:rsid w:val="0019698D"/>
    <w:rsid w:val="001969F2"/>
    <w:rsid w:val="00196B75"/>
    <w:rsid w:val="00196CD6"/>
    <w:rsid w:val="0019756A"/>
    <w:rsid w:val="001A06B5"/>
    <w:rsid w:val="001A07F8"/>
    <w:rsid w:val="001A0A23"/>
    <w:rsid w:val="001A0C98"/>
    <w:rsid w:val="001A128B"/>
    <w:rsid w:val="001A146F"/>
    <w:rsid w:val="001A1475"/>
    <w:rsid w:val="001A1C5F"/>
    <w:rsid w:val="001A1F0E"/>
    <w:rsid w:val="001A3335"/>
    <w:rsid w:val="001A473A"/>
    <w:rsid w:val="001A4977"/>
    <w:rsid w:val="001A4ED9"/>
    <w:rsid w:val="001A5785"/>
    <w:rsid w:val="001A5A43"/>
    <w:rsid w:val="001A5FD7"/>
    <w:rsid w:val="001A635D"/>
    <w:rsid w:val="001A66A6"/>
    <w:rsid w:val="001A6BAF"/>
    <w:rsid w:val="001A6BBB"/>
    <w:rsid w:val="001A73A1"/>
    <w:rsid w:val="001A75EA"/>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989"/>
    <w:rsid w:val="001C6047"/>
    <w:rsid w:val="001C6317"/>
    <w:rsid w:val="001C6698"/>
    <w:rsid w:val="001C6C5B"/>
    <w:rsid w:val="001C6EB7"/>
    <w:rsid w:val="001C7399"/>
    <w:rsid w:val="001C7CE0"/>
    <w:rsid w:val="001D005B"/>
    <w:rsid w:val="001D0947"/>
    <w:rsid w:val="001D16F5"/>
    <w:rsid w:val="001D1970"/>
    <w:rsid w:val="001D1D55"/>
    <w:rsid w:val="001D1DAE"/>
    <w:rsid w:val="001D21EF"/>
    <w:rsid w:val="001D29A4"/>
    <w:rsid w:val="001D2B73"/>
    <w:rsid w:val="001D3136"/>
    <w:rsid w:val="001D330D"/>
    <w:rsid w:val="001D4AB6"/>
    <w:rsid w:val="001D4AD3"/>
    <w:rsid w:val="001D5281"/>
    <w:rsid w:val="001D5F3A"/>
    <w:rsid w:val="001E17E3"/>
    <w:rsid w:val="001E1A0D"/>
    <w:rsid w:val="001E2052"/>
    <w:rsid w:val="001E2492"/>
    <w:rsid w:val="001E257C"/>
    <w:rsid w:val="001E286C"/>
    <w:rsid w:val="001E2F34"/>
    <w:rsid w:val="001E35EE"/>
    <w:rsid w:val="001E4B2C"/>
    <w:rsid w:val="001E507F"/>
    <w:rsid w:val="001E56C2"/>
    <w:rsid w:val="001E59FB"/>
    <w:rsid w:val="001E6E81"/>
    <w:rsid w:val="001E7F81"/>
    <w:rsid w:val="001F0FD1"/>
    <w:rsid w:val="001F1526"/>
    <w:rsid w:val="001F19D1"/>
    <w:rsid w:val="001F1CB9"/>
    <w:rsid w:val="001F1F18"/>
    <w:rsid w:val="001F2F92"/>
    <w:rsid w:val="001F41F3"/>
    <w:rsid w:val="001F48D8"/>
    <w:rsid w:val="001F59BA"/>
    <w:rsid w:val="001F5B67"/>
    <w:rsid w:val="001F5DA1"/>
    <w:rsid w:val="001F612E"/>
    <w:rsid w:val="001F6A92"/>
    <w:rsid w:val="001F6FEE"/>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6335"/>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713"/>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1F3F"/>
    <w:rsid w:val="00232555"/>
    <w:rsid w:val="00232D85"/>
    <w:rsid w:val="00233538"/>
    <w:rsid w:val="00234248"/>
    <w:rsid w:val="0023449F"/>
    <w:rsid w:val="002344F5"/>
    <w:rsid w:val="0023454D"/>
    <w:rsid w:val="00234679"/>
    <w:rsid w:val="0023543D"/>
    <w:rsid w:val="00235811"/>
    <w:rsid w:val="002359FC"/>
    <w:rsid w:val="002361C8"/>
    <w:rsid w:val="00236690"/>
    <w:rsid w:val="0023669D"/>
    <w:rsid w:val="00236899"/>
    <w:rsid w:val="00236B5C"/>
    <w:rsid w:val="00236E3D"/>
    <w:rsid w:val="00237EAE"/>
    <w:rsid w:val="00237FA2"/>
    <w:rsid w:val="002403D5"/>
    <w:rsid w:val="00240C1F"/>
    <w:rsid w:val="00240F55"/>
    <w:rsid w:val="00240F67"/>
    <w:rsid w:val="00240F6F"/>
    <w:rsid w:val="00241144"/>
    <w:rsid w:val="00242510"/>
    <w:rsid w:val="00242F79"/>
    <w:rsid w:val="0024415B"/>
    <w:rsid w:val="00245565"/>
    <w:rsid w:val="002458C1"/>
    <w:rsid w:val="00245E62"/>
    <w:rsid w:val="002460D0"/>
    <w:rsid w:val="00246357"/>
    <w:rsid w:val="00246EC5"/>
    <w:rsid w:val="00247422"/>
    <w:rsid w:val="00247BA2"/>
    <w:rsid w:val="00250870"/>
    <w:rsid w:val="0025151C"/>
    <w:rsid w:val="0025184F"/>
    <w:rsid w:val="00251967"/>
    <w:rsid w:val="002527CC"/>
    <w:rsid w:val="00252F48"/>
    <w:rsid w:val="002530C0"/>
    <w:rsid w:val="00253586"/>
    <w:rsid w:val="002537FC"/>
    <w:rsid w:val="00253C2F"/>
    <w:rsid w:val="002542F8"/>
    <w:rsid w:val="002543EF"/>
    <w:rsid w:val="00254F2A"/>
    <w:rsid w:val="00255229"/>
    <w:rsid w:val="00255784"/>
    <w:rsid w:val="00255A29"/>
    <w:rsid w:val="0025631F"/>
    <w:rsid w:val="00256986"/>
    <w:rsid w:val="00256D61"/>
    <w:rsid w:val="00256E23"/>
    <w:rsid w:val="00256F2A"/>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61"/>
    <w:rsid w:val="00266045"/>
    <w:rsid w:val="002660C3"/>
    <w:rsid w:val="00266C21"/>
    <w:rsid w:val="00266DE1"/>
    <w:rsid w:val="00267575"/>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AEC"/>
    <w:rsid w:val="00277196"/>
    <w:rsid w:val="002775ED"/>
    <w:rsid w:val="002778AB"/>
    <w:rsid w:val="00277B77"/>
    <w:rsid w:val="00277E37"/>
    <w:rsid w:val="002802A5"/>
    <w:rsid w:val="002802F0"/>
    <w:rsid w:val="00280CFB"/>
    <w:rsid w:val="00280D24"/>
    <w:rsid w:val="002815C4"/>
    <w:rsid w:val="00281BCB"/>
    <w:rsid w:val="00281C76"/>
    <w:rsid w:val="00282A05"/>
    <w:rsid w:val="0028316D"/>
    <w:rsid w:val="00283296"/>
    <w:rsid w:val="002851A5"/>
    <w:rsid w:val="0028583E"/>
    <w:rsid w:val="00285853"/>
    <w:rsid w:val="00285B1A"/>
    <w:rsid w:val="00285FF3"/>
    <w:rsid w:val="002866EC"/>
    <w:rsid w:val="002867C6"/>
    <w:rsid w:val="0028744E"/>
    <w:rsid w:val="002876D2"/>
    <w:rsid w:val="00287936"/>
    <w:rsid w:val="00287BB7"/>
    <w:rsid w:val="002903C5"/>
    <w:rsid w:val="0029041B"/>
    <w:rsid w:val="00290A99"/>
    <w:rsid w:val="00290E4B"/>
    <w:rsid w:val="00290EAF"/>
    <w:rsid w:val="0029159A"/>
    <w:rsid w:val="00291CF1"/>
    <w:rsid w:val="00292AA1"/>
    <w:rsid w:val="00294012"/>
    <w:rsid w:val="002945B0"/>
    <w:rsid w:val="0029499D"/>
    <w:rsid w:val="00294A13"/>
    <w:rsid w:val="00294B10"/>
    <w:rsid w:val="00294DF9"/>
    <w:rsid w:val="00295073"/>
    <w:rsid w:val="00295468"/>
    <w:rsid w:val="0029598C"/>
    <w:rsid w:val="00296C32"/>
    <w:rsid w:val="002977CE"/>
    <w:rsid w:val="00297AF5"/>
    <w:rsid w:val="00297C0B"/>
    <w:rsid w:val="00297D2C"/>
    <w:rsid w:val="002A0215"/>
    <w:rsid w:val="002A02D6"/>
    <w:rsid w:val="002A07C4"/>
    <w:rsid w:val="002A0921"/>
    <w:rsid w:val="002A0AF9"/>
    <w:rsid w:val="002A0CB3"/>
    <w:rsid w:val="002A1887"/>
    <w:rsid w:val="002A2001"/>
    <w:rsid w:val="002A28BA"/>
    <w:rsid w:val="002A4060"/>
    <w:rsid w:val="002A4868"/>
    <w:rsid w:val="002A49FE"/>
    <w:rsid w:val="002A4A05"/>
    <w:rsid w:val="002A4E17"/>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99D"/>
    <w:rsid w:val="002B51B6"/>
    <w:rsid w:val="002B53F9"/>
    <w:rsid w:val="002B549F"/>
    <w:rsid w:val="002B5AEE"/>
    <w:rsid w:val="002B5C72"/>
    <w:rsid w:val="002B6177"/>
    <w:rsid w:val="002B650C"/>
    <w:rsid w:val="002B68E6"/>
    <w:rsid w:val="002B6985"/>
    <w:rsid w:val="002B6D7A"/>
    <w:rsid w:val="002C02BA"/>
    <w:rsid w:val="002C0301"/>
    <w:rsid w:val="002C0326"/>
    <w:rsid w:val="002C0A9F"/>
    <w:rsid w:val="002C1AB3"/>
    <w:rsid w:val="002C1BB7"/>
    <w:rsid w:val="002C1FB3"/>
    <w:rsid w:val="002C222E"/>
    <w:rsid w:val="002C2665"/>
    <w:rsid w:val="002C28E1"/>
    <w:rsid w:val="002C327D"/>
    <w:rsid w:val="002C3635"/>
    <w:rsid w:val="002C3890"/>
    <w:rsid w:val="002C3AD9"/>
    <w:rsid w:val="002C4286"/>
    <w:rsid w:val="002C43FC"/>
    <w:rsid w:val="002C45C3"/>
    <w:rsid w:val="002C483B"/>
    <w:rsid w:val="002C4DFE"/>
    <w:rsid w:val="002C4E9E"/>
    <w:rsid w:val="002C519E"/>
    <w:rsid w:val="002C51E6"/>
    <w:rsid w:val="002C5D5E"/>
    <w:rsid w:val="002C6116"/>
    <w:rsid w:val="002C643D"/>
    <w:rsid w:val="002C645F"/>
    <w:rsid w:val="002C66B8"/>
    <w:rsid w:val="002C70E7"/>
    <w:rsid w:val="002D0C27"/>
    <w:rsid w:val="002D0E88"/>
    <w:rsid w:val="002D0EA7"/>
    <w:rsid w:val="002D0F31"/>
    <w:rsid w:val="002D1593"/>
    <w:rsid w:val="002D1A1E"/>
    <w:rsid w:val="002D2198"/>
    <w:rsid w:val="002D2295"/>
    <w:rsid w:val="002D22A6"/>
    <w:rsid w:val="002D26AF"/>
    <w:rsid w:val="002D2819"/>
    <w:rsid w:val="002D2CD6"/>
    <w:rsid w:val="002D2F81"/>
    <w:rsid w:val="002D37B1"/>
    <w:rsid w:val="002D38A3"/>
    <w:rsid w:val="002D3BA3"/>
    <w:rsid w:val="002D43EE"/>
    <w:rsid w:val="002D4892"/>
    <w:rsid w:val="002D4D06"/>
    <w:rsid w:val="002D4DDE"/>
    <w:rsid w:val="002D4EE7"/>
    <w:rsid w:val="002D4EED"/>
    <w:rsid w:val="002D5AAD"/>
    <w:rsid w:val="002D5DA3"/>
    <w:rsid w:val="002D6097"/>
    <w:rsid w:val="002D65AD"/>
    <w:rsid w:val="002D6782"/>
    <w:rsid w:val="002D6CEC"/>
    <w:rsid w:val="002D70EE"/>
    <w:rsid w:val="002D74A4"/>
    <w:rsid w:val="002D7DB2"/>
    <w:rsid w:val="002D7DBD"/>
    <w:rsid w:val="002D7EA8"/>
    <w:rsid w:val="002E00E1"/>
    <w:rsid w:val="002E0102"/>
    <w:rsid w:val="002E03AE"/>
    <w:rsid w:val="002E0534"/>
    <w:rsid w:val="002E0542"/>
    <w:rsid w:val="002E05F2"/>
    <w:rsid w:val="002E0C06"/>
    <w:rsid w:val="002E0E87"/>
    <w:rsid w:val="002E12FA"/>
    <w:rsid w:val="002E13CF"/>
    <w:rsid w:val="002E201C"/>
    <w:rsid w:val="002E22CA"/>
    <w:rsid w:val="002E236F"/>
    <w:rsid w:val="002E37C5"/>
    <w:rsid w:val="002E3956"/>
    <w:rsid w:val="002E3C08"/>
    <w:rsid w:val="002E3CF2"/>
    <w:rsid w:val="002E4134"/>
    <w:rsid w:val="002E469E"/>
    <w:rsid w:val="002E4C01"/>
    <w:rsid w:val="002E4C4C"/>
    <w:rsid w:val="002E4D50"/>
    <w:rsid w:val="002E55FF"/>
    <w:rsid w:val="002E587E"/>
    <w:rsid w:val="002E5CCE"/>
    <w:rsid w:val="002E672A"/>
    <w:rsid w:val="002E6853"/>
    <w:rsid w:val="002E7EC1"/>
    <w:rsid w:val="002E7EE5"/>
    <w:rsid w:val="002F0055"/>
    <w:rsid w:val="002F0323"/>
    <w:rsid w:val="002F0DC5"/>
    <w:rsid w:val="002F0DFB"/>
    <w:rsid w:val="002F134F"/>
    <w:rsid w:val="002F16DE"/>
    <w:rsid w:val="002F1D0B"/>
    <w:rsid w:val="002F1E1D"/>
    <w:rsid w:val="002F1F02"/>
    <w:rsid w:val="002F27E5"/>
    <w:rsid w:val="002F2D81"/>
    <w:rsid w:val="002F2F66"/>
    <w:rsid w:val="002F39D4"/>
    <w:rsid w:val="002F4BA9"/>
    <w:rsid w:val="002F541B"/>
    <w:rsid w:val="002F5BFE"/>
    <w:rsid w:val="002F5DA5"/>
    <w:rsid w:val="002F5E17"/>
    <w:rsid w:val="002F647C"/>
    <w:rsid w:val="002F6C52"/>
    <w:rsid w:val="002F6C6B"/>
    <w:rsid w:val="002F6CB0"/>
    <w:rsid w:val="002F6EFF"/>
    <w:rsid w:val="002F7DF0"/>
    <w:rsid w:val="002F7FAF"/>
    <w:rsid w:val="003003F0"/>
    <w:rsid w:val="00300573"/>
    <w:rsid w:val="003018A6"/>
    <w:rsid w:val="003025FE"/>
    <w:rsid w:val="00302A27"/>
    <w:rsid w:val="0030307F"/>
    <w:rsid w:val="00303AB6"/>
    <w:rsid w:val="003044C6"/>
    <w:rsid w:val="00304640"/>
    <w:rsid w:val="00304AC1"/>
    <w:rsid w:val="00305090"/>
    <w:rsid w:val="00305454"/>
    <w:rsid w:val="003054E0"/>
    <w:rsid w:val="00305B9F"/>
    <w:rsid w:val="00305E21"/>
    <w:rsid w:val="003066C6"/>
    <w:rsid w:val="003066FA"/>
    <w:rsid w:val="00306987"/>
    <w:rsid w:val="00306AD6"/>
    <w:rsid w:val="003077F4"/>
    <w:rsid w:val="00307DC7"/>
    <w:rsid w:val="00307FF2"/>
    <w:rsid w:val="00310EDB"/>
    <w:rsid w:val="00310F59"/>
    <w:rsid w:val="00311B69"/>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B37"/>
    <w:rsid w:val="003373A6"/>
    <w:rsid w:val="00337409"/>
    <w:rsid w:val="00337E18"/>
    <w:rsid w:val="003404BD"/>
    <w:rsid w:val="003405AF"/>
    <w:rsid w:val="0034088F"/>
    <w:rsid w:val="00340B3E"/>
    <w:rsid w:val="00340E1A"/>
    <w:rsid w:val="003413D2"/>
    <w:rsid w:val="00341525"/>
    <w:rsid w:val="0034257E"/>
    <w:rsid w:val="003429A1"/>
    <w:rsid w:val="003429FC"/>
    <w:rsid w:val="00343079"/>
    <w:rsid w:val="00343127"/>
    <w:rsid w:val="00343320"/>
    <w:rsid w:val="003436E5"/>
    <w:rsid w:val="00344066"/>
    <w:rsid w:val="00344BBF"/>
    <w:rsid w:val="0034509B"/>
    <w:rsid w:val="00345644"/>
    <w:rsid w:val="00345D0E"/>
    <w:rsid w:val="00345D7A"/>
    <w:rsid w:val="0034607E"/>
    <w:rsid w:val="00346A96"/>
    <w:rsid w:val="00346B6D"/>
    <w:rsid w:val="00346BA3"/>
    <w:rsid w:val="00346C69"/>
    <w:rsid w:val="00347356"/>
    <w:rsid w:val="00347590"/>
    <w:rsid w:val="0035005C"/>
    <w:rsid w:val="0035043F"/>
    <w:rsid w:val="003507BF"/>
    <w:rsid w:val="00350896"/>
    <w:rsid w:val="00350C31"/>
    <w:rsid w:val="00350C9F"/>
    <w:rsid w:val="00351391"/>
    <w:rsid w:val="00351624"/>
    <w:rsid w:val="003519CD"/>
    <w:rsid w:val="00351A3A"/>
    <w:rsid w:val="00353623"/>
    <w:rsid w:val="0035455F"/>
    <w:rsid w:val="00355D75"/>
    <w:rsid w:val="00355D8F"/>
    <w:rsid w:val="00356A73"/>
    <w:rsid w:val="00356FF0"/>
    <w:rsid w:val="003575F7"/>
    <w:rsid w:val="003577EF"/>
    <w:rsid w:val="00357A3A"/>
    <w:rsid w:val="00357A60"/>
    <w:rsid w:val="00357AE4"/>
    <w:rsid w:val="00360304"/>
    <w:rsid w:val="0036051A"/>
    <w:rsid w:val="00360A78"/>
    <w:rsid w:val="00360B9D"/>
    <w:rsid w:val="00360EF9"/>
    <w:rsid w:val="00361750"/>
    <w:rsid w:val="00363894"/>
    <w:rsid w:val="00363B2A"/>
    <w:rsid w:val="00363BF1"/>
    <w:rsid w:val="00364021"/>
    <w:rsid w:val="00365EF1"/>
    <w:rsid w:val="00366474"/>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D55"/>
    <w:rsid w:val="00370EFA"/>
    <w:rsid w:val="00371213"/>
    <w:rsid w:val="00372842"/>
    <w:rsid w:val="003729A5"/>
    <w:rsid w:val="00372C89"/>
    <w:rsid w:val="00372E9A"/>
    <w:rsid w:val="003735B9"/>
    <w:rsid w:val="00373634"/>
    <w:rsid w:val="00374677"/>
    <w:rsid w:val="0037510C"/>
    <w:rsid w:val="00375293"/>
    <w:rsid w:val="00375850"/>
    <w:rsid w:val="0037632F"/>
    <w:rsid w:val="00377B26"/>
    <w:rsid w:val="00381014"/>
    <w:rsid w:val="00381604"/>
    <w:rsid w:val="00381C68"/>
    <w:rsid w:val="00381F60"/>
    <w:rsid w:val="003831A0"/>
    <w:rsid w:val="00383204"/>
    <w:rsid w:val="00383AB0"/>
    <w:rsid w:val="00384047"/>
    <w:rsid w:val="003847BB"/>
    <w:rsid w:val="00384814"/>
    <w:rsid w:val="00384C0A"/>
    <w:rsid w:val="003852E6"/>
    <w:rsid w:val="00385B16"/>
    <w:rsid w:val="00385B96"/>
    <w:rsid w:val="003860BC"/>
    <w:rsid w:val="003861DC"/>
    <w:rsid w:val="0038637D"/>
    <w:rsid w:val="003868F6"/>
    <w:rsid w:val="003869DC"/>
    <w:rsid w:val="00386C07"/>
    <w:rsid w:val="00386E24"/>
    <w:rsid w:val="00386F58"/>
    <w:rsid w:val="0038700D"/>
    <w:rsid w:val="003879CE"/>
    <w:rsid w:val="00387B88"/>
    <w:rsid w:val="00390B8F"/>
    <w:rsid w:val="00390C0D"/>
    <w:rsid w:val="00391447"/>
    <w:rsid w:val="003919D9"/>
    <w:rsid w:val="00391BDD"/>
    <w:rsid w:val="003922DE"/>
    <w:rsid w:val="00392461"/>
    <w:rsid w:val="00392E35"/>
    <w:rsid w:val="00393247"/>
    <w:rsid w:val="00393551"/>
    <w:rsid w:val="00393816"/>
    <w:rsid w:val="00393FCD"/>
    <w:rsid w:val="003944EA"/>
    <w:rsid w:val="00394639"/>
    <w:rsid w:val="00394DF6"/>
    <w:rsid w:val="00394EC6"/>
    <w:rsid w:val="003955BB"/>
    <w:rsid w:val="003956C6"/>
    <w:rsid w:val="00395A02"/>
    <w:rsid w:val="00395CD9"/>
    <w:rsid w:val="003962E6"/>
    <w:rsid w:val="00396831"/>
    <w:rsid w:val="003971A1"/>
    <w:rsid w:val="00397F48"/>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CCF"/>
    <w:rsid w:val="003B0D79"/>
    <w:rsid w:val="003B2930"/>
    <w:rsid w:val="003B31A7"/>
    <w:rsid w:val="003B4587"/>
    <w:rsid w:val="003B4A98"/>
    <w:rsid w:val="003B4B51"/>
    <w:rsid w:val="003B4FE1"/>
    <w:rsid w:val="003B514E"/>
    <w:rsid w:val="003B53DD"/>
    <w:rsid w:val="003B5531"/>
    <w:rsid w:val="003B636A"/>
    <w:rsid w:val="003B69CE"/>
    <w:rsid w:val="003B6FCF"/>
    <w:rsid w:val="003B7403"/>
    <w:rsid w:val="003C011C"/>
    <w:rsid w:val="003C0AFD"/>
    <w:rsid w:val="003C0E32"/>
    <w:rsid w:val="003C1056"/>
    <w:rsid w:val="003C11D7"/>
    <w:rsid w:val="003C16CB"/>
    <w:rsid w:val="003C1B97"/>
    <w:rsid w:val="003C247B"/>
    <w:rsid w:val="003C28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5EC2"/>
    <w:rsid w:val="003D6448"/>
    <w:rsid w:val="003D646C"/>
    <w:rsid w:val="003D663E"/>
    <w:rsid w:val="003D664B"/>
    <w:rsid w:val="003D6793"/>
    <w:rsid w:val="003D6B03"/>
    <w:rsid w:val="003D75D8"/>
    <w:rsid w:val="003D7D00"/>
    <w:rsid w:val="003E006E"/>
    <w:rsid w:val="003E0947"/>
    <w:rsid w:val="003E0E96"/>
    <w:rsid w:val="003E1F13"/>
    <w:rsid w:val="003E20F7"/>
    <w:rsid w:val="003E2AEF"/>
    <w:rsid w:val="003E2D8D"/>
    <w:rsid w:val="003E3314"/>
    <w:rsid w:val="003E336A"/>
    <w:rsid w:val="003E3E2F"/>
    <w:rsid w:val="003E4048"/>
    <w:rsid w:val="003E49BA"/>
    <w:rsid w:val="003E4CE5"/>
    <w:rsid w:val="003E604C"/>
    <w:rsid w:val="003E60DA"/>
    <w:rsid w:val="003E6E00"/>
    <w:rsid w:val="003E7111"/>
    <w:rsid w:val="003E7940"/>
    <w:rsid w:val="003F01BD"/>
    <w:rsid w:val="003F0486"/>
    <w:rsid w:val="003F048E"/>
    <w:rsid w:val="003F09FA"/>
    <w:rsid w:val="003F0AFF"/>
    <w:rsid w:val="003F0DB1"/>
    <w:rsid w:val="003F1AA2"/>
    <w:rsid w:val="003F2415"/>
    <w:rsid w:val="003F26DC"/>
    <w:rsid w:val="003F42FF"/>
    <w:rsid w:val="003F4B48"/>
    <w:rsid w:val="003F4DDC"/>
    <w:rsid w:val="003F5061"/>
    <w:rsid w:val="003F56B8"/>
    <w:rsid w:val="003F56F3"/>
    <w:rsid w:val="003F57CB"/>
    <w:rsid w:val="003F5EF6"/>
    <w:rsid w:val="003F5F1A"/>
    <w:rsid w:val="003F6327"/>
    <w:rsid w:val="003F6557"/>
    <w:rsid w:val="003F6DD6"/>
    <w:rsid w:val="003F7425"/>
    <w:rsid w:val="003F765B"/>
    <w:rsid w:val="003F7CB8"/>
    <w:rsid w:val="00400240"/>
    <w:rsid w:val="00400CB4"/>
    <w:rsid w:val="00401386"/>
    <w:rsid w:val="004013E6"/>
    <w:rsid w:val="00401E31"/>
    <w:rsid w:val="00402BBA"/>
    <w:rsid w:val="004035D0"/>
    <w:rsid w:val="0040361D"/>
    <w:rsid w:val="00403795"/>
    <w:rsid w:val="004041FB"/>
    <w:rsid w:val="0040443E"/>
    <w:rsid w:val="00405646"/>
    <w:rsid w:val="004056B6"/>
    <w:rsid w:val="00405764"/>
    <w:rsid w:val="00405776"/>
    <w:rsid w:val="00406745"/>
    <w:rsid w:val="0040674B"/>
    <w:rsid w:val="00406B32"/>
    <w:rsid w:val="004074FA"/>
    <w:rsid w:val="00407A56"/>
    <w:rsid w:val="00407AD0"/>
    <w:rsid w:val="00407FCC"/>
    <w:rsid w:val="0041035A"/>
    <w:rsid w:val="00410E76"/>
    <w:rsid w:val="004112D1"/>
    <w:rsid w:val="004112E9"/>
    <w:rsid w:val="004113C9"/>
    <w:rsid w:val="00411D1E"/>
    <w:rsid w:val="00411DF2"/>
    <w:rsid w:val="004120DF"/>
    <w:rsid w:val="004123B7"/>
    <w:rsid w:val="004126B5"/>
    <w:rsid w:val="00413FEE"/>
    <w:rsid w:val="00414909"/>
    <w:rsid w:val="00414CBE"/>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88A"/>
    <w:rsid w:val="00424C4D"/>
    <w:rsid w:val="00425341"/>
    <w:rsid w:val="004255FE"/>
    <w:rsid w:val="00425674"/>
    <w:rsid w:val="00425A82"/>
    <w:rsid w:val="00425AD4"/>
    <w:rsid w:val="00425C60"/>
    <w:rsid w:val="00426B2C"/>
    <w:rsid w:val="00427FA8"/>
    <w:rsid w:val="0043009D"/>
    <w:rsid w:val="0043026B"/>
    <w:rsid w:val="00430299"/>
    <w:rsid w:val="004306D4"/>
    <w:rsid w:val="0043091B"/>
    <w:rsid w:val="00431000"/>
    <w:rsid w:val="00431A2A"/>
    <w:rsid w:val="00432116"/>
    <w:rsid w:val="00432ECA"/>
    <w:rsid w:val="0043345C"/>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0EB7"/>
    <w:rsid w:val="0044105D"/>
    <w:rsid w:val="00441424"/>
    <w:rsid w:val="00441B3F"/>
    <w:rsid w:val="00442117"/>
    <w:rsid w:val="00442731"/>
    <w:rsid w:val="00442C12"/>
    <w:rsid w:val="00442C2F"/>
    <w:rsid w:val="004434DF"/>
    <w:rsid w:val="0044354B"/>
    <w:rsid w:val="0044493E"/>
    <w:rsid w:val="00444A1F"/>
    <w:rsid w:val="00444FC6"/>
    <w:rsid w:val="00445874"/>
    <w:rsid w:val="00445C38"/>
    <w:rsid w:val="0044686B"/>
    <w:rsid w:val="004475F7"/>
    <w:rsid w:val="00450465"/>
    <w:rsid w:val="0045057B"/>
    <w:rsid w:val="0045069B"/>
    <w:rsid w:val="00450873"/>
    <w:rsid w:val="00450B22"/>
    <w:rsid w:val="00451709"/>
    <w:rsid w:val="004518FA"/>
    <w:rsid w:val="00451A02"/>
    <w:rsid w:val="0045277C"/>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57FE0"/>
    <w:rsid w:val="0046028A"/>
    <w:rsid w:val="00460813"/>
    <w:rsid w:val="00460E3A"/>
    <w:rsid w:val="00460E68"/>
    <w:rsid w:val="004614BC"/>
    <w:rsid w:val="004619A5"/>
    <w:rsid w:val="00461A4D"/>
    <w:rsid w:val="00461F80"/>
    <w:rsid w:val="0046238F"/>
    <w:rsid w:val="0046240D"/>
    <w:rsid w:val="0046279E"/>
    <w:rsid w:val="00462898"/>
    <w:rsid w:val="00462D84"/>
    <w:rsid w:val="00463208"/>
    <w:rsid w:val="00463576"/>
    <w:rsid w:val="004636D6"/>
    <w:rsid w:val="0046399D"/>
    <w:rsid w:val="00463D23"/>
    <w:rsid w:val="00463EA4"/>
    <w:rsid w:val="00465A21"/>
    <w:rsid w:val="00465DE5"/>
    <w:rsid w:val="004667F7"/>
    <w:rsid w:val="00466978"/>
    <w:rsid w:val="00466ABA"/>
    <w:rsid w:val="004672E3"/>
    <w:rsid w:val="0046775D"/>
    <w:rsid w:val="00467823"/>
    <w:rsid w:val="00467D5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DD5"/>
    <w:rsid w:val="00484D4D"/>
    <w:rsid w:val="00486516"/>
    <w:rsid w:val="0048664F"/>
    <w:rsid w:val="004868AD"/>
    <w:rsid w:val="00486D00"/>
    <w:rsid w:val="00487FE1"/>
    <w:rsid w:val="00490707"/>
    <w:rsid w:val="00490815"/>
    <w:rsid w:val="0049086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C4"/>
    <w:rsid w:val="00497BD7"/>
    <w:rsid w:val="00497D1A"/>
    <w:rsid w:val="00497F94"/>
    <w:rsid w:val="004A00C9"/>
    <w:rsid w:val="004A0232"/>
    <w:rsid w:val="004A03D0"/>
    <w:rsid w:val="004A1049"/>
    <w:rsid w:val="004A1AFA"/>
    <w:rsid w:val="004A1EA7"/>
    <w:rsid w:val="004A26F5"/>
    <w:rsid w:val="004A2EF8"/>
    <w:rsid w:val="004A3A21"/>
    <w:rsid w:val="004A3EE6"/>
    <w:rsid w:val="004A407A"/>
    <w:rsid w:val="004A4E3B"/>
    <w:rsid w:val="004A608C"/>
    <w:rsid w:val="004A6110"/>
    <w:rsid w:val="004A61B8"/>
    <w:rsid w:val="004A6415"/>
    <w:rsid w:val="004A64F9"/>
    <w:rsid w:val="004A65F4"/>
    <w:rsid w:val="004A6A69"/>
    <w:rsid w:val="004A6D2C"/>
    <w:rsid w:val="004B026C"/>
    <w:rsid w:val="004B0271"/>
    <w:rsid w:val="004B0BE8"/>
    <w:rsid w:val="004B0E4A"/>
    <w:rsid w:val="004B18F4"/>
    <w:rsid w:val="004B1A98"/>
    <w:rsid w:val="004B2463"/>
    <w:rsid w:val="004B2DCE"/>
    <w:rsid w:val="004B2E9D"/>
    <w:rsid w:val="004B305F"/>
    <w:rsid w:val="004B34C4"/>
    <w:rsid w:val="004B34E8"/>
    <w:rsid w:val="004B3981"/>
    <w:rsid w:val="004B3A03"/>
    <w:rsid w:val="004B419F"/>
    <w:rsid w:val="004B4EA9"/>
    <w:rsid w:val="004B5A87"/>
    <w:rsid w:val="004B5C96"/>
    <w:rsid w:val="004B6124"/>
    <w:rsid w:val="004B6945"/>
    <w:rsid w:val="004B6D7A"/>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8AC"/>
    <w:rsid w:val="004C45C8"/>
    <w:rsid w:val="004C4D25"/>
    <w:rsid w:val="004C4F8F"/>
    <w:rsid w:val="004C5F4B"/>
    <w:rsid w:val="004C612E"/>
    <w:rsid w:val="004C61B8"/>
    <w:rsid w:val="004C69FE"/>
    <w:rsid w:val="004C6C0A"/>
    <w:rsid w:val="004C6C6D"/>
    <w:rsid w:val="004C77FF"/>
    <w:rsid w:val="004C7A0B"/>
    <w:rsid w:val="004C7BCC"/>
    <w:rsid w:val="004C7DB0"/>
    <w:rsid w:val="004C7FFC"/>
    <w:rsid w:val="004D0223"/>
    <w:rsid w:val="004D0C4C"/>
    <w:rsid w:val="004D16A3"/>
    <w:rsid w:val="004D1934"/>
    <w:rsid w:val="004D1E41"/>
    <w:rsid w:val="004D2326"/>
    <w:rsid w:val="004D2E11"/>
    <w:rsid w:val="004D3108"/>
    <w:rsid w:val="004D329C"/>
    <w:rsid w:val="004D34D1"/>
    <w:rsid w:val="004D3E98"/>
    <w:rsid w:val="004D4523"/>
    <w:rsid w:val="004D4990"/>
    <w:rsid w:val="004D4B05"/>
    <w:rsid w:val="004D5110"/>
    <w:rsid w:val="004D51D6"/>
    <w:rsid w:val="004D6BF2"/>
    <w:rsid w:val="004D6F29"/>
    <w:rsid w:val="004D7BF5"/>
    <w:rsid w:val="004D7F9C"/>
    <w:rsid w:val="004E00EA"/>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4EDC"/>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DE7"/>
    <w:rsid w:val="004F1F9E"/>
    <w:rsid w:val="004F2B72"/>
    <w:rsid w:val="004F2CB6"/>
    <w:rsid w:val="004F2E6E"/>
    <w:rsid w:val="004F3015"/>
    <w:rsid w:val="004F313F"/>
    <w:rsid w:val="004F34E2"/>
    <w:rsid w:val="004F367F"/>
    <w:rsid w:val="004F3E64"/>
    <w:rsid w:val="004F3EEF"/>
    <w:rsid w:val="004F43A7"/>
    <w:rsid w:val="004F447B"/>
    <w:rsid w:val="004F497C"/>
    <w:rsid w:val="004F4EF3"/>
    <w:rsid w:val="004F4FAC"/>
    <w:rsid w:val="004F4FE8"/>
    <w:rsid w:val="004F501F"/>
    <w:rsid w:val="004F531B"/>
    <w:rsid w:val="004F560C"/>
    <w:rsid w:val="004F5DBB"/>
    <w:rsid w:val="004F60B4"/>
    <w:rsid w:val="004F61A3"/>
    <w:rsid w:val="004F6874"/>
    <w:rsid w:val="004F779B"/>
    <w:rsid w:val="004F7922"/>
    <w:rsid w:val="004F7A1F"/>
    <w:rsid w:val="004F7B47"/>
    <w:rsid w:val="0050007A"/>
    <w:rsid w:val="0050079C"/>
    <w:rsid w:val="0050106A"/>
    <w:rsid w:val="005010BC"/>
    <w:rsid w:val="00501848"/>
    <w:rsid w:val="00502211"/>
    <w:rsid w:val="00502B31"/>
    <w:rsid w:val="00503D7A"/>
    <w:rsid w:val="0050434C"/>
    <w:rsid w:val="00504417"/>
    <w:rsid w:val="0050537D"/>
    <w:rsid w:val="00505861"/>
    <w:rsid w:val="0050591C"/>
    <w:rsid w:val="005059BD"/>
    <w:rsid w:val="005060AE"/>
    <w:rsid w:val="005061A4"/>
    <w:rsid w:val="00507412"/>
    <w:rsid w:val="0050790B"/>
    <w:rsid w:val="00507A22"/>
    <w:rsid w:val="00507FDF"/>
    <w:rsid w:val="0051007F"/>
    <w:rsid w:val="00510228"/>
    <w:rsid w:val="0051037C"/>
    <w:rsid w:val="0051050F"/>
    <w:rsid w:val="0051058B"/>
    <w:rsid w:val="00510DDC"/>
    <w:rsid w:val="00511166"/>
    <w:rsid w:val="005111A5"/>
    <w:rsid w:val="00511A7A"/>
    <w:rsid w:val="00512217"/>
    <w:rsid w:val="00512459"/>
    <w:rsid w:val="00512B09"/>
    <w:rsid w:val="005131A2"/>
    <w:rsid w:val="005137E4"/>
    <w:rsid w:val="00513BB9"/>
    <w:rsid w:val="0051440E"/>
    <w:rsid w:val="00514480"/>
    <w:rsid w:val="005148CD"/>
    <w:rsid w:val="00515180"/>
    <w:rsid w:val="00515973"/>
    <w:rsid w:val="00516069"/>
    <w:rsid w:val="00516AE0"/>
    <w:rsid w:val="00516EB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060"/>
    <w:rsid w:val="005324D7"/>
    <w:rsid w:val="005326F0"/>
    <w:rsid w:val="00532764"/>
    <w:rsid w:val="00532AA5"/>
    <w:rsid w:val="00532C46"/>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CB7"/>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2EA"/>
    <w:rsid w:val="00564DA7"/>
    <w:rsid w:val="00565204"/>
    <w:rsid w:val="00565473"/>
    <w:rsid w:val="00565DAC"/>
    <w:rsid w:val="00565F0D"/>
    <w:rsid w:val="005662DC"/>
    <w:rsid w:val="00566329"/>
    <w:rsid w:val="005668B9"/>
    <w:rsid w:val="00566E39"/>
    <w:rsid w:val="0056704E"/>
    <w:rsid w:val="00567567"/>
    <w:rsid w:val="00567623"/>
    <w:rsid w:val="005701C2"/>
    <w:rsid w:val="00570763"/>
    <w:rsid w:val="0057200B"/>
    <w:rsid w:val="00572297"/>
    <w:rsid w:val="0057345D"/>
    <w:rsid w:val="0057347D"/>
    <w:rsid w:val="00573560"/>
    <w:rsid w:val="00574E7B"/>
    <w:rsid w:val="00574F36"/>
    <w:rsid w:val="0057551D"/>
    <w:rsid w:val="00575D70"/>
    <w:rsid w:val="00576B5C"/>
    <w:rsid w:val="005770CC"/>
    <w:rsid w:val="00580210"/>
    <w:rsid w:val="005802F9"/>
    <w:rsid w:val="005806D5"/>
    <w:rsid w:val="00580DFC"/>
    <w:rsid w:val="0058134C"/>
    <w:rsid w:val="005815CD"/>
    <w:rsid w:val="005827A7"/>
    <w:rsid w:val="00583B76"/>
    <w:rsid w:val="00583D43"/>
    <w:rsid w:val="0058423E"/>
    <w:rsid w:val="0058429B"/>
    <w:rsid w:val="005846C3"/>
    <w:rsid w:val="00584F04"/>
    <w:rsid w:val="0058544C"/>
    <w:rsid w:val="00585623"/>
    <w:rsid w:val="005857F7"/>
    <w:rsid w:val="005865E9"/>
    <w:rsid w:val="005868FD"/>
    <w:rsid w:val="005875BF"/>
    <w:rsid w:val="0058769F"/>
    <w:rsid w:val="00587D7B"/>
    <w:rsid w:val="005904DB"/>
    <w:rsid w:val="005905ED"/>
    <w:rsid w:val="00590D11"/>
    <w:rsid w:val="00591364"/>
    <w:rsid w:val="00591BA6"/>
    <w:rsid w:val="00592825"/>
    <w:rsid w:val="005936DE"/>
    <w:rsid w:val="00593746"/>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6A4"/>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1A8A"/>
    <w:rsid w:val="005B1AAB"/>
    <w:rsid w:val="005B2578"/>
    <w:rsid w:val="005B2821"/>
    <w:rsid w:val="005B2930"/>
    <w:rsid w:val="005B2B87"/>
    <w:rsid w:val="005B2FAA"/>
    <w:rsid w:val="005B33C8"/>
    <w:rsid w:val="005B387B"/>
    <w:rsid w:val="005B3B01"/>
    <w:rsid w:val="005B4333"/>
    <w:rsid w:val="005B48BE"/>
    <w:rsid w:val="005B4CD7"/>
    <w:rsid w:val="005B4F83"/>
    <w:rsid w:val="005B58F7"/>
    <w:rsid w:val="005B5981"/>
    <w:rsid w:val="005B5994"/>
    <w:rsid w:val="005B6474"/>
    <w:rsid w:val="005B666D"/>
    <w:rsid w:val="005B667A"/>
    <w:rsid w:val="005B6865"/>
    <w:rsid w:val="005B7840"/>
    <w:rsid w:val="005C0287"/>
    <w:rsid w:val="005C039B"/>
    <w:rsid w:val="005C059F"/>
    <w:rsid w:val="005C07CE"/>
    <w:rsid w:val="005C0B8F"/>
    <w:rsid w:val="005C115C"/>
    <w:rsid w:val="005C194E"/>
    <w:rsid w:val="005C1C83"/>
    <w:rsid w:val="005C1DB1"/>
    <w:rsid w:val="005C226F"/>
    <w:rsid w:val="005C2294"/>
    <w:rsid w:val="005C2E48"/>
    <w:rsid w:val="005C2E6B"/>
    <w:rsid w:val="005C3344"/>
    <w:rsid w:val="005C3FAE"/>
    <w:rsid w:val="005C4E4D"/>
    <w:rsid w:val="005C58F2"/>
    <w:rsid w:val="005C5A97"/>
    <w:rsid w:val="005C5ABE"/>
    <w:rsid w:val="005C5F77"/>
    <w:rsid w:val="005C6AAB"/>
    <w:rsid w:val="005C6D5D"/>
    <w:rsid w:val="005C6FD0"/>
    <w:rsid w:val="005C7F10"/>
    <w:rsid w:val="005D01C3"/>
    <w:rsid w:val="005D05FF"/>
    <w:rsid w:val="005D0879"/>
    <w:rsid w:val="005D0FB4"/>
    <w:rsid w:val="005D1176"/>
    <w:rsid w:val="005D1747"/>
    <w:rsid w:val="005D266D"/>
    <w:rsid w:val="005D306D"/>
    <w:rsid w:val="005D3327"/>
    <w:rsid w:val="005D4854"/>
    <w:rsid w:val="005D56F9"/>
    <w:rsid w:val="005D5BCF"/>
    <w:rsid w:val="005D5CA3"/>
    <w:rsid w:val="005D64C7"/>
    <w:rsid w:val="005D65BF"/>
    <w:rsid w:val="005D6D84"/>
    <w:rsid w:val="005D70A1"/>
    <w:rsid w:val="005D79F2"/>
    <w:rsid w:val="005D7CB1"/>
    <w:rsid w:val="005D7F57"/>
    <w:rsid w:val="005E0067"/>
    <w:rsid w:val="005E0141"/>
    <w:rsid w:val="005E09CA"/>
    <w:rsid w:val="005E1AB4"/>
    <w:rsid w:val="005E1B4F"/>
    <w:rsid w:val="005E1F81"/>
    <w:rsid w:val="005E255B"/>
    <w:rsid w:val="005E2CF7"/>
    <w:rsid w:val="005E37FD"/>
    <w:rsid w:val="005E4405"/>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55"/>
    <w:rsid w:val="005F4F00"/>
    <w:rsid w:val="005F51F2"/>
    <w:rsid w:val="005F5506"/>
    <w:rsid w:val="005F5A0D"/>
    <w:rsid w:val="005F60DF"/>
    <w:rsid w:val="005F615B"/>
    <w:rsid w:val="005F61DF"/>
    <w:rsid w:val="005F61F6"/>
    <w:rsid w:val="005F65A9"/>
    <w:rsid w:val="005F680A"/>
    <w:rsid w:val="005F6880"/>
    <w:rsid w:val="005F6B3E"/>
    <w:rsid w:val="005F6E03"/>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5DAE"/>
    <w:rsid w:val="00606207"/>
    <w:rsid w:val="006062A0"/>
    <w:rsid w:val="00607015"/>
    <w:rsid w:val="00607D6C"/>
    <w:rsid w:val="00610233"/>
    <w:rsid w:val="006108FA"/>
    <w:rsid w:val="0061098D"/>
    <w:rsid w:val="00610B78"/>
    <w:rsid w:val="006115EF"/>
    <w:rsid w:val="00611B59"/>
    <w:rsid w:val="00611FBA"/>
    <w:rsid w:val="00612098"/>
    <w:rsid w:val="0061272A"/>
    <w:rsid w:val="0061299E"/>
    <w:rsid w:val="006130D0"/>
    <w:rsid w:val="0061355D"/>
    <w:rsid w:val="006139F7"/>
    <w:rsid w:val="00613AA2"/>
    <w:rsid w:val="00614906"/>
    <w:rsid w:val="00614955"/>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A0D"/>
    <w:rsid w:val="00622781"/>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2B"/>
    <w:rsid w:val="00633769"/>
    <w:rsid w:val="00633FE3"/>
    <w:rsid w:val="00634276"/>
    <w:rsid w:val="00634570"/>
    <w:rsid w:val="0063487C"/>
    <w:rsid w:val="00635634"/>
    <w:rsid w:val="00635B73"/>
    <w:rsid w:val="00635BB7"/>
    <w:rsid w:val="00636140"/>
    <w:rsid w:val="00636AC1"/>
    <w:rsid w:val="00636CC7"/>
    <w:rsid w:val="00636E0F"/>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8F5"/>
    <w:rsid w:val="00644BED"/>
    <w:rsid w:val="00644E2E"/>
    <w:rsid w:val="006451BC"/>
    <w:rsid w:val="00645A3A"/>
    <w:rsid w:val="00645B87"/>
    <w:rsid w:val="00645CB4"/>
    <w:rsid w:val="00646084"/>
    <w:rsid w:val="006468ED"/>
    <w:rsid w:val="006472CD"/>
    <w:rsid w:val="00647664"/>
    <w:rsid w:val="006506AA"/>
    <w:rsid w:val="00650D19"/>
    <w:rsid w:val="0065262D"/>
    <w:rsid w:val="00652CF5"/>
    <w:rsid w:val="0065343E"/>
    <w:rsid w:val="00653446"/>
    <w:rsid w:val="00653595"/>
    <w:rsid w:val="00653672"/>
    <w:rsid w:val="006536BB"/>
    <w:rsid w:val="0065398F"/>
    <w:rsid w:val="00653C7C"/>
    <w:rsid w:val="00654252"/>
    <w:rsid w:val="006543B7"/>
    <w:rsid w:val="00654EA5"/>
    <w:rsid w:val="0065587E"/>
    <w:rsid w:val="006558CD"/>
    <w:rsid w:val="00655C26"/>
    <w:rsid w:val="0065637A"/>
    <w:rsid w:val="00656736"/>
    <w:rsid w:val="00656998"/>
    <w:rsid w:val="00656E4D"/>
    <w:rsid w:val="006574A2"/>
    <w:rsid w:val="006576BA"/>
    <w:rsid w:val="00657E4F"/>
    <w:rsid w:val="006600BF"/>
    <w:rsid w:val="00660AF7"/>
    <w:rsid w:val="00660D3E"/>
    <w:rsid w:val="00661019"/>
    <w:rsid w:val="0066165E"/>
    <w:rsid w:val="00661691"/>
    <w:rsid w:val="00662D3D"/>
    <w:rsid w:val="00662F1F"/>
    <w:rsid w:val="00663D15"/>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384"/>
    <w:rsid w:val="00674642"/>
    <w:rsid w:val="006746F6"/>
    <w:rsid w:val="00674821"/>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371"/>
    <w:rsid w:val="00683DAD"/>
    <w:rsid w:val="00683F81"/>
    <w:rsid w:val="00684592"/>
    <w:rsid w:val="00684963"/>
    <w:rsid w:val="00685033"/>
    <w:rsid w:val="0068517F"/>
    <w:rsid w:val="00685D65"/>
    <w:rsid w:val="00685FC8"/>
    <w:rsid w:val="00686E80"/>
    <w:rsid w:val="0068790B"/>
    <w:rsid w:val="00687AF2"/>
    <w:rsid w:val="00687CB4"/>
    <w:rsid w:val="006901AC"/>
    <w:rsid w:val="00690916"/>
    <w:rsid w:val="00690C8D"/>
    <w:rsid w:val="00690D3F"/>
    <w:rsid w:val="00690F0A"/>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CC"/>
    <w:rsid w:val="006B0C76"/>
    <w:rsid w:val="006B0DA2"/>
    <w:rsid w:val="006B0F70"/>
    <w:rsid w:val="006B1486"/>
    <w:rsid w:val="006B169F"/>
    <w:rsid w:val="006B1BEB"/>
    <w:rsid w:val="006B1D06"/>
    <w:rsid w:val="006B2506"/>
    <w:rsid w:val="006B2823"/>
    <w:rsid w:val="006B29DC"/>
    <w:rsid w:val="006B2D06"/>
    <w:rsid w:val="006B2F60"/>
    <w:rsid w:val="006B33DB"/>
    <w:rsid w:val="006B33DD"/>
    <w:rsid w:val="006B3669"/>
    <w:rsid w:val="006B36E5"/>
    <w:rsid w:val="006B3D00"/>
    <w:rsid w:val="006B4CF8"/>
    <w:rsid w:val="006B506B"/>
    <w:rsid w:val="006B54E8"/>
    <w:rsid w:val="006B5FBC"/>
    <w:rsid w:val="006B6ED2"/>
    <w:rsid w:val="006B79A8"/>
    <w:rsid w:val="006B7CC2"/>
    <w:rsid w:val="006B7F74"/>
    <w:rsid w:val="006C0230"/>
    <w:rsid w:val="006C05BE"/>
    <w:rsid w:val="006C05C7"/>
    <w:rsid w:val="006C25AB"/>
    <w:rsid w:val="006C2A40"/>
    <w:rsid w:val="006C2B57"/>
    <w:rsid w:val="006C2DA6"/>
    <w:rsid w:val="006C3581"/>
    <w:rsid w:val="006C39A0"/>
    <w:rsid w:val="006C3EFE"/>
    <w:rsid w:val="006C46C7"/>
    <w:rsid w:val="006C4767"/>
    <w:rsid w:val="006C4A1A"/>
    <w:rsid w:val="006C4BDA"/>
    <w:rsid w:val="006C4D02"/>
    <w:rsid w:val="006C53A4"/>
    <w:rsid w:val="006C54DF"/>
    <w:rsid w:val="006C5D5D"/>
    <w:rsid w:val="006C627E"/>
    <w:rsid w:val="006C6303"/>
    <w:rsid w:val="006C6A51"/>
    <w:rsid w:val="006C6EBD"/>
    <w:rsid w:val="006C753B"/>
    <w:rsid w:val="006C79D5"/>
    <w:rsid w:val="006C7E04"/>
    <w:rsid w:val="006C7F79"/>
    <w:rsid w:val="006D0004"/>
    <w:rsid w:val="006D015F"/>
    <w:rsid w:val="006D060E"/>
    <w:rsid w:val="006D0681"/>
    <w:rsid w:val="006D0A39"/>
    <w:rsid w:val="006D0A80"/>
    <w:rsid w:val="006D0AE8"/>
    <w:rsid w:val="006D135C"/>
    <w:rsid w:val="006D2494"/>
    <w:rsid w:val="006D2696"/>
    <w:rsid w:val="006D2F72"/>
    <w:rsid w:val="006D43C1"/>
    <w:rsid w:val="006D48B7"/>
    <w:rsid w:val="006D5442"/>
    <w:rsid w:val="006D5BDB"/>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211"/>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302"/>
    <w:rsid w:val="006F3442"/>
    <w:rsid w:val="006F36A5"/>
    <w:rsid w:val="006F3883"/>
    <w:rsid w:val="006F3FD1"/>
    <w:rsid w:val="006F41F4"/>
    <w:rsid w:val="006F44C6"/>
    <w:rsid w:val="006F4576"/>
    <w:rsid w:val="006F5813"/>
    <w:rsid w:val="006F59A8"/>
    <w:rsid w:val="006F5A1D"/>
    <w:rsid w:val="006F665E"/>
    <w:rsid w:val="006F7021"/>
    <w:rsid w:val="006F71A6"/>
    <w:rsid w:val="006F7974"/>
    <w:rsid w:val="006F7C2C"/>
    <w:rsid w:val="006F7FD5"/>
    <w:rsid w:val="00700405"/>
    <w:rsid w:val="00700CB7"/>
    <w:rsid w:val="00700D18"/>
    <w:rsid w:val="00700FEA"/>
    <w:rsid w:val="0070168D"/>
    <w:rsid w:val="00701764"/>
    <w:rsid w:val="00701C36"/>
    <w:rsid w:val="0070235B"/>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434"/>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95"/>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18D"/>
    <w:rsid w:val="0072454E"/>
    <w:rsid w:val="007249D1"/>
    <w:rsid w:val="00724FE4"/>
    <w:rsid w:val="00725829"/>
    <w:rsid w:val="00725D6A"/>
    <w:rsid w:val="007263A2"/>
    <w:rsid w:val="007266B9"/>
    <w:rsid w:val="00727351"/>
    <w:rsid w:val="00727AC5"/>
    <w:rsid w:val="00727C65"/>
    <w:rsid w:val="007300F0"/>
    <w:rsid w:val="00730904"/>
    <w:rsid w:val="00731390"/>
    <w:rsid w:val="00731EDE"/>
    <w:rsid w:val="0073245C"/>
    <w:rsid w:val="00732493"/>
    <w:rsid w:val="00732FE9"/>
    <w:rsid w:val="007333EE"/>
    <w:rsid w:val="00733772"/>
    <w:rsid w:val="00733A43"/>
    <w:rsid w:val="00733AE4"/>
    <w:rsid w:val="00733D5F"/>
    <w:rsid w:val="00734055"/>
    <w:rsid w:val="00734932"/>
    <w:rsid w:val="00734AF7"/>
    <w:rsid w:val="00735D53"/>
    <w:rsid w:val="0073618A"/>
    <w:rsid w:val="007364A3"/>
    <w:rsid w:val="00736740"/>
    <w:rsid w:val="00737070"/>
    <w:rsid w:val="007378FD"/>
    <w:rsid w:val="007403FE"/>
    <w:rsid w:val="007413EB"/>
    <w:rsid w:val="007413FB"/>
    <w:rsid w:val="00742D32"/>
    <w:rsid w:val="00742E9B"/>
    <w:rsid w:val="007444E6"/>
    <w:rsid w:val="007446B9"/>
    <w:rsid w:val="0074592C"/>
    <w:rsid w:val="00745C91"/>
    <w:rsid w:val="00746098"/>
    <w:rsid w:val="00746D58"/>
    <w:rsid w:val="00747578"/>
    <w:rsid w:val="00750ACA"/>
    <w:rsid w:val="00750D12"/>
    <w:rsid w:val="00751073"/>
    <w:rsid w:val="007517A9"/>
    <w:rsid w:val="00751AF2"/>
    <w:rsid w:val="00751B1A"/>
    <w:rsid w:val="00751BD2"/>
    <w:rsid w:val="00751CE5"/>
    <w:rsid w:val="00752188"/>
    <w:rsid w:val="00752CC6"/>
    <w:rsid w:val="00753477"/>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163"/>
    <w:rsid w:val="0076124A"/>
    <w:rsid w:val="0076161B"/>
    <w:rsid w:val="0076182A"/>
    <w:rsid w:val="00761950"/>
    <w:rsid w:val="00761CB5"/>
    <w:rsid w:val="0076216B"/>
    <w:rsid w:val="00762948"/>
    <w:rsid w:val="00762A81"/>
    <w:rsid w:val="00762BD2"/>
    <w:rsid w:val="00763137"/>
    <w:rsid w:val="00763AED"/>
    <w:rsid w:val="00763F8B"/>
    <w:rsid w:val="007640F3"/>
    <w:rsid w:val="0076417E"/>
    <w:rsid w:val="0076497F"/>
    <w:rsid w:val="007660EC"/>
    <w:rsid w:val="007662C7"/>
    <w:rsid w:val="00766862"/>
    <w:rsid w:val="00766A2F"/>
    <w:rsid w:val="007675DD"/>
    <w:rsid w:val="0076797A"/>
    <w:rsid w:val="007702BF"/>
    <w:rsid w:val="007705F0"/>
    <w:rsid w:val="00771CAC"/>
    <w:rsid w:val="00772036"/>
    <w:rsid w:val="00773098"/>
    <w:rsid w:val="007739A3"/>
    <w:rsid w:val="00773BD9"/>
    <w:rsid w:val="00773CB0"/>
    <w:rsid w:val="00773D71"/>
    <w:rsid w:val="00775526"/>
    <w:rsid w:val="00775651"/>
    <w:rsid w:val="00775E80"/>
    <w:rsid w:val="00775F3F"/>
    <w:rsid w:val="00775FA0"/>
    <w:rsid w:val="0077710B"/>
    <w:rsid w:val="0077765A"/>
    <w:rsid w:val="007778AE"/>
    <w:rsid w:val="00780032"/>
    <w:rsid w:val="0078038E"/>
    <w:rsid w:val="00780636"/>
    <w:rsid w:val="00780E86"/>
    <w:rsid w:val="0078108C"/>
    <w:rsid w:val="00781727"/>
    <w:rsid w:val="00781CE4"/>
    <w:rsid w:val="007823E8"/>
    <w:rsid w:val="00782CF3"/>
    <w:rsid w:val="00783959"/>
    <w:rsid w:val="00783BA5"/>
    <w:rsid w:val="007841D8"/>
    <w:rsid w:val="007844A9"/>
    <w:rsid w:val="00785091"/>
    <w:rsid w:val="0078638C"/>
    <w:rsid w:val="007868F9"/>
    <w:rsid w:val="007869F9"/>
    <w:rsid w:val="00786CBB"/>
    <w:rsid w:val="00786E21"/>
    <w:rsid w:val="00787639"/>
    <w:rsid w:val="0079038E"/>
    <w:rsid w:val="00790EBB"/>
    <w:rsid w:val="00791C6E"/>
    <w:rsid w:val="00792164"/>
    <w:rsid w:val="007921F7"/>
    <w:rsid w:val="00792909"/>
    <w:rsid w:val="00792BC6"/>
    <w:rsid w:val="00792C3F"/>
    <w:rsid w:val="00792D42"/>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7E1"/>
    <w:rsid w:val="007A3878"/>
    <w:rsid w:val="007A3D85"/>
    <w:rsid w:val="007A3E0D"/>
    <w:rsid w:val="007A436D"/>
    <w:rsid w:val="007A448F"/>
    <w:rsid w:val="007A54F6"/>
    <w:rsid w:val="007A55FE"/>
    <w:rsid w:val="007A582C"/>
    <w:rsid w:val="007A5950"/>
    <w:rsid w:val="007A6D91"/>
    <w:rsid w:val="007A7618"/>
    <w:rsid w:val="007A7FD2"/>
    <w:rsid w:val="007A7FE8"/>
    <w:rsid w:val="007B00C9"/>
    <w:rsid w:val="007B02C7"/>
    <w:rsid w:val="007B0306"/>
    <w:rsid w:val="007B06E3"/>
    <w:rsid w:val="007B08E4"/>
    <w:rsid w:val="007B0D86"/>
    <w:rsid w:val="007B13C6"/>
    <w:rsid w:val="007B25E5"/>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48C8"/>
    <w:rsid w:val="007C60A8"/>
    <w:rsid w:val="007C660F"/>
    <w:rsid w:val="007C6626"/>
    <w:rsid w:val="007C6664"/>
    <w:rsid w:val="007C66FF"/>
    <w:rsid w:val="007C69AE"/>
    <w:rsid w:val="007C6FE9"/>
    <w:rsid w:val="007C7688"/>
    <w:rsid w:val="007C76E3"/>
    <w:rsid w:val="007C76F3"/>
    <w:rsid w:val="007C7DD9"/>
    <w:rsid w:val="007C7E0C"/>
    <w:rsid w:val="007D03BC"/>
    <w:rsid w:val="007D0DC9"/>
    <w:rsid w:val="007D0ECD"/>
    <w:rsid w:val="007D2384"/>
    <w:rsid w:val="007D2882"/>
    <w:rsid w:val="007D296C"/>
    <w:rsid w:val="007D2C31"/>
    <w:rsid w:val="007D2E50"/>
    <w:rsid w:val="007D3D74"/>
    <w:rsid w:val="007D3FDB"/>
    <w:rsid w:val="007D445F"/>
    <w:rsid w:val="007D4DED"/>
    <w:rsid w:val="007D4E93"/>
    <w:rsid w:val="007D5BA2"/>
    <w:rsid w:val="007D5ED3"/>
    <w:rsid w:val="007D65FE"/>
    <w:rsid w:val="007D682F"/>
    <w:rsid w:val="007D6DDC"/>
    <w:rsid w:val="007D6FB9"/>
    <w:rsid w:val="007D7211"/>
    <w:rsid w:val="007E0595"/>
    <w:rsid w:val="007E0654"/>
    <w:rsid w:val="007E069F"/>
    <w:rsid w:val="007E0A63"/>
    <w:rsid w:val="007E0C63"/>
    <w:rsid w:val="007E0E05"/>
    <w:rsid w:val="007E0F29"/>
    <w:rsid w:val="007E0F5D"/>
    <w:rsid w:val="007E1059"/>
    <w:rsid w:val="007E1523"/>
    <w:rsid w:val="007E1869"/>
    <w:rsid w:val="007E23A1"/>
    <w:rsid w:val="007E259F"/>
    <w:rsid w:val="007E347E"/>
    <w:rsid w:val="007E354A"/>
    <w:rsid w:val="007E41A4"/>
    <w:rsid w:val="007E43E3"/>
    <w:rsid w:val="007E54B8"/>
    <w:rsid w:val="007E5D12"/>
    <w:rsid w:val="007E6420"/>
    <w:rsid w:val="007E677F"/>
    <w:rsid w:val="007E6B25"/>
    <w:rsid w:val="007E6E06"/>
    <w:rsid w:val="007E6F4A"/>
    <w:rsid w:val="007E79CC"/>
    <w:rsid w:val="007F004B"/>
    <w:rsid w:val="007F07A2"/>
    <w:rsid w:val="007F1124"/>
    <w:rsid w:val="007F152D"/>
    <w:rsid w:val="007F20C4"/>
    <w:rsid w:val="007F20EE"/>
    <w:rsid w:val="007F23D8"/>
    <w:rsid w:val="007F307A"/>
    <w:rsid w:val="007F30C6"/>
    <w:rsid w:val="007F336F"/>
    <w:rsid w:val="007F38FD"/>
    <w:rsid w:val="007F3C18"/>
    <w:rsid w:val="007F4318"/>
    <w:rsid w:val="007F4709"/>
    <w:rsid w:val="007F4720"/>
    <w:rsid w:val="007F47DA"/>
    <w:rsid w:val="007F47F1"/>
    <w:rsid w:val="007F4E52"/>
    <w:rsid w:val="007F4F84"/>
    <w:rsid w:val="007F5382"/>
    <w:rsid w:val="007F54B5"/>
    <w:rsid w:val="007F55A4"/>
    <w:rsid w:val="007F5D28"/>
    <w:rsid w:val="007F5E6D"/>
    <w:rsid w:val="007F6260"/>
    <w:rsid w:val="007F682B"/>
    <w:rsid w:val="007F77D1"/>
    <w:rsid w:val="007F78E8"/>
    <w:rsid w:val="007F79FA"/>
    <w:rsid w:val="007F7C6D"/>
    <w:rsid w:val="007F7E95"/>
    <w:rsid w:val="007F7F8F"/>
    <w:rsid w:val="00800509"/>
    <w:rsid w:val="0080078E"/>
    <w:rsid w:val="00800B7F"/>
    <w:rsid w:val="008012B1"/>
    <w:rsid w:val="008019E5"/>
    <w:rsid w:val="00801A29"/>
    <w:rsid w:val="00801AA9"/>
    <w:rsid w:val="00801D63"/>
    <w:rsid w:val="0080348B"/>
    <w:rsid w:val="00803D82"/>
    <w:rsid w:val="00803D98"/>
    <w:rsid w:val="00805127"/>
    <w:rsid w:val="008052CE"/>
    <w:rsid w:val="0080548A"/>
    <w:rsid w:val="008058D0"/>
    <w:rsid w:val="00806A4C"/>
    <w:rsid w:val="0080705B"/>
    <w:rsid w:val="0080723C"/>
    <w:rsid w:val="00807F71"/>
    <w:rsid w:val="0081000F"/>
    <w:rsid w:val="008113A1"/>
    <w:rsid w:val="00812657"/>
    <w:rsid w:val="00812A1A"/>
    <w:rsid w:val="00812DFF"/>
    <w:rsid w:val="008135BD"/>
    <w:rsid w:val="0081362F"/>
    <w:rsid w:val="0081383A"/>
    <w:rsid w:val="00813DA7"/>
    <w:rsid w:val="00814315"/>
    <w:rsid w:val="0081497F"/>
    <w:rsid w:val="00814B90"/>
    <w:rsid w:val="00814FAC"/>
    <w:rsid w:val="00814FC7"/>
    <w:rsid w:val="0081660C"/>
    <w:rsid w:val="008167F7"/>
    <w:rsid w:val="00816AD8"/>
    <w:rsid w:val="00817195"/>
    <w:rsid w:val="00817353"/>
    <w:rsid w:val="00817416"/>
    <w:rsid w:val="00817658"/>
    <w:rsid w:val="008206AE"/>
    <w:rsid w:val="00820C3E"/>
    <w:rsid w:val="0082104D"/>
    <w:rsid w:val="00821128"/>
    <w:rsid w:val="00821271"/>
    <w:rsid w:val="00821306"/>
    <w:rsid w:val="008213D9"/>
    <w:rsid w:val="008216CE"/>
    <w:rsid w:val="008218AE"/>
    <w:rsid w:val="00821C0B"/>
    <w:rsid w:val="00821D85"/>
    <w:rsid w:val="00821E47"/>
    <w:rsid w:val="008220F6"/>
    <w:rsid w:val="008223B1"/>
    <w:rsid w:val="00822456"/>
    <w:rsid w:val="00823819"/>
    <w:rsid w:val="00823C4B"/>
    <w:rsid w:val="0082427D"/>
    <w:rsid w:val="008247BC"/>
    <w:rsid w:val="00825441"/>
    <w:rsid w:val="00826855"/>
    <w:rsid w:val="00826AB4"/>
    <w:rsid w:val="00830052"/>
    <w:rsid w:val="008300D0"/>
    <w:rsid w:val="008308D8"/>
    <w:rsid w:val="008320D2"/>
    <w:rsid w:val="008321CE"/>
    <w:rsid w:val="0083257C"/>
    <w:rsid w:val="0083261B"/>
    <w:rsid w:val="00832B44"/>
    <w:rsid w:val="00832EC9"/>
    <w:rsid w:val="00832F2E"/>
    <w:rsid w:val="00833307"/>
    <w:rsid w:val="00833583"/>
    <w:rsid w:val="00833B5B"/>
    <w:rsid w:val="00833E9A"/>
    <w:rsid w:val="00834FEF"/>
    <w:rsid w:val="00836323"/>
    <w:rsid w:val="008379FF"/>
    <w:rsid w:val="00837D3D"/>
    <w:rsid w:val="00837E9B"/>
    <w:rsid w:val="0084000D"/>
    <w:rsid w:val="008404AA"/>
    <w:rsid w:val="008406D7"/>
    <w:rsid w:val="0084074F"/>
    <w:rsid w:val="008407BA"/>
    <w:rsid w:val="008408C3"/>
    <w:rsid w:val="00840AA3"/>
    <w:rsid w:val="00840AAC"/>
    <w:rsid w:val="0084101C"/>
    <w:rsid w:val="00841301"/>
    <w:rsid w:val="0084181B"/>
    <w:rsid w:val="00841C81"/>
    <w:rsid w:val="00841F29"/>
    <w:rsid w:val="008425C6"/>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2FCC"/>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23"/>
    <w:rsid w:val="00861948"/>
    <w:rsid w:val="00862011"/>
    <w:rsid w:val="00862A15"/>
    <w:rsid w:val="00862CC9"/>
    <w:rsid w:val="00862D8E"/>
    <w:rsid w:val="00862EF2"/>
    <w:rsid w:val="00863F74"/>
    <w:rsid w:val="0086598A"/>
    <w:rsid w:val="00865C3D"/>
    <w:rsid w:val="00865F4C"/>
    <w:rsid w:val="008662DC"/>
    <w:rsid w:val="00866453"/>
    <w:rsid w:val="0086707F"/>
    <w:rsid w:val="00867501"/>
    <w:rsid w:val="00867D8E"/>
    <w:rsid w:val="008700C0"/>
    <w:rsid w:val="0087058B"/>
    <w:rsid w:val="0087099A"/>
    <w:rsid w:val="00870D79"/>
    <w:rsid w:val="00871333"/>
    <w:rsid w:val="00871952"/>
    <w:rsid w:val="00872006"/>
    <w:rsid w:val="00872386"/>
    <w:rsid w:val="008726D7"/>
    <w:rsid w:val="00872BFC"/>
    <w:rsid w:val="00873128"/>
    <w:rsid w:val="008734CF"/>
    <w:rsid w:val="008735BC"/>
    <w:rsid w:val="00873AAC"/>
    <w:rsid w:val="00873C61"/>
    <w:rsid w:val="00873DFD"/>
    <w:rsid w:val="008749BF"/>
    <w:rsid w:val="00875542"/>
    <w:rsid w:val="00875E14"/>
    <w:rsid w:val="008760DD"/>
    <w:rsid w:val="0087677E"/>
    <w:rsid w:val="0087712C"/>
    <w:rsid w:val="008776E7"/>
    <w:rsid w:val="00877746"/>
    <w:rsid w:val="00877C5D"/>
    <w:rsid w:val="00880354"/>
    <w:rsid w:val="0088093C"/>
    <w:rsid w:val="00880BC0"/>
    <w:rsid w:val="0088127A"/>
    <w:rsid w:val="00881D59"/>
    <w:rsid w:val="008826D7"/>
    <w:rsid w:val="00882991"/>
    <w:rsid w:val="00882E9E"/>
    <w:rsid w:val="00882EC1"/>
    <w:rsid w:val="00883236"/>
    <w:rsid w:val="0088324E"/>
    <w:rsid w:val="0088434F"/>
    <w:rsid w:val="00884371"/>
    <w:rsid w:val="008848E2"/>
    <w:rsid w:val="00884B7A"/>
    <w:rsid w:val="00884D47"/>
    <w:rsid w:val="008856C5"/>
    <w:rsid w:val="008858CC"/>
    <w:rsid w:val="00886112"/>
    <w:rsid w:val="008872B3"/>
    <w:rsid w:val="00887392"/>
    <w:rsid w:val="00887B7E"/>
    <w:rsid w:val="00890A64"/>
    <w:rsid w:val="00890C40"/>
    <w:rsid w:val="00890E5E"/>
    <w:rsid w:val="0089122E"/>
    <w:rsid w:val="008912A7"/>
    <w:rsid w:val="0089183A"/>
    <w:rsid w:val="0089194F"/>
    <w:rsid w:val="008920A9"/>
    <w:rsid w:val="008920B4"/>
    <w:rsid w:val="008925EB"/>
    <w:rsid w:val="0089261E"/>
    <w:rsid w:val="0089275E"/>
    <w:rsid w:val="00892B43"/>
    <w:rsid w:val="00892BFF"/>
    <w:rsid w:val="00893432"/>
    <w:rsid w:val="00893936"/>
    <w:rsid w:val="00893CE2"/>
    <w:rsid w:val="00893F41"/>
    <w:rsid w:val="00894579"/>
    <w:rsid w:val="008947A5"/>
    <w:rsid w:val="00894DFD"/>
    <w:rsid w:val="00895144"/>
    <w:rsid w:val="00895226"/>
    <w:rsid w:val="00895963"/>
    <w:rsid w:val="008972B6"/>
    <w:rsid w:val="00897339"/>
    <w:rsid w:val="00897697"/>
    <w:rsid w:val="008977E1"/>
    <w:rsid w:val="00897BFA"/>
    <w:rsid w:val="00897D19"/>
    <w:rsid w:val="008A0044"/>
    <w:rsid w:val="008A0156"/>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0EF1"/>
    <w:rsid w:val="008B111A"/>
    <w:rsid w:val="008B16E6"/>
    <w:rsid w:val="008B1AB2"/>
    <w:rsid w:val="008B1CE9"/>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66B"/>
    <w:rsid w:val="008C2DBC"/>
    <w:rsid w:val="008C3A4E"/>
    <w:rsid w:val="008C3A54"/>
    <w:rsid w:val="008C3EFD"/>
    <w:rsid w:val="008C5371"/>
    <w:rsid w:val="008C595B"/>
    <w:rsid w:val="008C623D"/>
    <w:rsid w:val="008C65F4"/>
    <w:rsid w:val="008C6683"/>
    <w:rsid w:val="008C6E0C"/>
    <w:rsid w:val="008C7273"/>
    <w:rsid w:val="008C78F8"/>
    <w:rsid w:val="008C7FF7"/>
    <w:rsid w:val="008D05DF"/>
    <w:rsid w:val="008D0812"/>
    <w:rsid w:val="008D09E8"/>
    <w:rsid w:val="008D0E65"/>
    <w:rsid w:val="008D110A"/>
    <w:rsid w:val="008D1612"/>
    <w:rsid w:val="008D1BD8"/>
    <w:rsid w:val="008D20CE"/>
    <w:rsid w:val="008D2259"/>
    <w:rsid w:val="008D2531"/>
    <w:rsid w:val="008D2833"/>
    <w:rsid w:val="008D2A5B"/>
    <w:rsid w:val="008D313A"/>
    <w:rsid w:val="008D3381"/>
    <w:rsid w:val="008D33FE"/>
    <w:rsid w:val="008D3B9F"/>
    <w:rsid w:val="008D3D02"/>
    <w:rsid w:val="008D3D5A"/>
    <w:rsid w:val="008D4226"/>
    <w:rsid w:val="008D4B0A"/>
    <w:rsid w:val="008D4D7C"/>
    <w:rsid w:val="008D5432"/>
    <w:rsid w:val="008D54C0"/>
    <w:rsid w:val="008D5558"/>
    <w:rsid w:val="008D5806"/>
    <w:rsid w:val="008D5ED9"/>
    <w:rsid w:val="008D670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E7E6E"/>
    <w:rsid w:val="008F0AB4"/>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B38"/>
    <w:rsid w:val="00901F0E"/>
    <w:rsid w:val="00902A26"/>
    <w:rsid w:val="00902A57"/>
    <w:rsid w:val="00902B29"/>
    <w:rsid w:val="00903C83"/>
    <w:rsid w:val="00903D77"/>
    <w:rsid w:val="00903FA1"/>
    <w:rsid w:val="0090408F"/>
    <w:rsid w:val="0090446A"/>
    <w:rsid w:val="00904537"/>
    <w:rsid w:val="00904DC3"/>
    <w:rsid w:val="00905050"/>
    <w:rsid w:val="0090534A"/>
    <w:rsid w:val="00905469"/>
    <w:rsid w:val="009054F4"/>
    <w:rsid w:val="00905689"/>
    <w:rsid w:val="00906078"/>
    <w:rsid w:val="0090629C"/>
    <w:rsid w:val="00906EA2"/>
    <w:rsid w:val="00907278"/>
    <w:rsid w:val="00910041"/>
    <w:rsid w:val="0091112B"/>
    <w:rsid w:val="00911D61"/>
    <w:rsid w:val="00912850"/>
    <w:rsid w:val="009128B8"/>
    <w:rsid w:val="00912CBA"/>
    <w:rsid w:val="0091472C"/>
    <w:rsid w:val="00914B8E"/>
    <w:rsid w:val="00914DC9"/>
    <w:rsid w:val="00914F4F"/>
    <w:rsid w:val="00915351"/>
    <w:rsid w:val="00915679"/>
    <w:rsid w:val="009159C2"/>
    <w:rsid w:val="0091627F"/>
    <w:rsid w:val="00916E45"/>
    <w:rsid w:val="0092028B"/>
    <w:rsid w:val="0092077A"/>
    <w:rsid w:val="00920DC0"/>
    <w:rsid w:val="009219F3"/>
    <w:rsid w:val="00921EA1"/>
    <w:rsid w:val="009221CB"/>
    <w:rsid w:val="00922320"/>
    <w:rsid w:val="009233CE"/>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2284"/>
    <w:rsid w:val="0093386D"/>
    <w:rsid w:val="00934C8E"/>
    <w:rsid w:val="00934CF6"/>
    <w:rsid w:val="00935194"/>
    <w:rsid w:val="00936EA5"/>
    <w:rsid w:val="00937114"/>
    <w:rsid w:val="0094015D"/>
    <w:rsid w:val="00940916"/>
    <w:rsid w:val="009412B7"/>
    <w:rsid w:val="00941B13"/>
    <w:rsid w:val="00941F06"/>
    <w:rsid w:val="0094215C"/>
    <w:rsid w:val="00942727"/>
    <w:rsid w:val="00942F8E"/>
    <w:rsid w:val="00943543"/>
    <w:rsid w:val="009441DB"/>
    <w:rsid w:val="00944834"/>
    <w:rsid w:val="00946128"/>
    <w:rsid w:val="0094633F"/>
    <w:rsid w:val="00947BA5"/>
    <w:rsid w:val="00950785"/>
    <w:rsid w:val="00950805"/>
    <w:rsid w:val="009517E4"/>
    <w:rsid w:val="009518D4"/>
    <w:rsid w:val="00951956"/>
    <w:rsid w:val="009520BC"/>
    <w:rsid w:val="009521D2"/>
    <w:rsid w:val="00952403"/>
    <w:rsid w:val="00952581"/>
    <w:rsid w:val="00952589"/>
    <w:rsid w:val="00952BD8"/>
    <w:rsid w:val="00953573"/>
    <w:rsid w:val="009537C0"/>
    <w:rsid w:val="009556A1"/>
    <w:rsid w:val="009557A9"/>
    <w:rsid w:val="00955BA0"/>
    <w:rsid w:val="00955BD7"/>
    <w:rsid w:val="00956647"/>
    <w:rsid w:val="00956CF3"/>
    <w:rsid w:val="00957380"/>
    <w:rsid w:val="00957409"/>
    <w:rsid w:val="00957499"/>
    <w:rsid w:val="00957660"/>
    <w:rsid w:val="00957ED2"/>
    <w:rsid w:val="009604AE"/>
    <w:rsid w:val="009605EF"/>
    <w:rsid w:val="009609AF"/>
    <w:rsid w:val="00960DE4"/>
    <w:rsid w:val="009610C7"/>
    <w:rsid w:val="00961164"/>
    <w:rsid w:val="009612A4"/>
    <w:rsid w:val="00961867"/>
    <w:rsid w:val="00961A4F"/>
    <w:rsid w:val="009625B7"/>
    <w:rsid w:val="00962B5D"/>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02DB"/>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F5"/>
    <w:rsid w:val="0098534B"/>
    <w:rsid w:val="00986019"/>
    <w:rsid w:val="00986281"/>
    <w:rsid w:val="00986FC9"/>
    <w:rsid w:val="0098764E"/>
    <w:rsid w:val="00987683"/>
    <w:rsid w:val="00987826"/>
    <w:rsid w:val="00987844"/>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8B"/>
    <w:rsid w:val="00993AC7"/>
    <w:rsid w:val="00993BAD"/>
    <w:rsid w:val="00993E49"/>
    <w:rsid w:val="00994120"/>
    <w:rsid w:val="009942F5"/>
    <w:rsid w:val="00994568"/>
    <w:rsid w:val="00994602"/>
    <w:rsid w:val="0099494C"/>
    <w:rsid w:val="00995B01"/>
    <w:rsid w:val="00996055"/>
    <w:rsid w:val="00996EF4"/>
    <w:rsid w:val="00997044"/>
    <w:rsid w:val="00997304"/>
    <w:rsid w:val="00997BC9"/>
    <w:rsid w:val="009A03EE"/>
    <w:rsid w:val="009A0B32"/>
    <w:rsid w:val="009A113D"/>
    <w:rsid w:val="009A1ECA"/>
    <w:rsid w:val="009A2BE9"/>
    <w:rsid w:val="009A2BF3"/>
    <w:rsid w:val="009A3688"/>
    <w:rsid w:val="009A3713"/>
    <w:rsid w:val="009A3C3E"/>
    <w:rsid w:val="009A4153"/>
    <w:rsid w:val="009A49B7"/>
    <w:rsid w:val="009A4C2C"/>
    <w:rsid w:val="009A59B3"/>
    <w:rsid w:val="009A5FAE"/>
    <w:rsid w:val="009A6B3A"/>
    <w:rsid w:val="009A70A3"/>
    <w:rsid w:val="009A73C5"/>
    <w:rsid w:val="009A7E7C"/>
    <w:rsid w:val="009B05D2"/>
    <w:rsid w:val="009B152B"/>
    <w:rsid w:val="009B2731"/>
    <w:rsid w:val="009B2CD2"/>
    <w:rsid w:val="009B2DCF"/>
    <w:rsid w:val="009B39D8"/>
    <w:rsid w:val="009B3D38"/>
    <w:rsid w:val="009B41BF"/>
    <w:rsid w:val="009B4368"/>
    <w:rsid w:val="009B4415"/>
    <w:rsid w:val="009B4CDB"/>
    <w:rsid w:val="009B4D4C"/>
    <w:rsid w:val="009B66F5"/>
    <w:rsid w:val="009B7505"/>
    <w:rsid w:val="009B7B5C"/>
    <w:rsid w:val="009C0020"/>
    <w:rsid w:val="009C03F7"/>
    <w:rsid w:val="009C10DA"/>
    <w:rsid w:val="009C19FC"/>
    <w:rsid w:val="009C27F7"/>
    <w:rsid w:val="009C3BC4"/>
    <w:rsid w:val="009C3C93"/>
    <w:rsid w:val="009C3E97"/>
    <w:rsid w:val="009C4017"/>
    <w:rsid w:val="009C424E"/>
    <w:rsid w:val="009C4708"/>
    <w:rsid w:val="009C4870"/>
    <w:rsid w:val="009C48EE"/>
    <w:rsid w:val="009C4C4E"/>
    <w:rsid w:val="009C4D37"/>
    <w:rsid w:val="009C574C"/>
    <w:rsid w:val="009C5753"/>
    <w:rsid w:val="009C5E42"/>
    <w:rsid w:val="009C620F"/>
    <w:rsid w:val="009C657D"/>
    <w:rsid w:val="009C724B"/>
    <w:rsid w:val="009C7266"/>
    <w:rsid w:val="009C748A"/>
    <w:rsid w:val="009C775E"/>
    <w:rsid w:val="009C7B09"/>
    <w:rsid w:val="009D03B7"/>
    <w:rsid w:val="009D07AD"/>
    <w:rsid w:val="009D0824"/>
    <w:rsid w:val="009D1172"/>
    <w:rsid w:val="009D13CC"/>
    <w:rsid w:val="009D1654"/>
    <w:rsid w:val="009D1AAC"/>
    <w:rsid w:val="009D1BDB"/>
    <w:rsid w:val="009D298F"/>
    <w:rsid w:val="009D2F9C"/>
    <w:rsid w:val="009D4207"/>
    <w:rsid w:val="009D4C04"/>
    <w:rsid w:val="009D4E4A"/>
    <w:rsid w:val="009D5130"/>
    <w:rsid w:val="009D53D1"/>
    <w:rsid w:val="009D53FB"/>
    <w:rsid w:val="009D56A4"/>
    <w:rsid w:val="009D5887"/>
    <w:rsid w:val="009D5E65"/>
    <w:rsid w:val="009D6081"/>
    <w:rsid w:val="009D678C"/>
    <w:rsid w:val="009D6B9A"/>
    <w:rsid w:val="009D6D30"/>
    <w:rsid w:val="009D6DB5"/>
    <w:rsid w:val="009D7523"/>
    <w:rsid w:val="009D76B5"/>
    <w:rsid w:val="009D7AF1"/>
    <w:rsid w:val="009D7BC7"/>
    <w:rsid w:val="009D7FAC"/>
    <w:rsid w:val="009E0109"/>
    <w:rsid w:val="009E0342"/>
    <w:rsid w:val="009E046C"/>
    <w:rsid w:val="009E098B"/>
    <w:rsid w:val="009E09AB"/>
    <w:rsid w:val="009E0D7D"/>
    <w:rsid w:val="009E0DAF"/>
    <w:rsid w:val="009E177D"/>
    <w:rsid w:val="009E19BB"/>
    <w:rsid w:val="009E1C47"/>
    <w:rsid w:val="009E1D41"/>
    <w:rsid w:val="009E38D1"/>
    <w:rsid w:val="009E3DF1"/>
    <w:rsid w:val="009E514A"/>
    <w:rsid w:val="009E5177"/>
    <w:rsid w:val="009E5701"/>
    <w:rsid w:val="009E5711"/>
    <w:rsid w:val="009E6108"/>
    <w:rsid w:val="009E758E"/>
    <w:rsid w:val="009E7BFB"/>
    <w:rsid w:val="009E7D6B"/>
    <w:rsid w:val="009E7E81"/>
    <w:rsid w:val="009F020A"/>
    <w:rsid w:val="009F05AD"/>
    <w:rsid w:val="009F0659"/>
    <w:rsid w:val="009F1109"/>
    <w:rsid w:val="009F123D"/>
    <w:rsid w:val="009F143E"/>
    <w:rsid w:val="009F1DE8"/>
    <w:rsid w:val="009F2186"/>
    <w:rsid w:val="009F227C"/>
    <w:rsid w:val="009F28DC"/>
    <w:rsid w:val="009F2E2B"/>
    <w:rsid w:val="009F2EDB"/>
    <w:rsid w:val="009F33DC"/>
    <w:rsid w:val="009F3572"/>
    <w:rsid w:val="009F3B27"/>
    <w:rsid w:val="009F4550"/>
    <w:rsid w:val="009F4F41"/>
    <w:rsid w:val="009F56C0"/>
    <w:rsid w:val="009F5C76"/>
    <w:rsid w:val="00A000C5"/>
    <w:rsid w:val="00A007B4"/>
    <w:rsid w:val="00A00930"/>
    <w:rsid w:val="00A00CA0"/>
    <w:rsid w:val="00A00E00"/>
    <w:rsid w:val="00A01221"/>
    <w:rsid w:val="00A012A8"/>
    <w:rsid w:val="00A012F1"/>
    <w:rsid w:val="00A016FF"/>
    <w:rsid w:val="00A01886"/>
    <w:rsid w:val="00A02019"/>
    <w:rsid w:val="00A0207F"/>
    <w:rsid w:val="00A021AF"/>
    <w:rsid w:val="00A027B1"/>
    <w:rsid w:val="00A0307A"/>
    <w:rsid w:val="00A03A7C"/>
    <w:rsid w:val="00A044AA"/>
    <w:rsid w:val="00A0700C"/>
    <w:rsid w:val="00A074C4"/>
    <w:rsid w:val="00A07E0E"/>
    <w:rsid w:val="00A102F8"/>
    <w:rsid w:val="00A106DB"/>
    <w:rsid w:val="00A10A20"/>
    <w:rsid w:val="00A10B1F"/>
    <w:rsid w:val="00A117D5"/>
    <w:rsid w:val="00A11C11"/>
    <w:rsid w:val="00A12720"/>
    <w:rsid w:val="00A12ED1"/>
    <w:rsid w:val="00A13121"/>
    <w:rsid w:val="00A131F5"/>
    <w:rsid w:val="00A1328A"/>
    <w:rsid w:val="00A133C1"/>
    <w:rsid w:val="00A13414"/>
    <w:rsid w:val="00A13675"/>
    <w:rsid w:val="00A138B7"/>
    <w:rsid w:val="00A13DE6"/>
    <w:rsid w:val="00A13F2D"/>
    <w:rsid w:val="00A148A0"/>
    <w:rsid w:val="00A14AA8"/>
    <w:rsid w:val="00A14F81"/>
    <w:rsid w:val="00A1535F"/>
    <w:rsid w:val="00A15CB1"/>
    <w:rsid w:val="00A15DCC"/>
    <w:rsid w:val="00A15E7D"/>
    <w:rsid w:val="00A15E84"/>
    <w:rsid w:val="00A16021"/>
    <w:rsid w:val="00A16961"/>
    <w:rsid w:val="00A176DD"/>
    <w:rsid w:val="00A1770E"/>
    <w:rsid w:val="00A17B77"/>
    <w:rsid w:val="00A21838"/>
    <w:rsid w:val="00A22C3E"/>
    <w:rsid w:val="00A22C4D"/>
    <w:rsid w:val="00A2334E"/>
    <w:rsid w:val="00A23442"/>
    <w:rsid w:val="00A249D2"/>
    <w:rsid w:val="00A2510C"/>
    <w:rsid w:val="00A254AB"/>
    <w:rsid w:val="00A259F2"/>
    <w:rsid w:val="00A261B9"/>
    <w:rsid w:val="00A266CC"/>
    <w:rsid w:val="00A26B5F"/>
    <w:rsid w:val="00A26DB4"/>
    <w:rsid w:val="00A27425"/>
    <w:rsid w:val="00A2786B"/>
    <w:rsid w:val="00A27B2D"/>
    <w:rsid w:val="00A27F0F"/>
    <w:rsid w:val="00A3023E"/>
    <w:rsid w:val="00A305C5"/>
    <w:rsid w:val="00A30919"/>
    <w:rsid w:val="00A30941"/>
    <w:rsid w:val="00A31DAF"/>
    <w:rsid w:val="00A31F05"/>
    <w:rsid w:val="00A31FD2"/>
    <w:rsid w:val="00A33E44"/>
    <w:rsid w:val="00A3404D"/>
    <w:rsid w:val="00A341AB"/>
    <w:rsid w:val="00A34290"/>
    <w:rsid w:val="00A355F9"/>
    <w:rsid w:val="00A357D3"/>
    <w:rsid w:val="00A35AA9"/>
    <w:rsid w:val="00A35F3C"/>
    <w:rsid w:val="00A365BE"/>
    <w:rsid w:val="00A36CF6"/>
    <w:rsid w:val="00A37309"/>
    <w:rsid w:val="00A37329"/>
    <w:rsid w:val="00A37558"/>
    <w:rsid w:val="00A3786A"/>
    <w:rsid w:val="00A4008C"/>
    <w:rsid w:val="00A402A8"/>
    <w:rsid w:val="00A40685"/>
    <w:rsid w:val="00A40E2F"/>
    <w:rsid w:val="00A41819"/>
    <w:rsid w:val="00A41C9A"/>
    <w:rsid w:val="00A41D73"/>
    <w:rsid w:val="00A421C5"/>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5AEB"/>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060"/>
    <w:rsid w:val="00A65A1B"/>
    <w:rsid w:val="00A65EFB"/>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49F"/>
    <w:rsid w:val="00A765B1"/>
    <w:rsid w:val="00A768F6"/>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8F1"/>
    <w:rsid w:val="00A8597A"/>
    <w:rsid w:val="00A85B87"/>
    <w:rsid w:val="00A85F83"/>
    <w:rsid w:val="00A86019"/>
    <w:rsid w:val="00A8624C"/>
    <w:rsid w:val="00A86EED"/>
    <w:rsid w:val="00A8733A"/>
    <w:rsid w:val="00A87CB9"/>
    <w:rsid w:val="00A9151F"/>
    <w:rsid w:val="00A9196B"/>
    <w:rsid w:val="00A91BB5"/>
    <w:rsid w:val="00A91BEE"/>
    <w:rsid w:val="00A91D4B"/>
    <w:rsid w:val="00A920B2"/>
    <w:rsid w:val="00A92A96"/>
    <w:rsid w:val="00A92AF0"/>
    <w:rsid w:val="00A933FE"/>
    <w:rsid w:val="00A937D5"/>
    <w:rsid w:val="00A93C70"/>
    <w:rsid w:val="00A93F85"/>
    <w:rsid w:val="00A941C2"/>
    <w:rsid w:val="00A94423"/>
    <w:rsid w:val="00A94A32"/>
    <w:rsid w:val="00A94AFC"/>
    <w:rsid w:val="00A94BF5"/>
    <w:rsid w:val="00A94CEF"/>
    <w:rsid w:val="00A94D97"/>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4D6"/>
    <w:rsid w:val="00AA35BA"/>
    <w:rsid w:val="00AA388F"/>
    <w:rsid w:val="00AA3C4C"/>
    <w:rsid w:val="00AA408E"/>
    <w:rsid w:val="00AA4DA9"/>
    <w:rsid w:val="00AA4F6D"/>
    <w:rsid w:val="00AA50CE"/>
    <w:rsid w:val="00AA536B"/>
    <w:rsid w:val="00AA57C9"/>
    <w:rsid w:val="00AA5A5C"/>
    <w:rsid w:val="00AA5A6F"/>
    <w:rsid w:val="00AA634D"/>
    <w:rsid w:val="00AA6AE0"/>
    <w:rsid w:val="00AA6F6C"/>
    <w:rsid w:val="00AA721D"/>
    <w:rsid w:val="00AA7519"/>
    <w:rsid w:val="00AA790A"/>
    <w:rsid w:val="00AB02EA"/>
    <w:rsid w:val="00AB110C"/>
    <w:rsid w:val="00AB227A"/>
    <w:rsid w:val="00AB22BF"/>
    <w:rsid w:val="00AB256E"/>
    <w:rsid w:val="00AB26CB"/>
    <w:rsid w:val="00AB2D8F"/>
    <w:rsid w:val="00AB33FA"/>
    <w:rsid w:val="00AB3466"/>
    <w:rsid w:val="00AB38B2"/>
    <w:rsid w:val="00AB3A86"/>
    <w:rsid w:val="00AB3BBB"/>
    <w:rsid w:val="00AB408C"/>
    <w:rsid w:val="00AB40DD"/>
    <w:rsid w:val="00AB43AF"/>
    <w:rsid w:val="00AB4E41"/>
    <w:rsid w:val="00AB504B"/>
    <w:rsid w:val="00AB53CC"/>
    <w:rsid w:val="00AB5EB1"/>
    <w:rsid w:val="00AB6003"/>
    <w:rsid w:val="00AB759A"/>
    <w:rsid w:val="00AB7B06"/>
    <w:rsid w:val="00AB7EAA"/>
    <w:rsid w:val="00AC0432"/>
    <w:rsid w:val="00AC0770"/>
    <w:rsid w:val="00AC14AC"/>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2E70"/>
    <w:rsid w:val="00AD3132"/>
    <w:rsid w:val="00AD3DA6"/>
    <w:rsid w:val="00AD3F3C"/>
    <w:rsid w:val="00AD447E"/>
    <w:rsid w:val="00AD4B2F"/>
    <w:rsid w:val="00AD5F0A"/>
    <w:rsid w:val="00AD6453"/>
    <w:rsid w:val="00AD6A5B"/>
    <w:rsid w:val="00AD6B4F"/>
    <w:rsid w:val="00AD6D19"/>
    <w:rsid w:val="00AD7812"/>
    <w:rsid w:val="00AD7C42"/>
    <w:rsid w:val="00AD7CFA"/>
    <w:rsid w:val="00AE05B6"/>
    <w:rsid w:val="00AE06B0"/>
    <w:rsid w:val="00AE0BD6"/>
    <w:rsid w:val="00AE0E72"/>
    <w:rsid w:val="00AE11C1"/>
    <w:rsid w:val="00AE163D"/>
    <w:rsid w:val="00AE1A42"/>
    <w:rsid w:val="00AE1AED"/>
    <w:rsid w:val="00AE1C5C"/>
    <w:rsid w:val="00AE1D54"/>
    <w:rsid w:val="00AE315E"/>
    <w:rsid w:val="00AE319F"/>
    <w:rsid w:val="00AE31D9"/>
    <w:rsid w:val="00AE3CF0"/>
    <w:rsid w:val="00AE4546"/>
    <w:rsid w:val="00AE46DD"/>
    <w:rsid w:val="00AE6575"/>
    <w:rsid w:val="00AE6C76"/>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43"/>
    <w:rsid w:val="00B03148"/>
    <w:rsid w:val="00B038F1"/>
    <w:rsid w:val="00B03C1B"/>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3B"/>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5342"/>
    <w:rsid w:val="00B2547E"/>
    <w:rsid w:val="00B2551D"/>
    <w:rsid w:val="00B25F8C"/>
    <w:rsid w:val="00B260BE"/>
    <w:rsid w:val="00B26677"/>
    <w:rsid w:val="00B26A96"/>
    <w:rsid w:val="00B26C61"/>
    <w:rsid w:val="00B26F5E"/>
    <w:rsid w:val="00B274E3"/>
    <w:rsid w:val="00B27590"/>
    <w:rsid w:val="00B2765C"/>
    <w:rsid w:val="00B27C4B"/>
    <w:rsid w:val="00B30563"/>
    <w:rsid w:val="00B3069E"/>
    <w:rsid w:val="00B30A76"/>
    <w:rsid w:val="00B30AC8"/>
    <w:rsid w:val="00B31246"/>
    <w:rsid w:val="00B320A7"/>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788"/>
    <w:rsid w:val="00B45A59"/>
    <w:rsid w:val="00B45F9F"/>
    <w:rsid w:val="00B4627C"/>
    <w:rsid w:val="00B4641F"/>
    <w:rsid w:val="00B46793"/>
    <w:rsid w:val="00B46953"/>
    <w:rsid w:val="00B47455"/>
    <w:rsid w:val="00B47979"/>
    <w:rsid w:val="00B47A59"/>
    <w:rsid w:val="00B47ECD"/>
    <w:rsid w:val="00B47FF3"/>
    <w:rsid w:val="00B503D6"/>
    <w:rsid w:val="00B5057C"/>
    <w:rsid w:val="00B51039"/>
    <w:rsid w:val="00B51520"/>
    <w:rsid w:val="00B515C3"/>
    <w:rsid w:val="00B517C2"/>
    <w:rsid w:val="00B518CE"/>
    <w:rsid w:val="00B51F56"/>
    <w:rsid w:val="00B52234"/>
    <w:rsid w:val="00B52870"/>
    <w:rsid w:val="00B53623"/>
    <w:rsid w:val="00B53D1D"/>
    <w:rsid w:val="00B53E98"/>
    <w:rsid w:val="00B53F9B"/>
    <w:rsid w:val="00B549C8"/>
    <w:rsid w:val="00B54B19"/>
    <w:rsid w:val="00B54E2D"/>
    <w:rsid w:val="00B55A48"/>
    <w:rsid w:val="00B55F64"/>
    <w:rsid w:val="00B56B68"/>
    <w:rsid w:val="00B56ECA"/>
    <w:rsid w:val="00B57093"/>
    <w:rsid w:val="00B57B5D"/>
    <w:rsid w:val="00B60613"/>
    <w:rsid w:val="00B61AEC"/>
    <w:rsid w:val="00B6244C"/>
    <w:rsid w:val="00B62774"/>
    <w:rsid w:val="00B62A2F"/>
    <w:rsid w:val="00B62ACE"/>
    <w:rsid w:val="00B62B7B"/>
    <w:rsid w:val="00B62BA1"/>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67CAF"/>
    <w:rsid w:val="00B67DBC"/>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5DF0"/>
    <w:rsid w:val="00B76021"/>
    <w:rsid w:val="00B76FCD"/>
    <w:rsid w:val="00B76FFF"/>
    <w:rsid w:val="00B7764D"/>
    <w:rsid w:val="00B77BB2"/>
    <w:rsid w:val="00B8003B"/>
    <w:rsid w:val="00B804F8"/>
    <w:rsid w:val="00B8095A"/>
    <w:rsid w:val="00B80A35"/>
    <w:rsid w:val="00B80C11"/>
    <w:rsid w:val="00B80F2A"/>
    <w:rsid w:val="00B81274"/>
    <w:rsid w:val="00B815D3"/>
    <w:rsid w:val="00B81742"/>
    <w:rsid w:val="00B817B5"/>
    <w:rsid w:val="00B823A6"/>
    <w:rsid w:val="00B834D2"/>
    <w:rsid w:val="00B83E76"/>
    <w:rsid w:val="00B83FA0"/>
    <w:rsid w:val="00B84156"/>
    <w:rsid w:val="00B846E6"/>
    <w:rsid w:val="00B8537B"/>
    <w:rsid w:val="00B85586"/>
    <w:rsid w:val="00B859FB"/>
    <w:rsid w:val="00B8622F"/>
    <w:rsid w:val="00B86289"/>
    <w:rsid w:val="00B86296"/>
    <w:rsid w:val="00B863B3"/>
    <w:rsid w:val="00B869D3"/>
    <w:rsid w:val="00B86CF8"/>
    <w:rsid w:val="00B86E44"/>
    <w:rsid w:val="00B87359"/>
    <w:rsid w:val="00B87764"/>
    <w:rsid w:val="00B87F1C"/>
    <w:rsid w:val="00B90D8D"/>
    <w:rsid w:val="00B91263"/>
    <w:rsid w:val="00B91B61"/>
    <w:rsid w:val="00B92B64"/>
    <w:rsid w:val="00B93849"/>
    <w:rsid w:val="00B938BD"/>
    <w:rsid w:val="00B93CF3"/>
    <w:rsid w:val="00B9407F"/>
    <w:rsid w:val="00B944E9"/>
    <w:rsid w:val="00B945D7"/>
    <w:rsid w:val="00B94896"/>
    <w:rsid w:val="00B94CDD"/>
    <w:rsid w:val="00B94DA7"/>
    <w:rsid w:val="00B95163"/>
    <w:rsid w:val="00B954D0"/>
    <w:rsid w:val="00B956BC"/>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4DFD"/>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6"/>
    <w:rsid w:val="00BC0E64"/>
    <w:rsid w:val="00BC25D1"/>
    <w:rsid w:val="00BC2DBD"/>
    <w:rsid w:val="00BC3BCB"/>
    <w:rsid w:val="00BC3CF1"/>
    <w:rsid w:val="00BC3E89"/>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05D"/>
    <w:rsid w:val="00BD62E6"/>
    <w:rsid w:val="00BD6B0E"/>
    <w:rsid w:val="00BD734D"/>
    <w:rsid w:val="00BD7532"/>
    <w:rsid w:val="00BD7941"/>
    <w:rsid w:val="00BD7A92"/>
    <w:rsid w:val="00BE0591"/>
    <w:rsid w:val="00BE0C55"/>
    <w:rsid w:val="00BE0F03"/>
    <w:rsid w:val="00BE11A2"/>
    <w:rsid w:val="00BE1EF0"/>
    <w:rsid w:val="00BE21B9"/>
    <w:rsid w:val="00BE246C"/>
    <w:rsid w:val="00BE2657"/>
    <w:rsid w:val="00BE2799"/>
    <w:rsid w:val="00BE2FD2"/>
    <w:rsid w:val="00BE377A"/>
    <w:rsid w:val="00BE37AE"/>
    <w:rsid w:val="00BE3B14"/>
    <w:rsid w:val="00BE3C65"/>
    <w:rsid w:val="00BE4222"/>
    <w:rsid w:val="00BE472D"/>
    <w:rsid w:val="00BE4C03"/>
    <w:rsid w:val="00BE58B5"/>
    <w:rsid w:val="00BE7F4D"/>
    <w:rsid w:val="00BF03C0"/>
    <w:rsid w:val="00BF047B"/>
    <w:rsid w:val="00BF0EBF"/>
    <w:rsid w:val="00BF1534"/>
    <w:rsid w:val="00BF2021"/>
    <w:rsid w:val="00BF21D4"/>
    <w:rsid w:val="00BF2DDC"/>
    <w:rsid w:val="00BF32DE"/>
    <w:rsid w:val="00BF466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2CD"/>
    <w:rsid w:val="00C07C11"/>
    <w:rsid w:val="00C07E10"/>
    <w:rsid w:val="00C10015"/>
    <w:rsid w:val="00C10AEB"/>
    <w:rsid w:val="00C10CB5"/>
    <w:rsid w:val="00C1110A"/>
    <w:rsid w:val="00C11689"/>
    <w:rsid w:val="00C11FA8"/>
    <w:rsid w:val="00C12414"/>
    <w:rsid w:val="00C12ECB"/>
    <w:rsid w:val="00C148B2"/>
    <w:rsid w:val="00C14ABD"/>
    <w:rsid w:val="00C151E0"/>
    <w:rsid w:val="00C155A8"/>
    <w:rsid w:val="00C159FD"/>
    <w:rsid w:val="00C15B31"/>
    <w:rsid w:val="00C15D9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2CE"/>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AB2"/>
    <w:rsid w:val="00C33E51"/>
    <w:rsid w:val="00C34517"/>
    <w:rsid w:val="00C34C45"/>
    <w:rsid w:val="00C34C47"/>
    <w:rsid w:val="00C34FCE"/>
    <w:rsid w:val="00C35411"/>
    <w:rsid w:val="00C35EED"/>
    <w:rsid w:val="00C36B2C"/>
    <w:rsid w:val="00C3701A"/>
    <w:rsid w:val="00C3784D"/>
    <w:rsid w:val="00C379EF"/>
    <w:rsid w:val="00C379F5"/>
    <w:rsid w:val="00C405C8"/>
    <w:rsid w:val="00C40C2F"/>
    <w:rsid w:val="00C415AC"/>
    <w:rsid w:val="00C41C8F"/>
    <w:rsid w:val="00C41D26"/>
    <w:rsid w:val="00C42112"/>
    <w:rsid w:val="00C4297A"/>
    <w:rsid w:val="00C42C02"/>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9C4"/>
    <w:rsid w:val="00C53CE9"/>
    <w:rsid w:val="00C5531B"/>
    <w:rsid w:val="00C55375"/>
    <w:rsid w:val="00C5564B"/>
    <w:rsid w:val="00C5570F"/>
    <w:rsid w:val="00C56C98"/>
    <w:rsid w:val="00C56DE1"/>
    <w:rsid w:val="00C56DEE"/>
    <w:rsid w:val="00C57120"/>
    <w:rsid w:val="00C571D5"/>
    <w:rsid w:val="00C575D4"/>
    <w:rsid w:val="00C61223"/>
    <w:rsid w:val="00C61246"/>
    <w:rsid w:val="00C61664"/>
    <w:rsid w:val="00C618A8"/>
    <w:rsid w:val="00C61A78"/>
    <w:rsid w:val="00C629F3"/>
    <w:rsid w:val="00C62B88"/>
    <w:rsid w:val="00C62CD3"/>
    <w:rsid w:val="00C634F9"/>
    <w:rsid w:val="00C63605"/>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95B"/>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686"/>
    <w:rsid w:val="00C80EC3"/>
    <w:rsid w:val="00C81705"/>
    <w:rsid w:val="00C81716"/>
    <w:rsid w:val="00C832CB"/>
    <w:rsid w:val="00C84085"/>
    <w:rsid w:val="00C852DC"/>
    <w:rsid w:val="00C854A8"/>
    <w:rsid w:val="00C85677"/>
    <w:rsid w:val="00C85E17"/>
    <w:rsid w:val="00C86306"/>
    <w:rsid w:val="00C868A7"/>
    <w:rsid w:val="00C86ABA"/>
    <w:rsid w:val="00C86BF7"/>
    <w:rsid w:val="00C87009"/>
    <w:rsid w:val="00C87164"/>
    <w:rsid w:val="00C8786A"/>
    <w:rsid w:val="00C87BBA"/>
    <w:rsid w:val="00C87BD0"/>
    <w:rsid w:val="00C905E5"/>
    <w:rsid w:val="00C90754"/>
    <w:rsid w:val="00C90B95"/>
    <w:rsid w:val="00C90BC4"/>
    <w:rsid w:val="00C90CA9"/>
    <w:rsid w:val="00C91237"/>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09"/>
    <w:rsid w:val="00CA0492"/>
    <w:rsid w:val="00CA05B0"/>
    <w:rsid w:val="00CA0632"/>
    <w:rsid w:val="00CA0A04"/>
    <w:rsid w:val="00CA13C1"/>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2913"/>
    <w:rsid w:val="00CB3970"/>
    <w:rsid w:val="00CB42B9"/>
    <w:rsid w:val="00CB4550"/>
    <w:rsid w:val="00CB4F39"/>
    <w:rsid w:val="00CB52A4"/>
    <w:rsid w:val="00CB537C"/>
    <w:rsid w:val="00CB53F8"/>
    <w:rsid w:val="00CB5A26"/>
    <w:rsid w:val="00CB645B"/>
    <w:rsid w:val="00CB6A93"/>
    <w:rsid w:val="00CB6C79"/>
    <w:rsid w:val="00CB77C3"/>
    <w:rsid w:val="00CB7E9C"/>
    <w:rsid w:val="00CC0072"/>
    <w:rsid w:val="00CC027A"/>
    <w:rsid w:val="00CC0915"/>
    <w:rsid w:val="00CC09F2"/>
    <w:rsid w:val="00CC0FBD"/>
    <w:rsid w:val="00CC1398"/>
    <w:rsid w:val="00CC1AF5"/>
    <w:rsid w:val="00CC1B74"/>
    <w:rsid w:val="00CC291E"/>
    <w:rsid w:val="00CC2D03"/>
    <w:rsid w:val="00CC2EB0"/>
    <w:rsid w:val="00CC3617"/>
    <w:rsid w:val="00CC4701"/>
    <w:rsid w:val="00CC56B4"/>
    <w:rsid w:val="00CC5F95"/>
    <w:rsid w:val="00CC642A"/>
    <w:rsid w:val="00CC6AC7"/>
    <w:rsid w:val="00CC6D39"/>
    <w:rsid w:val="00CC6EE9"/>
    <w:rsid w:val="00CC733D"/>
    <w:rsid w:val="00CC7617"/>
    <w:rsid w:val="00CC7E0D"/>
    <w:rsid w:val="00CC7E97"/>
    <w:rsid w:val="00CD008C"/>
    <w:rsid w:val="00CD00EB"/>
    <w:rsid w:val="00CD1255"/>
    <w:rsid w:val="00CD1358"/>
    <w:rsid w:val="00CD1484"/>
    <w:rsid w:val="00CD16B3"/>
    <w:rsid w:val="00CD1892"/>
    <w:rsid w:val="00CD1C01"/>
    <w:rsid w:val="00CD1D00"/>
    <w:rsid w:val="00CD2009"/>
    <w:rsid w:val="00CD27AC"/>
    <w:rsid w:val="00CD2A82"/>
    <w:rsid w:val="00CD3CAB"/>
    <w:rsid w:val="00CD40FD"/>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097"/>
    <w:rsid w:val="00CE14CB"/>
    <w:rsid w:val="00CE1764"/>
    <w:rsid w:val="00CE2C20"/>
    <w:rsid w:val="00CE2E2E"/>
    <w:rsid w:val="00CE3A51"/>
    <w:rsid w:val="00CE3EFA"/>
    <w:rsid w:val="00CE41F9"/>
    <w:rsid w:val="00CE554A"/>
    <w:rsid w:val="00CE59F6"/>
    <w:rsid w:val="00CE66CD"/>
    <w:rsid w:val="00CE6BA9"/>
    <w:rsid w:val="00CE71C3"/>
    <w:rsid w:val="00CE727A"/>
    <w:rsid w:val="00CE75FC"/>
    <w:rsid w:val="00CF01C2"/>
    <w:rsid w:val="00CF029C"/>
    <w:rsid w:val="00CF0AF0"/>
    <w:rsid w:val="00CF157E"/>
    <w:rsid w:val="00CF1631"/>
    <w:rsid w:val="00CF1834"/>
    <w:rsid w:val="00CF1AAA"/>
    <w:rsid w:val="00CF1EC2"/>
    <w:rsid w:val="00CF2ACF"/>
    <w:rsid w:val="00CF345B"/>
    <w:rsid w:val="00CF475F"/>
    <w:rsid w:val="00CF5008"/>
    <w:rsid w:val="00CF5069"/>
    <w:rsid w:val="00CF5990"/>
    <w:rsid w:val="00CF5E34"/>
    <w:rsid w:val="00CF6707"/>
    <w:rsid w:val="00CF7101"/>
    <w:rsid w:val="00CF7327"/>
    <w:rsid w:val="00CF7385"/>
    <w:rsid w:val="00CF7539"/>
    <w:rsid w:val="00CF75C6"/>
    <w:rsid w:val="00CF7B77"/>
    <w:rsid w:val="00CF7DF5"/>
    <w:rsid w:val="00D001D2"/>
    <w:rsid w:val="00D0269E"/>
    <w:rsid w:val="00D02A80"/>
    <w:rsid w:val="00D0352D"/>
    <w:rsid w:val="00D038DC"/>
    <w:rsid w:val="00D04F01"/>
    <w:rsid w:val="00D04F8B"/>
    <w:rsid w:val="00D054EF"/>
    <w:rsid w:val="00D05637"/>
    <w:rsid w:val="00D05BA9"/>
    <w:rsid w:val="00D05EB1"/>
    <w:rsid w:val="00D0650B"/>
    <w:rsid w:val="00D067AB"/>
    <w:rsid w:val="00D068AA"/>
    <w:rsid w:val="00D06AC4"/>
    <w:rsid w:val="00D06E71"/>
    <w:rsid w:val="00D06E9C"/>
    <w:rsid w:val="00D0714B"/>
    <w:rsid w:val="00D0764E"/>
    <w:rsid w:val="00D07D82"/>
    <w:rsid w:val="00D10327"/>
    <w:rsid w:val="00D103C9"/>
    <w:rsid w:val="00D1079C"/>
    <w:rsid w:val="00D10BE1"/>
    <w:rsid w:val="00D11FE3"/>
    <w:rsid w:val="00D12393"/>
    <w:rsid w:val="00D12945"/>
    <w:rsid w:val="00D12A1A"/>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FD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5C5"/>
    <w:rsid w:val="00D2690C"/>
    <w:rsid w:val="00D27129"/>
    <w:rsid w:val="00D279E7"/>
    <w:rsid w:val="00D27F75"/>
    <w:rsid w:val="00D30225"/>
    <w:rsid w:val="00D3046D"/>
    <w:rsid w:val="00D30497"/>
    <w:rsid w:val="00D30C4D"/>
    <w:rsid w:val="00D30F5F"/>
    <w:rsid w:val="00D31243"/>
    <w:rsid w:val="00D3150E"/>
    <w:rsid w:val="00D316D9"/>
    <w:rsid w:val="00D31B07"/>
    <w:rsid w:val="00D31B9D"/>
    <w:rsid w:val="00D3272E"/>
    <w:rsid w:val="00D32D38"/>
    <w:rsid w:val="00D32FA0"/>
    <w:rsid w:val="00D33112"/>
    <w:rsid w:val="00D331CB"/>
    <w:rsid w:val="00D3497A"/>
    <w:rsid w:val="00D35B1D"/>
    <w:rsid w:val="00D35F2F"/>
    <w:rsid w:val="00D35FC6"/>
    <w:rsid w:val="00D36BB8"/>
    <w:rsid w:val="00D36D60"/>
    <w:rsid w:val="00D370AE"/>
    <w:rsid w:val="00D373DD"/>
    <w:rsid w:val="00D377D4"/>
    <w:rsid w:val="00D401A1"/>
    <w:rsid w:val="00D40217"/>
    <w:rsid w:val="00D40385"/>
    <w:rsid w:val="00D404CE"/>
    <w:rsid w:val="00D40E8F"/>
    <w:rsid w:val="00D412BF"/>
    <w:rsid w:val="00D4138D"/>
    <w:rsid w:val="00D417C6"/>
    <w:rsid w:val="00D417D0"/>
    <w:rsid w:val="00D41D82"/>
    <w:rsid w:val="00D42B0C"/>
    <w:rsid w:val="00D42D6E"/>
    <w:rsid w:val="00D43DEF"/>
    <w:rsid w:val="00D44259"/>
    <w:rsid w:val="00D45C61"/>
    <w:rsid w:val="00D45DDC"/>
    <w:rsid w:val="00D46D72"/>
    <w:rsid w:val="00D5032E"/>
    <w:rsid w:val="00D5064C"/>
    <w:rsid w:val="00D50C94"/>
    <w:rsid w:val="00D511E7"/>
    <w:rsid w:val="00D517ED"/>
    <w:rsid w:val="00D5251C"/>
    <w:rsid w:val="00D52B13"/>
    <w:rsid w:val="00D52D02"/>
    <w:rsid w:val="00D52F56"/>
    <w:rsid w:val="00D539DA"/>
    <w:rsid w:val="00D54A50"/>
    <w:rsid w:val="00D54FFD"/>
    <w:rsid w:val="00D5552C"/>
    <w:rsid w:val="00D5556D"/>
    <w:rsid w:val="00D55BEE"/>
    <w:rsid w:val="00D55C34"/>
    <w:rsid w:val="00D55C81"/>
    <w:rsid w:val="00D55D96"/>
    <w:rsid w:val="00D5674B"/>
    <w:rsid w:val="00D56B56"/>
    <w:rsid w:val="00D56BF5"/>
    <w:rsid w:val="00D56F99"/>
    <w:rsid w:val="00D57093"/>
    <w:rsid w:val="00D5743F"/>
    <w:rsid w:val="00D57F1F"/>
    <w:rsid w:val="00D60065"/>
    <w:rsid w:val="00D60270"/>
    <w:rsid w:val="00D605C2"/>
    <w:rsid w:val="00D60733"/>
    <w:rsid w:val="00D60C60"/>
    <w:rsid w:val="00D61E1D"/>
    <w:rsid w:val="00D62630"/>
    <w:rsid w:val="00D629A4"/>
    <w:rsid w:val="00D62BDF"/>
    <w:rsid w:val="00D62EEE"/>
    <w:rsid w:val="00D63FA9"/>
    <w:rsid w:val="00D64F1C"/>
    <w:rsid w:val="00D6570C"/>
    <w:rsid w:val="00D659EA"/>
    <w:rsid w:val="00D65A89"/>
    <w:rsid w:val="00D65E85"/>
    <w:rsid w:val="00D6611C"/>
    <w:rsid w:val="00D671C7"/>
    <w:rsid w:val="00D67486"/>
    <w:rsid w:val="00D675B0"/>
    <w:rsid w:val="00D675DE"/>
    <w:rsid w:val="00D678BB"/>
    <w:rsid w:val="00D67D81"/>
    <w:rsid w:val="00D70170"/>
    <w:rsid w:val="00D702E8"/>
    <w:rsid w:val="00D70552"/>
    <w:rsid w:val="00D708F9"/>
    <w:rsid w:val="00D70D42"/>
    <w:rsid w:val="00D71285"/>
    <w:rsid w:val="00D712F5"/>
    <w:rsid w:val="00D71ABC"/>
    <w:rsid w:val="00D71D50"/>
    <w:rsid w:val="00D721C5"/>
    <w:rsid w:val="00D72454"/>
    <w:rsid w:val="00D72595"/>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C0"/>
    <w:rsid w:val="00D815E6"/>
    <w:rsid w:val="00D81A28"/>
    <w:rsid w:val="00D81BDE"/>
    <w:rsid w:val="00D8201D"/>
    <w:rsid w:val="00D82B00"/>
    <w:rsid w:val="00D82B04"/>
    <w:rsid w:val="00D82BE4"/>
    <w:rsid w:val="00D82E05"/>
    <w:rsid w:val="00D83C0D"/>
    <w:rsid w:val="00D83C80"/>
    <w:rsid w:val="00D83F5B"/>
    <w:rsid w:val="00D847D3"/>
    <w:rsid w:val="00D849A8"/>
    <w:rsid w:val="00D85FDE"/>
    <w:rsid w:val="00D8665E"/>
    <w:rsid w:val="00D869C1"/>
    <w:rsid w:val="00D86EC6"/>
    <w:rsid w:val="00D87418"/>
    <w:rsid w:val="00D87A39"/>
    <w:rsid w:val="00D87AB4"/>
    <w:rsid w:val="00D87C0A"/>
    <w:rsid w:val="00D87CF8"/>
    <w:rsid w:val="00D87FE6"/>
    <w:rsid w:val="00D90695"/>
    <w:rsid w:val="00D90BC3"/>
    <w:rsid w:val="00D90C93"/>
    <w:rsid w:val="00D90DB9"/>
    <w:rsid w:val="00D90ED3"/>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62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0BEE"/>
    <w:rsid w:val="00DB14D3"/>
    <w:rsid w:val="00DB154B"/>
    <w:rsid w:val="00DB1BDC"/>
    <w:rsid w:val="00DB225B"/>
    <w:rsid w:val="00DB2DD7"/>
    <w:rsid w:val="00DB33BF"/>
    <w:rsid w:val="00DB3490"/>
    <w:rsid w:val="00DB3593"/>
    <w:rsid w:val="00DB440B"/>
    <w:rsid w:val="00DB4426"/>
    <w:rsid w:val="00DB4522"/>
    <w:rsid w:val="00DB4B40"/>
    <w:rsid w:val="00DB4B57"/>
    <w:rsid w:val="00DB4F12"/>
    <w:rsid w:val="00DB4F1D"/>
    <w:rsid w:val="00DB4F21"/>
    <w:rsid w:val="00DB4F42"/>
    <w:rsid w:val="00DB540C"/>
    <w:rsid w:val="00DB6427"/>
    <w:rsid w:val="00DB6582"/>
    <w:rsid w:val="00DB6F83"/>
    <w:rsid w:val="00DB6F96"/>
    <w:rsid w:val="00DB71B9"/>
    <w:rsid w:val="00DB7662"/>
    <w:rsid w:val="00DB7E46"/>
    <w:rsid w:val="00DC11C9"/>
    <w:rsid w:val="00DC1395"/>
    <w:rsid w:val="00DC2485"/>
    <w:rsid w:val="00DC2B30"/>
    <w:rsid w:val="00DC32FC"/>
    <w:rsid w:val="00DC336D"/>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0F78"/>
    <w:rsid w:val="00DD1205"/>
    <w:rsid w:val="00DD14D5"/>
    <w:rsid w:val="00DD1633"/>
    <w:rsid w:val="00DD17A0"/>
    <w:rsid w:val="00DD1B97"/>
    <w:rsid w:val="00DD2831"/>
    <w:rsid w:val="00DD2A6D"/>
    <w:rsid w:val="00DD2E17"/>
    <w:rsid w:val="00DD345A"/>
    <w:rsid w:val="00DD42DE"/>
    <w:rsid w:val="00DD4309"/>
    <w:rsid w:val="00DD4344"/>
    <w:rsid w:val="00DD4357"/>
    <w:rsid w:val="00DD4DDD"/>
    <w:rsid w:val="00DD573B"/>
    <w:rsid w:val="00DD57E7"/>
    <w:rsid w:val="00DD5A1E"/>
    <w:rsid w:val="00DD5B8C"/>
    <w:rsid w:val="00DD5DFA"/>
    <w:rsid w:val="00DD5E91"/>
    <w:rsid w:val="00DD6CE2"/>
    <w:rsid w:val="00DD6FD5"/>
    <w:rsid w:val="00DD720D"/>
    <w:rsid w:val="00DE0229"/>
    <w:rsid w:val="00DE04E0"/>
    <w:rsid w:val="00DE12F1"/>
    <w:rsid w:val="00DE13BA"/>
    <w:rsid w:val="00DE1A9D"/>
    <w:rsid w:val="00DE1CB1"/>
    <w:rsid w:val="00DE1EA4"/>
    <w:rsid w:val="00DE2073"/>
    <w:rsid w:val="00DE30AC"/>
    <w:rsid w:val="00DE38D1"/>
    <w:rsid w:val="00DE4106"/>
    <w:rsid w:val="00DE466B"/>
    <w:rsid w:val="00DE48F4"/>
    <w:rsid w:val="00DE5563"/>
    <w:rsid w:val="00DE5C19"/>
    <w:rsid w:val="00DE5D48"/>
    <w:rsid w:val="00DE5F26"/>
    <w:rsid w:val="00DE6157"/>
    <w:rsid w:val="00DE6E4D"/>
    <w:rsid w:val="00DE7498"/>
    <w:rsid w:val="00DE75EF"/>
    <w:rsid w:val="00DE7611"/>
    <w:rsid w:val="00DE7D19"/>
    <w:rsid w:val="00DF05A0"/>
    <w:rsid w:val="00DF0DFF"/>
    <w:rsid w:val="00DF1162"/>
    <w:rsid w:val="00DF1BA8"/>
    <w:rsid w:val="00DF1F63"/>
    <w:rsid w:val="00DF28F2"/>
    <w:rsid w:val="00DF2BFF"/>
    <w:rsid w:val="00DF30E9"/>
    <w:rsid w:val="00DF3798"/>
    <w:rsid w:val="00DF4C81"/>
    <w:rsid w:val="00DF4FF1"/>
    <w:rsid w:val="00DF56A3"/>
    <w:rsid w:val="00DF59A7"/>
    <w:rsid w:val="00DF5B33"/>
    <w:rsid w:val="00DF5D92"/>
    <w:rsid w:val="00DF6BCD"/>
    <w:rsid w:val="00DF6FD2"/>
    <w:rsid w:val="00DF71B6"/>
    <w:rsid w:val="00DF72EF"/>
    <w:rsid w:val="00DF743D"/>
    <w:rsid w:val="00DF7724"/>
    <w:rsid w:val="00DF7AFB"/>
    <w:rsid w:val="00DF7B7A"/>
    <w:rsid w:val="00E000D8"/>
    <w:rsid w:val="00E00541"/>
    <w:rsid w:val="00E0079A"/>
    <w:rsid w:val="00E00C1E"/>
    <w:rsid w:val="00E00F5F"/>
    <w:rsid w:val="00E010E6"/>
    <w:rsid w:val="00E011C8"/>
    <w:rsid w:val="00E01377"/>
    <w:rsid w:val="00E014E7"/>
    <w:rsid w:val="00E017DE"/>
    <w:rsid w:val="00E0232F"/>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A94"/>
    <w:rsid w:val="00E07B8F"/>
    <w:rsid w:val="00E10712"/>
    <w:rsid w:val="00E10DD1"/>
    <w:rsid w:val="00E1157D"/>
    <w:rsid w:val="00E1224C"/>
    <w:rsid w:val="00E1254C"/>
    <w:rsid w:val="00E12BDF"/>
    <w:rsid w:val="00E13326"/>
    <w:rsid w:val="00E135CB"/>
    <w:rsid w:val="00E13D07"/>
    <w:rsid w:val="00E14356"/>
    <w:rsid w:val="00E14961"/>
    <w:rsid w:val="00E14D76"/>
    <w:rsid w:val="00E15183"/>
    <w:rsid w:val="00E15D6C"/>
    <w:rsid w:val="00E1720B"/>
    <w:rsid w:val="00E17475"/>
    <w:rsid w:val="00E17812"/>
    <w:rsid w:val="00E203DE"/>
    <w:rsid w:val="00E20CE7"/>
    <w:rsid w:val="00E2147F"/>
    <w:rsid w:val="00E217B1"/>
    <w:rsid w:val="00E222FA"/>
    <w:rsid w:val="00E229CE"/>
    <w:rsid w:val="00E22B4A"/>
    <w:rsid w:val="00E22F72"/>
    <w:rsid w:val="00E2376D"/>
    <w:rsid w:val="00E2449B"/>
    <w:rsid w:val="00E24A62"/>
    <w:rsid w:val="00E24F52"/>
    <w:rsid w:val="00E25580"/>
    <w:rsid w:val="00E255CC"/>
    <w:rsid w:val="00E25636"/>
    <w:rsid w:val="00E25755"/>
    <w:rsid w:val="00E25F90"/>
    <w:rsid w:val="00E266DD"/>
    <w:rsid w:val="00E26BDE"/>
    <w:rsid w:val="00E26D2E"/>
    <w:rsid w:val="00E279B2"/>
    <w:rsid w:val="00E303C0"/>
    <w:rsid w:val="00E3055B"/>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5BA"/>
    <w:rsid w:val="00E36B32"/>
    <w:rsid w:val="00E37A6F"/>
    <w:rsid w:val="00E37A9C"/>
    <w:rsid w:val="00E40222"/>
    <w:rsid w:val="00E40406"/>
    <w:rsid w:val="00E404D2"/>
    <w:rsid w:val="00E4082B"/>
    <w:rsid w:val="00E40835"/>
    <w:rsid w:val="00E408EC"/>
    <w:rsid w:val="00E409B5"/>
    <w:rsid w:val="00E40BCB"/>
    <w:rsid w:val="00E41DC7"/>
    <w:rsid w:val="00E4208F"/>
    <w:rsid w:val="00E42CA8"/>
    <w:rsid w:val="00E42E94"/>
    <w:rsid w:val="00E43006"/>
    <w:rsid w:val="00E4312A"/>
    <w:rsid w:val="00E43238"/>
    <w:rsid w:val="00E4331B"/>
    <w:rsid w:val="00E43551"/>
    <w:rsid w:val="00E437FA"/>
    <w:rsid w:val="00E45986"/>
    <w:rsid w:val="00E459EE"/>
    <w:rsid w:val="00E45A2C"/>
    <w:rsid w:val="00E46A6B"/>
    <w:rsid w:val="00E46A9C"/>
    <w:rsid w:val="00E477E4"/>
    <w:rsid w:val="00E47DB1"/>
    <w:rsid w:val="00E50BDD"/>
    <w:rsid w:val="00E50E4B"/>
    <w:rsid w:val="00E510CF"/>
    <w:rsid w:val="00E510D8"/>
    <w:rsid w:val="00E513D7"/>
    <w:rsid w:val="00E51710"/>
    <w:rsid w:val="00E519FE"/>
    <w:rsid w:val="00E5206C"/>
    <w:rsid w:val="00E52AAB"/>
    <w:rsid w:val="00E5448E"/>
    <w:rsid w:val="00E54E0D"/>
    <w:rsid w:val="00E55247"/>
    <w:rsid w:val="00E558E5"/>
    <w:rsid w:val="00E55B3C"/>
    <w:rsid w:val="00E5632A"/>
    <w:rsid w:val="00E56795"/>
    <w:rsid w:val="00E57932"/>
    <w:rsid w:val="00E606C4"/>
    <w:rsid w:val="00E60811"/>
    <w:rsid w:val="00E60AB8"/>
    <w:rsid w:val="00E6103E"/>
    <w:rsid w:val="00E6119E"/>
    <w:rsid w:val="00E6130E"/>
    <w:rsid w:val="00E6185F"/>
    <w:rsid w:val="00E61D32"/>
    <w:rsid w:val="00E627F3"/>
    <w:rsid w:val="00E62B5E"/>
    <w:rsid w:val="00E632C1"/>
    <w:rsid w:val="00E63C60"/>
    <w:rsid w:val="00E64050"/>
    <w:rsid w:val="00E64B7B"/>
    <w:rsid w:val="00E6514D"/>
    <w:rsid w:val="00E65161"/>
    <w:rsid w:val="00E652C9"/>
    <w:rsid w:val="00E6593B"/>
    <w:rsid w:val="00E65D74"/>
    <w:rsid w:val="00E66E11"/>
    <w:rsid w:val="00E672C6"/>
    <w:rsid w:val="00E67E3C"/>
    <w:rsid w:val="00E70192"/>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7124"/>
    <w:rsid w:val="00E772FE"/>
    <w:rsid w:val="00E77341"/>
    <w:rsid w:val="00E7783E"/>
    <w:rsid w:val="00E778B8"/>
    <w:rsid w:val="00E801C7"/>
    <w:rsid w:val="00E80AF8"/>
    <w:rsid w:val="00E80BED"/>
    <w:rsid w:val="00E816E8"/>
    <w:rsid w:val="00E819C8"/>
    <w:rsid w:val="00E82592"/>
    <w:rsid w:val="00E825ED"/>
    <w:rsid w:val="00E827BB"/>
    <w:rsid w:val="00E82C44"/>
    <w:rsid w:val="00E82D24"/>
    <w:rsid w:val="00E8357D"/>
    <w:rsid w:val="00E83C4F"/>
    <w:rsid w:val="00E84212"/>
    <w:rsid w:val="00E84C04"/>
    <w:rsid w:val="00E84F72"/>
    <w:rsid w:val="00E856A2"/>
    <w:rsid w:val="00E8572B"/>
    <w:rsid w:val="00E8575B"/>
    <w:rsid w:val="00E85929"/>
    <w:rsid w:val="00E85AD2"/>
    <w:rsid w:val="00E85EAB"/>
    <w:rsid w:val="00E86471"/>
    <w:rsid w:val="00E87A37"/>
    <w:rsid w:val="00E87CF7"/>
    <w:rsid w:val="00E9036E"/>
    <w:rsid w:val="00E9078A"/>
    <w:rsid w:val="00E90D52"/>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94D"/>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A78F8"/>
    <w:rsid w:val="00EB0831"/>
    <w:rsid w:val="00EB089C"/>
    <w:rsid w:val="00EB0AA8"/>
    <w:rsid w:val="00EB0B65"/>
    <w:rsid w:val="00EB0C65"/>
    <w:rsid w:val="00EB1624"/>
    <w:rsid w:val="00EB169F"/>
    <w:rsid w:val="00EB2635"/>
    <w:rsid w:val="00EB2961"/>
    <w:rsid w:val="00EB2D78"/>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01F"/>
    <w:rsid w:val="00EC328C"/>
    <w:rsid w:val="00EC32F5"/>
    <w:rsid w:val="00EC3852"/>
    <w:rsid w:val="00EC4528"/>
    <w:rsid w:val="00EC5241"/>
    <w:rsid w:val="00EC5263"/>
    <w:rsid w:val="00EC5817"/>
    <w:rsid w:val="00EC594C"/>
    <w:rsid w:val="00EC5C7B"/>
    <w:rsid w:val="00EC6476"/>
    <w:rsid w:val="00EC66AA"/>
    <w:rsid w:val="00EC6B30"/>
    <w:rsid w:val="00EC6B8F"/>
    <w:rsid w:val="00EC6F2D"/>
    <w:rsid w:val="00EC7154"/>
    <w:rsid w:val="00EC7371"/>
    <w:rsid w:val="00EC73F5"/>
    <w:rsid w:val="00EC7894"/>
    <w:rsid w:val="00EC7A28"/>
    <w:rsid w:val="00EC7B48"/>
    <w:rsid w:val="00ED0151"/>
    <w:rsid w:val="00ED0257"/>
    <w:rsid w:val="00ED069E"/>
    <w:rsid w:val="00ED071B"/>
    <w:rsid w:val="00ED119A"/>
    <w:rsid w:val="00ED18B1"/>
    <w:rsid w:val="00ED1ADE"/>
    <w:rsid w:val="00ED3692"/>
    <w:rsid w:val="00ED3D06"/>
    <w:rsid w:val="00ED4A77"/>
    <w:rsid w:val="00ED4B6E"/>
    <w:rsid w:val="00ED5366"/>
    <w:rsid w:val="00ED55B3"/>
    <w:rsid w:val="00ED5981"/>
    <w:rsid w:val="00ED613A"/>
    <w:rsid w:val="00ED6514"/>
    <w:rsid w:val="00ED66B2"/>
    <w:rsid w:val="00ED71BA"/>
    <w:rsid w:val="00ED728F"/>
    <w:rsid w:val="00ED73A1"/>
    <w:rsid w:val="00ED7CA2"/>
    <w:rsid w:val="00EE04F9"/>
    <w:rsid w:val="00EE05E0"/>
    <w:rsid w:val="00EE0FF6"/>
    <w:rsid w:val="00EE13DA"/>
    <w:rsid w:val="00EE13EF"/>
    <w:rsid w:val="00EE1595"/>
    <w:rsid w:val="00EE1CCF"/>
    <w:rsid w:val="00EE1E71"/>
    <w:rsid w:val="00EE2087"/>
    <w:rsid w:val="00EE20C2"/>
    <w:rsid w:val="00EE2A9D"/>
    <w:rsid w:val="00EE2B74"/>
    <w:rsid w:val="00EE3384"/>
    <w:rsid w:val="00EE499F"/>
    <w:rsid w:val="00EE56E2"/>
    <w:rsid w:val="00EE5FCD"/>
    <w:rsid w:val="00EE6296"/>
    <w:rsid w:val="00EE63BF"/>
    <w:rsid w:val="00EE6D45"/>
    <w:rsid w:val="00EE6E89"/>
    <w:rsid w:val="00EF0D4B"/>
    <w:rsid w:val="00EF0FE6"/>
    <w:rsid w:val="00EF1130"/>
    <w:rsid w:val="00EF1432"/>
    <w:rsid w:val="00EF1511"/>
    <w:rsid w:val="00EF1F01"/>
    <w:rsid w:val="00EF2930"/>
    <w:rsid w:val="00EF2C39"/>
    <w:rsid w:val="00EF2C5F"/>
    <w:rsid w:val="00EF2E6A"/>
    <w:rsid w:val="00EF3811"/>
    <w:rsid w:val="00EF3AC4"/>
    <w:rsid w:val="00EF3B57"/>
    <w:rsid w:val="00EF3FF9"/>
    <w:rsid w:val="00EF41AF"/>
    <w:rsid w:val="00EF4DB4"/>
    <w:rsid w:val="00EF520F"/>
    <w:rsid w:val="00EF5234"/>
    <w:rsid w:val="00EF55E9"/>
    <w:rsid w:val="00EF5B41"/>
    <w:rsid w:val="00EF611C"/>
    <w:rsid w:val="00EF625F"/>
    <w:rsid w:val="00EF62C0"/>
    <w:rsid w:val="00EF6D5A"/>
    <w:rsid w:val="00EF71E6"/>
    <w:rsid w:val="00F0058A"/>
    <w:rsid w:val="00F00630"/>
    <w:rsid w:val="00F00922"/>
    <w:rsid w:val="00F00924"/>
    <w:rsid w:val="00F0170F"/>
    <w:rsid w:val="00F0187E"/>
    <w:rsid w:val="00F01BE6"/>
    <w:rsid w:val="00F01F75"/>
    <w:rsid w:val="00F0217A"/>
    <w:rsid w:val="00F026D3"/>
    <w:rsid w:val="00F027E8"/>
    <w:rsid w:val="00F02ACF"/>
    <w:rsid w:val="00F03395"/>
    <w:rsid w:val="00F034E6"/>
    <w:rsid w:val="00F03E4C"/>
    <w:rsid w:val="00F042D1"/>
    <w:rsid w:val="00F04D19"/>
    <w:rsid w:val="00F050A3"/>
    <w:rsid w:val="00F06340"/>
    <w:rsid w:val="00F0665D"/>
    <w:rsid w:val="00F06D42"/>
    <w:rsid w:val="00F06EFF"/>
    <w:rsid w:val="00F07134"/>
    <w:rsid w:val="00F0724D"/>
    <w:rsid w:val="00F07378"/>
    <w:rsid w:val="00F10B81"/>
    <w:rsid w:val="00F10BC9"/>
    <w:rsid w:val="00F113C9"/>
    <w:rsid w:val="00F11C01"/>
    <w:rsid w:val="00F11D80"/>
    <w:rsid w:val="00F12129"/>
    <w:rsid w:val="00F121BE"/>
    <w:rsid w:val="00F137DC"/>
    <w:rsid w:val="00F14B08"/>
    <w:rsid w:val="00F14B4B"/>
    <w:rsid w:val="00F14CD1"/>
    <w:rsid w:val="00F15115"/>
    <w:rsid w:val="00F15A85"/>
    <w:rsid w:val="00F15C81"/>
    <w:rsid w:val="00F15D8C"/>
    <w:rsid w:val="00F15DB2"/>
    <w:rsid w:val="00F15F18"/>
    <w:rsid w:val="00F16B86"/>
    <w:rsid w:val="00F16E1A"/>
    <w:rsid w:val="00F16F92"/>
    <w:rsid w:val="00F175FE"/>
    <w:rsid w:val="00F17C3E"/>
    <w:rsid w:val="00F20197"/>
    <w:rsid w:val="00F20369"/>
    <w:rsid w:val="00F20607"/>
    <w:rsid w:val="00F208BB"/>
    <w:rsid w:val="00F20C9E"/>
    <w:rsid w:val="00F20E2D"/>
    <w:rsid w:val="00F213D8"/>
    <w:rsid w:val="00F21A5D"/>
    <w:rsid w:val="00F21C13"/>
    <w:rsid w:val="00F22362"/>
    <w:rsid w:val="00F22796"/>
    <w:rsid w:val="00F2296A"/>
    <w:rsid w:val="00F22B2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30313"/>
    <w:rsid w:val="00F303BC"/>
    <w:rsid w:val="00F30472"/>
    <w:rsid w:val="00F31052"/>
    <w:rsid w:val="00F318A1"/>
    <w:rsid w:val="00F31CF5"/>
    <w:rsid w:val="00F31DBE"/>
    <w:rsid w:val="00F3265C"/>
    <w:rsid w:val="00F32C4A"/>
    <w:rsid w:val="00F3306A"/>
    <w:rsid w:val="00F33262"/>
    <w:rsid w:val="00F343EE"/>
    <w:rsid w:val="00F353F4"/>
    <w:rsid w:val="00F35494"/>
    <w:rsid w:val="00F35607"/>
    <w:rsid w:val="00F359AB"/>
    <w:rsid w:val="00F35D0D"/>
    <w:rsid w:val="00F35DBA"/>
    <w:rsid w:val="00F3619D"/>
    <w:rsid w:val="00F36DDE"/>
    <w:rsid w:val="00F3722A"/>
    <w:rsid w:val="00F37366"/>
    <w:rsid w:val="00F37C99"/>
    <w:rsid w:val="00F37EDB"/>
    <w:rsid w:val="00F37FCC"/>
    <w:rsid w:val="00F419B8"/>
    <w:rsid w:val="00F41C0F"/>
    <w:rsid w:val="00F42856"/>
    <w:rsid w:val="00F4295E"/>
    <w:rsid w:val="00F42ED7"/>
    <w:rsid w:val="00F43777"/>
    <w:rsid w:val="00F43BCF"/>
    <w:rsid w:val="00F4482B"/>
    <w:rsid w:val="00F44A64"/>
    <w:rsid w:val="00F44F02"/>
    <w:rsid w:val="00F45039"/>
    <w:rsid w:val="00F4526B"/>
    <w:rsid w:val="00F45298"/>
    <w:rsid w:val="00F45E80"/>
    <w:rsid w:val="00F45F64"/>
    <w:rsid w:val="00F462DF"/>
    <w:rsid w:val="00F46534"/>
    <w:rsid w:val="00F4662D"/>
    <w:rsid w:val="00F467BA"/>
    <w:rsid w:val="00F4689E"/>
    <w:rsid w:val="00F468AC"/>
    <w:rsid w:val="00F4696F"/>
    <w:rsid w:val="00F46A5F"/>
    <w:rsid w:val="00F47316"/>
    <w:rsid w:val="00F47507"/>
    <w:rsid w:val="00F4775B"/>
    <w:rsid w:val="00F47A01"/>
    <w:rsid w:val="00F47CEE"/>
    <w:rsid w:val="00F5052D"/>
    <w:rsid w:val="00F5092A"/>
    <w:rsid w:val="00F51A82"/>
    <w:rsid w:val="00F51B78"/>
    <w:rsid w:val="00F51BDD"/>
    <w:rsid w:val="00F52065"/>
    <w:rsid w:val="00F521CE"/>
    <w:rsid w:val="00F5253E"/>
    <w:rsid w:val="00F5254B"/>
    <w:rsid w:val="00F52CB7"/>
    <w:rsid w:val="00F533D1"/>
    <w:rsid w:val="00F53A44"/>
    <w:rsid w:val="00F53A57"/>
    <w:rsid w:val="00F54E5E"/>
    <w:rsid w:val="00F551DB"/>
    <w:rsid w:val="00F55810"/>
    <w:rsid w:val="00F558EE"/>
    <w:rsid w:val="00F559BE"/>
    <w:rsid w:val="00F56D73"/>
    <w:rsid w:val="00F56F7E"/>
    <w:rsid w:val="00F56FEF"/>
    <w:rsid w:val="00F570A0"/>
    <w:rsid w:val="00F57312"/>
    <w:rsid w:val="00F57521"/>
    <w:rsid w:val="00F57E2D"/>
    <w:rsid w:val="00F57ED9"/>
    <w:rsid w:val="00F60938"/>
    <w:rsid w:val="00F60B07"/>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BED"/>
    <w:rsid w:val="00F65EEA"/>
    <w:rsid w:val="00F66205"/>
    <w:rsid w:val="00F6630F"/>
    <w:rsid w:val="00F66419"/>
    <w:rsid w:val="00F66944"/>
    <w:rsid w:val="00F67079"/>
    <w:rsid w:val="00F67B58"/>
    <w:rsid w:val="00F67E81"/>
    <w:rsid w:val="00F7044B"/>
    <w:rsid w:val="00F70FD4"/>
    <w:rsid w:val="00F71342"/>
    <w:rsid w:val="00F71C68"/>
    <w:rsid w:val="00F724E2"/>
    <w:rsid w:val="00F73A53"/>
    <w:rsid w:val="00F74103"/>
    <w:rsid w:val="00F7410A"/>
    <w:rsid w:val="00F745A4"/>
    <w:rsid w:val="00F74C0C"/>
    <w:rsid w:val="00F758E1"/>
    <w:rsid w:val="00F75BB5"/>
    <w:rsid w:val="00F75FD5"/>
    <w:rsid w:val="00F7604C"/>
    <w:rsid w:val="00F773A9"/>
    <w:rsid w:val="00F8056E"/>
    <w:rsid w:val="00F805B7"/>
    <w:rsid w:val="00F80E94"/>
    <w:rsid w:val="00F810C1"/>
    <w:rsid w:val="00F81501"/>
    <w:rsid w:val="00F81623"/>
    <w:rsid w:val="00F81D25"/>
    <w:rsid w:val="00F8245C"/>
    <w:rsid w:val="00F82928"/>
    <w:rsid w:val="00F829B9"/>
    <w:rsid w:val="00F82B1D"/>
    <w:rsid w:val="00F83045"/>
    <w:rsid w:val="00F83615"/>
    <w:rsid w:val="00F83EC7"/>
    <w:rsid w:val="00F8421D"/>
    <w:rsid w:val="00F85329"/>
    <w:rsid w:val="00F85683"/>
    <w:rsid w:val="00F85841"/>
    <w:rsid w:val="00F85ED1"/>
    <w:rsid w:val="00F8606D"/>
    <w:rsid w:val="00F86079"/>
    <w:rsid w:val="00F8610A"/>
    <w:rsid w:val="00F86EE8"/>
    <w:rsid w:val="00F87282"/>
    <w:rsid w:val="00F878CD"/>
    <w:rsid w:val="00F87905"/>
    <w:rsid w:val="00F87A66"/>
    <w:rsid w:val="00F90C1F"/>
    <w:rsid w:val="00F912D9"/>
    <w:rsid w:val="00F9155C"/>
    <w:rsid w:val="00F91A44"/>
    <w:rsid w:val="00F91BFA"/>
    <w:rsid w:val="00F91F8F"/>
    <w:rsid w:val="00F9217B"/>
    <w:rsid w:val="00F92549"/>
    <w:rsid w:val="00F94016"/>
    <w:rsid w:val="00F973C8"/>
    <w:rsid w:val="00F97A34"/>
    <w:rsid w:val="00F97E4A"/>
    <w:rsid w:val="00F97EA1"/>
    <w:rsid w:val="00FA003A"/>
    <w:rsid w:val="00FA05C8"/>
    <w:rsid w:val="00FA0678"/>
    <w:rsid w:val="00FA0DB6"/>
    <w:rsid w:val="00FA23F7"/>
    <w:rsid w:val="00FA27EB"/>
    <w:rsid w:val="00FA2A01"/>
    <w:rsid w:val="00FA2CC4"/>
    <w:rsid w:val="00FA35B6"/>
    <w:rsid w:val="00FA3EBC"/>
    <w:rsid w:val="00FA423C"/>
    <w:rsid w:val="00FA4440"/>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4B82"/>
    <w:rsid w:val="00FB5138"/>
    <w:rsid w:val="00FB547F"/>
    <w:rsid w:val="00FB5A71"/>
    <w:rsid w:val="00FB5B93"/>
    <w:rsid w:val="00FB63F6"/>
    <w:rsid w:val="00FB7823"/>
    <w:rsid w:val="00FC05B2"/>
    <w:rsid w:val="00FC08B3"/>
    <w:rsid w:val="00FC09D7"/>
    <w:rsid w:val="00FC0ABE"/>
    <w:rsid w:val="00FC1269"/>
    <w:rsid w:val="00FC22D0"/>
    <w:rsid w:val="00FC25C2"/>
    <w:rsid w:val="00FC38D4"/>
    <w:rsid w:val="00FC391E"/>
    <w:rsid w:val="00FC39AD"/>
    <w:rsid w:val="00FC39B3"/>
    <w:rsid w:val="00FC3BB7"/>
    <w:rsid w:val="00FC42C1"/>
    <w:rsid w:val="00FC4345"/>
    <w:rsid w:val="00FC444A"/>
    <w:rsid w:val="00FC453D"/>
    <w:rsid w:val="00FC4831"/>
    <w:rsid w:val="00FC4A89"/>
    <w:rsid w:val="00FC619B"/>
    <w:rsid w:val="00FC665F"/>
    <w:rsid w:val="00FC6C35"/>
    <w:rsid w:val="00FC6D59"/>
    <w:rsid w:val="00FC7561"/>
    <w:rsid w:val="00FC78F5"/>
    <w:rsid w:val="00FC7ACA"/>
    <w:rsid w:val="00FC7AD2"/>
    <w:rsid w:val="00FD10B3"/>
    <w:rsid w:val="00FD11C3"/>
    <w:rsid w:val="00FD13F2"/>
    <w:rsid w:val="00FD154E"/>
    <w:rsid w:val="00FD17B2"/>
    <w:rsid w:val="00FD24D7"/>
    <w:rsid w:val="00FD29CE"/>
    <w:rsid w:val="00FD36BA"/>
    <w:rsid w:val="00FD3AE2"/>
    <w:rsid w:val="00FD3E41"/>
    <w:rsid w:val="00FD3EC2"/>
    <w:rsid w:val="00FD3EFA"/>
    <w:rsid w:val="00FD54A8"/>
    <w:rsid w:val="00FD5AE4"/>
    <w:rsid w:val="00FD5F25"/>
    <w:rsid w:val="00FD5F53"/>
    <w:rsid w:val="00FD60BE"/>
    <w:rsid w:val="00FD6894"/>
    <w:rsid w:val="00FD6AF0"/>
    <w:rsid w:val="00FD704D"/>
    <w:rsid w:val="00FD74EF"/>
    <w:rsid w:val="00FD79B8"/>
    <w:rsid w:val="00FD79F6"/>
    <w:rsid w:val="00FE033F"/>
    <w:rsid w:val="00FE07A8"/>
    <w:rsid w:val="00FE0AD1"/>
    <w:rsid w:val="00FE0CC0"/>
    <w:rsid w:val="00FE0E93"/>
    <w:rsid w:val="00FE1852"/>
    <w:rsid w:val="00FE1963"/>
    <w:rsid w:val="00FE1981"/>
    <w:rsid w:val="00FE1BF1"/>
    <w:rsid w:val="00FE28D5"/>
    <w:rsid w:val="00FE33DB"/>
    <w:rsid w:val="00FE33F5"/>
    <w:rsid w:val="00FE352A"/>
    <w:rsid w:val="00FE37A8"/>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5DE"/>
    <w:rsid w:val="00FF49B4"/>
    <w:rsid w:val="00FF49F4"/>
    <w:rsid w:val="00FF5637"/>
    <w:rsid w:val="00FF5B8D"/>
    <w:rsid w:val="00FF5C6A"/>
    <w:rsid w:val="00FF651D"/>
    <w:rsid w:val="00FF6843"/>
    <w:rsid w:val="00FF693F"/>
    <w:rsid w:val="00FF6C25"/>
    <w:rsid w:val="00FF7127"/>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C23886"/>
    <w:rsid w:val="060E2E9D"/>
    <w:rsid w:val="060E5941"/>
    <w:rsid w:val="06110FAF"/>
    <w:rsid w:val="06493CA7"/>
    <w:rsid w:val="065A6178"/>
    <w:rsid w:val="066F1CF3"/>
    <w:rsid w:val="06930BB8"/>
    <w:rsid w:val="06C831BB"/>
    <w:rsid w:val="07245D42"/>
    <w:rsid w:val="07264C62"/>
    <w:rsid w:val="0779354C"/>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D434E"/>
    <w:rsid w:val="0BEE69CD"/>
    <w:rsid w:val="0BF6188C"/>
    <w:rsid w:val="0BF73C91"/>
    <w:rsid w:val="0C170175"/>
    <w:rsid w:val="0C571A41"/>
    <w:rsid w:val="0C5C1171"/>
    <w:rsid w:val="0C5E1CBC"/>
    <w:rsid w:val="0C615B50"/>
    <w:rsid w:val="0C8445DA"/>
    <w:rsid w:val="0C87121B"/>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D5D79"/>
    <w:rsid w:val="0E836ADD"/>
    <w:rsid w:val="0E9D0089"/>
    <w:rsid w:val="0EB803EE"/>
    <w:rsid w:val="0EF94D4B"/>
    <w:rsid w:val="0F4958DC"/>
    <w:rsid w:val="0F515DF7"/>
    <w:rsid w:val="0F596BA8"/>
    <w:rsid w:val="0F600EAF"/>
    <w:rsid w:val="0F6248D2"/>
    <w:rsid w:val="0F693536"/>
    <w:rsid w:val="0F7B0511"/>
    <w:rsid w:val="0F7B76D9"/>
    <w:rsid w:val="0F816ACD"/>
    <w:rsid w:val="0F9832DB"/>
    <w:rsid w:val="0FBF3FD2"/>
    <w:rsid w:val="0FBF7FF3"/>
    <w:rsid w:val="0FCE5613"/>
    <w:rsid w:val="10646583"/>
    <w:rsid w:val="107D4B15"/>
    <w:rsid w:val="1088784A"/>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C2F88"/>
    <w:rsid w:val="150536C3"/>
    <w:rsid w:val="150C1963"/>
    <w:rsid w:val="151447A0"/>
    <w:rsid w:val="154A6454"/>
    <w:rsid w:val="15762120"/>
    <w:rsid w:val="16A8729C"/>
    <w:rsid w:val="16B33777"/>
    <w:rsid w:val="16BC70A7"/>
    <w:rsid w:val="16C6339E"/>
    <w:rsid w:val="172F2D79"/>
    <w:rsid w:val="17557BEF"/>
    <w:rsid w:val="178426F3"/>
    <w:rsid w:val="17D1049D"/>
    <w:rsid w:val="17D349C1"/>
    <w:rsid w:val="18244F26"/>
    <w:rsid w:val="1830729E"/>
    <w:rsid w:val="1870062C"/>
    <w:rsid w:val="18817102"/>
    <w:rsid w:val="18830A15"/>
    <w:rsid w:val="18852B28"/>
    <w:rsid w:val="188B5321"/>
    <w:rsid w:val="1977CBEE"/>
    <w:rsid w:val="19932372"/>
    <w:rsid w:val="19A20DD5"/>
    <w:rsid w:val="19AE03F1"/>
    <w:rsid w:val="1A071A03"/>
    <w:rsid w:val="1A1F16AE"/>
    <w:rsid w:val="1A376B1C"/>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A664D"/>
    <w:rsid w:val="1D6923E1"/>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744118"/>
    <w:rsid w:val="1FB87851"/>
    <w:rsid w:val="1FCD447E"/>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B2CCF"/>
    <w:rsid w:val="22BE6801"/>
    <w:rsid w:val="233500BF"/>
    <w:rsid w:val="23377FF7"/>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628662C"/>
    <w:rsid w:val="262D45DE"/>
    <w:rsid w:val="26871DC8"/>
    <w:rsid w:val="26A53EF9"/>
    <w:rsid w:val="26A94201"/>
    <w:rsid w:val="26AC274F"/>
    <w:rsid w:val="26AE6CBB"/>
    <w:rsid w:val="27044A29"/>
    <w:rsid w:val="271D34C8"/>
    <w:rsid w:val="273F7692"/>
    <w:rsid w:val="276142BF"/>
    <w:rsid w:val="27783712"/>
    <w:rsid w:val="27907362"/>
    <w:rsid w:val="27C543F8"/>
    <w:rsid w:val="28333E1D"/>
    <w:rsid w:val="28454BD6"/>
    <w:rsid w:val="28455253"/>
    <w:rsid w:val="28551971"/>
    <w:rsid w:val="285B1C53"/>
    <w:rsid w:val="289F7086"/>
    <w:rsid w:val="28C32028"/>
    <w:rsid w:val="28CC490F"/>
    <w:rsid w:val="28DE40AA"/>
    <w:rsid w:val="29345E77"/>
    <w:rsid w:val="294C65AD"/>
    <w:rsid w:val="29806583"/>
    <w:rsid w:val="2982340C"/>
    <w:rsid w:val="298B3C4C"/>
    <w:rsid w:val="29F26D24"/>
    <w:rsid w:val="2A15033F"/>
    <w:rsid w:val="2A1662C1"/>
    <w:rsid w:val="2A1C7367"/>
    <w:rsid w:val="2A2815FA"/>
    <w:rsid w:val="2A6D6092"/>
    <w:rsid w:val="2A7D76B4"/>
    <w:rsid w:val="2B09293F"/>
    <w:rsid w:val="2B437463"/>
    <w:rsid w:val="2B7807EE"/>
    <w:rsid w:val="2BA50BF7"/>
    <w:rsid w:val="2BBF00EC"/>
    <w:rsid w:val="2BC37CFD"/>
    <w:rsid w:val="2BD5237F"/>
    <w:rsid w:val="2BE536CE"/>
    <w:rsid w:val="2BE758D9"/>
    <w:rsid w:val="2BF346BB"/>
    <w:rsid w:val="2C09049E"/>
    <w:rsid w:val="2C0A653C"/>
    <w:rsid w:val="2C191F85"/>
    <w:rsid w:val="2CCE400E"/>
    <w:rsid w:val="2CE82D6F"/>
    <w:rsid w:val="2D343236"/>
    <w:rsid w:val="2D575011"/>
    <w:rsid w:val="2DD15014"/>
    <w:rsid w:val="2DF72DE4"/>
    <w:rsid w:val="2E0220AF"/>
    <w:rsid w:val="2E1D349F"/>
    <w:rsid w:val="2E4B082A"/>
    <w:rsid w:val="2E5D4E86"/>
    <w:rsid w:val="2E5D790B"/>
    <w:rsid w:val="2E9A3C18"/>
    <w:rsid w:val="2EBB0FEE"/>
    <w:rsid w:val="2EC63002"/>
    <w:rsid w:val="2F0A6B38"/>
    <w:rsid w:val="2F946CCB"/>
    <w:rsid w:val="2F9E23BE"/>
    <w:rsid w:val="2FD25781"/>
    <w:rsid w:val="2FDC745C"/>
    <w:rsid w:val="2FFD7934"/>
    <w:rsid w:val="30733ACD"/>
    <w:rsid w:val="308C3862"/>
    <w:rsid w:val="309379D8"/>
    <w:rsid w:val="30A270F7"/>
    <w:rsid w:val="30DF1478"/>
    <w:rsid w:val="30EC586F"/>
    <w:rsid w:val="319C6071"/>
    <w:rsid w:val="31AC537E"/>
    <w:rsid w:val="31E3679B"/>
    <w:rsid w:val="31E732FD"/>
    <w:rsid w:val="32174209"/>
    <w:rsid w:val="32517576"/>
    <w:rsid w:val="32B23C2D"/>
    <w:rsid w:val="32BE5C2C"/>
    <w:rsid w:val="32CD7542"/>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11399"/>
    <w:rsid w:val="36EC0CC9"/>
    <w:rsid w:val="373F410B"/>
    <w:rsid w:val="377558C0"/>
    <w:rsid w:val="37EE7094"/>
    <w:rsid w:val="38296C89"/>
    <w:rsid w:val="383002EB"/>
    <w:rsid w:val="38586797"/>
    <w:rsid w:val="385D15DF"/>
    <w:rsid w:val="38BC0149"/>
    <w:rsid w:val="38D87D1C"/>
    <w:rsid w:val="39127B8E"/>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9B2542"/>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C016B"/>
    <w:rsid w:val="3EC33DFA"/>
    <w:rsid w:val="3F060E16"/>
    <w:rsid w:val="3F1D1096"/>
    <w:rsid w:val="3F2F0234"/>
    <w:rsid w:val="3F6363FE"/>
    <w:rsid w:val="3F756B8F"/>
    <w:rsid w:val="3F95482B"/>
    <w:rsid w:val="3FA8151D"/>
    <w:rsid w:val="40045C0D"/>
    <w:rsid w:val="4019356B"/>
    <w:rsid w:val="40592157"/>
    <w:rsid w:val="406E1CAE"/>
    <w:rsid w:val="40A0133A"/>
    <w:rsid w:val="40C31A53"/>
    <w:rsid w:val="40C84B6A"/>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054AF"/>
    <w:rsid w:val="4659254A"/>
    <w:rsid w:val="465B0637"/>
    <w:rsid w:val="465E3F0D"/>
    <w:rsid w:val="466A16E6"/>
    <w:rsid w:val="46893F2B"/>
    <w:rsid w:val="46C4686E"/>
    <w:rsid w:val="46F838C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00A5E"/>
    <w:rsid w:val="49B64211"/>
    <w:rsid w:val="49F6167F"/>
    <w:rsid w:val="4A064FA0"/>
    <w:rsid w:val="4A16615C"/>
    <w:rsid w:val="4A4424D7"/>
    <w:rsid w:val="4A8810AE"/>
    <w:rsid w:val="4AB82D0F"/>
    <w:rsid w:val="4AEB7664"/>
    <w:rsid w:val="4AFD7C19"/>
    <w:rsid w:val="4B0120CE"/>
    <w:rsid w:val="4B0567D1"/>
    <w:rsid w:val="4B236AAE"/>
    <w:rsid w:val="4B707271"/>
    <w:rsid w:val="4B9739F7"/>
    <w:rsid w:val="4BE85FBF"/>
    <w:rsid w:val="4BEE2503"/>
    <w:rsid w:val="4C245A30"/>
    <w:rsid w:val="4C836513"/>
    <w:rsid w:val="4CB6685F"/>
    <w:rsid w:val="4CC367FE"/>
    <w:rsid w:val="4CD62434"/>
    <w:rsid w:val="4CE75E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C399F"/>
    <w:rsid w:val="518832C8"/>
    <w:rsid w:val="519D3C50"/>
    <w:rsid w:val="51A0432A"/>
    <w:rsid w:val="51A86090"/>
    <w:rsid w:val="51B7396D"/>
    <w:rsid w:val="522E4CC3"/>
    <w:rsid w:val="5244713B"/>
    <w:rsid w:val="52615633"/>
    <w:rsid w:val="526F4DE4"/>
    <w:rsid w:val="52977FD4"/>
    <w:rsid w:val="52A25790"/>
    <w:rsid w:val="52A96B6F"/>
    <w:rsid w:val="52B45975"/>
    <w:rsid w:val="52D048D8"/>
    <w:rsid w:val="52D94AA4"/>
    <w:rsid w:val="52EA3A62"/>
    <w:rsid w:val="52F50BB8"/>
    <w:rsid w:val="53097272"/>
    <w:rsid w:val="531427E9"/>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F44D5"/>
    <w:rsid w:val="5C02690E"/>
    <w:rsid w:val="5C196DA7"/>
    <w:rsid w:val="5C2A048C"/>
    <w:rsid w:val="5C80234E"/>
    <w:rsid w:val="5C8A680C"/>
    <w:rsid w:val="5D0C4701"/>
    <w:rsid w:val="5D0F0395"/>
    <w:rsid w:val="5D221076"/>
    <w:rsid w:val="5D397964"/>
    <w:rsid w:val="5D5A391C"/>
    <w:rsid w:val="5D5F10C0"/>
    <w:rsid w:val="5D891B7B"/>
    <w:rsid w:val="5DAD38EE"/>
    <w:rsid w:val="5DB85AE5"/>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B3202"/>
    <w:rsid w:val="61421856"/>
    <w:rsid w:val="615227C4"/>
    <w:rsid w:val="61654E3F"/>
    <w:rsid w:val="6182292A"/>
    <w:rsid w:val="619F7F92"/>
    <w:rsid w:val="61E81EE3"/>
    <w:rsid w:val="61F94C26"/>
    <w:rsid w:val="62000E56"/>
    <w:rsid w:val="624F3E49"/>
    <w:rsid w:val="62632286"/>
    <w:rsid w:val="627E4805"/>
    <w:rsid w:val="62885958"/>
    <w:rsid w:val="62F40B65"/>
    <w:rsid w:val="62FC2CFE"/>
    <w:rsid w:val="63024505"/>
    <w:rsid w:val="631808D5"/>
    <w:rsid w:val="634E6E5D"/>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23955"/>
    <w:rsid w:val="66195831"/>
    <w:rsid w:val="662E75B1"/>
    <w:rsid w:val="66342C2E"/>
    <w:rsid w:val="663E784C"/>
    <w:rsid w:val="668B6A45"/>
    <w:rsid w:val="670452C9"/>
    <w:rsid w:val="671372D5"/>
    <w:rsid w:val="672F3F24"/>
    <w:rsid w:val="673E055F"/>
    <w:rsid w:val="67551CE3"/>
    <w:rsid w:val="67A22552"/>
    <w:rsid w:val="67B22DCC"/>
    <w:rsid w:val="67BE71AA"/>
    <w:rsid w:val="67D90273"/>
    <w:rsid w:val="67DE5875"/>
    <w:rsid w:val="67E55852"/>
    <w:rsid w:val="67EB1AB4"/>
    <w:rsid w:val="67FA1285"/>
    <w:rsid w:val="68196427"/>
    <w:rsid w:val="681B26FF"/>
    <w:rsid w:val="68551F4F"/>
    <w:rsid w:val="687C10C9"/>
    <w:rsid w:val="68840C16"/>
    <w:rsid w:val="68876EFB"/>
    <w:rsid w:val="68884654"/>
    <w:rsid w:val="689F444F"/>
    <w:rsid w:val="68B96DBB"/>
    <w:rsid w:val="68CA2805"/>
    <w:rsid w:val="68E937A3"/>
    <w:rsid w:val="693E15D3"/>
    <w:rsid w:val="69550C5E"/>
    <w:rsid w:val="69623E63"/>
    <w:rsid w:val="69627681"/>
    <w:rsid w:val="6977531D"/>
    <w:rsid w:val="69CC2BFF"/>
    <w:rsid w:val="69FD55B8"/>
    <w:rsid w:val="6A0B1C62"/>
    <w:rsid w:val="6A2406C8"/>
    <w:rsid w:val="6ADE0BD1"/>
    <w:rsid w:val="6AE96859"/>
    <w:rsid w:val="6B147746"/>
    <w:rsid w:val="6B17088F"/>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C0067F"/>
    <w:rsid w:val="71D43752"/>
    <w:rsid w:val="71F1796A"/>
    <w:rsid w:val="72154626"/>
    <w:rsid w:val="72262B5D"/>
    <w:rsid w:val="72283FF7"/>
    <w:rsid w:val="722E7212"/>
    <w:rsid w:val="723A0474"/>
    <w:rsid w:val="72541CCF"/>
    <w:rsid w:val="725923E4"/>
    <w:rsid w:val="7282150D"/>
    <w:rsid w:val="72864BF7"/>
    <w:rsid w:val="729023FC"/>
    <w:rsid w:val="73C0646E"/>
    <w:rsid w:val="73FDD4D1"/>
    <w:rsid w:val="742222F5"/>
    <w:rsid w:val="74476126"/>
    <w:rsid w:val="74706664"/>
    <w:rsid w:val="747F3682"/>
    <w:rsid w:val="749C4185"/>
    <w:rsid w:val="75067759"/>
    <w:rsid w:val="752810F4"/>
    <w:rsid w:val="752E6DCD"/>
    <w:rsid w:val="75481CC7"/>
    <w:rsid w:val="7551380D"/>
    <w:rsid w:val="75600BE5"/>
    <w:rsid w:val="7564475C"/>
    <w:rsid w:val="7583797F"/>
    <w:rsid w:val="759B3FF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82137"/>
    <w:rsid w:val="7A3E5150"/>
    <w:rsid w:val="7A4670D6"/>
    <w:rsid w:val="7A534B63"/>
    <w:rsid w:val="7A615382"/>
    <w:rsid w:val="7A67303B"/>
    <w:rsid w:val="7AAB1D04"/>
    <w:rsid w:val="7ABA4368"/>
    <w:rsid w:val="7AD05746"/>
    <w:rsid w:val="7AF63E73"/>
    <w:rsid w:val="7B257FFD"/>
    <w:rsid w:val="7B343476"/>
    <w:rsid w:val="7B5A2978"/>
    <w:rsid w:val="7B5A7E4C"/>
    <w:rsid w:val="7B667AF9"/>
    <w:rsid w:val="7B7468F8"/>
    <w:rsid w:val="7B8064F1"/>
    <w:rsid w:val="7BEE0103"/>
    <w:rsid w:val="7C0A0FE4"/>
    <w:rsid w:val="7C254906"/>
    <w:rsid w:val="7C590818"/>
    <w:rsid w:val="7C605FFE"/>
    <w:rsid w:val="7C7C10F6"/>
    <w:rsid w:val="7C853BEA"/>
    <w:rsid w:val="7C881368"/>
    <w:rsid w:val="7CE27788"/>
    <w:rsid w:val="7D0C32F1"/>
    <w:rsid w:val="7D0F408D"/>
    <w:rsid w:val="7D491C6C"/>
    <w:rsid w:val="7D5429C0"/>
    <w:rsid w:val="7D6E6D43"/>
    <w:rsid w:val="7D9B6BA2"/>
    <w:rsid w:val="7DB57A34"/>
    <w:rsid w:val="7DC510DA"/>
    <w:rsid w:val="7DC6485A"/>
    <w:rsid w:val="7DE60973"/>
    <w:rsid w:val="7DEF0916"/>
    <w:rsid w:val="7E1E5218"/>
    <w:rsid w:val="7E9A4E1F"/>
    <w:rsid w:val="7EA7723A"/>
    <w:rsid w:val="7EF56FBB"/>
    <w:rsid w:val="7F0768EB"/>
    <w:rsid w:val="7F143BEC"/>
    <w:rsid w:val="7F715AF2"/>
    <w:rsid w:val="7F886E69"/>
    <w:rsid w:val="B3F63375"/>
    <w:rsid w:val="BB7FA927"/>
    <w:rsid w:val="BBE481DD"/>
    <w:rsid w:val="DFBB4E9D"/>
    <w:rsid w:val="E8DDC378"/>
    <w:rsid w:val="EBDFB7B9"/>
    <w:rsid w:val="EF79404D"/>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spacing w:line="360" w:lineRule="auto"/>
      <w:ind w:firstLine="200" w:firstLineChars="200"/>
    </w:pPr>
    <w:rPr>
      <w:rFonts w:eastAsia="楷体_GB2312" w:cs="Lucida Sans"/>
      <w:sz w:val="24"/>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Date"/>
    <w:basedOn w:val="1"/>
    <w:next w:val="1"/>
    <w:link w:val="181"/>
    <w:autoRedefine/>
    <w:qFormat/>
    <w:uiPriority w:val="0"/>
    <w:pPr>
      <w:ind w:left="100" w:leftChars="2500"/>
    </w:pPr>
    <w:rPr>
      <w:rFonts w:ascii="宋体"/>
      <w:sz w:val="24"/>
      <w:szCs w:val="21"/>
      <w:lang w:val="zh-CN"/>
    </w:rPr>
  </w:style>
  <w:style w:type="paragraph" w:styleId="26">
    <w:name w:val="Body Text Indent"/>
    <w:basedOn w:val="1"/>
    <w:next w:val="27"/>
    <w:link w:val="264"/>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0"/>
    <w:autoRedefine/>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autoRedefine/>
    <w:qFormat/>
    <w:uiPriority w:val="0"/>
    <w:pPr>
      <w:tabs>
        <w:tab w:val="center" w:pos="4153"/>
        <w:tab w:val="right" w:pos="8306"/>
      </w:tabs>
      <w:snapToGrid w:val="0"/>
      <w:jc w:val="left"/>
    </w:pPr>
    <w:rPr>
      <w:sz w:val="18"/>
      <w:szCs w:val="18"/>
    </w:rPr>
  </w:style>
  <w:style w:type="paragraph" w:styleId="42">
    <w:name w:val="header"/>
    <w:basedOn w:val="1"/>
    <w:next w:val="43"/>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autoRedefine/>
    <w:qFormat/>
    <w:uiPriority w:val="0"/>
    <w:rPr>
      <w:b/>
      <w:bCs/>
    </w:rPr>
  </w:style>
  <w:style w:type="paragraph" w:styleId="63">
    <w:name w:val="Body Text First Indent"/>
    <w:basedOn w:val="24"/>
    <w:next w:val="1"/>
    <w:link w:val="320"/>
    <w:autoRedefine/>
    <w:qFormat/>
    <w:uiPriority w:val="0"/>
    <w:pPr>
      <w:ind w:firstLine="420"/>
    </w:pPr>
    <w:rPr>
      <w:rFonts w:hAnsi="Calibri" w:cs="Times New Roman"/>
      <w:snapToGrid/>
      <w:szCs w:val="20"/>
    </w:rPr>
  </w:style>
  <w:style w:type="paragraph" w:styleId="64">
    <w:name w:val="Body Text First Indent 2"/>
    <w:basedOn w:val="26"/>
    <w:next w:val="1"/>
    <w:link w:val="121"/>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4"/>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2"/>
    <w:autoRedefine/>
    <w:qFormat/>
    <w:uiPriority w:val="0"/>
    <w:rPr>
      <w:rFonts w:ascii="Arial" w:hAnsi="Arial" w:eastAsia="黑体" w:cs="Arial"/>
      <w:snapToGrid w:val="0"/>
      <w:kern w:val="0"/>
      <w:szCs w:val="21"/>
    </w:rPr>
  </w:style>
  <w:style w:type="character" w:customStyle="1" w:styleId="12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9"/>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9"/>
    <w:autoRedefine/>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0"/>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25"/>
    <w:qFormat/>
    <w:uiPriority w:val="0"/>
    <w:rPr>
      <w:rFonts w:ascii="宋体"/>
      <w:kern w:val="2"/>
      <w:sz w:val="24"/>
      <w:szCs w:val="21"/>
      <w:lang w:val="zh-CN"/>
    </w:rPr>
  </w:style>
  <w:style w:type="character" w:customStyle="1" w:styleId="182">
    <w:name w:val="标题 9 字符"/>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0"/>
    <w:autoRedefine/>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2"/>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34"/>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1"/>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9"/>
    <w:autoRedefine/>
    <w:qFormat/>
    <w:uiPriority w:val="0"/>
    <w:rPr>
      <w:rFonts w:ascii="黑体" w:hAnsi="Courier New" w:eastAsia="黑体"/>
    </w:rPr>
  </w:style>
  <w:style w:type="character" w:customStyle="1" w:styleId="301">
    <w:name w:val="正文文本 2 字符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0"/>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2"/>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3"/>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0"/>
    <w:rPr>
      <w:kern w:val="2"/>
      <w:sz w:val="21"/>
      <w:szCs w:val="24"/>
    </w:rPr>
  </w:style>
  <w:style w:type="character" w:customStyle="1" w:styleId="344">
    <w:name w:val="签名 字符"/>
    <w:link w:val="44"/>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5"/>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rFonts w:ascii="Times New Roman" w:hAnsi="Times New Roman" w:eastAsia="宋体"/>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2"/>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0"/>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2"/>
    <w:autoRedefine/>
    <w:qFormat/>
    <w:uiPriority w:val="0"/>
    <w:rPr>
      <w:rFonts w:ascii="Arial" w:hAnsi="Arial" w:eastAsia="黑体" w:cs="Arial"/>
      <w:snapToGrid w:val="0"/>
      <w:kern w:val="0"/>
      <w:szCs w:val="21"/>
    </w:rPr>
  </w:style>
  <w:style w:type="character" w:customStyle="1" w:styleId="431">
    <w:name w:val="hui"/>
    <w:basedOn w:val="72"/>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35"/>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3"/>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未处理的提及2"/>
    <w:basedOn w:val="72"/>
    <w:semiHidden/>
    <w:unhideWhenUsed/>
    <w:qFormat/>
    <w:uiPriority w:val="99"/>
    <w:rPr>
      <w:color w:val="605E5C"/>
      <w:shd w:val="clear" w:color="auto" w:fill="E1DFDD"/>
    </w:rPr>
  </w:style>
  <w:style w:type="paragraph" w:customStyle="1" w:styleId="967">
    <w:name w:val="BodyText1I2"/>
    <w:basedOn w:val="1"/>
    <w:qFormat/>
    <w:uiPriority w:val="0"/>
    <w:pPr>
      <w:adjustRightInd/>
      <w:spacing w:after="120"/>
      <w:ind w:left="420" w:leftChars="200" w:firstLine="420" w:firstLineChars="200"/>
      <w:textAlignment w:val="baseline"/>
    </w:p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3"/>
    <w:basedOn w:val="72"/>
    <w:semiHidden/>
    <w:unhideWhenUsed/>
    <w:qFormat/>
    <w:uiPriority w:val="99"/>
    <w:rPr>
      <w:color w:val="605E5C"/>
      <w:shd w:val="clear" w:color="auto" w:fill="E1DFDD"/>
    </w:rPr>
  </w:style>
  <w:style w:type="character" w:customStyle="1" w:styleId="970">
    <w:name w:val="未处理的提及4"/>
    <w:basedOn w:val="72"/>
    <w:semiHidden/>
    <w:unhideWhenUsed/>
    <w:qFormat/>
    <w:uiPriority w:val="99"/>
    <w:rPr>
      <w:color w:val="605E5C"/>
      <w:shd w:val="clear" w:color="auto" w:fill="E1DFDD"/>
    </w:rPr>
  </w:style>
  <w:style w:type="character" w:customStyle="1" w:styleId="971">
    <w:name w:val="未处理的提及5"/>
    <w:basedOn w:val="72"/>
    <w:semiHidden/>
    <w:unhideWhenUsed/>
    <w:qFormat/>
    <w:uiPriority w:val="99"/>
    <w:rPr>
      <w:color w:val="605E5C"/>
      <w:shd w:val="clear" w:color="auto" w:fill="E1DFDD"/>
    </w:rPr>
  </w:style>
  <w:style w:type="character" w:customStyle="1" w:styleId="972">
    <w:name w:val="bookmark-item"/>
    <w:basedOn w:val="7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5415</Words>
  <Characters>30870</Characters>
  <Lines>257</Lines>
  <Paragraphs>72</Paragraphs>
  <TotalTime>479</TotalTime>
  <ScaleCrop>false</ScaleCrop>
  <LinksUpToDate>false</LinksUpToDate>
  <CharactersWithSpaces>36213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2023-09-23T10:37:00Z</dcterms:created>
  <dc:creator>玥</dc:creator>
  <cp:lastModifiedBy>宁波建信工程造价咨询事务所有限公司</cp:lastModifiedBy>
  <cp:lastPrinted>2023-12-12T04:25:00Z</cp:lastPrinted>
  <dcterms:modified xsi:type="dcterms:W3CDTF">2024-05-27T06:16:49Z</dcterms:modified>
  <dc:title>杭州市市民卡扩大发卡工程</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