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1" w:lineRule="auto"/>
        <w:ind w:left="2349" w:firstLine="631" w:firstLineChars="200"/>
        <w:outlineLvl w:val="0"/>
        <w:rPr>
          <w:rFonts w:ascii="黑体" w:hAnsi="黑体" w:eastAsia="黑体" w:cs="黑体"/>
          <w:sz w:val="32"/>
          <w:szCs w:val="32"/>
        </w:rPr>
      </w:pPr>
      <w:r>
        <w:rPr>
          <w:rFonts w:ascii="黑体" w:hAnsi="黑体" w:eastAsia="黑体" w:cs="黑体"/>
          <w:b/>
          <w:bCs/>
          <w:spacing w:val="-3"/>
          <w:sz w:val="32"/>
          <w:szCs w:val="32"/>
        </w:rPr>
        <w:t>服务需求及技术要求</w:t>
      </w:r>
    </w:p>
    <w:p>
      <w:pPr>
        <w:pStyle w:val="2"/>
        <w:spacing w:before="68" w:line="219" w:lineRule="auto"/>
        <w:ind w:left="437" w:firstLine="406" w:firstLineChars="200"/>
        <w:outlineLvl w:val="1"/>
        <w:rPr>
          <w:sz w:val="21"/>
          <w:szCs w:val="21"/>
        </w:rPr>
      </w:pPr>
      <w:r>
        <w:rPr>
          <w:b/>
          <w:bCs/>
          <w:spacing w:val="-4"/>
          <w:sz w:val="21"/>
          <w:szCs w:val="21"/>
        </w:rPr>
        <w:t>一、服务内容</w:t>
      </w:r>
    </w:p>
    <w:p>
      <w:pPr>
        <w:pStyle w:val="2"/>
        <w:spacing w:before="113" w:line="480" w:lineRule="exact"/>
        <w:ind w:left="434" w:firstLine="428" w:firstLineChars="200"/>
        <w:rPr>
          <w:sz w:val="21"/>
          <w:szCs w:val="21"/>
        </w:rPr>
      </w:pPr>
      <w:r>
        <w:rPr>
          <w:spacing w:val="2"/>
          <w:position w:val="20"/>
          <w:sz w:val="21"/>
          <w:szCs w:val="21"/>
        </w:rPr>
        <w:t>1.建成区内所有居民小区(特别是老旧小区、回迁小区)灭鼠毒</w:t>
      </w:r>
      <w:r>
        <w:rPr>
          <w:spacing w:val="1"/>
          <w:position w:val="20"/>
          <w:sz w:val="21"/>
          <w:szCs w:val="21"/>
        </w:rPr>
        <w:t>饵站及捕蝇笼安装以及蚊蝇</w:t>
      </w:r>
    </w:p>
    <w:p>
      <w:pPr>
        <w:pStyle w:val="2"/>
        <w:spacing w:line="219" w:lineRule="auto"/>
        <w:ind w:left="25" w:firstLine="364" w:firstLineChars="200"/>
        <w:rPr>
          <w:sz w:val="21"/>
          <w:szCs w:val="21"/>
        </w:rPr>
      </w:pPr>
      <w:r>
        <w:rPr>
          <w:spacing w:val="-14"/>
          <w:sz w:val="21"/>
          <w:szCs w:val="21"/>
        </w:rPr>
        <w:t>消杀；</w:t>
      </w:r>
    </w:p>
    <w:p>
      <w:pPr>
        <w:pStyle w:val="2"/>
        <w:spacing w:before="210" w:line="219" w:lineRule="auto"/>
        <w:ind w:left="434" w:firstLine="404" w:firstLineChars="200"/>
        <w:rPr>
          <w:sz w:val="21"/>
          <w:szCs w:val="21"/>
        </w:rPr>
      </w:pPr>
      <w:r>
        <w:rPr>
          <w:spacing w:val="-4"/>
          <w:sz w:val="21"/>
          <w:szCs w:val="21"/>
        </w:rPr>
        <w:t>2.建成区内城中村和城乡结合部灭鼠毒饵站及捕蝇笼安装以及蚊蝇消杀；</w:t>
      </w:r>
    </w:p>
    <w:p>
      <w:pPr>
        <w:pStyle w:val="2"/>
        <w:spacing w:before="222" w:line="219" w:lineRule="auto"/>
        <w:ind w:left="434" w:firstLine="420" w:firstLineChars="200"/>
        <w:rPr>
          <w:sz w:val="21"/>
          <w:szCs w:val="21"/>
        </w:rPr>
      </w:pPr>
      <w:r>
        <w:rPr>
          <w:sz w:val="21"/>
          <w:szCs w:val="21"/>
        </w:rPr>
        <w:t>3.建成区内农贸市场灭鼠毒饵站及捕蝇笼安装以及蚊蝇鼠蟑消杀；</w:t>
      </w:r>
    </w:p>
    <w:p>
      <w:pPr>
        <w:pStyle w:val="2"/>
        <w:spacing w:before="199" w:line="492" w:lineRule="exact"/>
        <w:ind w:left="434" w:firstLine="408" w:firstLineChars="200"/>
        <w:rPr>
          <w:sz w:val="21"/>
          <w:szCs w:val="21"/>
        </w:rPr>
      </w:pPr>
      <w:r>
        <w:rPr>
          <w:spacing w:val="-3"/>
          <w:position w:val="21"/>
          <w:sz w:val="21"/>
          <w:szCs w:val="21"/>
        </w:rPr>
        <w:t>4.病媒生物孳生地调查、侵害率调查、防制效果评估等工作，制作、完善相关通报、报告等</w:t>
      </w:r>
    </w:p>
    <w:p>
      <w:pPr>
        <w:pStyle w:val="2"/>
        <w:spacing w:line="219" w:lineRule="auto"/>
        <w:ind w:left="25" w:firstLine="364" w:firstLineChars="200"/>
        <w:rPr>
          <w:sz w:val="21"/>
          <w:szCs w:val="21"/>
        </w:rPr>
      </w:pPr>
      <w:r>
        <w:rPr>
          <w:spacing w:val="-14"/>
          <w:sz w:val="21"/>
          <w:szCs w:val="21"/>
        </w:rPr>
        <w:t>文件；</w:t>
      </w:r>
    </w:p>
    <w:p>
      <w:pPr>
        <w:pStyle w:val="2"/>
        <w:spacing w:before="209" w:line="218" w:lineRule="auto"/>
        <w:ind w:left="434" w:firstLine="408" w:firstLineChars="200"/>
        <w:rPr>
          <w:sz w:val="21"/>
          <w:szCs w:val="21"/>
        </w:rPr>
      </w:pPr>
      <w:r>
        <w:rPr>
          <w:spacing w:val="-3"/>
          <w:sz w:val="21"/>
          <w:szCs w:val="21"/>
        </w:rPr>
        <w:t>5.病媒生物防制专项验收、现场评估等各级检查的</w:t>
      </w:r>
      <w:r>
        <w:rPr>
          <w:spacing w:val="-4"/>
          <w:sz w:val="21"/>
          <w:szCs w:val="21"/>
        </w:rPr>
        <w:t>病媒生物防制应急服务和处置工作；</w:t>
      </w:r>
    </w:p>
    <w:p>
      <w:pPr>
        <w:pStyle w:val="2"/>
        <w:spacing w:before="213" w:line="470" w:lineRule="exact"/>
        <w:ind w:left="434" w:firstLine="408" w:firstLineChars="200"/>
        <w:rPr>
          <w:sz w:val="21"/>
          <w:szCs w:val="21"/>
        </w:rPr>
      </w:pPr>
      <w:r>
        <w:rPr>
          <w:spacing w:val="-3"/>
          <w:position w:val="20"/>
          <w:sz w:val="21"/>
          <w:szCs w:val="21"/>
        </w:rPr>
        <w:t>6.针对辖区内街乡镇及各单位开展爱国卫生组织管理、</w:t>
      </w:r>
      <w:r>
        <w:rPr>
          <w:spacing w:val="-4"/>
          <w:position w:val="20"/>
          <w:sz w:val="21"/>
          <w:szCs w:val="21"/>
        </w:rPr>
        <w:t>病媒生物防制培训，针对学校、医疗</w:t>
      </w:r>
    </w:p>
    <w:p>
      <w:pPr>
        <w:pStyle w:val="2"/>
        <w:spacing w:before="1" w:line="218" w:lineRule="auto"/>
        <w:ind w:left="25" w:firstLine="408" w:firstLineChars="200"/>
        <w:rPr>
          <w:sz w:val="21"/>
          <w:szCs w:val="21"/>
        </w:rPr>
      </w:pPr>
      <w:r>
        <w:rPr>
          <w:spacing w:val="-3"/>
          <w:sz w:val="21"/>
          <w:szCs w:val="21"/>
        </w:rPr>
        <w:t>机构创卫工作开展专项培训。</w:t>
      </w:r>
    </w:p>
    <w:p>
      <w:pPr>
        <w:pStyle w:val="2"/>
        <w:spacing w:before="232" w:line="219" w:lineRule="auto"/>
        <w:ind w:left="434" w:firstLine="392" w:firstLineChars="200"/>
        <w:rPr>
          <w:spacing w:val="-7"/>
          <w:sz w:val="21"/>
          <w:szCs w:val="21"/>
        </w:rPr>
      </w:pPr>
      <w:r>
        <w:rPr>
          <w:spacing w:val="-7"/>
          <w:sz w:val="21"/>
          <w:szCs w:val="21"/>
        </w:rPr>
        <w:t>服务清单如下：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6"/>
        <w:gridCol w:w="2257"/>
        <w:gridCol w:w="5355"/>
        <w:gridCol w:w="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jc w:val="center"/>
        </w:trPr>
        <w:tc>
          <w:tcPr>
            <w:tcW w:w="526"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2257"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项目名称</w:t>
            </w:r>
          </w:p>
        </w:tc>
        <w:tc>
          <w:tcPr>
            <w:tcW w:w="535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服 务 参 数</w:t>
            </w:r>
          </w:p>
        </w:tc>
        <w:tc>
          <w:tcPr>
            <w:tcW w:w="945"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固定式灭鼠毒饵站</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（警示标签）</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规格：长≥30CM；宽≥10cm；高≥10cm。</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4000</w:t>
            </w:r>
            <w:r>
              <w:rPr>
                <w:rFonts w:hint="eastAsia" w:ascii="宋体" w:hAnsi="宋体" w:eastAsia="宋体" w:cs="宋体"/>
                <w:b w:val="0"/>
                <w:bCs w:val="0"/>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外环境灭鼠服务</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对新建</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增补以及原有的毒饵站维护及药物更换，使用抗凝血类或维生素类灭鼠药物。</w:t>
            </w:r>
            <w:r>
              <w:rPr>
                <w:rFonts w:hint="eastAsia" w:ascii="宋体" w:hAnsi="宋体" w:eastAsia="宋体" w:cs="宋体"/>
                <w:b w:val="0"/>
                <w:bCs w:val="0"/>
                <w:color w:val="000000"/>
                <w:sz w:val="21"/>
                <w:szCs w:val="21"/>
                <w:lang w:val="en-US" w:eastAsia="zh-CN"/>
              </w:rPr>
              <w:t>每个季度一次，另外2次应对国家及省级检查前。</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3</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捕蝇笼安装</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（警示标签）</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规格：直径≥20cm；高度≥26cm；椎体高≥20cm顶部采用具有透光性能的透明薄膜，具有防水功能。</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1500</w:t>
            </w:r>
            <w:r>
              <w:rPr>
                <w:rFonts w:hint="eastAsia" w:ascii="宋体" w:hAnsi="宋体" w:eastAsia="宋体" w:cs="宋体"/>
                <w:b w:val="0"/>
                <w:bCs w:val="0"/>
                <w:color w:val="000000"/>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捕蝇笼维护</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捕蝇笼的维护和诱饵投放。</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4</w:t>
            </w:r>
            <w:r>
              <w:rPr>
                <w:rFonts w:hint="eastAsia" w:ascii="宋体" w:hAnsi="宋体" w:eastAsia="宋体" w:cs="宋体"/>
                <w:b w:val="0"/>
                <w:bCs w:val="0"/>
                <w:color w:val="000000"/>
                <w:sz w:val="21"/>
                <w:szCs w:val="21"/>
              </w:rPr>
              <w:t>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5</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公共环境消杀</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大观区建成区内农贸市场、公园绿化、老旧小区、背街小巷、城中村和城乡结合部、下水道、建筑工地、垃圾中转站、公厕等外环境孳生地药物处理，鼠类防治、蚊蝇防治、蟑螂防治消杀服务</w:t>
            </w:r>
            <w:r>
              <w:rPr>
                <w:rFonts w:hint="eastAsia" w:ascii="宋体" w:hAnsi="宋体" w:eastAsia="宋体" w:cs="宋体"/>
                <w:b w:val="0"/>
                <w:bCs w:val="0"/>
                <w:color w:val="000000"/>
                <w:sz w:val="21"/>
                <w:szCs w:val="21"/>
                <w:lang w:eastAsia="zh-CN"/>
              </w:rPr>
              <w:t>。</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kern w:val="0"/>
                <w:sz w:val="21"/>
                <w:szCs w:val="21"/>
                <w:lang w:val="en-US" w:eastAsia="zh-CN"/>
              </w:rPr>
              <w:t>4</w:t>
            </w:r>
            <w:r>
              <w:rPr>
                <w:rFonts w:hint="eastAsia" w:ascii="宋体" w:hAnsi="宋体" w:eastAsia="宋体" w:cs="宋体"/>
                <w:b w:val="0"/>
                <w:bCs w:val="0"/>
                <w:color w:val="000000"/>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病媒生物孳生地调查</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根据国家卫生城市要求，根据季节对整个城区的病媒生物孳生地开展调查，制作相关报告等文件</w:t>
            </w:r>
            <w:r>
              <w:rPr>
                <w:rFonts w:hint="eastAsia" w:ascii="宋体" w:hAnsi="宋体" w:eastAsia="宋体" w:cs="宋体"/>
                <w:b w:val="0"/>
                <w:bCs w:val="0"/>
                <w:color w:val="000000"/>
                <w:sz w:val="21"/>
                <w:szCs w:val="21"/>
                <w:lang w:eastAsia="zh-CN"/>
              </w:rPr>
              <w:t>。</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7</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病媒生物侵害率调查</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根据国家卫生城市要求，制订病媒生物侵害调查方案，开展病媒生物侵害调查及制作相关通报及报告。</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8</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病媒生物防制效果评估</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根据国家卫生城市要求，依据《病媒生物密度控制水平》进行监测、评估。</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526"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9</w:t>
            </w:r>
          </w:p>
        </w:tc>
        <w:tc>
          <w:tcPr>
            <w:tcW w:w="2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创卫专项培训</w:t>
            </w:r>
          </w:p>
        </w:tc>
        <w:tc>
          <w:tcPr>
            <w:tcW w:w="5355"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针对辖区内街乡镇及各单位开展爱国卫生组织管理、病媒生物防制培训</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针对</w:t>
            </w:r>
            <w:r>
              <w:rPr>
                <w:rFonts w:hint="eastAsia" w:ascii="宋体" w:hAnsi="宋体" w:eastAsia="宋体" w:cs="宋体"/>
                <w:b w:val="0"/>
                <w:bCs w:val="0"/>
                <w:color w:val="000000"/>
                <w:sz w:val="21"/>
                <w:szCs w:val="21"/>
                <w:lang w:val="en-US" w:eastAsia="zh-CN"/>
              </w:rPr>
              <w:t>学校、</w:t>
            </w:r>
            <w:r>
              <w:rPr>
                <w:rFonts w:hint="eastAsia" w:ascii="宋体" w:hAnsi="宋体" w:eastAsia="宋体" w:cs="宋体"/>
                <w:b w:val="0"/>
                <w:bCs w:val="0"/>
                <w:color w:val="000000"/>
                <w:sz w:val="21"/>
                <w:szCs w:val="21"/>
              </w:rPr>
              <w:t>医疗机构创卫工作职责及分工开展专项培训。</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4次</w:t>
            </w:r>
          </w:p>
        </w:tc>
      </w:tr>
    </w:tbl>
    <w:p/>
    <w:p>
      <w:pPr>
        <w:spacing w:before="159" w:line="222" w:lineRule="auto"/>
        <w:ind w:left="417" w:firstLine="494" w:firstLineChars="200"/>
        <w:outlineLvl w:val="1"/>
        <w:rPr>
          <w:rFonts w:ascii="黑体" w:hAnsi="黑体" w:eastAsia="黑体" w:cs="黑体"/>
          <w:sz w:val="24"/>
          <w:szCs w:val="24"/>
        </w:rPr>
      </w:pPr>
      <w:r>
        <w:rPr>
          <w:rFonts w:ascii="黑体" w:hAnsi="黑体" w:eastAsia="黑体" w:cs="黑体"/>
          <w:b/>
          <w:bCs/>
          <w:spacing w:val="3"/>
          <w:sz w:val="24"/>
          <w:szCs w:val="24"/>
        </w:rPr>
        <w:t>二、验收</w:t>
      </w:r>
    </w:p>
    <w:p>
      <w:pPr>
        <w:pStyle w:val="2"/>
        <w:spacing w:before="221" w:line="218" w:lineRule="auto"/>
        <w:ind w:firstLine="512" w:firstLineChars="200"/>
        <w:rPr>
          <w:sz w:val="24"/>
          <w:szCs w:val="24"/>
        </w:rPr>
      </w:pPr>
      <w:r>
        <w:rPr>
          <w:spacing w:val="8"/>
          <w:sz w:val="24"/>
          <w:szCs w:val="24"/>
        </w:rPr>
        <w:t>成交人和采购人双方共同实施验收工作，结果和验收报告经双方确认</w:t>
      </w:r>
      <w:bookmarkStart w:id="0" w:name="_GoBack"/>
      <w:bookmarkEnd w:id="0"/>
      <w:r>
        <w:rPr>
          <w:spacing w:val="8"/>
          <w:sz w:val="24"/>
          <w:szCs w:val="24"/>
        </w:rPr>
        <w:t>后生效。</w:t>
      </w:r>
    </w:p>
    <w:p>
      <w:pPr>
        <w:spacing w:line="218" w:lineRule="auto"/>
        <w:rPr>
          <w:sz w:val="20"/>
          <w:szCs w:val="20"/>
        </w:rPr>
        <w:sectPr>
          <w:footerReference r:id="rId5" w:type="default"/>
          <w:pgSz w:w="11910" w:h="16840"/>
          <w:pgMar w:top="1170" w:right="1395" w:bottom="1232" w:left="1355" w:header="894" w:footer="994"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jVhZjdiNDNmYTc0Y2Q3ZjBlMTc4YTMxZjgxMTMifQ=="/>
  </w:docVars>
  <w:rsids>
    <w:rsidRoot w:val="05826EA5"/>
    <w:rsid w:val="0582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next w:val="1"/>
    <w:qFormat/>
    <w:uiPriority w:val="0"/>
    <w:pPr>
      <w:ind w:left="200" w:hanging="200" w:hangingChars="200"/>
    </w:pPr>
    <w:rPr>
      <w:rFonts w:ascii="Calibri" w:hAnsi="Calibri"/>
      <w:szCs w:val="22"/>
    </w:rPr>
  </w:style>
  <w:style w:type="paragraph" w:styleId="7">
    <w:name w:val="Body Text First Indent 2"/>
    <w:basedOn w:val="3"/>
    <w:next w:val="6"/>
    <w:qFormat/>
    <w:uiPriority w:val="99"/>
    <w:pPr>
      <w:ind w:firstLine="420" w:firstLineChars="200"/>
    </w:pPr>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2024-05-16T07:27:00Z</dcterms:created>
  <dc:creator>Administrator</dc:creator>
  <cp:lastModifiedBy>Administrator</cp:lastModifiedBy>
  <dcterms:modified xsi:type="dcterms:W3CDTF">2024-05-16T07:28:10Z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35A1710FFF944819A736D8375FD60C0E_11</vt:lpwstr>
  </property>
</Properties>
</file>