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A9" w:rsidRPr="00591CA9" w:rsidRDefault="00591CA9" w:rsidP="00591CA9">
      <w:pPr>
        <w:widowControl/>
        <w:jc w:val="center"/>
        <w:outlineLvl w:val="1"/>
        <w:rPr>
          <w:rFonts w:ascii="Calibri" w:eastAsia="宋体" w:hAnsi="Calibri" w:cs="Times New Roman"/>
          <w:kern w:val="0"/>
          <w:sz w:val="20"/>
          <w:szCs w:val="20"/>
          <w:lang w:eastAsia="zh-Hans"/>
        </w:rPr>
      </w:pPr>
      <w:r w:rsidRPr="00591CA9">
        <w:rPr>
          <w:rFonts w:ascii="Calibri" w:eastAsia="宋体" w:hAnsi="Calibri" w:cs="Times New Roman"/>
          <w:b/>
          <w:kern w:val="0"/>
          <w:sz w:val="36"/>
          <w:szCs w:val="20"/>
          <w:lang w:eastAsia="zh-Hans"/>
        </w:rPr>
        <w:t>磋商项目技术、服务、商务及其他要求</w:t>
      </w:r>
    </w:p>
    <w:p w:rsidR="00591CA9" w:rsidRPr="00591CA9" w:rsidRDefault="00591CA9" w:rsidP="00591CA9">
      <w:pPr>
        <w:widowControl/>
        <w:ind w:firstLine="480"/>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（注：带</w:t>
      </w:r>
      <w:r w:rsidRPr="00591CA9">
        <w:rPr>
          <w:rFonts w:ascii="Calibri" w:eastAsia="宋体" w:hAnsi="Calibri" w:cs="Times New Roman"/>
          <w:kern w:val="0"/>
          <w:sz w:val="20"/>
          <w:szCs w:val="20"/>
          <w:lang w:eastAsia="zh-Hans"/>
        </w:rPr>
        <w:t>“</w:t>
      </w:r>
      <w:r w:rsidRPr="00591CA9">
        <w:rPr>
          <w:rFonts w:ascii="Segoe UI Symbol" w:eastAsia="宋体" w:hAnsi="Segoe UI Symbol" w:cs="Segoe UI Symbol"/>
          <w:kern w:val="0"/>
          <w:sz w:val="20"/>
          <w:szCs w:val="20"/>
          <w:lang w:eastAsia="zh-Hans"/>
        </w:rPr>
        <w:t>★</w:t>
      </w:r>
      <w:r w:rsidRPr="00591CA9">
        <w:rPr>
          <w:rFonts w:ascii="Calibri" w:eastAsia="宋体" w:hAnsi="Calibri" w:cs="Calibri"/>
          <w:kern w:val="0"/>
          <w:sz w:val="20"/>
          <w:szCs w:val="20"/>
          <w:lang w:eastAsia="zh-Hans"/>
        </w:rPr>
        <w:t>”</w:t>
      </w:r>
      <w:r w:rsidRPr="00591CA9">
        <w:rPr>
          <w:rFonts w:ascii="Calibri" w:eastAsia="宋体" w:hAnsi="Calibri" w:cs="Times New Roman"/>
          <w:kern w:val="0"/>
          <w:sz w:val="20"/>
          <w:szCs w:val="20"/>
          <w:lang w:eastAsia="zh-Hans"/>
        </w:rPr>
        <w:t>的参数需求为实质性要求，供应商必须响应并满足的参数需求，采购人、采购代理机构应当根据项目实际需求合理设定，并明确具体要求。带</w:t>
      </w:r>
      <w:r w:rsidRPr="00591CA9">
        <w:rPr>
          <w:rFonts w:ascii="Calibri" w:eastAsia="宋体" w:hAnsi="Calibri" w:cs="Times New Roman"/>
          <w:kern w:val="0"/>
          <w:sz w:val="20"/>
          <w:szCs w:val="20"/>
          <w:lang w:eastAsia="zh-Hans"/>
        </w:rPr>
        <w:t>“</w:t>
      </w:r>
      <w:r w:rsidRPr="00591CA9">
        <w:rPr>
          <w:rFonts w:ascii="Arial" w:eastAsia="宋体" w:hAnsi="Arial" w:cs="Arial"/>
          <w:kern w:val="0"/>
          <w:sz w:val="20"/>
          <w:szCs w:val="20"/>
          <w:lang w:eastAsia="zh-Hans"/>
        </w:rPr>
        <w:t>▲</w:t>
      </w:r>
      <w:r w:rsidRPr="00591CA9">
        <w:rPr>
          <w:rFonts w:ascii="Calibri" w:eastAsia="宋体" w:hAnsi="Calibri" w:cs="Calibri"/>
          <w:kern w:val="0"/>
          <w:sz w:val="20"/>
          <w:szCs w:val="20"/>
          <w:lang w:eastAsia="zh-Hans"/>
        </w:rPr>
        <w:t>”</w:t>
      </w:r>
      <w:r w:rsidRPr="00591CA9">
        <w:rPr>
          <w:rFonts w:ascii="Calibri" w:eastAsia="宋体" w:hAnsi="Calibri" w:cs="Times New Roman"/>
          <w:kern w:val="0"/>
          <w:sz w:val="20"/>
          <w:szCs w:val="20"/>
          <w:lang w:eastAsia="zh-Hans"/>
        </w:rPr>
        <w:t>号条款为允许负偏离的参数需求，若未响应或者不满足，将在综合评审中予以扣分处理。）</w:t>
      </w:r>
    </w:p>
    <w:p w:rsidR="00591CA9" w:rsidRPr="00591CA9" w:rsidRDefault="00591CA9" w:rsidP="00591CA9">
      <w:pPr>
        <w:widowControl/>
        <w:jc w:val="left"/>
        <w:outlineLvl w:val="2"/>
        <w:rPr>
          <w:rFonts w:ascii="Calibri" w:eastAsia="宋体" w:hAnsi="Calibri" w:cs="Times New Roman"/>
          <w:kern w:val="0"/>
          <w:sz w:val="20"/>
          <w:szCs w:val="20"/>
          <w:lang w:eastAsia="zh-Hans"/>
        </w:rPr>
      </w:pPr>
      <w:r w:rsidRPr="00591CA9">
        <w:rPr>
          <w:rFonts w:ascii="Calibri" w:eastAsia="宋体" w:hAnsi="Calibri" w:cs="Times New Roman"/>
          <w:b/>
          <w:kern w:val="0"/>
          <w:sz w:val="28"/>
          <w:szCs w:val="20"/>
          <w:lang w:eastAsia="zh-Hans"/>
        </w:rPr>
        <w:t>3.1</w:t>
      </w:r>
      <w:r w:rsidRPr="00591CA9">
        <w:rPr>
          <w:rFonts w:ascii="Calibri" w:eastAsia="宋体" w:hAnsi="Calibri" w:cs="Times New Roman"/>
          <w:b/>
          <w:kern w:val="0"/>
          <w:sz w:val="28"/>
          <w:szCs w:val="20"/>
          <w:lang w:eastAsia="zh-Hans"/>
        </w:rPr>
        <w:t>、采购项目概况</w:t>
      </w:r>
    </w:p>
    <w:p w:rsidR="00591CA9" w:rsidRPr="00591CA9" w:rsidRDefault="00591CA9" w:rsidP="00591CA9">
      <w:pPr>
        <w:widowControl/>
        <w:ind w:firstLine="480"/>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本项目共</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个包，采购病媒生物防制服务。</w:t>
      </w:r>
    </w:p>
    <w:p w:rsidR="00591CA9" w:rsidRPr="00591CA9" w:rsidRDefault="00591CA9" w:rsidP="00591CA9">
      <w:pPr>
        <w:widowControl/>
        <w:jc w:val="left"/>
        <w:outlineLvl w:val="2"/>
        <w:rPr>
          <w:rFonts w:ascii="Calibri" w:eastAsia="宋体" w:hAnsi="Calibri" w:cs="Times New Roman"/>
          <w:kern w:val="0"/>
          <w:sz w:val="20"/>
          <w:szCs w:val="20"/>
          <w:lang w:eastAsia="zh-Hans"/>
        </w:rPr>
      </w:pPr>
      <w:r w:rsidRPr="00591CA9">
        <w:rPr>
          <w:rFonts w:ascii="Calibri" w:eastAsia="宋体" w:hAnsi="Calibri" w:cs="Times New Roman"/>
          <w:b/>
          <w:kern w:val="0"/>
          <w:sz w:val="28"/>
          <w:szCs w:val="20"/>
          <w:lang w:eastAsia="zh-Hans"/>
        </w:rPr>
        <w:t>3.2</w:t>
      </w:r>
      <w:r w:rsidRPr="00591CA9">
        <w:rPr>
          <w:rFonts w:ascii="Calibri" w:eastAsia="宋体" w:hAnsi="Calibri" w:cs="Times New Roman"/>
          <w:b/>
          <w:kern w:val="0"/>
          <w:sz w:val="28"/>
          <w:szCs w:val="20"/>
          <w:lang w:eastAsia="zh-Hans"/>
        </w:rPr>
        <w:t>、服务内容及服务要求</w:t>
      </w:r>
    </w:p>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3.2.1</w:t>
      </w:r>
      <w:r w:rsidRPr="00591CA9">
        <w:rPr>
          <w:rFonts w:ascii="Calibri" w:eastAsia="宋体" w:hAnsi="Calibri" w:cs="Times New Roman"/>
          <w:b/>
          <w:kern w:val="0"/>
          <w:sz w:val="24"/>
          <w:szCs w:val="20"/>
          <w:lang w:eastAsia="zh-Hans"/>
        </w:rPr>
        <w:t>服务内容</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bookmarkStart w:id="0" w:name="_GoBack"/>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采购包预算金额（元）</w:t>
      </w:r>
      <w:r w:rsidRPr="00591CA9">
        <w:rPr>
          <w:rFonts w:ascii="Calibri" w:eastAsia="宋体" w:hAnsi="Calibri" w:cs="Times New Roman"/>
          <w:kern w:val="0"/>
          <w:sz w:val="20"/>
          <w:szCs w:val="20"/>
          <w:lang w:eastAsia="zh-Hans"/>
        </w:rPr>
        <w:t>: 450,000.00</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采购包最高限价（元）</w:t>
      </w:r>
      <w:r w:rsidRPr="00591CA9">
        <w:rPr>
          <w:rFonts w:ascii="Calibri" w:eastAsia="宋体" w:hAnsi="Calibri" w:cs="Times New Roman"/>
          <w:kern w:val="0"/>
          <w:sz w:val="20"/>
          <w:szCs w:val="20"/>
          <w:lang w:eastAsia="zh-Hans"/>
        </w:rPr>
        <w:t>: 436,000.00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1271"/>
        <w:gridCol w:w="848"/>
        <w:gridCol w:w="1356"/>
        <w:gridCol w:w="678"/>
        <w:gridCol w:w="678"/>
        <w:gridCol w:w="593"/>
        <w:gridCol w:w="678"/>
        <w:gridCol w:w="678"/>
        <w:gridCol w:w="848"/>
      </w:tblGrid>
      <w:tr w:rsidR="00591CA9" w:rsidRPr="00591CA9" w:rsidTr="003C42E5">
        <w:tc>
          <w:tcPr>
            <w:tcW w:w="678" w:type="dxa"/>
          </w:tcPr>
          <w:bookmarkEnd w:id="0"/>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序号</w:t>
            </w:r>
          </w:p>
        </w:tc>
        <w:tc>
          <w:tcPr>
            <w:tcW w:w="1271"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标的名称</w:t>
            </w:r>
          </w:p>
        </w:tc>
        <w:tc>
          <w:tcPr>
            <w:tcW w:w="84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数量</w:t>
            </w:r>
          </w:p>
        </w:tc>
        <w:tc>
          <w:tcPr>
            <w:tcW w:w="1356"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标的金额</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（元）</w:t>
            </w:r>
          </w:p>
        </w:tc>
        <w:tc>
          <w:tcPr>
            <w:tcW w:w="67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计量单位</w:t>
            </w:r>
          </w:p>
        </w:tc>
        <w:tc>
          <w:tcPr>
            <w:tcW w:w="67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所属行业</w:t>
            </w:r>
          </w:p>
        </w:tc>
        <w:tc>
          <w:tcPr>
            <w:tcW w:w="593"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是否涉及核心产品</w:t>
            </w:r>
          </w:p>
        </w:tc>
        <w:tc>
          <w:tcPr>
            <w:tcW w:w="67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是否涉及采购进口产品</w:t>
            </w:r>
          </w:p>
        </w:tc>
        <w:tc>
          <w:tcPr>
            <w:tcW w:w="67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是否涉及采购节能产品</w:t>
            </w:r>
          </w:p>
        </w:tc>
        <w:tc>
          <w:tcPr>
            <w:tcW w:w="84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是否涉及采购环境标志产品</w:t>
            </w:r>
          </w:p>
        </w:tc>
      </w:tr>
      <w:tr w:rsidR="00591CA9" w:rsidRPr="00591CA9" w:rsidTr="003C42E5">
        <w:tc>
          <w:tcPr>
            <w:tcW w:w="67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1</w:t>
            </w:r>
          </w:p>
        </w:tc>
        <w:tc>
          <w:tcPr>
            <w:tcW w:w="1271"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成都市双流区</w:t>
            </w:r>
            <w:r w:rsidRPr="00591CA9">
              <w:rPr>
                <w:rFonts w:ascii="Calibri" w:eastAsia="宋体" w:hAnsi="Calibri" w:cs="Times New Roman"/>
                <w:kern w:val="0"/>
                <w:sz w:val="20"/>
                <w:szCs w:val="20"/>
                <w:lang w:eastAsia="zh-Hans"/>
              </w:rPr>
              <w:t>2024</w:t>
            </w:r>
            <w:r w:rsidRPr="00591CA9">
              <w:rPr>
                <w:rFonts w:ascii="Calibri" w:eastAsia="宋体" w:hAnsi="Calibri" w:cs="Times New Roman"/>
                <w:kern w:val="0"/>
                <w:sz w:val="20"/>
                <w:szCs w:val="20"/>
                <w:lang w:eastAsia="zh-Hans"/>
              </w:rPr>
              <w:t>年病媒生物防制服务</w:t>
            </w:r>
          </w:p>
        </w:tc>
        <w:tc>
          <w:tcPr>
            <w:tcW w:w="848" w:type="dxa"/>
          </w:tcPr>
          <w:p w:rsidR="00591CA9" w:rsidRPr="00591CA9" w:rsidRDefault="00591CA9" w:rsidP="00591CA9">
            <w:pPr>
              <w:widowControl/>
              <w:jc w:val="righ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1.00</w:t>
            </w:r>
          </w:p>
        </w:tc>
        <w:tc>
          <w:tcPr>
            <w:tcW w:w="1356" w:type="dxa"/>
          </w:tcPr>
          <w:p w:rsidR="00591CA9" w:rsidRPr="00591CA9" w:rsidRDefault="00591CA9" w:rsidP="00591CA9">
            <w:pPr>
              <w:widowControl/>
              <w:jc w:val="righ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436,000.00</w:t>
            </w:r>
          </w:p>
        </w:tc>
        <w:tc>
          <w:tcPr>
            <w:tcW w:w="67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项</w:t>
            </w:r>
          </w:p>
        </w:tc>
        <w:tc>
          <w:tcPr>
            <w:tcW w:w="67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其他未列明行业</w:t>
            </w:r>
          </w:p>
        </w:tc>
        <w:tc>
          <w:tcPr>
            <w:tcW w:w="593"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否</w:t>
            </w:r>
          </w:p>
        </w:tc>
        <w:tc>
          <w:tcPr>
            <w:tcW w:w="67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否</w:t>
            </w:r>
          </w:p>
        </w:tc>
        <w:tc>
          <w:tcPr>
            <w:tcW w:w="67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否</w:t>
            </w:r>
          </w:p>
        </w:tc>
        <w:tc>
          <w:tcPr>
            <w:tcW w:w="848"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否</w:t>
            </w:r>
          </w:p>
        </w:tc>
      </w:tr>
    </w:tbl>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3.2.2</w:t>
      </w:r>
      <w:r w:rsidRPr="00591CA9">
        <w:rPr>
          <w:rFonts w:ascii="Calibri" w:eastAsia="宋体" w:hAnsi="Calibri" w:cs="Times New Roman"/>
          <w:b/>
          <w:kern w:val="0"/>
          <w:sz w:val="24"/>
          <w:szCs w:val="20"/>
          <w:lang w:eastAsia="zh-Hans"/>
        </w:rPr>
        <w:t>服务要求</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标的名称：成都市双流区</w:t>
      </w:r>
      <w:r w:rsidRPr="00591CA9">
        <w:rPr>
          <w:rFonts w:ascii="Calibri" w:eastAsia="宋体" w:hAnsi="Calibri" w:cs="Times New Roman"/>
          <w:kern w:val="0"/>
          <w:sz w:val="20"/>
          <w:szCs w:val="20"/>
          <w:lang w:eastAsia="zh-Hans"/>
        </w:rPr>
        <w:t>2024</w:t>
      </w:r>
      <w:r w:rsidRPr="00591CA9">
        <w:rPr>
          <w:rFonts w:ascii="Calibri" w:eastAsia="宋体" w:hAnsi="Calibri" w:cs="Times New Roman"/>
          <w:kern w:val="0"/>
          <w:sz w:val="20"/>
          <w:szCs w:val="20"/>
          <w:lang w:eastAsia="zh-Hans"/>
        </w:rPr>
        <w:t>年病媒生物防制服务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360"/>
        <w:gridCol w:w="2360"/>
        <w:gridCol w:w="3586"/>
      </w:tblGrid>
      <w:tr w:rsidR="00591CA9" w:rsidRPr="00591CA9" w:rsidTr="003C42E5">
        <w:tc>
          <w:tcPr>
            <w:tcW w:w="2769"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参数性质</w:t>
            </w:r>
          </w:p>
        </w:tc>
        <w:tc>
          <w:tcPr>
            <w:tcW w:w="2769"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序号</w:t>
            </w:r>
          </w:p>
        </w:tc>
        <w:tc>
          <w:tcPr>
            <w:tcW w:w="2769"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技术参数与性能指标</w:t>
            </w:r>
          </w:p>
        </w:tc>
      </w:tr>
      <w:tr w:rsidR="00591CA9" w:rsidRPr="00591CA9" w:rsidTr="003C42E5">
        <w:tc>
          <w:tcPr>
            <w:tcW w:w="2769" w:type="dxa"/>
          </w:tcPr>
          <w:p w:rsidR="00591CA9" w:rsidRPr="00591CA9" w:rsidRDefault="00591CA9" w:rsidP="00591CA9">
            <w:pPr>
              <w:rPr>
                <w:rFonts w:ascii="Calibri" w:eastAsia="宋体" w:hAnsi="Calibri" w:cs="Times New Roman"/>
                <w:szCs w:val="24"/>
              </w:rPr>
            </w:pPr>
          </w:p>
        </w:tc>
        <w:tc>
          <w:tcPr>
            <w:tcW w:w="2769" w:type="dxa"/>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1</w:t>
            </w:r>
          </w:p>
        </w:tc>
        <w:tc>
          <w:tcPr>
            <w:tcW w:w="2769" w:type="dxa"/>
          </w:tcPr>
          <w:p w:rsidR="00591CA9" w:rsidRPr="00591CA9" w:rsidRDefault="00591CA9" w:rsidP="00591CA9">
            <w:pPr>
              <w:widowControl/>
              <w:ind w:firstLine="419"/>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★（一）服务内容</w:t>
            </w:r>
          </w:p>
          <w:tbl>
            <w:tblPr>
              <w:tblW w:w="0" w:type="auto"/>
              <w:tblInd w:w="120"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750"/>
              <w:gridCol w:w="1824"/>
              <w:gridCol w:w="450"/>
            </w:tblGrid>
            <w:tr w:rsidR="00591CA9" w:rsidRPr="00591CA9" w:rsidTr="003C42E5">
              <w:tc>
                <w:tcPr>
                  <w:tcW w:w="2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序号</w:t>
                  </w:r>
                </w:p>
              </w:tc>
              <w:tc>
                <w:tcPr>
                  <w:tcW w:w="1824"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ind w:firstLine="420"/>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服务内容</w:t>
                  </w:r>
                </w:p>
              </w:tc>
              <w:tc>
                <w:tcPr>
                  <w:tcW w:w="44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备注</w:t>
                  </w:r>
                </w:p>
              </w:tc>
            </w:tr>
            <w:tr w:rsidR="00591CA9" w:rsidRPr="00591CA9" w:rsidTr="003C42E5">
              <w:tc>
                <w:tcPr>
                  <w:tcW w:w="28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w:t>
                  </w:r>
                </w:p>
              </w:tc>
              <w:tc>
                <w:tcPr>
                  <w:tcW w:w="182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双流主城区以灭鼠、灭蝇、灭</w:t>
                  </w:r>
                  <w:r w:rsidRPr="00591CA9">
                    <w:rPr>
                      <w:rFonts w:ascii="仿宋" w:eastAsia="仿宋" w:hAnsi="仿宋" w:cs="仿宋"/>
                      <w:kern w:val="0"/>
                      <w:sz w:val="24"/>
                      <w:szCs w:val="20"/>
                      <w:lang w:eastAsia="zh-Hans"/>
                    </w:rPr>
                    <w:lastRenderedPageBreak/>
                    <w:t>蚊、灭蟑螂为重点的灭害服务</w:t>
                  </w:r>
                </w:p>
              </w:tc>
              <w:tc>
                <w:tcPr>
                  <w:tcW w:w="4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ind w:left="2640"/>
                    <w:rPr>
                      <w:rFonts w:ascii="Calibri" w:eastAsia="宋体" w:hAnsi="Calibri" w:cs="Times New Roman"/>
                      <w:kern w:val="0"/>
                      <w:sz w:val="20"/>
                      <w:szCs w:val="20"/>
                      <w:lang w:eastAsia="zh-Hans"/>
                    </w:rPr>
                  </w:pPr>
                </w:p>
              </w:tc>
            </w:tr>
            <w:tr w:rsidR="00591CA9" w:rsidRPr="00591CA9" w:rsidTr="003C42E5">
              <w:tc>
                <w:tcPr>
                  <w:tcW w:w="28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lastRenderedPageBreak/>
                    <w:t>2</w:t>
                  </w:r>
                </w:p>
              </w:tc>
              <w:tc>
                <w:tcPr>
                  <w:tcW w:w="182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双流区病媒生物防制点位防制效果监测服务</w:t>
                  </w:r>
                </w:p>
              </w:tc>
              <w:tc>
                <w:tcPr>
                  <w:tcW w:w="4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ind w:left="2640"/>
                    <w:rPr>
                      <w:rFonts w:ascii="Calibri" w:eastAsia="宋体" w:hAnsi="Calibri" w:cs="Times New Roman"/>
                      <w:kern w:val="0"/>
                      <w:sz w:val="20"/>
                      <w:szCs w:val="20"/>
                      <w:lang w:eastAsia="zh-Hans"/>
                    </w:rPr>
                  </w:pPr>
                </w:p>
              </w:tc>
            </w:tr>
            <w:tr w:rsidR="00591CA9" w:rsidRPr="00591CA9" w:rsidTr="003C42E5">
              <w:tc>
                <w:tcPr>
                  <w:tcW w:w="28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w:t>
                  </w:r>
                </w:p>
              </w:tc>
              <w:tc>
                <w:tcPr>
                  <w:tcW w:w="182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“无蚊公园”主题公园打造服务</w:t>
                  </w:r>
                </w:p>
              </w:tc>
              <w:tc>
                <w:tcPr>
                  <w:tcW w:w="4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ind w:left="2640"/>
                    <w:rPr>
                      <w:rFonts w:ascii="Calibri" w:eastAsia="宋体" w:hAnsi="Calibri" w:cs="Times New Roman"/>
                      <w:kern w:val="0"/>
                      <w:sz w:val="20"/>
                      <w:szCs w:val="20"/>
                      <w:lang w:eastAsia="zh-Hans"/>
                    </w:rPr>
                  </w:pPr>
                </w:p>
              </w:tc>
            </w:tr>
          </w:tbl>
          <w:p w:rsidR="00591CA9" w:rsidRPr="00591CA9" w:rsidRDefault="00591CA9" w:rsidP="00591CA9">
            <w:pPr>
              <w:widowControl/>
              <w:ind w:firstLine="419"/>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★（二）服务范围</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1、双流主城区以灭鼠、灭蝇、灭蚊、灭蟑螂为重点的灭害服务范围</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双流主城区东至大件路，西、南、北至双流绕城（双楠路）以内的7k㎡，其中建城区东升街道有23个社区 （白鹤社区、广都社区、花月街社区、龙桥社区、普贤社区、三义桥社区、双巷社区、棠湖社区、五洞桥社区、城塔社区、接待寺社区、葛陌社区、迎春桥社区、芦蒿社区、紫东阁社区、长兴社区、丰乐社区、清泰社区、双巷社区、永乐社区、永福社区、三里坝社区、花园社区）。</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（1）公共区域：城市街道（人行道）、绿化带、公共绿地、公园、广场、边坡两侧、城中村、城乡结合部、待建工地、闲置土地、公路建成区内两边公共地带、居民小区、农贸市场，约100万㎡。</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（2）八小行业：对小餐饮店、小食品加工作坊、小副食店、小洗浴场所、小美容美发厅、小歌舞厅、小旅馆、小网吧等除四害提供技术指导。</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（3）市政设施：下水道、阴沟、窖井、排洪沟、过街地下通道等。</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（4）环卫设施：公厕、垃圾箱、垃圾池、垃圾中转站、垃圾暂存点等。</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lastRenderedPageBreak/>
              <w:t>（5）农贸市场（大市场、城西市场、丰乐市场、龙桥市场）灭害工作，并对东升街道14个农贸市场除“四害”工作提供技术指导。</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（6）根据工作需要完成区爱卫健教中心临时交办的灭害任务。</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（7）供应商需提供固定电话以方便为相关镇（街）、部门提供电话技术指导。</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（8）成交供应商要按照上述要求做好每次消杀作业记录并把相关资料报送区爱卫健教中心留存。</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2、双流区病媒生物防制点位效果监测范围</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每年对双流区病媒生物防制点位实施2次防制效果监测，防制点位以采购方指定区域为准（原则上每年不超过20个）。2024年防制点位为：东升街道翰林风华小区、东升街道欧城花园（三强东路一段49号）、东升街道川网国际花园、东升街道优品时代小区、东升街道川林家园（清泰路二段9号）、九江街道香博城小区、九江街道金河绿洲B区、东升街道东升园市场（三强西路138号）、东升街道锦城川喜鱼稻田蛙（三强东路二段17号）、成都市双流区妇幼保健院、怡心街道公兴社区卫生服务中心。</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3、“无蚊公园”主题公园打造服务范围：双流区中心公园芙蓉海（紧邻航鹰西路段）约10万平米重点区域。</w:t>
            </w:r>
          </w:p>
          <w:p w:rsidR="00591CA9" w:rsidRPr="00591CA9" w:rsidRDefault="00591CA9" w:rsidP="00591CA9">
            <w:pPr>
              <w:widowControl/>
              <w:ind w:firstLine="480"/>
              <w:rPr>
                <w:rFonts w:ascii="Calibri" w:eastAsia="宋体" w:hAnsi="Calibri" w:cs="Times New Roman"/>
                <w:kern w:val="0"/>
                <w:sz w:val="20"/>
                <w:szCs w:val="20"/>
                <w:lang w:eastAsia="zh-Hans"/>
              </w:rPr>
            </w:pPr>
          </w:p>
          <w:p w:rsidR="00591CA9" w:rsidRPr="00591CA9" w:rsidRDefault="00591CA9" w:rsidP="00591CA9">
            <w:pPr>
              <w:widowControl/>
              <w:ind w:firstLine="419"/>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（三）服务要求</w:t>
            </w:r>
          </w:p>
          <w:p w:rsidR="00591CA9" w:rsidRPr="00591CA9" w:rsidRDefault="00591CA9" w:rsidP="00591CA9">
            <w:pPr>
              <w:widowControl/>
              <w:ind w:firstLine="482"/>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1、双流主城区以灭鼠、灭蝇、灭蚊、灭蟑螂为重点的灭害服务</w:t>
            </w:r>
          </w:p>
          <w:p w:rsidR="00591CA9" w:rsidRPr="00591CA9" w:rsidRDefault="00591CA9" w:rsidP="00591CA9">
            <w:pPr>
              <w:widowControl/>
              <w:ind w:firstLine="482"/>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（1）基本要求</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lastRenderedPageBreak/>
              <w:t>①灭鼠：分别在2024年、2025年、2026年的6月份、9—10月份，2025年、2026年、2027年的春季3—5月份，在2024年、2025年、2026年的10月和2025年、2026年、2027年的3月期间集中投放毒饵，后期在服务时段期间每月开展一次查漏补投，并补充饵料，雨天顺延。对服务范围内所有的老旧院落、街道、公共绿地、广场、河道沟渠两岸、雨水地漏排水口等老鼠活动栖息环境开展灭鼠服务。</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②灭蚊、蝇：分别在2024年、2025年、2026年的6月—11月，2025年、2026年、2027年的3-5月，采用滞留或空间喷洒法，对服务范围内所有的老旧院落环境、公共绿地、广场、公共厕所外环境、垃圾收集存放点等蚊蝇孳生环境,每月各开展灭蚊、蝇1次并视防控效果追加消杀工作。分别在2024年、2025年、2026年的7月和8月每月进行2次重点区域灭蚊、灭蝇。在指定的重点区域安装户外诱蚊蝇灯，餐饮区域安装诱蚊蝇灯，加强双流建成区整体防控质量。加强物理防制手段，切实落实灭蚊、灭蝇工作。</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③灭蟑螂：分别在2024年、2025年、2026年的7月、9月、10月，分别在2025年、2026年、2027年的4月、5月，对服务范围内所有的老旧院落，饮食、食品经营场所等周边外环境蟑螂孳生藏匿场所,使用热烟雾机进行杀灭工作1次并视防控效果追加工作。</w:t>
            </w:r>
          </w:p>
          <w:p w:rsidR="00591CA9" w:rsidRPr="00591CA9" w:rsidRDefault="00591CA9" w:rsidP="00591CA9">
            <w:pPr>
              <w:widowControl/>
              <w:ind w:firstLine="482"/>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▲（2）药械配置要求</w:t>
            </w:r>
          </w:p>
          <w:tbl>
            <w:tblPr>
              <w:tblW w:w="0" w:type="auto"/>
              <w:tblInd w:w="120"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50"/>
              <w:gridCol w:w="1170"/>
              <w:gridCol w:w="930"/>
              <w:gridCol w:w="690"/>
            </w:tblGrid>
            <w:tr w:rsidR="00591CA9" w:rsidRPr="00591CA9" w:rsidTr="003C42E5">
              <w:tc>
                <w:tcPr>
                  <w:tcW w:w="1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序号</w:t>
                  </w:r>
                </w:p>
              </w:tc>
              <w:tc>
                <w:tcPr>
                  <w:tcW w:w="63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药械名称</w:t>
                  </w:r>
                </w:p>
              </w:tc>
              <w:tc>
                <w:tcPr>
                  <w:tcW w:w="38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数量</w:t>
                  </w:r>
                </w:p>
              </w:tc>
              <w:tc>
                <w:tcPr>
                  <w:tcW w:w="1364"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备注</w:t>
                  </w:r>
                </w:p>
              </w:tc>
            </w:tr>
            <w:tr w:rsidR="00591CA9" w:rsidRPr="00591CA9" w:rsidTr="003C42E5">
              <w:tc>
                <w:tcPr>
                  <w:tcW w:w="16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lastRenderedPageBreak/>
                    <w:t>1</w:t>
                  </w: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室内诱蚊蝇灯</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100台</w:t>
                  </w:r>
                </w:p>
              </w:tc>
              <w:tc>
                <w:tcPr>
                  <w:tcW w:w="136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 xml:space="preserve"> 餐饮区域</w:t>
                  </w:r>
                </w:p>
              </w:tc>
            </w:tr>
            <w:tr w:rsidR="00591CA9" w:rsidRPr="00591CA9" w:rsidTr="003C42E5">
              <w:tc>
                <w:tcPr>
                  <w:tcW w:w="16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2</w:t>
                  </w: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户外诱蚊蝇灯</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10台</w:t>
                  </w:r>
                </w:p>
              </w:tc>
              <w:tc>
                <w:tcPr>
                  <w:tcW w:w="136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户外重点区域，每台覆盖200-500㎡</w:t>
                  </w:r>
                </w:p>
              </w:tc>
            </w:tr>
            <w:tr w:rsidR="00591CA9" w:rsidRPr="00591CA9" w:rsidTr="003C42E5">
              <w:tc>
                <w:tcPr>
                  <w:tcW w:w="167"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w:t>
                  </w: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乙酰甲胺磷灭蟑饵剂</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6000袋</w:t>
                  </w:r>
                </w:p>
              </w:tc>
              <w:tc>
                <w:tcPr>
                  <w:tcW w:w="136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为东升街道的23个社区配送灭蟑螂药</w:t>
                  </w:r>
                </w:p>
              </w:tc>
            </w:tr>
            <w:tr w:rsidR="00591CA9" w:rsidRPr="00591CA9" w:rsidTr="003C42E5">
              <w:tc>
                <w:tcPr>
                  <w:tcW w:w="167" w:type="dxa"/>
                  <w:vMerge/>
                  <w:tcBorders>
                    <w:top w:val="none" w:sz="4" w:space="0" w:color="000000"/>
                    <w:left w:val="single" w:sz="4" w:space="0" w:color="000000"/>
                    <w:bottom w:val="single" w:sz="4" w:space="0" w:color="000000"/>
                    <w:right w:val="single" w:sz="4" w:space="0" w:color="000000"/>
                  </w:tcBorders>
                </w:tcPr>
                <w:p w:rsidR="00591CA9" w:rsidRPr="00591CA9" w:rsidRDefault="00591CA9" w:rsidP="00591CA9">
                  <w:pPr>
                    <w:rPr>
                      <w:rFonts w:ascii="Calibri" w:eastAsia="宋体" w:hAnsi="Calibri" w:cs="Times New Roman"/>
                      <w:szCs w:val="24"/>
                    </w:rPr>
                  </w:pP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灭蟑胶饵</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500支</w:t>
                  </w:r>
                </w:p>
              </w:tc>
              <w:tc>
                <w:tcPr>
                  <w:tcW w:w="136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为东升街道的23个社区配送灭蟑螂药</w:t>
                  </w:r>
                </w:p>
              </w:tc>
            </w:tr>
            <w:tr w:rsidR="00591CA9" w:rsidRPr="00591CA9" w:rsidTr="003C42E5">
              <w:tc>
                <w:tcPr>
                  <w:tcW w:w="167" w:type="dxa"/>
                  <w:vMerge/>
                  <w:tcBorders>
                    <w:top w:val="none" w:sz="4" w:space="0" w:color="000000"/>
                    <w:left w:val="single" w:sz="4" w:space="0" w:color="000000"/>
                    <w:bottom w:val="single" w:sz="4" w:space="0" w:color="000000"/>
                    <w:right w:val="single" w:sz="4" w:space="0" w:color="000000"/>
                  </w:tcBorders>
                </w:tcPr>
                <w:p w:rsidR="00591CA9" w:rsidRPr="00591CA9" w:rsidRDefault="00591CA9" w:rsidP="00591CA9">
                  <w:pPr>
                    <w:rPr>
                      <w:rFonts w:ascii="Calibri" w:eastAsia="宋体" w:hAnsi="Calibri" w:cs="Times New Roman"/>
                      <w:szCs w:val="24"/>
                    </w:rPr>
                  </w:pP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卫生用似除虫菊脂类杀蟑热雾剂</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4次</w:t>
                  </w:r>
                </w:p>
              </w:tc>
              <w:tc>
                <w:tcPr>
                  <w:tcW w:w="136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w:t>
                  </w:r>
                </w:p>
              </w:tc>
            </w:tr>
            <w:tr w:rsidR="00591CA9" w:rsidRPr="00591CA9" w:rsidTr="003C42E5">
              <w:tc>
                <w:tcPr>
                  <w:tcW w:w="167"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4</w:t>
                  </w: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安装陶瓷毒饵站</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4000个</w:t>
                  </w:r>
                </w:p>
              </w:tc>
              <w:tc>
                <w:tcPr>
                  <w:tcW w:w="136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包括安装、编号、登记造册、维护、</w:t>
                  </w:r>
                  <w:r w:rsidRPr="00591CA9">
                    <w:rPr>
                      <w:rFonts w:ascii="仿宋" w:eastAsia="仿宋" w:hAnsi="仿宋" w:cs="仿宋"/>
                      <w:kern w:val="0"/>
                      <w:sz w:val="24"/>
                      <w:szCs w:val="20"/>
                      <w:lang w:eastAsia="zh-Hans"/>
                    </w:rPr>
                    <w:lastRenderedPageBreak/>
                    <w:t>按需投放灭鼠药，（同时需维护已安装未破损的毒饵盒）</w:t>
                  </w:r>
                </w:p>
              </w:tc>
            </w:tr>
            <w:tr w:rsidR="00591CA9" w:rsidRPr="00591CA9" w:rsidTr="003C42E5">
              <w:tc>
                <w:tcPr>
                  <w:tcW w:w="167" w:type="dxa"/>
                  <w:vMerge/>
                  <w:tcBorders>
                    <w:top w:val="none" w:sz="4" w:space="0" w:color="000000"/>
                    <w:left w:val="single" w:sz="4" w:space="0" w:color="000000"/>
                    <w:bottom w:val="single" w:sz="4" w:space="0" w:color="000000"/>
                    <w:right w:val="single" w:sz="4" w:space="0" w:color="000000"/>
                  </w:tcBorders>
                </w:tcPr>
                <w:p w:rsidR="00591CA9" w:rsidRPr="00591CA9" w:rsidRDefault="00591CA9" w:rsidP="00591CA9">
                  <w:pPr>
                    <w:rPr>
                      <w:rFonts w:ascii="Calibri" w:eastAsia="宋体" w:hAnsi="Calibri" w:cs="Times New Roman"/>
                      <w:szCs w:val="24"/>
                    </w:rPr>
                  </w:pP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毒饵站警示牌</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4000张</w:t>
                  </w:r>
                </w:p>
              </w:tc>
              <w:tc>
                <w:tcPr>
                  <w:tcW w:w="136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供应商需自行设计、制作安装警示牌并对警示牌进行编号、登记造册、维护</w:t>
                  </w:r>
                </w:p>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备注：警示牌内容需经采购人审核通过。</w:t>
                  </w:r>
                </w:p>
              </w:tc>
            </w:tr>
            <w:tr w:rsidR="00591CA9" w:rsidRPr="00591CA9" w:rsidTr="003C42E5">
              <w:tc>
                <w:tcPr>
                  <w:tcW w:w="167" w:type="dxa"/>
                  <w:vMerge/>
                  <w:tcBorders>
                    <w:top w:val="none" w:sz="4" w:space="0" w:color="000000"/>
                    <w:left w:val="single" w:sz="4" w:space="0" w:color="000000"/>
                    <w:bottom w:val="single" w:sz="4" w:space="0" w:color="000000"/>
                    <w:right w:val="single" w:sz="4" w:space="0" w:color="000000"/>
                  </w:tcBorders>
                </w:tcPr>
                <w:p w:rsidR="00591CA9" w:rsidRPr="00591CA9" w:rsidRDefault="00591CA9" w:rsidP="00591CA9">
                  <w:pPr>
                    <w:rPr>
                      <w:rFonts w:ascii="Calibri" w:eastAsia="宋体" w:hAnsi="Calibri" w:cs="Times New Roman"/>
                      <w:szCs w:val="24"/>
                    </w:rPr>
                  </w:pP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灭鼠药（0.005%溴敌隆灭</w:t>
                  </w:r>
                  <w:r w:rsidRPr="00591CA9">
                    <w:rPr>
                      <w:rFonts w:ascii="仿宋" w:eastAsia="仿宋" w:hAnsi="仿宋" w:cs="仿宋"/>
                      <w:kern w:val="0"/>
                      <w:sz w:val="24"/>
                      <w:szCs w:val="20"/>
                      <w:lang w:eastAsia="zh-Hans"/>
                    </w:rPr>
                    <w:lastRenderedPageBreak/>
                    <w:t>鼠毒饵、0.005%溴鼠灵灭鼠毒饵）</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lastRenderedPageBreak/>
                    <w:t>5000KG</w:t>
                  </w:r>
                </w:p>
              </w:tc>
              <w:tc>
                <w:tcPr>
                  <w:tcW w:w="136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按需投放</w:t>
                  </w:r>
                  <w:r w:rsidRPr="00591CA9">
                    <w:rPr>
                      <w:rFonts w:ascii="仿宋" w:eastAsia="仿宋" w:hAnsi="仿宋" w:cs="仿宋"/>
                      <w:kern w:val="0"/>
                      <w:sz w:val="24"/>
                      <w:szCs w:val="20"/>
                      <w:lang w:eastAsia="zh-Hans"/>
                    </w:rPr>
                    <w:lastRenderedPageBreak/>
                    <w:t>灭鼠药。</w:t>
                  </w:r>
                </w:p>
              </w:tc>
            </w:tr>
            <w:tr w:rsidR="00591CA9" w:rsidRPr="00591CA9" w:rsidTr="003C42E5">
              <w:tc>
                <w:tcPr>
                  <w:tcW w:w="16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lastRenderedPageBreak/>
                    <w:t>5</w:t>
                  </w: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灭蚊药物</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800KG</w:t>
                  </w:r>
                </w:p>
              </w:tc>
              <w:tc>
                <w:tcPr>
                  <w:tcW w:w="1364"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灭蚊蝇以高效氟氰菊酯悬浮剂、氯氟氰菊酯可湿性粉剂为主进行灭杀喷洒。</w:t>
                  </w:r>
                </w:p>
              </w:tc>
            </w:tr>
            <w:tr w:rsidR="00591CA9" w:rsidRPr="00591CA9" w:rsidTr="003C42E5">
              <w:tc>
                <w:tcPr>
                  <w:tcW w:w="16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6</w:t>
                  </w:r>
                </w:p>
              </w:tc>
              <w:tc>
                <w:tcPr>
                  <w:tcW w:w="63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灭蝇药物</w:t>
                  </w:r>
                </w:p>
              </w:tc>
              <w:tc>
                <w:tcPr>
                  <w:tcW w:w="3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600KG</w:t>
                  </w:r>
                </w:p>
              </w:tc>
              <w:tc>
                <w:tcPr>
                  <w:tcW w:w="1364" w:type="dxa"/>
                  <w:vMerge/>
                  <w:tcBorders>
                    <w:top w:val="none" w:sz="4" w:space="0" w:color="000000"/>
                    <w:left w:val="none" w:sz="4" w:space="0" w:color="000000"/>
                    <w:bottom w:val="single" w:sz="4" w:space="0" w:color="000000"/>
                    <w:right w:val="single" w:sz="4" w:space="0" w:color="000000"/>
                  </w:tcBorders>
                </w:tcPr>
                <w:p w:rsidR="00591CA9" w:rsidRPr="00591CA9" w:rsidRDefault="00591CA9" w:rsidP="00591CA9">
                  <w:pPr>
                    <w:rPr>
                      <w:rFonts w:ascii="Calibri" w:eastAsia="宋体" w:hAnsi="Calibri" w:cs="Times New Roman"/>
                      <w:szCs w:val="24"/>
                    </w:rPr>
                  </w:pPr>
                </w:p>
              </w:tc>
            </w:tr>
          </w:tbl>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备注：供应商需在响应文件中列明针对本项目所提供药品（灭鼠、灭蝇、灭蚊、灭蟑螂）的清单，包含以下内容：生产厂家、品牌型号、有效成分、剂型（饵剂或是粉剂）、使用浓度、使用方法（投饵、堆施、撒施、喷洒、滞留、空间喷雾等方式）、特点（注明微毒或是低毒）。</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（3）其他要求</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本项目需承担在合同期间灾害、突发公共卫生事件应急消杀除害任务。（需提供承诺函）</w:t>
            </w:r>
          </w:p>
          <w:p w:rsidR="00591CA9" w:rsidRPr="00591CA9" w:rsidRDefault="00591CA9" w:rsidP="00591CA9">
            <w:pPr>
              <w:widowControl/>
              <w:ind w:firstLine="419"/>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2、双流区病媒生物防制点位防制效果监测服务</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每年对双流区新建设的病媒生物防制点位（病媒生物防制点位类别包含：居民小区、农贸市场、餐饮店、酒店、医院）实施病媒生物防制效果监测服务，点位以区爱卫健教中心指定为准（原则上每年不超过20个）。防制效果监测工作在每年春季消</w:t>
            </w:r>
            <w:r w:rsidRPr="00591CA9">
              <w:rPr>
                <w:rFonts w:ascii="仿宋" w:eastAsia="仿宋" w:hAnsi="仿宋" w:cs="仿宋"/>
                <w:kern w:val="0"/>
                <w:sz w:val="24"/>
                <w:szCs w:val="20"/>
                <w:lang w:eastAsia="zh-Hans"/>
              </w:rPr>
              <w:lastRenderedPageBreak/>
              <w:t>杀服务前后和秋季消杀服务前后分别对蚊、蝇、鼠、蟑螂集中开展2次密度监测，并出具报告。监测方法参照《病媒生物密度控制水平鼠类》（GB/T27770-2011）《病媒生物密度控制水平蚊虫》（GB/T27771-2011）《病媒生物密度控制水平蝇类》（GB/T27772-2011）《病媒生物密度控制水平蜚蠊》（GB/T27773-2011）《病媒生物密度综合管理技术规范城镇》（GB/T27775-2011）等标准（简称国家控制水平标准）规定实施。</w:t>
            </w:r>
          </w:p>
          <w:p w:rsidR="00591CA9" w:rsidRPr="00591CA9" w:rsidRDefault="00591CA9" w:rsidP="00591CA9">
            <w:pPr>
              <w:widowControl/>
              <w:ind w:firstLine="419"/>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3、“无蚊公园”主题公园打造服务</w:t>
            </w:r>
          </w:p>
          <w:p w:rsidR="00591CA9" w:rsidRPr="00591CA9" w:rsidRDefault="00591CA9" w:rsidP="00591CA9">
            <w:pPr>
              <w:widowControl/>
              <w:ind w:firstLine="419"/>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（1）基本要求</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采取物理防制和化学防制手段降低双流区中心公园重点区域蚊密度，并实施蚊密度监测，布放诱蚊诱卵器并分别在2024年、2025年、2026年的6—11月和2025年、2026年、2027年的4—5月实施蚊密度监测。</w:t>
            </w:r>
          </w:p>
          <w:p w:rsidR="00591CA9" w:rsidRPr="00591CA9" w:rsidRDefault="00591CA9" w:rsidP="00591CA9">
            <w:pPr>
              <w:widowControl/>
              <w:ind w:firstLine="419"/>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（2）服务要求</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①蚊蚴监测：</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采用诱蚊诱卵器：密度指标为诱蚊诱卵指数，2024年、2025年、2026年6-11月，2025年、2026年、2027年4—5月期间，每周监测1次。按照25-30米放置一个诱蚊诱卵器，连续放置四天，第四天检查诱蚊诱卵器收集到的成虫及蚊卵，记录监测数据，并记录调查期间主要气象数据（气温，风力）。诱蚊诱卵指数统计：诱蚊诱卵指数＝阳性诱蚊诱卵器数/回收诱蚊诱卵器数×100</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路径指数法：2024年、2025年、2026年6-11月和2025年、2026年、2027年4—5月期间，每周监测1次。携带计步器沿监测路径行走，记录沿途发现的蚊</w:t>
            </w:r>
            <w:r w:rsidRPr="00591CA9">
              <w:rPr>
                <w:rFonts w:ascii="仿宋" w:eastAsia="仿宋" w:hAnsi="仿宋" w:cs="仿宋"/>
                <w:kern w:val="0"/>
                <w:sz w:val="24"/>
                <w:szCs w:val="20"/>
                <w:lang w:eastAsia="zh-Hans"/>
              </w:rPr>
              <w:lastRenderedPageBreak/>
              <w:t>蚴（蛹）阳性积水处数，结束后记录路径长度。记录单位为：处/1000米。记录监测数据。</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②成蚊监测：</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人诱停落法：密度指标为只/人·小时，2024年、2025年、2026年6-11月和2025年、2026年、2027年4—5月期间，每周监测1次。每个监测点在白天成蚊活动高峰时段，监测者暴露一侧小腿，静止不动，记录 30 分钟内停落在小腿上并用电动吸蚊器捕获成蚊数量，记录监测数据，并记录调查期间主要气象数据（气温，风力）。</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③蚊蚴灭杀</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在蚊蚴孳生前期，及时清理各种小型积水，破坏蚊蚴孳生环境；对于不能清理的景观池水体等中型水体、湖泊等大型水体，可投放昆虫调节剂类杀虫剂灭杀蚊蚴；在出现蚊蚴孳生的水体中，投放昆虫生长调节剂类杀虫剂灭杀蚊蚴；对于不能清理且不能投放化学药物的水体，饲养鱼类，采取生物防制的方式灭杀蚊蚴。</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④成蚊快速灭杀</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选取针对本地蚊类抗药性小击倒性强的灭蚊药物，对蚊类进行快速灭杀。</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根据气象预报，室外喷药选择避开雨天，同时，要避免因下雨而造成药物进入河流水体，造成鱼类水生动物的死亡。</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（3）灭蚊服务点位要求：根据蚊密度情况在双流区中心公园至少布置一个点位开展灭蚊工作。</w:t>
            </w:r>
          </w:p>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▲（4）药械配置要求</w:t>
            </w:r>
          </w:p>
          <w:tbl>
            <w:tblPr>
              <w:tblW w:w="0" w:type="auto"/>
              <w:tblInd w:w="120"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50"/>
              <w:gridCol w:w="545"/>
              <w:gridCol w:w="810"/>
              <w:gridCol w:w="1356"/>
            </w:tblGrid>
            <w:tr w:rsidR="00591CA9" w:rsidRPr="00591CA9" w:rsidTr="003C42E5">
              <w:tc>
                <w:tcPr>
                  <w:tcW w:w="3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序号</w:t>
                  </w:r>
                </w:p>
              </w:tc>
              <w:tc>
                <w:tcPr>
                  <w:tcW w:w="54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药械名称</w:t>
                  </w:r>
                </w:p>
              </w:tc>
              <w:tc>
                <w:tcPr>
                  <w:tcW w:w="34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数量</w:t>
                  </w:r>
                </w:p>
              </w:tc>
              <w:tc>
                <w:tcPr>
                  <w:tcW w:w="135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备注</w:t>
                  </w:r>
                </w:p>
              </w:tc>
            </w:tr>
            <w:tr w:rsidR="00591CA9" w:rsidRPr="00591CA9" w:rsidTr="003C42E5">
              <w:tc>
                <w:tcPr>
                  <w:tcW w:w="30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lastRenderedPageBreak/>
                    <w:t>1</w:t>
                  </w:r>
                </w:p>
              </w:tc>
              <w:tc>
                <w:tcPr>
                  <w:tcW w:w="5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诱蚊诱卵器</w:t>
                  </w:r>
                </w:p>
              </w:tc>
              <w:tc>
                <w:tcPr>
                  <w:tcW w:w="3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300个</w:t>
                  </w:r>
                </w:p>
              </w:tc>
              <w:tc>
                <w:tcPr>
                  <w:tcW w:w="13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打造双流区“无蚊公园”，在双流区中心公园重点区域布放。</w:t>
                  </w:r>
                </w:p>
              </w:tc>
            </w:tr>
            <w:tr w:rsidR="00591CA9" w:rsidRPr="00591CA9" w:rsidTr="003C42E5">
              <w:tc>
                <w:tcPr>
                  <w:tcW w:w="30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2</w:t>
                  </w:r>
                </w:p>
              </w:tc>
              <w:tc>
                <w:tcPr>
                  <w:tcW w:w="5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灭孑孓药物</w:t>
                  </w:r>
                </w:p>
              </w:tc>
              <w:tc>
                <w:tcPr>
                  <w:tcW w:w="3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100kg</w:t>
                  </w:r>
                </w:p>
              </w:tc>
              <w:tc>
                <w:tcPr>
                  <w:tcW w:w="13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在双流区中心公园使用。</w:t>
                  </w:r>
                </w:p>
              </w:tc>
            </w:tr>
            <w:tr w:rsidR="00591CA9" w:rsidRPr="00591CA9" w:rsidTr="003C42E5">
              <w:tc>
                <w:tcPr>
                  <w:tcW w:w="30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w:t>
                  </w:r>
                </w:p>
              </w:tc>
              <w:tc>
                <w:tcPr>
                  <w:tcW w:w="5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灭成蚊药物</w:t>
                  </w:r>
                </w:p>
              </w:tc>
              <w:tc>
                <w:tcPr>
                  <w:tcW w:w="3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200kg</w:t>
                  </w:r>
                </w:p>
              </w:tc>
              <w:tc>
                <w:tcPr>
                  <w:tcW w:w="13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在双流区中心公园使用。</w:t>
                  </w:r>
                </w:p>
              </w:tc>
            </w:tr>
          </w:tbl>
          <w:p w:rsidR="00591CA9" w:rsidRPr="00591CA9" w:rsidRDefault="00591CA9" w:rsidP="00591CA9">
            <w:pPr>
              <w:widowControl/>
              <w:ind w:firstLine="482"/>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备注：</w:t>
            </w:r>
            <w:r w:rsidRPr="00591CA9">
              <w:rPr>
                <w:rFonts w:ascii="仿宋" w:eastAsia="仿宋" w:hAnsi="仿宋" w:cs="仿宋"/>
                <w:kern w:val="0"/>
                <w:sz w:val="24"/>
                <w:szCs w:val="20"/>
                <w:lang w:eastAsia="zh-Hans"/>
              </w:rPr>
              <w:t>供应商需在响应文件中列明针对本项目所提供药品（灭孑孓药物及灭成蚊药物）的清单，包含以下内容：生产厂家、品牌型号、有效成分、剂型（饵剂或是粉剂）、使用浓度、使用方法（撒施、投放、喷洒等方式）、特点（注明微毒或是低毒）。供应商需在响应文件中列明针对本项目所提供太阳能户外灭蚊蝇灯的生产厂家、品牌型号、外观造型。</w:t>
            </w:r>
          </w:p>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★（四）施药环境及安全要求</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成交供应商使用的灭鼠、灭蚊、灭蝇、灭蟑螂药物，应按使用说明规范操作，严禁使用国家禁用杀鼠剂以及高毒、剧毒的卫生杀虫剂（含复配产品），在限制条件下使用有机磷制剂，禁止自行配制和使用杀鼠剂、卫生杀虫剂。投放、喷洒灭鼠杀虫药物的过程中，要抓好用药安全，进行安全告知，落实安全防范措施，切实防止因工作失误造成的食品污染和中毒事故发生，并做好应急预案，如有中毒发生及时响应，</w:t>
            </w:r>
            <w:r w:rsidRPr="00591CA9">
              <w:rPr>
                <w:rFonts w:ascii="仿宋" w:eastAsia="仿宋" w:hAnsi="仿宋" w:cs="仿宋"/>
                <w:kern w:val="0"/>
                <w:sz w:val="24"/>
                <w:szCs w:val="20"/>
                <w:lang w:eastAsia="zh-Hans"/>
              </w:rPr>
              <w:lastRenderedPageBreak/>
              <w:t>用药安全所涉及到的相关赔偿责任均由供应商全权负责承担。</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灭鼠：对服务范围内的老旧院落、街道、公共绿地、广场、河道沟渠两岸、雨水地漏排水口等老鼠活动栖息环境,开展堵塞鼠洞和投放鼠药工作，并用泥土进行填堵;对约定服务范围内地表环境的灭鼠，以0.005%溴敌隆灭鼠毒饵、0.005%溴鼠灵灭鼠毒饵为主；投放20-25克灭鼠毒饵在毒饵盒中或灭鼠站内;对能挂毒饵的雨水地漏排水口内，穿挂1-2串灭鼠蜡块50克（3个），蜡块用铁丝穿连固定悬挂，悬挂高度以老鼠能够取食到为宜)。投放灭鼠毒饵时，设置安全警示标志、张贴灭鼠安全告知的方式，避免误食鼠药中毒事故的发生。</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2.灭鼠盒安装及施药</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①在居民小区楼房后和垃圾房（池）后（较隐蔽处）安装陶瓷毒饵盒，用水泥固定，毒饵盒上应标识“毒饵盒！禁止捡拾或食用！”字样和投放药品的主要成分、特效解药名称、服务公司名称、联系方式，在毒饵盒上方张贴警示标识。</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②数量：安装毒饵站（标准规格24cm*11cm*11cm带挡水板），主要设置在老旧居民小区（院落）和地铁站、客运中心、公厕、垃圾房、城乡结合部等重点单位和重点场所必查窗口单位的隐蔽处，以保证在上述重点场所和单位全覆盖以及持续有效的使用，要求隔10-15米远安装一个灭鼠盒。</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③排污管道（污水、雨水窨井）要求采取悬挂灭鼠毒饵蜡块进行灭鼠，并在保证通畅的前提下，协助防鼠、防蟑螂、防蚊蝇。</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④所有毒饵盒安装后，明确编号、登记造册，并对所有布防</w:t>
            </w:r>
            <w:r w:rsidRPr="00591CA9">
              <w:rPr>
                <w:rFonts w:ascii="仿宋" w:eastAsia="仿宋" w:hAnsi="仿宋" w:cs="仿宋"/>
                <w:kern w:val="0"/>
                <w:sz w:val="24"/>
                <w:szCs w:val="20"/>
                <w:lang w:eastAsia="zh-Hans"/>
              </w:rPr>
              <w:lastRenderedPageBreak/>
              <w:t>固定毒饵站进行电子地图标注，以备日后检查和后期维护。</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⑤供应商需在合同期内，保证毒饵站的正常使用。标识、标牌完整。毒饵站字体掉落或模糊需及时维护，并及时更换毒饵。保证灭鼠工作长期有序的开展。</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灭蚊、蝇：对服务范围内所有的老旧院落环境、公共绿地、广场、公共厕所外环境、垃圾收集存放点、果屑箱、有积水的排水沟以及雨水地漏、排水口等蚊蝇孳生环境,开展灭蚊蝇消杀工作（使用卫生用似除虫菊脂类杀虫剂）。施药人员在操作过程中按安全操作规范进行，做好个人安全防护，防止药液经呼吸道和皮肤吸入中毒事故和对食品、饮用水、鱼池造成污染。</w:t>
            </w:r>
          </w:p>
          <w:p w:rsidR="00591CA9" w:rsidRPr="00591CA9" w:rsidRDefault="00591CA9" w:rsidP="00591CA9">
            <w:pPr>
              <w:widowControl/>
              <w:ind w:firstLine="42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4.灭蟑螂：对服务范围内所有的从事老旧院落，饮食、食品经营场所周边外环境的雨水地漏排水口（下水道），垃圾收集存放点等蟑螂孳生藏匿场所,使用热烟雾机进行杀灭工作（使用卫生用似除虫菊脂类杀蟑热雾剂，直接加入热烟雾机进行喷烟（雾）作业）。使用热烟雾机进行喷烟（雾）作业时，加强管理，远离易燃易爆环境，严防火灾、爆炸等意外事故发生。</w:t>
            </w:r>
          </w:p>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b/>
                <w:kern w:val="0"/>
                <w:sz w:val="24"/>
                <w:szCs w:val="20"/>
                <w:lang w:eastAsia="zh-Hans"/>
              </w:rPr>
              <w:t>▲（五）项目团队人员要求</w:t>
            </w:r>
          </w:p>
          <w:p w:rsidR="00591CA9" w:rsidRPr="00591CA9" w:rsidRDefault="00591CA9" w:rsidP="00591CA9">
            <w:pPr>
              <w:widowControl/>
              <w:ind w:left="90" w:firstLine="240"/>
              <w:jc w:val="left"/>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供应商针对本项目各包至少配备以下人员</w:t>
            </w:r>
          </w:p>
          <w:tbl>
            <w:tblPr>
              <w:tblW w:w="0" w:type="auto"/>
              <w:tblInd w:w="120"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50"/>
              <w:gridCol w:w="450"/>
              <w:gridCol w:w="570"/>
              <w:gridCol w:w="813"/>
              <w:gridCol w:w="957"/>
            </w:tblGrid>
            <w:tr w:rsidR="00591CA9" w:rsidRPr="00591CA9" w:rsidTr="003C42E5">
              <w:tc>
                <w:tcPr>
                  <w:tcW w:w="1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序号</w:t>
                  </w:r>
                </w:p>
              </w:tc>
              <w:tc>
                <w:tcPr>
                  <w:tcW w:w="27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人员</w:t>
                  </w:r>
                </w:p>
              </w:tc>
              <w:tc>
                <w:tcPr>
                  <w:tcW w:w="252"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数量</w:t>
                  </w:r>
                </w:p>
              </w:tc>
              <w:tc>
                <w:tcPr>
                  <w:tcW w:w="84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职责</w:t>
                  </w:r>
                </w:p>
              </w:tc>
              <w:tc>
                <w:tcPr>
                  <w:tcW w:w="1017"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备注</w:t>
                  </w:r>
                </w:p>
              </w:tc>
            </w:tr>
            <w:tr w:rsidR="00591CA9" w:rsidRPr="00591CA9" w:rsidTr="003C42E5">
              <w:tc>
                <w:tcPr>
                  <w:tcW w:w="168"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w:t>
                  </w:r>
                </w:p>
              </w:tc>
              <w:tc>
                <w:tcPr>
                  <w:tcW w:w="2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项目总负责人</w:t>
                  </w:r>
                </w:p>
              </w:tc>
              <w:tc>
                <w:tcPr>
                  <w:tcW w:w="25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w:t>
                  </w:r>
                </w:p>
              </w:tc>
              <w:tc>
                <w:tcPr>
                  <w:tcW w:w="84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总体负责把控项目需求调研、文档整理、</w:t>
                  </w:r>
                  <w:r w:rsidRPr="00591CA9">
                    <w:rPr>
                      <w:rFonts w:ascii="仿宋" w:eastAsia="仿宋" w:hAnsi="仿宋" w:cs="仿宋"/>
                      <w:kern w:val="0"/>
                      <w:sz w:val="24"/>
                      <w:szCs w:val="20"/>
                      <w:lang w:eastAsia="zh-Hans"/>
                    </w:rPr>
                    <w:lastRenderedPageBreak/>
                    <w:t>质量进度、交付及验收等各个环节，以及与采购人等相关单位的沟通协调工作。</w:t>
                  </w:r>
                </w:p>
              </w:tc>
              <w:tc>
                <w:tcPr>
                  <w:tcW w:w="1017"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lastRenderedPageBreak/>
                    <w:t>1、以上人员不得重复。</w:t>
                  </w:r>
                </w:p>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2、需提供实施人员名单、身</w:t>
                  </w:r>
                  <w:r w:rsidRPr="00591CA9">
                    <w:rPr>
                      <w:rFonts w:ascii="仿宋" w:eastAsia="仿宋" w:hAnsi="仿宋" w:cs="仿宋"/>
                      <w:kern w:val="0"/>
                      <w:sz w:val="24"/>
                      <w:szCs w:val="20"/>
                      <w:lang w:eastAsia="zh-Hans"/>
                    </w:rPr>
                    <w:lastRenderedPageBreak/>
                    <w:t>份证复印件、本单位工作证明材料（供应商与实施人员签订的劳动合同或其他在职证明材料）并加盖供应商公章。</w:t>
                  </w:r>
                </w:p>
              </w:tc>
            </w:tr>
            <w:tr w:rsidR="00591CA9" w:rsidRPr="00591CA9" w:rsidTr="003C42E5">
              <w:tc>
                <w:tcPr>
                  <w:tcW w:w="168"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lastRenderedPageBreak/>
                    <w:t>2</w:t>
                  </w:r>
                </w:p>
              </w:tc>
              <w:tc>
                <w:tcPr>
                  <w:tcW w:w="2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作业人员</w:t>
                  </w:r>
                </w:p>
              </w:tc>
              <w:tc>
                <w:tcPr>
                  <w:tcW w:w="25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≥6</w:t>
                  </w:r>
                </w:p>
              </w:tc>
              <w:tc>
                <w:tcPr>
                  <w:tcW w:w="84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负责提供防制、监测服务。</w:t>
                  </w:r>
                </w:p>
              </w:tc>
              <w:tc>
                <w:tcPr>
                  <w:tcW w:w="1017" w:type="dxa"/>
                  <w:vMerge/>
                  <w:tcBorders>
                    <w:top w:val="none" w:sz="4" w:space="0" w:color="000000"/>
                    <w:left w:val="none" w:sz="4" w:space="0" w:color="000000"/>
                    <w:bottom w:val="single" w:sz="4" w:space="0" w:color="000000"/>
                    <w:right w:val="single" w:sz="4" w:space="0" w:color="000000"/>
                  </w:tcBorders>
                </w:tcPr>
                <w:p w:rsidR="00591CA9" w:rsidRPr="00591CA9" w:rsidRDefault="00591CA9" w:rsidP="00591CA9">
                  <w:pPr>
                    <w:rPr>
                      <w:rFonts w:ascii="Calibri" w:eastAsia="宋体" w:hAnsi="Calibri" w:cs="Times New Roman"/>
                      <w:szCs w:val="24"/>
                    </w:rPr>
                  </w:pPr>
                </w:p>
              </w:tc>
            </w:tr>
            <w:tr w:rsidR="00591CA9" w:rsidRPr="00591CA9" w:rsidTr="003C42E5">
              <w:tc>
                <w:tcPr>
                  <w:tcW w:w="168"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3</w:t>
                  </w:r>
                </w:p>
              </w:tc>
              <w:tc>
                <w:tcPr>
                  <w:tcW w:w="27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应急作业人员</w:t>
                  </w:r>
                </w:p>
              </w:tc>
              <w:tc>
                <w:tcPr>
                  <w:tcW w:w="25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jc w:val="center"/>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w:t>
                  </w:r>
                </w:p>
              </w:tc>
              <w:tc>
                <w:tcPr>
                  <w:tcW w:w="84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24小时值守，提供应急保障</w:t>
                  </w:r>
                </w:p>
              </w:tc>
              <w:tc>
                <w:tcPr>
                  <w:tcW w:w="1017" w:type="dxa"/>
                  <w:vMerge/>
                  <w:tcBorders>
                    <w:top w:val="none" w:sz="4" w:space="0" w:color="000000"/>
                    <w:left w:val="none" w:sz="4" w:space="0" w:color="000000"/>
                    <w:bottom w:val="single" w:sz="4" w:space="0" w:color="000000"/>
                    <w:right w:val="single" w:sz="4" w:space="0" w:color="000000"/>
                  </w:tcBorders>
                </w:tcPr>
                <w:p w:rsidR="00591CA9" w:rsidRPr="00591CA9" w:rsidRDefault="00591CA9" w:rsidP="00591CA9">
                  <w:pPr>
                    <w:rPr>
                      <w:rFonts w:ascii="Calibri" w:eastAsia="宋体" w:hAnsi="Calibri" w:cs="Times New Roman"/>
                      <w:szCs w:val="24"/>
                    </w:rPr>
                  </w:pPr>
                </w:p>
              </w:tc>
            </w:tr>
          </w:tbl>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备注：</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供应商需单独提供承诺函并加盖供应商公章，并作为采购合同的一部分。承诺函应包括以下内容：</w:t>
            </w:r>
          </w:p>
          <w:p w:rsidR="00591CA9" w:rsidRPr="00591CA9" w:rsidRDefault="00591CA9" w:rsidP="00591CA9">
            <w:pPr>
              <w:widowControl/>
              <w:ind w:firstLine="480"/>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（1）本项目服务人员实行定岗定人，不得随意更换，如出现不可抗力原因需更换的，必须向采购人提交书面申请，并详细说明更换的原因、替代人员的简历等，经采购人同意后，方可更换。</w:t>
            </w:r>
          </w:p>
          <w:p w:rsidR="00591CA9" w:rsidRPr="00591CA9" w:rsidRDefault="00591CA9" w:rsidP="00591CA9">
            <w:pPr>
              <w:widowControl/>
              <w:rPr>
                <w:rFonts w:ascii="Calibri" w:eastAsia="宋体" w:hAnsi="Calibri" w:cs="Times New Roman"/>
                <w:kern w:val="0"/>
                <w:sz w:val="20"/>
                <w:szCs w:val="20"/>
                <w:lang w:eastAsia="zh-Hans"/>
              </w:rPr>
            </w:pPr>
            <w:r w:rsidRPr="00591CA9">
              <w:rPr>
                <w:rFonts w:ascii="仿宋" w:eastAsia="仿宋" w:hAnsi="仿宋" w:cs="仿宋"/>
                <w:kern w:val="0"/>
                <w:sz w:val="24"/>
                <w:szCs w:val="20"/>
                <w:lang w:eastAsia="zh-Hans"/>
              </w:rPr>
              <w:t>（2）在项目实施过程中接受采购人的监督。</w:t>
            </w:r>
          </w:p>
        </w:tc>
      </w:tr>
    </w:tbl>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lastRenderedPageBreak/>
        <w:t>3.2.3</w:t>
      </w:r>
      <w:r w:rsidRPr="00591CA9">
        <w:rPr>
          <w:rFonts w:ascii="Calibri" w:eastAsia="宋体" w:hAnsi="Calibri" w:cs="Times New Roman"/>
          <w:b/>
          <w:kern w:val="0"/>
          <w:sz w:val="24"/>
          <w:szCs w:val="20"/>
          <w:lang w:eastAsia="zh-Hans"/>
        </w:rPr>
        <w:t>人员配置要求</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lastRenderedPageBreak/>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详见</w:t>
      </w:r>
      <w:r w:rsidRPr="00591CA9">
        <w:rPr>
          <w:rFonts w:ascii="Calibri" w:eastAsia="宋体" w:hAnsi="Calibri" w:cs="Times New Roman"/>
          <w:kern w:val="0"/>
          <w:sz w:val="20"/>
          <w:szCs w:val="20"/>
          <w:lang w:eastAsia="zh-Hans"/>
        </w:rPr>
        <w:t>3.2.2</w:t>
      </w:r>
      <w:r w:rsidRPr="00591CA9">
        <w:rPr>
          <w:rFonts w:ascii="Calibri" w:eastAsia="宋体" w:hAnsi="Calibri" w:cs="Times New Roman"/>
          <w:kern w:val="0"/>
          <w:sz w:val="20"/>
          <w:szCs w:val="20"/>
          <w:lang w:eastAsia="zh-Hans"/>
        </w:rPr>
        <w:t>服务要求</w:t>
      </w:r>
    </w:p>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3.2.4</w:t>
      </w:r>
      <w:r w:rsidRPr="00591CA9">
        <w:rPr>
          <w:rFonts w:ascii="Calibri" w:eastAsia="宋体" w:hAnsi="Calibri" w:cs="Times New Roman"/>
          <w:b/>
          <w:kern w:val="0"/>
          <w:sz w:val="24"/>
          <w:szCs w:val="20"/>
          <w:lang w:eastAsia="zh-Hans"/>
        </w:rPr>
        <w:t>设施设备要求</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详见</w:t>
      </w:r>
      <w:r w:rsidRPr="00591CA9">
        <w:rPr>
          <w:rFonts w:ascii="Calibri" w:eastAsia="宋体" w:hAnsi="Calibri" w:cs="Times New Roman"/>
          <w:kern w:val="0"/>
          <w:sz w:val="20"/>
          <w:szCs w:val="20"/>
          <w:lang w:eastAsia="zh-Hans"/>
        </w:rPr>
        <w:t>3.2.2</w:t>
      </w:r>
      <w:r w:rsidRPr="00591CA9">
        <w:rPr>
          <w:rFonts w:ascii="Calibri" w:eastAsia="宋体" w:hAnsi="Calibri" w:cs="Times New Roman"/>
          <w:kern w:val="0"/>
          <w:sz w:val="20"/>
          <w:szCs w:val="20"/>
          <w:lang w:eastAsia="zh-Hans"/>
        </w:rPr>
        <w:t>服务要求</w:t>
      </w:r>
    </w:p>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3.2.5</w:t>
      </w:r>
      <w:r w:rsidRPr="00591CA9">
        <w:rPr>
          <w:rFonts w:ascii="Calibri" w:eastAsia="宋体" w:hAnsi="Calibri" w:cs="Times New Roman"/>
          <w:b/>
          <w:kern w:val="0"/>
          <w:sz w:val="24"/>
          <w:szCs w:val="20"/>
          <w:lang w:eastAsia="zh-Hans"/>
        </w:rPr>
        <w:t>其他要求</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Segoe UI Symbol" w:eastAsia="宋体" w:hAnsi="Segoe UI Symbol" w:cs="Segoe UI Symbol"/>
          <w:kern w:val="0"/>
          <w:sz w:val="20"/>
          <w:szCs w:val="20"/>
          <w:lang w:eastAsia="zh-Hans"/>
        </w:rPr>
        <w:t>★</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、采购人在灭鼠、灭蚊、灭蝇、灭蟑螂开展过程中，将随机抽取本项目供应商所使用药物，抽取的药物须符合国家有关监测部门的批准要求；</w:t>
      </w:r>
      <w:r w:rsidRPr="00591CA9">
        <w:rPr>
          <w:rFonts w:ascii="Calibri" w:eastAsia="宋体" w:hAnsi="Calibri" w:cs="Times New Roman"/>
          <w:kern w:val="0"/>
          <w:sz w:val="20"/>
          <w:szCs w:val="20"/>
          <w:lang w:eastAsia="zh-Hans"/>
        </w:rPr>
        <w:t xml:space="preserve"> </w:t>
      </w:r>
      <w:r w:rsidRPr="00591CA9">
        <w:rPr>
          <w:rFonts w:ascii="Segoe UI Symbol" w:eastAsia="宋体" w:hAnsi="Segoe UI Symbol" w:cs="Segoe UI Symbol"/>
          <w:kern w:val="0"/>
          <w:sz w:val="20"/>
          <w:szCs w:val="20"/>
          <w:lang w:eastAsia="zh-Hans"/>
        </w:rPr>
        <w:t>★</w:t>
      </w:r>
      <w:r w:rsidRPr="00591CA9">
        <w:rPr>
          <w:rFonts w:ascii="Calibri" w:eastAsia="宋体" w:hAnsi="Calibri" w:cs="Times New Roman"/>
          <w:kern w:val="0"/>
          <w:sz w:val="20"/>
          <w:szCs w:val="20"/>
          <w:lang w:eastAsia="zh-Hans"/>
        </w:rPr>
        <w:t>2</w:t>
      </w:r>
      <w:r w:rsidRPr="00591CA9">
        <w:rPr>
          <w:rFonts w:ascii="Calibri" w:eastAsia="宋体" w:hAnsi="Calibri" w:cs="Times New Roman"/>
          <w:kern w:val="0"/>
          <w:sz w:val="20"/>
          <w:szCs w:val="20"/>
          <w:lang w:eastAsia="zh-Hans"/>
        </w:rPr>
        <w:t>、本项所使用的药品送达时产品有效期限不低于一年；</w:t>
      </w:r>
      <w:r w:rsidRPr="00591CA9">
        <w:rPr>
          <w:rFonts w:ascii="Calibri" w:eastAsia="宋体" w:hAnsi="Calibri" w:cs="Times New Roman"/>
          <w:kern w:val="0"/>
          <w:sz w:val="20"/>
          <w:szCs w:val="20"/>
          <w:lang w:eastAsia="zh-Hans"/>
        </w:rPr>
        <w:t xml:space="preserve"> </w:t>
      </w:r>
      <w:r w:rsidRPr="00591CA9">
        <w:rPr>
          <w:rFonts w:ascii="Segoe UI Symbol" w:eastAsia="宋体" w:hAnsi="Segoe UI Symbol" w:cs="Segoe UI Symbol"/>
          <w:kern w:val="0"/>
          <w:sz w:val="20"/>
          <w:szCs w:val="20"/>
          <w:lang w:eastAsia="zh-Hans"/>
        </w:rPr>
        <w:t>★</w:t>
      </w:r>
      <w:r w:rsidRPr="00591CA9">
        <w:rPr>
          <w:rFonts w:ascii="Calibri" w:eastAsia="宋体" w:hAnsi="Calibri" w:cs="Times New Roman"/>
          <w:kern w:val="0"/>
          <w:sz w:val="20"/>
          <w:szCs w:val="20"/>
          <w:lang w:eastAsia="zh-Hans"/>
        </w:rPr>
        <w:t>3</w:t>
      </w:r>
      <w:r w:rsidRPr="00591CA9">
        <w:rPr>
          <w:rFonts w:ascii="Calibri" w:eastAsia="宋体" w:hAnsi="Calibri" w:cs="Times New Roman"/>
          <w:kern w:val="0"/>
          <w:sz w:val="20"/>
          <w:szCs w:val="20"/>
          <w:lang w:eastAsia="zh-Hans"/>
        </w:rPr>
        <w:t>、鼠药在使用过程中，如出现霉变、短斤缺两等问题，由供应商负责召回并赔偿所有相应损失；二次抽检不合格，采购人有权立即终止本年度合同，由此造成的所有损失由供应商承担。</w:t>
      </w:r>
      <w:r w:rsidRPr="00591CA9">
        <w:rPr>
          <w:rFonts w:ascii="Calibri" w:eastAsia="宋体" w:hAnsi="Calibri" w:cs="Times New Roman"/>
          <w:kern w:val="0"/>
          <w:sz w:val="20"/>
          <w:szCs w:val="20"/>
          <w:lang w:eastAsia="zh-Hans"/>
        </w:rPr>
        <w:t xml:space="preserve"> </w:t>
      </w:r>
      <w:r w:rsidRPr="00591CA9">
        <w:rPr>
          <w:rFonts w:ascii="Segoe UI Symbol" w:eastAsia="宋体" w:hAnsi="Segoe UI Symbol" w:cs="Segoe UI Symbol"/>
          <w:kern w:val="0"/>
          <w:sz w:val="20"/>
          <w:szCs w:val="20"/>
          <w:lang w:eastAsia="zh-Hans"/>
        </w:rPr>
        <w:t>★</w:t>
      </w:r>
      <w:r w:rsidRPr="00591CA9">
        <w:rPr>
          <w:rFonts w:ascii="Calibri" w:eastAsia="宋体" w:hAnsi="Calibri" w:cs="Times New Roman"/>
          <w:kern w:val="0"/>
          <w:sz w:val="20"/>
          <w:szCs w:val="20"/>
          <w:lang w:eastAsia="zh-Hans"/>
        </w:rPr>
        <w:t>4</w:t>
      </w:r>
      <w:r w:rsidRPr="00591CA9">
        <w:rPr>
          <w:rFonts w:ascii="Calibri" w:eastAsia="宋体" w:hAnsi="Calibri" w:cs="Times New Roman"/>
          <w:kern w:val="0"/>
          <w:sz w:val="20"/>
          <w:szCs w:val="20"/>
          <w:lang w:eastAsia="zh-Hans"/>
        </w:rPr>
        <w:t>、响应时间：接到采购人通知后</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小时内响应，</w:t>
      </w:r>
      <w:r w:rsidRPr="00591CA9">
        <w:rPr>
          <w:rFonts w:ascii="Calibri" w:eastAsia="宋体" w:hAnsi="Calibri" w:cs="Times New Roman"/>
          <w:kern w:val="0"/>
          <w:sz w:val="20"/>
          <w:szCs w:val="20"/>
          <w:lang w:eastAsia="zh-Hans"/>
        </w:rPr>
        <w:t>3</w:t>
      </w:r>
      <w:r w:rsidRPr="00591CA9">
        <w:rPr>
          <w:rFonts w:ascii="Calibri" w:eastAsia="宋体" w:hAnsi="Calibri" w:cs="Times New Roman"/>
          <w:kern w:val="0"/>
          <w:sz w:val="20"/>
          <w:szCs w:val="20"/>
          <w:lang w:eastAsia="zh-Hans"/>
        </w:rPr>
        <w:t>小时内完成相关准备工作。</w:t>
      </w:r>
      <w:r w:rsidRPr="00591CA9">
        <w:rPr>
          <w:rFonts w:ascii="Calibri" w:eastAsia="宋体" w:hAnsi="Calibri" w:cs="Times New Roman"/>
          <w:kern w:val="0"/>
          <w:sz w:val="20"/>
          <w:szCs w:val="20"/>
          <w:lang w:eastAsia="zh-Hans"/>
        </w:rPr>
        <w:t xml:space="preserve"> </w:t>
      </w:r>
      <w:r w:rsidRPr="00591CA9">
        <w:rPr>
          <w:rFonts w:ascii="Segoe UI Symbol" w:eastAsia="宋体" w:hAnsi="Segoe UI Symbol" w:cs="Segoe UI Symbol"/>
          <w:kern w:val="0"/>
          <w:sz w:val="20"/>
          <w:szCs w:val="20"/>
          <w:lang w:eastAsia="zh-Hans"/>
        </w:rPr>
        <w:t>★</w:t>
      </w:r>
      <w:r w:rsidRPr="00591CA9">
        <w:rPr>
          <w:rFonts w:ascii="Calibri" w:eastAsia="宋体" w:hAnsi="Calibri" w:cs="Times New Roman"/>
          <w:kern w:val="0"/>
          <w:sz w:val="20"/>
          <w:szCs w:val="20"/>
          <w:lang w:eastAsia="zh-Hans"/>
        </w:rPr>
        <w:t>5</w:t>
      </w:r>
      <w:r w:rsidRPr="00591CA9">
        <w:rPr>
          <w:rFonts w:ascii="Calibri" w:eastAsia="宋体" w:hAnsi="Calibri" w:cs="Times New Roman"/>
          <w:kern w:val="0"/>
          <w:sz w:val="20"/>
          <w:szCs w:val="20"/>
          <w:lang w:eastAsia="zh-Hans"/>
        </w:rPr>
        <w:t>、选用药品必须符合《农药管理条例》（</w:t>
      </w:r>
      <w:r w:rsidRPr="00591CA9">
        <w:rPr>
          <w:rFonts w:ascii="Calibri" w:eastAsia="宋体" w:hAnsi="Calibri" w:cs="Times New Roman"/>
          <w:kern w:val="0"/>
          <w:sz w:val="20"/>
          <w:szCs w:val="20"/>
          <w:lang w:eastAsia="zh-Hans"/>
        </w:rPr>
        <w:t>2017</w:t>
      </w:r>
      <w:r w:rsidRPr="00591CA9">
        <w:rPr>
          <w:rFonts w:ascii="Calibri" w:eastAsia="宋体" w:hAnsi="Calibri" w:cs="Times New Roman"/>
          <w:kern w:val="0"/>
          <w:sz w:val="20"/>
          <w:szCs w:val="20"/>
          <w:lang w:eastAsia="zh-Hans"/>
        </w:rPr>
        <w:t>年</w:t>
      </w:r>
      <w:r w:rsidRPr="00591CA9">
        <w:rPr>
          <w:rFonts w:ascii="Calibri" w:eastAsia="宋体" w:hAnsi="Calibri" w:cs="Times New Roman"/>
          <w:kern w:val="0"/>
          <w:sz w:val="20"/>
          <w:szCs w:val="20"/>
          <w:lang w:eastAsia="zh-Hans"/>
        </w:rPr>
        <w:t>2</w:t>
      </w:r>
      <w:r w:rsidRPr="00591CA9">
        <w:rPr>
          <w:rFonts w:ascii="Calibri" w:eastAsia="宋体" w:hAnsi="Calibri" w:cs="Times New Roman"/>
          <w:kern w:val="0"/>
          <w:sz w:val="20"/>
          <w:szCs w:val="20"/>
          <w:lang w:eastAsia="zh-Hans"/>
        </w:rPr>
        <w:t>月</w:t>
      </w:r>
      <w:r w:rsidRPr="00591CA9">
        <w:rPr>
          <w:rFonts w:ascii="Calibri" w:eastAsia="宋体" w:hAnsi="Calibri" w:cs="Times New Roman"/>
          <w:kern w:val="0"/>
          <w:sz w:val="20"/>
          <w:szCs w:val="20"/>
          <w:lang w:eastAsia="zh-Hans"/>
        </w:rPr>
        <w:t>8</w:t>
      </w:r>
      <w:r w:rsidRPr="00591CA9">
        <w:rPr>
          <w:rFonts w:ascii="Calibri" w:eastAsia="宋体" w:hAnsi="Calibri" w:cs="Times New Roman"/>
          <w:kern w:val="0"/>
          <w:sz w:val="20"/>
          <w:szCs w:val="20"/>
          <w:lang w:eastAsia="zh-Hans"/>
        </w:rPr>
        <w:t>日国务院第</w:t>
      </w:r>
      <w:r w:rsidRPr="00591CA9">
        <w:rPr>
          <w:rFonts w:ascii="Calibri" w:eastAsia="宋体" w:hAnsi="Calibri" w:cs="Times New Roman"/>
          <w:kern w:val="0"/>
          <w:sz w:val="20"/>
          <w:szCs w:val="20"/>
          <w:lang w:eastAsia="zh-Hans"/>
        </w:rPr>
        <w:t>164</w:t>
      </w:r>
      <w:r w:rsidRPr="00591CA9">
        <w:rPr>
          <w:rFonts w:ascii="Calibri" w:eastAsia="宋体" w:hAnsi="Calibri" w:cs="Times New Roman"/>
          <w:kern w:val="0"/>
          <w:sz w:val="20"/>
          <w:szCs w:val="20"/>
          <w:lang w:eastAsia="zh-Hans"/>
        </w:rPr>
        <w:t>次常务会议修订通过），有农药登记证、生产许可证和产品质量标准，杀虫剂必须是用于卫生用途（农药登记证第一英文字母是</w:t>
      </w:r>
      <w:r w:rsidRPr="00591CA9">
        <w:rPr>
          <w:rFonts w:ascii="Calibri" w:eastAsia="宋体" w:hAnsi="Calibri" w:cs="Times New Roman"/>
          <w:kern w:val="0"/>
          <w:sz w:val="20"/>
          <w:szCs w:val="20"/>
          <w:lang w:eastAsia="zh-Hans"/>
        </w:rPr>
        <w:t>W</w:t>
      </w:r>
      <w:r w:rsidRPr="00591CA9">
        <w:rPr>
          <w:rFonts w:ascii="Calibri" w:eastAsia="宋体" w:hAnsi="Calibri" w:cs="Times New Roman"/>
          <w:kern w:val="0"/>
          <w:sz w:val="20"/>
          <w:szCs w:val="20"/>
          <w:lang w:eastAsia="zh-Hans"/>
        </w:rPr>
        <w:t>）。供应商将《农药经营许可证》及所使用的药品中涉及农药品的须具有农药登记证和药效有效成份检测报告在合同签订后</w:t>
      </w:r>
      <w:r w:rsidRPr="00591CA9">
        <w:rPr>
          <w:rFonts w:ascii="Calibri" w:eastAsia="宋体" w:hAnsi="Calibri" w:cs="Times New Roman"/>
          <w:kern w:val="0"/>
          <w:sz w:val="20"/>
          <w:szCs w:val="20"/>
          <w:lang w:eastAsia="zh-Hans"/>
        </w:rPr>
        <w:t>5</w:t>
      </w:r>
      <w:r w:rsidRPr="00591CA9">
        <w:rPr>
          <w:rFonts w:ascii="Calibri" w:eastAsia="宋体" w:hAnsi="Calibri" w:cs="Times New Roman"/>
          <w:kern w:val="0"/>
          <w:sz w:val="20"/>
          <w:szCs w:val="20"/>
          <w:lang w:eastAsia="zh-Hans"/>
        </w:rPr>
        <w:t>个工作日内提供给采购人备案（需提供承诺函）。</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备注：如国家对本项目所涉及的产品有新的要求或质量标准，则按新的要求或质量标准进行执行。</w:t>
      </w:r>
    </w:p>
    <w:p w:rsidR="00591CA9" w:rsidRPr="00591CA9" w:rsidRDefault="00591CA9" w:rsidP="00591CA9">
      <w:pPr>
        <w:widowControl/>
        <w:jc w:val="left"/>
        <w:outlineLvl w:val="2"/>
        <w:rPr>
          <w:rFonts w:ascii="Calibri" w:eastAsia="宋体" w:hAnsi="Calibri" w:cs="Times New Roman"/>
          <w:kern w:val="0"/>
          <w:sz w:val="20"/>
          <w:szCs w:val="20"/>
          <w:lang w:eastAsia="zh-Hans"/>
        </w:rPr>
      </w:pPr>
      <w:r w:rsidRPr="00591CA9">
        <w:rPr>
          <w:rFonts w:ascii="Calibri" w:eastAsia="宋体" w:hAnsi="Calibri" w:cs="Times New Roman"/>
          <w:b/>
          <w:kern w:val="0"/>
          <w:sz w:val="28"/>
          <w:szCs w:val="20"/>
          <w:lang w:eastAsia="zh-Hans"/>
        </w:rPr>
        <w:t>3.3</w:t>
      </w:r>
      <w:r w:rsidRPr="00591CA9">
        <w:rPr>
          <w:rFonts w:ascii="Calibri" w:eastAsia="宋体" w:hAnsi="Calibri" w:cs="Times New Roman"/>
          <w:b/>
          <w:kern w:val="0"/>
          <w:sz w:val="28"/>
          <w:szCs w:val="20"/>
          <w:lang w:eastAsia="zh-Hans"/>
        </w:rPr>
        <w:t>、商务要求</w:t>
      </w:r>
    </w:p>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3.3.1</w:t>
      </w:r>
      <w:r w:rsidRPr="00591CA9">
        <w:rPr>
          <w:rFonts w:ascii="Calibri" w:eastAsia="宋体" w:hAnsi="Calibri" w:cs="Times New Roman"/>
          <w:b/>
          <w:kern w:val="0"/>
          <w:sz w:val="24"/>
          <w:szCs w:val="20"/>
          <w:lang w:eastAsia="zh-Hans"/>
        </w:rPr>
        <w:t>服务期限</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自合同签订之日起</w:t>
      </w:r>
      <w:r w:rsidRPr="00591CA9">
        <w:rPr>
          <w:rFonts w:ascii="Calibri" w:eastAsia="宋体" w:hAnsi="Calibri" w:cs="Times New Roman"/>
          <w:kern w:val="0"/>
          <w:sz w:val="20"/>
          <w:szCs w:val="20"/>
          <w:lang w:eastAsia="zh-Hans"/>
        </w:rPr>
        <w:t>365</w:t>
      </w:r>
      <w:r w:rsidRPr="00591CA9">
        <w:rPr>
          <w:rFonts w:ascii="Calibri" w:eastAsia="宋体" w:hAnsi="Calibri" w:cs="Times New Roman"/>
          <w:kern w:val="0"/>
          <w:sz w:val="20"/>
          <w:szCs w:val="20"/>
          <w:lang w:eastAsia="zh-Hans"/>
        </w:rPr>
        <w:t>日</w:t>
      </w:r>
    </w:p>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3.3.2</w:t>
      </w:r>
      <w:r w:rsidRPr="00591CA9">
        <w:rPr>
          <w:rFonts w:ascii="Calibri" w:eastAsia="宋体" w:hAnsi="Calibri" w:cs="Times New Roman"/>
          <w:b/>
          <w:kern w:val="0"/>
          <w:sz w:val="24"/>
          <w:szCs w:val="20"/>
          <w:lang w:eastAsia="zh-Hans"/>
        </w:rPr>
        <w:t>服务地点</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成都市双流区</w:t>
      </w:r>
    </w:p>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3.3.3</w:t>
      </w:r>
      <w:r w:rsidRPr="00591CA9">
        <w:rPr>
          <w:rFonts w:ascii="Calibri" w:eastAsia="宋体" w:hAnsi="Calibri" w:cs="Times New Roman"/>
          <w:b/>
          <w:kern w:val="0"/>
          <w:sz w:val="24"/>
          <w:szCs w:val="20"/>
          <w:lang w:eastAsia="zh-Hans"/>
        </w:rPr>
        <w:t>考核（验收）标准和方法</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lastRenderedPageBreak/>
        <w:t>2.6.5</w:t>
      </w:r>
      <w:r w:rsidRPr="00591CA9">
        <w:rPr>
          <w:rFonts w:ascii="Calibri" w:eastAsia="宋体" w:hAnsi="Calibri" w:cs="Times New Roman"/>
          <w:kern w:val="0"/>
          <w:sz w:val="20"/>
          <w:szCs w:val="20"/>
          <w:lang w:eastAsia="zh-Hans"/>
        </w:rPr>
        <w:t>履约验收方案以此为准：</w:t>
      </w:r>
      <w:r w:rsidRPr="00591CA9">
        <w:rPr>
          <w:rFonts w:ascii="Calibri" w:eastAsia="宋体" w:hAnsi="Calibri" w:cs="Times New Roman"/>
          <w:kern w:val="0"/>
          <w:sz w:val="20"/>
          <w:szCs w:val="20"/>
          <w:lang w:eastAsia="zh-Hans"/>
        </w:rPr>
        <w:t xml:space="preserve"> 1</w:t>
      </w:r>
      <w:r w:rsidRPr="00591CA9">
        <w:rPr>
          <w:rFonts w:ascii="Calibri" w:eastAsia="宋体" w:hAnsi="Calibri" w:cs="Times New Roman"/>
          <w:kern w:val="0"/>
          <w:sz w:val="20"/>
          <w:szCs w:val="20"/>
          <w:lang w:eastAsia="zh-Hans"/>
        </w:rPr>
        <w:t>）验收组织方式：自行验收</w:t>
      </w:r>
      <w:r w:rsidRPr="00591CA9">
        <w:rPr>
          <w:rFonts w:ascii="Calibri" w:eastAsia="宋体" w:hAnsi="Calibri" w:cs="Times New Roman"/>
          <w:kern w:val="0"/>
          <w:sz w:val="20"/>
          <w:szCs w:val="20"/>
          <w:lang w:eastAsia="zh-Hans"/>
        </w:rPr>
        <w:t xml:space="preserve"> 2</w:t>
      </w:r>
      <w:r w:rsidRPr="00591CA9">
        <w:rPr>
          <w:rFonts w:ascii="Calibri" w:eastAsia="宋体" w:hAnsi="Calibri" w:cs="Times New Roman"/>
          <w:kern w:val="0"/>
          <w:sz w:val="20"/>
          <w:szCs w:val="20"/>
          <w:lang w:eastAsia="zh-Hans"/>
        </w:rPr>
        <w:t>）是否邀请本项目的其他供应商：否</w:t>
      </w:r>
      <w:r w:rsidRPr="00591CA9">
        <w:rPr>
          <w:rFonts w:ascii="Calibri" w:eastAsia="宋体" w:hAnsi="Calibri" w:cs="Times New Roman"/>
          <w:kern w:val="0"/>
          <w:sz w:val="20"/>
          <w:szCs w:val="20"/>
          <w:lang w:eastAsia="zh-Hans"/>
        </w:rPr>
        <w:t xml:space="preserve"> 3</w:t>
      </w:r>
      <w:r w:rsidRPr="00591CA9">
        <w:rPr>
          <w:rFonts w:ascii="Calibri" w:eastAsia="宋体" w:hAnsi="Calibri" w:cs="Times New Roman"/>
          <w:kern w:val="0"/>
          <w:sz w:val="20"/>
          <w:szCs w:val="20"/>
          <w:lang w:eastAsia="zh-Hans"/>
        </w:rPr>
        <w:t>）是否邀请专家：否</w:t>
      </w:r>
      <w:r w:rsidRPr="00591CA9">
        <w:rPr>
          <w:rFonts w:ascii="Calibri" w:eastAsia="宋体" w:hAnsi="Calibri" w:cs="Times New Roman"/>
          <w:kern w:val="0"/>
          <w:sz w:val="20"/>
          <w:szCs w:val="20"/>
          <w:lang w:eastAsia="zh-Hans"/>
        </w:rPr>
        <w:t xml:space="preserve"> 4</w:t>
      </w:r>
      <w:r w:rsidRPr="00591CA9">
        <w:rPr>
          <w:rFonts w:ascii="Calibri" w:eastAsia="宋体" w:hAnsi="Calibri" w:cs="Times New Roman"/>
          <w:kern w:val="0"/>
          <w:sz w:val="20"/>
          <w:szCs w:val="20"/>
          <w:lang w:eastAsia="zh-Hans"/>
        </w:rPr>
        <w:t>）是否邀请服务对象：否</w:t>
      </w:r>
      <w:r w:rsidRPr="00591CA9">
        <w:rPr>
          <w:rFonts w:ascii="Calibri" w:eastAsia="宋体" w:hAnsi="Calibri" w:cs="Times New Roman"/>
          <w:kern w:val="0"/>
          <w:sz w:val="20"/>
          <w:szCs w:val="20"/>
          <w:lang w:eastAsia="zh-Hans"/>
        </w:rPr>
        <w:t xml:space="preserve"> 5</w:t>
      </w:r>
      <w:r w:rsidRPr="00591CA9">
        <w:rPr>
          <w:rFonts w:ascii="Calibri" w:eastAsia="宋体" w:hAnsi="Calibri" w:cs="Times New Roman"/>
          <w:kern w:val="0"/>
          <w:sz w:val="20"/>
          <w:szCs w:val="20"/>
          <w:lang w:eastAsia="zh-Hans"/>
        </w:rPr>
        <w:t>）是否邀请第三方检测机构：否</w:t>
      </w:r>
      <w:r w:rsidRPr="00591CA9">
        <w:rPr>
          <w:rFonts w:ascii="Calibri" w:eastAsia="宋体" w:hAnsi="Calibri" w:cs="Times New Roman"/>
          <w:kern w:val="0"/>
          <w:sz w:val="20"/>
          <w:szCs w:val="20"/>
          <w:lang w:eastAsia="zh-Hans"/>
        </w:rPr>
        <w:t xml:space="preserve"> 6</w:t>
      </w:r>
      <w:r w:rsidRPr="00591CA9">
        <w:rPr>
          <w:rFonts w:ascii="Calibri" w:eastAsia="宋体" w:hAnsi="Calibri" w:cs="Times New Roman"/>
          <w:kern w:val="0"/>
          <w:sz w:val="20"/>
          <w:szCs w:val="20"/>
          <w:lang w:eastAsia="zh-Hans"/>
        </w:rPr>
        <w:t>）履约验收程序：一次性验收</w:t>
      </w:r>
      <w:r w:rsidRPr="00591CA9">
        <w:rPr>
          <w:rFonts w:ascii="Calibri" w:eastAsia="宋体" w:hAnsi="Calibri" w:cs="Times New Roman"/>
          <w:kern w:val="0"/>
          <w:sz w:val="20"/>
          <w:szCs w:val="20"/>
          <w:lang w:eastAsia="zh-Hans"/>
        </w:rPr>
        <w:t xml:space="preserve"> 7</w:t>
      </w:r>
      <w:r w:rsidRPr="00591CA9">
        <w:rPr>
          <w:rFonts w:ascii="Calibri" w:eastAsia="宋体" w:hAnsi="Calibri" w:cs="Times New Roman"/>
          <w:kern w:val="0"/>
          <w:sz w:val="20"/>
          <w:szCs w:val="20"/>
          <w:lang w:eastAsia="zh-Hans"/>
        </w:rPr>
        <w:t>）履约验收时间：供应商提出验收申请之日起</w:t>
      </w:r>
      <w:r w:rsidRPr="00591CA9">
        <w:rPr>
          <w:rFonts w:ascii="Calibri" w:eastAsia="宋体" w:hAnsi="Calibri" w:cs="Times New Roman"/>
          <w:kern w:val="0"/>
          <w:sz w:val="20"/>
          <w:szCs w:val="20"/>
          <w:lang w:eastAsia="zh-Hans"/>
        </w:rPr>
        <w:t>15</w:t>
      </w:r>
      <w:r w:rsidRPr="00591CA9">
        <w:rPr>
          <w:rFonts w:ascii="Calibri" w:eastAsia="宋体" w:hAnsi="Calibri" w:cs="Times New Roman"/>
          <w:kern w:val="0"/>
          <w:sz w:val="20"/>
          <w:szCs w:val="20"/>
          <w:lang w:eastAsia="zh-Hans"/>
        </w:rPr>
        <w:t>日内组织验收</w:t>
      </w:r>
      <w:r w:rsidRPr="00591CA9">
        <w:rPr>
          <w:rFonts w:ascii="Calibri" w:eastAsia="宋体" w:hAnsi="Calibri" w:cs="Times New Roman"/>
          <w:kern w:val="0"/>
          <w:sz w:val="20"/>
          <w:szCs w:val="20"/>
          <w:lang w:eastAsia="zh-Hans"/>
        </w:rPr>
        <w:t xml:space="preserve"> 8</w:t>
      </w:r>
      <w:r w:rsidRPr="00591CA9">
        <w:rPr>
          <w:rFonts w:ascii="Calibri" w:eastAsia="宋体" w:hAnsi="Calibri" w:cs="Times New Roman"/>
          <w:kern w:val="0"/>
          <w:sz w:val="20"/>
          <w:szCs w:val="20"/>
          <w:lang w:eastAsia="zh-Hans"/>
        </w:rPr>
        <w:t>）验收组织的其他事项：无</w:t>
      </w:r>
      <w:r w:rsidRPr="00591CA9">
        <w:rPr>
          <w:rFonts w:ascii="Calibri" w:eastAsia="宋体" w:hAnsi="Calibri" w:cs="Times New Roman"/>
          <w:kern w:val="0"/>
          <w:sz w:val="20"/>
          <w:szCs w:val="20"/>
          <w:lang w:eastAsia="zh-Hans"/>
        </w:rPr>
        <w:t xml:space="preserve"> 9</w:t>
      </w:r>
      <w:r w:rsidRPr="00591CA9">
        <w:rPr>
          <w:rFonts w:ascii="Calibri" w:eastAsia="宋体" w:hAnsi="Calibri" w:cs="Times New Roman"/>
          <w:kern w:val="0"/>
          <w:sz w:val="20"/>
          <w:szCs w:val="20"/>
          <w:lang w:eastAsia="zh-Hans"/>
        </w:rPr>
        <w:t>）技术履约验收内容：按照本项目采购文件中</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技术、服务要求</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及成交人响应文件进行验收。</w:t>
      </w:r>
      <w:r w:rsidRPr="00591CA9">
        <w:rPr>
          <w:rFonts w:ascii="Calibri" w:eastAsia="宋体" w:hAnsi="Calibri" w:cs="Times New Roman"/>
          <w:kern w:val="0"/>
          <w:sz w:val="20"/>
          <w:szCs w:val="20"/>
          <w:lang w:eastAsia="zh-Hans"/>
        </w:rPr>
        <w:t xml:space="preserve"> 10</w:t>
      </w:r>
      <w:r w:rsidRPr="00591CA9">
        <w:rPr>
          <w:rFonts w:ascii="Calibri" w:eastAsia="宋体" w:hAnsi="Calibri" w:cs="Times New Roman"/>
          <w:kern w:val="0"/>
          <w:sz w:val="20"/>
          <w:szCs w:val="20"/>
          <w:lang w:eastAsia="zh-Hans"/>
        </w:rPr>
        <w:t>）商务履约验收内容：按照本项目采购文件中</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商务要求</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及成交人响应文件进行验收。</w:t>
      </w:r>
      <w:r w:rsidRPr="00591CA9">
        <w:rPr>
          <w:rFonts w:ascii="Calibri" w:eastAsia="宋体" w:hAnsi="Calibri" w:cs="Times New Roman"/>
          <w:kern w:val="0"/>
          <w:sz w:val="20"/>
          <w:szCs w:val="20"/>
          <w:lang w:eastAsia="zh-Hans"/>
        </w:rPr>
        <w:t xml:space="preserve"> 11</w:t>
      </w:r>
      <w:r w:rsidRPr="00591CA9">
        <w:rPr>
          <w:rFonts w:ascii="Calibri" w:eastAsia="宋体" w:hAnsi="Calibri" w:cs="Times New Roman"/>
          <w:kern w:val="0"/>
          <w:sz w:val="20"/>
          <w:szCs w:val="20"/>
          <w:lang w:eastAsia="zh-Hans"/>
        </w:rPr>
        <w:t>）履约验收标准：按照《财政部关于进一步加强政府采购需求和履约验收管理的指导意见》</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财库</w:t>
      </w:r>
      <w:r w:rsidRPr="00591CA9">
        <w:rPr>
          <w:rFonts w:ascii="Calibri" w:eastAsia="宋体" w:hAnsi="Calibri" w:cs="Times New Roman"/>
          <w:kern w:val="0"/>
          <w:sz w:val="20"/>
          <w:szCs w:val="20"/>
          <w:lang w:eastAsia="zh-Hans"/>
        </w:rPr>
        <w:t>(2016)205</w:t>
      </w:r>
      <w:r w:rsidRPr="00591CA9">
        <w:rPr>
          <w:rFonts w:ascii="Calibri" w:eastAsia="宋体" w:hAnsi="Calibri" w:cs="Times New Roman"/>
          <w:kern w:val="0"/>
          <w:sz w:val="20"/>
          <w:szCs w:val="20"/>
          <w:lang w:eastAsia="zh-Hans"/>
        </w:rPr>
        <w:t>号</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以及主管部门的相关要求进行验收。达到国家相关标准、行业标准、地方标准或者其他标准、规范要求为标准，按照《磋商文件》、成交供应商的《响应文件》和双方签订的《采购合同》，对供应商履约情况进行验收，出具验收报告。（实质性要求）</w:t>
      </w:r>
      <w:r w:rsidRPr="00591CA9">
        <w:rPr>
          <w:rFonts w:ascii="Calibri" w:eastAsia="宋体" w:hAnsi="Calibri" w:cs="Times New Roman"/>
          <w:kern w:val="0"/>
          <w:sz w:val="20"/>
          <w:szCs w:val="20"/>
          <w:lang w:eastAsia="zh-Hans"/>
        </w:rPr>
        <w:t xml:space="preserve"> 12</w:t>
      </w:r>
      <w:r w:rsidRPr="00591CA9">
        <w:rPr>
          <w:rFonts w:ascii="Calibri" w:eastAsia="宋体" w:hAnsi="Calibri" w:cs="Times New Roman"/>
          <w:kern w:val="0"/>
          <w:sz w:val="20"/>
          <w:szCs w:val="20"/>
          <w:lang w:eastAsia="zh-Hans"/>
        </w:rPr>
        <w:t>）履约验收其他事项：无</w:t>
      </w:r>
    </w:p>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3.3.4</w:t>
      </w:r>
      <w:r w:rsidRPr="00591CA9">
        <w:rPr>
          <w:rFonts w:ascii="Calibri" w:eastAsia="宋体" w:hAnsi="Calibri" w:cs="Times New Roman"/>
          <w:b/>
          <w:kern w:val="0"/>
          <w:sz w:val="24"/>
          <w:szCs w:val="20"/>
          <w:lang w:eastAsia="zh-Hans"/>
        </w:rPr>
        <w:t>支付方式</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分期付款</w:t>
      </w:r>
    </w:p>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3.3.5</w:t>
      </w:r>
      <w:r w:rsidRPr="00591CA9">
        <w:rPr>
          <w:rFonts w:ascii="Calibri" w:eastAsia="宋体" w:hAnsi="Calibri" w:cs="Times New Roman"/>
          <w:b/>
          <w:kern w:val="0"/>
          <w:sz w:val="24"/>
          <w:szCs w:val="20"/>
          <w:lang w:eastAsia="zh-Hans"/>
        </w:rPr>
        <w:t>支付约定</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付款条件说明：</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合同签订并生效后，自收到供应商发票后</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，达到付款条件起</w:t>
      </w:r>
      <w:r w:rsidRPr="00591CA9">
        <w:rPr>
          <w:rFonts w:ascii="Calibri" w:eastAsia="宋体" w:hAnsi="Calibri" w:cs="Times New Roman"/>
          <w:kern w:val="0"/>
          <w:sz w:val="20"/>
          <w:szCs w:val="20"/>
          <w:lang w:eastAsia="zh-Hans"/>
        </w:rPr>
        <w:t xml:space="preserve"> 12 </w:t>
      </w:r>
      <w:r w:rsidRPr="00591CA9">
        <w:rPr>
          <w:rFonts w:ascii="Calibri" w:eastAsia="宋体" w:hAnsi="Calibri" w:cs="Times New Roman"/>
          <w:kern w:val="0"/>
          <w:sz w:val="20"/>
          <w:szCs w:val="20"/>
          <w:lang w:eastAsia="zh-Hans"/>
        </w:rPr>
        <w:t>日内，支付合同总金额的</w:t>
      </w:r>
      <w:r w:rsidRPr="00591CA9">
        <w:rPr>
          <w:rFonts w:ascii="Calibri" w:eastAsia="宋体" w:hAnsi="Calibri" w:cs="Times New Roman"/>
          <w:kern w:val="0"/>
          <w:sz w:val="20"/>
          <w:szCs w:val="20"/>
          <w:lang w:eastAsia="zh-Hans"/>
        </w:rPr>
        <w:t xml:space="preserve"> 40.00%</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付款条件说明：</w:t>
      </w:r>
      <w:r w:rsidRPr="00591CA9">
        <w:rPr>
          <w:rFonts w:ascii="Calibri" w:eastAsia="宋体" w:hAnsi="Calibri" w:cs="Times New Roman"/>
          <w:kern w:val="0"/>
          <w:sz w:val="20"/>
          <w:szCs w:val="20"/>
          <w:lang w:eastAsia="zh-Hans"/>
        </w:rPr>
        <w:t xml:space="preserve"> 2024</w:t>
      </w:r>
      <w:r w:rsidRPr="00591CA9">
        <w:rPr>
          <w:rFonts w:ascii="Calibri" w:eastAsia="宋体" w:hAnsi="Calibri" w:cs="Times New Roman"/>
          <w:kern w:val="0"/>
          <w:sz w:val="20"/>
          <w:szCs w:val="20"/>
          <w:lang w:eastAsia="zh-Hans"/>
        </w:rPr>
        <w:t>年</w:t>
      </w:r>
      <w:r w:rsidRPr="00591CA9">
        <w:rPr>
          <w:rFonts w:ascii="Calibri" w:eastAsia="宋体" w:hAnsi="Calibri" w:cs="Times New Roman"/>
          <w:kern w:val="0"/>
          <w:sz w:val="20"/>
          <w:szCs w:val="20"/>
          <w:lang w:eastAsia="zh-Hans"/>
        </w:rPr>
        <w:t>11</w:t>
      </w:r>
      <w:r w:rsidRPr="00591CA9">
        <w:rPr>
          <w:rFonts w:ascii="Calibri" w:eastAsia="宋体" w:hAnsi="Calibri" w:cs="Times New Roman"/>
          <w:kern w:val="0"/>
          <w:sz w:val="20"/>
          <w:szCs w:val="20"/>
          <w:lang w:eastAsia="zh-Hans"/>
        </w:rPr>
        <w:t>月中旬进行阶段性考核，考核合格后</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，达到付款条件起</w:t>
      </w:r>
      <w:r w:rsidRPr="00591CA9">
        <w:rPr>
          <w:rFonts w:ascii="Calibri" w:eastAsia="宋体" w:hAnsi="Calibri" w:cs="Times New Roman"/>
          <w:kern w:val="0"/>
          <w:sz w:val="20"/>
          <w:szCs w:val="20"/>
          <w:lang w:eastAsia="zh-Hans"/>
        </w:rPr>
        <w:t xml:space="preserve"> 12 </w:t>
      </w:r>
      <w:r w:rsidRPr="00591CA9">
        <w:rPr>
          <w:rFonts w:ascii="Calibri" w:eastAsia="宋体" w:hAnsi="Calibri" w:cs="Times New Roman"/>
          <w:kern w:val="0"/>
          <w:sz w:val="20"/>
          <w:szCs w:val="20"/>
          <w:lang w:eastAsia="zh-Hans"/>
        </w:rPr>
        <w:t>日内，支付合同总金额的</w:t>
      </w:r>
      <w:r w:rsidRPr="00591CA9">
        <w:rPr>
          <w:rFonts w:ascii="Calibri" w:eastAsia="宋体" w:hAnsi="Calibri" w:cs="Times New Roman"/>
          <w:kern w:val="0"/>
          <w:sz w:val="20"/>
          <w:szCs w:val="20"/>
          <w:lang w:eastAsia="zh-Hans"/>
        </w:rPr>
        <w:t xml:space="preserve"> 50.00%</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付款条件说明：</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合同期满经验收评估合格后</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，达到付款条件起</w:t>
      </w:r>
      <w:r w:rsidRPr="00591CA9">
        <w:rPr>
          <w:rFonts w:ascii="Calibri" w:eastAsia="宋体" w:hAnsi="Calibri" w:cs="Times New Roman"/>
          <w:kern w:val="0"/>
          <w:sz w:val="20"/>
          <w:szCs w:val="20"/>
          <w:lang w:eastAsia="zh-Hans"/>
        </w:rPr>
        <w:t xml:space="preserve"> 12 </w:t>
      </w:r>
      <w:r w:rsidRPr="00591CA9">
        <w:rPr>
          <w:rFonts w:ascii="Calibri" w:eastAsia="宋体" w:hAnsi="Calibri" w:cs="Times New Roman"/>
          <w:kern w:val="0"/>
          <w:sz w:val="20"/>
          <w:szCs w:val="20"/>
          <w:lang w:eastAsia="zh-Hans"/>
        </w:rPr>
        <w:t>日内，支付合同总金额的</w:t>
      </w:r>
      <w:r w:rsidRPr="00591CA9">
        <w:rPr>
          <w:rFonts w:ascii="Calibri" w:eastAsia="宋体" w:hAnsi="Calibri" w:cs="Times New Roman"/>
          <w:kern w:val="0"/>
          <w:sz w:val="20"/>
          <w:szCs w:val="20"/>
          <w:lang w:eastAsia="zh-Hans"/>
        </w:rPr>
        <w:t xml:space="preserve"> 10.00%</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outlineLvl w:val="3"/>
        <w:rPr>
          <w:rFonts w:ascii="Calibri" w:eastAsia="宋体" w:hAnsi="Calibri" w:cs="Times New Roman"/>
          <w:kern w:val="0"/>
          <w:sz w:val="20"/>
          <w:szCs w:val="20"/>
          <w:lang w:eastAsia="zh-Hans"/>
        </w:rPr>
      </w:pPr>
      <w:r w:rsidRPr="00591CA9">
        <w:rPr>
          <w:rFonts w:ascii="Calibri" w:eastAsia="宋体" w:hAnsi="Calibri" w:cs="Times New Roman"/>
          <w:b/>
          <w:kern w:val="0"/>
          <w:sz w:val="24"/>
          <w:szCs w:val="20"/>
          <w:lang w:eastAsia="zh-Hans"/>
        </w:rPr>
        <w:t>3.3.6</w:t>
      </w:r>
      <w:r w:rsidRPr="00591CA9">
        <w:rPr>
          <w:rFonts w:ascii="Calibri" w:eastAsia="宋体" w:hAnsi="Calibri" w:cs="Times New Roman"/>
          <w:b/>
          <w:kern w:val="0"/>
          <w:sz w:val="24"/>
          <w:szCs w:val="20"/>
          <w:lang w:eastAsia="zh-Hans"/>
        </w:rPr>
        <w:t>违约责任及解决争议的方法</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Calibri" w:eastAsia="宋体" w:hAnsi="Calibri" w:cs="Times New Roman"/>
          <w:kern w:val="0"/>
          <w:sz w:val="20"/>
          <w:szCs w:val="20"/>
          <w:lang w:eastAsia="zh-Hans"/>
        </w:rPr>
        <w:t>采购包</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 xml:space="preserve"> a</w:t>
      </w:r>
      <w:r w:rsidRPr="00591CA9">
        <w:rPr>
          <w:rFonts w:ascii="Calibri" w:eastAsia="宋体" w:hAnsi="Calibri" w:cs="Times New Roman"/>
          <w:kern w:val="0"/>
          <w:sz w:val="20"/>
          <w:szCs w:val="20"/>
          <w:lang w:eastAsia="zh-Hans"/>
        </w:rPr>
        <w:t>、违约责任条款：</w:t>
      </w:r>
      <w:r w:rsidRPr="00591CA9">
        <w:rPr>
          <w:rFonts w:ascii="Calibri" w:eastAsia="宋体" w:hAnsi="Calibri" w:cs="Times New Roman"/>
          <w:kern w:val="0"/>
          <w:sz w:val="20"/>
          <w:szCs w:val="20"/>
          <w:lang w:eastAsia="zh-Hans"/>
        </w:rPr>
        <w:t xml:space="preserve"> 1.</w:t>
      </w:r>
      <w:r w:rsidRPr="00591CA9">
        <w:rPr>
          <w:rFonts w:ascii="Calibri" w:eastAsia="宋体" w:hAnsi="Calibri" w:cs="Times New Roman"/>
          <w:kern w:val="0"/>
          <w:sz w:val="20"/>
          <w:szCs w:val="20"/>
          <w:lang w:eastAsia="zh-Hans"/>
        </w:rPr>
        <w:t>采购人违约责任</w:t>
      </w:r>
      <w:r w:rsidRPr="00591CA9">
        <w:rPr>
          <w:rFonts w:ascii="Calibri" w:eastAsia="宋体" w:hAnsi="Calibri" w:cs="Times New Roman"/>
          <w:kern w:val="0"/>
          <w:sz w:val="20"/>
          <w:szCs w:val="20"/>
          <w:lang w:eastAsia="zh-Hans"/>
        </w:rPr>
        <w:t xml:space="preserve"> (1)</w:t>
      </w:r>
      <w:r w:rsidRPr="00591CA9">
        <w:rPr>
          <w:rFonts w:ascii="Calibri" w:eastAsia="宋体" w:hAnsi="Calibri" w:cs="Times New Roman"/>
          <w:kern w:val="0"/>
          <w:sz w:val="20"/>
          <w:szCs w:val="20"/>
          <w:lang w:eastAsia="zh-Hans"/>
        </w:rPr>
        <w:t>采购人无正当理由拒收产品超过</w:t>
      </w:r>
      <w:r w:rsidRPr="00591CA9">
        <w:rPr>
          <w:rFonts w:ascii="Calibri" w:eastAsia="宋体" w:hAnsi="Calibri" w:cs="Times New Roman"/>
          <w:kern w:val="0"/>
          <w:sz w:val="20"/>
          <w:szCs w:val="20"/>
          <w:lang w:eastAsia="zh-Hans"/>
        </w:rPr>
        <w:t>10</w:t>
      </w:r>
      <w:r w:rsidRPr="00591CA9">
        <w:rPr>
          <w:rFonts w:ascii="Calibri" w:eastAsia="宋体" w:hAnsi="Calibri" w:cs="Times New Roman"/>
          <w:kern w:val="0"/>
          <w:sz w:val="20"/>
          <w:szCs w:val="20"/>
          <w:lang w:eastAsia="zh-Hans"/>
        </w:rPr>
        <w:t>日的，采购人应向供应商偿付拒收部分对应合同价款</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％的违约金。</w:t>
      </w:r>
      <w:r w:rsidRPr="00591CA9">
        <w:rPr>
          <w:rFonts w:ascii="Calibri" w:eastAsia="宋体" w:hAnsi="Calibri" w:cs="Times New Roman"/>
          <w:kern w:val="0"/>
          <w:sz w:val="20"/>
          <w:szCs w:val="20"/>
          <w:lang w:eastAsia="zh-Hans"/>
        </w:rPr>
        <w:t xml:space="preserve"> (2)</w:t>
      </w:r>
      <w:r w:rsidRPr="00591CA9">
        <w:rPr>
          <w:rFonts w:ascii="Calibri" w:eastAsia="宋体" w:hAnsi="Calibri" w:cs="Times New Roman"/>
          <w:kern w:val="0"/>
          <w:sz w:val="20"/>
          <w:szCs w:val="20"/>
          <w:lang w:eastAsia="zh-Hans"/>
        </w:rPr>
        <w:t>采购人无正当理由未按合同规定的期限向供应商支付合同价款的，采购人逾期支付合同价款超过</w:t>
      </w:r>
      <w:r w:rsidRPr="00591CA9">
        <w:rPr>
          <w:rFonts w:ascii="Calibri" w:eastAsia="宋体" w:hAnsi="Calibri" w:cs="Times New Roman"/>
          <w:kern w:val="0"/>
          <w:sz w:val="20"/>
          <w:szCs w:val="20"/>
          <w:lang w:eastAsia="zh-Hans"/>
        </w:rPr>
        <w:t>15</w:t>
      </w:r>
      <w:r w:rsidRPr="00591CA9">
        <w:rPr>
          <w:rFonts w:ascii="Calibri" w:eastAsia="宋体" w:hAnsi="Calibri" w:cs="Times New Roman"/>
          <w:kern w:val="0"/>
          <w:sz w:val="20"/>
          <w:szCs w:val="20"/>
          <w:lang w:eastAsia="zh-Hans"/>
        </w:rPr>
        <w:t>个工作日的，采购人按照所逾期天数乘以应付而未付款项的</w:t>
      </w:r>
      <w:r w:rsidRPr="00591CA9">
        <w:rPr>
          <w:rFonts w:ascii="Calibri" w:eastAsia="宋体" w:hAnsi="Calibri" w:cs="Times New Roman"/>
          <w:kern w:val="0"/>
          <w:sz w:val="20"/>
          <w:szCs w:val="20"/>
          <w:lang w:eastAsia="zh-Hans"/>
        </w:rPr>
        <w:t>0.1‰/</w:t>
      </w:r>
      <w:r w:rsidRPr="00591CA9">
        <w:rPr>
          <w:rFonts w:ascii="Calibri" w:eastAsia="宋体" w:hAnsi="Calibri" w:cs="Times New Roman"/>
          <w:kern w:val="0"/>
          <w:sz w:val="20"/>
          <w:szCs w:val="20"/>
          <w:lang w:eastAsia="zh-Hans"/>
        </w:rPr>
        <w:t>日的标准向供应商支付违约金，但累计违约金总额不超过欠款总额的</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 xml:space="preserve"> 2.</w:t>
      </w:r>
      <w:r w:rsidRPr="00591CA9">
        <w:rPr>
          <w:rFonts w:ascii="Calibri" w:eastAsia="宋体" w:hAnsi="Calibri" w:cs="Times New Roman"/>
          <w:kern w:val="0"/>
          <w:sz w:val="20"/>
          <w:szCs w:val="20"/>
          <w:lang w:eastAsia="zh-Hans"/>
        </w:rPr>
        <w:t>供应商违约责任</w:t>
      </w:r>
      <w:r w:rsidRPr="00591CA9">
        <w:rPr>
          <w:rFonts w:ascii="Calibri" w:eastAsia="宋体" w:hAnsi="Calibri" w:cs="Times New Roman"/>
          <w:kern w:val="0"/>
          <w:sz w:val="20"/>
          <w:szCs w:val="20"/>
          <w:lang w:eastAsia="zh-Hans"/>
        </w:rPr>
        <w:t xml:space="preserve"> (1)</w:t>
      </w:r>
      <w:r w:rsidRPr="00591CA9">
        <w:rPr>
          <w:rFonts w:ascii="Calibri" w:eastAsia="宋体" w:hAnsi="Calibri" w:cs="Times New Roman"/>
          <w:kern w:val="0"/>
          <w:sz w:val="20"/>
          <w:szCs w:val="20"/>
          <w:lang w:eastAsia="zh-Hans"/>
        </w:rPr>
        <w:t>供应商应积极配合并接受项目行业管理部门、政府有关部门的指导及采购人的监督。按照要求配备服务团队，积极参与专题汇报、随机汇报、研讨等，若有违反，每人次需承担合同总价</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的违约金。</w:t>
      </w:r>
      <w:r w:rsidRPr="00591CA9">
        <w:rPr>
          <w:rFonts w:ascii="Calibri" w:eastAsia="宋体" w:hAnsi="Calibri" w:cs="Times New Roman"/>
          <w:kern w:val="0"/>
          <w:sz w:val="20"/>
          <w:szCs w:val="20"/>
          <w:lang w:eastAsia="zh-Hans"/>
        </w:rPr>
        <w:t xml:space="preserve"> (2)</w:t>
      </w:r>
      <w:r w:rsidRPr="00591CA9">
        <w:rPr>
          <w:rFonts w:ascii="Calibri" w:eastAsia="宋体" w:hAnsi="Calibri" w:cs="Times New Roman"/>
          <w:kern w:val="0"/>
          <w:sz w:val="20"/>
          <w:szCs w:val="20"/>
          <w:lang w:eastAsia="zh-Hans"/>
        </w:rPr>
        <w:t>供应商提供的服务不符合本合同规定的，采购人有权拒收，同时供应商应向采购人支付合同总价</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％的产品不合格违约金，同时需承担迟延履行的违约责任。供应商应在得到采购人通知之日起</w:t>
      </w:r>
      <w:r w:rsidRPr="00591CA9">
        <w:rPr>
          <w:rFonts w:ascii="Calibri" w:eastAsia="宋体" w:hAnsi="Calibri" w:cs="Times New Roman"/>
          <w:kern w:val="0"/>
          <w:sz w:val="20"/>
          <w:szCs w:val="20"/>
          <w:lang w:eastAsia="zh-Hans"/>
        </w:rPr>
        <w:t>10</w:t>
      </w:r>
      <w:r w:rsidRPr="00591CA9">
        <w:rPr>
          <w:rFonts w:ascii="Calibri" w:eastAsia="宋体" w:hAnsi="Calibri" w:cs="Times New Roman"/>
          <w:kern w:val="0"/>
          <w:sz w:val="20"/>
          <w:szCs w:val="20"/>
          <w:lang w:eastAsia="zh-Hans"/>
        </w:rPr>
        <w:t>个工作日内采取补救措施。若供应商上述期限内所提供的服务仍不符合规定，供应商应向采购人另行支付合同总价</w:t>
      </w:r>
      <w:r w:rsidRPr="00591CA9">
        <w:rPr>
          <w:rFonts w:ascii="Calibri" w:eastAsia="宋体" w:hAnsi="Calibri" w:cs="Times New Roman"/>
          <w:kern w:val="0"/>
          <w:sz w:val="20"/>
          <w:szCs w:val="20"/>
          <w:lang w:eastAsia="zh-Hans"/>
        </w:rPr>
        <w:t>10%</w:t>
      </w:r>
      <w:r w:rsidRPr="00591CA9">
        <w:rPr>
          <w:rFonts w:ascii="Calibri" w:eastAsia="宋体" w:hAnsi="Calibri" w:cs="Times New Roman"/>
          <w:kern w:val="0"/>
          <w:sz w:val="20"/>
          <w:szCs w:val="20"/>
          <w:lang w:eastAsia="zh-Hans"/>
        </w:rPr>
        <w:t>的违约金，同时采购人有权单方面无条件解除合同，并要求供应商退还已支付的所有资金及其利息（按每日万分之一计算）。</w:t>
      </w:r>
      <w:r w:rsidRPr="00591CA9">
        <w:rPr>
          <w:rFonts w:ascii="Calibri" w:eastAsia="宋体" w:hAnsi="Calibri" w:cs="Times New Roman"/>
          <w:kern w:val="0"/>
          <w:sz w:val="20"/>
          <w:szCs w:val="20"/>
          <w:lang w:eastAsia="zh-Hans"/>
        </w:rPr>
        <w:t xml:space="preserve"> (3)</w:t>
      </w:r>
      <w:r w:rsidRPr="00591CA9">
        <w:rPr>
          <w:rFonts w:ascii="Calibri" w:eastAsia="宋体" w:hAnsi="Calibri" w:cs="Times New Roman"/>
          <w:kern w:val="0"/>
          <w:sz w:val="20"/>
          <w:szCs w:val="20"/>
          <w:lang w:eastAsia="zh-Hans"/>
        </w:rPr>
        <w:t>供应商无正当理由未按服务要求的时间节点完成服务的，每逾期</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天，供应商向采购人偿付合同总价的</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的违约金。如供应商逾期达</w:t>
      </w:r>
      <w:r w:rsidRPr="00591CA9">
        <w:rPr>
          <w:rFonts w:ascii="Calibri" w:eastAsia="宋体" w:hAnsi="Calibri" w:cs="Times New Roman"/>
          <w:kern w:val="0"/>
          <w:sz w:val="20"/>
          <w:szCs w:val="20"/>
          <w:lang w:eastAsia="zh-Hans"/>
        </w:rPr>
        <w:t>15</w:t>
      </w:r>
      <w:r w:rsidRPr="00591CA9">
        <w:rPr>
          <w:rFonts w:ascii="Calibri" w:eastAsia="宋体" w:hAnsi="Calibri" w:cs="Times New Roman"/>
          <w:kern w:val="0"/>
          <w:sz w:val="20"/>
          <w:szCs w:val="20"/>
          <w:lang w:eastAsia="zh-Hans"/>
        </w:rPr>
        <w:t>天，采</w:t>
      </w:r>
      <w:r w:rsidRPr="00591CA9">
        <w:rPr>
          <w:rFonts w:ascii="Calibri" w:eastAsia="宋体" w:hAnsi="Calibri" w:cs="Times New Roman"/>
          <w:kern w:val="0"/>
          <w:sz w:val="20"/>
          <w:szCs w:val="20"/>
          <w:lang w:eastAsia="zh-Hans"/>
        </w:rPr>
        <w:lastRenderedPageBreak/>
        <w:t>购人有权解除合同，采购人解除合同的通知自到达供应商时生效，同时供应商应向采购人另行支付合同总价</w:t>
      </w:r>
      <w:r w:rsidRPr="00591CA9">
        <w:rPr>
          <w:rFonts w:ascii="Calibri" w:eastAsia="宋体" w:hAnsi="Calibri" w:cs="Times New Roman"/>
          <w:kern w:val="0"/>
          <w:sz w:val="20"/>
          <w:szCs w:val="20"/>
          <w:lang w:eastAsia="zh-Hans"/>
        </w:rPr>
        <w:t>10%</w:t>
      </w:r>
      <w:r w:rsidRPr="00591CA9">
        <w:rPr>
          <w:rFonts w:ascii="Calibri" w:eastAsia="宋体" w:hAnsi="Calibri" w:cs="Times New Roman"/>
          <w:kern w:val="0"/>
          <w:sz w:val="20"/>
          <w:szCs w:val="20"/>
          <w:lang w:eastAsia="zh-Hans"/>
        </w:rPr>
        <w:t>的违约金，并退还所有已收取的资金及其利息（按每日万分之一计算）。在此情况下，供应商给采购人造成的实际损失高于违约金的，对高出违约金的部分供应商应予以赔偿。</w:t>
      </w:r>
      <w:r w:rsidRPr="00591CA9">
        <w:rPr>
          <w:rFonts w:ascii="Calibri" w:eastAsia="宋体" w:hAnsi="Calibri" w:cs="Times New Roman"/>
          <w:kern w:val="0"/>
          <w:sz w:val="20"/>
          <w:szCs w:val="20"/>
          <w:lang w:eastAsia="zh-Hans"/>
        </w:rPr>
        <w:t xml:space="preserve"> (4)</w:t>
      </w:r>
      <w:r w:rsidRPr="00591CA9">
        <w:rPr>
          <w:rFonts w:ascii="Calibri" w:eastAsia="宋体" w:hAnsi="Calibri" w:cs="Times New Roman"/>
          <w:kern w:val="0"/>
          <w:sz w:val="20"/>
          <w:szCs w:val="20"/>
          <w:lang w:eastAsia="zh-Hans"/>
        </w:rPr>
        <w:t>供应商保证本合同产品和服务的权利无瑕疵，包括产品和服务的所有权及知识产权等权利无瑕疵。如产生了任何的纠纷、索赔或诉讼等，供应商除应向采购人返还已收款项及其利息（按每日万分之一计算）外，还应另按合同总价的</w:t>
      </w:r>
      <w:r w:rsidRPr="00591CA9">
        <w:rPr>
          <w:rFonts w:ascii="Calibri" w:eastAsia="宋体" w:hAnsi="Calibri" w:cs="Times New Roman"/>
          <w:kern w:val="0"/>
          <w:sz w:val="20"/>
          <w:szCs w:val="20"/>
          <w:lang w:eastAsia="zh-Hans"/>
        </w:rPr>
        <w:t>10%</w:t>
      </w:r>
      <w:r w:rsidRPr="00591CA9">
        <w:rPr>
          <w:rFonts w:ascii="Calibri" w:eastAsia="宋体" w:hAnsi="Calibri" w:cs="Times New Roman"/>
          <w:kern w:val="0"/>
          <w:sz w:val="20"/>
          <w:szCs w:val="20"/>
          <w:lang w:eastAsia="zh-Hans"/>
        </w:rPr>
        <w:t>向采购人支付违约金并赔偿因此给采购人造成的一切损失。</w:t>
      </w:r>
      <w:r w:rsidRPr="00591CA9">
        <w:rPr>
          <w:rFonts w:ascii="Calibri" w:eastAsia="宋体" w:hAnsi="Calibri" w:cs="Times New Roman"/>
          <w:kern w:val="0"/>
          <w:sz w:val="20"/>
          <w:szCs w:val="20"/>
          <w:lang w:eastAsia="zh-Hans"/>
        </w:rPr>
        <w:t xml:space="preserve"> (5)</w:t>
      </w:r>
      <w:r w:rsidRPr="00591CA9">
        <w:rPr>
          <w:rFonts w:ascii="Calibri" w:eastAsia="宋体" w:hAnsi="Calibri" w:cs="Times New Roman"/>
          <w:kern w:val="0"/>
          <w:sz w:val="20"/>
          <w:szCs w:val="20"/>
          <w:lang w:eastAsia="zh-Hans"/>
        </w:rPr>
        <w:t>除上述约定外，供应商未按照响应文件承诺和本合同约定提供服务的，每出现一次视为一次违约（逾期一天视为违约一次），供应商应按合同总价的</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向采购人支付违约金，并按照采购人要求及时整改。售后服务期内出现二次及以上违约的，采购人有权直接解除合同，自解除通知到达供应商时即生效。本合同履行期间，凡因供应商违约导致采购人解除合同的，供应商应退还采购人已付款（含按照每日万分之一计算的资金占用利息），还应另按合同总价的</w:t>
      </w:r>
      <w:r w:rsidRPr="00591CA9">
        <w:rPr>
          <w:rFonts w:ascii="Calibri" w:eastAsia="宋体" w:hAnsi="Calibri" w:cs="Times New Roman"/>
          <w:kern w:val="0"/>
          <w:sz w:val="20"/>
          <w:szCs w:val="20"/>
          <w:lang w:eastAsia="zh-Hans"/>
        </w:rPr>
        <w:t>10%</w:t>
      </w:r>
      <w:r w:rsidRPr="00591CA9">
        <w:rPr>
          <w:rFonts w:ascii="Calibri" w:eastAsia="宋体" w:hAnsi="Calibri" w:cs="Times New Roman"/>
          <w:kern w:val="0"/>
          <w:sz w:val="20"/>
          <w:szCs w:val="20"/>
          <w:lang w:eastAsia="zh-Hans"/>
        </w:rPr>
        <w:t>向采购人支付违约金并赔偿因此给采购人造成的一切损失。</w:t>
      </w:r>
      <w:r w:rsidRPr="00591CA9">
        <w:rPr>
          <w:rFonts w:ascii="Calibri" w:eastAsia="宋体" w:hAnsi="Calibri" w:cs="Times New Roman"/>
          <w:kern w:val="0"/>
          <w:sz w:val="20"/>
          <w:szCs w:val="20"/>
          <w:lang w:eastAsia="zh-Hans"/>
        </w:rPr>
        <w:t xml:space="preserve"> (6)</w:t>
      </w:r>
      <w:r w:rsidRPr="00591CA9">
        <w:rPr>
          <w:rFonts w:ascii="Calibri" w:eastAsia="宋体" w:hAnsi="Calibri" w:cs="Times New Roman"/>
          <w:kern w:val="0"/>
          <w:sz w:val="20"/>
          <w:szCs w:val="20"/>
          <w:lang w:eastAsia="zh-Hans"/>
        </w:rPr>
        <w:t>供应商未经采购人书面同意进行下列行为的，应当向采购人支付合同总金额</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的违约金，违约金不足以弥补采购人损失的，供应商还应当赔偿采购人遭受的一切损失，采购人并有权解除合同：</w:t>
      </w:r>
      <w:r w:rsidRPr="00591CA9">
        <w:rPr>
          <w:rFonts w:ascii="Calibri" w:eastAsia="宋体" w:hAnsi="Calibri" w:cs="Times New Roman"/>
          <w:kern w:val="0"/>
          <w:sz w:val="20"/>
          <w:szCs w:val="20"/>
          <w:lang w:eastAsia="zh-Hans"/>
        </w:rPr>
        <w:t xml:space="preserve"> ①</w:t>
      </w:r>
      <w:r w:rsidRPr="00591CA9">
        <w:rPr>
          <w:rFonts w:ascii="Calibri" w:eastAsia="宋体" w:hAnsi="Calibri" w:cs="Times New Roman"/>
          <w:kern w:val="0"/>
          <w:sz w:val="20"/>
          <w:szCs w:val="20"/>
          <w:lang w:eastAsia="zh-Hans"/>
        </w:rPr>
        <w:t>在任何时间内以任何形式（包括但不限于售卖、出租、赠与等）将本合同所涉货物或服务转让或提供给任何第三方，由第三方提供的货物或服务，采购人不予认可。</w:t>
      </w:r>
      <w:r w:rsidRPr="00591CA9">
        <w:rPr>
          <w:rFonts w:ascii="Calibri" w:eastAsia="宋体" w:hAnsi="Calibri" w:cs="Times New Roman"/>
          <w:kern w:val="0"/>
          <w:sz w:val="20"/>
          <w:szCs w:val="20"/>
          <w:lang w:eastAsia="zh-Hans"/>
        </w:rPr>
        <w:t xml:space="preserve"> ②</w:t>
      </w:r>
      <w:r w:rsidRPr="00591CA9">
        <w:rPr>
          <w:rFonts w:ascii="Calibri" w:eastAsia="宋体" w:hAnsi="Calibri" w:cs="Times New Roman"/>
          <w:kern w:val="0"/>
          <w:sz w:val="20"/>
          <w:szCs w:val="20"/>
          <w:lang w:eastAsia="zh-Hans"/>
        </w:rPr>
        <w:t>对本合同服务方案或服务过程中接触到的有关内容进行修订后生产相应产品，在任何时间内以任何形式（包括但不限于售卖、出租、赠与等）将上述货物或服务转让或者提供给任何第三方。</w:t>
      </w:r>
      <w:r w:rsidRPr="00591CA9">
        <w:rPr>
          <w:rFonts w:ascii="Calibri" w:eastAsia="宋体" w:hAnsi="Calibri" w:cs="Times New Roman"/>
          <w:kern w:val="0"/>
          <w:sz w:val="20"/>
          <w:szCs w:val="20"/>
          <w:lang w:eastAsia="zh-Hans"/>
        </w:rPr>
        <w:t xml:space="preserve"> (7)</w:t>
      </w:r>
      <w:r w:rsidRPr="00591CA9">
        <w:rPr>
          <w:rFonts w:ascii="Calibri" w:eastAsia="宋体" w:hAnsi="Calibri" w:cs="Times New Roman"/>
          <w:kern w:val="0"/>
          <w:sz w:val="20"/>
          <w:szCs w:val="20"/>
          <w:lang w:eastAsia="zh-Hans"/>
        </w:rPr>
        <w:t>疫情安全保障义务：供应商在服务过程中应严格遵守国家的防疫政策与要求。若采购人要求制定特殊疫情防控保障方案的，应积极配合并在采购人指定时间内完成方案并提交采购人审核、执行。如供应商未履行上述义务的，应当向采购人支付合同总金额</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的违约金，且采购人自行或者委托第三方进行消毒、检疫，费用由供应商承担。违约金不足以弥补采购人损失的，供应商还应当赔偿采购人遭受的一切损失，采购人并有权解除合同。</w:t>
      </w:r>
      <w:r w:rsidRPr="00591CA9">
        <w:rPr>
          <w:rFonts w:ascii="Calibri" w:eastAsia="宋体" w:hAnsi="Calibri" w:cs="Times New Roman"/>
          <w:kern w:val="0"/>
          <w:sz w:val="20"/>
          <w:szCs w:val="20"/>
          <w:lang w:eastAsia="zh-Hans"/>
        </w:rPr>
        <w:t xml:space="preserve"> (8)</w:t>
      </w:r>
      <w:r w:rsidRPr="00591CA9">
        <w:rPr>
          <w:rFonts w:ascii="Calibri" w:eastAsia="宋体" w:hAnsi="Calibri" w:cs="Times New Roman"/>
          <w:kern w:val="0"/>
          <w:sz w:val="20"/>
          <w:szCs w:val="20"/>
          <w:lang w:eastAsia="zh-Hans"/>
        </w:rPr>
        <w:t>如果供应商有其他违反合同约定的行为的，应当向采购人支付合同总金额</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的违约金，违约金不足以弥补采购人损失的，还应当赔偿采购人遭受的一切损失。本合同项下采购人损失包括直接损失和间接损失，以及为实现上述赔偿所支付的一切费用，包括但不限于诉讼费、律师费、公证费、差旅费等等。</w:t>
      </w:r>
      <w:r w:rsidRPr="00591CA9">
        <w:rPr>
          <w:rFonts w:ascii="Calibri" w:eastAsia="宋体" w:hAnsi="Calibri" w:cs="Times New Roman"/>
          <w:kern w:val="0"/>
          <w:sz w:val="20"/>
          <w:szCs w:val="20"/>
          <w:lang w:eastAsia="zh-Hans"/>
        </w:rPr>
        <w:t xml:space="preserve"> 3.</w:t>
      </w:r>
      <w:r w:rsidRPr="00591CA9">
        <w:rPr>
          <w:rFonts w:ascii="Calibri" w:eastAsia="宋体" w:hAnsi="Calibri" w:cs="Times New Roman"/>
          <w:kern w:val="0"/>
          <w:sz w:val="20"/>
          <w:szCs w:val="20"/>
          <w:lang w:eastAsia="zh-Hans"/>
        </w:rPr>
        <w:t>一方偿付的违约金不足以弥补另一方损失的，还应按另一方损失尚未弥补的部分，支付赔偿金给另一方。任何一个工作节点超时达到</w:t>
      </w:r>
      <w:r w:rsidRPr="00591CA9">
        <w:rPr>
          <w:rFonts w:ascii="Calibri" w:eastAsia="宋体" w:hAnsi="Calibri" w:cs="Times New Roman"/>
          <w:kern w:val="0"/>
          <w:sz w:val="20"/>
          <w:szCs w:val="20"/>
          <w:lang w:eastAsia="zh-Hans"/>
        </w:rPr>
        <w:t>15</w:t>
      </w:r>
      <w:r w:rsidRPr="00591CA9">
        <w:rPr>
          <w:rFonts w:ascii="Calibri" w:eastAsia="宋体" w:hAnsi="Calibri" w:cs="Times New Roman"/>
          <w:kern w:val="0"/>
          <w:sz w:val="20"/>
          <w:szCs w:val="20"/>
          <w:lang w:eastAsia="zh-Hans"/>
        </w:rPr>
        <w:t>天时，采购人均可解除合同。</w:t>
      </w:r>
      <w:r w:rsidRPr="00591CA9">
        <w:rPr>
          <w:rFonts w:ascii="Calibri" w:eastAsia="宋体" w:hAnsi="Calibri" w:cs="Times New Roman"/>
          <w:kern w:val="0"/>
          <w:sz w:val="20"/>
          <w:szCs w:val="20"/>
          <w:lang w:eastAsia="zh-Hans"/>
        </w:rPr>
        <w:t xml:space="preserve"> b</w:t>
      </w:r>
      <w:r w:rsidRPr="00591CA9">
        <w:rPr>
          <w:rFonts w:ascii="Calibri" w:eastAsia="宋体" w:hAnsi="Calibri" w:cs="Times New Roman"/>
          <w:kern w:val="0"/>
          <w:sz w:val="20"/>
          <w:szCs w:val="20"/>
          <w:lang w:eastAsia="zh-Hans"/>
        </w:rPr>
        <w:t>、争议管辖：</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在执行本合同中发生的或与本合同有关的争端，双方应通过友好协商解决，经协商在</w:t>
      </w:r>
      <w:r w:rsidRPr="00591CA9">
        <w:rPr>
          <w:rFonts w:ascii="Calibri" w:eastAsia="宋体" w:hAnsi="Calibri" w:cs="Times New Roman"/>
          <w:kern w:val="0"/>
          <w:sz w:val="20"/>
          <w:szCs w:val="20"/>
          <w:lang w:eastAsia="zh-Hans"/>
        </w:rPr>
        <w:t>30</w:t>
      </w:r>
      <w:r w:rsidRPr="00591CA9">
        <w:rPr>
          <w:rFonts w:ascii="Calibri" w:eastAsia="宋体" w:hAnsi="Calibri" w:cs="Times New Roman"/>
          <w:kern w:val="0"/>
          <w:sz w:val="20"/>
          <w:szCs w:val="20"/>
          <w:lang w:eastAsia="zh-Hans"/>
        </w:rPr>
        <w:t>天内不能达成协议时，应选择以下第</w:t>
      </w:r>
      <w:r w:rsidRPr="00591CA9">
        <w:rPr>
          <w:rFonts w:ascii="Calibri" w:eastAsia="宋体" w:hAnsi="Calibri" w:cs="Times New Roman"/>
          <w:kern w:val="0"/>
          <w:sz w:val="20"/>
          <w:szCs w:val="20"/>
          <w:lang w:eastAsia="zh-Hans"/>
        </w:rPr>
        <w:t xml:space="preserve"> 2 </w:t>
      </w:r>
      <w:r w:rsidRPr="00591CA9">
        <w:rPr>
          <w:rFonts w:ascii="Calibri" w:eastAsia="宋体" w:hAnsi="Calibri" w:cs="Times New Roman"/>
          <w:kern w:val="0"/>
          <w:sz w:val="20"/>
          <w:szCs w:val="20"/>
          <w:lang w:eastAsia="zh-Hans"/>
        </w:rPr>
        <w:t>种解决方式：</w:t>
      </w:r>
      <w:r w:rsidRPr="00591CA9">
        <w:rPr>
          <w:rFonts w:ascii="Calibri" w:eastAsia="宋体" w:hAnsi="Calibri" w:cs="Times New Roman"/>
          <w:kern w:val="0"/>
          <w:sz w:val="20"/>
          <w:szCs w:val="20"/>
          <w:lang w:eastAsia="zh-Hans"/>
        </w:rPr>
        <w:t xml:space="preserve"> 1.</w:t>
      </w:r>
      <w:r w:rsidRPr="00591CA9">
        <w:rPr>
          <w:rFonts w:ascii="Calibri" w:eastAsia="宋体" w:hAnsi="Calibri" w:cs="Times New Roman"/>
          <w:kern w:val="0"/>
          <w:sz w:val="20"/>
          <w:szCs w:val="20"/>
          <w:lang w:eastAsia="zh-Hans"/>
        </w:rPr>
        <w:t>提交成都仲裁委员会依照其现行有效的仲裁规则进行仲裁；</w:t>
      </w:r>
      <w:r w:rsidRPr="00591CA9">
        <w:rPr>
          <w:rFonts w:ascii="Calibri" w:eastAsia="宋体" w:hAnsi="Calibri" w:cs="Times New Roman"/>
          <w:kern w:val="0"/>
          <w:sz w:val="20"/>
          <w:szCs w:val="20"/>
          <w:lang w:eastAsia="zh-Hans"/>
        </w:rPr>
        <w:t xml:space="preserve"> 2.</w:t>
      </w:r>
      <w:r w:rsidRPr="00591CA9">
        <w:rPr>
          <w:rFonts w:ascii="Calibri" w:eastAsia="宋体" w:hAnsi="Calibri" w:cs="Times New Roman"/>
          <w:kern w:val="0"/>
          <w:sz w:val="20"/>
          <w:szCs w:val="20"/>
          <w:lang w:eastAsia="zh-Hans"/>
        </w:rPr>
        <w:t>向采购人所在地有管辖权的法院提起诉讼，诉讼产生相应的费用应由败诉方负担。在法院审理期间，除有争议部分外，本合同其他部分可以履行的仍应按合同条款继续履行。</w:t>
      </w:r>
    </w:p>
    <w:p w:rsidR="00591CA9" w:rsidRPr="00591CA9" w:rsidRDefault="00591CA9" w:rsidP="00591CA9">
      <w:pPr>
        <w:widowControl/>
        <w:jc w:val="left"/>
        <w:outlineLvl w:val="2"/>
        <w:rPr>
          <w:rFonts w:ascii="Calibri" w:eastAsia="宋体" w:hAnsi="Calibri" w:cs="Times New Roman"/>
          <w:kern w:val="0"/>
          <w:sz w:val="20"/>
          <w:szCs w:val="20"/>
          <w:lang w:eastAsia="zh-Hans"/>
        </w:rPr>
      </w:pPr>
      <w:r w:rsidRPr="00591CA9">
        <w:rPr>
          <w:rFonts w:ascii="Calibri" w:eastAsia="宋体" w:hAnsi="Calibri" w:cs="Times New Roman"/>
          <w:b/>
          <w:kern w:val="0"/>
          <w:sz w:val="28"/>
          <w:szCs w:val="20"/>
          <w:lang w:eastAsia="zh-Hans"/>
        </w:rPr>
        <w:t>3.4</w:t>
      </w:r>
      <w:r w:rsidRPr="00591CA9">
        <w:rPr>
          <w:rFonts w:ascii="Calibri" w:eastAsia="宋体" w:hAnsi="Calibri" w:cs="Times New Roman"/>
          <w:b/>
          <w:kern w:val="0"/>
          <w:sz w:val="28"/>
          <w:szCs w:val="20"/>
          <w:lang w:eastAsia="zh-Hans"/>
        </w:rPr>
        <w:t>其他要求</w:t>
      </w: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p>
    <w:p w:rsidR="00591CA9" w:rsidRPr="00591CA9" w:rsidRDefault="00591CA9" w:rsidP="00591CA9">
      <w:pPr>
        <w:widowControl/>
        <w:jc w:val="left"/>
        <w:rPr>
          <w:rFonts w:ascii="Calibri" w:eastAsia="宋体" w:hAnsi="Calibri" w:cs="Times New Roman"/>
          <w:kern w:val="0"/>
          <w:sz w:val="20"/>
          <w:szCs w:val="20"/>
          <w:lang w:eastAsia="zh-Hans"/>
        </w:rPr>
      </w:pPr>
      <w:r w:rsidRPr="00591CA9">
        <w:rPr>
          <w:rFonts w:ascii="Segoe UI Symbol" w:eastAsia="宋体" w:hAnsi="Segoe UI Symbol" w:cs="Segoe UI Symbol"/>
          <w:kern w:val="0"/>
          <w:sz w:val="20"/>
          <w:szCs w:val="20"/>
          <w:lang w:eastAsia="zh-Hans"/>
        </w:rPr>
        <w:t>★</w:t>
      </w:r>
      <w:r w:rsidRPr="00591CA9">
        <w:rPr>
          <w:rFonts w:ascii="Calibri" w:eastAsia="宋体" w:hAnsi="Calibri" w:cs="Times New Roman"/>
          <w:kern w:val="0"/>
          <w:sz w:val="20"/>
          <w:szCs w:val="20"/>
          <w:lang w:eastAsia="zh-Hans"/>
        </w:rPr>
        <w:t>1.</w:t>
      </w:r>
      <w:r w:rsidRPr="00591CA9">
        <w:rPr>
          <w:rFonts w:ascii="Calibri" w:eastAsia="宋体" w:hAnsi="Calibri" w:cs="Times New Roman"/>
          <w:kern w:val="0"/>
          <w:sz w:val="20"/>
          <w:szCs w:val="20"/>
          <w:lang w:eastAsia="zh-Hans"/>
        </w:rPr>
        <w:t>包装方式及运输：涉及的商品包装和快递包装，均应符合《商品包装政府采购需求标准（试行）》《快递包装政府采购需求标准（试行）》的要求，包装应适应于远距离运输、防潮、防震、防锈和防野蛮装卸，以确保货物安全无损运抵指定地点。【编制于第六章响应文件格式</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《商务应答表》】</w:t>
      </w:r>
      <w:r w:rsidRPr="00591CA9">
        <w:rPr>
          <w:rFonts w:ascii="Calibri" w:eastAsia="宋体" w:hAnsi="Calibri" w:cs="Times New Roman"/>
          <w:kern w:val="0"/>
          <w:sz w:val="20"/>
          <w:szCs w:val="20"/>
          <w:lang w:eastAsia="zh-Hans"/>
        </w:rPr>
        <w:t xml:space="preserve"> 2.</w:t>
      </w:r>
      <w:r w:rsidRPr="00591CA9">
        <w:rPr>
          <w:rFonts w:ascii="Calibri" w:eastAsia="宋体" w:hAnsi="Calibri" w:cs="Times New Roman"/>
          <w:kern w:val="0"/>
          <w:sz w:val="20"/>
          <w:szCs w:val="20"/>
          <w:lang w:eastAsia="zh-Hans"/>
        </w:rPr>
        <w:t>说明（本说明无需供应商进行响应）：针对磋商文件第二章</w:t>
      </w:r>
      <w:r w:rsidRPr="00591CA9">
        <w:rPr>
          <w:rFonts w:ascii="Calibri" w:eastAsia="宋体" w:hAnsi="Calibri" w:cs="Times New Roman"/>
          <w:kern w:val="0"/>
          <w:sz w:val="20"/>
          <w:szCs w:val="20"/>
          <w:lang w:eastAsia="zh-Hans"/>
        </w:rPr>
        <w:t>2.4.9</w:t>
      </w:r>
      <w:r w:rsidRPr="00591CA9">
        <w:rPr>
          <w:rFonts w:ascii="Calibri" w:eastAsia="宋体" w:hAnsi="Calibri" w:cs="Times New Roman"/>
          <w:kern w:val="0"/>
          <w:sz w:val="20"/>
          <w:szCs w:val="20"/>
          <w:lang w:eastAsia="zh-Hans"/>
        </w:rPr>
        <w:t>中</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供应商应按照客户端操作要求，对应磋商文件的每项实质性要求，逐一如实响应</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，除磋商文件中的明确要求进行单独响应或承诺的实质性要求外，对于其他实质性要求，供应商在《投标（响应）函》中以</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我单位完全接受和理解本项目采购文件规定的实质性要求</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进行承诺即视为响应。</w:t>
      </w:r>
      <w:r w:rsidRPr="00591CA9">
        <w:rPr>
          <w:rFonts w:ascii="Calibri" w:eastAsia="宋体" w:hAnsi="Calibri" w:cs="Times New Roman"/>
          <w:kern w:val="0"/>
          <w:sz w:val="20"/>
          <w:szCs w:val="20"/>
          <w:lang w:eastAsia="zh-Hans"/>
        </w:rPr>
        <w:t xml:space="preserve"> 3.</w:t>
      </w:r>
      <w:r w:rsidRPr="00591CA9">
        <w:rPr>
          <w:rFonts w:ascii="Calibri" w:eastAsia="宋体" w:hAnsi="Calibri" w:cs="Times New Roman"/>
          <w:kern w:val="0"/>
          <w:sz w:val="20"/>
          <w:szCs w:val="20"/>
          <w:lang w:eastAsia="zh-Hans"/>
        </w:rPr>
        <w:t>说明（本说明无需供应商进行响应）：因系统固化原因，采购文件第二章《供应商须</w:t>
      </w:r>
      <w:r w:rsidRPr="00591CA9">
        <w:rPr>
          <w:rFonts w:ascii="Calibri" w:eastAsia="宋体" w:hAnsi="Calibri" w:cs="Times New Roman"/>
          <w:kern w:val="0"/>
          <w:sz w:val="20"/>
          <w:szCs w:val="20"/>
          <w:lang w:eastAsia="zh-Hans"/>
        </w:rPr>
        <w:lastRenderedPageBreak/>
        <w:t>知前附表》中</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响应产品属于中国政府采购网公布的《无线局域网认证产品政府采购清单》且在有效期内的，按《财政部</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国家发展改革委</w:t>
      </w:r>
      <w:r w:rsidRPr="00591CA9">
        <w:rPr>
          <w:rFonts w:ascii="Calibri" w:eastAsia="宋体" w:hAnsi="Calibri" w:cs="Times New Roman"/>
          <w:kern w:val="0"/>
          <w:sz w:val="20"/>
          <w:szCs w:val="20"/>
          <w:lang w:eastAsia="zh-Hans"/>
        </w:rPr>
        <w:t xml:space="preserve"> </w:t>
      </w:r>
      <w:r w:rsidRPr="00591CA9">
        <w:rPr>
          <w:rFonts w:ascii="Calibri" w:eastAsia="宋体" w:hAnsi="Calibri" w:cs="Times New Roman"/>
          <w:kern w:val="0"/>
          <w:sz w:val="20"/>
          <w:szCs w:val="20"/>
          <w:lang w:eastAsia="zh-Hans"/>
        </w:rPr>
        <w:t>信息产业部关于印发无线局域网产品政府采购实施意见的通知》（财库〔</w:t>
      </w:r>
      <w:r w:rsidRPr="00591CA9">
        <w:rPr>
          <w:rFonts w:ascii="Calibri" w:eastAsia="宋体" w:hAnsi="Calibri" w:cs="Times New Roman"/>
          <w:kern w:val="0"/>
          <w:sz w:val="20"/>
          <w:szCs w:val="20"/>
          <w:lang w:eastAsia="zh-Hans"/>
        </w:rPr>
        <w:t>2005</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366</w:t>
      </w:r>
      <w:r w:rsidRPr="00591CA9">
        <w:rPr>
          <w:rFonts w:ascii="Calibri" w:eastAsia="宋体" w:hAnsi="Calibri" w:cs="Times New Roman"/>
          <w:kern w:val="0"/>
          <w:sz w:val="20"/>
          <w:szCs w:val="20"/>
          <w:lang w:eastAsia="zh-Hans"/>
        </w:rPr>
        <w:t>号）要求优先采购。</w:t>
      </w:r>
      <w:r w:rsidRPr="00591CA9">
        <w:rPr>
          <w:rFonts w:ascii="Calibri" w:eastAsia="宋体" w:hAnsi="Calibri" w:cs="Times New Roman"/>
          <w:kern w:val="0"/>
          <w:sz w:val="20"/>
          <w:szCs w:val="20"/>
          <w:lang w:eastAsia="zh-Hans"/>
        </w:rPr>
        <w:t>”</w:t>
      </w:r>
      <w:r w:rsidRPr="00591CA9">
        <w:rPr>
          <w:rFonts w:ascii="Calibri" w:eastAsia="宋体" w:hAnsi="Calibri" w:cs="Times New Roman"/>
          <w:kern w:val="0"/>
          <w:sz w:val="20"/>
          <w:szCs w:val="20"/>
          <w:lang w:eastAsia="zh-Hans"/>
        </w:rPr>
        <w:t>不适用于本项目。</w:t>
      </w:r>
    </w:p>
    <w:p w:rsidR="009878D9" w:rsidRDefault="009878D9"/>
    <w:sectPr w:rsidR="00987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CA9" w:rsidRDefault="00591CA9" w:rsidP="00591CA9">
      <w:r>
        <w:separator/>
      </w:r>
    </w:p>
  </w:endnote>
  <w:endnote w:type="continuationSeparator" w:id="0">
    <w:p w:rsidR="00591CA9" w:rsidRDefault="00591CA9" w:rsidP="0059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CA9" w:rsidRDefault="00591CA9" w:rsidP="00591CA9">
      <w:r>
        <w:separator/>
      </w:r>
    </w:p>
  </w:footnote>
  <w:footnote w:type="continuationSeparator" w:id="0">
    <w:p w:rsidR="00591CA9" w:rsidRDefault="00591CA9" w:rsidP="00591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44"/>
    <w:rsid w:val="00591CA9"/>
    <w:rsid w:val="009878D9"/>
    <w:rsid w:val="00DC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CA651B-9686-426D-8FD1-4E0679E0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CA9"/>
    <w:rPr>
      <w:sz w:val="18"/>
      <w:szCs w:val="18"/>
    </w:rPr>
  </w:style>
  <w:style w:type="paragraph" w:styleId="a4">
    <w:name w:val="footer"/>
    <w:basedOn w:val="a"/>
    <w:link w:val="Char0"/>
    <w:uiPriority w:val="99"/>
    <w:unhideWhenUsed/>
    <w:rsid w:val="00591CA9"/>
    <w:pPr>
      <w:tabs>
        <w:tab w:val="center" w:pos="4153"/>
        <w:tab w:val="right" w:pos="8306"/>
      </w:tabs>
      <w:snapToGrid w:val="0"/>
      <w:jc w:val="left"/>
    </w:pPr>
    <w:rPr>
      <w:sz w:val="18"/>
      <w:szCs w:val="18"/>
    </w:rPr>
  </w:style>
  <w:style w:type="character" w:customStyle="1" w:styleId="Char0">
    <w:name w:val="页脚 Char"/>
    <w:basedOn w:val="a0"/>
    <w:link w:val="a4"/>
    <w:uiPriority w:val="99"/>
    <w:rsid w:val="00591C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2024-05-16T04:11:00Z</dcterms:created>
  <dcterms:modified xsi:type="dcterms:W3CDTF">2024-05-16T04:12:00Z</dcterms:modified>
</cp:coreProperties>
</file>