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445281-2024-02056</w:t>
      </w:r>
    </w:p>
    <w:p>
      <w:pPr>
        <w:pStyle w:val="null3"/>
        <w:jc w:val="center"/>
        <w:outlineLvl w:val="3"/>
      </w:pPr>
      <w:r>
        <w:rPr>
          <w:sz w:val="24"/>
          <w:b/>
        </w:rPr>
        <w:t>采购项目编号：</w:t>
      </w:r>
      <w:r>
        <w:rPr>
          <w:sz w:val="24"/>
          <w:b/>
        </w:rPr>
        <w:t>YC024FGG05007GD</w:t>
      </w:r>
    </w:p>
    <w:p>
      <w:pPr>
        <w:pStyle w:val="null3"/>
        <w:jc w:val="center"/>
        <w:outlineLvl w:val="3"/>
      </w:pPr>
      <w:r>
        <w:rPr>
          <w:sz w:val="24"/>
          <w:b/>
        </w:rPr>
        <w:t>项目名称：</w:t>
      </w:r>
      <w:r>
        <w:rPr>
          <w:sz w:val="24"/>
          <w:b/>
        </w:rPr>
        <w:t>2024年普宁市病媒生物防制服务项目</w:t>
      </w:r>
    </w:p>
    <w:p>
      <w:pPr>
        <w:pStyle w:val="null3"/>
        <w:jc w:val="center"/>
        <w:outlineLvl w:val="3"/>
      </w:pPr>
      <w:r>
        <w:rPr>
          <w:sz w:val="24"/>
          <w:b/>
        </w:rPr>
        <w:t>采购人：</w:t>
      </w:r>
      <w:r>
        <w:rPr>
          <w:sz w:val="24"/>
          <w:b/>
        </w:rPr>
        <w:t>普宁市卫生健康局</w:t>
      </w:r>
    </w:p>
    <w:p>
      <w:pPr>
        <w:pStyle w:val="null3"/>
        <w:jc w:val="center"/>
        <w:outlineLvl w:val="3"/>
      </w:pPr>
      <w:r>
        <w:rPr>
          <w:sz w:val="24"/>
          <w:b/>
        </w:rPr>
        <w:t>采购代理机构：</w:t>
      </w:r>
      <w:r>
        <w:rPr>
          <w:sz w:val="24"/>
          <w:b/>
        </w:rPr>
        <w:t>广东悦诚招标代理有限公司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广东悦诚招标代理有限公司</w:t>
      </w:r>
      <w:r>
        <w:rPr/>
        <w:t>受</w:t>
      </w:r>
      <w:r>
        <w:rPr/>
        <w:t>普宁市卫生健康局</w:t>
      </w:r>
      <w:r>
        <w:rPr/>
        <w:t>的委托，采用</w:t>
      </w:r>
      <w:r>
        <w:rPr/>
        <w:t>公开招标</w:t>
      </w:r>
      <w:r>
        <w:rPr/>
        <w:t>方式组织采购</w:t>
      </w:r>
      <w:r>
        <w:rPr/>
        <w:t>2024年普宁市病媒生物防制服务项目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2024年普宁市病媒生物防制服务项目</w:t>
      </w:r>
    </w:p>
    <w:p>
      <w:pPr>
        <w:pStyle w:val="null3"/>
        <w:ind w:firstLine="480"/>
      </w:pPr>
      <w:r>
        <w:rPr/>
        <w:t>采购计划编号：</w:t>
      </w:r>
      <w:r>
        <w:rPr/>
        <w:t>445281-2024-02056</w:t>
      </w:r>
    </w:p>
    <w:p>
      <w:pPr>
        <w:pStyle w:val="null3"/>
        <w:ind w:firstLine="480"/>
      </w:pPr>
      <w:r>
        <w:rPr/>
        <w:t>采购项目编号：</w:t>
      </w:r>
      <w:r>
        <w:rPr/>
        <w:t>YC024FGG05007GD</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采购包1(2024年普宁市病媒生物防制服务):</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其他生态环境治理服务</w:t>
            </w:r>
          </w:p>
        </w:tc>
        <w:tc>
          <w:tcPr>
            <w:tcW w:type="dxa" w:w="2136"/>
          </w:tcPr>
          <w:p>
            <w:pPr>
              <w:pStyle w:val="null3"/>
            </w:pPr>
            <w:r>
              <w:rPr/>
              <w:t>2024年普宁市病媒生物防制服务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合同履行期限：按合同约定委托服务之日起一年内完成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Pr>
        <w:pStyle w:val="null3"/>
      </w:pPr>
      <w:r>
        <w:rPr/>
        <w:t>2）有依法缴纳税收和社会保障资金的良好记录：供应商必须有依法缴纳税收和社会保障资金的良好记录。【投标时须提供《资格承诺函》，可参照公告附件格式】</w:t>
      </w:r>
    </w:p>
    <w:p>
      <w:pPr>
        <w:pStyle w:val="null3"/>
      </w:pPr>
      <w:r>
        <w:rPr/>
        <w:t>3）具有良好的商业信誉和健全的财务会计制度：供应商必须具有良好的商业信誉和健全的财务会计制度。【投标时须提供《资格承诺函》，可参照公告附件格式】</w:t>
      </w:r>
    </w:p>
    <w:p>
      <w:pPr>
        <w:pStyle w:val="null3"/>
      </w:pPr>
      <w:r>
        <w:rPr/>
        <w:t>4）履行合同所必需的设备和专业技术能力：供应商必须具有履行合同所必需的设备和专业技术能力。【投标时须提供《设备和专业技术能力情况表》，可参照公告附件格式】</w:t>
      </w:r>
    </w:p>
    <w:p>
      <w:pPr>
        <w:pStyle w:val="null3"/>
      </w:pPr>
      <w:r>
        <w:rPr/>
        <w:t>5）参加采购活动前3年内，在经营活动中没有重大违法记录：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采购包1（2024年普宁市病媒生物防制服务）：</w:t>
      </w:r>
      <w:r>
        <w:rPr/>
        <w:t>本项目不属于专门面向中小企业采购的项目</w:t>
      </w:r>
    </w:p>
    <w:p>
      <w:pPr>
        <w:pStyle w:val="null3"/>
        <w:outlineLvl w:val="3"/>
      </w:pPr>
      <w:r>
        <w:rPr>
          <w:sz w:val="24"/>
          <w:b/>
        </w:rPr>
        <w:t>3.本项目特定的资格要求：</w:t>
      </w:r>
    </w:p>
    <w:p>
      <w:pPr>
        <w:pStyle w:val="null3"/>
      </w:pPr>
      <w:r>
        <w:rPr/>
        <w:t>采购包1（2024年普宁市病媒生物防制服务）：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yeucen.com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普宁市卫生健康局</w:t>
      </w:r>
    </w:p>
    <w:p>
      <w:pPr>
        <w:pStyle w:val="null3"/>
        <w:ind w:firstLine="480"/>
      </w:pPr>
      <w:r>
        <w:rPr/>
        <w:t xml:space="preserve"> 地址：</w:t>
      </w:r>
      <w:r>
        <w:rPr/>
        <w:t>普宁市流沙北街道建设路中段</w:t>
      </w:r>
    </w:p>
    <w:p>
      <w:pPr>
        <w:pStyle w:val="null3"/>
        <w:ind w:firstLine="480"/>
      </w:pPr>
      <w:r>
        <w:rPr/>
        <w:t xml:space="preserve"> 联系方式：</w:t>
      </w:r>
      <w:r>
        <w:rPr/>
        <w:t>0663-2920080</w:t>
      </w:r>
    </w:p>
    <w:p>
      <w:pPr>
        <w:pStyle w:val="null3"/>
        <w:outlineLvl w:val="3"/>
      </w:pPr>
      <w:r>
        <w:rPr>
          <w:sz w:val="24"/>
          <w:b/>
        </w:rPr>
        <w:t xml:space="preserve"> 2.采购代理机构信息</w:t>
      </w:r>
    </w:p>
    <w:p>
      <w:pPr>
        <w:pStyle w:val="null3"/>
        <w:ind w:firstLine="480"/>
      </w:pPr>
      <w:r>
        <w:rPr/>
        <w:t xml:space="preserve"> 名称：</w:t>
      </w:r>
      <w:r>
        <w:rPr/>
        <w:t>广东悦诚招标代理有限公司</w:t>
      </w:r>
    </w:p>
    <w:p>
      <w:pPr>
        <w:pStyle w:val="null3"/>
        <w:ind w:firstLine="480"/>
      </w:pPr>
      <w:r>
        <w:rPr/>
        <w:t xml:space="preserve"> 地址：</w:t>
      </w:r>
      <w:r>
        <w:rPr/>
        <w:t>普宁市普宁大道商业街南侧林青段西起第13幢</w:t>
      </w:r>
    </w:p>
    <w:p>
      <w:pPr>
        <w:pStyle w:val="null3"/>
        <w:ind w:firstLine="480"/>
      </w:pPr>
      <w:r>
        <w:rPr/>
        <w:t xml:space="preserve"> 联系方式：</w:t>
      </w:r>
      <w:r>
        <w:rPr/>
        <w:t>0663-6186588</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0663-6186588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广东悦诚招标代理有限公司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color w:val="222222"/>
          <w:shd w:fill="FFFFFF" w:val="clear"/>
        </w:rPr>
        <w:t>项目编号：</w:t>
      </w:r>
      <w:r>
        <w:rPr>
          <w:sz w:val="28"/>
          <w:color w:val="222222"/>
          <w:shd w:fill="FFFFFF" w:val="clear"/>
        </w:rPr>
        <w:t>YC024FGG05007GD</w:t>
      </w:r>
    </w:p>
    <w:p>
      <w:pPr>
        <w:pStyle w:val="null3"/>
        <w:spacing w:before="90" w:after="90"/>
        <w:ind w:firstLine="560"/>
        <w:jc w:val="both"/>
      </w:pPr>
      <w:r>
        <w:rPr>
          <w:sz w:val="28"/>
          <w:color w:val="222222"/>
          <w:shd w:fill="FFFFFF" w:val="clear"/>
        </w:rPr>
        <w:t>项目名称：</w:t>
      </w:r>
      <w:r>
        <w:rPr>
          <w:sz w:val="28"/>
          <w:color w:val="222222"/>
          <w:shd w:fill="FFFFFF" w:val="clear"/>
        </w:rPr>
        <w:t>2024年普宁市病媒生物防制服务项目</w:t>
      </w:r>
    </w:p>
    <w:p>
      <w:pPr>
        <w:pStyle w:val="null3"/>
        <w:spacing w:before="90" w:after="90"/>
        <w:ind w:firstLine="560"/>
        <w:jc w:val="both"/>
      </w:pPr>
      <w:r>
        <w:rPr>
          <w:sz w:val="28"/>
          <w:color w:val="222222"/>
          <w:shd w:fill="FFFFFF" w:val="clear"/>
        </w:rPr>
        <w:t>预算金额：</w:t>
      </w:r>
      <w:r>
        <w:rPr>
          <w:sz w:val="28"/>
          <w:color w:val="222222"/>
          <w:shd w:fill="FFFFFF" w:val="clear"/>
        </w:rPr>
        <w:t>4800000.00</w:t>
      </w:r>
    </w:p>
    <w:p>
      <w:pPr>
        <w:pStyle w:val="null3"/>
        <w:spacing w:before="90" w:after="90"/>
        <w:ind w:firstLine="560"/>
        <w:jc w:val="both"/>
      </w:pPr>
      <w:r>
        <w:rPr>
          <w:sz w:val="28"/>
          <w:color w:val="222222"/>
          <w:shd w:fill="FFFFFF" w:val="clear"/>
        </w:rPr>
        <w:t>最高限价（如有）：</w:t>
      </w:r>
      <w:r>
        <w:rPr>
          <w:sz w:val="28"/>
          <w:color w:val="222222"/>
          <w:shd w:fill="FFFFFF" w:val="clear"/>
        </w:rPr>
        <w:t>4800000.00</w:t>
      </w:r>
    </w:p>
    <w:p>
      <w:pPr>
        <w:pStyle w:val="null3"/>
        <w:spacing w:before="90" w:after="90"/>
        <w:ind w:firstLine="560"/>
        <w:jc w:val="both"/>
      </w:pPr>
      <w:r>
        <w:rPr>
          <w:sz w:val="28"/>
          <w:color w:val="222222"/>
          <w:shd w:fill="FFFFFF" w:val="clear"/>
        </w:rPr>
        <w:t>采购需求：（包括但不限于标的的名称、数量、简要技术需求或服务要求等）</w:t>
      </w:r>
    </w:p>
    <w:p>
      <w:pPr>
        <w:pStyle w:val="null3"/>
        <w:spacing w:before="90" w:after="90"/>
        <w:ind w:left="360"/>
        <w:jc w:val="both"/>
      </w:pPr>
      <w:r>
        <w:rPr>
          <w:sz w:val="28"/>
          <w:color w:val="222222"/>
          <w:shd w:fill="FFFFFF" w:val="clear"/>
        </w:rPr>
        <w:t>1、标的名称：</w:t>
      </w:r>
      <w:r>
        <w:rPr>
          <w:sz w:val="28"/>
          <w:color w:val="222222"/>
          <w:shd w:fill="FFFFFF" w:val="clear"/>
        </w:rPr>
        <w:t>2024年普宁市病媒生物防制服务</w:t>
      </w:r>
    </w:p>
    <w:p>
      <w:pPr>
        <w:pStyle w:val="null3"/>
        <w:spacing w:before="90" w:after="90"/>
        <w:ind w:left="360"/>
        <w:jc w:val="both"/>
      </w:pPr>
      <w:r>
        <w:rPr>
          <w:sz w:val="28"/>
          <w:color w:val="222222"/>
          <w:shd w:fill="FFFFFF" w:val="clear"/>
        </w:rPr>
        <w:t>2、标的数量：1项</w:t>
      </w:r>
    </w:p>
    <w:p>
      <w:pPr>
        <w:pStyle w:val="null3"/>
        <w:spacing w:before="90" w:after="90"/>
        <w:ind w:firstLine="560"/>
        <w:jc w:val="both"/>
      </w:pPr>
      <w:r>
        <w:rPr>
          <w:sz w:val="28"/>
          <w:color w:val="222222"/>
          <w:shd w:fill="FFFFFF" w:val="clear"/>
        </w:rPr>
        <w:t>3、简要技术需求或服务要求：</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845"/>
        <w:gridCol w:w="3560"/>
        <w:gridCol w:w="3901"/>
      </w:tblGrid>
      <w:tr>
        <w:tc>
          <w:tcPr>
            <w:tcW w:type="dxa" w:w="845"/>
            <w:tcBorders>
              <w:top w:val="single" w:color="000000" w:sz="8"/>
              <w:left w:val="single" w:color="000000" w:sz="8"/>
              <w:bottom w:val="single" w:color="000000" w:sz="8"/>
              <w:right w:val="single" w:color="000000" w:sz="8"/>
            </w:tcBorders>
            <w:shd w:fill="FFFFFF"/>
            <w:tcMar>
              <w:top w:type="dxa" w:w="30"/>
              <w:left w:type="dxa" w:w="75"/>
              <w:bottom w:type="dxa" w:w="30"/>
              <w:right w:type="dxa" w:w="75"/>
            </w:tcMar>
            <w:vAlign w:val="top"/>
          </w:tcPr>
          <w:p>
            <w:pPr>
              <w:pStyle w:val="null3"/>
              <w:spacing w:before="90" w:after="90"/>
              <w:jc w:val="center"/>
            </w:pPr>
            <w:r>
              <w:rPr>
                <w:sz w:val="28"/>
                <w:color w:val="222222"/>
              </w:rPr>
              <w:t>序号</w:t>
            </w:r>
          </w:p>
        </w:tc>
        <w:tc>
          <w:tcPr>
            <w:tcW w:type="dxa" w:w="3560"/>
            <w:tcBorders>
              <w:top w:val="single" w:color="000000" w:sz="8"/>
              <w:left w:val="none" w:color="000000" w:sz="4"/>
              <w:bottom w:val="single" w:color="000000" w:sz="8"/>
              <w:right w:val="single" w:color="000000" w:sz="8"/>
            </w:tcBorders>
            <w:shd w:fill="FFFFFF"/>
            <w:tcMar>
              <w:top w:type="dxa" w:w="30"/>
              <w:left w:type="dxa" w:w="75"/>
              <w:bottom w:type="dxa" w:w="30"/>
              <w:right w:type="dxa" w:w="75"/>
            </w:tcMar>
            <w:vAlign w:val="top"/>
          </w:tcPr>
          <w:p>
            <w:pPr>
              <w:pStyle w:val="null3"/>
              <w:spacing w:before="90" w:after="90"/>
              <w:jc w:val="center"/>
            </w:pPr>
            <w:r>
              <w:rPr>
                <w:sz w:val="28"/>
                <w:color w:val="222222"/>
              </w:rPr>
              <w:t>项目内容</w:t>
            </w:r>
          </w:p>
        </w:tc>
        <w:tc>
          <w:tcPr>
            <w:tcW w:type="dxa" w:w="3901"/>
            <w:tcBorders>
              <w:top w:val="single" w:color="000000" w:sz="8"/>
              <w:left w:val="none" w:color="000000" w:sz="4"/>
              <w:bottom w:val="single" w:color="000000" w:sz="8"/>
              <w:right w:val="single" w:color="000000" w:sz="8"/>
            </w:tcBorders>
            <w:shd w:fill="FFFFFF"/>
            <w:tcMar>
              <w:top w:type="dxa" w:w="30"/>
              <w:left w:type="dxa" w:w="75"/>
              <w:bottom w:type="dxa" w:w="30"/>
              <w:right w:type="dxa" w:w="75"/>
            </w:tcMar>
            <w:vAlign w:val="top"/>
          </w:tcPr>
          <w:p>
            <w:pPr>
              <w:pStyle w:val="null3"/>
              <w:spacing w:before="90" w:after="90"/>
              <w:jc w:val="center"/>
            </w:pPr>
            <w:r>
              <w:rPr>
                <w:sz w:val="28"/>
                <w:color w:val="222222"/>
              </w:rPr>
              <w:t>合同履行期限</w:t>
            </w:r>
          </w:p>
        </w:tc>
      </w:tr>
      <w:tr>
        <w:tc>
          <w:tcPr>
            <w:tcW w:type="dxa" w:w="845"/>
            <w:tcBorders>
              <w:top w:val="none" w:color="000000" w:sz="4"/>
              <w:left w:val="single" w:color="000000" w:sz="8"/>
              <w:bottom w:val="single" w:color="000000" w:sz="8"/>
              <w:right w:val="single" w:color="000000" w:sz="8"/>
            </w:tcBorders>
            <w:shd w:fill="FFFFFF"/>
            <w:tcMar>
              <w:top w:type="dxa" w:w="30"/>
              <w:left w:type="dxa" w:w="75"/>
              <w:bottom w:type="dxa" w:w="30"/>
              <w:right w:type="dxa" w:w="75"/>
            </w:tcMar>
            <w:vAlign w:val="top"/>
          </w:tcPr>
          <w:p>
            <w:pPr>
              <w:pStyle w:val="null3"/>
              <w:spacing w:before="90" w:after="90"/>
              <w:jc w:val="center"/>
            </w:pPr>
            <w:r>
              <w:rPr>
                <w:sz w:val="28"/>
                <w:color w:val="222222"/>
              </w:rPr>
              <w:t>1</w:t>
            </w:r>
          </w:p>
        </w:tc>
        <w:tc>
          <w:tcPr>
            <w:tcW w:type="dxa" w:w="3560"/>
            <w:tcBorders>
              <w:top w:val="none" w:color="000000" w:sz="4"/>
              <w:left w:val="none" w:color="000000" w:sz="4"/>
              <w:bottom w:val="single" w:color="000000" w:sz="8"/>
              <w:right w:val="single" w:color="000000" w:sz="8"/>
            </w:tcBorders>
            <w:shd w:fill="FFFFFF"/>
            <w:tcMar>
              <w:top w:type="dxa" w:w="30"/>
              <w:left w:type="dxa" w:w="75"/>
              <w:bottom w:type="dxa" w:w="30"/>
              <w:right w:type="dxa" w:w="75"/>
            </w:tcMar>
            <w:vAlign w:val="top"/>
          </w:tcPr>
          <w:p>
            <w:pPr>
              <w:pStyle w:val="null3"/>
              <w:spacing w:before="90" w:after="90"/>
              <w:jc w:val="center"/>
            </w:pPr>
            <w:r>
              <w:rPr>
                <w:sz w:val="28"/>
                <w:color w:val="222222"/>
                <w:shd w:fill="FFFFFF" w:val="clear"/>
              </w:rPr>
              <w:t>2024年普宁市病媒生物防制服务</w:t>
            </w:r>
          </w:p>
        </w:tc>
        <w:tc>
          <w:tcPr>
            <w:tcW w:type="dxa" w:w="3901"/>
            <w:tcBorders>
              <w:top w:val="none" w:color="000000" w:sz="4"/>
              <w:left w:val="none" w:color="000000" w:sz="4"/>
              <w:bottom w:val="single" w:color="000000" w:sz="8"/>
              <w:right w:val="single" w:color="000000" w:sz="8"/>
            </w:tcBorders>
            <w:shd w:fill="FFFFFF"/>
            <w:tcMar>
              <w:top w:type="dxa" w:w="30"/>
              <w:left w:type="dxa" w:w="75"/>
              <w:bottom w:type="dxa" w:w="30"/>
              <w:right w:type="dxa" w:w="75"/>
            </w:tcMar>
            <w:vAlign w:val="top"/>
          </w:tcPr>
          <w:p>
            <w:pPr>
              <w:pStyle w:val="null3"/>
              <w:jc w:val="center"/>
            </w:pPr>
            <w:r>
              <w:rPr>
                <w:sz w:val="27"/>
                <w:color w:val="000000"/>
              </w:rPr>
              <w:t>按合同约定委托服务之日起一年内完成</w:t>
            </w:r>
          </w:p>
        </w:tc>
      </w:tr>
    </w:tbl>
    <w:p>
      <w:pPr>
        <w:pStyle w:val="null3"/>
        <w:spacing w:before="90" w:after="90"/>
        <w:ind w:firstLine="560"/>
        <w:jc w:val="both"/>
      </w:pPr>
      <w:r>
        <w:rPr>
          <w:sz w:val="28"/>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spacing w:before="90" w:after="90"/>
        <w:ind w:firstLine="560"/>
        <w:jc w:val="both"/>
      </w:pPr>
      <w:r>
        <w:rPr>
          <w:sz w:val="28"/>
          <w:color w:val="222222"/>
          <w:shd w:fill="FFFFFF" w:val="clear"/>
        </w:rPr>
        <w:t>4、其他：详细内容见采购人需求</w:t>
      </w:r>
    </w:p>
    <w:p>
      <w:pPr>
        <w:pStyle w:val="null3"/>
        <w:spacing w:before="90" w:after="90"/>
        <w:ind w:firstLine="560"/>
        <w:jc w:val="both"/>
      </w:pPr>
      <w:r>
        <w:rPr>
          <w:sz w:val="28"/>
          <w:color w:val="222222"/>
          <w:shd w:fill="FFFFFF" w:val="clear"/>
        </w:rPr>
        <w:t>5、本项目不接受联合体。</w:t>
      </w:r>
    </w:p>
    <w:p>
      <w:pPr>
        <w:pStyle w:val="null3"/>
      </w:pPr>
      <w:r>
        <w:rPr/>
        <w:t>采购包1（2024年普宁市病媒生物防制服务）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按合同约定委托服务之日起一年内完成</w:t>
            </w:r>
          </w:p>
        </w:tc>
      </w:tr>
      <w:tr>
        <w:tc>
          <w:tcPr>
            <w:tcW w:type="dxa" w:w="4153"/>
          </w:tcPr>
          <w:p>
            <w:pPr>
              <w:pStyle w:val="null3"/>
            </w:pPr>
            <w:r>
              <w:rPr/>
              <w:t>标的提供的地点</w:t>
            </w:r>
          </w:p>
        </w:tc>
        <w:tc>
          <w:tcPr>
            <w:tcW w:type="dxa" w:w="4153"/>
          </w:tcPr>
          <w:p>
            <w:pPr>
              <w:pStyle w:val="null3"/>
            </w:pPr>
            <w:r>
              <w:rPr/>
              <w:t>普宁市</w:t>
            </w:r>
          </w:p>
        </w:tc>
      </w:tr>
      <w:tr>
        <w:tc>
          <w:tcPr>
            <w:tcW w:type="dxa" w:w="4153"/>
          </w:tcPr>
          <w:p>
            <w:pPr>
              <w:pStyle w:val="null3"/>
            </w:pPr>
            <w:r>
              <w:rPr/>
              <w:t>付款方式</w:t>
            </w:r>
          </w:p>
        </w:tc>
        <w:tc>
          <w:tcPr>
            <w:tcW w:type="dxa" w:w="4153"/>
          </w:tcPr>
          <w:p>
            <w:pPr>
              <w:pStyle w:val="null3"/>
            </w:pPr>
            <w:r>
              <w:rPr/>
              <w:t>1期：支付比例20%,自合同签订后，采购人向中标人支付相应分项服务的合同价款的20%款项作为服务启动资金</w:t>
            </w:r>
          </w:p>
          <w:p>
            <w:pPr>
              <w:pStyle w:val="null3"/>
            </w:pPr>
            <w:r>
              <w:rPr/>
              <w:t>2期：支付比例80%,①合同签订之日起每三个月评估验收一次，由普宁市卫生健康局组织相关部门或委托第三方监理机构阶段性评估验收，合同期内共评估验收四次。每次评估验收合格后，采购人向中标人支付相应分项服务的合同价款的20%款项。以上各款项具体的支付时间：由采购人向财政部门提出支付申请后，财政拨款至采购人银行账户，且收到中标人向采购人提供相应金额的有效正式发票之日起5个工作日内，向中标人支付。 ②付款方式：采用支票、银行汇付（含电汇）等形式。 ③款项支付时，中标人同时向采购人提供相应金额的正式发票。</w:t>
            </w:r>
          </w:p>
        </w:tc>
      </w:tr>
      <w:tr>
        <w:tc>
          <w:tcPr>
            <w:tcW w:type="dxa" w:w="4153"/>
          </w:tcPr>
          <w:p>
            <w:pPr>
              <w:pStyle w:val="null3"/>
            </w:pPr>
            <w:r>
              <w:rPr/>
              <w:t>验收要求</w:t>
            </w:r>
          </w:p>
        </w:tc>
        <w:tc>
          <w:tcPr>
            <w:tcW w:type="dxa" w:w="4153"/>
          </w:tcPr>
          <w:p>
            <w:pPr>
              <w:pStyle w:val="null3"/>
            </w:pPr>
            <w:r>
              <w:rPr/>
              <w:t>1期：①按广东省有关规定的规范要求进行验收；②符合招标文件的规定要求、以及国家和行业的相关标准。确保普宁市创卫建成区域范围内四害密度标准达到国家标准C级或以上。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报价应包括服务、人工、管理、材料、运输、税费及合同实施过程中一切不可预见的费用等。</w:t>
            </w:r>
          </w:p>
        </w:tc>
      </w:tr>
      <w:tr>
        <w:tc>
          <w:tcPr>
            <w:tcW w:type="dxa" w:w="2076"/>
          </w:tcPr>
          <w:p/>
        </w:tc>
        <w:tc>
          <w:tcPr>
            <w:tcW w:type="dxa" w:w="2076"/>
          </w:tcPr>
          <w:p>
            <w:pPr>
              <w:pStyle w:val="null3"/>
              <w:jc w:val="center"/>
            </w:pPr>
            <w:r>
              <w:rPr/>
              <w:t>2</w:t>
            </w:r>
          </w:p>
        </w:tc>
        <w:tc>
          <w:tcPr>
            <w:tcW w:type="dxa" w:w="2076"/>
          </w:tcPr>
          <w:p>
            <w:pPr>
              <w:pStyle w:val="null3"/>
              <w:jc w:val="left"/>
            </w:pPr>
            <w:r>
              <w:rPr/>
              <w:t>结算要求</w:t>
            </w:r>
          </w:p>
        </w:tc>
        <w:tc>
          <w:tcPr>
            <w:tcW w:type="dxa" w:w="2076"/>
          </w:tcPr>
          <w:p>
            <w:pPr>
              <w:pStyle w:val="null3"/>
              <w:jc w:val="left"/>
            </w:pPr>
            <w:r>
              <w:rPr/>
              <w:t>本工程以固定总价包干，包括病媒生物防制管理服务项目及与此相关的人工费、管理费用、相关用具及药物的使用费用、设备折旧费、迎检措施费用、防盗费用、防火费用、防人为破坏费用及各项税费等一切与完成本项目相关费用及合同实施过程中应预见和不可预见费用。</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为本项目做好质量保证措施管理工作和技术服务工作，同时为本项目重点技术和难点进行分析和研判，并相应编制质量保障措施方案、技术服务方案和项目重点技术研判方案。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其他生态环境治理服务</w:t>
            </w:r>
          </w:p>
        </w:tc>
        <w:tc>
          <w:tcPr>
            <w:tcW w:type="dxa" w:w="933"/>
          </w:tcPr>
          <w:p>
            <w:pPr>
              <w:pStyle w:val="null3"/>
              <w:jc w:val="left"/>
            </w:pPr>
            <w:r>
              <w:rPr/>
              <w:t>2024年普宁市病媒生物防制服务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4,800,000.00</w:t>
            </w:r>
          </w:p>
        </w:tc>
        <w:tc>
          <w:tcPr>
            <w:tcW w:type="dxa" w:w="933"/>
          </w:tcPr>
          <w:p>
            <w:pPr>
              <w:pStyle w:val="null3"/>
              <w:jc w:val="right"/>
            </w:pPr>
            <w:r>
              <w:rPr/>
              <w:t>4,800,000.00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2024年普宁市病媒生物防制服务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color w:val="000000"/>
              </w:rPr>
              <w:t>1、服务范围及目标</w:t>
            </w:r>
          </w:p>
          <w:p>
            <w:pPr>
              <w:pStyle w:val="null3"/>
              <w:ind w:firstLine="480"/>
              <w:jc w:val="both"/>
            </w:pPr>
            <w:r>
              <w:rPr>
                <w:sz w:val="24"/>
                <w:color w:val="000000"/>
              </w:rPr>
              <w:t>普宁市城区建成区（红线内）内主次干道、背街小巷、河流湖泊及沿岸、排水道、闲置地、待建地、建筑工地周边、农贸市场、公园、绿地、广场、居民住宅区（不含物管小区）、住宅间空地、屠宰场、公共场所外环境、公厕、垃圾收集站或转运站、外环境生活垃圾存放容器（箱、桶、通道等）等各种孳生</w:t>
            </w:r>
            <w:r>
              <w:rPr>
                <w:sz w:val="24"/>
                <w:color w:val="000000"/>
              </w:rPr>
              <w:t>“四害”场所的消杀作业。并负责和承担本项目相关安全责任。</w:t>
            </w:r>
          </w:p>
          <w:p>
            <w:pPr>
              <w:pStyle w:val="null3"/>
              <w:ind w:firstLine="480"/>
              <w:jc w:val="both"/>
            </w:pPr>
            <w:r>
              <w:rPr>
                <w:sz w:val="24"/>
                <w:color w:val="000000"/>
              </w:rPr>
              <w:t>坚持以环境治理为主的综合防制原则，通过采取全面开展病媒生物孳生环境治理、集中统一药物消杀行动等综合防治措施，对普宁市区及各街道社区公共外环境鼠、蚊、蝇、蟑螂的密度按国家病媒生物密度控制水平标准</w:t>
            </w:r>
            <w:r>
              <w:rPr>
                <w:sz w:val="24"/>
                <w:color w:val="000000"/>
              </w:rPr>
              <w:t>C级或以上进行防制，有效减少媒介生物性传染病的发生和传播，切实保障街道社区广大人民群众身体健康，营造一个卫生、干净的城市环境，助力国家卫生市创建工作。</w:t>
            </w:r>
          </w:p>
          <w:p>
            <w:pPr>
              <w:pStyle w:val="null3"/>
              <w:ind w:firstLine="480"/>
              <w:jc w:val="both"/>
            </w:pPr>
            <w:r>
              <w:rPr>
                <w:sz w:val="24"/>
                <w:color w:val="000000"/>
              </w:rPr>
              <w:t>普宁市城区建成区包括：流沙东街道、流沙南街道、流沙西街道、流沙北街道、池尾街道、大南山街道、燎原街道以及英歌山工业区、保利和府、星河明珠湾。总面积约</w:t>
            </w:r>
            <w:r>
              <w:rPr>
                <w:sz w:val="24"/>
                <w:color w:val="000000"/>
              </w:rPr>
              <w:t>67.7 平方公里。</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4"/>
                <w:color w:val="000000"/>
              </w:rPr>
              <w:t>2、服务内容</w:t>
            </w:r>
          </w:p>
          <w:p>
            <w:pPr>
              <w:pStyle w:val="null3"/>
              <w:ind w:firstLine="480"/>
              <w:jc w:val="both"/>
            </w:pPr>
            <w:r>
              <w:rPr>
                <w:sz w:val="24"/>
                <w:color w:val="000000"/>
              </w:rPr>
              <w:t>（</w:t>
            </w:r>
            <w:r>
              <w:rPr>
                <w:sz w:val="24"/>
                <w:color w:val="000000"/>
              </w:rPr>
              <w:t>1）供应商必须落实普宁市建成区的病媒生物防制工作，确保各区域每月至少2次全方位的灭鼠、灭蚊、灭蝇、灭蟑螂作业，按国家标准C级以上进行防制。如遇病媒生物密度超出标准时，供应商必须服从采购人的工作安排，增加病媒生物防制的消杀次数。</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4"/>
                <w:color w:val="000000"/>
              </w:rPr>
              <w:t>（</w:t>
            </w:r>
            <w:r>
              <w:rPr>
                <w:sz w:val="24"/>
                <w:color w:val="000000"/>
              </w:rPr>
              <w:t>2）供应商必须坚持“预防为主，综合防治”的消杀方针，使用国家规定或爱卫会认定和推荐的药物。病媒生物防制药物要建立进出登记台账，并取得“三证”。病媒生物防制作业时要注意安全用药，废弃药物要妥善处理，防止污染。</w:t>
            </w:r>
          </w:p>
        </w:tc>
      </w:tr>
      <w:tr>
        <w:tc>
          <w:tcPr>
            <w:tcW w:type="dxa" w:w="2076"/>
          </w:tcPr>
          <w:p/>
        </w:tc>
        <w:tc>
          <w:tcPr>
            <w:tcW w:type="dxa" w:w="415"/>
          </w:tcPr>
          <w:p>
            <w:pPr>
              <w:pStyle w:val="null3"/>
            </w:pPr>
            <w:r>
              <w:rPr/>
              <w:t>4</w:t>
            </w:r>
          </w:p>
        </w:tc>
        <w:tc>
          <w:tcPr>
            <w:tcW w:type="dxa" w:w="5814"/>
          </w:tcPr>
          <w:p>
            <w:pPr>
              <w:pStyle w:val="null3"/>
              <w:ind w:firstLine="480"/>
              <w:jc w:val="both"/>
            </w:pPr>
            <w:r>
              <w:rPr>
                <w:sz w:val="24"/>
                <w:color w:val="000000"/>
              </w:rPr>
              <w:t>（</w:t>
            </w:r>
            <w:r>
              <w:rPr>
                <w:sz w:val="24"/>
                <w:color w:val="000000"/>
              </w:rPr>
              <w:t>3）病媒生物防制工作人员需经培训后上岗，规范操作。作业时必须统一服装、统一标准， 做到文明作业。</w:t>
            </w:r>
          </w:p>
        </w:tc>
      </w:tr>
      <w:tr>
        <w:tc>
          <w:tcPr>
            <w:tcW w:type="dxa" w:w="2076"/>
          </w:tcPr>
          <w:p/>
        </w:tc>
        <w:tc>
          <w:tcPr>
            <w:tcW w:type="dxa" w:w="415"/>
          </w:tcPr>
          <w:p>
            <w:pPr>
              <w:pStyle w:val="null3"/>
            </w:pPr>
            <w:r>
              <w:rPr/>
              <w:t>5</w:t>
            </w:r>
          </w:p>
        </w:tc>
        <w:tc>
          <w:tcPr>
            <w:tcW w:type="dxa" w:w="5814"/>
          </w:tcPr>
          <w:p>
            <w:pPr>
              <w:pStyle w:val="null3"/>
              <w:ind w:firstLine="480"/>
              <w:jc w:val="both"/>
            </w:pPr>
            <w:r>
              <w:rPr>
                <w:sz w:val="24"/>
                <w:color w:val="000000"/>
              </w:rPr>
              <w:t>（</w:t>
            </w:r>
            <w:r>
              <w:rPr>
                <w:sz w:val="24"/>
                <w:color w:val="000000"/>
              </w:rPr>
              <w:t>4）在各村（居）各区域进行病媒生物防制作业时，要建立服务单位签字制度，按照村（居）委、村（居）小组的指引开展工作，重点解决基层群众反映的四害问题。完成工作后要经过村（居）小组或村（居）委签字确认并给予评价。</w:t>
            </w:r>
          </w:p>
        </w:tc>
      </w:tr>
      <w:tr>
        <w:tc>
          <w:tcPr>
            <w:tcW w:type="dxa" w:w="2076"/>
          </w:tcPr>
          <w:p/>
        </w:tc>
        <w:tc>
          <w:tcPr>
            <w:tcW w:type="dxa" w:w="415"/>
          </w:tcPr>
          <w:p>
            <w:pPr>
              <w:pStyle w:val="null3"/>
            </w:pPr>
            <w:r>
              <w:rPr/>
              <w:t>6</w:t>
            </w:r>
          </w:p>
        </w:tc>
        <w:tc>
          <w:tcPr>
            <w:tcW w:type="dxa" w:w="5814"/>
          </w:tcPr>
          <w:p>
            <w:pPr>
              <w:pStyle w:val="null3"/>
              <w:ind w:firstLine="480"/>
              <w:jc w:val="both"/>
            </w:pPr>
            <w:r>
              <w:rPr>
                <w:sz w:val="24"/>
                <w:color w:val="000000"/>
              </w:rPr>
              <w:t>（</w:t>
            </w:r>
            <w:r>
              <w:rPr>
                <w:sz w:val="24"/>
                <w:color w:val="000000"/>
              </w:rPr>
              <w:t>5）做好每次病媒生物防制工作的记录，登记天气、时间、处理位置、用药量等数据，并拍摄现场照片。</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jc w:val="both"/>
            </w:pPr>
            <w:r>
              <w:rPr>
                <w:sz w:val="24"/>
                <w:color w:val="000000"/>
              </w:rPr>
              <w:t>（</w:t>
            </w:r>
            <w:r>
              <w:rPr>
                <w:sz w:val="24"/>
                <w:color w:val="000000"/>
              </w:rPr>
              <w:t>6）安排专人负责巡查和在建成区域选择8个点以上（每个街道不少于一个点）进行每月一次监测病媒生物防制效果， 并根据实际效果调整用药时间、配方。</w:t>
            </w:r>
          </w:p>
        </w:tc>
      </w:tr>
      <w:tr>
        <w:tc>
          <w:tcPr>
            <w:tcW w:type="dxa" w:w="2076"/>
          </w:tcPr>
          <w:p/>
        </w:tc>
        <w:tc>
          <w:tcPr>
            <w:tcW w:type="dxa" w:w="415"/>
          </w:tcPr>
          <w:p>
            <w:pPr>
              <w:pStyle w:val="null3"/>
            </w:pPr>
            <w:r>
              <w:rPr/>
              <w:t>8</w:t>
            </w:r>
          </w:p>
        </w:tc>
        <w:tc>
          <w:tcPr>
            <w:tcW w:type="dxa" w:w="5814"/>
          </w:tcPr>
          <w:p>
            <w:pPr>
              <w:pStyle w:val="null3"/>
              <w:ind w:firstLine="480"/>
              <w:jc w:val="both"/>
            </w:pPr>
            <w:r>
              <w:rPr>
                <w:sz w:val="24"/>
                <w:color w:val="000000"/>
              </w:rPr>
              <w:t>（</w:t>
            </w:r>
            <w:r>
              <w:rPr>
                <w:sz w:val="24"/>
                <w:color w:val="000000"/>
              </w:rPr>
              <w:t>7）供应商应于合同签订后，马上进行一次详细的孳生地调查和病媒生物密度监测，并将孳生地情况、密度监测和相关环境问题等详细资料汇总成册于一个月内报普宁市卫生健康局。</w:t>
            </w:r>
          </w:p>
        </w:tc>
      </w:tr>
      <w:tr>
        <w:tc>
          <w:tcPr>
            <w:tcW w:type="dxa" w:w="2076"/>
          </w:tcPr>
          <w:p/>
        </w:tc>
        <w:tc>
          <w:tcPr>
            <w:tcW w:type="dxa" w:w="415"/>
          </w:tcPr>
          <w:p>
            <w:pPr>
              <w:pStyle w:val="null3"/>
            </w:pPr>
            <w:r>
              <w:rPr/>
              <w:t>9</w:t>
            </w:r>
          </w:p>
        </w:tc>
        <w:tc>
          <w:tcPr>
            <w:tcW w:type="dxa" w:w="5814"/>
          </w:tcPr>
          <w:p>
            <w:pPr>
              <w:pStyle w:val="null3"/>
              <w:ind w:firstLine="480"/>
              <w:jc w:val="both"/>
            </w:pPr>
            <w:r>
              <w:rPr>
                <w:sz w:val="24"/>
                <w:color w:val="000000"/>
              </w:rPr>
              <w:t>（</w:t>
            </w:r>
            <w:r>
              <w:rPr>
                <w:sz w:val="24"/>
                <w:color w:val="000000"/>
              </w:rPr>
              <w:t>8）供应商应于合同签订后，马上进行一次病媒生物防制工作，稳定好病媒生物密度。</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80"/>
              <w:jc w:val="both"/>
            </w:pPr>
            <w:r>
              <w:rPr>
                <w:sz w:val="24"/>
                <w:color w:val="000000"/>
              </w:rPr>
              <w:t>（</w:t>
            </w:r>
            <w:r>
              <w:rPr>
                <w:sz w:val="24"/>
                <w:color w:val="000000"/>
              </w:rPr>
              <w:t>9）供应商在完成病媒生物防制工作后，组织对建成区重点区域全面检查毒鼠屋安装情况，发现缺少的进行补充，并张贴标签牌，将重新补上的毒鼠屋编号登记入册，并造册一份送普宁市卫健局备案留底。每月进行毒鼠屋巡查、更新维护和补缺。</w:t>
            </w:r>
          </w:p>
        </w:tc>
      </w:tr>
      <w:tr>
        <w:tc>
          <w:tcPr>
            <w:tcW w:type="dxa" w:w="2076"/>
          </w:tcPr>
          <w:p>
            <w:pPr>
              <w:pStyle w:val="null3"/>
            </w:pPr>
            <w:r>
              <w:rPr/>
              <w:t>▲</w:t>
            </w:r>
          </w:p>
        </w:tc>
        <w:tc>
          <w:tcPr>
            <w:tcW w:type="dxa" w:w="415"/>
          </w:tcPr>
          <w:p>
            <w:pPr>
              <w:pStyle w:val="null3"/>
            </w:pPr>
            <w:r>
              <w:rPr/>
              <w:t>11</w:t>
            </w:r>
          </w:p>
        </w:tc>
        <w:tc>
          <w:tcPr>
            <w:tcW w:type="dxa" w:w="5814"/>
          </w:tcPr>
          <w:p>
            <w:pPr>
              <w:pStyle w:val="null3"/>
              <w:ind w:firstLine="480"/>
              <w:jc w:val="both"/>
            </w:pPr>
            <w:r>
              <w:rPr>
                <w:sz w:val="24"/>
                <w:color w:val="000000"/>
              </w:rPr>
              <w:t>（</w:t>
            </w:r>
            <w:r>
              <w:rPr>
                <w:sz w:val="24"/>
                <w:color w:val="000000"/>
              </w:rPr>
              <w:t>10）供应商必须每月初向普宁市卫生健康局提交当月工作计划书，第二个月初提交上月的工作总结表。</w:t>
            </w:r>
          </w:p>
        </w:tc>
      </w:tr>
      <w:tr>
        <w:tc>
          <w:tcPr>
            <w:tcW w:type="dxa" w:w="2076"/>
          </w:tcPr>
          <w:p>
            <w:pPr>
              <w:pStyle w:val="null3"/>
            </w:pPr>
            <w:r>
              <w:rPr/>
              <w:t>▲</w:t>
            </w:r>
          </w:p>
        </w:tc>
        <w:tc>
          <w:tcPr>
            <w:tcW w:type="dxa" w:w="415"/>
          </w:tcPr>
          <w:p>
            <w:pPr>
              <w:pStyle w:val="null3"/>
            </w:pPr>
            <w:r>
              <w:rPr/>
              <w:t>12</w:t>
            </w:r>
          </w:p>
        </w:tc>
        <w:tc>
          <w:tcPr>
            <w:tcW w:type="dxa" w:w="5814"/>
          </w:tcPr>
          <w:p>
            <w:pPr>
              <w:pStyle w:val="null3"/>
              <w:ind w:firstLine="480"/>
              <w:jc w:val="both"/>
            </w:pPr>
            <w:r>
              <w:rPr>
                <w:sz w:val="24"/>
                <w:color w:val="000000"/>
              </w:rPr>
              <w:t>（</w:t>
            </w:r>
            <w:r>
              <w:rPr>
                <w:sz w:val="24"/>
                <w:color w:val="000000"/>
              </w:rPr>
              <w:t>11）供应商每月应对建成区内的重点孳生地进行全面巡检和治理。</w:t>
            </w:r>
          </w:p>
        </w:tc>
      </w:tr>
      <w:tr>
        <w:tc>
          <w:tcPr>
            <w:tcW w:type="dxa" w:w="2076"/>
          </w:tcPr>
          <w:p/>
        </w:tc>
        <w:tc>
          <w:tcPr>
            <w:tcW w:type="dxa" w:w="415"/>
          </w:tcPr>
          <w:p>
            <w:pPr>
              <w:pStyle w:val="null3"/>
            </w:pPr>
            <w:r>
              <w:rPr/>
              <w:t>13</w:t>
            </w:r>
          </w:p>
        </w:tc>
        <w:tc>
          <w:tcPr>
            <w:tcW w:type="dxa" w:w="5814"/>
          </w:tcPr>
          <w:p>
            <w:pPr>
              <w:pStyle w:val="null3"/>
              <w:ind w:firstLine="480"/>
              <w:jc w:val="both"/>
            </w:pPr>
            <w:r>
              <w:rPr>
                <w:sz w:val="24"/>
                <w:color w:val="000000"/>
              </w:rPr>
              <w:t>（</w:t>
            </w:r>
            <w:r>
              <w:rPr>
                <w:sz w:val="24"/>
                <w:color w:val="000000"/>
              </w:rPr>
              <w:t>12）供应商在服务期间，部分重点区域要根据采购人通知进行重点防制和突击治理工作。</w:t>
            </w:r>
          </w:p>
        </w:tc>
      </w:tr>
      <w:tr>
        <w:tc>
          <w:tcPr>
            <w:tcW w:type="dxa" w:w="2076"/>
          </w:tcPr>
          <w:p/>
        </w:tc>
        <w:tc>
          <w:tcPr>
            <w:tcW w:type="dxa" w:w="415"/>
          </w:tcPr>
          <w:p>
            <w:pPr>
              <w:pStyle w:val="null3"/>
            </w:pPr>
            <w:r>
              <w:rPr/>
              <w:t>14</w:t>
            </w:r>
          </w:p>
        </w:tc>
        <w:tc>
          <w:tcPr>
            <w:tcW w:type="dxa" w:w="5814"/>
          </w:tcPr>
          <w:p>
            <w:pPr>
              <w:pStyle w:val="null3"/>
              <w:ind w:firstLine="480"/>
              <w:jc w:val="both"/>
            </w:pPr>
            <w:r>
              <w:rPr>
                <w:sz w:val="24"/>
                <w:color w:val="000000"/>
              </w:rPr>
              <w:t>（</w:t>
            </w:r>
            <w:r>
              <w:rPr>
                <w:sz w:val="24"/>
                <w:color w:val="000000"/>
              </w:rPr>
              <w:t>13）按照省爱卫会病媒生物防制基础设施建设要求，对下水道的防蚊闸进行巡查，缺少的补上去，损坏的重新更换。防蚊闸的具体技术要求如下：</w:t>
            </w:r>
          </w:p>
          <w:p>
            <w:pPr>
              <w:pStyle w:val="null3"/>
              <w:ind w:firstLine="480"/>
              <w:jc w:val="both"/>
            </w:pPr>
            <w:r>
              <w:rPr>
                <w:sz w:val="24"/>
                <w:color w:val="000000"/>
              </w:rPr>
              <w:t>①材料：采用工程复合材料防蚊闸；灭蚊幼虫采用有机磷或酯类缓释剂。</w:t>
            </w:r>
          </w:p>
        </w:tc>
      </w:tr>
      <w:tr>
        <w:tc>
          <w:tcPr>
            <w:tcW w:type="dxa" w:w="2076"/>
          </w:tcPr>
          <w:p/>
        </w:tc>
        <w:tc>
          <w:tcPr>
            <w:tcW w:type="dxa" w:w="415"/>
          </w:tcPr>
          <w:p>
            <w:pPr>
              <w:pStyle w:val="null3"/>
            </w:pPr>
            <w:r>
              <w:rPr/>
              <w:t>15</w:t>
            </w:r>
          </w:p>
        </w:tc>
        <w:tc>
          <w:tcPr>
            <w:tcW w:type="dxa" w:w="5814"/>
          </w:tcPr>
          <w:p>
            <w:pPr>
              <w:pStyle w:val="null3"/>
              <w:ind w:firstLine="480"/>
              <w:jc w:val="both"/>
            </w:pPr>
            <w:r>
              <w:rPr>
                <w:sz w:val="24"/>
                <w:color w:val="000000"/>
              </w:rPr>
              <w:t>②尺寸：防蚊闸一般配置于排水中，尺寸根据排水井的大水来设计，主要有三种型号，分别为：75厘米×45 厘米、60 厘米×40 厘米、45 厘米×30 厘米。其他根据排水口尺寸自行设计。</w:t>
            </w:r>
          </w:p>
        </w:tc>
      </w:tr>
      <w:tr>
        <w:tc>
          <w:tcPr>
            <w:tcW w:type="dxa" w:w="2076"/>
          </w:tcPr>
          <w:p/>
        </w:tc>
        <w:tc>
          <w:tcPr>
            <w:tcW w:type="dxa" w:w="415"/>
          </w:tcPr>
          <w:p>
            <w:pPr>
              <w:pStyle w:val="null3"/>
            </w:pPr>
            <w:r>
              <w:rPr/>
              <w:t>16</w:t>
            </w:r>
          </w:p>
        </w:tc>
        <w:tc>
          <w:tcPr>
            <w:tcW w:type="dxa" w:w="5814"/>
          </w:tcPr>
          <w:p>
            <w:pPr>
              <w:pStyle w:val="null3"/>
              <w:ind w:firstLine="480"/>
              <w:jc w:val="both"/>
            </w:pPr>
            <w:r>
              <w:rPr>
                <w:sz w:val="24"/>
                <w:color w:val="000000"/>
              </w:rPr>
              <w:t>（</w:t>
            </w:r>
            <w:r>
              <w:rPr>
                <w:sz w:val="24"/>
                <w:color w:val="000000"/>
              </w:rPr>
              <w:t>14）供应商在合同期间应配合普宁市卫生健康局的大规模环境整治行动，在行动前或市级的突击、应急检查前配合做好病媒生物防制工作。</w:t>
            </w:r>
          </w:p>
        </w:tc>
      </w:tr>
      <w:tr>
        <w:tc>
          <w:tcPr>
            <w:tcW w:type="dxa" w:w="2076"/>
          </w:tcPr>
          <w:p/>
        </w:tc>
        <w:tc>
          <w:tcPr>
            <w:tcW w:type="dxa" w:w="415"/>
          </w:tcPr>
          <w:p>
            <w:pPr>
              <w:pStyle w:val="null3"/>
            </w:pPr>
            <w:r>
              <w:rPr/>
              <w:t>17</w:t>
            </w:r>
          </w:p>
        </w:tc>
        <w:tc>
          <w:tcPr>
            <w:tcW w:type="dxa" w:w="5814"/>
          </w:tcPr>
          <w:p>
            <w:pPr>
              <w:pStyle w:val="null3"/>
              <w:ind w:firstLine="480"/>
              <w:jc w:val="both"/>
            </w:pPr>
            <w:r>
              <w:rPr>
                <w:sz w:val="24"/>
                <w:color w:val="000000"/>
              </w:rPr>
              <w:t>（</w:t>
            </w:r>
            <w:r>
              <w:rPr>
                <w:sz w:val="24"/>
                <w:color w:val="000000"/>
              </w:rPr>
              <w:t>15）供应商在合同期间应配合普宁市卫生健康局做好病媒生物防制等相关工作资料的收集汇总和整理，具体内容由普宁市卫生健康局明确。</w:t>
            </w:r>
          </w:p>
        </w:tc>
      </w:tr>
      <w:tr>
        <w:tc>
          <w:tcPr>
            <w:tcW w:type="dxa" w:w="2076"/>
          </w:tcPr>
          <w:p>
            <w:pPr>
              <w:pStyle w:val="null3"/>
            </w:pPr>
            <w:r>
              <w:rPr/>
              <w:t>▲</w:t>
            </w:r>
          </w:p>
        </w:tc>
        <w:tc>
          <w:tcPr>
            <w:tcW w:type="dxa" w:w="415"/>
          </w:tcPr>
          <w:p>
            <w:pPr>
              <w:pStyle w:val="null3"/>
            </w:pPr>
            <w:r>
              <w:rPr/>
              <w:t>18</w:t>
            </w:r>
          </w:p>
        </w:tc>
        <w:tc>
          <w:tcPr>
            <w:tcW w:type="dxa" w:w="5814"/>
          </w:tcPr>
          <w:p>
            <w:pPr>
              <w:pStyle w:val="null3"/>
              <w:ind w:firstLine="480"/>
              <w:jc w:val="both"/>
            </w:pPr>
            <w:r>
              <w:rPr>
                <w:sz w:val="24"/>
                <w:color w:val="000000"/>
              </w:rPr>
              <w:t>3、相关服务要求</w:t>
            </w:r>
          </w:p>
          <w:p>
            <w:pPr>
              <w:pStyle w:val="null3"/>
              <w:ind w:firstLine="480"/>
              <w:jc w:val="both"/>
            </w:pPr>
            <w:r>
              <w:rPr>
                <w:sz w:val="24"/>
                <w:color w:val="000000"/>
              </w:rPr>
              <w:t>（</w:t>
            </w:r>
            <w:r>
              <w:rPr>
                <w:sz w:val="24"/>
                <w:color w:val="000000"/>
              </w:rPr>
              <w:t>1）中标供应商必须科学合理用药，使用的药物和器械必须符合《病媒生物控制药物器械安全使用准则》，达到“高效、低毒、安全、环保”的要求，不能使用假药、国家禁用的药物。</w:t>
            </w:r>
          </w:p>
        </w:tc>
      </w:tr>
      <w:tr>
        <w:tc>
          <w:tcPr>
            <w:tcW w:type="dxa" w:w="2076"/>
          </w:tcPr>
          <w:p/>
        </w:tc>
        <w:tc>
          <w:tcPr>
            <w:tcW w:type="dxa" w:w="415"/>
          </w:tcPr>
          <w:p>
            <w:pPr>
              <w:pStyle w:val="null3"/>
            </w:pPr>
            <w:r>
              <w:rPr/>
              <w:t>19</w:t>
            </w:r>
          </w:p>
        </w:tc>
        <w:tc>
          <w:tcPr>
            <w:tcW w:type="dxa" w:w="5814"/>
          </w:tcPr>
          <w:p>
            <w:pPr>
              <w:pStyle w:val="null3"/>
              <w:ind w:firstLine="480"/>
              <w:jc w:val="both"/>
            </w:pPr>
            <w:r>
              <w:rPr>
                <w:sz w:val="24"/>
                <w:color w:val="000000"/>
              </w:rPr>
              <w:t>（</w:t>
            </w:r>
            <w:r>
              <w:rPr>
                <w:sz w:val="24"/>
                <w:color w:val="000000"/>
              </w:rPr>
              <w:t>2）所用药品必须具有农药“三证”，即农业部的农药登记证、工信部的农药生产许可证、质量技术监督部门的产品质量标准证（必须提供三证扫描件或复印件并加盖单位红色公章）。</w:t>
            </w:r>
          </w:p>
        </w:tc>
      </w:tr>
      <w:tr>
        <w:tc>
          <w:tcPr>
            <w:tcW w:type="dxa" w:w="2076"/>
          </w:tcPr>
          <w:p>
            <w:pPr>
              <w:pStyle w:val="null3"/>
            </w:pPr>
            <w:r>
              <w:rPr/>
              <w:t>▲</w:t>
            </w:r>
          </w:p>
        </w:tc>
        <w:tc>
          <w:tcPr>
            <w:tcW w:type="dxa" w:w="415"/>
          </w:tcPr>
          <w:p>
            <w:pPr>
              <w:pStyle w:val="null3"/>
            </w:pPr>
            <w:r>
              <w:rPr/>
              <w:t>20</w:t>
            </w:r>
          </w:p>
        </w:tc>
        <w:tc>
          <w:tcPr>
            <w:tcW w:type="dxa" w:w="5814"/>
          </w:tcPr>
          <w:p>
            <w:pPr>
              <w:pStyle w:val="null3"/>
              <w:ind w:firstLine="480"/>
              <w:jc w:val="both"/>
            </w:pPr>
            <w:r>
              <w:rPr>
                <w:sz w:val="24"/>
                <w:color w:val="000000"/>
              </w:rPr>
              <w:t>（</w:t>
            </w:r>
            <w:r>
              <w:rPr>
                <w:sz w:val="24"/>
                <w:color w:val="000000"/>
              </w:rPr>
              <w:t>3）药物投放方式：按国家相关标准进行投放。施药现场应摆放警示牌。在消杀防制工作期间，要正确选择防制药物的投放位置，充分考虑药物对人体可能造成的伤害，避免防制事故的发生和产生不必要的纠纷。如发生事故和纠纷，其一切责任和后果均由中标供应商自行负责。</w:t>
            </w:r>
          </w:p>
        </w:tc>
      </w:tr>
      <w:tr>
        <w:tc>
          <w:tcPr>
            <w:tcW w:type="dxa" w:w="2076"/>
          </w:tcPr>
          <w:p>
            <w:pPr>
              <w:pStyle w:val="null3"/>
            </w:pPr>
            <w:r>
              <w:rPr/>
              <w:t>▲</w:t>
            </w:r>
          </w:p>
        </w:tc>
        <w:tc>
          <w:tcPr>
            <w:tcW w:type="dxa" w:w="415"/>
          </w:tcPr>
          <w:p>
            <w:pPr>
              <w:pStyle w:val="null3"/>
            </w:pPr>
            <w:r>
              <w:rPr/>
              <w:t>21</w:t>
            </w:r>
          </w:p>
        </w:tc>
        <w:tc>
          <w:tcPr>
            <w:tcW w:type="dxa" w:w="5814"/>
          </w:tcPr>
          <w:p>
            <w:pPr>
              <w:pStyle w:val="null3"/>
              <w:ind w:firstLine="480"/>
              <w:jc w:val="both"/>
            </w:pPr>
            <w:r>
              <w:rPr>
                <w:sz w:val="24"/>
                <w:color w:val="000000"/>
              </w:rPr>
              <w:t>（</w:t>
            </w:r>
            <w:r>
              <w:rPr>
                <w:sz w:val="24"/>
                <w:color w:val="000000"/>
              </w:rPr>
              <w:t>4）服务范围内做好四害尸体的收集工作（含老鼠、蟑螂等收集清理工作），并将尸体做无害化处理。</w:t>
            </w:r>
          </w:p>
        </w:tc>
      </w:tr>
      <w:tr>
        <w:tc>
          <w:tcPr>
            <w:tcW w:type="dxa" w:w="2076"/>
          </w:tcPr>
          <w:p>
            <w:pPr>
              <w:pStyle w:val="null3"/>
            </w:pPr>
            <w:r>
              <w:rPr/>
              <w:t>▲</w:t>
            </w:r>
          </w:p>
        </w:tc>
        <w:tc>
          <w:tcPr>
            <w:tcW w:type="dxa" w:w="415"/>
          </w:tcPr>
          <w:p>
            <w:pPr>
              <w:pStyle w:val="null3"/>
            </w:pPr>
            <w:r>
              <w:rPr/>
              <w:t>22</w:t>
            </w:r>
          </w:p>
        </w:tc>
        <w:tc>
          <w:tcPr>
            <w:tcW w:type="dxa" w:w="5814"/>
          </w:tcPr>
          <w:p>
            <w:pPr>
              <w:pStyle w:val="null3"/>
              <w:ind w:firstLine="480"/>
              <w:jc w:val="both"/>
            </w:pPr>
            <w:r>
              <w:rPr>
                <w:sz w:val="24"/>
                <w:color w:val="000000"/>
              </w:rPr>
              <w:t>（</w:t>
            </w:r>
            <w:r>
              <w:rPr>
                <w:sz w:val="24"/>
                <w:color w:val="000000"/>
              </w:rPr>
              <w:t>5）普宁市区创卫建成区公共外环境鼠、蚊、蝇、蟑螂的密度必须达到国家病媒生物密度控制标准C级或以上。</w:t>
            </w:r>
          </w:p>
        </w:tc>
      </w:tr>
      <w:tr>
        <w:tc>
          <w:tcPr>
            <w:tcW w:type="dxa" w:w="2076"/>
          </w:tcPr>
          <w:p/>
        </w:tc>
        <w:tc>
          <w:tcPr>
            <w:tcW w:type="dxa" w:w="415"/>
          </w:tcPr>
          <w:p>
            <w:pPr>
              <w:pStyle w:val="null3"/>
            </w:pPr>
            <w:r>
              <w:rPr/>
              <w:t>23</w:t>
            </w:r>
          </w:p>
        </w:tc>
        <w:tc>
          <w:tcPr>
            <w:tcW w:type="dxa" w:w="5814"/>
          </w:tcPr>
          <w:p>
            <w:pPr>
              <w:pStyle w:val="null3"/>
              <w:ind w:firstLine="400"/>
              <w:jc w:val="both"/>
            </w:pPr>
            <w:r>
              <w:rPr>
                <w:sz w:val="24"/>
                <w:color w:val="000000"/>
              </w:rPr>
              <w:t>4、公共外环境病媒生物防制项目人员、设备基本配置表</w:t>
            </w:r>
          </w:p>
          <w:p>
            <w:pPr>
              <w:pStyle w:val="null3"/>
              <w:ind w:firstLine="480"/>
              <w:jc w:val="both"/>
            </w:pPr>
            <w:r>
              <w:rPr>
                <w:sz w:val="24"/>
                <w:color w:val="000000"/>
              </w:rPr>
              <w:t>（</w:t>
            </w:r>
            <w:r>
              <w:rPr>
                <w:sz w:val="24"/>
                <w:color w:val="000000"/>
              </w:rPr>
              <w:t>1）本项目至少计划投入人员数量：</w:t>
            </w:r>
          </w:p>
          <w:tbl>
            <w:tblPr>
              <w:tblBorders>
                <w:top w:val="none" w:color="000000" w:sz="4"/>
                <w:left w:val="none" w:color="000000" w:sz="4"/>
                <w:bottom w:val="none" w:color="000000" w:sz="4"/>
                <w:right w:val="none" w:color="000000" w:sz="4"/>
                <w:insideH w:val="none"/>
                <w:insideV w:val="none"/>
              </w:tblBorders>
            </w:tblPr>
            <w:tblGrid>
              <w:gridCol w:w="459"/>
              <w:gridCol w:w="1341"/>
              <w:gridCol w:w="722"/>
              <w:gridCol w:w="3076"/>
            </w:tblGrid>
            <w:tr>
              <w:tc>
                <w:tcPr>
                  <w:tcW w:type="dxa" w:w="45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序号</w:t>
                  </w:r>
                </w:p>
              </w:tc>
              <w:tc>
                <w:tcPr>
                  <w:tcW w:type="dxa" w:w="134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岗位</w:t>
                  </w:r>
                </w:p>
              </w:tc>
              <w:tc>
                <w:tcPr>
                  <w:tcW w:type="dxa" w:w="72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人数</w:t>
                  </w:r>
                </w:p>
              </w:tc>
              <w:tc>
                <w:tcPr>
                  <w:tcW w:type="dxa" w:w="30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备注</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1</w:t>
                  </w:r>
                </w:p>
              </w:tc>
              <w:tc>
                <w:tcPr>
                  <w:tcW w:type="dxa" w:w="1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项目经理</w:t>
                  </w:r>
                </w:p>
              </w:tc>
              <w:tc>
                <w:tcPr>
                  <w:tcW w:type="dxa" w:w="7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≥1人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负责全面工作</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2</w:t>
                  </w:r>
                </w:p>
              </w:tc>
              <w:tc>
                <w:tcPr>
                  <w:tcW w:type="dxa" w:w="1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组长</w:t>
                  </w:r>
                </w:p>
              </w:tc>
              <w:tc>
                <w:tcPr>
                  <w:tcW w:type="dxa" w:w="7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3</w:t>
                  </w:r>
                  <w:r>
                    <w:rPr>
                      <w:sz w:val="24"/>
                      <w:color w:val="000000"/>
                    </w:rPr>
                    <w:t>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负责小组安排、指导和参与日常施工作业</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3</w:t>
                  </w:r>
                </w:p>
              </w:tc>
              <w:tc>
                <w:tcPr>
                  <w:tcW w:type="dxa" w:w="1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文员</w:t>
                  </w:r>
                </w:p>
              </w:tc>
              <w:tc>
                <w:tcPr>
                  <w:tcW w:type="dxa" w:w="7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1人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负责仓管、每日作业记录汇总上报、资料整理及存档</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4</w:t>
                  </w:r>
                </w:p>
              </w:tc>
              <w:tc>
                <w:tcPr>
                  <w:tcW w:type="dxa" w:w="1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质检员</w:t>
                  </w:r>
                </w:p>
              </w:tc>
              <w:tc>
                <w:tcPr>
                  <w:tcW w:type="dxa" w:w="7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1人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负责</w:t>
                  </w:r>
                  <w:r>
                    <w:rPr>
                      <w:sz w:val="24"/>
                      <w:color w:val="000000"/>
                    </w:rPr>
                    <w:t>现场环境巡查、质量督查</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5</w:t>
                  </w:r>
                </w:p>
              </w:tc>
              <w:tc>
                <w:tcPr>
                  <w:tcW w:type="dxa" w:w="13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技术员、巡查员</w:t>
                  </w:r>
                </w:p>
              </w:tc>
              <w:tc>
                <w:tcPr>
                  <w:tcW w:type="dxa" w:w="7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15</w:t>
                  </w:r>
                  <w:r>
                    <w:rPr>
                      <w:sz w:val="24"/>
                      <w:color w:val="000000"/>
                    </w:rPr>
                    <w:t>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负责现场作业施工</w:t>
                  </w:r>
                </w:p>
              </w:tc>
            </w:tr>
            <w:tr>
              <w:tc>
                <w:tcPr>
                  <w:tcW w:type="dxa" w:w="1800"/>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合计</w:t>
                  </w:r>
                </w:p>
              </w:tc>
              <w:tc>
                <w:tcPr>
                  <w:tcW w:type="dxa" w:w="379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21</w:t>
                  </w:r>
                  <w:r>
                    <w:rPr>
                      <w:sz w:val="24"/>
                      <w:color w:val="000000"/>
                    </w:rPr>
                    <w:t>人</w:t>
                  </w:r>
                </w:p>
              </w:tc>
            </w:tr>
          </w:tbl>
          <w:p/>
        </w:tc>
      </w:tr>
      <w:tr>
        <w:tc>
          <w:tcPr>
            <w:tcW w:type="dxa" w:w="2076"/>
          </w:tcPr>
          <w:p/>
        </w:tc>
        <w:tc>
          <w:tcPr>
            <w:tcW w:type="dxa" w:w="415"/>
          </w:tcPr>
          <w:p>
            <w:pPr>
              <w:pStyle w:val="null3"/>
            </w:pPr>
            <w:r>
              <w:rPr/>
              <w:t>24</w:t>
            </w:r>
          </w:p>
        </w:tc>
        <w:tc>
          <w:tcPr>
            <w:tcW w:type="dxa" w:w="5814"/>
          </w:tcPr>
          <w:p>
            <w:pPr>
              <w:pStyle w:val="null3"/>
              <w:ind w:firstLine="480"/>
              <w:jc w:val="both"/>
            </w:pPr>
            <w:r>
              <w:rPr>
                <w:sz w:val="24"/>
                <w:color w:val="000000"/>
              </w:rPr>
              <w:t>（</w:t>
            </w:r>
            <w:r>
              <w:rPr>
                <w:sz w:val="24"/>
                <w:color w:val="000000"/>
              </w:rPr>
              <w:t>2）本项目至少计划投入必要的机械设备及工具数量：</w:t>
            </w:r>
          </w:p>
          <w:tbl>
            <w:tblPr>
              <w:tblBorders>
                <w:top w:val="none" w:color="000000" w:sz="4"/>
                <w:left w:val="none" w:color="000000" w:sz="4"/>
                <w:bottom w:val="none" w:color="000000" w:sz="4"/>
                <w:right w:val="none" w:color="000000" w:sz="4"/>
                <w:insideH w:val="none"/>
                <w:insideV w:val="none"/>
              </w:tblBorders>
            </w:tblPr>
            <w:tblGrid>
              <w:gridCol w:w="459"/>
              <w:gridCol w:w="3404"/>
              <w:gridCol w:w="853"/>
              <w:gridCol w:w="881"/>
            </w:tblGrid>
            <w:tr>
              <w:tc>
                <w:tcPr>
                  <w:tcW w:type="dxa" w:w="45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序号</w:t>
                  </w:r>
                </w:p>
              </w:tc>
              <w:tc>
                <w:tcPr>
                  <w:tcW w:type="dxa" w:w="340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项目</w:t>
                  </w:r>
                </w:p>
              </w:tc>
              <w:tc>
                <w:tcPr>
                  <w:tcW w:type="dxa" w:w="85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单位</w:t>
                  </w:r>
                </w:p>
              </w:tc>
              <w:tc>
                <w:tcPr>
                  <w:tcW w:type="dxa" w:w="88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数量</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1</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热烟雾机</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5</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2</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背负式机动喷雾机</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8</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3</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手提式喷雾机</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13</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4</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超低容量电动</w:t>
                  </w:r>
                  <w:r>
                    <w:rPr>
                      <w:sz w:val="24"/>
                      <w:color w:val="000000"/>
                    </w:rPr>
                    <w:t>/机动喷雾机</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8</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5</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病媒生物防制作业汽车</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辆</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2</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6</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车载机动超低容量喷雾机</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1</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7</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无人监测机</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1</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8</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毒鼠屋</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个</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12000</w:t>
                  </w:r>
                </w:p>
              </w:tc>
            </w:tr>
            <w:tr>
              <w:tc>
                <w:tcPr>
                  <w:tcW w:type="dxa" w:w="4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9</w:t>
                  </w:r>
                </w:p>
              </w:tc>
              <w:tc>
                <w:tcPr>
                  <w:tcW w:type="dxa" w:w="34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防蚊闸</w:t>
                  </w:r>
                </w:p>
              </w:tc>
              <w:tc>
                <w:tcPr>
                  <w:tcW w:type="dxa" w:w="8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个</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w:t>
                  </w:r>
                  <w:r>
                    <w:rPr>
                      <w:sz w:val="24"/>
                      <w:color w:val="000000"/>
                    </w:rPr>
                    <w:t>5000</w:t>
                  </w:r>
                </w:p>
              </w:tc>
            </w:tr>
          </w:tbl>
          <w:p/>
        </w:tc>
      </w:tr>
      <w:tr>
        <w:tc>
          <w:tcPr>
            <w:tcW w:type="dxa" w:w="2076"/>
          </w:tcPr>
          <w:p/>
        </w:tc>
        <w:tc>
          <w:tcPr>
            <w:tcW w:type="dxa" w:w="415"/>
          </w:tcPr>
          <w:p>
            <w:pPr>
              <w:pStyle w:val="null3"/>
            </w:pPr>
            <w:r>
              <w:rPr/>
              <w:t>25</w:t>
            </w:r>
          </w:p>
        </w:tc>
        <w:tc>
          <w:tcPr>
            <w:tcW w:type="dxa" w:w="5814"/>
          </w:tcPr>
          <w:p>
            <w:pPr>
              <w:pStyle w:val="null3"/>
              <w:ind w:firstLine="480"/>
              <w:jc w:val="both"/>
            </w:pPr>
            <w:r>
              <w:rPr>
                <w:sz w:val="24"/>
                <w:color w:val="000000"/>
              </w:rPr>
              <w:t>（</w:t>
            </w:r>
            <w:r>
              <w:rPr>
                <w:sz w:val="24"/>
                <w:color w:val="000000"/>
              </w:rPr>
              <w:t>3）本项目的设备、车辆在合同签订后 30 天内要经采购人确认，如数量不符，则作违约处理，采购人有权取消供应商中标资格并解除合同。</w:t>
            </w:r>
          </w:p>
        </w:tc>
      </w:tr>
      <w:tr>
        <w:tc>
          <w:tcPr>
            <w:tcW w:type="dxa" w:w="2076"/>
          </w:tcPr>
          <w:p/>
        </w:tc>
        <w:tc>
          <w:tcPr>
            <w:tcW w:type="dxa" w:w="415"/>
          </w:tcPr>
          <w:p>
            <w:pPr>
              <w:pStyle w:val="null3"/>
            </w:pPr>
            <w:r>
              <w:rPr/>
              <w:t>26</w:t>
            </w:r>
          </w:p>
        </w:tc>
        <w:tc>
          <w:tcPr>
            <w:tcW w:type="dxa" w:w="5814"/>
          </w:tcPr>
          <w:p>
            <w:pPr>
              <w:pStyle w:val="null3"/>
              <w:ind w:firstLine="480"/>
              <w:jc w:val="both"/>
            </w:pPr>
            <w:r>
              <w:rPr>
                <w:sz w:val="24"/>
                <w:color w:val="000000"/>
              </w:rPr>
              <w:t>（</w:t>
            </w:r>
            <w:r>
              <w:rPr>
                <w:sz w:val="24"/>
                <w:color w:val="000000"/>
              </w:rPr>
              <w:t>4）项目所使用设备、车辆须做好维护保养，保持外观整洁。</w:t>
            </w:r>
          </w:p>
        </w:tc>
      </w:tr>
      <w:tr>
        <w:tc>
          <w:tcPr>
            <w:tcW w:type="dxa" w:w="2076"/>
          </w:tcPr>
          <w:p/>
        </w:tc>
        <w:tc>
          <w:tcPr>
            <w:tcW w:type="dxa" w:w="415"/>
          </w:tcPr>
          <w:p>
            <w:pPr>
              <w:pStyle w:val="null3"/>
            </w:pPr>
            <w:r>
              <w:rPr/>
              <w:t>27</w:t>
            </w:r>
          </w:p>
        </w:tc>
        <w:tc>
          <w:tcPr>
            <w:tcW w:type="dxa" w:w="5814"/>
          </w:tcPr>
          <w:p>
            <w:pPr>
              <w:pStyle w:val="null3"/>
              <w:ind w:firstLine="400"/>
              <w:jc w:val="both"/>
            </w:pPr>
            <w:r>
              <w:rPr>
                <w:sz w:val="24"/>
                <w:color w:val="000000"/>
              </w:rPr>
              <w:t>5、考核验收标准</w:t>
            </w:r>
          </w:p>
          <w:p>
            <w:pPr>
              <w:pStyle w:val="null3"/>
              <w:ind w:firstLine="480"/>
              <w:jc w:val="both"/>
            </w:pPr>
            <w:r>
              <w:rPr>
                <w:sz w:val="24"/>
                <w:color w:val="000000"/>
              </w:rPr>
              <w:t>（</w:t>
            </w:r>
            <w:r>
              <w:rPr>
                <w:sz w:val="24"/>
                <w:color w:val="000000"/>
              </w:rPr>
              <w:t>1）以普宁市卫生健康局组织相关部门或第三方监理机构对建成区域病媒生物防制进行定期不定期检查。根据实际病媒生物防制工作开展情况及“四害”消杀成效，结合各单位各村（居）在病媒生物防制施工单上的签字和评价，对供应商进行综合评分。</w:t>
            </w:r>
          </w:p>
        </w:tc>
      </w:tr>
      <w:tr>
        <w:tc>
          <w:tcPr>
            <w:tcW w:type="dxa" w:w="2076"/>
          </w:tcPr>
          <w:p/>
        </w:tc>
        <w:tc>
          <w:tcPr>
            <w:tcW w:type="dxa" w:w="415"/>
          </w:tcPr>
          <w:p>
            <w:pPr>
              <w:pStyle w:val="null3"/>
            </w:pPr>
            <w:r>
              <w:rPr/>
              <w:t>28</w:t>
            </w:r>
          </w:p>
        </w:tc>
        <w:tc>
          <w:tcPr>
            <w:tcW w:type="dxa" w:w="5814"/>
          </w:tcPr>
          <w:p>
            <w:pPr>
              <w:pStyle w:val="null3"/>
              <w:ind w:firstLine="480"/>
              <w:jc w:val="both"/>
            </w:pPr>
            <w:r>
              <w:rPr>
                <w:sz w:val="24"/>
                <w:color w:val="000000"/>
              </w:rPr>
              <w:t>（</w:t>
            </w:r>
            <w:r>
              <w:rPr>
                <w:sz w:val="24"/>
                <w:color w:val="000000"/>
              </w:rPr>
              <w:t>2）镇（街道）、村检查人员必须严格把关，不能以权谋私，玩忽职守。</w:t>
            </w:r>
          </w:p>
        </w:tc>
      </w:tr>
      <w:tr>
        <w:tc>
          <w:tcPr>
            <w:tcW w:type="dxa" w:w="2076"/>
          </w:tcPr>
          <w:p/>
        </w:tc>
        <w:tc>
          <w:tcPr>
            <w:tcW w:type="dxa" w:w="415"/>
          </w:tcPr>
          <w:p>
            <w:pPr>
              <w:pStyle w:val="null3"/>
            </w:pPr>
            <w:r>
              <w:rPr/>
              <w:t>29</w:t>
            </w:r>
          </w:p>
        </w:tc>
        <w:tc>
          <w:tcPr>
            <w:tcW w:type="dxa" w:w="5814"/>
          </w:tcPr>
          <w:p>
            <w:pPr>
              <w:pStyle w:val="null3"/>
              <w:ind w:firstLine="480"/>
              <w:jc w:val="both"/>
            </w:pPr>
            <w:r>
              <w:rPr>
                <w:sz w:val="24"/>
                <w:color w:val="000000"/>
              </w:rPr>
              <w:t>（</w:t>
            </w:r>
            <w:r>
              <w:rPr>
                <w:sz w:val="24"/>
                <w:color w:val="000000"/>
              </w:rPr>
              <w:t>3）考核评分办法（每季度一次）</w:t>
            </w:r>
          </w:p>
          <w:p>
            <w:pPr>
              <w:pStyle w:val="null3"/>
              <w:ind w:firstLine="480"/>
              <w:jc w:val="both"/>
            </w:pPr>
            <w:r>
              <w:rPr>
                <w:sz w:val="24"/>
                <w:color w:val="000000"/>
              </w:rPr>
              <w:t>病媒生物防制评分考核采用百分制，满分为</w:t>
            </w:r>
            <w:r>
              <w:rPr>
                <w:sz w:val="24"/>
                <w:color w:val="000000"/>
              </w:rPr>
              <w:t>100 分，好（100 分～90 分），中（89 分～80 分），差（80 分以下）三个档次。</w:t>
            </w:r>
          </w:p>
          <w:p>
            <w:pPr>
              <w:pStyle w:val="null3"/>
              <w:ind w:firstLine="480"/>
              <w:jc w:val="both"/>
            </w:pPr>
            <w:r>
              <w:rPr>
                <w:sz w:val="24"/>
                <w:color w:val="000000"/>
              </w:rPr>
              <w:t>供应商得分低于</w:t>
            </w:r>
            <w:r>
              <w:rPr>
                <w:sz w:val="24"/>
                <w:color w:val="000000"/>
              </w:rPr>
              <w:t>90 分（不含90分），以90分为基数，每减少 1 分，扣减合同款4000 元；</w:t>
            </w:r>
          </w:p>
          <w:p>
            <w:pPr>
              <w:pStyle w:val="null3"/>
              <w:ind w:firstLine="480"/>
              <w:jc w:val="both"/>
            </w:pPr>
            <w:r>
              <w:rPr>
                <w:sz w:val="24"/>
                <w:color w:val="000000"/>
              </w:rPr>
              <w:t>供应商得分在</w:t>
            </w:r>
            <w:r>
              <w:rPr>
                <w:sz w:val="24"/>
                <w:color w:val="000000"/>
              </w:rPr>
              <w:t>80分以下（不含80分），以80分为基数，每减少 1 分，扣减合同款10000元；</w:t>
            </w:r>
          </w:p>
          <w:p>
            <w:pPr>
              <w:pStyle w:val="null3"/>
              <w:ind w:firstLine="480"/>
              <w:jc w:val="both"/>
            </w:pPr>
            <w:r>
              <w:rPr>
                <w:sz w:val="24"/>
                <w:color w:val="000000"/>
              </w:rPr>
              <w:t>供应商得分在</w:t>
            </w:r>
            <w:r>
              <w:rPr>
                <w:sz w:val="24"/>
                <w:color w:val="000000"/>
              </w:rPr>
              <w:t>70分以下（不含70分），以70分为基数，每减少 1 分，扣减合同款15000元。</w:t>
            </w:r>
          </w:p>
          <w:p>
            <w:pPr>
              <w:pStyle w:val="null3"/>
              <w:ind w:firstLine="480"/>
              <w:jc w:val="both"/>
            </w:pPr>
            <w:r>
              <w:rPr>
                <w:sz w:val="24"/>
                <w:color w:val="000000"/>
              </w:rPr>
              <w:t>合同期内连续出现</w:t>
            </w:r>
            <w:r>
              <w:rPr>
                <w:sz w:val="24"/>
                <w:color w:val="000000"/>
              </w:rPr>
              <w:t>2 次检查评分在 70 以下的或不配合市卫生健康局工作，除按规定扣款外，采购人有权终止合同并拒绝付款。</w:t>
            </w:r>
          </w:p>
        </w:tc>
      </w:tr>
      <w:tr>
        <w:tc>
          <w:tcPr>
            <w:tcW w:type="dxa" w:w="2076"/>
          </w:tcPr>
          <w:p/>
        </w:tc>
        <w:tc>
          <w:tcPr>
            <w:tcW w:type="dxa" w:w="415"/>
          </w:tcPr>
          <w:p>
            <w:pPr>
              <w:pStyle w:val="null3"/>
            </w:pPr>
            <w:r>
              <w:rPr/>
              <w:t>30</w:t>
            </w:r>
          </w:p>
        </w:tc>
        <w:tc>
          <w:tcPr>
            <w:tcW w:type="dxa" w:w="5814"/>
          </w:tcPr>
          <w:p>
            <w:pPr>
              <w:pStyle w:val="null3"/>
              <w:ind w:firstLine="480"/>
              <w:jc w:val="both"/>
            </w:pPr>
            <w:r>
              <w:rPr>
                <w:sz w:val="24"/>
                <w:color w:val="000000"/>
              </w:rPr>
              <w:t>（</w:t>
            </w:r>
            <w:r>
              <w:rPr>
                <w:sz w:val="24"/>
                <w:color w:val="000000"/>
              </w:rPr>
              <w:t>4）在符合招标文件要求和国家各项法律、法规、规章等规定条件下，采购人可根据需要聘请专家或委托第三方机构进行验收评价，验收评价不合格，供应商必须免费整改，直达验收合格为止。</w:t>
            </w:r>
          </w:p>
        </w:tc>
      </w:tr>
      <w:tr>
        <w:tc>
          <w:tcPr>
            <w:tcW w:type="dxa" w:w="2076"/>
          </w:tcPr>
          <w:p/>
        </w:tc>
        <w:tc>
          <w:tcPr>
            <w:tcW w:type="dxa" w:w="415"/>
          </w:tcPr>
          <w:p>
            <w:pPr>
              <w:pStyle w:val="null3"/>
            </w:pPr>
            <w:r>
              <w:rPr/>
              <w:t>31</w:t>
            </w:r>
          </w:p>
        </w:tc>
        <w:tc>
          <w:tcPr>
            <w:tcW w:type="dxa" w:w="5814"/>
          </w:tcPr>
          <w:p>
            <w:pPr>
              <w:pStyle w:val="null3"/>
              <w:ind w:firstLine="400"/>
              <w:jc w:val="both"/>
            </w:pPr>
            <w:r>
              <w:rPr>
                <w:sz w:val="24"/>
                <w:color w:val="000000"/>
              </w:rPr>
              <w:t>6、质量标准</w:t>
            </w:r>
          </w:p>
          <w:p>
            <w:pPr>
              <w:pStyle w:val="null3"/>
              <w:ind w:firstLine="480"/>
              <w:jc w:val="both"/>
            </w:pPr>
            <w:r>
              <w:rPr>
                <w:sz w:val="24"/>
                <w:color w:val="000000"/>
              </w:rPr>
              <w:t>2024年普宁市病媒生物防制服务项目应执业并符合以下质量标准：</w:t>
            </w:r>
          </w:p>
          <w:p>
            <w:pPr>
              <w:pStyle w:val="null3"/>
              <w:ind w:firstLine="480"/>
              <w:jc w:val="both"/>
            </w:pPr>
            <w:r>
              <w:rPr>
                <w:sz w:val="24"/>
                <w:color w:val="000000"/>
              </w:rPr>
              <w:t>（</w:t>
            </w:r>
            <w:r>
              <w:rPr>
                <w:sz w:val="24"/>
                <w:color w:val="000000"/>
              </w:rPr>
              <w:t>1）监测标准：《中华人民共和国国家标准（GB/T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tc>
      </w:tr>
      <w:tr>
        <w:tc>
          <w:tcPr>
            <w:tcW w:type="dxa" w:w="2076"/>
          </w:tcPr>
          <w:p/>
        </w:tc>
        <w:tc>
          <w:tcPr>
            <w:tcW w:type="dxa" w:w="415"/>
          </w:tcPr>
          <w:p>
            <w:pPr>
              <w:pStyle w:val="null3"/>
            </w:pPr>
            <w:r>
              <w:rPr/>
              <w:t>32</w:t>
            </w:r>
          </w:p>
        </w:tc>
        <w:tc>
          <w:tcPr>
            <w:tcW w:type="dxa" w:w="5814"/>
          </w:tcPr>
          <w:p>
            <w:pPr>
              <w:pStyle w:val="null3"/>
              <w:ind w:firstLine="416"/>
            </w:pPr>
            <w:r>
              <w:rPr>
                <w:sz w:val="24"/>
                <w:color w:val="000000"/>
              </w:rPr>
              <w:t>（</w:t>
            </w:r>
            <w:r>
              <w:rPr>
                <w:sz w:val="24"/>
                <w:color w:val="000000"/>
              </w:rPr>
              <w:t>2）控制水平标准：《中华人民共和国国家标准（GB/T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tbl>
            <w:tblPr>
              <w:tblInd w:type="dxa" w:w="180"/>
              <w:tblBorders>
                <w:top w:val="none" w:color="000000" w:sz="4"/>
                <w:left w:val="none" w:color="000000" w:sz="4"/>
                <w:bottom w:val="none" w:color="000000" w:sz="4"/>
                <w:right w:val="none" w:color="000000" w:sz="4"/>
                <w:insideH w:val="none"/>
                <w:insideV w:val="none"/>
              </w:tblBorders>
            </w:tblPr>
            <w:tblGrid>
              <w:gridCol w:w="905"/>
              <w:gridCol w:w="4693"/>
            </w:tblGrid>
            <w:tr>
              <w:tc>
                <w:tcPr>
                  <w:tcW w:type="dxa" w:w="9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灭鼠标准</w:t>
                  </w:r>
                </w:p>
              </w:tc>
              <w:tc>
                <w:tcPr>
                  <w:tcW w:type="dxa" w:w="46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城镇：</w:t>
                  </w:r>
                </w:p>
                <w:p>
                  <w:pPr>
                    <w:pStyle w:val="null3"/>
                  </w:pPr>
                  <w:r>
                    <w:rPr>
                      <w:sz w:val="24"/>
                      <w:color w:val="000000"/>
                    </w:rPr>
                    <w:t>1、防鼠设施水平：防鼠设施合格率≥93%。</w:t>
                  </w:r>
                </w:p>
                <w:p>
                  <w:pPr>
                    <w:pStyle w:val="null3"/>
                  </w:pPr>
                  <w:r>
                    <w:rPr>
                      <w:sz w:val="24"/>
                      <w:color w:val="000000"/>
                    </w:rPr>
                    <w:t>2、室内鼠密度控制水平：鼠迹阳性率率≤5%。</w:t>
                  </w:r>
                </w:p>
                <w:p>
                  <w:pPr>
                    <w:pStyle w:val="null3"/>
                  </w:pPr>
                  <w:r>
                    <w:rPr>
                      <w:sz w:val="24"/>
                      <w:color w:val="000000"/>
                    </w:rPr>
                    <w:t>3、外环境鼠密度控制水平：路径指数≤5。</w:t>
                  </w:r>
                </w:p>
                <w:p>
                  <w:pPr>
                    <w:pStyle w:val="null3"/>
                  </w:pPr>
                  <w:r>
                    <w:rPr>
                      <w:sz w:val="24"/>
                      <w:color w:val="000000"/>
                    </w:rPr>
                    <w:t>单位：</w:t>
                  </w:r>
                </w:p>
                <w:p>
                  <w:pPr>
                    <w:pStyle w:val="null3"/>
                  </w:pPr>
                  <w:r>
                    <w:rPr>
                      <w:sz w:val="24"/>
                      <w:color w:val="000000"/>
                    </w:rPr>
                    <w:t>1、防鼠设施水平：房间数10间以下的单位防鼠设施完全合格，10间以上的单位防鼠设施不合格房间数≤1 间。</w:t>
                  </w:r>
                </w:p>
                <w:p>
                  <w:pPr>
                    <w:pStyle w:val="null3"/>
                  </w:pPr>
                  <w:r>
                    <w:rPr>
                      <w:sz w:val="24"/>
                      <w:color w:val="000000"/>
                    </w:rPr>
                    <w:t>2、室内鼠密度控制水平：房间数20间以下的单位阳性房间数为0，20间以上的单位阳性房间数≤1 间。</w:t>
                  </w:r>
                </w:p>
                <w:p>
                  <w:pPr>
                    <w:pStyle w:val="null3"/>
                  </w:pPr>
                  <w:r>
                    <w:rPr>
                      <w:sz w:val="24"/>
                      <w:color w:val="000000"/>
                    </w:rPr>
                    <w:t>3、外环境鼠密度：不得有鼠洞，死鼠，活鼠等鼠迹。</w:t>
                  </w:r>
                </w:p>
              </w:tc>
            </w:tr>
            <w:tr>
              <w:tc>
                <w:tcPr>
                  <w:tcW w:type="dxa" w:w="9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灭蚊标准</w:t>
                  </w:r>
                </w:p>
              </w:tc>
              <w:tc>
                <w:tcPr>
                  <w:tcW w:type="dxa" w:w="4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城镇：</w:t>
                  </w:r>
                </w:p>
                <w:p>
                  <w:pPr>
                    <w:pStyle w:val="null3"/>
                  </w:pPr>
                  <w:r>
                    <w:rPr>
                      <w:sz w:val="24"/>
                      <w:color w:val="000000"/>
                    </w:rPr>
                    <w:t>1、小型积水蚊虫密度控制水平：路径指数小于或等于 0.8</w:t>
                  </w:r>
                </w:p>
                <w:p>
                  <w:pPr>
                    <w:pStyle w:val="null3"/>
                  </w:pPr>
                  <w:r>
                    <w:rPr>
                      <w:sz w:val="24"/>
                      <w:color w:val="000000"/>
                    </w:rPr>
                    <w:t>2、大中型水体蚊虫密度控制水平：采样勺指数小于或等于5%，平均每阳性勺少于8</w:t>
                  </w:r>
                </w:p>
                <w:p>
                  <w:pPr>
                    <w:pStyle w:val="null3"/>
                  </w:pPr>
                  <w:r>
                    <w:rPr>
                      <w:sz w:val="24"/>
                      <w:color w:val="000000"/>
                    </w:rPr>
                    <w:t>只蚊虫和蛹</w:t>
                  </w:r>
                </w:p>
                <w:p>
                  <w:pPr>
                    <w:pStyle w:val="null3"/>
                  </w:pPr>
                  <w:r>
                    <w:rPr>
                      <w:sz w:val="24"/>
                      <w:color w:val="000000"/>
                    </w:rPr>
                    <w:t>3、外环境蚊虫密度控制水平：停落指数小于或等于1.5</w:t>
                  </w:r>
                </w:p>
                <w:p>
                  <w:pPr>
                    <w:pStyle w:val="null3"/>
                  </w:pPr>
                  <w:r>
                    <w:rPr>
                      <w:sz w:val="24"/>
                      <w:color w:val="000000"/>
                    </w:rPr>
                    <w:t>单位</w:t>
                  </w:r>
                  <w:r>
                    <w:rPr>
                      <w:sz w:val="24"/>
                      <w:color w:val="000000"/>
                    </w:rPr>
                    <w:t>:一个单独的单位进行蚊虫密度控制水平评价时，要求不得有阳性的各类积水容器和各类坑洼积水。</w:t>
                  </w:r>
                </w:p>
              </w:tc>
            </w:tr>
            <w:tr>
              <w:tc>
                <w:tcPr>
                  <w:tcW w:type="dxa" w:w="9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灭蝇标准</w:t>
                  </w:r>
                </w:p>
              </w:tc>
              <w:tc>
                <w:tcPr>
                  <w:tcW w:type="dxa" w:w="4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生产销售直接入口食品的场所</w:t>
                  </w:r>
                  <w:r>
                    <w:rPr>
                      <w:sz w:val="24"/>
                      <w:color w:val="000000"/>
                    </w:rPr>
                    <w:t>:不得有蝇，室内不得存在蝇类孳生地。</w:t>
                  </w:r>
                </w:p>
                <w:p>
                  <w:pPr>
                    <w:pStyle w:val="null3"/>
                  </w:pPr>
                  <w:r>
                    <w:rPr>
                      <w:sz w:val="24"/>
                      <w:color w:val="000000"/>
                    </w:rPr>
                    <w:t>城镇：</w:t>
                  </w:r>
                </w:p>
                <w:p>
                  <w:pPr>
                    <w:pStyle w:val="null3"/>
                  </w:pPr>
                  <w:r>
                    <w:rPr>
                      <w:sz w:val="24"/>
                      <w:color w:val="000000"/>
                    </w:rPr>
                    <w:t>1、室内成蝇密度控制水平：有蝇房间阳性率≤9%，阳性间蝇密度≤3只/间。</w:t>
                  </w:r>
                </w:p>
                <w:p>
                  <w:pPr>
                    <w:pStyle w:val="null3"/>
                  </w:pPr>
                  <w:r>
                    <w:rPr>
                      <w:sz w:val="24"/>
                      <w:color w:val="000000"/>
                    </w:rPr>
                    <w:t>2、室外蝇类孳生地密度控制水平：蝇类孳生地阳性率≤5%。</w:t>
                  </w:r>
                </w:p>
                <w:p>
                  <w:pPr>
                    <w:pStyle w:val="null3"/>
                  </w:pPr>
                  <w:r>
                    <w:rPr>
                      <w:sz w:val="24"/>
                      <w:color w:val="000000"/>
                    </w:rPr>
                    <w:t>3、防蝇设施水平：防蝇设施合格率≥90%。</w:t>
                  </w:r>
                </w:p>
                <w:p>
                  <w:pPr>
                    <w:pStyle w:val="null3"/>
                  </w:pPr>
                  <w:r>
                    <w:rPr>
                      <w:sz w:val="24"/>
                      <w:color w:val="000000"/>
                    </w:rPr>
                    <w:t>单位：</w:t>
                  </w:r>
                </w:p>
                <w:p>
                  <w:pPr>
                    <w:pStyle w:val="null3"/>
                  </w:pPr>
                  <w:r>
                    <w:rPr>
                      <w:sz w:val="24"/>
                      <w:color w:val="000000"/>
                    </w:rPr>
                    <w:t>1、室内成蝇密度控制水平：房间数10间以下的单位有蝇房间数为0，11间</w:t>
                  </w:r>
                  <w:r>
                    <w:rPr>
                      <w:sz w:val="24"/>
                      <w:color w:val="000000"/>
                    </w:rPr>
                    <w:t>～</w:t>
                  </w:r>
                  <w:r>
                    <w:rPr>
                      <w:sz w:val="24"/>
                      <w:color w:val="000000"/>
                    </w:rPr>
                    <w:t>30间的单位有蝇房间数≤1 间，61间</w:t>
                  </w:r>
                  <w:r>
                    <w:rPr>
                      <w:sz w:val="24"/>
                      <w:color w:val="000000"/>
                    </w:rPr>
                    <w:t>～</w:t>
                  </w:r>
                  <w:r>
                    <w:rPr>
                      <w:sz w:val="24"/>
                      <w:color w:val="000000"/>
                    </w:rPr>
                    <w:t>100 间的单位有蝇房间数≤6 间，阳性间蝇密度指数≤3只/间。</w:t>
                  </w:r>
                </w:p>
                <w:p>
                  <w:pPr>
                    <w:pStyle w:val="null3"/>
                  </w:pPr>
                  <w:r>
                    <w:rPr>
                      <w:sz w:val="24"/>
                      <w:color w:val="000000"/>
                    </w:rPr>
                    <w:t>2、蝇类孳生地密度控制水平：室内外不得有蝇类孳生地。</w:t>
                  </w:r>
                </w:p>
              </w:tc>
            </w:tr>
            <w:tr>
              <w:tc>
                <w:tcPr>
                  <w:tcW w:type="dxa" w:w="9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灭蟑标准</w:t>
                  </w:r>
                </w:p>
              </w:tc>
              <w:tc>
                <w:tcPr>
                  <w:tcW w:type="dxa" w:w="46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城镇：</w:t>
                  </w:r>
                </w:p>
                <w:p>
                  <w:pPr>
                    <w:pStyle w:val="null3"/>
                  </w:pPr>
                  <w:r>
                    <w:rPr>
                      <w:sz w:val="24"/>
                      <w:color w:val="000000"/>
                    </w:rPr>
                    <w:t>1、成若虫侵害率：成若虫侵害率≤5%，平均每阳性间(处)成若虫数小蠊≤10 只，大蠊≤5 只。</w:t>
                  </w:r>
                </w:p>
                <w:p>
                  <w:pPr>
                    <w:pStyle w:val="null3"/>
                  </w:pPr>
                  <w:r>
                    <w:rPr>
                      <w:sz w:val="24"/>
                      <w:color w:val="000000"/>
                    </w:rPr>
                    <w:t>2、卵鞘查获率：卵鞘查获率≤3%，平均每阳性间(处)卵鞘数≤8只。</w:t>
                  </w:r>
                </w:p>
                <w:p>
                  <w:pPr>
                    <w:pStyle w:val="null3"/>
                  </w:pPr>
                  <w:r>
                    <w:rPr>
                      <w:sz w:val="24"/>
                      <w:color w:val="000000"/>
                    </w:rPr>
                    <w:t>3、蟑迹查获率：蟑迹查获率≤7%</w:t>
                  </w:r>
                </w:p>
                <w:p>
                  <w:pPr>
                    <w:pStyle w:val="null3"/>
                  </w:pPr>
                  <w:r>
                    <w:rPr>
                      <w:sz w:val="24"/>
                      <w:color w:val="000000"/>
                    </w:rPr>
                    <w:t>单位：</w:t>
                  </w:r>
                </w:p>
                <w:p>
                  <w:pPr>
                    <w:pStyle w:val="null3"/>
                  </w:pPr>
                  <w:r>
                    <w:rPr>
                      <w:sz w:val="24"/>
                      <w:color w:val="000000"/>
                    </w:rPr>
                    <w:t>1、成若虫侵害率：房间数60间以下的单位侵害房间≤2间，60间以上的单位侵害房间≤3间。</w:t>
                  </w:r>
                </w:p>
                <w:p>
                  <w:pPr>
                    <w:pStyle w:val="null3"/>
                  </w:pPr>
                  <w:r>
                    <w:rPr>
                      <w:sz w:val="24"/>
                      <w:color w:val="000000"/>
                    </w:rPr>
                    <w:t>2、卵鞘查获率：房间数60间以下的单位卵鞘查获房间≤2间，60间以上的单位卵鞘查获房间≤3间。</w:t>
                  </w:r>
                </w:p>
                <w:p>
                  <w:pPr>
                    <w:pStyle w:val="null3"/>
                  </w:pPr>
                  <w:r>
                    <w:rPr>
                      <w:sz w:val="24"/>
                      <w:color w:val="000000"/>
                    </w:rPr>
                    <w:t>3、蟑迹查获率：房间数60间以下的单位蟑迹查获房间≤3间，60间以上的单位蟑迹查获房间≤5间</w:t>
                  </w:r>
                </w:p>
              </w:tc>
            </w:tr>
          </w:tbl>
          <w:p/>
        </w:tc>
      </w:tr>
      <w:tr>
        <w:tc>
          <w:tcPr>
            <w:tcW w:type="dxa" w:w="2076"/>
          </w:tcPr>
          <w:p/>
        </w:tc>
        <w:tc>
          <w:tcPr>
            <w:tcW w:type="dxa" w:w="415"/>
          </w:tcPr>
          <w:p>
            <w:pPr>
              <w:pStyle w:val="null3"/>
            </w:pPr>
            <w:r>
              <w:rPr/>
              <w:t>33</w:t>
            </w:r>
          </w:p>
        </w:tc>
        <w:tc>
          <w:tcPr>
            <w:tcW w:type="dxa" w:w="5814"/>
          </w:tcPr>
          <w:p>
            <w:pPr>
              <w:pStyle w:val="null3"/>
              <w:ind w:firstLine="408"/>
            </w:pPr>
            <w:r>
              <w:rPr>
                <w:sz w:val="24"/>
                <w:color w:val="000000"/>
              </w:rPr>
              <w:t>7、</w:t>
            </w:r>
            <w:r>
              <w:rPr>
                <w:sz w:val="24"/>
                <w:color w:val="000000"/>
              </w:rPr>
              <w:t>经验要求：</w:t>
            </w:r>
          </w:p>
          <w:p>
            <w:pPr>
              <w:pStyle w:val="null3"/>
              <w:ind w:firstLine="396"/>
            </w:pPr>
            <w:r>
              <w:rPr>
                <w:sz w:val="24"/>
                <w:color w:val="000000"/>
              </w:rPr>
              <w:t>供应商中标后必须制定具体详细的，可操作性强的项目实施方案，同时必须有详细项目管理组织架构，拟定的项目负责人、相关的专业技术人员必须具有相应的防制技术经验。投标人须具有类似服务工作的经验，能够按国家标准完成蚊、蝇、鼠、蟑螂等</w:t>
            </w:r>
            <w:r>
              <w:rPr>
                <w:sz w:val="24"/>
                <w:color w:val="000000"/>
              </w:rPr>
              <w:t>4类有害生物的防制服务，具备编制创卫病媒生物防制全套迎</w:t>
            </w:r>
            <w:r>
              <w:rPr>
                <w:sz w:val="24"/>
                <w:color w:val="000000"/>
              </w:rPr>
              <w:t>检资料的成功案例。</w:t>
            </w:r>
          </w:p>
        </w:tc>
      </w:tr>
      <w:tr>
        <w:tc>
          <w:tcPr>
            <w:tcW w:type="dxa" w:w="2076"/>
          </w:tcPr>
          <w:p/>
        </w:tc>
        <w:tc>
          <w:tcPr>
            <w:tcW w:type="dxa" w:w="415"/>
          </w:tcPr>
          <w:p>
            <w:pPr>
              <w:pStyle w:val="null3"/>
            </w:pPr>
            <w:r>
              <w:rPr/>
              <w:t>34</w:t>
            </w:r>
          </w:p>
        </w:tc>
        <w:tc>
          <w:tcPr>
            <w:tcW w:type="dxa" w:w="5814"/>
          </w:tcPr>
          <w:p>
            <w:pPr>
              <w:pStyle w:val="null3"/>
              <w:ind w:firstLine="396"/>
            </w:pPr>
            <w:r>
              <w:rPr>
                <w:sz w:val="24"/>
                <w:color w:val="000000"/>
              </w:rPr>
              <w:t>8、服务要求：</w:t>
            </w:r>
          </w:p>
          <w:p>
            <w:pPr>
              <w:pStyle w:val="null3"/>
              <w:ind w:firstLine="396"/>
            </w:pPr>
            <w:r>
              <w:rPr>
                <w:sz w:val="24"/>
                <w:color w:val="000000"/>
              </w:rPr>
              <w:t>（</w:t>
            </w:r>
            <w:r>
              <w:rPr>
                <w:sz w:val="24"/>
                <w:color w:val="000000"/>
              </w:rPr>
              <w:t>1）按照招标文件的规定要求、以及国家和行业的相关标准，对普宁市创卫建成区的病媒生物进行防制工作，通过专业病媒生物防制服务的开展，切实降低鼠、蟑、蚊、蝇四害密度，确保普宁市创卫建城区域的病媒生物防制四害密度标准达到到国家标准C级或以上。</w:t>
            </w:r>
          </w:p>
        </w:tc>
      </w:tr>
      <w:tr>
        <w:tc>
          <w:tcPr>
            <w:tcW w:type="dxa" w:w="2076"/>
          </w:tcPr>
          <w:p/>
        </w:tc>
        <w:tc>
          <w:tcPr>
            <w:tcW w:type="dxa" w:w="415"/>
          </w:tcPr>
          <w:p>
            <w:pPr>
              <w:pStyle w:val="null3"/>
            </w:pPr>
            <w:r>
              <w:rPr/>
              <w:t>35</w:t>
            </w:r>
          </w:p>
        </w:tc>
        <w:tc>
          <w:tcPr>
            <w:tcW w:type="dxa" w:w="5814"/>
          </w:tcPr>
          <w:p>
            <w:pPr>
              <w:pStyle w:val="null3"/>
              <w:ind w:firstLine="396"/>
            </w:pPr>
            <w:r>
              <w:rPr>
                <w:sz w:val="24"/>
                <w:color w:val="000000"/>
              </w:rPr>
              <w:t>（</w:t>
            </w:r>
            <w:r>
              <w:rPr>
                <w:sz w:val="24"/>
                <w:color w:val="000000"/>
              </w:rPr>
              <w:t>2）在本次采购人的预算工程清单工作量内出现的测绘误差，不论在招标前还是中标后发现，采购人不作任何费用的增减，视作捆绑打包处理，供应商须无条件认同。</w:t>
            </w:r>
          </w:p>
        </w:tc>
      </w:tr>
      <w:tr>
        <w:tc>
          <w:tcPr>
            <w:tcW w:type="dxa" w:w="2076"/>
          </w:tcPr>
          <w:p/>
        </w:tc>
        <w:tc>
          <w:tcPr>
            <w:tcW w:type="dxa" w:w="415"/>
          </w:tcPr>
          <w:p>
            <w:pPr>
              <w:pStyle w:val="null3"/>
            </w:pPr>
            <w:r>
              <w:rPr/>
              <w:t>36</w:t>
            </w:r>
          </w:p>
        </w:tc>
        <w:tc>
          <w:tcPr>
            <w:tcW w:type="dxa" w:w="5814"/>
          </w:tcPr>
          <w:p>
            <w:pPr>
              <w:pStyle w:val="null3"/>
              <w:ind w:firstLine="396"/>
            </w:pPr>
            <w:r>
              <w:rPr>
                <w:sz w:val="24"/>
                <w:color w:val="000000"/>
              </w:rPr>
              <w:t>（</w:t>
            </w:r>
            <w:r>
              <w:rPr>
                <w:sz w:val="24"/>
                <w:color w:val="000000"/>
              </w:rPr>
              <w:t>3）在服务期间，供应商必须因应作业量的增加按比例增加相应数量的作业人员、作业车辆和作业机械、工具等以满足作业的需要，确保作业质量。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1.采购代理机构：本项目是指广东悦诚招标代理有限公司，负责整个采购活动的组织，依法负责编制和发布招标文件，对招标文件拥有最终的解释权，不以任何身份出任评标委员会成员。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采购机构代理服务收费标准：按照国家计委颁布的《招标代理服务收费管理暂行办法》计价格[2002]1980号）执行计取。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广东悦诚招标代理有限公司</w:t>
      </w:r>
      <w:r>
        <w:rPr/>
        <w:t>代收。具体操作要求详见</w:t>
      </w:r>
      <w:r>
        <w:rPr/>
        <w:t>广东悦诚招标代理有限公司</w:t>
      </w:r>
      <w:r>
        <w:rPr/>
        <w:t>有关指引，递交事宜请自行咨询</w:t>
      </w:r>
      <w:r>
        <w:rPr/>
        <w:t>广东悦诚招标代理有限公司</w:t>
      </w:r>
      <w:r>
        <w:rPr/>
        <w:t>；请各投标人在投标文件递交截止时间前按须知前附表规定的金额递交至</w:t>
      </w:r>
      <w:r>
        <w:rPr/>
        <w:t>广东悦诚招标代理有限公司</w:t>
      </w:r>
      <w:r>
        <w:rPr/>
        <w:t>，到账情况以开标时</w:t>
      </w:r>
      <w:r>
        <w:rPr/>
        <w:t>广东悦诚招标代理有限公司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yeucen.com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yeucen.com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0663-6186588</w:t>
      </w:r>
    </w:p>
    <w:p>
      <w:pPr>
        <w:pStyle w:val="null3"/>
        <w:ind w:firstLine="480"/>
      </w:pPr>
      <w:r>
        <w:rPr/>
        <w:t>传真：</w:t>
      </w:r>
      <w:r>
        <w:rPr/>
        <w:t>0663-6186588</w:t>
      </w:r>
    </w:p>
    <w:p>
      <w:pPr>
        <w:pStyle w:val="null3"/>
        <w:ind w:firstLine="480"/>
      </w:pPr>
      <w:r>
        <w:rPr/>
        <w:t>邮箱：</w:t>
      </w:r>
      <w:r>
        <w:rPr/>
        <w:t>yeucen@163.com</w:t>
      </w:r>
    </w:p>
    <w:p>
      <w:pPr>
        <w:pStyle w:val="null3"/>
        <w:ind w:firstLine="480"/>
      </w:pPr>
      <w:r>
        <w:rPr/>
        <w:t>地址：</w:t>
      </w:r>
      <w:r>
        <w:rPr/>
        <w:t>普宁市普宁大道商业街南侧林青段西起第13幢</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普宁市病媒生物防制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广东悦诚招标代理有限公司</w:t>
      </w:r>
      <w:r>
        <w:rPr/>
        <w:t>统一对外发布。</w:t>
      </w:r>
    </w:p>
    <w:p>
      <w:pPr>
        <w:pStyle w:val="null3"/>
        <w:ind w:firstLine="480"/>
      </w:pPr>
      <w:r>
        <w:rPr/>
        <w:t>（2）对</w:t>
      </w:r>
      <w:r>
        <w:rPr/>
        <w:t>广东悦诚招标代理有限公司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采购包1（2024年普宁市病媒生物防制服务）：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采购包1（2024年普宁市病媒生物防制服务）：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pPr>
              <w:pStyle w:val="null3"/>
            </w:pPr>
            <w:r>
              <w:rPr/>
              <w:t>8</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采购包1（2024年普宁市病媒生物防制服务）：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按招标文件要求提供《法定代表人/负责人资格证明书》，若有授权时须同时提供《法定代表人/负责人授权委托书》的，并附其相关人员身份证件复印件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采购包1(2024年普宁市病媒生物防制服务):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技术部分72.0分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(46.0分)</w:t>
            </w:r>
            <w:r>
              <w:rPr/>
              <w:t>，（等次分值选择：</w:t>
            </w:r>
            <w:r>
              <w:rPr/>
              <w:t>0.0;</w:t>
            </w:r>
            <w:r>
              <w:rPr/>
              <w:t>1.0;</w:t>
            </w:r>
            <w:r>
              <w:rPr/>
              <w:t>2.0;</w:t>
            </w:r>
            <w:r>
              <w:rPr/>
              <w:t>3.0;</w:t>
            </w:r>
            <w:r>
              <w:rPr/>
              <w:t>4.0;</w:t>
            </w:r>
            <w:r>
              <w:rPr/>
              <w:t>5.0;</w:t>
            </w:r>
            <w:r>
              <w:rPr/>
              <w:t>6.0;</w:t>
            </w:r>
            <w:r>
              <w:rPr/>
              <w:t>7.0;</w:t>
            </w:r>
            <w:r>
              <w:rPr/>
              <w:t>8.0;</w:t>
            </w:r>
            <w:r>
              <w:rPr/>
              <w:t>9.0;</w:t>
            </w:r>
            <w:r>
              <w:rPr/>
              <w:t>10.0;</w:t>
            </w:r>
            <w:r>
              <w:rPr/>
              <w:t>11.0;</w:t>
            </w:r>
            <w:r>
              <w:rPr/>
              <w:t>12.0;</w:t>
            </w:r>
            <w:r>
              <w:rPr/>
              <w:t>13.0;</w:t>
            </w:r>
            <w:r>
              <w:rPr/>
              <w:t>14.0;</w:t>
            </w:r>
            <w:r>
              <w:rPr/>
              <w:t>15.0;</w:t>
            </w:r>
            <w:r>
              <w:rPr/>
              <w:t>16.0;</w:t>
            </w:r>
            <w:r>
              <w:rPr/>
              <w:t>17.0;</w:t>
            </w:r>
            <w:r>
              <w:rPr/>
              <w:t>18.0;</w:t>
            </w:r>
            <w:r>
              <w:rPr/>
              <w:t>19.0;</w:t>
            </w:r>
            <w:r>
              <w:rPr/>
              <w:t>20.0;</w:t>
            </w:r>
            <w:r>
              <w:rPr/>
              <w:t>21.0;</w:t>
            </w:r>
            <w:r>
              <w:rPr/>
              <w:t>22.0;</w:t>
            </w:r>
            <w:r>
              <w:rPr/>
              <w:t>23.0;</w:t>
            </w:r>
            <w:r>
              <w:rPr/>
              <w:t>24.0;</w:t>
            </w:r>
            <w:r>
              <w:rPr/>
              <w:t>25.0;</w:t>
            </w:r>
            <w:r>
              <w:rPr/>
              <w:t>26.0;</w:t>
            </w:r>
            <w:r>
              <w:rPr/>
              <w:t>27.0;</w:t>
            </w:r>
            <w:r>
              <w:rPr/>
              <w:t>28.0;</w:t>
            </w:r>
            <w:r>
              <w:rPr/>
              <w:t>29.0;</w:t>
            </w:r>
            <w:r>
              <w:rPr/>
              <w:t>30.0;</w:t>
            </w:r>
            <w:r>
              <w:rPr/>
              <w:t>31.0;</w:t>
            </w:r>
            <w:r>
              <w:rPr/>
              <w:t>32.0;</w:t>
            </w:r>
            <w:r>
              <w:rPr/>
              <w:t>33.0;</w:t>
            </w:r>
            <w:r>
              <w:rPr/>
              <w:t>34.0;</w:t>
            </w:r>
            <w:r>
              <w:rPr/>
              <w:t>35.0;</w:t>
            </w:r>
            <w:r>
              <w:rPr/>
              <w:t>36.0;</w:t>
            </w:r>
            <w:r>
              <w:rPr/>
              <w:t>37.0;</w:t>
            </w:r>
            <w:r>
              <w:rPr/>
              <w:t>38.0;</w:t>
            </w:r>
            <w:r>
              <w:rPr/>
              <w:t>39.0;</w:t>
            </w:r>
            <w:r>
              <w:rPr/>
              <w:t>40.0;</w:t>
            </w:r>
            <w:r>
              <w:rPr/>
              <w:t>41.0;</w:t>
            </w:r>
            <w:r>
              <w:rPr/>
              <w:t>42.0;</w:t>
            </w:r>
            <w:r>
              <w:rPr/>
              <w:t>43.0;</w:t>
            </w:r>
            <w:r>
              <w:rPr/>
              <w:t>44.0;</w:t>
            </w:r>
            <w:r>
              <w:rPr/>
              <w:t>45.0;</w:t>
            </w:r>
            <w:r>
              <w:rPr/>
              <w:t>46.0;</w:t>
            </w:r>
            <w:r>
              <w:rPr/>
              <w:t>）</w:t>
            </w:r>
          </w:p>
        </w:tc>
        <w:tc>
          <w:tcPr>
            <w:tcW w:type="dxa" w:w="5076"/>
          </w:tcPr>
          <w:p>
            <w:pPr>
              <w:pStyle w:val="null3"/>
              <w:jc w:val="left"/>
            </w:pPr>
            <w:r>
              <w:rPr/>
              <w:t>满足或优于采购人需求中技术要求的标“▲” 参数（条款）的每条得2分，其他参数（条款）满足或优于的每条得1分，最高得46分。</w:t>
            </w:r>
          </w:p>
        </w:tc>
      </w:tr>
      <w:tr>
        <w:tc>
          <w:tcPr>
            <w:tcW w:type="dxa" w:w="922"/>
            <w:gridSpan w:val="2"/>
            <w:vMerge/>
          </w:tcPr>
          <w:p/>
        </w:tc>
        <w:tc>
          <w:tcPr>
            <w:tcW w:type="dxa" w:w="2307"/>
          </w:tcPr>
          <w:p>
            <w:pPr>
              <w:pStyle w:val="null3"/>
              <w:jc w:val="left"/>
            </w:pPr>
            <w:r>
              <w:rPr/>
              <w:t>技术服务方案 (13.0分)</w:t>
            </w:r>
            <w:r>
              <w:rPr/>
              <w:t>，（等次分值选择：</w:t>
            </w:r>
            <w:r>
              <w:rPr/>
              <w:t>0.0;</w:t>
            </w:r>
            <w:r>
              <w:rPr/>
              <w:t>1.0;</w:t>
            </w:r>
            <w:r>
              <w:rPr/>
              <w:t>4.0;</w:t>
            </w:r>
            <w:r>
              <w:rPr/>
              <w:t>7.0;</w:t>
            </w:r>
            <w:r>
              <w:rPr/>
              <w:t>10.0;</w:t>
            </w:r>
            <w:r>
              <w:rPr/>
              <w:t>13.0;</w:t>
            </w:r>
            <w:r>
              <w:rPr/>
              <w:t>）</w:t>
            </w:r>
          </w:p>
        </w:tc>
        <w:tc>
          <w:tcPr>
            <w:tcW w:type="dxa" w:w="5076"/>
          </w:tcPr>
          <w:p>
            <w:pPr>
              <w:pStyle w:val="null3"/>
              <w:jc w:val="left"/>
            </w:pPr>
            <w:r>
              <w:rPr/>
              <w:t>根据投标人为本项目编制的技术服务方案（包括技术服务工作计划、消杀灭效方案、应急处理方案及现场管理及服务流程等）的详细具体程度、合理性及可行性进行综合评分： 1、方案详细具体，合理性强，可行性高。得13分； 2、方案详细具体，但合理性及可行性一般。得10分； 3、方案不详细，但合理性及可行性一般。得7分； 4、方案详细，但不合理及没有可行性。得4分； 5、方案不详细，且不合理及没有可行性。得1分； 6、没有编制方案的不得分。</w:t>
            </w:r>
          </w:p>
        </w:tc>
      </w:tr>
      <w:tr>
        <w:tc>
          <w:tcPr>
            <w:tcW w:type="dxa" w:w="922"/>
            <w:gridSpan w:val="2"/>
            <w:vMerge/>
          </w:tcPr>
          <w:p/>
        </w:tc>
        <w:tc>
          <w:tcPr>
            <w:tcW w:type="dxa" w:w="2307"/>
          </w:tcPr>
          <w:p>
            <w:pPr>
              <w:pStyle w:val="null3"/>
              <w:jc w:val="left"/>
            </w:pPr>
            <w:r>
              <w:rPr/>
              <w:t>项目重点技术研判方案 (13.0分)</w:t>
            </w:r>
            <w:r>
              <w:rPr/>
              <w:t>，（等次分值选择：</w:t>
            </w:r>
            <w:r>
              <w:rPr/>
              <w:t>0.0;</w:t>
            </w:r>
            <w:r>
              <w:rPr/>
              <w:t>1.0;</w:t>
            </w:r>
            <w:r>
              <w:rPr/>
              <w:t>4.0;</w:t>
            </w:r>
            <w:r>
              <w:rPr/>
              <w:t>7.0;</w:t>
            </w:r>
            <w:r>
              <w:rPr/>
              <w:t>10.0;</w:t>
            </w:r>
            <w:r>
              <w:rPr/>
              <w:t>13.0;</w:t>
            </w:r>
            <w:r>
              <w:rPr/>
              <w:t>）</w:t>
            </w:r>
          </w:p>
        </w:tc>
        <w:tc>
          <w:tcPr>
            <w:tcW w:type="dxa" w:w="5076"/>
          </w:tcPr>
          <w:p>
            <w:pPr>
              <w:pStyle w:val="null3"/>
              <w:jc w:val="left"/>
            </w:pPr>
            <w:r>
              <w:rPr/>
              <w:t>根据投标人为本项目编制的重点技术研判方案（包括对项目内容和项目实施环境的理解、现状分析情况、主要重难点解决方法掌握程度、对相关规划考虑全面、服务节点设置等内容）的详细具体程度、合理性及可行性进行综合评分：1、方案详细具体，合理性强，可行性高。得13分；2、方案详细具体，但合理性及可行性一般。得10分；3、方案不详细，但合理性及可行性一般。得7分；4、方案详细，但不合理及没有可行性。得4分；5、方案不详细，且不合理及没有可行性。得1分；6、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(2.0分)</w:t>
            </w:r>
            <w:r>
              <w:rPr/>
              <w:t>，（等次分值选择：</w:t>
            </w:r>
            <w:r>
              <w:rPr/>
              <w:t>0.0;</w:t>
            </w:r>
            <w:r>
              <w:rPr/>
              <w:t>2.0;</w:t>
            </w:r>
            <w:r>
              <w:rPr/>
              <w:t>）</w:t>
            </w:r>
          </w:p>
        </w:tc>
        <w:tc>
          <w:tcPr>
            <w:tcW w:type="dxa" w:w="5076"/>
          </w:tcPr>
          <w:p>
            <w:pPr>
              <w:pStyle w:val="null3"/>
              <w:jc w:val="left"/>
            </w:pPr>
            <w:r>
              <w:rPr/>
              <w:t>自2020年至今投标人独立承担过与病媒生物防制服务相关项目经验的得2分。 注：须提供相关的中标通知书或合同复印件，否则不得分</w:t>
            </w:r>
          </w:p>
        </w:tc>
      </w:tr>
      <w:tr>
        <w:tc>
          <w:tcPr>
            <w:tcW w:type="dxa" w:w="922"/>
            <w:gridSpan w:val="2"/>
            <w:vMerge/>
          </w:tcPr>
          <w:p/>
        </w:tc>
        <w:tc>
          <w:tcPr>
            <w:tcW w:type="dxa" w:w="2307"/>
          </w:tcPr>
          <w:p>
            <w:pPr>
              <w:pStyle w:val="null3"/>
              <w:jc w:val="left"/>
            </w:pPr>
            <w:r>
              <w:rPr/>
              <w:t>企业管理 (3.0分)</w:t>
            </w:r>
            <w:r>
              <w:rPr/>
              <w:t>，（等次分值选择：</w:t>
            </w:r>
            <w:r>
              <w:rPr/>
              <w:t>0.0;</w:t>
            </w:r>
            <w:r>
              <w:rPr/>
              <w:t>1.0;</w:t>
            </w:r>
            <w:r>
              <w:rPr/>
              <w:t>2.0;</w:t>
            </w:r>
            <w:r>
              <w:rPr/>
              <w:t>3.0;</w:t>
            </w:r>
            <w:r>
              <w:rPr/>
              <w:t>）</w:t>
            </w:r>
          </w:p>
        </w:tc>
        <w:tc>
          <w:tcPr>
            <w:tcW w:type="dxa" w:w="5076"/>
          </w:tcPr>
          <w:p>
            <w:pPr>
              <w:pStyle w:val="null3"/>
              <w:jc w:val="left"/>
            </w:pPr>
            <w:r>
              <w:rPr/>
              <w:t>1、投标人具有有效的ISO9001（GB/T 19001）质量管理体系认证证书，且该证书认证范围包含“虫害防治”的得1分； 2、投标人具有有效的ISO14001（GB/T 24001）环境管理体系认证证书，且该证书认证范围包含“虫害防治”的得1分； 3、投标人具有有效的ISO45001（GB/T 45001）职业健康安全管理体系认证证书，且该证书认证范围包含“虫害防治”的得1分。 注：以上须提供相关证书或证明材料复印件，否则不得分。</w:t>
            </w:r>
          </w:p>
        </w:tc>
      </w:tr>
      <w:tr>
        <w:tc>
          <w:tcPr>
            <w:tcW w:type="dxa" w:w="922"/>
            <w:gridSpan w:val="2"/>
            <w:vMerge/>
          </w:tcPr>
          <w:p/>
        </w:tc>
        <w:tc>
          <w:tcPr>
            <w:tcW w:type="dxa" w:w="2307"/>
          </w:tcPr>
          <w:p>
            <w:pPr>
              <w:pStyle w:val="null3"/>
              <w:jc w:val="left"/>
            </w:pPr>
            <w:r>
              <w:rPr/>
              <w:t>质量保证措施方案 (13.0分)</w:t>
            </w:r>
            <w:r>
              <w:rPr/>
              <w:t>，（等次分值选择：</w:t>
            </w:r>
            <w:r>
              <w:rPr/>
              <w:t>0.0;</w:t>
            </w:r>
            <w:r>
              <w:rPr/>
              <w:t>1.0;</w:t>
            </w:r>
            <w:r>
              <w:rPr/>
              <w:t>4.0;</w:t>
            </w:r>
            <w:r>
              <w:rPr/>
              <w:t>7.0;</w:t>
            </w:r>
            <w:r>
              <w:rPr/>
              <w:t>10.0;</w:t>
            </w:r>
            <w:r>
              <w:rPr/>
              <w:t>13.0;</w:t>
            </w:r>
            <w:r>
              <w:rPr/>
              <w:t>）</w:t>
            </w:r>
          </w:p>
        </w:tc>
        <w:tc>
          <w:tcPr>
            <w:tcW w:type="dxa" w:w="5076"/>
          </w:tcPr>
          <w:p>
            <w:pPr>
              <w:pStyle w:val="null3"/>
              <w:jc w:val="left"/>
            </w:pPr>
            <w:r>
              <w:rPr/>
              <w:t>根据投标人为本项目编制的质量保证措施方案（包括质量控制保证措施、环境保护措施及应急措施等内容）的详细具体程度、合理性及可行性进行综合评分： 1、方案详细具体，合理性强，可行性高。得13分； 2、方案详细具体，但合理性及可行性一般。得10分； 3、方案不详细，但合理性及可行性一般。得7分； 4、方案详细，但不合理及没有可行性。得4分； 5、方案不详细，且不合理及没有可行性。得1分； 6、没有编制方案的不得分。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spacing w:before="150" w:after="150"/>
        <w:jc w:val="both"/>
      </w:pPr>
      <w:r>
        <w:rPr>
          <w:sz w:val="24"/>
        </w:rPr>
        <w:t xml:space="preserve"> </w:t>
      </w:r>
    </w:p>
    <w:p>
      <w:pPr>
        <w:pStyle w:val="null3"/>
        <w:jc w:val="center"/>
      </w:pPr>
      <w:r>
        <w:rPr>
          <w:sz w:val="24"/>
          <w:b/>
        </w:rPr>
        <w:t>合　同　书</w:t>
      </w:r>
    </w:p>
    <w:p>
      <w:pPr>
        <w:pStyle w:val="null3"/>
        <w:jc w:val="center"/>
      </w:pPr>
      <w:r>
        <w:br/>
      </w:r>
      <w:r>
        <w:br/>
      </w:r>
      <w:r>
        <w:br/>
      </w:r>
      <w:r>
        <w:br/>
      </w:r>
      <w:r>
        <w:br/>
      </w:r>
      <w:r>
        <w:br/>
      </w:r>
      <w:r>
        <w:br/>
      </w:r>
      <w:r>
        <w:br/>
      </w:r>
      <w:r>
        <w:rPr>
          <w:sz w:val="24"/>
        </w:rPr>
        <w:t xml:space="preserve">  </w:t>
      </w:r>
    </w:p>
    <w:p>
      <w:pPr>
        <w:pStyle w:val="null3"/>
        <w:jc w:val="center"/>
      </w:pPr>
      <w:r>
        <w:rPr>
          <w:sz w:val="28"/>
          <w:color w:val="222222"/>
        </w:rPr>
        <w:t>采购计划编号：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项目名称：</w:t>
      </w:r>
      <w:r>
        <w:rPr>
          <w:sz w:val="24"/>
          <w:u w:val="single"/>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both"/>
      </w:pPr>
      <w:r>
        <w:br/>
      </w:r>
      <w:r>
        <w:rPr>
          <w:sz w:val="24"/>
        </w:rPr>
        <w:t xml:space="preserve">  </w:t>
      </w:r>
    </w:p>
    <w:p>
      <w:pPr>
        <w:pStyle w:val="null3"/>
        <w:jc w:val="both"/>
      </w:pPr>
      <w:r>
        <w:rPr>
          <w:sz w:val="24"/>
          <w:b/>
        </w:rPr>
        <w:t>甲方：</w:t>
      </w:r>
      <w:r>
        <w:rPr>
          <w:sz w:val="24"/>
          <w:b/>
        </w:rPr>
        <w:t xml:space="preserve"> </w:t>
      </w:r>
      <w:r>
        <w:rPr>
          <w:sz w:val="24"/>
          <w:u w:val="single"/>
        </w:rPr>
        <w:t xml:space="preserve">    </w:t>
      </w:r>
    </w:p>
    <w:p>
      <w:pPr>
        <w:pStyle w:val="null3"/>
        <w:jc w:val="both"/>
      </w:pPr>
      <w:r>
        <w:rPr>
          <w:sz w:val="27"/>
          <w:color w:val="222222"/>
        </w:rPr>
        <w:t>电话：</w:t>
      </w:r>
      <w:r>
        <w:rPr>
          <w:sz w:val="27"/>
          <w:color w:val="222222"/>
        </w:rPr>
        <w:t xml:space="preserve"> </w:t>
      </w:r>
      <w:r>
        <w:rPr>
          <w:sz w:val="24"/>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sz w:val="24"/>
          <w:u w:val="single"/>
        </w:rPr>
        <w:t xml:space="preserve">    </w:t>
      </w:r>
      <w:r>
        <w:rPr>
          <w:sz w:val="27"/>
          <w:color w:val="222222"/>
        </w:rPr>
        <w:t>地址：</w:t>
      </w:r>
      <w:r>
        <w:rPr>
          <w:sz w:val="27"/>
          <w:color w:val="222222"/>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p>
    <w:p>
      <w:pPr>
        <w:pStyle w:val="null3"/>
        <w:jc w:val="both"/>
      </w:pPr>
      <w:r>
        <w:rPr>
          <w:sz w:val="27"/>
          <w:color w:val="222222"/>
        </w:rPr>
        <w:t>电话：</w:t>
      </w:r>
      <w:r>
        <w:rPr>
          <w:sz w:val="27"/>
          <w:color w:val="222222"/>
        </w:rPr>
        <w:t xml:space="preserve"> </w:t>
      </w:r>
      <w:r>
        <w:rPr>
          <w:sz w:val="24"/>
          <w:u w:val="single"/>
        </w:rPr>
        <w:t xml:space="preserve">     </w:t>
      </w:r>
      <w:r>
        <w:rPr>
          <w:sz w:val="27"/>
          <w:color w:val="222222"/>
        </w:rPr>
        <w:t>传真：</w:t>
      </w:r>
      <w:r>
        <w:rPr>
          <w:sz w:val="24"/>
          <w:u w:val="single"/>
        </w:rPr>
        <w:t xml:space="preserve">      </w:t>
      </w:r>
      <w:r>
        <w:rPr>
          <w:sz w:val="27"/>
          <w:color w:val="222222"/>
        </w:rPr>
        <w:t>地址：</w:t>
      </w:r>
      <w:r>
        <w:rPr>
          <w:sz w:val="27"/>
          <w:color w:val="222222"/>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7"/>
          <w:color w:val="222222"/>
        </w:rPr>
        <w:t xml:space="preserve">  </w:t>
      </w:r>
      <w:r>
        <w:rPr>
          <w:sz w:val="27"/>
          <w:color w:val="222222"/>
        </w:rPr>
        <w:t>根据</w:t>
      </w:r>
      <w:r>
        <w:rPr>
          <w:sz w:val="27"/>
          <w:color w:val="222222"/>
        </w:rPr>
        <w:t xml:space="preserve"> </w:t>
      </w:r>
      <w:r>
        <w:rPr>
          <w:sz w:val="24"/>
          <w:u w:val="single"/>
        </w:rPr>
        <w:t xml:space="preserve">         </w:t>
      </w:r>
      <w:r>
        <w:rPr>
          <w:sz w:val="24"/>
          <w:u w:val="single"/>
        </w:rPr>
        <w:t>项目</w:t>
      </w:r>
      <w:r>
        <w:rPr>
          <w:sz w:val="24"/>
          <w:u w:val="single"/>
        </w:rPr>
        <w:t xml:space="preserve"> </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》的规定，经双方协商，本着平等互利和诚实信用的原则，一致同意遵守本合同如下。</w:t>
      </w:r>
    </w:p>
    <w:p>
      <w:pPr>
        <w:pStyle w:val="null3"/>
        <w:jc w:val="both"/>
      </w:pPr>
      <w:r>
        <w:rPr>
          <w:sz w:val="24"/>
          <w:b/>
        </w:rPr>
        <w:t>一、合同金额</w:t>
      </w:r>
    </w:p>
    <w:p>
      <w:pPr>
        <w:pStyle w:val="null3"/>
        <w:jc w:val="both"/>
      </w:pPr>
      <w:r>
        <w:rPr>
          <w:sz w:val="27"/>
          <w:color w:val="222222"/>
        </w:rPr>
        <w:t>　　合同金额为（大写）：</w:t>
      </w:r>
      <w:r>
        <w:rPr>
          <w:sz w:val="27"/>
          <w:color w:val="222222"/>
        </w:rPr>
        <w:t>_____________</w:t>
      </w:r>
      <w:r>
        <w:rPr>
          <w:sz w:val="27"/>
          <w:color w:val="222222"/>
        </w:rPr>
        <w:t>元（￥</w:t>
      </w:r>
      <w:r>
        <w:rPr>
          <w:sz w:val="27"/>
          <w:color w:val="222222"/>
        </w:rPr>
        <w:t>_________</w:t>
      </w:r>
      <w:r>
        <w:rPr>
          <w:sz w:val="27"/>
          <w:color w:val="222222"/>
        </w:rPr>
        <w:t>元）人民币。</w:t>
      </w:r>
    </w:p>
    <w:p>
      <w:pPr>
        <w:pStyle w:val="null3"/>
        <w:jc w:val="both"/>
      </w:pPr>
      <w:r>
        <w:rPr>
          <w:sz w:val="24"/>
          <w:b/>
        </w:rPr>
        <w:t>二、服务范围</w:t>
      </w:r>
    </w:p>
    <w:p>
      <w:pPr>
        <w:pStyle w:val="null3"/>
        <w:jc w:val="both"/>
      </w:pPr>
      <w:r>
        <w:rPr>
          <w:sz w:val="27"/>
          <w:color w:val="222222"/>
        </w:rPr>
        <w:t>　　甲方聘请乙方提供以下服务：</w:t>
      </w:r>
    </w:p>
    <w:p>
      <w:pPr>
        <w:pStyle w:val="null3"/>
        <w:jc w:val="both"/>
      </w:pPr>
      <w:r>
        <w:rPr>
          <w:sz w:val="27"/>
          <w:color w:val="222222"/>
        </w:rPr>
        <w:t xml:space="preserve"> 1</w:t>
      </w:r>
      <w:r>
        <w:rPr>
          <w:sz w:val="27"/>
          <w:color w:val="222222"/>
        </w:rPr>
        <w:t>．</w:t>
      </w:r>
      <w:r>
        <w:rPr>
          <w:sz w:val="27"/>
          <w:color w:val="222222"/>
        </w:rPr>
        <w:t>。</w:t>
      </w:r>
    </w:p>
    <w:p>
      <w:pPr>
        <w:pStyle w:val="null3"/>
        <w:jc w:val="both"/>
      </w:pPr>
      <w:r>
        <w:rPr>
          <w:sz w:val="27"/>
          <w:color w:val="222222"/>
        </w:rPr>
        <w:t xml:space="preserve"> 2</w:t>
      </w:r>
      <w:r>
        <w:rPr>
          <w:sz w:val="27"/>
          <w:color w:val="222222"/>
        </w:rPr>
        <w:t>．</w:t>
      </w:r>
    </w:p>
    <w:p>
      <w:pPr>
        <w:pStyle w:val="null3"/>
        <w:jc w:val="both"/>
      </w:pPr>
      <w:r>
        <w:rPr>
          <w:sz w:val="27"/>
          <w:color w:val="222222"/>
        </w:rPr>
        <w:t>……</w:t>
      </w:r>
    </w:p>
    <w:p>
      <w:pPr>
        <w:pStyle w:val="null3"/>
        <w:jc w:val="both"/>
      </w:pPr>
      <w:r>
        <w:rPr>
          <w:sz w:val="24"/>
          <w:b/>
        </w:rPr>
        <w:t>三、甲方乙方的权利和义务</w:t>
      </w:r>
    </w:p>
    <w:p>
      <w:pPr>
        <w:pStyle w:val="null3"/>
        <w:jc w:val="both"/>
      </w:pPr>
      <w:r>
        <w:rPr>
          <w:sz w:val="27"/>
          <w:color w:val="222222"/>
        </w:rPr>
        <w:t xml:space="preserve"> 1.</w:t>
      </w:r>
      <w:r>
        <w:rPr>
          <w:sz w:val="27"/>
          <w:color w:val="222222"/>
        </w:rPr>
        <w:t>甲方的权利和义务</w:t>
      </w:r>
    </w:p>
    <w:p>
      <w:pPr>
        <w:pStyle w:val="null3"/>
        <w:jc w:val="both"/>
      </w:pPr>
      <w:r>
        <w:rPr>
          <w:sz w:val="27"/>
          <w:color w:val="222222"/>
        </w:rPr>
        <w:t xml:space="preserve"> 2.</w:t>
      </w:r>
      <w:r>
        <w:rPr>
          <w:sz w:val="27"/>
          <w:color w:val="222222"/>
        </w:rPr>
        <w:t>乙方的权利和义务</w:t>
      </w:r>
    </w:p>
    <w:p>
      <w:pPr>
        <w:pStyle w:val="null3"/>
        <w:jc w:val="both"/>
      </w:pPr>
      <w:r>
        <w:rPr>
          <w:sz w:val="24"/>
          <w:b/>
        </w:rPr>
        <w:t>四、服务期间（项目完成期限）</w:t>
      </w:r>
    </w:p>
    <w:p>
      <w:pPr>
        <w:pStyle w:val="null3"/>
        <w:jc w:val="both"/>
      </w:pPr>
      <w:r>
        <w:rPr>
          <w:sz w:val="27"/>
          <w:color w:val="222222"/>
        </w:rPr>
        <w:t xml:space="preserve"> 1.</w:t>
      </w:r>
      <w:r>
        <w:rPr>
          <w:sz w:val="27"/>
          <w:color w:val="222222"/>
        </w:rPr>
        <w:t>委托服务期间自</w:t>
      </w:r>
      <w:r>
        <w:rPr>
          <w:sz w:val="27"/>
          <w:color w:val="222222"/>
        </w:rPr>
        <w:t>______</w:t>
      </w:r>
      <w:r>
        <w:rPr>
          <w:sz w:val="27"/>
          <w:color w:val="222222"/>
        </w:rPr>
        <w:t>年</w:t>
      </w:r>
      <w:r>
        <w:rPr>
          <w:sz w:val="27"/>
          <w:color w:val="222222"/>
        </w:rPr>
        <w:t>______</w:t>
      </w:r>
      <w:r>
        <w:rPr>
          <w:sz w:val="27"/>
          <w:color w:val="222222"/>
        </w:rPr>
        <w:t>月</w:t>
      </w:r>
      <w:r>
        <w:rPr>
          <w:sz w:val="27"/>
          <w:color w:val="222222"/>
        </w:rPr>
        <w:t>______</w:t>
      </w:r>
      <w:r>
        <w:rPr>
          <w:sz w:val="27"/>
          <w:color w:val="222222"/>
        </w:rPr>
        <w:t>日至</w:t>
      </w:r>
      <w:r>
        <w:rPr>
          <w:sz w:val="27"/>
          <w:color w:val="222222"/>
        </w:rPr>
        <w:t>______</w:t>
      </w:r>
      <w:r>
        <w:rPr>
          <w:sz w:val="27"/>
          <w:color w:val="222222"/>
        </w:rPr>
        <w:t>年</w:t>
      </w:r>
      <w:r>
        <w:rPr>
          <w:sz w:val="27"/>
          <w:color w:val="222222"/>
        </w:rPr>
        <w:t>______</w:t>
      </w:r>
      <w:r>
        <w:rPr>
          <w:sz w:val="27"/>
          <w:color w:val="222222"/>
        </w:rPr>
        <w:t>月</w:t>
      </w:r>
      <w:r>
        <w:rPr>
          <w:sz w:val="27"/>
          <w:color w:val="222222"/>
        </w:rPr>
        <w:t>______</w:t>
      </w:r>
      <w:r>
        <w:rPr>
          <w:sz w:val="27"/>
          <w:color w:val="222222"/>
        </w:rPr>
        <w:t>日止。</w:t>
      </w:r>
    </w:p>
    <w:p>
      <w:pPr>
        <w:pStyle w:val="null3"/>
        <w:jc w:val="both"/>
      </w:pPr>
      <w:r>
        <w:rPr>
          <w:sz w:val="24"/>
          <w:b/>
        </w:rPr>
        <w:t>五、付款方式</w:t>
      </w:r>
    </w:p>
    <w:p>
      <w:pPr>
        <w:pStyle w:val="null3"/>
        <w:ind w:firstLine="544"/>
        <w:jc w:val="both"/>
      </w:pPr>
      <w:r>
        <w:rPr>
          <w:sz w:val="27"/>
          <w:color w:val="222222"/>
        </w:rPr>
        <w:t>（</w:t>
      </w:r>
      <w:r>
        <w:rPr>
          <w:sz w:val="27"/>
          <w:color w:val="222222"/>
        </w:rPr>
        <w:t>1</w:t>
      </w:r>
      <w:r>
        <w:rPr>
          <w:sz w:val="27"/>
          <w:color w:val="222222"/>
        </w:rPr>
        <w:t>）自合同签订后，采购人向中标人支付相应分项服务的合同价款的</w:t>
      </w:r>
      <w:r>
        <w:rPr>
          <w:sz w:val="27"/>
          <w:color w:val="222222"/>
        </w:rPr>
        <w:t>20%</w:t>
      </w:r>
      <w:r>
        <w:rPr>
          <w:sz w:val="27"/>
          <w:color w:val="222222"/>
        </w:rPr>
        <w:t>款项作为服务启动资金；</w:t>
      </w:r>
    </w:p>
    <w:p>
      <w:pPr>
        <w:pStyle w:val="null3"/>
        <w:ind w:firstLine="544"/>
        <w:jc w:val="both"/>
      </w:pPr>
      <w:r>
        <w:rPr>
          <w:sz w:val="27"/>
          <w:color w:val="222222"/>
        </w:rPr>
        <w:t>（</w:t>
      </w:r>
      <w:r>
        <w:rPr>
          <w:sz w:val="27"/>
          <w:color w:val="222222"/>
        </w:rPr>
        <w:t>2</w:t>
      </w:r>
      <w:r>
        <w:rPr>
          <w:sz w:val="27"/>
          <w:color w:val="222222"/>
        </w:rPr>
        <w:t>）</w:t>
      </w:r>
      <w:r>
        <w:rPr>
          <w:sz w:val="27"/>
          <w:color w:val="222222"/>
        </w:rPr>
        <w:t>①</w:t>
      </w:r>
      <w:r>
        <w:rPr>
          <w:sz w:val="27"/>
          <w:color w:val="222222"/>
        </w:rPr>
        <w:t>合同签订之日起每三个月评估验收一次，由普宁市卫生健康局组织相关部门或委托第三方监理机构阶段性评估验收，合同期内共评估验收四次。每次评估验收合格后，采购人向中标人支付相应分项服务的合同价款的</w:t>
      </w:r>
      <w:r>
        <w:rPr>
          <w:sz w:val="27"/>
          <w:color w:val="222222"/>
        </w:rPr>
        <w:t>20%</w:t>
      </w:r>
      <w:r>
        <w:rPr>
          <w:sz w:val="27"/>
          <w:color w:val="222222"/>
        </w:rPr>
        <w:t>款项。以上各款项具体的支付时间：由采购人向财政部门提出支付申请后，财政拨款至采购人银行账户，且收到中标人向采购人提供相应金额的有效正式发票之日起</w:t>
      </w:r>
      <w:r>
        <w:rPr>
          <w:sz w:val="27"/>
          <w:color w:val="222222"/>
        </w:rPr>
        <w:t>5</w:t>
      </w:r>
      <w:r>
        <w:rPr>
          <w:sz w:val="27"/>
          <w:color w:val="222222"/>
        </w:rPr>
        <w:t>个工作日内，向中标人支付。</w:t>
      </w:r>
    </w:p>
    <w:p>
      <w:pPr>
        <w:pStyle w:val="null3"/>
        <w:ind w:firstLine="540"/>
        <w:jc w:val="both"/>
      </w:pPr>
      <w:r>
        <w:rPr>
          <w:sz w:val="27"/>
          <w:color w:val="222222"/>
        </w:rPr>
        <w:t>②付款方式：采用支票、银行汇付（含电汇）等形式。</w:t>
      </w:r>
    </w:p>
    <w:p>
      <w:pPr>
        <w:pStyle w:val="null3"/>
        <w:ind w:firstLine="540"/>
        <w:jc w:val="both"/>
      </w:pPr>
      <w:r>
        <w:rPr>
          <w:sz w:val="27"/>
          <w:color w:val="222222"/>
        </w:rPr>
        <w:t>③款项支付时，中标人同时向采购人提供相应金额的正式发票。</w:t>
      </w:r>
    </w:p>
    <w:p>
      <w:pPr>
        <w:pStyle w:val="null3"/>
        <w:jc w:val="both"/>
      </w:pPr>
      <w:r>
        <w:rPr>
          <w:sz w:val="24"/>
          <w:b/>
        </w:rPr>
        <w:t>六、知识产权归属</w:t>
      </w:r>
    </w:p>
    <w:p>
      <w:pPr>
        <w:pStyle w:val="null3"/>
        <w:jc w:val="both"/>
      </w:pPr>
      <w:r>
        <w:rPr>
          <w:sz w:val="24"/>
          <w:b/>
        </w:rPr>
        <w:t>七、保密</w:t>
      </w:r>
    </w:p>
    <w:p>
      <w:pPr>
        <w:pStyle w:val="null3"/>
        <w:jc w:val="both"/>
      </w:pPr>
      <w:r>
        <w:rPr>
          <w:sz w:val="24"/>
          <w:b/>
        </w:rPr>
        <w:t>八、违约责任与赔偿损失</w:t>
      </w:r>
    </w:p>
    <w:p>
      <w:pPr>
        <w:pStyle w:val="null3"/>
        <w:jc w:val="both"/>
      </w:pPr>
      <w:r>
        <w:rPr>
          <w:sz w:val="27"/>
          <w:color w:val="222222"/>
        </w:rPr>
        <w:t xml:space="preserve"> 1.</w:t>
      </w:r>
      <w:r>
        <w:rPr>
          <w:sz w:val="27"/>
          <w:color w:val="222222"/>
        </w:rPr>
        <w:t>乙方提供的服务不符合本合同规定的，甲方有权拒收，并且乙方须向甲方方支付本合同总价</w:t>
      </w:r>
      <w:r>
        <w:rPr>
          <w:sz w:val="27"/>
          <w:color w:val="222222"/>
        </w:rPr>
        <w:t>5%</w:t>
      </w:r>
      <w:r>
        <w:rPr>
          <w:sz w:val="27"/>
          <w:color w:val="222222"/>
        </w:rPr>
        <w:t>的违约金。</w:t>
      </w:r>
    </w:p>
    <w:p>
      <w:pPr>
        <w:pStyle w:val="null3"/>
        <w:jc w:val="both"/>
      </w:pPr>
      <w:r>
        <w:rPr>
          <w:sz w:val="27"/>
          <w:color w:val="222222"/>
        </w:rPr>
        <w:t xml:space="preserve"> 2.</w:t>
      </w:r>
      <w:r>
        <w:rPr>
          <w:sz w:val="27"/>
          <w:color w:val="222222"/>
        </w:rPr>
        <w:t>乙方未能按本合同规定的交货时间提供服务，从逾期之日起每日按本合同总价</w:t>
      </w:r>
      <w:r>
        <w:rPr>
          <w:sz w:val="27"/>
          <w:color w:val="222222"/>
        </w:rPr>
        <w:t>3‰</w:t>
      </w:r>
      <w:r>
        <w:rPr>
          <w:sz w:val="27"/>
          <w:color w:val="222222"/>
        </w:rPr>
        <w:t>的数额向甲方支付违约金；逾期半个月以上的，甲方有权终止合同，由此造成的甲方经济损失由乙方承担。</w:t>
      </w:r>
    </w:p>
    <w:p>
      <w:pPr>
        <w:pStyle w:val="null3"/>
        <w:jc w:val="both"/>
      </w:pPr>
      <w:r>
        <w:rPr>
          <w:sz w:val="27"/>
          <w:color w:val="222222"/>
        </w:rPr>
        <w:t xml:space="preserve"> 3.</w:t>
      </w:r>
      <w:r>
        <w:rPr>
          <w:sz w:val="27"/>
          <w:color w:val="222222"/>
        </w:rPr>
        <w:t>甲方无正当理由拒收接受服务，到期拒付服务款项的，甲方向乙方偿付本合同总的</w:t>
      </w:r>
      <w:r>
        <w:rPr>
          <w:sz w:val="27"/>
          <w:color w:val="222222"/>
        </w:rPr>
        <w:t>5%</w:t>
      </w:r>
      <w:r>
        <w:rPr>
          <w:sz w:val="27"/>
          <w:color w:val="222222"/>
        </w:rPr>
        <w:t>的违约金。甲方人逾期付款，则每日按本合同总价的</w:t>
      </w:r>
      <w:r>
        <w:rPr>
          <w:sz w:val="27"/>
          <w:color w:val="222222"/>
        </w:rPr>
        <w:t>3‰</w:t>
      </w:r>
      <w:r>
        <w:rPr>
          <w:sz w:val="27"/>
          <w:color w:val="222222"/>
        </w:rPr>
        <w:t>向乙方偿付违约金。</w:t>
      </w:r>
    </w:p>
    <w:p>
      <w:pPr>
        <w:pStyle w:val="null3"/>
        <w:jc w:val="both"/>
      </w:pPr>
      <w:r>
        <w:rPr>
          <w:sz w:val="27"/>
          <w:color w:val="222222"/>
        </w:rPr>
        <w:t xml:space="preserve"> 4.</w:t>
      </w:r>
      <w:r>
        <w:rPr>
          <w:sz w:val="27"/>
          <w:color w:val="222222"/>
        </w:rPr>
        <w:t>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7"/>
          <w:color w:val="222222"/>
        </w:rPr>
        <w:t xml:space="preserve"> 5.</w:t>
      </w: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》处理。</w:t>
      </w:r>
    </w:p>
    <w:p>
      <w:pPr>
        <w:pStyle w:val="null3"/>
        <w:jc w:val="both"/>
      </w:pPr>
      <w:r>
        <w:rPr>
          <w:sz w:val="24"/>
          <w:b/>
        </w:rPr>
        <w:t>九、争议的解决</w:t>
      </w:r>
    </w:p>
    <w:p>
      <w:pPr>
        <w:pStyle w:val="null3"/>
        <w:ind w:firstLine="400"/>
        <w:jc w:val="both"/>
      </w:pPr>
      <w:r>
        <w:rPr>
          <w:sz w:val="27"/>
          <w:color w:val="222222"/>
        </w:rPr>
        <w:t>合同执行过程中发生的任何争议，如双方不能通过友好协商解决，按相关法律法规处理。</w:t>
      </w:r>
      <w:r>
        <w:rPr>
          <w:sz w:val="27"/>
          <w:color w:val="222222"/>
        </w:rPr>
        <w:t xml:space="preserve">      </w:t>
      </w:r>
    </w:p>
    <w:p>
      <w:pPr>
        <w:pStyle w:val="null3"/>
        <w:jc w:val="both"/>
      </w:pPr>
      <w:r>
        <w:rPr>
          <w:sz w:val="24"/>
          <w:b/>
        </w:rPr>
        <w:t>十、不可抗力</w:t>
      </w:r>
    </w:p>
    <w:p>
      <w:pPr>
        <w:pStyle w:val="null3"/>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jc w:val="both"/>
      </w:pPr>
      <w:r>
        <w:rPr>
          <w:sz w:val="27"/>
          <w:color w:val="222222"/>
        </w:rPr>
        <w:t>　　在中国境内、外发生的与本合同执行有关的一切税费均由乙方负担。</w:t>
      </w:r>
    </w:p>
    <w:p>
      <w:pPr>
        <w:pStyle w:val="null3"/>
        <w:jc w:val="both"/>
      </w:pPr>
      <w:r>
        <w:rPr>
          <w:sz w:val="24"/>
          <w:b/>
        </w:rPr>
        <w:t>十二、其它</w:t>
      </w:r>
    </w:p>
    <w:p>
      <w:pPr>
        <w:pStyle w:val="null3"/>
        <w:jc w:val="both"/>
      </w:pPr>
      <w:r>
        <w:rPr>
          <w:sz w:val="27"/>
          <w:color w:val="222222"/>
        </w:rPr>
        <w:t xml:space="preserve"> 1.</w:t>
      </w:r>
      <w:r>
        <w:rPr>
          <w:sz w:val="27"/>
          <w:color w:val="222222"/>
        </w:rPr>
        <w:t>本合同所有附件、招标文件、投标文件、中标通知书均为合同的有效组成部分，与本合同具有同等法律效力。</w:t>
      </w:r>
    </w:p>
    <w:p>
      <w:pPr>
        <w:pStyle w:val="null3"/>
        <w:jc w:val="both"/>
      </w:pPr>
      <w:r>
        <w:rPr>
          <w:sz w:val="27"/>
          <w:color w:val="222222"/>
        </w:rPr>
        <w:t xml:space="preserve"> 2.</w:t>
      </w:r>
      <w:r>
        <w:rPr>
          <w:sz w:val="27"/>
          <w:color w:val="222222"/>
        </w:rPr>
        <w:t>在执行本合同的过程中，所有经双方签署确认的文件（包括会议纪要、补充协议、往来信函）即成为本合同的有效组成部分。</w:t>
      </w:r>
    </w:p>
    <w:p>
      <w:pPr>
        <w:pStyle w:val="null3"/>
        <w:jc w:val="both"/>
      </w:pPr>
      <w:r>
        <w:rPr>
          <w:sz w:val="27"/>
          <w:color w:val="222222"/>
        </w:rPr>
        <w:t xml:space="preserve"> 3.</w:t>
      </w:r>
      <w:r>
        <w:rPr>
          <w:sz w:val="27"/>
          <w:color w:val="222222"/>
        </w:rPr>
        <w:t>如一方地址、电话、传真号码有变更，应在变更当日内书面通知对方，否则，应承担相应责任。</w:t>
      </w:r>
    </w:p>
    <w:p>
      <w:pPr>
        <w:pStyle w:val="null3"/>
        <w:jc w:val="both"/>
      </w:pPr>
      <w:r>
        <w:rPr>
          <w:sz w:val="27"/>
          <w:color w:val="222222"/>
        </w:rPr>
        <w:t xml:space="preserve"> 4.</w:t>
      </w:r>
      <w:r>
        <w:rPr>
          <w:sz w:val="27"/>
          <w:color w:val="222222"/>
        </w:rPr>
        <w:t>除甲方事先书面同意外，乙方不得部分或全部转让其应履行的合同项下的义务。</w:t>
      </w:r>
    </w:p>
    <w:p>
      <w:pPr>
        <w:pStyle w:val="null3"/>
        <w:jc w:val="both"/>
      </w:pPr>
      <w:r>
        <w:rPr>
          <w:sz w:val="24"/>
          <w:b/>
        </w:rPr>
        <w:t>十三、合同生效</w:t>
      </w:r>
    </w:p>
    <w:p>
      <w:pPr>
        <w:pStyle w:val="null3"/>
        <w:jc w:val="both"/>
      </w:pPr>
      <w:r>
        <w:rPr>
          <w:sz w:val="27"/>
          <w:color w:val="222222"/>
        </w:rPr>
        <w:t xml:space="preserve"> 1.</w:t>
      </w:r>
      <w:r>
        <w:rPr>
          <w:sz w:val="27"/>
          <w:color w:val="222222"/>
        </w:rPr>
        <w:t>本合同在甲乙双方法人代表或其授权代表签字盖章后生效。</w:t>
      </w:r>
    </w:p>
    <w:p>
      <w:pPr>
        <w:pStyle w:val="null3"/>
        <w:jc w:val="both"/>
      </w:pPr>
      <w:r>
        <w:rPr>
          <w:sz w:val="27"/>
          <w:color w:val="222222"/>
        </w:rPr>
        <w:t xml:space="preserve"> 2.</w:t>
      </w:r>
      <w:r>
        <w:rPr>
          <w:sz w:val="27"/>
        </w:rPr>
        <w:t>本合同一式</w:t>
      </w:r>
      <w:r>
        <w:rPr>
          <w:sz w:val="24"/>
          <w:u w:val="single"/>
        </w:rPr>
        <w:t xml:space="preserve">   </w:t>
      </w:r>
      <w:r>
        <w:rPr>
          <w:sz w:val="27"/>
        </w:rPr>
        <w:t>份，双方各执</w:t>
      </w:r>
      <w:r>
        <w:rPr>
          <w:sz w:val="24"/>
          <w:u w:val="single"/>
        </w:rPr>
        <w:t xml:space="preserve">   </w:t>
      </w:r>
      <w:r>
        <w:rPr>
          <w:sz w:val="27"/>
        </w:rPr>
        <w:t>份，政府采购监管部门</w:t>
      </w:r>
      <w:r>
        <w:rPr>
          <w:sz w:val="24"/>
          <w:u w:val="single"/>
        </w:rPr>
        <w:t xml:space="preserve">   </w:t>
      </w:r>
      <w:r>
        <w:rPr>
          <w:sz w:val="27"/>
        </w:rPr>
        <w:t>份，采购代理机构</w:t>
      </w:r>
      <w:r>
        <w:rPr>
          <w:sz w:val="24"/>
          <w:u w:val="single"/>
        </w:rPr>
        <w:t xml:space="preserve">    </w:t>
      </w:r>
      <w:r>
        <w:rPr>
          <w:sz w:val="27"/>
        </w:rPr>
        <w:t>份，各份具有同等法律效力；本合同其它未尽事宜双方可另行签订补充协议明确。</w:t>
      </w:r>
    </w:p>
    <w:p>
      <w:pPr>
        <w:pStyle w:val="null3"/>
        <w:spacing w:before="150" w:after="150"/>
        <w:jc w:val="both"/>
      </w:pPr>
      <w:r>
        <w:rPr>
          <w:sz w:val="24"/>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 xml:space="preserve">  </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445281-2024-02056</w:t>
      </w:r>
    </w:p>
    <w:p>
      <w:pPr>
        <w:pStyle w:val="null3"/>
        <w:jc w:val="center"/>
        <w:outlineLvl w:val="3"/>
      </w:pPr>
      <w:r>
        <w:rPr>
          <w:sz w:val="24"/>
          <w:b/>
        </w:rPr>
        <w:t>采购项目编号：</w:t>
      </w:r>
      <w:r>
        <w:rPr>
          <w:sz w:val="24"/>
          <w:b/>
        </w:rPr>
        <w:t>YC024FGG05007GD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广东悦诚招标代理有限公司</w:t>
      </w:r>
    </w:p>
    <w:p>
      <w:pPr>
        <w:pStyle w:val="null3"/>
        <w:ind w:firstLine="480"/>
      </w:pPr>
      <w:r>
        <w:rPr/>
        <w:t xml:space="preserve"> 你方组织的</w:t>
      </w:r>
      <w:r>
        <w:rPr>
          <w:u w:val="single"/>
        </w:rPr>
        <w:t>“</w:t>
      </w:r>
      <w:r>
        <w:rPr>
          <w:u w:val="single"/>
        </w:rPr>
        <w:t>2024年普宁市病媒生物防制服务项目</w:t>
      </w:r>
      <w:r>
        <w:rPr>
          <w:u w:val="single"/>
        </w:rPr>
        <w:t>”</w:t>
      </w:r>
      <w:r>
        <w:rPr/>
        <w:t>项目的招标[采购项目编号为：</w:t>
      </w:r>
      <w:r>
        <w:rPr>
          <w:u w:val="single"/>
        </w:rPr>
        <w:t>YC024FGG05007GD</w:t>
      </w:r>
      <w:r>
        <w:rPr/>
        <w:t>]，我方愿参与投标。</w:t>
      </w:r>
    </w:p>
    <w:p>
      <w:pPr>
        <w:pStyle w:val="null3"/>
        <w:ind w:firstLine="480"/>
      </w:pPr>
      <w:r>
        <w:rPr/>
        <w:t>我方确认收到贵方提供的</w:t>
      </w:r>
      <w:r>
        <w:rPr>
          <w:u w:val="single"/>
        </w:rPr>
        <w:t>“</w:t>
      </w:r>
      <w:r>
        <w:rPr>
          <w:u w:val="single"/>
        </w:rPr>
        <w:t>2024年普宁市病媒生物防制服务项目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广东悦诚招标代理有限公司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2024年普宁市病媒生物防制服务项目</w:t>
      </w:r>
      <w:r>
        <w:rPr/>
        <w:t>”项目采购[采购项目编号为</w:t>
      </w:r>
      <w:r>
        <w:rPr/>
        <w:t>YC024FGG05007GD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广东悦诚招标代理有限公司</w:t>
      </w:r>
    </w:p>
    <w:p>
      <w:pPr>
        <w:pStyle w:val="null3"/>
        <w:ind w:firstLine="480"/>
      </w:pPr>
      <w:r>
        <w:rPr/>
        <w:t xml:space="preserve"> 如果我方在贵采购代理机构组织的</w:t>
      </w:r>
      <w:r>
        <w:rPr/>
        <w:t>2024年普宁市病媒生物防制服务项目</w:t>
      </w:r>
      <w:r>
        <w:rPr/>
        <w:t>招标中获中标（采购项目编号：</w:t>
      </w:r>
      <w:r>
        <w:rPr/>
        <w:t>YC024FGG05007GD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广东悦诚招标代理有限公司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广东悦诚招标代理有限公司</w:t>
      </w:r>
    </w:p>
    <w:p>
      <w:pPr>
        <w:pStyle w:val="null3"/>
        <w:ind w:firstLine="480"/>
      </w:pPr>
      <w:r>
        <w:rPr/>
        <w:t>我单位已登记并准备参与“</w:t>
      </w:r>
      <w:r>
        <w:rPr/>
        <w:t>2024年普宁市病媒生物防制服务项目</w:t>
      </w:r>
      <w:r>
        <w:rPr/>
        <w:t>”项目（采购项目编号：</w:t>
      </w:r>
      <w:r>
        <w:rPr/>
        <w:t>YC024FGG05007GD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