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sz w:val="15"/>
          <w:szCs w:val="15"/>
        </w:rPr>
      </w:pPr>
      <w:r>
        <w:rPr>
          <w:rFonts w:hint="eastAsia" w:ascii="宋体" w:hAnsi="宋体" w:eastAsia="宋体" w:cs="宋体"/>
          <w:color w:val="auto"/>
          <w:spacing w:val="-2"/>
          <w:sz w:val="24"/>
          <w:szCs w:val="24"/>
          <w14:textOutline w14:w="4356" w14:cap="sq" w14:cmpd="sng" w14:algn="ctr">
            <w14:solidFill>
              <w14:srgbClr w14:val="000000"/>
            </w14:solidFill>
            <w14:prstDash w14:val="solid"/>
            <w14:bevel/>
          </w14:textOutline>
        </w:rPr>
        <w:t>采购需求和技术要求</w:t>
      </w:r>
      <w:bookmarkStart w:id="0" w:name="_Toc31378"/>
      <w:bookmarkStart w:id="1" w:name="_Toc28764"/>
    </w:p>
    <w:bookmarkEnd w:id="0"/>
    <w:bookmarkEnd w:id="1"/>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rPr>
        <w:t>一、防制服务区域</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本次采购服务区域为</w:t>
      </w:r>
      <w:r>
        <w:rPr>
          <w:rFonts w:hint="eastAsia" w:ascii="宋体" w:hAnsi="宋体" w:eastAsia="宋体" w:cs="宋体"/>
          <w:sz w:val="24"/>
          <w:szCs w:val="24"/>
          <w:lang w:val="en-US" w:eastAsia="zh-CN"/>
        </w:rPr>
        <w:t>萍乡经开区</w:t>
      </w:r>
      <w:r>
        <w:rPr>
          <w:rFonts w:hint="eastAsia" w:ascii="宋体" w:hAnsi="宋体" w:eastAsia="宋体" w:cs="宋体"/>
          <w:sz w:val="24"/>
          <w:szCs w:val="24"/>
          <w:lang w:eastAsia="zh-CN"/>
        </w:rPr>
        <w:t>无主公共外环境场所。包括城市公共绿地、绿化带（坪）、市政主次干道、背街小巷两侧、公园广场、江河两岸、铁路沿线、垃圾站（点）、公共厕所、农贸市场、下水道、留泥井、无物业管理居民区、城区大中型水体等场所（除山岭、耕田、厂房、有物业小区，总面积约</w:t>
      </w:r>
      <w:r>
        <w:rPr>
          <w:rFonts w:hint="eastAsia" w:ascii="宋体" w:hAnsi="宋体" w:eastAsia="宋体" w:cs="宋体"/>
          <w:sz w:val="24"/>
          <w:szCs w:val="24"/>
          <w:lang w:val="en-US" w:eastAsia="zh-CN"/>
        </w:rPr>
        <w:t>19.32平方公里</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rPr>
        <w:t>二、防制服务内容</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中标方对</w:t>
      </w:r>
      <w:r>
        <w:rPr>
          <w:rFonts w:hint="eastAsia" w:ascii="宋体" w:hAnsi="宋体" w:eastAsia="宋体" w:cs="宋体"/>
          <w:sz w:val="24"/>
          <w:szCs w:val="24"/>
          <w:lang w:val="en-US" w:eastAsia="zh-CN"/>
        </w:rPr>
        <w:t>经开区</w:t>
      </w:r>
      <w:r>
        <w:rPr>
          <w:rFonts w:hint="eastAsia" w:ascii="宋体" w:hAnsi="宋体" w:eastAsia="宋体" w:cs="宋体"/>
          <w:sz w:val="24"/>
          <w:szCs w:val="24"/>
          <w:lang w:eastAsia="zh-CN"/>
        </w:rPr>
        <w:t>公共外环境开展消杀（灭鼠、蚊、蝇、蟑螂），规范投放毒饵盒、化学药品和堵塞鼠洞等。</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（二）防制区域内开展消杀所需药品器械和人工费等费用。</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（三）对防制服务区域开展病媒生物防制本底调查和密度</w:t>
      </w:r>
      <w:r>
        <w:rPr>
          <w:rFonts w:hint="eastAsia" w:ascii="宋体" w:hAnsi="宋体" w:eastAsia="宋体" w:cs="宋体"/>
          <w:sz w:val="24"/>
          <w:szCs w:val="24"/>
          <w:lang w:val="en-US" w:eastAsia="zh-CN"/>
        </w:rPr>
        <w:t>效果</w:t>
      </w:r>
      <w:r>
        <w:rPr>
          <w:rFonts w:hint="eastAsia" w:ascii="宋体" w:hAnsi="宋体" w:eastAsia="宋体" w:cs="宋体"/>
          <w:sz w:val="24"/>
          <w:szCs w:val="24"/>
          <w:lang w:eastAsia="zh-CN"/>
        </w:rPr>
        <w:t>监测，如实反映病媒生物防制效果，并提供相关技术资料。</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（四）对相关人员进行培训，开展病媒生物防制健康科普宣教和业务指导。</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sz w:val="24"/>
          <w:szCs w:val="24"/>
        </w:rPr>
      </w:pPr>
      <w:r>
        <w:rPr>
          <w:rFonts w:hint="eastAsia" w:ascii="宋体" w:hAnsi="宋体" w:eastAsia="宋体" w:cs="宋体"/>
          <w:b/>
          <w:sz w:val="24"/>
          <w:szCs w:val="24"/>
        </w:rPr>
        <w:t>三、防制周期和要求</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防制服务周期</w:t>
      </w:r>
      <w:r>
        <w:rPr>
          <w:rFonts w:hint="eastAsia" w:ascii="宋体" w:hAnsi="宋体" w:eastAsia="宋体" w:cs="宋体"/>
          <w:sz w:val="24"/>
          <w:szCs w:val="24"/>
          <w:lang w:val="en-US" w:eastAsia="zh-CN"/>
        </w:rPr>
        <w:t>内</w:t>
      </w:r>
      <w:r>
        <w:rPr>
          <w:rFonts w:hint="eastAsia" w:ascii="宋体" w:hAnsi="宋体" w:eastAsia="宋体" w:cs="宋体"/>
          <w:sz w:val="24"/>
          <w:szCs w:val="24"/>
          <w:lang w:eastAsia="zh-CN"/>
        </w:rPr>
        <w:t>期间至少开展3次集中防制（即：春季灭鼠蚊蝇、夏季灭鼠蚊蝇蟑、秋季灭鼠工作）,全年防制次数不少于26次，四次应急防制（应急防制必须在</w:t>
      </w:r>
      <w:r>
        <w:rPr>
          <w:rFonts w:hint="eastAsia" w:ascii="宋体" w:hAnsi="宋体" w:eastAsia="宋体" w:cs="宋体"/>
          <w:sz w:val="24"/>
          <w:szCs w:val="24"/>
          <w:lang w:val="en-US" w:eastAsia="zh-CN"/>
        </w:rPr>
        <w:t>4小时内到场</w:t>
      </w:r>
      <w:r>
        <w:rPr>
          <w:rFonts w:hint="eastAsia" w:ascii="宋体" w:hAnsi="宋体" w:eastAsia="宋体" w:cs="宋体"/>
          <w:sz w:val="24"/>
          <w:szCs w:val="24"/>
          <w:lang w:eastAsia="zh-CN"/>
        </w:rPr>
        <w:t>），每次作业人员不少于10人。</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中标方不得将本项目分包与转包，否则采购方将终止合同，由此造成的一切损失由中标方负责。</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3.员工须持证上岗，规范操作，文明作业；</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中标方</w:t>
      </w:r>
      <w:r>
        <w:rPr>
          <w:rFonts w:hint="eastAsia" w:ascii="宋体" w:hAnsi="宋体" w:eastAsia="宋体" w:cs="宋体"/>
          <w:sz w:val="24"/>
          <w:szCs w:val="24"/>
        </w:rPr>
        <w:t>必须制定突发事件应急预案；在提供药物投放服务时，必须作好宣传和技术指导工作，注意安全，预防人畜误食鼠药中毒事件发生，以及对发生误食中毒事件进行及时处理，并承担因宣传</w:t>
      </w:r>
      <w:r>
        <w:rPr>
          <w:rFonts w:hint="eastAsia" w:ascii="宋体" w:hAnsi="宋体" w:eastAsia="宋体" w:cs="宋体"/>
          <w:color w:val="auto"/>
          <w:sz w:val="24"/>
          <w:szCs w:val="24"/>
          <w:lang w:eastAsia="zh-CN"/>
        </w:rPr>
        <w:t>措施</w:t>
      </w:r>
      <w:r>
        <w:rPr>
          <w:rFonts w:hint="eastAsia" w:ascii="宋体" w:hAnsi="宋体" w:eastAsia="宋体" w:cs="宋体"/>
          <w:sz w:val="24"/>
          <w:szCs w:val="24"/>
        </w:rPr>
        <w:t>和指导不力造成环境污染和人畜误食中毒所产生的后果；</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中标方</w:t>
      </w:r>
      <w:r>
        <w:rPr>
          <w:rFonts w:hint="eastAsia" w:ascii="宋体" w:hAnsi="宋体" w:eastAsia="宋体" w:cs="宋体"/>
          <w:sz w:val="24"/>
          <w:szCs w:val="24"/>
        </w:rPr>
        <w:t>在提供药物投放服务时，必须按规定投放，确保消杀药物的投放量、到位率、覆盖率符合要求并作好相关文字记录，保留备查。</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6.服务期内药物使用必须符合国家规定的病媒生物防治用药，安全规范用药，严禁使用国家明令禁止使用的药物，如发生人、畜食中毒，经权威部门鉴定属于属</w:t>
      </w:r>
      <w:r>
        <w:rPr>
          <w:rFonts w:hint="eastAsia" w:ascii="宋体" w:hAnsi="宋体" w:eastAsia="宋体" w:cs="宋体"/>
          <w:sz w:val="24"/>
          <w:szCs w:val="24"/>
          <w:lang w:eastAsia="zh-CN"/>
        </w:rPr>
        <w:t>中标方</w:t>
      </w:r>
      <w:r>
        <w:rPr>
          <w:rFonts w:hint="eastAsia" w:ascii="宋体" w:hAnsi="宋体" w:eastAsia="宋体" w:cs="宋体"/>
          <w:sz w:val="24"/>
          <w:szCs w:val="24"/>
        </w:rPr>
        <w:t>使用禁用药物，</w:t>
      </w:r>
      <w:r>
        <w:rPr>
          <w:rFonts w:hint="eastAsia" w:ascii="宋体" w:hAnsi="宋体" w:eastAsia="宋体" w:cs="宋体"/>
          <w:sz w:val="24"/>
          <w:szCs w:val="24"/>
          <w:lang w:eastAsia="zh-CN"/>
        </w:rPr>
        <w:t>中标方</w:t>
      </w:r>
      <w:r>
        <w:rPr>
          <w:rFonts w:hint="eastAsia" w:ascii="宋体" w:hAnsi="宋体" w:eastAsia="宋体" w:cs="宋体"/>
          <w:sz w:val="24"/>
          <w:szCs w:val="24"/>
        </w:rPr>
        <w:t>需要承担全部责任。</w:t>
      </w:r>
    </w:p>
    <w:p>
      <w:pPr>
        <w:keepNext w:val="0"/>
        <w:keepLines w:val="0"/>
        <w:pageBreakBefore w:val="0"/>
        <w:widowControl/>
        <w:kinsoku/>
        <w:wordWrap/>
        <w:overflowPunct/>
        <w:topLinePunct w:val="0"/>
        <w:autoSpaceDE/>
        <w:autoSpaceDN/>
        <w:bidi w:val="0"/>
        <w:adjustRightInd/>
        <w:snapToGrid w:val="0"/>
        <w:spacing w:line="360" w:lineRule="exact"/>
        <w:ind w:firstLine="441" w:firstLineChars="183"/>
        <w:jc w:val="left"/>
        <w:textAlignment w:val="auto"/>
        <w:rPr>
          <w:rFonts w:hint="eastAsia" w:ascii="宋体" w:hAnsi="宋体" w:eastAsia="宋体" w:cs="宋体"/>
          <w:sz w:val="24"/>
          <w:szCs w:val="24"/>
        </w:rPr>
      </w:pPr>
      <w:r>
        <w:rPr>
          <w:rFonts w:hint="eastAsia" w:ascii="宋体" w:hAnsi="宋体" w:eastAsia="宋体" w:cs="宋体"/>
          <w:b/>
          <w:sz w:val="24"/>
          <w:szCs w:val="24"/>
        </w:rPr>
        <w:t>四、防制服务方案</w:t>
      </w:r>
    </w:p>
    <w:p>
      <w:pPr>
        <w:keepNext w:val="0"/>
        <w:keepLines w:val="0"/>
        <w:pageBreakBefore w:val="0"/>
        <w:widowControl/>
        <w:kinsoku/>
        <w:wordWrap/>
        <w:overflowPunct/>
        <w:topLinePunct w:val="0"/>
        <w:autoSpaceDE/>
        <w:autoSpaceDN/>
        <w:bidi w:val="0"/>
        <w:adjustRightInd/>
        <w:snapToGrid w:val="0"/>
        <w:spacing w:line="36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服务商</w:t>
      </w:r>
      <w:r>
        <w:rPr>
          <w:rFonts w:hint="eastAsia" w:ascii="宋体" w:hAnsi="宋体" w:eastAsia="宋体" w:cs="宋体"/>
          <w:sz w:val="24"/>
          <w:szCs w:val="24"/>
        </w:rPr>
        <w:t>须针对本项目编制体现出的对服务区内外环境特点了解程度的技术方案、实施方案；</w:t>
      </w:r>
    </w:p>
    <w:p>
      <w:pPr>
        <w:keepNext w:val="0"/>
        <w:keepLines w:val="0"/>
        <w:pageBreakBefore w:val="0"/>
        <w:widowControl/>
        <w:kinsoku/>
        <w:wordWrap/>
        <w:overflowPunct/>
        <w:topLinePunct w:val="0"/>
        <w:autoSpaceDE/>
        <w:autoSpaceDN/>
        <w:bidi w:val="0"/>
        <w:adjustRightInd/>
        <w:snapToGrid w:val="0"/>
        <w:spacing w:line="36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服务商</w:t>
      </w:r>
      <w:r>
        <w:rPr>
          <w:rFonts w:hint="eastAsia" w:ascii="宋体" w:hAnsi="宋体" w:eastAsia="宋体" w:cs="宋体"/>
          <w:sz w:val="24"/>
          <w:szCs w:val="24"/>
        </w:rPr>
        <w:t>针对本项目编制防制服务技术方案，在技术方案中体现出的对防制对象、种类、熏杀防制方法科学的熟悉程度；</w:t>
      </w:r>
    </w:p>
    <w:p>
      <w:pPr>
        <w:keepNext w:val="0"/>
        <w:keepLines w:val="0"/>
        <w:pageBreakBefore w:val="0"/>
        <w:widowControl/>
        <w:kinsoku/>
        <w:wordWrap/>
        <w:overflowPunct/>
        <w:topLinePunct w:val="0"/>
        <w:autoSpaceDE/>
        <w:autoSpaceDN/>
        <w:bidi w:val="0"/>
        <w:adjustRightInd/>
        <w:snapToGrid w:val="0"/>
        <w:spacing w:line="360" w:lineRule="exact"/>
        <w:ind w:firstLine="48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服务商</w:t>
      </w:r>
      <w:r>
        <w:rPr>
          <w:rFonts w:hint="eastAsia" w:ascii="宋体" w:hAnsi="宋体" w:eastAsia="宋体" w:cs="宋体"/>
          <w:sz w:val="24"/>
          <w:szCs w:val="24"/>
        </w:rPr>
        <w:t>针对本项目配置选择药械（物）合理，药品、药物在防制过程中使用的分配情况，对不同环境的用药量及方法科学合理性</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60" w:lineRule="exact"/>
        <w:ind w:firstLine="48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服务商</w:t>
      </w:r>
      <w:r>
        <w:rPr>
          <w:rFonts w:hint="eastAsia" w:ascii="宋体" w:hAnsi="宋体" w:eastAsia="宋体" w:cs="宋体"/>
          <w:sz w:val="24"/>
          <w:szCs w:val="24"/>
        </w:rPr>
        <w:t>针对本项目编制技术服务方案、技术方案，技术服务方案中体现出的所采取的技术和方法的环境适应性</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60" w:lineRule="exact"/>
        <w:ind w:firstLine="48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5.针对本项目编制完整的服务实施方案，实施方案描述的实施病媒生物防制工作内容完整，包括人员培训、质量管理等，人员时间安排妥当，突出日常性工作，防制工作中时间进度安排、资料收集和分析情况</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60" w:lineRule="exact"/>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五、突发公共卫生事件应急措施方案</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服务商</w:t>
      </w:r>
      <w:r>
        <w:rPr>
          <w:rFonts w:hint="eastAsia" w:ascii="宋体" w:hAnsi="宋体" w:eastAsia="宋体" w:cs="宋体"/>
          <w:color w:val="auto"/>
          <w:sz w:val="24"/>
          <w:szCs w:val="24"/>
        </w:rPr>
        <w:t>针对本项目编制突发公共卫生事件应急措施方案，须提供突发公共卫生事件应急措施方案，方案切实可行，有很强的操作性和针对性方案。</w:t>
      </w:r>
    </w:p>
    <w:p>
      <w:pPr>
        <w:keepNext w:val="0"/>
        <w:keepLines w:val="0"/>
        <w:pageBreakBefore w:val="0"/>
        <w:widowControl/>
        <w:kinsoku/>
        <w:wordWrap/>
        <w:overflowPunct/>
        <w:topLinePunct w:val="0"/>
        <w:autoSpaceDE/>
        <w:autoSpaceDN/>
        <w:bidi w:val="0"/>
        <w:adjustRightInd/>
        <w:snapToGrid w:val="0"/>
        <w:spacing w:line="360" w:lineRule="exact"/>
        <w:ind w:firstLine="482"/>
        <w:jc w:val="left"/>
        <w:textAlignment w:val="auto"/>
        <w:rPr>
          <w:rFonts w:hint="eastAsia" w:ascii="宋体" w:hAnsi="宋体" w:eastAsia="宋体" w:cs="宋体"/>
          <w:b/>
          <w:sz w:val="24"/>
          <w:szCs w:val="24"/>
        </w:rPr>
      </w:pPr>
      <w:r>
        <w:rPr>
          <w:rFonts w:hint="eastAsia" w:ascii="宋体" w:hAnsi="宋体" w:eastAsia="宋体" w:cs="宋体"/>
          <w:b/>
          <w:sz w:val="24"/>
          <w:szCs w:val="24"/>
        </w:rPr>
        <w:t>六、服务质量要求</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（一）防制服务符合国家《病媒生物预防控制管理规定》和《萍乡市病媒生物防制工作技术方案》要求。</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中标方必须制定防制工作方案和阶段性消杀计划，组织专业人员对服务区域开展病媒生物防制服务、外环境本底调查，报经开区爱卫办审定后，按计划进行消杀。工作流程、作业地点、用药效果等要有记录，保障作业安全，汇总提交资料档案。</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（三）消杀服务质量监管及处罚</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1、确保防制服务区域鼠、蚊、蝇、蟑密度常态化保持在国家病媒生物密度控制水平C级或更高。</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2.在合同期内集中防制或日常防制后，服务区域鼠、蚊、蝇、蟑密度未达到国家C级标准，扣除合同服务费的5%，并重新开展消杀，直至达到国家C级标准为止。</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3.每次应急防制后，防制服务区域鼠、蚊、蝇、蟑密度未达到国家C级标准，扣除合同服务费的10%。</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4.防制服务区域发现主要问题导致病媒生物防制工作不能通过卫生城市评审的，扣除合同服务费的25%，且立即整改，开展消杀防制，直至达到国家、省、市的检查要求为止。</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5.在合同期内发生市级以上新闻媒体曝光造成不良影响，或省、市提出书面批评的，每发生一起扣除合同服务费的10%。</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6.药品安全使用管理：发现中标方使用违禁药品或</w:t>
      </w:r>
      <w:r>
        <w:rPr>
          <w:rFonts w:hint="eastAsia" w:ascii="宋体" w:hAnsi="宋体" w:eastAsia="宋体" w:cs="宋体"/>
          <w:color w:val="auto"/>
          <w:sz w:val="24"/>
          <w:szCs w:val="24"/>
          <w:lang w:val="en-US" w:eastAsia="zh-CN"/>
        </w:rPr>
        <w:t>未经采购方</w:t>
      </w:r>
      <w:r>
        <w:rPr>
          <w:rFonts w:hint="eastAsia" w:ascii="宋体" w:hAnsi="宋体" w:eastAsia="宋体" w:cs="宋体"/>
          <w:sz w:val="24"/>
          <w:szCs w:val="24"/>
          <w:lang w:val="en-US" w:eastAsia="zh-CN"/>
        </w:rPr>
        <w:t>批准擅自使用，采购方有权终止合同关系，并拒付所有合同服务费，造成后果的，将依法追究法律责任。药品储存、分发、使用、回收和出入库登记、药品消杀记录等制度不落实，药械使用不科学、不规范，消杀人员防护不到位，每发生一例扣除1000元合同服务费。因施药问题造成人员和财产损失安全事故的，由中标方负全部责任，并承担所有损失和赔偿。</w:t>
      </w:r>
    </w:p>
    <w:p>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七、项目实施要求</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中标方</w:t>
      </w:r>
      <w:r>
        <w:rPr>
          <w:rFonts w:hint="eastAsia" w:ascii="宋体" w:hAnsi="宋体" w:eastAsia="宋体" w:cs="宋体"/>
          <w:sz w:val="24"/>
          <w:szCs w:val="24"/>
        </w:rPr>
        <w:t>负责提供本项目中</w:t>
      </w:r>
      <w:r>
        <w:rPr>
          <w:rFonts w:hint="eastAsia" w:ascii="宋体" w:hAnsi="宋体" w:eastAsia="宋体" w:cs="宋体"/>
          <w:sz w:val="24"/>
          <w:szCs w:val="24"/>
          <w:lang w:eastAsia="zh-CN"/>
        </w:rPr>
        <w:t>采购方</w:t>
      </w:r>
      <w:r>
        <w:rPr>
          <w:rFonts w:hint="eastAsia" w:ascii="宋体" w:hAnsi="宋体" w:eastAsia="宋体" w:cs="宋体"/>
          <w:sz w:val="24"/>
          <w:szCs w:val="24"/>
        </w:rPr>
        <w:t>所需要的病媒生物防制药物消杀及技术服务。</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中标方</w:t>
      </w:r>
      <w:r>
        <w:rPr>
          <w:rFonts w:hint="eastAsia" w:ascii="宋体" w:hAnsi="宋体" w:eastAsia="宋体" w:cs="宋体"/>
          <w:sz w:val="24"/>
          <w:szCs w:val="24"/>
        </w:rPr>
        <w:t>保证按投标文件中的服务承诺提供良好的服务。</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中标方</w:t>
      </w:r>
      <w:r>
        <w:rPr>
          <w:rFonts w:hint="eastAsia" w:ascii="宋体" w:hAnsi="宋体" w:eastAsia="宋体" w:cs="宋体"/>
          <w:sz w:val="24"/>
          <w:szCs w:val="24"/>
        </w:rPr>
        <w:t>工作人员在实施服务时应统一着装、佩证上岗、明确任务、文明作业。填写服务登记卡，并请</w:t>
      </w:r>
      <w:r>
        <w:rPr>
          <w:rFonts w:hint="eastAsia" w:ascii="宋体" w:hAnsi="宋体" w:eastAsia="宋体" w:cs="宋体"/>
          <w:sz w:val="24"/>
          <w:szCs w:val="24"/>
          <w:lang w:eastAsia="zh-CN"/>
        </w:rPr>
        <w:t>采购方</w:t>
      </w:r>
      <w:r>
        <w:rPr>
          <w:rFonts w:hint="eastAsia" w:ascii="宋体" w:hAnsi="宋体" w:eastAsia="宋体" w:cs="宋体"/>
          <w:sz w:val="24"/>
          <w:szCs w:val="24"/>
        </w:rPr>
        <w:t>有关人员签字，作为当次服务的凭据。</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4.注意药物的使用安全，投（施）药后需防护的部位和措施，应采取有效的防护和措施，及时向</w:t>
      </w:r>
      <w:r>
        <w:rPr>
          <w:rFonts w:hint="eastAsia" w:ascii="宋体" w:hAnsi="宋体" w:eastAsia="宋体" w:cs="宋体"/>
          <w:sz w:val="24"/>
          <w:szCs w:val="24"/>
          <w:lang w:eastAsia="zh-CN"/>
        </w:rPr>
        <w:t>采购方</w:t>
      </w:r>
      <w:r>
        <w:rPr>
          <w:rFonts w:hint="eastAsia" w:ascii="宋体" w:hAnsi="宋体" w:eastAsia="宋体" w:cs="宋体"/>
          <w:sz w:val="24"/>
          <w:szCs w:val="24"/>
        </w:rPr>
        <w:t>报告并向市民发布提醒事项。</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5.事先作好喷药前提示，不能对市民造成影响。</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6.确保对服务辖区内的动、植物及公共设施不造成损害。</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7.确保施工安全，若因施工原因造成的安全事故及存在安全隐患造成自身和他人人身财产损害，其责任均由</w:t>
      </w:r>
      <w:r>
        <w:rPr>
          <w:rFonts w:hint="eastAsia" w:ascii="宋体" w:hAnsi="宋体" w:eastAsia="宋体" w:cs="宋体"/>
          <w:sz w:val="24"/>
          <w:szCs w:val="24"/>
          <w:lang w:eastAsia="zh-CN"/>
        </w:rPr>
        <w:t>服务商</w:t>
      </w:r>
      <w:r>
        <w:rPr>
          <w:rFonts w:hint="eastAsia" w:ascii="宋体" w:hAnsi="宋体" w:eastAsia="宋体" w:cs="宋体"/>
          <w:sz w:val="24"/>
          <w:szCs w:val="24"/>
        </w:rPr>
        <w:t>承担。</w:t>
      </w:r>
    </w:p>
    <w:p>
      <w:pPr>
        <w:keepNext w:val="0"/>
        <w:keepLines w:val="0"/>
        <w:pageBreakBefore w:val="0"/>
        <w:kinsoku/>
        <w:wordWrap/>
        <w:overflowPunct/>
        <w:topLinePunct w:val="0"/>
        <w:autoSpaceDE/>
        <w:autoSpaceDN/>
        <w:bidi w:val="0"/>
        <w:adjustRightInd/>
        <w:spacing w:line="3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8.确保完成日常消杀、维护承担灾害、突发事件应急消杀和重大活动的“除四害”消杀工作。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w:t>
      </w:r>
      <w:r>
        <w:rPr>
          <w:rFonts w:hint="eastAsia" w:ascii="宋体" w:hAnsi="宋体" w:eastAsia="宋体" w:cs="宋体"/>
          <w:b/>
          <w:sz w:val="24"/>
          <w:szCs w:val="24"/>
          <w:lang w:val="en-US" w:eastAsia="zh-CN"/>
        </w:rPr>
        <w:t>科学合理用药</w:t>
      </w:r>
    </w:p>
    <w:p>
      <w:pPr>
        <w:pStyle w:val="3"/>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服务商必须注重科学合理用药，不得使用假药、国家禁用的药物，并须确保药物来源和质量正当可靠。使用的药物必须符合GB/T27777-2011《杀鼠剂安全使用准则》与GB/T27779-2011《卫生杀虫剂安全使用准则》的要求，达到“安全、高效、环保”并交替使用药物防止产生耐药性的要求。为保证用药质量，确保创卫工作顺利进行，使用药物必须按照以下标准和要求执行。</w:t>
      </w:r>
    </w:p>
    <w:tbl>
      <w:tblPr>
        <w:tblStyle w:val="4"/>
        <w:tblpPr w:leftFromText="180" w:rightFromText="180" w:vertAnchor="text" w:horzAnchor="page" w:tblpXSpec="center" w:tblpY="128"/>
        <w:tblOverlap w:val="never"/>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159"/>
        <w:gridCol w:w="2434"/>
        <w:gridCol w:w="1816"/>
        <w:gridCol w:w="2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tcBorders>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类别</w:t>
            </w:r>
          </w:p>
        </w:tc>
        <w:tc>
          <w:tcPr>
            <w:tcW w:w="2159" w:type="dxa"/>
            <w:tcBorders>
              <w:lef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产品名称</w:t>
            </w:r>
          </w:p>
        </w:tc>
        <w:tc>
          <w:tcPr>
            <w:tcW w:w="2434" w:type="dxa"/>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生产厂家</w:t>
            </w:r>
          </w:p>
        </w:tc>
        <w:tc>
          <w:tcPr>
            <w:tcW w:w="1816" w:type="dxa"/>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规    格</w:t>
            </w:r>
          </w:p>
        </w:tc>
        <w:tc>
          <w:tcPr>
            <w:tcW w:w="2063" w:type="dxa"/>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药物用途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restart"/>
            <w:tcBorders>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灭鼠药械</w:t>
            </w:r>
          </w:p>
        </w:tc>
        <w:tc>
          <w:tcPr>
            <w:tcW w:w="2159" w:type="dxa"/>
            <w:tcBorders>
              <w:lef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★0.005%溴鼠灵毒谷</w:t>
            </w:r>
          </w:p>
        </w:tc>
        <w:tc>
          <w:tcPr>
            <w:tcW w:w="2434" w:type="dxa"/>
            <w:noWrap w:val="0"/>
            <w:vAlign w:val="center"/>
          </w:tcPr>
          <w:p>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国内合格厂家，三证齐全出具完整书面资料</w:t>
            </w:r>
          </w:p>
        </w:tc>
        <w:tc>
          <w:tcPr>
            <w:tcW w:w="1816" w:type="dxa"/>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1×20kg/袋</w:t>
            </w:r>
          </w:p>
        </w:tc>
        <w:tc>
          <w:tcPr>
            <w:tcW w:w="20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灭鼠药物，灭鼠毒饵站内使用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continue"/>
            <w:tcBorders>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p>
        </w:tc>
        <w:tc>
          <w:tcPr>
            <w:tcW w:w="2159" w:type="dxa"/>
            <w:tcBorders>
              <w:lef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★0.005%溴鼠灵蜡块</w:t>
            </w:r>
          </w:p>
        </w:tc>
        <w:tc>
          <w:tcPr>
            <w:tcW w:w="2434" w:type="dxa"/>
            <w:noWrap w:val="0"/>
            <w:vAlign w:val="center"/>
          </w:tcPr>
          <w:p>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国内合格厂家，三证齐全出具完整书面资料</w:t>
            </w:r>
          </w:p>
        </w:tc>
        <w:tc>
          <w:tcPr>
            <w:tcW w:w="1816" w:type="dxa"/>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1×10kg/件</w:t>
            </w:r>
          </w:p>
        </w:tc>
        <w:tc>
          <w:tcPr>
            <w:tcW w:w="20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灭鼠药物，下水道及潮湿场所使用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restart"/>
            <w:tcBorders>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灭蟑药械</w:t>
            </w:r>
          </w:p>
        </w:tc>
        <w:tc>
          <w:tcPr>
            <w:tcW w:w="2159" w:type="dxa"/>
            <w:tcBorders>
              <w:lef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★0.05%氟虫腈杀虫</w:t>
            </w:r>
            <w:r>
              <w:rPr>
                <w:rFonts w:hint="eastAsia" w:ascii="宋体" w:hAnsi="宋体" w:eastAsia="宋体" w:cs="宋体"/>
                <w:color w:val="000000"/>
                <w:sz w:val="22"/>
                <w:szCs w:val="22"/>
                <w:lang w:val="en-US" w:eastAsia="zh-CN"/>
              </w:rPr>
              <w:t>饵粒</w:t>
            </w:r>
            <w:r>
              <w:rPr>
                <w:rFonts w:hint="eastAsia" w:ascii="宋体" w:hAnsi="宋体" w:eastAsia="宋体" w:cs="宋体"/>
                <w:color w:val="000000"/>
                <w:sz w:val="22"/>
                <w:szCs w:val="22"/>
              </w:rPr>
              <w:t>（灭蟑粉剂</w:t>
            </w:r>
            <w:r>
              <w:rPr>
                <w:rFonts w:hint="eastAsia" w:ascii="宋体" w:hAnsi="宋体" w:eastAsia="宋体" w:cs="宋体"/>
                <w:color w:val="000000"/>
                <w:sz w:val="22"/>
                <w:szCs w:val="22"/>
                <w:lang w:eastAsia="zh-CN"/>
              </w:rPr>
              <w:t>）</w:t>
            </w:r>
          </w:p>
        </w:tc>
        <w:tc>
          <w:tcPr>
            <w:tcW w:w="2434" w:type="dxa"/>
            <w:noWrap w:val="0"/>
            <w:vAlign w:val="center"/>
          </w:tcPr>
          <w:p>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国内合格厂家，三证齐全出具完整书面资料</w:t>
            </w:r>
          </w:p>
        </w:tc>
        <w:tc>
          <w:tcPr>
            <w:tcW w:w="1816" w:type="dxa"/>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5克×1000袋/箱</w:t>
            </w:r>
          </w:p>
        </w:tc>
        <w:tc>
          <w:tcPr>
            <w:tcW w:w="20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干燥场所灭蟑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continue"/>
            <w:tcBorders>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p>
        </w:tc>
        <w:tc>
          <w:tcPr>
            <w:tcW w:w="2159" w:type="dxa"/>
            <w:tcBorders>
              <w:left w:val="single" w:color="auto" w:sz="4" w:space="0"/>
            </w:tcBorders>
            <w:noWrap w:val="0"/>
            <w:vAlign w:val="center"/>
          </w:tcPr>
          <w:p>
            <w:pPr>
              <w:spacing w:line="240" w:lineRule="auto"/>
              <w:ind w:firstLine="0" w:firstLineChars="0"/>
              <w:jc w:val="center"/>
              <w:rPr>
                <w:rFonts w:hint="eastAsia" w:ascii="宋体" w:hAnsi="宋体" w:eastAsia="宋体" w:cs="宋体"/>
                <w:color w:val="auto"/>
                <w:sz w:val="22"/>
                <w:szCs w:val="22"/>
              </w:rPr>
            </w:pPr>
            <w:r>
              <w:rPr>
                <w:rFonts w:hint="eastAsia" w:ascii="宋体" w:hAnsi="宋体" w:eastAsia="宋体" w:cs="宋体"/>
                <w:color w:val="000000"/>
                <w:sz w:val="22"/>
                <w:szCs w:val="22"/>
              </w:rPr>
              <w:t>★</w:t>
            </w:r>
            <w:r>
              <w:rPr>
                <w:rFonts w:hint="eastAsia" w:ascii="宋体" w:hAnsi="宋体" w:eastAsia="宋体" w:cs="宋体"/>
                <w:color w:val="auto"/>
                <w:sz w:val="22"/>
                <w:szCs w:val="22"/>
              </w:rPr>
              <w:t>0.05%氟虫腈杀蟑</w:t>
            </w:r>
            <w:r>
              <w:rPr>
                <w:rFonts w:hint="eastAsia" w:ascii="宋体" w:hAnsi="宋体" w:eastAsia="宋体" w:cs="宋体"/>
                <w:color w:val="auto"/>
                <w:sz w:val="22"/>
                <w:szCs w:val="22"/>
                <w:lang w:val="en-US" w:eastAsia="zh-CN"/>
              </w:rPr>
              <w:t>饵剂</w:t>
            </w:r>
            <w:r>
              <w:rPr>
                <w:rFonts w:hint="eastAsia" w:ascii="宋体" w:hAnsi="宋体" w:eastAsia="宋体" w:cs="宋体"/>
                <w:color w:val="auto"/>
                <w:sz w:val="22"/>
                <w:szCs w:val="22"/>
              </w:rPr>
              <w:t>（针剂）</w:t>
            </w:r>
          </w:p>
        </w:tc>
        <w:tc>
          <w:tcPr>
            <w:tcW w:w="2434" w:type="dxa"/>
            <w:noWrap w:val="0"/>
            <w:vAlign w:val="center"/>
          </w:tcPr>
          <w:p>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国内合格厂家，三证齐全出具完整书面资料</w:t>
            </w:r>
          </w:p>
        </w:tc>
        <w:tc>
          <w:tcPr>
            <w:tcW w:w="1816" w:type="dxa"/>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10g×100支/件</w:t>
            </w:r>
          </w:p>
        </w:tc>
        <w:tc>
          <w:tcPr>
            <w:tcW w:w="20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潮湿及重点场所灭蟑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continue"/>
            <w:tcBorders>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p>
        </w:tc>
        <w:tc>
          <w:tcPr>
            <w:tcW w:w="2159" w:type="dxa"/>
            <w:tcBorders>
              <w:lef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★1.7%高氯残杀威热烟雾剂</w:t>
            </w:r>
          </w:p>
        </w:tc>
        <w:tc>
          <w:tcPr>
            <w:tcW w:w="2434" w:type="dxa"/>
            <w:noWrap w:val="0"/>
            <w:vAlign w:val="center"/>
          </w:tcPr>
          <w:p>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国内合格厂家，三证齐全出具完整书面资料</w:t>
            </w:r>
          </w:p>
        </w:tc>
        <w:tc>
          <w:tcPr>
            <w:tcW w:w="1816" w:type="dxa"/>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5升/桶×4桶/箱</w:t>
            </w:r>
          </w:p>
        </w:tc>
        <w:tc>
          <w:tcPr>
            <w:tcW w:w="206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下水道、园林绿化及密闭场所用药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restart"/>
            <w:tcBorders>
              <w:top w:val="single" w:color="auto" w:sz="4" w:space="0"/>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灭蚊</w:t>
            </w:r>
          </w:p>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灭蝇药械</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★0.5%吡丙醚杀虫颗粒剂</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国内合格厂家，三证齐全出具完整书面资料</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500克×20袋/</w:t>
            </w:r>
            <w:r>
              <w:rPr>
                <w:rFonts w:hint="eastAsia" w:ascii="宋体" w:hAnsi="宋体" w:eastAsia="宋体" w:cs="宋体"/>
                <w:color w:val="000000"/>
                <w:sz w:val="22"/>
                <w:szCs w:val="22"/>
                <w:lang w:val="en-US" w:eastAsia="zh-CN"/>
              </w:rPr>
              <w:t>箱</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灭</w:t>
            </w:r>
            <w:r>
              <w:rPr>
                <w:rFonts w:hint="eastAsia" w:ascii="宋体" w:hAnsi="宋体" w:eastAsia="宋体" w:cs="宋体"/>
                <w:color w:val="000000"/>
                <w:sz w:val="22"/>
                <w:szCs w:val="22"/>
                <w:lang w:val="en-US" w:eastAsia="zh-CN"/>
              </w:rPr>
              <w:t>蚊幼</w:t>
            </w:r>
            <w:r>
              <w:rPr>
                <w:rFonts w:hint="eastAsia" w:ascii="宋体" w:hAnsi="宋体" w:eastAsia="宋体" w:cs="宋体"/>
                <w:color w:val="000000"/>
                <w:sz w:val="22"/>
                <w:szCs w:val="22"/>
              </w:rPr>
              <w:t>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★5%氯菊四氟醚水乳剂</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国内合格厂家，三证齐全出具完整书面资料</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1000ml×10瓶/件</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室内环境超低容量处理用药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★6.8%氯氰</w:t>
            </w:r>
            <w:r>
              <w:rPr>
                <w:rFonts w:hint="eastAsia" w:ascii="宋体" w:hAnsi="宋体" w:eastAsia="宋体" w:cs="宋体"/>
                <w:sz w:val="15"/>
                <w:szCs w:val="15"/>
              </w:rPr>
              <w:t>•</w:t>
            </w:r>
            <w:r>
              <w:rPr>
                <w:rFonts w:hint="eastAsia" w:ascii="宋体" w:hAnsi="宋体" w:eastAsia="宋体" w:cs="宋体"/>
                <w:color w:val="000000"/>
                <w:sz w:val="22"/>
                <w:szCs w:val="22"/>
              </w:rPr>
              <w:t>氯丙炔水乳剂</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1"/>
                <w:szCs w:val="21"/>
              </w:rPr>
            </w:pPr>
            <w:r>
              <w:rPr>
                <w:rFonts w:hint="eastAsia" w:ascii="宋体" w:hAnsi="宋体" w:eastAsia="宋体" w:cs="宋体"/>
                <w:sz w:val="21"/>
                <w:szCs w:val="21"/>
              </w:rPr>
              <w:t>国内合格厂家，三证齐全出具完整书面资料</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1000ml×10瓶/件</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绿化带</w:t>
            </w:r>
            <w:r>
              <w:rPr>
                <w:rFonts w:hint="eastAsia" w:ascii="宋体" w:hAnsi="宋体" w:eastAsia="宋体" w:cs="宋体"/>
                <w:color w:val="000000"/>
                <w:sz w:val="22"/>
                <w:szCs w:val="22"/>
              </w:rPr>
              <w:t>外环境滞留处理用药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725"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★15%苯氰</w:t>
            </w:r>
            <w:r>
              <w:rPr>
                <w:rFonts w:hint="eastAsia" w:ascii="宋体" w:hAnsi="宋体" w:eastAsia="宋体" w:cs="宋体"/>
                <w:sz w:val="15"/>
                <w:szCs w:val="15"/>
              </w:rPr>
              <w:t>•</w:t>
            </w:r>
            <w:r>
              <w:rPr>
                <w:rFonts w:hint="eastAsia" w:ascii="宋体" w:hAnsi="宋体" w:eastAsia="宋体" w:cs="宋体"/>
                <w:color w:val="000000"/>
                <w:sz w:val="22"/>
                <w:szCs w:val="22"/>
              </w:rPr>
              <w:t>残杀威乳油</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国内合格厂家，三证齐全出具完整书面资料</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1000ml×10瓶/件</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垃圾站、公厕等重点孳生地场所用药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exact"/>
          <w:jc w:val="center"/>
        </w:trPr>
        <w:tc>
          <w:tcPr>
            <w:tcW w:w="725" w:type="dxa"/>
            <w:vMerge w:val="continue"/>
            <w:tcBorders>
              <w:left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 12%氯氰</w:t>
            </w:r>
            <w:r>
              <w:rPr>
                <w:rFonts w:hint="eastAsia" w:ascii="宋体" w:hAnsi="宋体" w:eastAsia="宋体" w:cs="宋体"/>
                <w:sz w:val="15"/>
                <w:szCs w:val="15"/>
              </w:rPr>
              <w:t>•</w:t>
            </w:r>
            <w:r>
              <w:rPr>
                <w:rFonts w:hint="eastAsia" w:ascii="宋体" w:hAnsi="宋体" w:eastAsia="宋体" w:cs="宋体"/>
                <w:color w:val="000000"/>
                <w:sz w:val="22"/>
                <w:szCs w:val="22"/>
              </w:rPr>
              <w:t>氯氟醚可湿性粉剂</w:t>
            </w:r>
          </w:p>
        </w:tc>
        <w:tc>
          <w:tcPr>
            <w:tcW w:w="24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sz w:val="21"/>
                <w:szCs w:val="21"/>
              </w:rPr>
              <w:t>国内合格厂家，三证齐全出具完整书面资料</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50克/袋×100袋/箱</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内外环境滞留处理用药</w:t>
            </w:r>
          </w:p>
        </w:tc>
      </w:tr>
    </w:tbl>
    <w:p>
      <w:r>
        <w:rPr>
          <w:rFonts w:hint="eastAsia" w:ascii="宋体" w:hAnsi="宋体" w:eastAsia="宋体" w:cs="宋体"/>
          <w:b/>
          <w:bCs/>
          <w:sz w:val="24"/>
          <w:szCs w:val="24"/>
        </w:rPr>
        <w:t>★</w:t>
      </w:r>
      <w:r>
        <w:rPr>
          <w:rFonts w:hint="eastAsia" w:ascii="宋体" w:hAnsi="宋体" w:eastAsia="宋体" w:cs="宋体"/>
          <w:b/>
          <w:bCs/>
          <w:color w:val="auto"/>
          <w:kern w:val="0"/>
          <w:sz w:val="24"/>
          <w:szCs w:val="24"/>
          <w:lang w:val="en-US" w:eastAsia="zh-CN" w:bidi="ar"/>
        </w:rPr>
        <w:t>备注：响应文件中的所投药品需满足以上有效成分、含量、剂型及规格并须提供以上药品的三证（</w:t>
      </w:r>
      <w:r>
        <w:rPr>
          <w:rFonts w:hint="eastAsia" w:ascii="宋体" w:hAnsi="宋体" w:eastAsia="宋体" w:cs="宋体"/>
          <w:b/>
          <w:bCs/>
          <w:kern w:val="0"/>
          <w:sz w:val="24"/>
          <w:szCs w:val="24"/>
          <w:highlight w:val="white"/>
          <w:lang w:eastAsia="zh-CN"/>
        </w:rPr>
        <w:t>农业部颁发的农药登记证、省级农业部门颁发的登记证持有人或委托加工企业农药生产许可证（生产范围包括投标产品剂型）、质量技术监督部门或企业标准信息公共服务平台备案的企业标准封面</w:t>
      </w:r>
      <w:r>
        <w:rPr>
          <w:rFonts w:hint="eastAsia" w:ascii="宋体" w:hAnsi="宋体" w:eastAsia="宋体" w:cs="宋体"/>
          <w:b/>
          <w:bCs/>
          <w:color w:val="auto"/>
          <w:kern w:val="0"/>
          <w:sz w:val="24"/>
          <w:szCs w:val="24"/>
          <w:lang w:val="en-US" w:eastAsia="zh-CN" w:bidi="ar"/>
        </w:rPr>
        <w:t>）及厂家为服务商提供本项目药品的供货承诺书并加盖厂家红色公章。</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OWY3YjY0ZTc0ZmI0ZGQxNDljZmZlZjhiZTMzNzQifQ=="/>
  </w:docVars>
  <w:rsids>
    <w:rsidRoot w:val="08314851"/>
    <w:rsid w:val="0831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2024-05-14T05:48:00Z</dcterms:created>
  <dc:creator>那些花儿</dc:creator>
  <cp:lastModifiedBy>那些花儿</cp:lastModifiedBy>
  <dcterms:modified xsi:type="dcterms:W3CDTF">2024-05-14T05:48:52Z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BE3C6CBE2BFA4F1C940EEA269532912B_11</vt:lpwstr>
  </property>
</Properties>
</file>