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 w:hAnsi="仿宋" w:eastAsia="仿宋" w:cs="仿宋"/>
          <w:b/>
          <w:color w:val="auto"/>
          <w:sz w:val="44"/>
          <w:szCs w:val="44"/>
          <w:highlight w:val="none"/>
        </w:rPr>
      </w:pPr>
    </w:p>
    <w:p>
      <w:pPr>
        <w:adjustRightInd/>
        <w:spacing w:line="360" w:lineRule="auto"/>
        <w:jc w:val="center"/>
        <w:rPr>
          <w:rFonts w:ascii="仿宋" w:hAnsi="仿宋" w:eastAsia="仿宋" w:cs="仿宋"/>
          <w:b/>
          <w:color w:val="auto"/>
          <w:sz w:val="44"/>
          <w:szCs w:val="44"/>
          <w:highlight w:val="none"/>
        </w:rPr>
      </w:pPr>
    </w:p>
    <w:p>
      <w:pPr>
        <w:adjustRightInd/>
        <w:spacing w:line="360" w:lineRule="auto"/>
        <w:jc w:val="center"/>
        <w:rPr>
          <w:rFonts w:ascii="仿宋" w:hAnsi="仿宋" w:eastAsia="仿宋" w:cs="仿宋"/>
          <w:b/>
          <w:color w:val="auto"/>
          <w:sz w:val="44"/>
          <w:szCs w:val="44"/>
          <w:highlight w:val="none"/>
        </w:rPr>
      </w:pPr>
    </w:p>
    <w:p>
      <w:pPr>
        <w:adjustRightInd/>
        <w:spacing w:line="360" w:lineRule="auto"/>
        <w:jc w:val="center"/>
        <w:rPr>
          <w:rFonts w:ascii="仿宋" w:hAnsi="仿宋" w:eastAsia="仿宋" w:cs="仿宋"/>
          <w:b/>
          <w:color w:val="auto"/>
          <w:sz w:val="44"/>
          <w:szCs w:val="44"/>
          <w:highlight w:val="none"/>
        </w:rPr>
      </w:pPr>
    </w:p>
    <w:p>
      <w:pPr>
        <w:adjustRightInd/>
        <w:spacing w:line="360" w:lineRule="auto"/>
        <w:jc w:val="center"/>
        <w:rPr>
          <w:rFonts w:ascii="仿宋" w:hAnsi="仿宋" w:eastAsia="仿宋" w:cs="仿宋"/>
          <w:b/>
          <w:color w:val="auto"/>
          <w:sz w:val="44"/>
          <w:szCs w:val="44"/>
          <w:highlight w:val="none"/>
        </w:rPr>
      </w:pPr>
    </w:p>
    <w:p>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color w:val="auto"/>
          <w:sz w:val="48"/>
          <w:szCs w:val="48"/>
          <w:highlight w:val="none"/>
        </w:rPr>
        <w:t>丁兰街道</w:t>
      </w:r>
      <w:r>
        <w:rPr>
          <w:rFonts w:hint="default" w:ascii="仿宋" w:hAnsi="仿宋" w:eastAsia="仿宋" w:cs="仿宋"/>
          <w:color w:val="auto"/>
          <w:sz w:val="48"/>
          <w:szCs w:val="48"/>
          <w:highlight w:val="none"/>
        </w:rPr>
        <w:t>除</w:t>
      </w:r>
      <w:r>
        <w:rPr>
          <w:rFonts w:hint="eastAsia" w:ascii="仿宋" w:hAnsi="仿宋" w:eastAsia="仿宋" w:cs="仿宋"/>
          <w:color w:val="auto"/>
          <w:sz w:val="48"/>
          <w:szCs w:val="48"/>
          <w:highlight w:val="none"/>
        </w:rPr>
        <w:t>“四害”消杀服务项目</w:t>
      </w:r>
    </w:p>
    <w:p>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ZJCT2-DLJD2024-01</w:t>
      </w:r>
    </w:p>
    <w:p>
      <w:pPr>
        <w:adjustRightInd/>
        <w:spacing w:line="360" w:lineRule="auto"/>
        <w:jc w:val="center"/>
        <w:rPr>
          <w:rFonts w:ascii="仿宋" w:hAnsi="仿宋" w:eastAsia="仿宋" w:cs="仿宋"/>
          <w:b/>
          <w:color w:val="auto"/>
          <w:sz w:val="44"/>
          <w:szCs w:val="44"/>
          <w:highlight w:val="none"/>
        </w:rPr>
      </w:pPr>
    </w:p>
    <w:p>
      <w:pPr>
        <w:adjustRightInd/>
        <w:spacing w:line="360" w:lineRule="auto"/>
        <w:jc w:val="center"/>
        <w:rPr>
          <w:rFonts w:ascii="仿宋" w:hAnsi="仿宋" w:eastAsia="仿宋" w:cs="仿宋"/>
          <w:b/>
          <w:color w:val="auto"/>
          <w:sz w:val="44"/>
          <w:szCs w:val="44"/>
          <w:highlight w:val="none"/>
        </w:rPr>
      </w:pPr>
    </w:p>
    <w:p>
      <w:pPr>
        <w:adjustRightInd/>
        <w:spacing w:line="360" w:lineRule="auto"/>
        <w:jc w:val="both"/>
        <w:rPr>
          <w:rFonts w:ascii="仿宋" w:hAnsi="仿宋" w:eastAsia="仿宋" w:cs="仿宋"/>
          <w:b/>
          <w:color w:val="auto"/>
          <w:sz w:val="44"/>
          <w:szCs w:val="44"/>
          <w:highlight w:val="none"/>
        </w:rPr>
      </w:pPr>
    </w:p>
    <w:p>
      <w:pPr>
        <w:adjustRightInd/>
        <w:spacing w:line="360" w:lineRule="auto"/>
        <w:jc w:val="center"/>
        <w:rPr>
          <w:rFonts w:ascii="仿宋" w:hAnsi="仿宋" w:eastAsia="仿宋" w:cs="仿宋"/>
          <w:b/>
          <w:color w:val="auto"/>
          <w:sz w:val="44"/>
          <w:szCs w:val="44"/>
          <w:highlight w:val="none"/>
        </w:rPr>
      </w:pPr>
    </w:p>
    <w:p>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杭州市上城区人民政府丁兰街道办事处</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浙江省成套工程有限公司</w:t>
      </w:r>
    </w:p>
    <w:p>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四</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十四</w:t>
      </w:r>
      <w:r>
        <w:rPr>
          <w:rFonts w:hint="eastAsia" w:ascii="仿宋" w:hAnsi="仿宋" w:eastAsia="仿宋" w:cs="仿宋"/>
          <w:bCs/>
          <w:color w:val="auto"/>
          <w:sz w:val="32"/>
          <w:szCs w:val="32"/>
          <w:highlight w:val="none"/>
        </w:rPr>
        <w:t>日</w:t>
      </w:r>
      <w:bookmarkStart w:id="0" w:name="_Hlt67893495"/>
      <w:bookmarkEnd w:id="0"/>
    </w:p>
    <w:p>
      <w:pPr>
        <w:spacing w:line="360" w:lineRule="auto"/>
        <w:jc w:val="center"/>
        <w:rPr>
          <w:rFonts w:ascii="仿宋" w:hAnsi="仿宋" w:eastAsia="仿宋" w:cs="仿宋"/>
          <w:b/>
          <w:color w:val="auto"/>
          <w:sz w:val="48"/>
          <w:szCs w:val="48"/>
          <w:highlight w:val="none"/>
        </w:rPr>
        <w:sectPr>
          <w:headerReference r:id="rId4" w:type="first"/>
          <w:footerReference r:id="rId7" w:type="first"/>
          <w:headerReference r:id="rId3" w:type="default"/>
          <w:footerReference r:id="rId5" w:type="default"/>
          <w:footerReference r:id="rId6" w:type="even"/>
          <w:pgSz w:w="11905" w:h="16838"/>
          <w:pgMar w:top="1474" w:right="1814" w:bottom="1474" w:left="1814" w:header="851" w:footer="850" w:gutter="0"/>
          <w:cols w:space="0" w:num="1"/>
          <w:rtlGutter w:val="0"/>
          <w:docGrid w:linePitch="312" w:charSpace="0"/>
        </w:sectPr>
      </w:pPr>
    </w:p>
    <w:p>
      <w:pPr>
        <w:spacing w:line="60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bookmarkStart w:id="1" w:name="_Hlt91233176"/>
      <w:bookmarkEnd w:id="1"/>
      <w:bookmarkStart w:id="2" w:name="_Toc91899869"/>
    </w:p>
    <w:p>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36"/>
          <w:highlight w:val="none"/>
        </w:rPr>
        <w:br w:type="page"/>
      </w:r>
      <w:bookmarkEnd w:id="2"/>
      <w:bookmarkStart w:id="3" w:name="_Hlt74649545"/>
      <w:bookmarkEnd w:id="3"/>
      <w:bookmarkStart w:id="4" w:name="_Hlt74728647"/>
      <w:bookmarkEnd w:id="4"/>
      <w:bookmarkStart w:id="5" w:name="_Hlt74707423"/>
      <w:bookmarkEnd w:id="5"/>
      <w:bookmarkStart w:id="6" w:name="_Hlt74729822"/>
      <w:bookmarkEnd w:id="6"/>
      <w:bookmarkStart w:id="7" w:name="_Toc91899870"/>
      <w:bookmarkStart w:id="8" w:name="_Toc91899871"/>
      <w:r>
        <w:rPr>
          <w:rFonts w:hint="eastAsia" w:ascii="仿宋" w:hAnsi="仿宋" w:eastAsia="仿宋" w:cs="仿宋"/>
          <w:b/>
          <w:color w:val="auto"/>
          <w:sz w:val="36"/>
          <w:szCs w:val="20"/>
          <w:highlight w:val="none"/>
        </w:rPr>
        <w:t xml:space="preserve">第一部分 </w:t>
      </w:r>
      <w:r>
        <w:rPr>
          <w:rFonts w:ascii="仿宋" w:hAnsi="仿宋" w:eastAsia="仿宋" w:cs="仿宋"/>
          <w:b/>
          <w:color w:val="auto"/>
          <w:sz w:val="36"/>
          <w:szCs w:val="20"/>
          <w:highlight w:val="none"/>
        </w:rPr>
        <w:t xml:space="preserve"> </w:t>
      </w:r>
      <w:r>
        <w:rPr>
          <w:rFonts w:hint="eastAsia" w:ascii="仿宋" w:hAnsi="仿宋" w:eastAsia="仿宋" w:cs="仿宋"/>
          <w:b/>
          <w:color w:val="auto"/>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丁兰街道</w:t>
      </w:r>
      <w:r>
        <w:rPr>
          <w:rFonts w:hint="default" w:ascii="仿宋" w:hAnsi="仿宋" w:eastAsia="仿宋" w:cs="仿宋"/>
          <w:color w:val="auto"/>
          <w:sz w:val="24"/>
          <w:highlight w:val="none"/>
          <w:u w:val="single"/>
        </w:rPr>
        <w:t>除</w:t>
      </w:r>
      <w:r>
        <w:rPr>
          <w:rFonts w:hint="eastAsia" w:ascii="仿宋" w:hAnsi="仿宋" w:eastAsia="仿宋" w:cs="仿宋"/>
          <w:color w:val="auto"/>
          <w:sz w:val="24"/>
          <w:highlight w:val="none"/>
          <w:u w:val="single"/>
        </w:rPr>
        <w:t>“四害”消杀服务项目</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w:t>
      </w:r>
      <w:r>
        <w:rPr>
          <w:rStyle w:val="76"/>
          <w:rFonts w:hint="eastAsia" w:ascii="仿宋" w:hAnsi="仿宋" w:eastAsia="仿宋" w:cs="仿宋"/>
          <w:snapToGrid/>
          <w:color w:val="auto"/>
          <w:kern w:val="2"/>
          <w:sz w:val="24"/>
          <w:szCs w:val="24"/>
          <w:highlight w:val="none"/>
          <w:lang w:val="en-US" w:eastAsia="zh-CN"/>
        </w:rPr>
        <w:t>4</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06</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04</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14</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00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pPr>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项目编号：ZJCT2-DLJD2024-01</w:t>
      </w:r>
    </w:p>
    <w:p>
      <w:pPr>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项目名称：丁兰街道</w:t>
      </w:r>
      <w:r>
        <w:rPr>
          <w:rFonts w:hint="default" w:ascii="仿宋" w:hAnsi="仿宋" w:eastAsia="仿宋" w:cs="仿宋"/>
          <w:b/>
          <w:color w:val="auto"/>
          <w:sz w:val="24"/>
          <w:highlight w:val="none"/>
        </w:rPr>
        <w:t>除</w:t>
      </w:r>
      <w:r>
        <w:rPr>
          <w:rFonts w:hint="eastAsia" w:ascii="仿宋" w:hAnsi="仿宋" w:eastAsia="仿宋" w:cs="仿宋"/>
          <w:b/>
          <w:color w:val="auto"/>
          <w:sz w:val="24"/>
          <w:highlight w:val="none"/>
        </w:rPr>
        <w:t>“四害”消杀服务项目</w:t>
      </w:r>
    </w:p>
    <w:p>
      <w:pPr>
        <w:spacing w:line="360" w:lineRule="auto"/>
        <w:ind w:firstLine="48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val="0"/>
          <w:bCs/>
          <w:color w:val="auto"/>
          <w:sz w:val="24"/>
          <w:highlight w:val="none"/>
          <w:lang w:val="en-US" w:eastAsia="zh-CN"/>
        </w:rPr>
        <w:t>561600.00</w:t>
      </w:r>
    </w:p>
    <w:p>
      <w:pPr>
        <w:spacing w:line="360" w:lineRule="auto"/>
        <w:ind w:firstLine="480"/>
        <w:rPr>
          <w:rFonts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lang w:val="en-US" w:eastAsia="zh-CN"/>
        </w:rPr>
        <w:t>561600.00</w:t>
      </w:r>
    </w:p>
    <w:p>
      <w:pPr>
        <w:pStyle w:val="5"/>
        <w:spacing w:line="360" w:lineRule="auto"/>
        <w:ind w:firstLine="480"/>
        <w:rPr>
          <w:rFonts w:ascii="仿宋" w:hAnsi="仿宋" w:eastAsia="仿宋" w:cs="仿宋"/>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rPr>
        <w:t>丁兰街道</w:t>
      </w:r>
      <w:r>
        <w:rPr>
          <w:rFonts w:hint="default" w:ascii="仿宋" w:hAnsi="仿宋" w:eastAsia="仿宋" w:cs="仿宋"/>
          <w:bCs/>
          <w:snapToGrid/>
          <w:color w:val="auto"/>
          <w:kern w:val="2"/>
          <w:sz w:val="24"/>
          <w:szCs w:val="24"/>
          <w:highlight w:val="none"/>
        </w:rPr>
        <w:t>除</w:t>
      </w:r>
      <w:r>
        <w:rPr>
          <w:rFonts w:hint="eastAsia" w:ascii="仿宋" w:hAnsi="仿宋" w:eastAsia="仿宋" w:cs="仿宋"/>
          <w:bCs/>
          <w:snapToGrid/>
          <w:color w:val="auto"/>
          <w:kern w:val="2"/>
          <w:sz w:val="24"/>
          <w:szCs w:val="24"/>
          <w:highlight w:val="none"/>
        </w:rPr>
        <w:t>“四害”消杀服务项目主要内容：丁兰街道公共环境除四害服务项目区域约15.6平方公里，定期对辖区所有小区、学校周边、菜场周边、街道办事处等</w:t>
      </w:r>
      <w:r>
        <w:rPr>
          <w:rFonts w:hint="default" w:ascii="仿宋" w:hAnsi="仿宋" w:eastAsia="仿宋" w:cs="仿宋"/>
          <w:bCs/>
          <w:snapToGrid/>
          <w:color w:val="auto"/>
          <w:kern w:val="2"/>
          <w:sz w:val="24"/>
          <w:szCs w:val="24"/>
          <w:highlight w:val="none"/>
        </w:rPr>
        <w:t>公共场所</w:t>
      </w:r>
      <w:r>
        <w:rPr>
          <w:rFonts w:hint="eastAsia" w:ascii="仿宋" w:hAnsi="仿宋" w:eastAsia="仿宋" w:cs="仿宋"/>
          <w:bCs/>
          <w:snapToGrid/>
          <w:color w:val="auto"/>
          <w:kern w:val="2"/>
          <w:sz w:val="24"/>
          <w:szCs w:val="24"/>
          <w:highlight w:val="none"/>
        </w:rPr>
        <w:t>进行除</w:t>
      </w:r>
      <w:r>
        <w:rPr>
          <w:rFonts w:hint="default" w:ascii="仿宋" w:hAnsi="仿宋" w:eastAsia="仿宋" w:cs="仿宋"/>
          <w:bCs/>
          <w:snapToGrid/>
          <w:color w:val="auto"/>
          <w:kern w:val="2"/>
          <w:sz w:val="24"/>
          <w:szCs w:val="24"/>
          <w:highlight w:val="none"/>
        </w:rPr>
        <w:t>“</w:t>
      </w:r>
      <w:r>
        <w:rPr>
          <w:rFonts w:hint="eastAsia" w:ascii="仿宋" w:hAnsi="仿宋" w:eastAsia="仿宋" w:cs="仿宋"/>
          <w:bCs/>
          <w:snapToGrid/>
          <w:color w:val="auto"/>
          <w:kern w:val="2"/>
          <w:sz w:val="24"/>
          <w:szCs w:val="24"/>
          <w:highlight w:val="none"/>
        </w:rPr>
        <w:t>四害</w:t>
      </w:r>
      <w:r>
        <w:rPr>
          <w:rFonts w:hint="default" w:ascii="仿宋" w:hAnsi="仿宋" w:eastAsia="仿宋" w:cs="仿宋"/>
          <w:bCs/>
          <w:snapToGrid/>
          <w:color w:val="auto"/>
          <w:kern w:val="2"/>
          <w:sz w:val="24"/>
          <w:szCs w:val="24"/>
          <w:highlight w:val="none"/>
        </w:rPr>
        <w:t>”</w:t>
      </w:r>
      <w:r>
        <w:rPr>
          <w:rFonts w:hint="eastAsia" w:ascii="仿宋" w:hAnsi="仿宋" w:eastAsia="仿宋" w:cs="仿宋"/>
          <w:bCs/>
          <w:snapToGrid/>
          <w:color w:val="auto"/>
          <w:kern w:val="2"/>
          <w:sz w:val="24"/>
          <w:szCs w:val="24"/>
          <w:highlight w:val="none"/>
        </w:rPr>
        <w:t>消杀，同时对特定时间节点、特定场所、四害集中爆发社区等时段和区域进行突击集中消杀，按街道要求新装四害技防设施，包括毒鼠屋、防蚊闸、捕蝇笼等。</w:t>
      </w:r>
      <w:r>
        <w:rPr>
          <w:rFonts w:hint="eastAsia" w:ascii="仿宋" w:hAnsi="仿宋" w:eastAsia="仿宋" w:cs="仿宋"/>
          <w:snapToGrid/>
          <w:color w:val="auto"/>
          <w:kern w:val="2"/>
          <w:sz w:val="24"/>
          <w:szCs w:val="24"/>
          <w:highlight w:val="none"/>
        </w:rPr>
        <w:t>具体以招标文件第三部分采购需求为准。</w:t>
      </w:r>
    </w:p>
    <w:p>
      <w:pPr>
        <w:spacing w:line="360" w:lineRule="auto"/>
        <w:ind w:firstLine="48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合同履约期限：</w:t>
      </w:r>
      <w:r>
        <w:rPr>
          <w:rFonts w:hint="eastAsia" w:ascii="仿宋" w:hAnsi="仿宋" w:eastAsia="仿宋" w:cs="仿宋"/>
          <w:b/>
          <w:color w:val="auto"/>
          <w:sz w:val="24"/>
          <w:highlight w:val="none"/>
          <w:lang w:val="en-US" w:eastAsia="zh-CN"/>
        </w:rPr>
        <w:t>12个月</w:t>
      </w:r>
    </w:p>
    <w:p>
      <w:pPr>
        <w:pStyle w:val="5"/>
        <w:spacing w:line="360" w:lineRule="auto"/>
        <w:ind w:firstLine="480"/>
        <w:rPr>
          <w:rFonts w:ascii="仿宋" w:hAnsi="仿宋" w:eastAsia="仿宋" w:cs="仿宋"/>
          <w:b/>
          <w:color w:val="auto"/>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2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2.以联合体形式投标的，提供联合协议(本项目不接受联合体投标或者投标人不以联合体形式投标的，则不需要提供)；</w:t>
      </w:r>
    </w:p>
    <w:p>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897" w:firstLineChars="374"/>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4.本项目的特定资格要求：无；</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b w:val="0"/>
          <w:bCs/>
          <w:color w:val="auto"/>
          <w:sz w:val="24"/>
          <w:highlight w:val="none"/>
        </w:rPr>
        <w:t>杭州市上城区临丁路699号丁兰街道办事处2楼评标室（211斜对面） 评标室</w:t>
      </w:r>
      <w:r>
        <w:rPr>
          <w:rFonts w:hint="eastAsia" w:ascii="仿宋" w:hAnsi="仿宋" w:eastAsia="仿宋" w:cs="仿宋"/>
          <w:b w:val="0"/>
          <w:bCs/>
          <w:color w:val="auto"/>
          <w:sz w:val="24"/>
          <w:highlight w:val="none"/>
          <w:lang w:val="en-US" w:eastAsia="zh-CN"/>
        </w:rPr>
        <w:t>/</w:t>
      </w:r>
      <w:r>
        <w:rPr>
          <w:rFonts w:hint="eastAsia" w:ascii="仿宋" w:hAnsi="仿宋" w:eastAsia="仿宋" w:cs="仿宋"/>
          <w:color w:val="auto"/>
          <w:sz w:val="24"/>
          <w:highlight w:val="none"/>
        </w:rPr>
        <w:t>政采云平台（https://www.zcygov.cn/）</w:t>
      </w:r>
    </w:p>
    <w:p>
      <w:pPr>
        <w:numPr>
          <w:ilvl w:val="0"/>
          <w:numId w:val="1"/>
        </w:num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采购意向公开链接</w:t>
      </w:r>
    </w:p>
    <w:p>
      <w:pPr>
        <w:spacing w:line="360" w:lineRule="auto"/>
        <w:ind w:firstLine="420" w:firstLineChars="0"/>
        <w:rPr>
          <w:rFonts w:ascii="仿宋" w:hAnsi="仿宋" w:eastAsia="仿宋" w:cs="仿宋"/>
          <w:b/>
          <w:color w:val="auto"/>
          <w:sz w:val="24"/>
          <w:highlight w:val="none"/>
        </w:rPr>
      </w:pPr>
      <w:r>
        <w:rPr>
          <w:rFonts w:hint="eastAsia" w:ascii="仿宋" w:hAnsi="仿宋" w:eastAsia="仿宋" w:cs="仿宋"/>
          <w:b/>
          <w:color w:val="auto"/>
          <w:sz w:val="24"/>
          <w:highlight w:val="none"/>
        </w:rPr>
        <w:t>https://zfcg.czt.zj.gov.cn/site/detail?parentId=600007&amp;articleId=YsDxKIRwFxkCTidtEqkadA%3D%3D&amp;utm=site.site-PC-37000.979-pc-websitegroup-zhejiang-secondPage-front.2.90af46a0fe0d11ee91e121cc25348e3f</w:t>
      </w:r>
    </w:p>
    <w:p>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1.采购人信息</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名    称：杭州市上城区人民政府丁兰街道办事处</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    址：杭州市上城区临丁路699号       </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传    真：/</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项目联系人（询问）：毛师益</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项目联系方式（询问）：0571-88117018 </w:t>
      </w:r>
    </w:p>
    <w:p>
      <w:pPr>
        <w:spacing w:line="360" w:lineRule="auto"/>
        <w:ind w:firstLine="480"/>
        <w:rPr>
          <w:rFonts w:hint="default"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default" w:ascii="仿宋" w:hAnsi="仿宋" w:eastAsia="仿宋" w:cs="仿宋"/>
          <w:color w:val="auto"/>
          <w:sz w:val="24"/>
          <w:highlight w:val="none"/>
        </w:rPr>
        <w:t>叶萍</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质疑联系方式：18868819081（请通过以下路径在线提起质疑：政采云-项目采购-询问质疑投诉-质疑列表）</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2.采购代理机构信息</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称：浙江省成套工程有限公司</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址：杭州市西湖区古墩路701号紫金广场A座1</w:t>
      </w:r>
      <w:r>
        <w:rPr>
          <w:rFonts w:hint="eastAsia" w:ascii="仿宋" w:hAnsi="仿宋" w:eastAsia="仿宋" w:cs="仿宋"/>
          <w:color w:val="auto"/>
          <w:sz w:val="24"/>
          <w:highlight w:val="none"/>
          <w:lang w:val="en-US" w:eastAsia="zh-CN"/>
        </w:rPr>
        <w:t>509</w:t>
      </w:r>
      <w:r>
        <w:rPr>
          <w:rFonts w:hint="eastAsia" w:ascii="仿宋" w:hAnsi="仿宋" w:eastAsia="仿宋" w:cs="仿宋"/>
          <w:color w:val="auto"/>
          <w:sz w:val="24"/>
          <w:highlight w:val="none"/>
        </w:rPr>
        <w:t>室</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传    真：/</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项目联系人（询问）：何磊</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项目联系方式（询问）：15868121513</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质疑联系人：严淳</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质疑联系方式：18007898088（请通过以下路径在线提起质疑：政采云-项目采购-询问质疑投诉-质疑列表）</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3.同级政府采购监督管理部门</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名    称：杭州市</w:t>
      </w:r>
      <w:r>
        <w:rPr>
          <w:rFonts w:hint="eastAsia" w:ascii="仿宋" w:hAnsi="仿宋" w:eastAsia="仿宋" w:cs="仿宋"/>
          <w:color w:val="auto"/>
          <w:sz w:val="24"/>
          <w:highlight w:val="none"/>
          <w:lang w:eastAsia="zh-CN"/>
        </w:rPr>
        <w:t>上城</w:t>
      </w:r>
      <w:r>
        <w:rPr>
          <w:rFonts w:hint="eastAsia" w:ascii="仿宋" w:hAnsi="仿宋" w:eastAsia="仿宋" w:cs="仿宋"/>
          <w:color w:val="auto"/>
          <w:sz w:val="24"/>
          <w:highlight w:val="none"/>
        </w:rPr>
        <w:t>区财政局/浙江省政府采购行政裁决服务中心（杭州）</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    址：杭州市上城区四季青街道新业路市民之家G03办公室（快递仅限ems或顺丰）</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传    真：/</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联系人：朱女士/王女士</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监督投诉电话：0571-85252453（仅限投诉事项）</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adjustRightInd/>
        <w:spacing w:line="360" w:lineRule="auto"/>
        <w:jc w:val="center"/>
        <w:outlineLvl w:val="0"/>
        <w:rPr>
          <w:rFonts w:ascii="仿宋" w:hAnsi="仿宋" w:eastAsia="仿宋" w:cs="仿宋"/>
          <w:b/>
          <w:color w:val="auto"/>
          <w:sz w:val="36"/>
          <w:szCs w:val="20"/>
          <w:highlight w:val="none"/>
        </w:rPr>
        <w:sectPr>
          <w:pgSz w:w="11905" w:h="16838"/>
          <w:pgMar w:top="1474" w:right="1814" w:bottom="1474" w:left="1814" w:header="851" w:footer="850" w:gutter="0"/>
          <w:cols w:space="0" w:num="1"/>
          <w:rtlGutter w:val="0"/>
          <w:docGrid w:linePitch="312" w:charSpace="0"/>
        </w:sectPr>
      </w:pPr>
    </w:p>
    <w:p>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 xml:space="preserve">第二部分 </w:t>
      </w:r>
      <w:r>
        <w:rPr>
          <w:rFonts w:ascii="仿宋" w:hAnsi="仿宋" w:eastAsia="仿宋" w:cs="仿宋"/>
          <w:b/>
          <w:color w:val="auto"/>
          <w:sz w:val="36"/>
          <w:szCs w:val="20"/>
          <w:highlight w:val="none"/>
        </w:rPr>
        <w:t xml:space="preserve"> </w:t>
      </w:r>
      <w:r>
        <w:rPr>
          <w:rFonts w:hint="eastAsia" w:ascii="仿宋" w:hAnsi="仿宋" w:eastAsia="仿宋" w:cs="仿宋"/>
          <w:b/>
          <w:color w:val="auto"/>
          <w:sz w:val="36"/>
          <w:szCs w:val="20"/>
          <w:highlight w:val="none"/>
        </w:rPr>
        <w:t>投标人须知</w:t>
      </w:r>
      <w:bookmarkEnd w:id="7"/>
    </w:p>
    <w:p>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tblHeader/>
          <w:jc w:val="center"/>
        </w:trPr>
        <w:tc>
          <w:tcPr>
            <w:tcW w:w="629" w:type="dxa"/>
            <w:vAlign w:val="center"/>
          </w:tcPr>
          <w:p>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9" w:hRule="atLeast"/>
          <w:tblHeader/>
          <w:jc w:val="center"/>
        </w:trPr>
        <w:tc>
          <w:tcPr>
            <w:tcW w:w="629" w:type="dxa"/>
            <w:vAlign w:val="center"/>
          </w:tcPr>
          <w:p>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vAlign w:val="center"/>
          </w:tcPr>
          <w:p>
            <w:pPr>
              <w:numPr>
                <w:ilvl w:val="0"/>
                <w:numId w:val="2"/>
              </w:numPr>
              <w:snapToGrid w:val="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标的：</w:t>
            </w:r>
            <w:r>
              <w:rPr>
                <w:rFonts w:hint="eastAsia" w:ascii="仿宋" w:hAnsi="仿宋" w:eastAsia="仿宋" w:cs="宋体"/>
                <w:color w:val="auto"/>
                <w:kern w:val="0"/>
                <w:sz w:val="24"/>
                <w:highlight w:val="none"/>
                <w:u w:val="single"/>
              </w:rPr>
              <w:t>丁兰街道</w:t>
            </w:r>
            <w:r>
              <w:rPr>
                <w:rFonts w:hint="default" w:ascii="仿宋" w:hAnsi="仿宋" w:eastAsia="仿宋" w:cs="宋体"/>
                <w:color w:val="auto"/>
                <w:kern w:val="0"/>
                <w:sz w:val="24"/>
                <w:highlight w:val="none"/>
                <w:u w:val="single"/>
              </w:rPr>
              <w:t>除</w:t>
            </w:r>
            <w:r>
              <w:rPr>
                <w:rFonts w:hint="eastAsia" w:ascii="仿宋" w:hAnsi="仿宋" w:eastAsia="仿宋" w:cs="宋体"/>
                <w:color w:val="auto"/>
                <w:kern w:val="0"/>
                <w:sz w:val="24"/>
                <w:highlight w:val="none"/>
                <w:u w:val="single"/>
              </w:rPr>
              <w:t>“四害”消杀服务项目</w:t>
            </w:r>
            <w:r>
              <w:rPr>
                <w:rFonts w:hint="eastAsia" w:ascii="仿宋" w:hAnsi="仿宋" w:eastAsia="仿宋" w:cs="宋体"/>
                <w:color w:val="auto"/>
                <w:kern w:val="0"/>
                <w:sz w:val="24"/>
                <w:highlight w:val="none"/>
              </w:rPr>
              <w:t>，属于</w:t>
            </w:r>
            <w:r>
              <w:rPr>
                <w:rFonts w:hint="eastAsia" w:ascii="仿宋" w:hAnsi="仿宋" w:eastAsia="仿宋" w:cs="宋体"/>
                <w:color w:val="auto"/>
                <w:kern w:val="0"/>
                <w:sz w:val="24"/>
                <w:highlight w:val="none"/>
                <w:u w:val="single"/>
              </w:rPr>
              <w:t>其他未列明</w:t>
            </w:r>
            <w:r>
              <w:rPr>
                <w:rFonts w:hint="eastAsia" w:ascii="仿宋" w:hAnsi="仿宋" w:eastAsia="仿宋" w:cs="宋体"/>
                <w:color w:val="auto"/>
                <w:kern w:val="0"/>
                <w:sz w:val="24"/>
                <w:highlight w:val="none"/>
              </w:rPr>
              <w:t>行业；</w:t>
            </w:r>
          </w:p>
          <w:p>
            <w:pPr>
              <w:snapToGrid w:val="0"/>
              <w:rPr>
                <w:rFonts w:ascii="仿宋" w:hAnsi="仿宋" w:eastAsia="仿宋" w:cs="仿宋"/>
                <w:color w:val="auto"/>
                <w:highlight w:val="none"/>
              </w:rPr>
            </w:pPr>
            <w:r>
              <w:rPr>
                <w:rFonts w:hint="eastAsia" w:ascii="仿宋" w:hAnsi="仿宋" w:eastAsia="仿宋" w:cs="宋体"/>
                <w:color w:val="auto"/>
                <w:kern w:val="0"/>
                <w:sz w:val="24"/>
                <w:highlight w:val="none"/>
              </w:rPr>
              <w:t>（2）备注：《关于印发中小企业划型标准规定的通知》（工信部联企业〔2011〕300）：</w:t>
            </w:r>
            <w:r>
              <w:rPr>
                <w:rFonts w:hint="eastAsia" w:ascii="仿宋" w:hAnsi="仿宋" w:eastAsia="仿宋" w:cs="宋体"/>
                <w:color w:val="auto"/>
                <w:kern w:val="0"/>
                <w:sz w:val="24"/>
                <w:highlight w:val="none"/>
                <w:u w:val="single"/>
              </w:rPr>
              <w:t>其他未列明行业</w:t>
            </w:r>
            <w:r>
              <w:rPr>
                <w:rFonts w:hint="eastAsia" w:ascii="仿宋" w:hAnsi="仿宋" w:eastAsia="仿宋" w:cs="宋体"/>
                <w:color w:val="auto"/>
                <w:kern w:val="0"/>
                <w:sz w:val="24"/>
                <w:highlight w:val="none"/>
                <w:u w:val="single"/>
                <w:lang w:eastAsia="zh-CN"/>
              </w:rPr>
              <w:t>：</w:t>
            </w:r>
            <w:r>
              <w:rPr>
                <w:rFonts w:hint="eastAsia" w:ascii="仿宋" w:hAnsi="仿宋" w:eastAsia="仿宋" w:cs="宋体"/>
                <w:color w:val="auto"/>
                <w:kern w:val="0"/>
                <w:sz w:val="24"/>
                <w:highlight w:val="none"/>
                <w:u w:val="single"/>
              </w:rPr>
              <w:t>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8" w:hRule="atLeast"/>
          <w:tblHeader/>
          <w:jc w:val="center"/>
        </w:trPr>
        <w:tc>
          <w:tcPr>
            <w:tcW w:w="629" w:type="dxa"/>
            <w:vAlign w:val="center"/>
          </w:tcPr>
          <w:p>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vAlign w:val="center"/>
          </w:tcPr>
          <w:p>
            <w:pPr>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2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pPr>
              <w:rPr>
                <w:rFonts w:ascii="仿宋" w:hAnsi="仿宋" w:eastAsia="仿宋" w:cs="仿宋"/>
                <w:color w:val="auto"/>
                <w:highlight w:val="none"/>
              </w:rPr>
            </w:pPr>
            <w:sdt>
              <w:sdtPr>
                <w:rPr>
                  <w:rFonts w:hint="eastAsia" w:ascii="仿宋" w:hAnsi="仿宋" w:eastAsia="仿宋" w:cs="仿宋"/>
                  <w:color w:val="auto"/>
                  <w:kern w:val="0"/>
                  <w:sz w:val="24"/>
                  <w:highlight w:val="none"/>
                </w:rPr>
                <w:id w:val="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4" w:hRule="atLeast"/>
          <w:tblHeader/>
          <w:jc w:val="center"/>
        </w:trPr>
        <w:tc>
          <w:tcPr>
            <w:tcW w:w="629" w:type="dxa"/>
            <w:vAlign w:val="center"/>
          </w:tcPr>
          <w:p>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vAlign w:val="center"/>
          </w:tcPr>
          <w:p>
            <w:pPr>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同意将非主体、非关键性的工作分包。</w:t>
            </w:r>
          </w:p>
          <w:p>
            <w:pPr>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p>
            <w:pPr>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7" w:hRule="atLeast"/>
          <w:tblHeader/>
          <w:jc w:val="center"/>
        </w:trPr>
        <w:tc>
          <w:tcPr>
            <w:tcW w:w="629" w:type="dxa"/>
            <w:vAlign w:val="center"/>
          </w:tcPr>
          <w:p>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vAlign w:val="center"/>
          </w:tcPr>
          <w:p>
            <w:pPr>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rPr>
                <w:rFonts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2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2" w:hRule="atLeast"/>
          <w:tblHeader/>
          <w:jc w:val="center"/>
        </w:trPr>
        <w:tc>
          <w:tcPr>
            <w:tcW w:w="629" w:type="dxa"/>
            <w:vAlign w:val="center"/>
          </w:tcPr>
          <w:p>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vAlign w:val="center"/>
          </w:tcPr>
          <w:p>
            <w:pPr>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rPr>
                <w:rFonts w:ascii="仿宋" w:hAnsi="仿宋" w:eastAsia="仿宋" w:cs="仿宋"/>
                <w:b/>
                <w:color w:val="auto"/>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5" w:hRule="atLeast"/>
          <w:tblHeader/>
          <w:jc w:val="center"/>
        </w:trPr>
        <w:tc>
          <w:tcPr>
            <w:tcW w:w="629" w:type="dxa"/>
            <w:vAlign w:val="center"/>
          </w:tcPr>
          <w:p>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vAlign w:val="center"/>
          </w:tcPr>
          <w:p>
            <w:pPr>
              <w:snapToGrid w:val="0"/>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vAlign w:val="center"/>
          </w:tcPr>
          <w:p>
            <w:pPr>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3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rPr>
                <w:rFonts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jc w:val="center"/>
        </w:trPr>
        <w:tc>
          <w:tcPr>
            <w:tcW w:w="629" w:type="dxa"/>
            <w:vMerge w:val="restart"/>
            <w:vAlign w:val="center"/>
          </w:tcPr>
          <w:p>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vAlign w:val="center"/>
          </w:tcPr>
          <w:p>
            <w:pPr>
              <w:rPr>
                <w:rFonts w:ascii="仿宋" w:hAnsi="仿宋" w:eastAsia="仿宋" w:cs="仿宋"/>
                <w:snapToGrid w:val="0"/>
                <w:color w:val="auto"/>
                <w:kern w:val="0"/>
                <w:szCs w:val="21"/>
                <w:highlight w:val="none"/>
              </w:rPr>
            </w:pPr>
            <w:r>
              <w:rPr>
                <w:rFonts w:hint="eastAsia" w:ascii="仿宋" w:hAnsi="仿宋" w:eastAsia="仿宋" w:cs="仿宋"/>
                <w:color w:val="auto"/>
                <w:sz w:val="24"/>
                <w:highlight w:val="none"/>
              </w:rPr>
              <w:t>（1）资格证明文件：</w:t>
            </w: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8" w:hRule="atLeast"/>
          <w:tblHeader/>
          <w:jc w:val="center"/>
        </w:trPr>
        <w:tc>
          <w:tcPr>
            <w:tcW w:w="629" w:type="dxa"/>
            <w:vMerge w:val="continue"/>
            <w:vAlign w:val="center"/>
          </w:tcPr>
          <w:p>
            <w:pPr>
              <w:snapToGrid w:val="0"/>
              <w:jc w:val="center"/>
              <w:rPr>
                <w:rFonts w:ascii="仿宋" w:hAnsi="仿宋" w:eastAsia="仿宋" w:cs="仿宋"/>
                <w:color w:val="auto"/>
                <w:sz w:val="24"/>
                <w:highlight w:val="none"/>
              </w:rPr>
            </w:pPr>
          </w:p>
        </w:tc>
        <w:tc>
          <w:tcPr>
            <w:tcW w:w="1843" w:type="dxa"/>
            <w:vMerge w:val="continue"/>
            <w:vAlign w:val="center"/>
          </w:tcPr>
          <w:p>
            <w:pPr>
              <w:snapToGrid w:val="0"/>
              <w:jc w:val="center"/>
              <w:rPr>
                <w:rFonts w:ascii="仿宋" w:hAnsi="仿宋" w:eastAsia="仿宋" w:cs="仿宋"/>
                <w:b/>
                <w:color w:val="auto"/>
                <w:sz w:val="24"/>
                <w:highlight w:val="none"/>
              </w:rPr>
            </w:pPr>
          </w:p>
        </w:tc>
        <w:tc>
          <w:tcPr>
            <w:tcW w:w="6095"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jc w:val="center"/>
        </w:trPr>
        <w:tc>
          <w:tcPr>
            <w:tcW w:w="629" w:type="dxa"/>
            <w:vAlign w:val="center"/>
          </w:tcPr>
          <w:p>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vAlign w:val="center"/>
          </w:tcPr>
          <w:p>
            <w:pPr>
              <w:snapToGrid w:val="0"/>
              <w:rPr>
                <w:rFonts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jc w:val="center"/>
        </w:trPr>
        <w:tc>
          <w:tcPr>
            <w:tcW w:w="629" w:type="dxa"/>
            <w:vAlign w:val="center"/>
          </w:tcPr>
          <w:p>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vAlign w:val="center"/>
          </w:tcPr>
          <w:p>
            <w:pPr>
              <w:snapToGrid w:val="0"/>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pPr>
              <w:snapToGrid w:val="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snapToGrid w:val="0"/>
              <w:ind w:firstLine="241" w:firstLineChars="1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snapToGrid w:val="0"/>
              <w:ind w:firstLine="241" w:firstLineChars="100"/>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pPr>
              <w:ind w:firstLine="241" w:firstLineChars="100"/>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pPr>
              <w:ind w:firstLine="241" w:firstLineChars="100"/>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0" w:hRule="atLeast"/>
          <w:tblHeader/>
          <w:jc w:val="center"/>
        </w:trPr>
        <w:tc>
          <w:tcPr>
            <w:tcW w:w="629" w:type="dxa"/>
            <w:vAlign w:val="center"/>
          </w:tcPr>
          <w:p>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vAlign w:val="center"/>
          </w:tcPr>
          <w:p>
            <w:pPr>
              <w:ind w:firstLine="480" w:firstLineChars="200"/>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jc w:val="center"/>
        </w:trPr>
        <w:tc>
          <w:tcPr>
            <w:tcW w:w="629" w:type="dxa"/>
            <w:vAlign w:val="center"/>
          </w:tcPr>
          <w:p>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vAlign w:val="center"/>
          </w:tcPr>
          <w:p>
            <w:pPr>
              <w:pStyle w:val="32"/>
              <w:rPr>
                <w:rFonts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olor w:val="auto"/>
                <w:sz w:val="24"/>
                <w:szCs w:val="24"/>
                <w:highlight w:val="none"/>
                <w:u w:val="single"/>
              </w:rPr>
              <w:t>杭州市西湖区古墩路701号紫金广场A座1</w:t>
            </w:r>
            <w:r>
              <w:rPr>
                <w:rFonts w:hint="eastAsia" w:ascii="仿宋" w:hAnsi="仿宋" w:eastAsia="仿宋"/>
                <w:color w:val="auto"/>
                <w:sz w:val="24"/>
                <w:szCs w:val="24"/>
                <w:highlight w:val="none"/>
                <w:u w:val="single"/>
                <w:lang w:val="en-US" w:eastAsia="zh-CN"/>
              </w:rPr>
              <w:t>509</w:t>
            </w:r>
            <w:r>
              <w:rPr>
                <w:rFonts w:hint="eastAsia" w:ascii="仿宋" w:hAnsi="仿宋" w:eastAsia="仿宋"/>
                <w:color w:val="auto"/>
                <w:sz w:val="24"/>
                <w:szCs w:val="24"/>
                <w:highlight w:val="none"/>
                <w:u w:val="single"/>
              </w:rPr>
              <w:t>室</w:t>
            </w:r>
            <w:r>
              <w:rPr>
                <w:rFonts w:hint="eastAsia" w:ascii="仿宋" w:hAnsi="仿宋" w:eastAsia="仿宋"/>
                <w:color w:val="auto"/>
                <w:kern w:val="28"/>
                <w:sz w:val="24"/>
                <w:szCs w:val="24"/>
                <w:highlight w:val="none"/>
              </w:rPr>
              <w:t>；备份投标文件签收人员联系电话：</w:t>
            </w:r>
            <w:r>
              <w:rPr>
                <w:rFonts w:hint="eastAsia" w:ascii="仿宋" w:hAnsi="仿宋" w:eastAsia="仿宋"/>
                <w:color w:val="auto"/>
                <w:sz w:val="24"/>
                <w:szCs w:val="24"/>
                <w:highlight w:val="none"/>
                <w:u w:val="single"/>
              </w:rPr>
              <w:t>严淳、18007898088</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vMerge w:val="restart"/>
            <w:vAlign w:val="center"/>
          </w:tcPr>
          <w:p>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Merge w:val="restart"/>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vAlign w:val="center"/>
          </w:tcPr>
          <w:p>
            <w:pPr>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vMerge w:val="continue"/>
            <w:vAlign w:val="center"/>
          </w:tcPr>
          <w:p>
            <w:pPr>
              <w:snapToGrid w:val="0"/>
              <w:jc w:val="center"/>
              <w:rPr>
                <w:rFonts w:ascii="仿宋" w:hAnsi="仿宋" w:eastAsia="仿宋" w:cs="仿宋"/>
                <w:color w:val="auto"/>
                <w:sz w:val="24"/>
                <w:highlight w:val="none"/>
              </w:rPr>
            </w:pPr>
          </w:p>
        </w:tc>
        <w:tc>
          <w:tcPr>
            <w:tcW w:w="1843" w:type="dxa"/>
            <w:vMerge w:val="continue"/>
            <w:vAlign w:val="center"/>
          </w:tcPr>
          <w:p>
            <w:pPr>
              <w:snapToGrid w:val="0"/>
              <w:jc w:val="center"/>
              <w:rPr>
                <w:rFonts w:ascii="仿宋" w:hAnsi="仿宋" w:eastAsia="仿宋" w:cs="仿宋"/>
                <w:b/>
                <w:color w:val="auto"/>
                <w:sz w:val="24"/>
                <w:highlight w:val="none"/>
              </w:rPr>
            </w:pPr>
          </w:p>
        </w:tc>
        <w:tc>
          <w:tcPr>
            <w:tcW w:w="6095" w:type="dxa"/>
            <w:vAlign w:val="center"/>
          </w:tcPr>
          <w:p>
            <w:pPr>
              <w:rPr>
                <w:rFonts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pPr>
              <w:rPr>
                <w:rFonts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3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vMerge w:val="continue"/>
            <w:vAlign w:val="center"/>
          </w:tcPr>
          <w:p>
            <w:pPr>
              <w:snapToGrid w:val="0"/>
              <w:jc w:val="center"/>
              <w:rPr>
                <w:rFonts w:ascii="仿宋" w:hAnsi="仿宋" w:eastAsia="仿宋" w:cs="仿宋"/>
                <w:color w:val="auto"/>
                <w:sz w:val="24"/>
                <w:highlight w:val="none"/>
              </w:rPr>
            </w:pPr>
            <w:bookmarkStart w:id="9" w:name="_Toc164416483"/>
          </w:p>
        </w:tc>
        <w:tc>
          <w:tcPr>
            <w:tcW w:w="1843" w:type="dxa"/>
            <w:vMerge w:val="continue"/>
            <w:vAlign w:val="center"/>
          </w:tcPr>
          <w:p>
            <w:pPr>
              <w:snapToGrid w:val="0"/>
              <w:jc w:val="center"/>
              <w:rPr>
                <w:rFonts w:ascii="仿宋" w:hAnsi="仿宋" w:eastAsia="仿宋" w:cs="仿宋"/>
                <w:b/>
                <w:color w:val="auto"/>
                <w:sz w:val="24"/>
                <w:highlight w:val="none"/>
              </w:rPr>
            </w:pPr>
          </w:p>
        </w:tc>
        <w:tc>
          <w:tcPr>
            <w:tcW w:w="6095" w:type="dxa"/>
            <w:vAlign w:val="center"/>
          </w:tcPr>
          <w:p>
            <w:pPr>
              <w:pStyle w:val="32"/>
              <w:jc w:val="left"/>
              <w:rPr>
                <w:rFonts w:ascii="仿宋" w:hAnsi="仿宋" w:eastAsia="仿宋"/>
                <w:color w:val="auto"/>
                <w:kern w:val="28"/>
                <w:sz w:val="24"/>
                <w:szCs w:val="24"/>
                <w:highlight w:val="none"/>
              </w:rPr>
            </w:pPr>
            <w:r>
              <w:rPr>
                <w:rFonts w:hint="eastAsia" w:ascii="仿宋" w:hAnsi="仿宋" w:eastAsia="仿宋"/>
                <w:color w:val="auto"/>
                <w:kern w:val="28"/>
                <w:sz w:val="24"/>
                <w:szCs w:val="24"/>
                <w:highlight w:val="none"/>
              </w:rPr>
              <w:t>（1）本项目代理服务费以中标金额为计算基础，参照计价格【2002】1980号文的收费标准向中标供应商收取</w:t>
            </w:r>
            <w:r>
              <w:rPr>
                <w:rFonts w:hint="eastAsia" w:ascii="仿宋" w:hAnsi="仿宋" w:eastAsia="仿宋"/>
                <w:color w:val="auto"/>
                <w:kern w:val="28"/>
                <w:sz w:val="24"/>
                <w:szCs w:val="24"/>
                <w:highlight w:val="none"/>
                <w:lang w:eastAsia="zh-CN"/>
              </w:rPr>
              <w:t>，</w:t>
            </w:r>
            <w:r>
              <w:rPr>
                <w:rFonts w:hint="eastAsia" w:ascii="仿宋" w:hAnsi="仿宋" w:eastAsia="仿宋"/>
                <w:color w:val="auto"/>
                <w:kern w:val="28"/>
                <w:sz w:val="24"/>
                <w:szCs w:val="24"/>
                <w:highlight w:val="none"/>
                <w:lang w:val="en-US" w:eastAsia="zh-CN"/>
              </w:rPr>
              <w:t>不足捌仟按捌仟计</w:t>
            </w:r>
            <w:r>
              <w:rPr>
                <w:rFonts w:hint="eastAsia" w:ascii="仿宋" w:hAnsi="仿宋" w:eastAsia="仿宋"/>
                <w:color w:val="auto"/>
                <w:kern w:val="28"/>
                <w:sz w:val="24"/>
                <w:szCs w:val="24"/>
                <w:highlight w:val="none"/>
              </w:rPr>
              <w:t>。以上费用，投标人应当自中标结果公告发布之日起5个工作日内一次性向采购代理机构支付。</w:t>
            </w:r>
          </w:p>
          <w:p>
            <w:pPr>
              <w:pStyle w:val="32"/>
              <w:jc w:val="left"/>
              <w:rPr>
                <w:rFonts w:ascii="仿宋" w:hAnsi="仿宋" w:eastAsia="仿宋"/>
                <w:color w:val="auto"/>
                <w:kern w:val="28"/>
                <w:sz w:val="24"/>
                <w:szCs w:val="24"/>
                <w:highlight w:val="none"/>
              </w:rPr>
            </w:pPr>
            <w:r>
              <w:rPr>
                <w:rFonts w:hint="eastAsia" w:ascii="仿宋" w:hAnsi="仿宋" w:eastAsia="仿宋"/>
                <w:color w:val="auto"/>
                <w:kern w:val="28"/>
                <w:sz w:val="24"/>
                <w:szCs w:val="24"/>
                <w:highlight w:val="none"/>
              </w:rPr>
              <w:t>（2）代理服务费支付：</w:t>
            </w:r>
          </w:p>
          <w:p>
            <w:pPr>
              <w:pStyle w:val="32"/>
              <w:jc w:val="left"/>
              <w:rPr>
                <w:rFonts w:ascii="仿宋" w:hAnsi="仿宋" w:eastAsia="仿宋"/>
                <w:color w:val="auto"/>
                <w:kern w:val="28"/>
                <w:sz w:val="24"/>
                <w:szCs w:val="24"/>
                <w:highlight w:val="none"/>
              </w:rPr>
            </w:pPr>
            <w:r>
              <w:rPr>
                <w:rFonts w:hint="eastAsia" w:ascii="仿宋" w:hAnsi="仿宋" w:eastAsia="仿宋"/>
                <w:color w:val="auto"/>
                <w:kern w:val="28"/>
                <w:sz w:val="24"/>
                <w:szCs w:val="24"/>
                <w:highlight w:val="none"/>
              </w:rPr>
              <w:t>①代理服务费缴纳形式：汇票/支票/电汇/现金</w:t>
            </w:r>
          </w:p>
          <w:p>
            <w:pPr>
              <w:pStyle w:val="32"/>
              <w:jc w:val="left"/>
              <w:rPr>
                <w:rFonts w:ascii="仿宋" w:hAnsi="仿宋" w:eastAsia="仿宋"/>
                <w:color w:val="auto"/>
                <w:kern w:val="28"/>
                <w:sz w:val="24"/>
                <w:szCs w:val="24"/>
                <w:highlight w:val="none"/>
              </w:rPr>
            </w:pPr>
            <w:r>
              <w:rPr>
                <w:rFonts w:hint="eastAsia" w:ascii="仿宋" w:hAnsi="仿宋" w:eastAsia="仿宋"/>
                <w:color w:val="auto"/>
                <w:kern w:val="28"/>
                <w:sz w:val="24"/>
                <w:szCs w:val="24"/>
                <w:highlight w:val="none"/>
              </w:rPr>
              <w:t>②代理服务费汇入以下账户：</w:t>
            </w:r>
          </w:p>
          <w:p>
            <w:pPr>
              <w:pStyle w:val="32"/>
              <w:jc w:val="left"/>
              <w:rPr>
                <w:rFonts w:ascii="仿宋" w:hAnsi="仿宋" w:eastAsia="仿宋"/>
                <w:color w:val="auto"/>
                <w:kern w:val="28"/>
                <w:sz w:val="24"/>
                <w:szCs w:val="24"/>
                <w:highlight w:val="none"/>
              </w:rPr>
            </w:pPr>
            <w:r>
              <w:rPr>
                <w:rFonts w:hint="eastAsia" w:ascii="仿宋" w:hAnsi="仿宋" w:eastAsia="仿宋"/>
                <w:color w:val="auto"/>
                <w:kern w:val="28"/>
                <w:sz w:val="24"/>
                <w:szCs w:val="24"/>
                <w:highlight w:val="none"/>
              </w:rPr>
              <w:t>收款单位（户名）：浙江省成套工程有限公司</w:t>
            </w:r>
          </w:p>
          <w:p>
            <w:pPr>
              <w:pStyle w:val="32"/>
              <w:jc w:val="left"/>
              <w:rPr>
                <w:rFonts w:ascii="仿宋" w:hAnsi="仿宋" w:eastAsia="仿宋"/>
                <w:color w:val="auto"/>
                <w:kern w:val="28"/>
                <w:sz w:val="24"/>
                <w:szCs w:val="24"/>
                <w:highlight w:val="none"/>
              </w:rPr>
            </w:pPr>
            <w:r>
              <w:rPr>
                <w:rFonts w:hint="eastAsia" w:ascii="仿宋" w:hAnsi="仿宋" w:eastAsia="仿宋"/>
                <w:color w:val="auto"/>
                <w:kern w:val="28"/>
                <w:sz w:val="24"/>
                <w:szCs w:val="24"/>
                <w:highlight w:val="none"/>
              </w:rPr>
              <w:t>开  户：杭州联合农村商业银行三墩支行</w:t>
            </w:r>
          </w:p>
          <w:p>
            <w:pPr>
              <w:rPr>
                <w:rFonts w:hint="eastAsia" w:ascii="仿宋" w:hAnsi="仿宋" w:eastAsia="仿宋"/>
                <w:color w:val="auto"/>
                <w:kern w:val="28"/>
                <w:sz w:val="24"/>
                <w:szCs w:val="24"/>
                <w:highlight w:val="none"/>
              </w:rPr>
            </w:pPr>
            <w:r>
              <w:rPr>
                <w:rFonts w:hint="eastAsia" w:ascii="仿宋" w:hAnsi="仿宋" w:eastAsia="仿宋"/>
                <w:color w:val="auto"/>
                <w:kern w:val="28"/>
                <w:sz w:val="24"/>
                <w:szCs w:val="24"/>
                <w:highlight w:val="none"/>
              </w:rPr>
              <w:t>账  号：2010 0006 5548 152</w:t>
            </w:r>
          </w:p>
          <w:p>
            <w:pPr>
              <w:rPr>
                <w:rFonts w:ascii="仿宋" w:hAnsi="仿宋" w:eastAsia="仿宋" w:cs="仿宋"/>
                <w:color w:val="auto"/>
                <w:kern w:val="0"/>
                <w:sz w:val="24"/>
                <w:highlight w:val="none"/>
              </w:rPr>
            </w:pPr>
            <w:r>
              <w:rPr>
                <w:rFonts w:hint="eastAsia" w:ascii="仿宋" w:hAnsi="仿宋" w:eastAsia="仿宋"/>
                <w:color w:val="auto"/>
                <w:kern w:val="28"/>
                <w:sz w:val="24"/>
                <w:highlight w:val="none"/>
              </w:rPr>
              <w:t>（3）发票开具资料：单位名称、税号（统一社会信用代码）、开户行名称、账号、地址及联系电话。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vMerge w:val="continue"/>
            <w:vAlign w:val="center"/>
          </w:tcPr>
          <w:p>
            <w:pPr>
              <w:snapToGrid w:val="0"/>
              <w:jc w:val="center"/>
              <w:rPr>
                <w:rFonts w:ascii="仿宋" w:hAnsi="仿宋" w:eastAsia="仿宋" w:cs="仿宋"/>
                <w:color w:val="auto"/>
                <w:sz w:val="24"/>
                <w:highlight w:val="none"/>
              </w:rPr>
            </w:pPr>
          </w:p>
        </w:tc>
        <w:tc>
          <w:tcPr>
            <w:tcW w:w="1843" w:type="dxa"/>
            <w:vMerge w:val="continue"/>
            <w:vAlign w:val="center"/>
          </w:tcPr>
          <w:p>
            <w:pPr>
              <w:snapToGrid w:val="0"/>
              <w:jc w:val="center"/>
              <w:rPr>
                <w:rFonts w:ascii="仿宋" w:hAnsi="仿宋" w:eastAsia="仿宋" w:cs="仿宋"/>
                <w:b/>
                <w:color w:val="auto"/>
                <w:sz w:val="24"/>
                <w:highlight w:val="none"/>
              </w:rPr>
            </w:pPr>
          </w:p>
        </w:tc>
        <w:tc>
          <w:tcPr>
            <w:tcW w:w="6095" w:type="dxa"/>
            <w:vAlign w:val="center"/>
          </w:tcPr>
          <w:p>
            <w:pPr>
              <w:rPr>
                <w:rFonts w:ascii="仿宋" w:hAnsi="仿宋" w:eastAsia="仿宋"/>
                <w:color w:val="auto"/>
                <w:kern w:val="28"/>
                <w:sz w:val="24"/>
                <w:highlight w:val="none"/>
              </w:rPr>
            </w:pPr>
            <w:r>
              <w:rPr>
                <w:rFonts w:hint="eastAsia" w:ascii="仿宋" w:hAnsi="仿宋" w:eastAsia="仿宋" w:cs="宋体"/>
                <w:snapToGrid w:val="0"/>
                <w:color w:val="auto"/>
                <w:kern w:val="28"/>
                <w:sz w:val="24"/>
                <w:highlight w:val="none"/>
              </w:rPr>
              <w:t>如遇“政府采购云平台”电子化开标或评审程序调整的，按调整后程序执行。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vMerge w:val="continue"/>
            <w:vAlign w:val="center"/>
          </w:tcPr>
          <w:p>
            <w:pPr>
              <w:snapToGrid w:val="0"/>
              <w:jc w:val="center"/>
              <w:rPr>
                <w:rFonts w:ascii="仿宋" w:hAnsi="仿宋" w:eastAsia="仿宋" w:cs="仿宋"/>
                <w:color w:val="auto"/>
                <w:sz w:val="24"/>
                <w:highlight w:val="none"/>
              </w:rPr>
            </w:pPr>
          </w:p>
        </w:tc>
        <w:tc>
          <w:tcPr>
            <w:tcW w:w="1843" w:type="dxa"/>
            <w:vMerge w:val="continue"/>
            <w:vAlign w:val="center"/>
          </w:tcPr>
          <w:p>
            <w:pPr>
              <w:snapToGrid w:val="0"/>
              <w:jc w:val="center"/>
              <w:rPr>
                <w:rFonts w:ascii="仿宋" w:hAnsi="仿宋" w:eastAsia="仿宋" w:cs="仿宋"/>
                <w:b/>
                <w:color w:val="auto"/>
                <w:sz w:val="24"/>
                <w:highlight w:val="none"/>
              </w:rPr>
            </w:pPr>
          </w:p>
        </w:tc>
        <w:tc>
          <w:tcPr>
            <w:tcW w:w="6095" w:type="dxa"/>
            <w:vAlign w:val="center"/>
          </w:tcPr>
          <w:p>
            <w:pPr>
              <w:rPr>
                <w:rFonts w:ascii="仿宋" w:hAnsi="仿宋" w:eastAsia="仿宋" w:cs="宋体"/>
                <w:snapToGrid w:val="0"/>
                <w:color w:val="auto"/>
                <w:kern w:val="28"/>
                <w:sz w:val="24"/>
                <w:highlight w:val="none"/>
              </w:rPr>
            </w:pPr>
            <w:r>
              <w:rPr>
                <w:rFonts w:hint="eastAsia" w:ascii="仿宋" w:hAnsi="仿宋" w:eastAsia="仿宋" w:cs="宋体"/>
                <w:snapToGrid w:val="0"/>
                <w:color w:val="auto"/>
                <w:kern w:val="28"/>
                <w:sz w:val="24"/>
                <w:highlight w:val="none"/>
              </w:rPr>
              <w:t>通过“政府采购云平台”公布开标一览表有关内容后，供应商应通过“政府采购云平台”进行确认，在收到采购人或采购代理机构的通知后仍不予确认的应说明理由，否则视为无异议。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vMerge w:val="continue"/>
            <w:vAlign w:val="center"/>
          </w:tcPr>
          <w:p>
            <w:pPr>
              <w:snapToGrid w:val="0"/>
              <w:jc w:val="center"/>
              <w:rPr>
                <w:rFonts w:ascii="仿宋" w:hAnsi="仿宋" w:eastAsia="仿宋" w:cs="仿宋"/>
                <w:color w:val="auto"/>
                <w:sz w:val="24"/>
                <w:highlight w:val="none"/>
              </w:rPr>
            </w:pPr>
          </w:p>
        </w:tc>
        <w:tc>
          <w:tcPr>
            <w:tcW w:w="1843" w:type="dxa"/>
            <w:vMerge w:val="continue"/>
            <w:vAlign w:val="center"/>
          </w:tcPr>
          <w:p>
            <w:pPr>
              <w:snapToGrid w:val="0"/>
              <w:jc w:val="center"/>
              <w:rPr>
                <w:rFonts w:ascii="仿宋" w:hAnsi="仿宋" w:eastAsia="仿宋" w:cs="仿宋"/>
                <w:b/>
                <w:color w:val="auto"/>
                <w:sz w:val="24"/>
                <w:highlight w:val="none"/>
              </w:rPr>
            </w:pPr>
          </w:p>
        </w:tc>
        <w:tc>
          <w:tcPr>
            <w:tcW w:w="6095" w:type="dxa"/>
            <w:vAlign w:val="center"/>
          </w:tcPr>
          <w:p>
            <w:pPr>
              <w:rPr>
                <w:rFonts w:hint="eastAsia" w:ascii="仿宋" w:hAnsi="仿宋" w:eastAsia="仿宋" w:cs="宋体"/>
                <w:snapToGrid w:val="0"/>
                <w:color w:val="auto"/>
                <w:kern w:val="28"/>
                <w:sz w:val="24"/>
                <w:highlight w:val="none"/>
              </w:rPr>
            </w:pPr>
            <w:r>
              <w:rPr>
                <w:rFonts w:hint="eastAsia" w:ascii="仿宋" w:hAnsi="仿宋" w:eastAsia="仿宋" w:cs="宋体"/>
                <w:snapToGrid w:val="0"/>
                <w:color w:val="auto"/>
                <w:kern w:val="28"/>
                <w:sz w:val="24"/>
                <w:highlight w:val="none"/>
              </w:rPr>
              <w:t>本文件第三部分、第四部分、第五部分均为采购需求的一部分。</w:t>
            </w:r>
          </w:p>
        </w:tc>
      </w:tr>
      <w:bookmarkEnd w:id="8"/>
    </w:tbl>
    <w:p>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1.适用范围</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snapToGrid w:val="0"/>
        <w:spacing w:line="360" w:lineRule="auto"/>
        <w:ind w:firstLine="361" w:firstLineChars="15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2.定义</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2.1“采购人”系指招标公告中载明的本项目的采购人。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2.2“采购代理机构”系指招标公告中载明的本项目的采购代理机构。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2.3“投标人”系指是指响应招标、参加投标竞争的法人、其他组织或者自然人。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sz w:val="24"/>
          <w:highlight w:val="none"/>
        </w:rPr>
        <w:t>”系指适用本项目的要求，“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”系指不适用本项目的要求。</w:t>
      </w:r>
    </w:p>
    <w:p>
      <w:pPr>
        <w:snapToGrid w:val="0"/>
        <w:spacing w:line="360" w:lineRule="auto"/>
        <w:ind w:firstLine="361" w:firstLineChars="15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pPr>
        <w:snapToGrid w:val="0"/>
        <w:spacing w:line="360" w:lineRule="auto"/>
        <w:ind w:firstLine="480" w:firstLineChars="200"/>
        <w:jc w:val="left"/>
        <w:outlineLvl w:val="1"/>
        <w:rPr>
          <w:rFonts w:ascii="仿宋" w:hAnsi="仿宋" w:eastAsia="仿宋" w:cs="仿宋"/>
          <w:b/>
          <w:color w:val="auto"/>
          <w:sz w:val="24"/>
          <w:highlight w:val="none"/>
        </w:rPr>
      </w:pPr>
      <w:r>
        <w:rPr>
          <w:rFonts w:hint="eastAsia" w:ascii="仿宋" w:hAnsi="仿宋" w:eastAsia="仿宋" w:cs="仿宋"/>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pPr>
        <w:snapToGrid w:val="0"/>
        <w:spacing w:line="360" w:lineRule="auto"/>
        <w:ind w:firstLine="480" w:firstLineChars="200"/>
        <w:jc w:val="left"/>
        <w:outlineLvl w:val="1"/>
        <w:rPr>
          <w:rFonts w:ascii="仿宋" w:hAnsi="仿宋" w:eastAsia="仿宋" w:cs="仿宋"/>
          <w:b/>
          <w:color w:val="auto"/>
          <w:sz w:val="24"/>
          <w:highlight w:val="none"/>
        </w:rPr>
      </w:pPr>
      <w:r>
        <w:rPr>
          <w:rFonts w:hint="eastAsia" w:ascii="仿宋" w:hAnsi="仿宋" w:eastAsia="仿宋" w:cs="仿宋"/>
          <w:color w:val="auto"/>
          <w:sz w:val="24"/>
          <w:highlight w:val="none"/>
        </w:rPr>
        <w:t>3.2支持绿色发展</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w:t>
      </w:r>
      <w:r>
        <w:rPr>
          <w:rFonts w:hint="eastAsia" w:ascii="仿宋" w:hAnsi="仿宋" w:eastAsia="仿宋" w:cs="仿宋"/>
          <w:b/>
          <w:bCs/>
          <w:color w:val="auto"/>
          <w:sz w:val="24"/>
          <w:highlight w:val="none"/>
        </w:rPr>
        <w:t>10%-20%（招标文件第四部分评标办法明确具体的扣除比例，未明确的，给予10%的扣除）</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b/>
          <w:bCs/>
          <w:color w:val="auto"/>
          <w:sz w:val="24"/>
          <w:highlight w:val="none"/>
        </w:rPr>
        <w:t>4%-6%（招标文件第四部分评标办法明确具体的扣除比例，未明确的，给予4%的扣除）</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3.4.1采购人优先采购被认定为首台套产品和“制造精品”的自主创新产品。</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仿宋" w:hAnsi="仿宋" w:eastAsia="仿宋" w:cs="仿宋"/>
          <w:color w:val="auto"/>
          <w:sz w:val="24"/>
          <w:highlight w:val="none"/>
        </w:rPr>
      </w:pPr>
      <w:r>
        <w:rPr>
          <w:rFonts w:hint="eastAsia" w:ascii="仿宋" w:eastAsia="仿宋" w:cs="仿宋"/>
          <w:color w:val="auto"/>
          <w:sz w:val="24"/>
          <w:highlight w:val="none"/>
        </w:rPr>
        <w:t>3.4.3采购人应当贯彻落实知识产权保护相关法律法规，应当采购使用正版软件。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pPr>
        <w:spacing w:line="360" w:lineRule="auto"/>
        <w:ind w:firstLine="240" w:firstLineChars="100"/>
        <w:rPr>
          <w:rFonts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4.询问、质疑、投诉</w:t>
      </w:r>
      <w:r>
        <w:rPr>
          <w:rFonts w:hint="eastAsia" w:ascii="仿宋" w:hAnsi="仿宋" w:eastAsia="仿宋" w:cs="仿宋"/>
          <w:b/>
          <w:bCs/>
          <w:color w:val="auto"/>
          <w:sz w:val="24"/>
          <w:highlight w:val="none"/>
        </w:rPr>
        <w:t>、补偿救济</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pPr>
        <w:pStyle w:val="32"/>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pPr>
        <w:pStyle w:val="3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4.3.3.1供应商的姓名或者名称、地址、邮编、联系人及联系电话；</w:t>
      </w:r>
    </w:p>
    <w:p>
      <w:pPr>
        <w:pStyle w:val="3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4.3.3.2质疑项目的名称、编号；</w:t>
      </w:r>
    </w:p>
    <w:p>
      <w:pPr>
        <w:pStyle w:val="3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4.3.3.3具体、明确的质疑事项和与质疑事项相关的请求；</w:t>
      </w:r>
    </w:p>
    <w:p>
      <w:pPr>
        <w:pStyle w:val="3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4.3.3.4事实依据；</w:t>
      </w:r>
    </w:p>
    <w:p>
      <w:pPr>
        <w:pStyle w:val="3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4.3.3.5必要的法律依据；</w:t>
      </w:r>
    </w:p>
    <w:p>
      <w:pPr>
        <w:pStyle w:val="3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4.3.3.6提出质疑的日期。</w:t>
      </w:r>
    </w:p>
    <w:p>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质疑函范本及制作说明详见附件2。</w:t>
      </w:r>
    </w:p>
    <w:p>
      <w:pPr>
        <w:pStyle w:val="32"/>
        <w:spacing w:line="360" w:lineRule="auto"/>
        <w:ind w:firstLine="480" w:firstLineChars="200"/>
        <w:rPr>
          <w:rFonts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4.3.4对同一采购程序环节的质疑，供应商须在法定质疑期内一次性提出。</w:t>
      </w:r>
    </w:p>
    <w:p>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4.3</w:t>
      </w:r>
      <w:r>
        <w:rPr>
          <w:rFonts w:hint="eastAsia" w:ascii="仿宋" w:hAnsi="仿宋" w:eastAsia="仿宋" w:cs="仿宋"/>
          <w:color w:val="auto"/>
          <w:sz w:val="24"/>
          <w:szCs w:val="24"/>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4.3</w:t>
      </w:r>
      <w:r>
        <w:rPr>
          <w:rFonts w:hint="eastAsia" w:ascii="仿宋" w:hAnsi="仿宋" w:eastAsia="仿宋" w:cs="仿宋"/>
          <w:color w:val="auto"/>
          <w:sz w:val="24"/>
          <w:szCs w:val="24"/>
          <w:highlight w:val="none"/>
        </w:rPr>
        <w:t>.6询问或者质疑事项可能影响采购结果的，采购人应当暂停签订合同，已经签订合同的，应当中止履行合同。</w:t>
      </w:r>
    </w:p>
    <w:p>
      <w:pPr>
        <w:pStyle w:val="32"/>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4.4供应商投诉</w:t>
      </w:r>
    </w:p>
    <w:p>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4.4.2</w:t>
      </w:r>
      <w:r>
        <w:rPr>
          <w:rFonts w:hint="eastAsia" w:ascii="仿宋" w:hAnsi="仿宋" w:eastAsia="仿宋" w:cs="仿宋"/>
          <w:color w:val="auto"/>
          <w:sz w:val="24"/>
          <w:szCs w:val="24"/>
          <w:highlight w:val="none"/>
        </w:rPr>
        <w:t>供应商投诉的事项不得超出已质疑事项的范围，基于质疑答复内容提出的投诉事项除外。</w:t>
      </w:r>
    </w:p>
    <w:p>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4.4.3供应商投诉应当有明确的请求和必要的证明材料。</w:t>
      </w:r>
    </w:p>
    <w:p>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4.4.4以联合体形式参加政府采购活动的，其投诉应当由组成联合体的所有供应商共同提出。</w:t>
      </w:r>
    </w:p>
    <w:p>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4.5补偿救济</w:t>
      </w:r>
    </w:p>
    <w:p>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采购人（行政机关）因政策变化、规划调整而不履行政府采购合同的，供应商可依据《杭州市涉企补偿救济实施办法（试行）》向采购人（行政机关）提起补偿申请。</w:t>
      </w:r>
    </w:p>
    <w:p>
      <w:pPr>
        <w:pStyle w:val="32"/>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投诉书范本及制作说明详见附件3。</w:t>
      </w:r>
    </w:p>
    <w:p>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5.1招标文件包括下列文件及附件：</w:t>
      </w:r>
    </w:p>
    <w:p>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6.招标文件的澄清、修改</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jc w:val="center"/>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7.招标文件的获取</w:t>
      </w:r>
    </w:p>
    <w:p>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5"/>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10.投标文件的语言</w:t>
      </w:r>
    </w:p>
    <w:p>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11.投标文件的组成</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宋体"/>
          <w:snapToGrid w:val="0"/>
          <w:color w:val="auto"/>
          <w:kern w:val="28"/>
          <w:sz w:val="24"/>
          <w:szCs w:val="20"/>
          <w:highlight w:val="none"/>
        </w:rPr>
        <w:t>，专门面向中小企业采购的项目须提供《中小企业声明函》</w:t>
      </w:r>
      <w:r>
        <w:rPr>
          <w:rFonts w:hint="eastAsia" w:ascii="仿宋" w:hAnsi="仿宋" w:eastAsia="仿宋" w:cs="仿宋"/>
          <w:snapToGrid w:val="0"/>
          <w:color w:val="auto"/>
          <w:kern w:val="28"/>
          <w:sz w:val="24"/>
          <w:szCs w:val="20"/>
          <w:highlight w:val="none"/>
        </w:rPr>
        <w:t>)</w:t>
      </w:r>
      <w:r>
        <w:rPr>
          <w:rFonts w:hint="eastAsia" w:ascii="仿宋" w:hAnsi="仿宋" w:eastAsia="仿宋" w:cs="仿宋"/>
          <w:color w:val="auto"/>
          <w:sz w:val="24"/>
          <w:highlight w:val="none"/>
        </w:rPr>
        <w:t>；</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11.2.8政府采购供应商廉洁自律承诺书；</w:t>
      </w:r>
    </w:p>
    <w:p>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11.3.2报价情况说明（如供应商报价低于项目预算50%的，应当提交本文档，详细阐述不影响产品质量或者诚信履约的具体原因）；</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11.3.3中小企业声明函。</w:t>
      </w:r>
    </w:p>
    <w:p>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pPr>
        <w:spacing w:line="360" w:lineRule="auto"/>
        <w:ind w:firstLine="720" w:firstLineChars="300"/>
        <w:rPr>
          <w:rFonts w:ascii="仿宋" w:hAnsi="仿宋" w:eastAsia="仿宋" w:cs="仿宋"/>
          <w:color w:val="auto"/>
          <w:highlight w:val="none"/>
        </w:rPr>
      </w:pPr>
      <w:r>
        <w:rPr>
          <w:rFonts w:hint="eastAsia" w:ascii="仿宋" w:hAnsi="仿宋" w:eastAsia="仿宋" w:cs="仿宋"/>
          <w:color w:val="auto"/>
          <w:sz w:val="24"/>
          <w:highlight w:val="none"/>
          <w:shd w:val="clear" w:color="auto" w:fill="FFFFFF"/>
        </w:rPr>
        <w:t>投标人应对投标文件中材料的真实性、合法性负责。</w:t>
      </w:r>
    </w:p>
    <w:p>
      <w:pPr>
        <w:pStyle w:val="130"/>
        <w:snapToGrid w:val="0"/>
        <w:spacing w:before="0"/>
        <w:ind w:firstLine="0" w:firstLineChars="0"/>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投标文件的编制</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30"/>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3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14.投标文件的提交、补充、修改、撤回</w:t>
      </w:r>
    </w:p>
    <w:p>
      <w:pPr>
        <w:pStyle w:val="130"/>
        <w:spacing w:before="0"/>
        <w:ind w:firstLine="480"/>
        <w:rPr>
          <w:rFonts w:ascii="仿宋" w:hAnsi="仿宋" w:eastAsia="仿宋" w:cs="仿宋"/>
          <w:color w:val="auto"/>
          <w:highlight w:val="none"/>
        </w:rPr>
      </w:pPr>
      <w:r>
        <w:rPr>
          <w:rFonts w:hint="eastAsia" w:ascii="仿宋" w:hAnsi="仿宋" w:eastAsia="仿宋" w:cs="仿宋"/>
          <w:color w:val="auto"/>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2"/>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pPr>
        <w:pStyle w:val="32"/>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13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4"/>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pPr>
        <w:pStyle w:val="13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30"/>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30"/>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0"/>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6"/>
        <w:spacing w:before="0" w:line="360" w:lineRule="auto"/>
        <w:ind w:left="0" w:firstLine="241" w:firstLineChars="10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p>
    <w:p>
      <w:pPr>
        <w:pStyle w:val="556"/>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pPr>
        <w:pStyle w:val="556"/>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pPr>
        <w:pStyle w:val="556"/>
        <w:spacing w:before="0" w:line="360" w:lineRule="auto"/>
        <w:ind w:left="0" w:firstLine="482" w:firstLineChars="200"/>
        <w:contextualSpacing/>
        <w:rPr>
          <w:rFonts w:ascii="仿宋" w:hAnsi="仿宋" w:eastAsia="仿宋" w:cs="仿宋"/>
          <w:b/>
          <w:bCs/>
          <w:color w:val="auto"/>
          <w:sz w:val="24"/>
          <w:highlight w:val="none"/>
        </w:rPr>
      </w:pPr>
      <w:r>
        <w:rPr>
          <w:rFonts w:hint="eastAsia" w:ascii="仿宋" w:hAnsi="仿宋" w:eastAsia="仿宋" w:cs="仿宋"/>
          <w:b/>
          <w:bCs/>
          <w:color w:val="auto"/>
          <w:sz w:val="24"/>
          <w:highlight w:val="none"/>
        </w:rPr>
        <w:t>18.3投标文件未按时解密，投标人提供了备份投标文件的，以备份投标文件作为依据，否则视为投标文件撤回。投标文件已按时解密的，备份投标文件自动失效。</w:t>
      </w:r>
    </w:p>
    <w:p>
      <w:pPr>
        <w:pStyle w:val="556"/>
        <w:spacing w:before="0" w:line="360" w:lineRule="auto"/>
        <w:ind w:left="0" w:firstLine="482" w:firstLineChars="20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18.4结束解密后30分钟内，供应商应通过邮件形式将经授权代表签署的《政府采购活动现场确认声明书》（格式见采购文件最后一页内容）扫描件发至代理机构经办人邮箱（邮箱地址：</w:t>
      </w:r>
      <w:r>
        <w:rPr>
          <w:color w:val="auto"/>
          <w:highlight w:val="none"/>
        </w:rPr>
        <w:fldChar w:fldCharType="begin"/>
      </w:r>
      <w:r>
        <w:rPr>
          <w:color w:val="auto"/>
          <w:highlight w:val="none"/>
        </w:rPr>
        <w:instrText xml:space="preserve"> HYPERLINK "mailto:1905135046@qq.com，联系人：严淳，电话：18007898088" </w:instrText>
      </w:r>
      <w:r>
        <w:rPr>
          <w:color w:val="auto"/>
          <w:highlight w:val="none"/>
        </w:rPr>
        <w:fldChar w:fldCharType="separate"/>
      </w:r>
      <w:r>
        <w:rPr>
          <w:rStyle w:val="76"/>
          <w:rFonts w:hint="eastAsia" w:ascii="仿宋" w:hAnsi="仿宋" w:eastAsia="仿宋" w:cs="仿宋"/>
          <w:b/>
          <w:snapToGrid/>
          <w:color w:val="auto"/>
          <w:kern w:val="2"/>
          <w:sz w:val="24"/>
          <w:szCs w:val="24"/>
          <w:highlight w:val="none"/>
        </w:rPr>
        <w:t>1905135046@qq.com，联系人：严淳，电话：18007898088</w:t>
      </w:r>
      <w:r>
        <w:rPr>
          <w:rStyle w:val="76"/>
          <w:rFonts w:hint="eastAsia" w:ascii="仿宋" w:hAnsi="仿宋" w:eastAsia="仿宋" w:cs="仿宋"/>
          <w:b/>
          <w:snapToGrid/>
          <w:color w:val="auto"/>
          <w:kern w:val="2"/>
          <w:sz w:val="24"/>
          <w:szCs w:val="24"/>
          <w:highlight w:val="none"/>
        </w:rPr>
        <w:fldChar w:fldCharType="end"/>
      </w:r>
      <w:r>
        <w:rPr>
          <w:rFonts w:hint="eastAsia" w:ascii="仿宋" w:hAnsi="仿宋" w:eastAsia="仿宋" w:cs="仿宋"/>
          <w:b/>
          <w:color w:val="auto"/>
          <w:sz w:val="24"/>
          <w:highlight w:val="none"/>
        </w:rPr>
        <w:t>），未发送视为对开标过程及结果无异议。</w:t>
      </w:r>
    </w:p>
    <w:p>
      <w:pPr>
        <w:pStyle w:val="556"/>
        <w:spacing w:before="0" w:line="360" w:lineRule="auto"/>
        <w:ind w:left="0" w:firstLine="241" w:firstLineChars="10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18.5采购机构点击【开启报价文件】，开启报价成功后进入报价评审流程。各供应商代表应当在接到系统通知后30分钟内自行完成在线签字确认，逾期未在线签字确认的视为对开标过程及结果无异议。</w:t>
      </w:r>
    </w:p>
    <w:p>
      <w:pPr>
        <w:pStyle w:val="556"/>
        <w:spacing w:before="0" w:line="360" w:lineRule="auto"/>
        <w:ind w:left="0" w:firstLine="241" w:firstLineChars="10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19.资格审查</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pPr>
        <w:pStyle w:val="13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3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pPr>
        <w:pStyle w:val="13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20</w:t>
      </w:r>
      <w:r>
        <w:rPr>
          <w:rFonts w:hint="eastAsia" w:ascii="仿宋" w:hAnsi="仿宋" w:eastAsia="仿宋" w:cs="仿宋"/>
          <w:b/>
          <w:color w:val="auto"/>
          <w:highlight w:val="none"/>
        </w:rPr>
        <w:t>.</w:t>
      </w:r>
      <w:r>
        <w:rPr>
          <w:rFonts w:hint="eastAsia" w:ascii="仿宋" w:hAnsi="仿宋" w:eastAsia="仿宋" w:cs="仿宋"/>
          <w:b/>
          <w:color w:val="auto"/>
          <w:szCs w:val="24"/>
          <w:highlight w:val="none"/>
        </w:rPr>
        <w:t>信用信息查询</w:t>
      </w:r>
    </w:p>
    <w:p>
      <w:pPr>
        <w:pStyle w:val="13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pPr>
        <w:pStyle w:val="13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3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ascii="仿宋" w:hAnsi="仿宋" w:eastAsia="仿宋" w:cs="仿宋"/>
          <w:b/>
          <w:color w:val="auto"/>
          <w:sz w:val="24"/>
          <w:highlight w:val="none"/>
        </w:rPr>
      </w:pPr>
      <w:bookmarkStart w:id="10"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六、定标</w:t>
      </w:r>
    </w:p>
    <w:p>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22.确定中标供应商</w:t>
      </w:r>
    </w:p>
    <w:p>
      <w:pPr>
        <w:pStyle w:val="130"/>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130"/>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1" w:name="_Hlk101184471"/>
      <w:r>
        <w:rPr>
          <w:rFonts w:hint="eastAsia" w:ascii="仿宋" w:hAnsi="仿宋" w:eastAsia="仿宋" w:cs="仿宋"/>
          <w:color w:val="auto"/>
          <w:sz w:val="24"/>
          <w:highlight w:val="none"/>
        </w:rPr>
        <w:t>资格审查情况、评审专家抽取规则、符合性审查情况、</w:t>
      </w:r>
      <w:bookmarkEnd w:id="11"/>
      <w:r>
        <w:rPr>
          <w:rFonts w:hint="eastAsia" w:ascii="仿宋" w:hAnsi="仿宋" w:eastAsia="仿宋" w:cs="仿宋"/>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pStyle w:val="130"/>
        <w:snapToGrid w:val="0"/>
        <w:spacing w:before="0"/>
        <w:ind w:firstLine="482"/>
        <w:rPr>
          <w:rFonts w:ascii="仿宋" w:hAnsi="仿宋" w:eastAsia="仿宋" w:cs="仿宋"/>
          <w:color w:val="auto"/>
          <w:sz w:val="21"/>
          <w:szCs w:val="21"/>
          <w:highlight w:val="none"/>
        </w:rPr>
      </w:pPr>
      <w:r>
        <w:rPr>
          <w:rFonts w:hint="eastAsia" w:ascii="仿宋" w:hAnsi="仿宋" w:eastAsia="仿宋" w:cs="仿宋"/>
          <w:b/>
          <w:color w:val="auto"/>
          <w:szCs w:val="24"/>
          <w:highlight w:val="none"/>
        </w:rPr>
        <w:t>23.4</w:t>
      </w:r>
      <w:r>
        <w:rPr>
          <w:rFonts w:hint="eastAsia" w:ascii="仿宋" w:hAnsi="仿宋" w:eastAsia="仿宋" w:cs="仿宋"/>
          <w:bCs/>
          <w:color w:val="auto"/>
          <w:szCs w:val="24"/>
          <w:highlight w:val="none"/>
        </w:rPr>
        <w:t>由于中标、成交供应商原因导致重新采购的，应当承担支付代理费和专家评审费等费用在内的赔偿责任。</w:t>
      </w:r>
    </w:p>
    <w:p>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25.合同的签订</w:t>
      </w:r>
    </w:p>
    <w:p>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26.履约保证金</w:t>
      </w:r>
    </w:p>
    <w:p>
      <w:pPr>
        <w:tabs>
          <w:tab w:val="left" w:pos="0"/>
        </w:tabs>
        <w:spacing w:line="360" w:lineRule="auto"/>
        <w:ind w:firstLine="482"/>
        <w:rPr>
          <w:rFonts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27.预付款</w:t>
      </w:r>
    </w:p>
    <w:p>
      <w:pPr>
        <w:adjustRightInd/>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30"/>
        <w:snapToGrid w:val="0"/>
        <w:spacing w:before="0"/>
        <w:ind w:firstLine="0" w:firstLineChars="0"/>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pPr>
        <w:pStyle w:val="130"/>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4"/>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30.验收</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rPr>
          <w:rFonts w:ascii="仿宋" w:hAnsi="仿宋" w:eastAsia="仿宋" w:cs="仿宋"/>
          <w:color w:val="auto"/>
          <w:kern w:val="0"/>
          <w:sz w:val="24"/>
          <w:highlight w:val="none"/>
        </w:rPr>
      </w:pPr>
      <w:r>
        <w:rPr>
          <w:rFonts w:hint="eastAsia" w:ascii="仿宋" w:eastAsia="仿宋" w:cs="仿宋"/>
          <w:color w:val="auto"/>
          <w:kern w:val="0"/>
          <w:sz w:val="24"/>
          <w:highlight w:val="none"/>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0"/>
    <w:p>
      <w:pPr>
        <w:tabs>
          <w:tab w:val="left" w:pos="0"/>
        </w:tabs>
        <w:spacing w:line="360" w:lineRule="auto"/>
        <w:ind w:firstLine="480"/>
        <w:rPr>
          <w:rFonts w:ascii="仿宋" w:hAnsi="仿宋" w:eastAsia="仿宋" w:cs="仿宋"/>
          <w:color w:val="auto"/>
          <w:kern w:val="0"/>
          <w:sz w:val="24"/>
          <w:highlight w:val="none"/>
        </w:rPr>
        <w:sectPr>
          <w:pgSz w:w="11905" w:h="16838"/>
          <w:pgMar w:top="1474" w:right="1814" w:bottom="1474" w:left="1814" w:header="851" w:footer="850" w:gutter="0"/>
          <w:cols w:space="0" w:num="1"/>
          <w:rtlGutter w:val="0"/>
          <w:docGrid w:linePitch="312" w:charSpace="0"/>
        </w:sectPr>
      </w:pPr>
      <w:bookmarkStart w:id="12" w:name="_Hlt75236011"/>
      <w:bookmarkEnd w:id="12"/>
      <w:bookmarkStart w:id="13" w:name="_Hlt68057669"/>
      <w:bookmarkEnd w:id="13"/>
      <w:bookmarkStart w:id="14" w:name="_Hlt75236290"/>
      <w:bookmarkEnd w:id="14"/>
      <w:bookmarkStart w:id="15" w:name="_Hlt74714665"/>
      <w:bookmarkEnd w:id="15"/>
      <w:bookmarkStart w:id="16" w:name="_Hlt74730295"/>
      <w:bookmarkEnd w:id="16"/>
      <w:bookmarkStart w:id="17" w:name="_Hlt68073093"/>
      <w:bookmarkEnd w:id="17"/>
      <w:bookmarkStart w:id="18" w:name="_Hlt74729768"/>
      <w:bookmarkEnd w:id="18"/>
      <w:bookmarkStart w:id="19" w:name="_Hlt75236101"/>
      <w:bookmarkEnd w:id="19"/>
      <w:bookmarkStart w:id="20" w:name="_Hlt68072998"/>
      <w:bookmarkEnd w:id="20"/>
      <w:bookmarkStart w:id="21" w:name="_Hlt68403820"/>
      <w:bookmarkEnd w:id="21"/>
      <w:bookmarkStart w:id="22" w:name="_Hlt74707468"/>
      <w:bookmarkEnd w:id="22"/>
      <w:bookmarkStart w:id="23" w:name="_Hlt68072990"/>
      <w:bookmarkEnd w:id="23"/>
    </w:p>
    <w:bookmarkEnd w:id="9"/>
    <w:p>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pPr>
        <w:pStyle w:val="24"/>
        <w:spacing w:line="360" w:lineRule="auto"/>
        <w:ind w:left="479" w:hanging="479" w:hangingChars="199"/>
        <w:rPr>
          <w:rFonts w:hint="eastAsia" w:ascii="仿宋" w:hAnsi="仿宋" w:eastAsia="仿宋" w:cs="仿宋"/>
          <w:b/>
          <w:color w:val="auto"/>
          <w:highlight w:val="none"/>
        </w:rPr>
      </w:pPr>
      <w:bookmarkStart w:id="24" w:name="_Toc8587526"/>
      <w:bookmarkStart w:id="25" w:name="_Toc267211644"/>
      <w:bookmarkStart w:id="26" w:name="_Toc18670"/>
      <w:bookmarkStart w:id="27" w:name="_Toc17023"/>
      <w:bookmarkStart w:id="28" w:name="_Toc298856060"/>
      <w:bookmarkStart w:id="29" w:name="_Toc388261189"/>
      <w:bookmarkStart w:id="30" w:name="_Toc20341"/>
      <w:bookmarkStart w:id="31" w:name="_Toc10523"/>
      <w:bookmarkStart w:id="32" w:name="_Toc5601"/>
      <w:bookmarkStart w:id="33" w:name="_Toc107934332"/>
      <w:bookmarkStart w:id="34" w:name="_Toc31760"/>
      <w:r>
        <w:rPr>
          <w:rFonts w:hint="eastAsia" w:ascii="仿宋" w:hAnsi="仿宋" w:eastAsia="仿宋" w:cs="仿宋"/>
          <w:b/>
          <w:color w:val="auto"/>
          <w:highlight w:val="none"/>
        </w:rPr>
        <w:t>一、项目概况</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根据《杭州市爱国卫生条例》和杭州市人民政府办公厅《关于贯彻〈杭州市爱国卫生条例〉进一步加强爱国卫生工作的通知》，为进一步加强全市</w:t>
      </w:r>
      <w:r>
        <w:rPr>
          <w:rFonts w:hint="default" w:ascii="仿宋" w:hAnsi="仿宋" w:eastAsia="仿宋" w:cs="仿宋"/>
          <w:color w:val="auto"/>
          <w:kern w:val="0"/>
          <w:sz w:val="24"/>
          <w:highlight w:val="none"/>
        </w:rPr>
        <w:t>除</w:t>
      </w:r>
      <w:r>
        <w:rPr>
          <w:rFonts w:hint="eastAsia" w:ascii="仿宋" w:hAnsi="仿宋" w:eastAsia="仿宋" w:cs="仿宋"/>
          <w:color w:val="auto"/>
          <w:kern w:val="0"/>
          <w:sz w:val="24"/>
          <w:highlight w:val="none"/>
        </w:rPr>
        <w:t>“四害”（指老鼠、蟑螂、蚊子、苍蝇，以下简称“四害”）工作管理，丁兰街道积极履行除“四害”工作，负责辖区内除“四害”工作的组织实施与管理，开展辖区内各社区环境卫生整治、“四害”孳生地清理和消杀控制活动等；落实辖区公共环境日常“四害”防制措施，将公共环境“四害”密度控制在国家标准C级以上。</w:t>
      </w:r>
    </w:p>
    <w:p>
      <w:pPr>
        <w:pStyle w:val="24"/>
        <w:spacing w:line="360" w:lineRule="auto"/>
        <w:ind w:left="479" w:hanging="479" w:hangingChars="199"/>
        <w:rPr>
          <w:rFonts w:hint="default" w:ascii="仿宋" w:hAnsi="仿宋" w:eastAsia="仿宋" w:cs="仿宋"/>
          <w:b/>
          <w:color w:val="auto"/>
          <w:highlight w:val="none"/>
          <w:lang w:val="en-US" w:eastAsia="zh-CN"/>
        </w:rPr>
      </w:pPr>
      <w:r>
        <w:rPr>
          <w:rFonts w:hint="eastAsia" w:ascii="仿宋" w:hAnsi="仿宋" w:eastAsia="仿宋" w:cs="仿宋"/>
          <w:b/>
          <w:color w:val="auto"/>
          <w:highlight w:val="none"/>
        </w:rPr>
        <w:t>二、服务</w:t>
      </w:r>
      <w:r>
        <w:rPr>
          <w:rFonts w:hint="eastAsia" w:ascii="仿宋" w:hAnsi="仿宋" w:eastAsia="仿宋" w:cs="仿宋"/>
          <w:b/>
          <w:color w:val="auto"/>
          <w:highlight w:val="none"/>
          <w:lang w:val="en-US" w:eastAsia="zh-CN"/>
        </w:rPr>
        <w:t>范围及要求</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丁兰街道除“四害”消杀服务项目区域范围东临临平区，北靠皋亭山，南连沪杭高铁，西接拱墅区，约15.6平方公里，上塘河以北5.1平方公里，</w:t>
      </w:r>
      <w:r>
        <w:rPr>
          <w:rFonts w:hint="eastAsia" w:ascii="仿宋" w:hAnsi="仿宋" w:eastAsia="仿宋" w:cs="仿宋"/>
          <w:color w:val="auto"/>
          <w:kern w:val="0"/>
          <w:sz w:val="24"/>
          <w:highlight w:val="none"/>
          <w:lang w:eastAsia="zh-CN"/>
        </w:rPr>
        <w:t>保障</w:t>
      </w:r>
      <w:r>
        <w:rPr>
          <w:rFonts w:hint="eastAsia" w:ascii="仿宋" w:hAnsi="仿宋" w:eastAsia="仿宋" w:cs="仿宋"/>
          <w:color w:val="auto"/>
          <w:kern w:val="0"/>
          <w:sz w:val="24"/>
          <w:highlight w:val="none"/>
        </w:rPr>
        <w:t>辖区内各道路、各社区、大街小巷、下水道、闲置地、待建地、公共场所等。沿山村、皋城村、美辰、蕙兰、勤丰、长睦苑、大唐苑、河西、东林桥、华鹤、丁桥苑、三义苑、明珠、长虹、赵家苑、同协苑、白马庄、建塘苑、枫景园、华睦、后珠苑、五会港、丁兰、华亭、兰茵</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桃花湖</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个社区(村)</w:t>
      </w:r>
      <w:r>
        <w:rPr>
          <w:rFonts w:hint="default" w:ascii="仿宋" w:hAnsi="仿宋" w:eastAsia="仿宋" w:cs="仿宋"/>
          <w:color w:val="auto"/>
          <w:kern w:val="0"/>
          <w:sz w:val="24"/>
          <w:highlight w:val="none"/>
        </w:rPr>
        <w:t>及后期新建社区和新建小区、</w:t>
      </w:r>
      <w:r>
        <w:rPr>
          <w:rFonts w:hint="eastAsia" w:ascii="仿宋" w:hAnsi="仿宋" w:eastAsia="仿宋" w:cs="仿宋"/>
          <w:color w:val="auto"/>
          <w:kern w:val="0"/>
          <w:sz w:val="24"/>
          <w:highlight w:val="none"/>
        </w:rPr>
        <w:t>丁兰街道办事处</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党群服务中心（丁兰路880号）、</w:t>
      </w:r>
      <w:r>
        <w:rPr>
          <w:rFonts w:hint="eastAsia" w:ascii="仿宋" w:hAnsi="仿宋" w:eastAsia="仿宋" w:cs="仿宋"/>
          <w:color w:val="auto"/>
          <w:kern w:val="0"/>
          <w:sz w:val="24"/>
          <w:highlight w:val="none"/>
        </w:rPr>
        <w:t>机关</w:t>
      </w:r>
      <w:r>
        <w:rPr>
          <w:rFonts w:hint="eastAsia" w:ascii="仿宋" w:hAnsi="仿宋" w:eastAsia="仿宋" w:cs="仿宋"/>
          <w:color w:val="auto"/>
          <w:kern w:val="0"/>
          <w:sz w:val="24"/>
          <w:highlight w:val="none"/>
        </w:rPr>
        <w:t>大楼室内外和大院等的公共环境(包括社区范围内的楼房屋顶、楼道、遮雨</w:t>
      </w:r>
      <w:r>
        <w:rPr>
          <w:rFonts w:hint="eastAsia" w:ascii="仿宋" w:hAnsi="仿宋" w:eastAsia="仿宋" w:cs="仿宋"/>
          <w:color w:val="auto"/>
          <w:kern w:val="0"/>
          <w:sz w:val="24"/>
          <w:highlight w:val="none"/>
          <w:lang w:eastAsia="zh-CN"/>
        </w:rPr>
        <w:t>挡板</w:t>
      </w:r>
      <w:r>
        <w:rPr>
          <w:rFonts w:hint="eastAsia" w:ascii="仿宋" w:hAnsi="仿宋" w:eastAsia="仿宋" w:cs="仿宋"/>
          <w:color w:val="auto"/>
          <w:kern w:val="0"/>
          <w:sz w:val="24"/>
          <w:highlight w:val="none"/>
        </w:rPr>
        <w:t>、车库车棚、棚顶跳台、窨缸窨井、绿地花坛、街道或社区管理的公园、垃圾箱房等公用部位环境，社区内的溪流、池塘及景观水池等各类水体、大型蓄水池、电缆沟等)灭鼠和蚊、蝇、蟑螂的孳生消杀控制。根据消杀时节，每半月实施一次全域集中消杀；同时对特定时间节点、特定场所、四害集中爆发社区等时段和区域进行加密消杀。街道指定区域内“八小”行业、餐饮一条街的除“四害”控制工作、技防设施设备投入和维护工作。</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eastAsia="zh-CN"/>
        </w:rPr>
        <w:t>、</w:t>
      </w:r>
      <w:r>
        <w:rPr>
          <w:rFonts w:hint="eastAsia" w:ascii="仿宋" w:hAnsi="仿宋" w:eastAsia="仿宋" w:cs="仿宋"/>
          <w:b/>
          <w:bCs/>
          <w:color w:val="auto"/>
          <w:kern w:val="0"/>
          <w:sz w:val="24"/>
          <w:highlight w:val="none"/>
        </w:rPr>
        <w:t>公共环境除四害所需药物及投放、喷洒及环境处理</w:t>
      </w:r>
      <w:r>
        <w:rPr>
          <w:rFonts w:hint="eastAsia" w:ascii="仿宋" w:hAnsi="仿宋" w:eastAsia="仿宋" w:cs="仿宋"/>
          <w:b/>
          <w:bCs/>
          <w:color w:val="auto"/>
          <w:kern w:val="0"/>
          <w:sz w:val="24"/>
          <w:highlight w:val="none"/>
          <w:lang w:eastAsia="zh-CN"/>
        </w:rPr>
        <w:t>：</w:t>
      </w:r>
      <w:r>
        <w:rPr>
          <w:rFonts w:hint="eastAsia" w:ascii="仿宋" w:hAnsi="仿宋" w:eastAsia="仿宋" w:cs="仿宋"/>
          <w:color w:val="auto"/>
          <w:kern w:val="0"/>
          <w:sz w:val="24"/>
          <w:highlight w:val="none"/>
        </w:rPr>
        <w:t>社区除四害技防设施(防蚊闸、毒鼠屋、捕蝇笼等）的清理与维护，新增除四害技防设施(毒鼠屋、防蚊闸、捕蝇笼等）不少于合同价款的15%。</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eastAsia="zh-CN"/>
        </w:rPr>
        <w:t>、</w:t>
      </w:r>
      <w:r>
        <w:rPr>
          <w:rFonts w:hint="eastAsia" w:ascii="仿宋" w:hAnsi="仿宋" w:eastAsia="仿宋" w:cs="仿宋"/>
          <w:b/>
          <w:bCs/>
          <w:color w:val="auto"/>
          <w:kern w:val="0"/>
          <w:sz w:val="24"/>
          <w:highlight w:val="none"/>
        </w:rPr>
        <w:t>突发应急事件环境消杀</w:t>
      </w:r>
      <w:r>
        <w:rPr>
          <w:rFonts w:hint="eastAsia" w:ascii="仿宋" w:hAnsi="仿宋" w:eastAsia="仿宋" w:cs="仿宋"/>
          <w:b/>
          <w:bCs/>
          <w:color w:val="auto"/>
          <w:kern w:val="0"/>
          <w:sz w:val="24"/>
          <w:highlight w:val="none"/>
          <w:lang w:eastAsia="zh-CN"/>
        </w:rPr>
        <w:t>：</w:t>
      </w:r>
      <w:r>
        <w:rPr>
          <w:rFonts w:hint="eastAsia" w:ascii="仿宋" w:hAnsi="仿宋" w:eastAsia="仿宋" w:cs="仿宋"/>
          <w:color w:val="auto"/>
          <w:kern w:val="0"/>
          <w:sz w:val="24"/>
          <w:highlight w:val="none"/>
        </w:rPr>
        <w:t>市、区、街道爱卫办组织的其它除四害活动（包括要求承担的公益性服务）。</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协助街道开展除四害宣传工作、普及科学除害防病知识，推进单位除四害市场化运作。</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向所服务社区低保户等困难家庭户无偿提供家庭用灭蟑、灭鼠药等除“四害”药品及技术指导，向所服务社区居民家庭无偿提供除四害技术指导。</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PCO公司的消杀人员应定期到街道、社区报到，向街道分管人员汇报工作计划，并服从街道及社区分配的具体工作任务。</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7、在每个社区进行病媒生物防制信息公示。</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8、相关台账资料按市爱卫办要求整理，每月报市爱卫办。</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9、市、区、街道检查第一时间到现场。</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10、市区</w:t>
      </w:r>
      <w:r>
        <w:rPr>
          <w:rFonts w:hint="eastAsia" w:ascii="仿宋" w:hAnsi="仿宋" w:eastAsia="仿宋" w:cs="仿宋"/>
          <w:color w:val="auto"/>
          <w:kern w:val="0"/>
          <w:sz w:val="24"/>
          <w:highlight w:val="none"/>
          <w:lang w:val="en-US" w:eastAsia="zh-CN"/>
        </w:rPr>
        <w:t>月度</w:t>
      </w:r>
      <w:r>
        <w:rPr>
          <w:rFonts w:hint="eastAsia" w:ascii="仿宋" w:hAnsi="仿宋" w:eastAsia="仿宋" w:cs="仿宋"/>
          <w:color w:val="auto"/>
          <w:kern w:val="0"/>
          <w:sz w:val="24"/>
          <w:highlight w:val="none"/>
        </w:rPr>
        <w:t>考核</w:t>
      </w:r>
      <w:r>
        <w:rPr>
          <w:rFonts w:hint="eastAsia" w:ascii="仿宋" w:hAnsi="仿宋" w:eastAsia="仿宋" w:cs="仿宋"/>
          <w:color w:val="auto"/>
          <w:kern w:val="0"/>
          <w:sz w:val="24"/>
          <w:highlight w:val="none"/>
          <w:lang w:val="en-US" w:eastAsia="zh-CN"/>
        </w:rPr>
        <w:t>排名不低于末位第四名</w:t>
      </w:r>
      <w:r>
        <w:rPr>
          <w:rFonts w:hint="eastAsia" w:ascii="仿宋" w:hAnsi="仿宋" w:eastAsia="仿宋" w:cs="仿宋"/>
          <w:color w:val="auto"/>
          <w:kern w:val="0"/>
          <w:sz w:val="24"/>
          <w:highlight w:val="none"/>
        </w:rPr>
        <w:t>。</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做好服务区域“四害”密度监测工作、消杀工作计划和小结，并每月向街道及社区提交月密度监测报表、工作计划和小结以及消杀作业服务情况。</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做好杭州市病媒生物密度控制水平C级以上等级省级评估考核工作、国家卫生城市复评病媒生物预防控制等相关考核迎检工作。</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服务范围内的八小行业四害密度和侵害状况每季实施一次监测和整治。</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技防设施设备投入和维护工作。</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（1）新增除四害技防设施(毒鼠屋、防蚊闸、捕蝇笼等）不少于合同价款的15%。</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（2）服务期内技防设施设备的投入、安装及维护工作均由</w:t>
      </w:r>
      <w:r>
        <w:rPr>
          <w:rFonts w:hint="eastAsia" w:ascii="仿宋" w:hAnsi="仿宋" w:eastAsia="仿宋" w:cs="仿宋"/>
          <w:color w:val="auto"/>
          <w:kern w:val="0"/>
          <w:sz w:val="24"/>
          <w:highlight w:val="none"/>
          <w:lang w:eastAsia="zh-CN"/>
        </w:rPr>
        <w:t>中标供应商</w:t>
      </w:r>
      <w:r>
        <w:rPr>
          <w:rFonts w:hint="eastAsia" w:ascii="仿宋" w:hAnsi="仿宋" w:eastAsia="仿宋" w:cs="仿宋"/>
          <w:color w:val="auto"/>
          <w:kern w:val="0"/>
          <w:sz w:val="24"/>
          <w:highlight w:val="none"/>
        </w:rPr>
        <w:t>负责。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（3）对已投入使用的毒饵站、灭蝇笼、灭蚊灯、毒鼠屋等做好日常维护。</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15、涉及上级对街道社区要求的督查、抄告、暗访等整改事项。</w:t>
      </w:r>
    </w:p>
    <w:p>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三、质量要求</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1、技术标准：公共外环境鼠、蚊、蝇、蟑螂等病媒生物得到有效控制，“四害”密度均达到国家病媒生物密度控制标准（GB/T 27770-2011鼠类、GB/T 27771-2011蚊虫、GB/T 27772-2011蝇类、GB/T 27773-2011蜚蠊）C级以上水平要求。</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根据杭州多年鼠类监测结果，确定杭州鼠类重点防制对象为褐家鼠、小家鼠等，控制标准：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（1）城镇</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①防鼠设施分为以下等级：A级：防鼠设施合格率大于或等于97%；B级：防鼠设施合格率大于或等于95%；C级：防鼠设施合格率大于或等于93%。</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②室内鼠密度控制水平为以下等级：A级：鼠迹阳性率小于或等于1%；B级：鼠迹阳性率小于或等于3%；C级：鼠迹阳性率小于或等于5%。</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③外环境鼠密度控制水平分为以下等级：A级：路径指数小于或等于1；B级：路径指数小于或等于3；C级：路径指数小于或等于5。</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（2）单位</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①防鼠设施分为以下等级：A级：房间数30间以下的单位防鼠设施完全合格，30间以上的单位防鼠设施不合格房间数不超过1间；B级：房间数20间以下的单位防鼠设施完全合格，20间以上的单位防鼠设施不合格房间数不超过1间；C级：房间数10间以下的单位防鼠设施完全合格，10间以上的单位防鼠设施不合格房间数不超过1间。</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②室内鼠密度控制水平分为以下等级：A级：房间数60间以下的单位阳性房间数为0，60间以上的单位阳性房间数不超过1间；B级：房间数30间以下的单位阳性房间数为0，30间以上的单位阳性房间数不超过1间；C级：房间数20间以下的单位阳性房间数为0，20间以上的单位阳性房间数不超过1间；</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③外环境鼠密度：不得有鼠洞、死鼠、活鼠等鼠迹。</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常用药物</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实际使用卫生杀虫剂时应根据产品说明书进行，在杀虫剂的选择上应根据当地蚊虫的抗药性监测情况指导用药，并选择安全性高的杀虫剂灭蚊，下表为常用高效低毒的卫生杀虫剂，供化学防制中参考。</w:t>
      </w:r>
    </w:p>
    <w:p>
      <w:pPr>
        <w:tabs>
          <w:tab w:val="left" w:pos="0"/>
        </w:tabs>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表1 常用灭蚊杀虫剂及使用</w:t>
      </w:r>
    </w:p>
    <w:tbl>
      <w:tblPr>
        <w:tblStyle w:val="62"/>
        <w:tblpPr w:leftFromText="180" w:rightFromText="180" w:vertAnchor="text" w:horzAnchor="page" w:tblpX="1457" w:tblpY="737"/>
        <w:tblOverlap w:val="never"/>
        <w:tblW w:w="8868" w:type="dxa"/>
        <w:jc w:val="center"/>
        <w:tblLayout w:type="fixed"/>
        <w:tblCellMar>
          <w:top w:w="0" w:type="dxa"/>
          <w:left w:w="108" w:type="dxa"/>
          <w:bottom w:w="0" w:type="dxa"/>
          <w:right w:w="108" w:type="dxa"/>
        </w:tblCellMar>
      </w:tblPr>
      <w:tblGrid>
        <w:gridCol w:w="1468"/>
        <w:gridCol w:w="1266"/>
        <w:gridCol w:w="984"/>
        <w:gridCol w:w="1317"/>
        <w:gridCol w:w="2479"/>
        <w:gridCol w:w="1354"/>
      </w:tblGrid>
      <w:tr>
        <w:tblPrEx>
          <w:tblCellMar>
            <w:top w:w="0" w:type="dxa"/>
            <w:left w:w="108" w:type="dxa"/>
            <w:bottom w:w="0" w:type="dxa"/>
            <w:right w:w="108" w:type="dxa"/>
          </w:tblCellMar>
        </w:tblPrEx>
        <w:trPr>
          <w:trHeight w:val="401" w:hRule="atLeast"/>
          <w:jc w:val="center"/>
        </w:trPr>
        <w:tc>
          <w:tcPr>
            <w:tcW w:w="1468" w:type="dxa"/>
            <w:tcBorders>
              <w:top w:val="single" w:color="auto" w:sz="8" w:space="0"/>
              <w:left w:val="single" w:color="auto" w:sz="8" w:space="0"/>
              <w:bottom w:val="single" w:color="auto" w:sz="8" w:space="0"/>
              <w:right w:val="single" w:color="auto" w:sz="8" w:space="0"/>
            </w:tcBorders>
            <w:vAlign w:val="center"/>
          </w:tcPr>
          <w:p>
            <w:pPr>
              <w:snapToGrid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有效成分</w:t>
            </w:r>
          </w:p>
        </w:tc>
        <w:tc>
          <w:tcPr>
            <w:tcW w:w="1266" w:type="dxa"/>
            <w:tcBorders>
              <w:top w:val="single" w:color="auto" w:sz="8" w:space="0"/>
              <w:left w:val="nil"/>
              <w:bottom w:val="single" w:color="auto" w:sz="8" w:space="0"/>
              <w:right w:val="single" w:color="auto" w:sz="8" w:space="0"/>
            </w:tcBorders>
            <w:vAlign w:val="center"/>
          </w:tcPr>
          <w:p>
            <w:pPr>
              <w:snapToGrid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类型</w:t>
            </w:r>
          </w:p>
        </w:tc>
        <w:tc>
          <w:tcPr>
            <w:tcW w:w="984" w:type="dxa"/>
            <w:tcBorders>
              <w:top w:val="single" w:color="auto" w:sz="8" w:space="0"/>
              <w:left w:val="nil"/>
              <w:bottom w:val="single" w:color="auto" w:sz="8" w:space="0"/>
              <w:right w:val="single" w:color="auto" w:sz="8" w:space="0"/>
            </w:tcBorders>
            <w:vAlign w:val="center"/>
          </w:tcPr>
          <w:p>
            <w:pPr>
              <w:snapToGrid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剂型</w:t>
            </w:r>
          </w:p>
        </w:tc>
        <w:tc>
          <w:tcPr>
            <w:tcW w:w="1317" w:type="dxa"/>
            <w:tcBorders>
              <w:top w:val="single" w:color="auto" w:sz="8" w:space="0"/>
              <w:left w:val="nil"/>
              <w:bottom w:val="single" w:color="auto" w:sz="8" w:space="0"/>
              <w:right w:val="single" w:color="auto" w:sz="8" w:space="0"/>
            </w:tcBorders>
            <w:vAlign w:val="center"/>
          </w:tcPr>
          <w:p>
            <w:pPr>
              <w:snapToGrid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使用方法</w:t>
            </w:r>
          </w:p>
        </w:tc>
        <w:tc>
          <w:tcPr>
            <w:tcW w:w="2479" w:type="dxa"/>
            <w:tcBorders>
              <w:top w:val="single" w:color="auto" w:sz="8" w:space="0"/>
              <w:left w:val="nil"/>
              <w:bottom w:val="single" w:color="auto" w:sz="8" w:space="0"/>
              <w:right w:val="single" w:color="auto" w:sz="8" w:space="0"/>
            </w:tcBorders>
            <w:vAlign w:val="center"/>
          </w:tcPr>
          <w:p>
            <w:pPr>
              <w:snapToGrid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用量</w:t>
            </w:r>
          </w:p>
        </w:tc>
        <w:tc>
          <w:tcPr>
            <w:tcW w:w="1354" w:type="dxa"/>
            <w:tcBorders>
              <w:top w:val="single" w:color="auto" w:sz="8" w:space="0"/>
              <w:left w:val="nil"/>
              <w:bottom w:val="single" w:color="auto" w:sz="8" w:space="0"/>
              <w:right w:val="single" w:color="auto" w:sz="8" w:space="0"/>
            </w:tcBorders>
            <w:vAlign w:val="center"/>
          </w:tcPr>
          <w:p>
            <w:pPr>
              <w:snapToGrid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用途</w:t>
            </w:r>
          </w:p>
        </w:tc>
      </w:tr>
      <w:tr>
        <w:tblPrEx>
          <w:tblCellMar>
            <w:top w:w="0" w:type="dxa"/>
            <w:left w:w="108" w:type="dxa"/>
            <w:bottom w:w="0" w:type="dxa"/>
            <w:right w:w="108" w:type="dxa"/>
          </w:tblCellMar>
        </w:tblPrEx>
        <w:trPr>
          <w:trHeight w:val="647" w:hRule="atLeast"/>
          <w:jc w:val="center"/>
        </w:trPr>
        <w:tc>
          <w:tcPr>
            <w:tcW w:w="1468" w:type="dxa"/>
            <w:tcBorders>
              <w:top w:val="nil"/>
              <w:left w:val="single" w:color="auto" w:sz="8" w:space="0"/>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双硫磷</w:t>
            </w:r>
          </w:p>
        </w:tc>
        <w:tc>
          <w:tcPr>
            <w:tcW w:w="1266"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有机磷</w:t>
            </w:r>
          </w:p>
        </w:tc>
        <w:tc>
          <w:tcPr>
            <w:tcW w:w="984"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颗粒剂</w:t>
            </w:r>
          </w:p>
        </w:tc>
        <w:tc>
          <w:tcPr>
            <w:tcW w:w="1317"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2-3周1次投入水中</w:t>
            </w:r>
          </w:p>
        </w:tc>
        <w:tc>
          <w:tcPr>
            <w:tcW w:w="2479"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1%颗粒剂，0.5-lg/m</w:t>
            </w:r>
            <w:r>
              <w:rPr>
                <w:rFonts w:hint="eastAsia" w:ascii="仿宋" w:hAnsi="仿宋" w:eastAsia="仿宋" w:cs="仿宋"/>
                <w:color w:val="auto"/>
                <w:sz w:val="24"/>
                <w:szCs w:val="24"/>
                <w:highlight w:val="none"/>
                <w:vertAlign w:val="superscript"/>
              </w:rPr>
              <w:t>2</w:t>
            </w:r>
          </w:p>
        </w:tc>
        <w:tc>
          <w:tcPr>
            <w:tcW w:w="1354"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杀幼剂</w:t>
            </w:r>
          </w:p>
        </w:tc>
      </w:tr>
      <w:tr>
        <w:tblPrEx>
          <w:tblCellMar>
            <w:top w:w="0" w:type="dxa"/>
            <w:left w:w="108" w:type="dxa"/>
            <w:bottom w:w="0" w:type="dxa"/>
            <w:right w:w="108" w:type="dxa"/>
          </w:tblCellMar>
        </w:tblPrEx>
        <w:trPr>
          <w:trHeight w:val="564" w:hRule="atLeast"/>
          <w:jc w:val="center"/>
        </w:trPr>
        <w:tc>
          <w:tcPr>
            <w:tcW w:w="1468" w:type="dxa"/>
            <w:tcBorders>
              <w:top w:val="nil"/>
              <w:left w:val="single" w:color="auto" w:sz="8" w:space="0"/>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倍硫磷</w:t>
            </w:r>
          </w:p>
        </w:tc>
        <w:tc>
          <w:tcPr>
            <w:tcW w:w="1266"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有机磷</w:t>
            </w:r>
          </w:p>
        </w:tc>
        <w:tc>
          <w:tcPr>
            <w:tcW w:w="984"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颗粒剂</w:t>
            </w:r>
          </w:p>
        </w:tc>
        <w:tc>
          <w:tcPr>
            <w:tcW w:w="1317"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2-3周1次投入水中</w:t>
            </w:r>
          </w:p>
        </w:tc>
        <w:tc>
          <w:tcPr>
            <w:tcW w:w="2479" w:type="dxa"/>
            <w:tcBorders>
              <w:top w:val="nil"/>
              <w:left w:val="nil"/>
              <w:bottom w:val="single" w:color="auto" w:sz="8" w:space="0"/>
              <w:right w:val="single" w:color="auto" w:sz="8" w:space="0"/>
            </w:tcBorders>
            <w:vAlign w:val="center"/>
          </w:tcPr>
          <w:p>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5%颗粒剂，10-20g/m</w:t>
            </w:r>
            <w:r>
              <w:rPr>
                <w:rFonts w:hint="eastAsia" w:ascii="仿宋" w:hAnsi="仿宋" w:eastAsia="仿宋" w:cs="仿宋"/>
                <w:color w:val="auto"/>
                <w:sz w:val="24"/>
                <w:szCs w:val="24"/>
                <w:highlight w:val="none"/>
                <w:vertAlign w:val="superscript"/>
              </w:rPr>
              <w:t>2</w:t>
            </w:r>
          </w:p>
        </w:tc>
        <w:tc>
          <w:tcPr>
            <w:tcW w:w="1354"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杀幼剂</w:t>
            </w:r>
          </w:p>
        </w:tc>
      </w:tr>
      <w:tr>
        <w:tblPrEx>
          <w:tblCellMar>
            <w:top w:w="0" w:type="dxa"/>
            <w:left w:w="108" w:type="dxa"/>
            <w:bottom w:w="0" w:type="dxa"/>
            <w:right w:w="108" w:type="dxa"/>
          </w:tblCellMar>
        </w:tblPrEx>
        <w:trPr>
          <w:trHeight w:val="587" w:hRule="atLeast"/>
          <w:jc w:val="center"/>
        </w:trPr>
        <w:tc>
          <w:tcPr>
            <w:tcW w:w="1468" w:type="dxa"/>
            <w:tcBorders>
              <w:top w:val="nil"/>
              <w:left w:val="single" w:color="auto" w:sz="8" w:space="0"/>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苏云金杆菌</w:t>
            </w:r>
          </w:p>
        </w:tc>
        <w:tc>
          <w:tcPr>
            <w:tcW w:w="1266"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生物农药</w:t>
            </w:r>
          </w:p>
        </w:tc>
        <w:tc>
          <w:tcPr>
            <w:tcW w:w="984"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悬浮剂</w:t>
            </w:r>
          </w:p>
        </w:tc>
        <w:tc>
          <w:tcPr>
            <w:tcW w:w="1317"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喷洒</w:t>
            </w:r>
          </w:p>
        </w:tc>
        <w:tc>
          <w:tcPr>
            <w:tcW w:w="2479" w:type="dxa"/>
            <w:tcBorders>
              <w:top w:val="nil"/>
              <w:left w:val="nil"/>
              <w:bottom w:val="single" w:color="auto" w:sz="8" w:space="0"/>
              <w:right w:val="single" w:color="auto" w:sz="8" w:space="0"/>
            </w:tcBorders>
            <w:vAlign w:val="center"/>
          </w:tcPr>
          <w:p>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600ITU/mg，2-5ml 制剂/m</w:t>
            </w:r>
            <w:r>
              <w:rPr>
                <w:rFonts w:hint="eastAsia" w:ascii="仿宋" w:hAnsi="仿宋" w:eastAsia="仿宋" w:cs="仿宋"/>
                <w:color w:val="auto"/>
                <w:sz w:val="24"/>
                <w:szCs w:val="24"/>
                <w:highlight w:val="none"/>
                <w:vertAlign w:val="superscript"/>
              </w:rPr>
              <w:t>2</w:t>
            </w:r>
          </w:p>
        </w:tc>
        <w:tc>
          <w:tcPr>
            <w:tcW w:w="1354"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杀幼剂</w:t>
            </w:r>
          </w:p>
        </w:tc>
      </w:tr>
      <w:tr>
        <w:tblPrEx>
          <w:tblCellMar>
            <w:top w:w="0" w:type="dxa"/>
            <w:left w:w="108" w:type="dxa"/>
            <w:bottom w:w="0" w:type="dxa"/>
            <w:right w:w="108" w:type="dxa"/>
          </w:tblCellMar>
        </w:tblPrEx>
        <w:trPr>
          <w:trHeight w:val="629" w:hRule="atLeast"/>
          <w:jc w:val="center"/>
        </w:trPr>
        <w:tc>
          <w:tcPr>
            <w:tcW w:w="1468" w:type="dxa"/>
            <w:tcBorders>
              <w:top w:val="nil"/>
              <w:left w:val="single" w:color="auto" w:sz="8" w:space="0"/>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苏云金杆菌</w:t>
            </w:r>
          </w:p>
        </w:tc>
        <w:tc>
          <w:tcPr>
            <w:tcW w:w="1266"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生物农药</w:t>
            </w:r>
          </w:p>
        </w:tc>
        <w:tc>
          <w:tcPr>
            <w:tcW w:w="984"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可湿性粉剂</w:t>
            </w:r>
          </w:p>
        </w:tc>
        <w:tc>
          <w:tcPr>
            <w:tcW w:w="1317"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喷洒</w:t>
            </w:r>
          </w:p>
        </w:tc>
        <w:tc>
          <w:tcPr>
            <w:tcW w:w="2479" w:type="dxa"/>
            <w:tcBorders>
              <w:top w:val="nil"/>
              <w:left w:val="nil"/>
              <w:bottom w:val="single" w:color="auto" w:sz="8" w:space="0"/>
              <w:right w:val="single" w:color="auto" w:sz="8" w:space="0"/>
            </w:tcBorders>
            <w:vAlign w:val="center"/>
          </w:tcPr>
          <w:p>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1600ITU/mg，l-2g 制剂/m</w:t>
            </w:r>
            <w:r>
              <w:rPr>
                <w:rFonts w:hint="eastAsia" w:ascii="仿宋" w:hAnsi="仿宋" w:eastAsia="仿宋" w:cs="仿宋"/>
                <w:color w:val="auto"/>
                <w:sz w:val="24"/>
                <w:szCs w:val="24"/>
                <w:highlight w:val="none"/>
                <w:vertAlign w:val="superscript"/>
              </w:rPr>
              <w:t>2</w:t>
            </w:r>
          </w:p>
        </w:tc>
        <w:tc>
          <w:tcPr>
            <w:tcW w:w="1354"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杀幼剂</w:t>
            </w:r>
          </w:p>
        </w:tc>
      </w:tr>
      <w:tr>
        <w:tblPrEx>
          <w:tblCellMar>
            <w:top w:w="0" w:type="dxa"/>
            <w:left w:w="108" w:type="dxa"/>
            <w:bottom w:w="0" w:type="dxa"/>
            <w:right w:w="108" w:type="dxa"/>
          </w:tblCellMar>
        </w:tblPrEx>
        <w:trPr>
          <w:trHeight w:val="765" w:hRule="atLeast"/>
          <w:jc w:val="center"/>
        </w:trPr>
        <w:tc>
          <w:tcPr>
            <w:tcW w:w="1468" w:type="dxa"/>
            <w:tcBorders>
              <w:top w:val="nil"/>
              <w:left w:val="single" w:color="auto" w:sz="8" w:space="0"/>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球形芽孢杆菌</w:t>
            </w:r>
          </w:p>
        </w:tc>
        <w:tc>
          <w:tcPr>
            <w:tcW w:w="1266"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生物农药</w:t>
            </w:r>
          </w:p>
        </w:tc>
        <w:tc>
          <w:tcPr>
            <w:tcW w:w="984"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悬浮剂</w:t>
            </w:r>
          </w:p>
        </w:tc>
        <w:tc>
          <w:tcPr>
            <w:tcW w:w="1317"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喷洒</w:t>
            </w:r>
          </w:p>
        </w:tc>
        <w:tc>
          <w:tcPr>
            <w:tcW w:w="2479"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100ITU/mg，3ml制剂/m</w:t>
            </w:r>
            <w:r>
              <w:rPr>
                <w:rFonts w:hint="eastAsia" w:ascii="仿宋" w:hAnsi="仿宋" w:eastAsia="仿宋" w:cs="仿宋"/>
                <w:color w:val="auto"/>
                <w:sz w:val="24"/>
                <w:szCs w:val="24"/>
                <w:highlight w:val="none"/>
                <w:vertAlign w:val="superscript"/>
              </w:rPr>
              <w:t>2</w:t>
            </w:r>
          </w:p>
        </w:tc>
        <w:tc>
          <w:tcPr>
            <w:tcW w:w="1354"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杀幼剂</w:t>
            </w:r>
          </w:p>
        </w:tc>
      </w:tr>
      <w:tr>
        <w:tblPrEx>
          <w:tblCellMar>
            <w:top w:w="0" w:type="dxa"/>
            <w:left w:w="108" w:type="dxa"/>
            <w:bottom w:w="0" w:type="dxa"/>
            <w:right w:w="108" w:type="dxa"/>
          </w:tblCellMar>
        </w:tblPrEx>
        <w:trPr>
          <w:trHeight w:val="525" w:hRule="atLeast"/>
          <w:jc w:val="center"/>
        </w:trPr>
        <w:tc>
          <w:tcPr>
            <w:tcW w:w="1468" w:type="dxa"/>
            <w:tcBorders>
              <w:top w:val="nil"/>
              <w:left w:val="single" w:color="auto" w:sz="8" w:space="0"/>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吡丙醚</w:t>
            </w:r>
          </w:p>
        </w:tc>
        <w:tc>
          <w:tcPr>
            <w:tcW w:w="1266"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生长调节剂</w:t>
            </w:r>
          </w:p>
        </w:tc>
        <w:tc>
          <w:tcPr>
            <w:tcW w:w="984"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颗粒剂</w:t>
            </w:r>
          </w:p>
        </w:tc>
        <w:tc>
          <w:tcPr>
            <w:tcW w:w="1317"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2-3周1次投入水中</w:t>
            </w:r>
          </w:p>
        </w:tc>
        <w:tc>
          <w:tcPr>
            <w:tcW w:w="2479"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0.5%颗粒剂，1-2g/m</w:t>
            </w:r>
            <w:r>
              <w:rPr>
                <w:rFonts w:hint="eastAsia" w:ascii="仿宋" w:hAnsi="仿宋" w:eastAsia="仿宋" w:cs="仿宋"/>
                <w:color w:val="auto"/>
                <w:sz w:val="24"/>
                <w:szCs w:val="24"/>
                <w:highlight w:val="none"/>
                <w:vertAlign w:val="superscript"/>
              </w:rPr>
              <w:t>2</w:t>
            </w:r>
          </w:p>
        </w:tc>
        <w:tc>
          <w:tcPr>
            <w:tcW w:w="1354"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杀幼剂</w:t>
            </w:r>
          </w:p>
        </w:tc>
      </w:tr>
      <w:tr>
        <w:tblPrEx>
          <w:tblCellMar>
            <w:top w:w="0" w:type="dxa"/>
            <w:left w:w="108" w:type="dxa"/>
            <w:bottom w:w="0" w:type="dxa"/>
            <w:right w:w="108" w:type="dxa"/>
          </w:tblCellMar>
        </w:tblPrEx>
        <w:trPr>
          <w:trHeight w:val="465" w:hRule="atLeast"/>
          <w:jc w:val="center"/>
        </w:trPr>
        <w:tc>
          <w:tcPr>
            <w:tcW w:w="1468" w:type="dxa"/>
            <w:tcBorders>
              <w:top w:val="nil"/>
              <w:left w:val="single" w:color="auto" w:sz="8" w:space="0"/>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高效氟氯氰菊醋</w:t>
            </w:r>
          </w:p>
        </w:tc>
        <w:tc>
          <w:tcPr>
            <w:tcW w:w="1266"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拟除虫菊酯</w:t>
            </w:r>
          </w:p>
        </w:tc>
        <w:tc>
          <w:tcPr>
            <w:tcW w:w="984"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悬浮剂</w:t>
            </w:r>
          </w:p>
        </w:tc>
        <w:tc>
          <w:tcPr>
            <w:tcW w:w="1317"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室内外</w:t>
            </w:r>
          </w:p>
        </w:tc>
        <w:tc>
          <w:tcPr>
            <w:tcW w:w="2479"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20-30 mg/m</w:t>
            </w:r>
            <w:r>
              <w:rPr>
                <w:rFonts w:hint="eastAsia" w:ascii="仿宋" w:hAnsi="仿宋" w:eastAsia="仿宋" w:cs="仿宋"/>
                <w:color w:val="auto"/>
                <w:sz w:val="24"/>
                <w:szCs w:val="24"/>
                <w:highlight w:val="none"/>
                <w:vertAlign w:val="superscript"/>
              </w:rPr>
              <w:t>2</w:t>
            </w:r>
          </w:p>
        </w:tc>
        <w:tc>
          <w:tcPr>
            <w:tcW w:w="1354"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滞留喷洒</w:t>
            </w:r>
          </w:p>
        </w:tc>
      </w:tr>
      <w:tr>
        <w:tblPrEx>
          <w:tblCellMar>
            <w:top w:w="0" w:type="dxa"/>
            <w:left w:w="108" w:type="dxa"/>
            <w:bottom w:w="0" w:type="dxa"/>
            <w:right w:w="108" w:type="dxa"/>
          </w:tblCellMar>
        </w:tblPrEx>
        <w:trPr>
          <w:trHeight w:val="465" w:hRule="atLeast"/>
          <w:jc w:val="center"/>
        </w:trPr>
        <w:tc>
          <w:tcPr>
            <w:tcW w:w="1468" w:type="dxa"/>
            <w:tcBorders>
              <w:top w:val="nil"/>
              <w:left w:val="single" w:color="auto" w:sz="8" w:space="0"/>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高效氯氟氰菊酯</w:t>
            </w:r>
          </w:p>
        </w:tc>
        <w:tc>
          <w:tcPr>
            <w:tcW w:w="1266"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拟除虫菊酯</w:t>
            </w:r>
          </w:p>
        </w:tc>
        <w:tc>
          <w:tcPr>
            <w:tcW w:w="984"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悬浮剂</w:t>
            </w:r>
          </w:p>
        </w:tc>
        <w:tc>
          <w:tcPr>
            <w:tcW w:w="1317"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室内外</w:t>
            </w:r>
          </w:p>
        </w:tc>
        <w:tc>
          <w:tcPr>
            <w:tcW w:w="2479"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20-30 mg/m</w:t>
            </w:r>
            <w:r>
              <w:rPr>
                <w:rFonts w:hint="eastAsia" w:ascii="仿宋" w:hAnsi="仿宋" w:eastAsia="仿宋" w:cs="仿宋"/>
                <w:color w:val="auto"/>
                <w:sz w:val="24"/>
                <w:szCs w:val="24"/>
                <w:highlight w:val="none"/>
                <w:vertAlign w:val="superscript"/>
              </w:rPr>
              <w:t>2</w:t>
            </w:r>
          </w:p>
        </w:tc>
        <w:tc>
          <w:tcPr>
            <w:tcW w:w="1354"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滞留喷洒</w:t>
            </w:r>
          </w:p>
        </w:tc>
      </w:tr>
      <w:tr>
        <w:tblPrEx>
          <w:tblCellMar>
            <w:top w:w="0" w:type="dxa"/>
            <w:left w:w="108" w:type="dxa"/>
            <w:bottom w:w="0" w:type="dxa"/>
            <w:right w:w="108" w:type="dxa"/>
          </w:tblCellMar>
        </w:tblPrEx>
        <w:trPr>
          <w:trHeight w:val="465" w:hRule="atLeast"/>
          <w:jc w:val="center"/>
        </w:trPr>
        <w:tc>
          <w:tcPr>
            <w:tcW w:w="1468" w:type="dxa"/>
            <w:tcBorders>
              <w:top w:val="nil"/>
              <w:left w:val="single" w:color="auto" w:sz="8" w:space="0"/>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高效氯氰菊醋</w:t>
            </w:r>
          </w:p>
        </w:tc>
        <w:tc>
          <w:tcPr>
            <w:tcW w:w="1266"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拟除虫菊酯</w:t>
            </w:r>
          </w:p>
        </w:tc>
        <w:tc>
          <w:tcPr>
            <w:tcW w:w="984"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悬浮剂、可湿性粉剂</w:t>
            </w:r>
          </w:p>
        </w:tc>
        <w:tc>
          <w:tcPr>
            <w:tcW w:w="1317"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室内外</w:t>
            </w:r>
          </w:p>
        </w:tc>
        <w:tc>
          <w:tcPr>
            <w:tcW w:w="2479"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20-30 mg/m</w:t>
            </w:r>
            <w:r>
              <w:rPr>
                <w:rFonts w:hint="eastAsia" w:ascii="仿宋" w:hAnsi="仿宋" w:eastAsia="仿宋" w:cs="仿宋"/>
                <w:color w:val="auto"/>
                <w:sz w:val="24"/>
                <w:szCs w:val="24"/>
                <w:highlight w:val="none"/>
                <w:vertAlign w:val="superscript"/>
              </w:rPr>
              <w:t>2</w:t>
            </w:r>
          </w:p>
        </w:tc>
        <w:tc>
          <w:tcPr>
            <w:tcW w:w="1354"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滞留喷洒</w:t>
            </w:r>
          </w:p>
        </w:tc>
      </w:tr>
      <w:tr>
        <w:tblPrEx>
          <w:tblCellMar>
            <w:top w:w="0" w:type="dxa"/>
            <w:left w:w="108" w:type="dxa"/>
            <w:bottom w:w="0" w:type="dxa"/>
            <w:right w:w="108" w:type="dxa"/>
          </w:tblCellMar>
        </w:tblPrEx>
        <w:trPr>
          <w:trHeight w:val="729" w:hRule="atLeast"/>
          <w:jc w:val="center"/>
        </w:trPr>
        <w:tc>
          <w:tcPr>
            <w:tcW w:w="1468" w:type="dxa"/>
            <w:tcBorders>
              <w:top w:val="nil"/>
              <w:left w:val="single" w:color="auto" w:sz="8" w:space="0"/>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顺式氯氰菊酯</w:t>
            </w:r>
          </w:p>
        </w:tc>
        <w:tc>
          <w:tcPr>
            <w:tcW w:w="1266"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拟除虫菊酯</w:t>
            </w:r>
          </w:p>
        </w:tc>
        <w:tc>
          <w:tcPr>
            <w:tcW w:w="984"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悬浮剂、可湿性粉剂</w:t>
            </w:r>
          </w:p>
        </w:tc>
        <w:tc>
          <w:tcPr>
            <w:tcW w:w="1317"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室内外</w:t>
            </w:r>
          </w:p>
        </w:tc>
        <w:tc>
          <w:tcPr>
            <w:tcW w:w="2479"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20-30 mg/m</w:t>
            </w:r>
            <w:r>
              <w:rPr>
                <w:rFonts w:hint="eastAsia" w:ascii="仿宋" w:hAnsi="仿宋" w:eastAsia="仿宋" w:cs="仿宋"/>
                <w:color w:val="auto"/>
                <w:sz w:val="24"/>
                <w:szCs w:val="24"/>
                <w:highlight w:val="none"/>
                <w:vertAlign w:val="superscript"/>
              </w:rPr>
              <w:t>2</w:t>
            </w:r>
          </w:p>
        </w:tc>
        <w:tc>
          <w:tcPr>
            <w:tcW w:w="1354"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滞留喷洒</w:t>
            </w:r>
          </w:p>
        </w:tc>
      </w:tr>
      <w:tr>
        <w:tblPrEx>
          <w:tblCellMar>
            <w:top w:w="0" w:type="dxa"/>
            <w:left w:w="108" w:type="dxa"/>
            <w:bottom w:w="0" w:type="dxa"/>
            <w:right w:w="108" w:type="dxa"/>
          </w:tblCellMar>
        </w:tblPrEx>
        <w:trPr>
          <w:trHeight w:val="540" w:hRule="atLeast"/>
          <w:jc w:val="center"/>
        </w:trPr>
        <w:tc>
          <w:tcPr>
            <w:tcW w:w="1468" w:type="dxa"/>
            <w:tcBorders>
              <w:top w:val="nil"/>
              <w:left w:val="single" w:color="auto" w:sz="8" w:space="0"/>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氯菊酯+生物烯丙菊酯</w:t>
            </w:r>
          </w:p>
        </w:tc>
        <w:tc>
          <w:tcPr>
            <w:tcW w:w="1266"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拟除虫菊酯</w:t>
            </w:r>
          </w:p>
        </w:tc>
        <w:tc>
          <w:tcPr>
            <w:tcW w:w="984"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水乳剂</w:t>
            </w:r>
          </w:p>
        </w:tc>
        <w:tc>
          <w:tcPr>
            <w:tcW w:w="1317"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室内外</w:t>
            </w:r>
          </w:p>
        </w:tc>
        <w:tc>
          <w:tcPr>
            <w:tcW w:w="2479"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5-10g/ha (氯菊酯）</w:t>
            </w:r>
          </w:p>
        </w:tc>
        <w:tc>
          <w:tcPr>
            <w:tcW w:w="1354"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空间喷洒</w:t>
            </w:r>
          </w:p>
        </w:tc>
      </w:tr>
      <w:tr>
        <w:tblPrEx>
          <w:tblCellMar>
            <w:top w:w="0" w:type="dxa"/>
            <w:left w:w="108" w:type="dxa"/>
            <w:bottom w:w="0" w:type="dxa"/>
            <w:right w:w="108" w:type="dxa"/>
          </w:tblCellMar>
        </w:tblPrEx>
        <w:trPr>
          <w:trHeight w:val="480" w:hRule="atLeast"/>
          <w:jc w:val="center"/>
        </w:trPr>
        <w:tc>
          <w:tcPr>
            <w:tcW w:w="1468" w:type="dxa"/>
            <w:tcBorders>
              <w:top w:val="nil"/>
              <w:left w:val="single" w:color="auto" w:sz="8" w:space="0"/>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胺菊酯+氯菊酯</w:t>
            </w:r>
          </w:p>
        </w:tc>
        <w:tc>
          <w:tcPr>
            <w:tcW w:w="1266"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拟除虫菊酯</w:t>
            </w:r>
          </w:p>
        </w:tc>
        <w:tc>
          <w:tcPr>
            <w:tcW w:w="984"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微乳剂</w:t>
            </w:r>
          </w:p>
        </w:tc>
        <w:tc>
          <w:tcPr>
            <w:tcW w:w="1317"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室内外</w:t>
            </w:r>
          </w:p>
        </w:tc>
        <w:tc>
          <w:tcPr>
            <w:tcW w:w="2479"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5-10g/ha (氯菊酯）</w:t>
            </w:r>
          </w:p>
        </w:tc>
        <w:tc>
          <w:tcPr>
            <w:tcW w:w="1354"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空间喷洒</w:t>
            </w:r>
          </w:p>
        </w:tc>
      </w:tr>
      <w:tr>
        <w:tblPrEx>
          <w:tblCellMar>
            <w:top w:w="0" w:type="dxa"/>
            <w:left w:w="108" w:type="dxa"/>
            <w:bottom w:w="0" w:type="dxa"/>
            <w:right w:w="108" w:type="dxa"/>
          </w:tblCellMar>
        </w:tblPrEx>
        <w:trPr>
          <w:trHeight w:val="480" w:hRule="atLeast"/>
          <w:jc w:val="center"/>
        </w:trPr>
        <w:tc>
          <w:tcPr>
            <w:tcW w:w="1468" w:type="dxa"/>
            <w:tcBorders>
              <w:top w:val="nil"/>
              <w:left w:val="single" w:color="auto" w:sz="8" w:space="0"/>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氯菊酯+四氟醚菊酯</w:t>
            </w:r>
          </w:p>
        </w:tc>
        <w:tc>
          <w:tcPr>
            <w:tcW w:w="1266"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拟除虫菊酯</w:t>
            </w:r>
          </w:p>
        </w:tc>
        <w:tc>
          <w:tcPr>
            <w:tcW w:w="984"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乳油</w:t>
            </w:r>
          </w:p>
        </w:tc>
        <w:tc>
          <w:tcPr>
            <w:tcW w:w="1317"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室内外</w:t>
            </w:r>
          </w:p>
        </w:tc>
        <w:tc>
          <w:tcPr>
            <w:tcW w:w="2479"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5-10g/ha (氯菊酯）</w:t>
            </w:r>
          </w:p>
        </w:tc>
        <w:tc>
          <w:tcPr>
            <w:tcW w:w="1354"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空间喷洒</w:t>
            </w:r>
          </w:p>
        </w:tc>
      </w:tr>
      <w:tr>
        <w:tblPrEx>
          <w:tblCellMar>
            <w:top w:w="0" w:type="dxa"/>
            <w:left w:w="108" w:type="dxa"/>
            <w:bottom w:w="0" w:type="dxa"/>
            <w:right w:w="108" w:type="dxa"/>
          </w:tblCellMar>
        </w:tblPrEx>
        <w:trPr>
          <w:trHeight w:val="480" w:hRule="atLeast"/>
          <w:jc w:val="center"/>
        </w:trPr>
        <w:tc>
          <w:tcPr>
            <w:tcW w:w="1468" w:type="dxa"/>
            <w:tcBorders>
              <w:top w:val="nil"/>
              <w:left w:val="single" w:color="auto" w:sz="8" w:space="0"/>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辛硫磷+高效氯氟氰菊酯</w:t>
            </w:r>
          </w:p>
        </w:tc>
        <w:tc>
          <w:tcPr>
            <w:tcW w:w="1266"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有机磷，拟除虫菊酯</w:t>
            </w:r>
          </w:p>
        </w:tc>
        <w:tc>
          <w:tcPr>
            <w:tcW w:w="984"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乳油</w:t>
            </w:r>
          </w:p>
        </w:tc>
        <w:tc>
          <w:tcPr>
            <w:tcW w:w="1317"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室外</w:t>
            </w:r>
          </w:p>
        </w:tc>
        <w:tc>
          <w:tcPr>
            <w:tcW w:w="2479"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210g/ha</w:t>
            </w:r>
          </w:p>
        </w:tc>
        <w:tc>
          <w:tcPr>
            <w:tcW w:w="1354" w:type="dxa"/>
            <w:tcBorders>
              <w:top w:val="nil"/>
              <w:left w:val="nil"/>
              <w:bottom w:val="single" w:color="auto" w:sz="8" w:space="0"/>
              <w:right w:val="single" w:color="auto" w:sz="8"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空间喷洒</w:t>
            </w:r>
          </w:p>
        </w:tc>
      </w:tr>
    </w:tbl>
    <w:p>
      <w:pPr>
        <w:tabs>
          <w:tab w:val="left" w:pos="0"/>
        </w:tabs>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2、监测标准和服务效果标准：</w:t>
      </w:r>
      <w:r>
        <w:rPr>
          <w:rFonts w:hint="eastAsia" w:ascii="仿宋" w:hAnsi="仿宋" w:eastAsia="仿宋" w:cs="仿宋"/>
          <w:color w:val="auto"/>
          <w:kern w:val="0"/>
          <w:sz w:val="24"/>
          <w:highlight w:val="none"/>
          <w:lang w:val="zh-CN"/>
        </w:rPr>
        <w:t>杭州市爱卫办推荐的第三方评估公司进行密度监测、防制效果评估和市疾控中心四害密度监测达到质量要求，群众满意率达90%（含）以上。</w:t>
      </w:r>
    </w:p>
    <w:p>
      <w:pPr>
        <w:tabs>
          <w:tab w:val="left" w:pos="0"/>
        </w:tabs>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3、病媒生物预防控制达到国家卫生城市标准。</w:t>
      </w:r>
    </w:p>
    <w:p>
      <w:pPr>
        <w:pStyle w:val="24"/>
        <w:spacing w:line="360" w:lineRule="auto"/>
        <w:ind w:left="479" w:hanging="479" w:hangingChars="199"/>
        <w:rPr>
          <w:rFonts w:hint="eastAsia" w:ascii="仿宋" w:hAnsi="仿宋" w:eastAsia="仿宋" w:cs="仿宋"/>
          <w:b/>
          <w:color w:val="auto"/>
          <w:highlight w:val="none"/>
          <w:lang w:val="zh-TW" w:eastAsia="zh-TW"/>
        </w:rPr>
      </w:pPr>
      <w:r>
        <w:rPr>
          <w:rFonts w:hint="eastAsia" w:ascii="仿宋" w:hAnsi="仿宋" w:eastAsia="仿宋" w:cs="仿宋"/>
          <w:b/>
          <w:color w:val="auto"/>
          <w:highlight w:val="none"/>
        </w:rPr>
        <w:t>四、</w:t>
      </w:r>
      <w:bookmarkEnd w:id="24"/>
      <w:bookmarkEnd w:id="25"/>
      <w:bookmarkEnd w:id="26"/>
      <w:bookmarkEnd w:id="27"/>
      <w:bookmarkEnd w:id="28"/>
      <w:bookmarkEnd w:id="29"/>
      <w:bookmarkEnd w:id="30"/>
      <w:bookmarkEnd w:id="31"/>
      <w:r>
        <w:rPr>
          <w:rFonts w:hint="eastAsia" w:ascii="仿宋" w:hAnsi="仿宋" w:eastAsia="仿宋" w:cs="仿宋"/>
          <w:b/>
          <w:color w:val="auto"/>
          <w:highlight w:val="none"/>
          <w:lang w:val="zh-TW" w:eastAsia="zh-TW"/>
        </w:rPr>
        <w:t>商务要求</w:t>
      </w:r>
    </w:p>
    <w:p>
      <w:pPr>
        <w:tabs>
          <w:tab w:val="left" w:pos="0"/>
        </w:tabs>
        <w:spacing w:line="360" w:lineRule="auto"/>
        <w:ind w:firstLine="480"/>
        <w:rPr>
          <w:rFonts w:hint="eastAsia" w:ascii="仿宋" w:hAnsi="仿宋" w:eastAsia="仿宋" w:cs="仿宋"/>
          <w:color w:val="auto"/>
          <w:kern w:val="0"/>
          <w:sz w:val="24"/>
          <w:highlight w:val="none"/>
          <w:lang w:val="zh-TW" w:eastAsia="zh-TW"/>
        </w:rPr>
      </w:pPr>
      <w:bookmarkStart w:id="35" w:name="bookmark192"/>
      <w:r>
        <w:rPr>
          <w:rFonts w:hint="eastAsia" w:ascii="仿宋" w:hAnsi="仿宋" w:eastAsia="仿宋" w:cs="仿宋"/>
          <w:color w:val="auto"/>
          <w:kern w:val="0"/>
          <w:sz w:val="24"/>
          <w:highlight w:val="none"/>
          <w:lang w:val="zh-TW" w:eastAsia="zh-TW"/>
        </w:rPr>
        <w:t>（</w:t>
      </w:r>
      <w:bookmarkEnd w:id="35"/>
      <w:r>
        <w:rPr>
          <w:rFonts w:hint="eastAsia" w:ascii="仿宋" w:hAnsi="仿宋" w:eastAsia="仿宋" w:cs="仿宋"/>
          <w:color w:val="auto"/>
          <w:kern w:val="0"/>
          <w:sz w:val="24"/>
          <w:highlight w:val="none"/>
          <w:lang w:val="zh-TW" w:eastAsia="zh-TW"/>
        </w:rPr>
        <w:t>一）投标报价</w:t>
      </w:r>
    </w:p>
    <w:p>
      <w:pPr>
        <w:tabs>
          <w:tab w:val="left" w:pos="0"/>
        </w:tabs>
        <w:spacing w:line="360" w:lineRule="auto"/>
        <w:ind w:firstLine="480"/>
        <w:rPr>
          <w:rFonts w:hint="eastAsia" w:ascii="仿宋" w:hAnsi="仿宋" w:eastAsia="仿宋" w:cs="仿宋"/>
          <w:color w:val="auto"/>
          <w:kern w:val="0"/>
          <w:sz w:val="24"/>
          <w:highlight w:val="none"/>
          <w:lang w:val="zh-TW" w:eastAsia="zh-TW"/>
        </w:rPr>
      </w:pPr>
      <w:bookmarkStart w:id="36" w:name="bookmark193"/>
      <w:r>
        <w:rPr>
          <w:rFonts w:hint="eastAsia" w:ascii="仿宋" w:hAnsi="仿宋" w:eastAsia="仿宋" w:cs="仿宋"/>
          <w:color w:val="auto"/>
          <w:kern w:val="0"/>
          <w:sz w:val="24"/>
          <w:highlight w:val="none"/>
          <w:lang w:val="zh-TW" w:eastAsia="zh-TW"/>
        </w:rPr>
        <w:t>1</w:t>
      </w:r>
      <w:bookmarkEnd w:id="36"/>
      <w:r>
        <w:rPr>
          <w:rFonts w:hint="eastAsia" w:ascii="仿宋" w:hAnsi="仿宋" w:eastAsia="仿宋" w:cs="仿宋"/>
          <w:color w:val="auto"/>
          <w:kern w:val="0"/>
          <w:sz w:val="24"/>
          <w:highlight w:val="none"/>
          <w:lang w:val="zh-TW" w:eastAsia="zh-TW"/>
        </w:rPr>
        <w:t>、本项目采用总价包干方式。</w:t>
      </w:r>
    </w:p>
    <w:p>
      <w:pPr>
        <w:tabs>
          <w:tab w:val="left" w:pos="0"/>
        </w:tabs>
        <w:spacing w:line="360" w:lineRule="auto"/>
        <w:ind w:firstLine="480"/>
        <w:rPr>
          <w:rFonts w:hint="eastAsia" w:ascii="仿宋" w:hAnsi="仿宋" w:eastAsia="仿宋" w:cs="仿宋"/>
          <w:color w:val="auto"/>
          <w:kern w:val="0"/>
          <w:sz w:val="24"/>
          <w:highlight w:val="none"/>
          <w:lang w:val="zh-TW" w:eastAsia="zh-TW"/>
        </w:rPr>
      </w:pPr>
      <w:r>
        <w:rPr>
          <w:rFonts w:hint="eastAsia" w:ascii="仿宋" w:hAnsi="仿宋" w:eastAsia="仿宋" w:cs="仿宋"/>
          <w:color w:val="auto"/>
          <w:kern w:val="0"/>
          <w:sz w:val="24"/>
          <w:highlight w:val="none"/>
          <w:lang w:val="zh-TW" w:eastAsia="zh-TW"/>
        </w:rPr>
        <w:t>投标人应考虑企业自身实力、经验及项目实施过程中的各种因素，根据采购要求，详细说明所能提供的各项具体服务内容，自主确定报价，并按服务的内容独立报价并提供报价组成与成本分析。</w:t>
      </w:r>
    </w:p>
    <w:p>
      <w:pPr>
        <w:tabs>
          <w:tab w:val="left" w:pos="0"/>
        </w:tabs>
        <w:spacing w:line="360" w:lineRule="auto"/>
        <w:ind w:firstLine="480"/>
        <w:rPr>
          <w:rFonts w:hint="eastAsia" w:ascii="仿宋" w:hAnsi="仿宋" w:eastAsia="仿宋" w:cs="仿宋"/>
          <w:color w:val="auto"/>
          <w:kern w:val="0"/>
          <w:sz w:val="24"/>
          <w:highlight w:val="none"/>
          <w:lang w:val="zh-TW" w:eastAsia="zh-TW"/>
        </w:rPr>
      </w:pPr>
      <w:bookmarkStart w:id="37" w:name="bookmark194"/>
      <w:r>
        <w:rPr>
          <w:rFonts w:hint="eastAsia" w:ascii="仿宋" w:hAnsi="仿宋" w:eastAsia="仿宋" w:cs="仿宋"/>
          <w:color w:val="auto"/>
          <w:kern w:val="0"/>
          <w:sz w:val="24"/>
          <w:highlight w:val="none"/>
          <w:lang w:val="zh-TW" w:eastAsia="zh-TW"/>
        </w:rPr>
        <w:t>2</w:t>
      </w:r>
      <w:bookmarkEnd w:id="37"/>
      <w:r>
        <w:rPr>
          <w:rFonts w:hint="eastAsia" w:ascii="仿宋" w:hAnsi="仿宋" w:eastAsia="仿宋" w:cs="仿宋"/>
          <w:color w:val="auto"/>
          <w:kern w:val="0"/>
          <w:sz w:val="24"/>
          <w:highlight w:val="none"/>
          <w:lang w:val="zh-TW" w:eastAsia="zh-TW"/>
        </w:rPr>
        <w:t>、投标人的报价应包括为完成本项目服务可能发生的全部费用及投标人的利润和应交纳的税金等（包括人员工资、各种社会保险、人员食宿与交通、办公费等）。投标人对合同内容的费用、质量、安全、文明服务等实行全面承包。</w:t>
      </w:r>
    </w:p>
    <w:p>
      <w:pPr>
        <w:tabs>
          <w:tab w:val="left" w:pos="0"/>
        </w:tabs>
        <w:spacing w:line="360" w:lineRule="auto"/>
        <w:ind w:firstLine="480"/>
        <w:rPr>
          <w:rFonts w:hint="eastAsia" w:ascii="仿宋" w:hAnsi="仿宋" w:eastAsia="仿宋" w:cs="仿宋"/>
          <w:color w:val="auto"/>
          <w:kern w:val="0"/>
          <w:sz w:val="24"/>
          <w:highlight w:val="none"/>
          <w:lang w:val="zh-TW" w:eastAsia="zh-CN"/>
        </w:rPr>
      </w:pPr>
      <w:bookmarkStart w:id="38" w:name="bookmark195"/>
      <w:r>
        <w:rPr>
          <w:rFonts w:hint="eastAsia" w:ascii="仿宋" w:hAnsi="仿宋" w:eastAsia="仿宋" w:cs="仿宋"/>
          <w:color w:val="auto"/>
          <w:kern w:val="0"/>
          <w:sz w:val="24"/>
          <w:highlight w:val="none"/>
          <w:lang w:val="zh-TW" w:eastAsia="zh-TW"/>
        </w:rPr>
        <w:t>（</w:t>
      </w:r>
      <w:bookmarkEnd w:id="38"/>
      <w:r>
        <w:rPr>
          <w:rFonts w:hint="eastAsia" w:ascii="仿宋" w:hAnsi="仿宋" w:eastAsia="仿宋" w:cs="仿宋"/>
          <w:color w:val="auto"/>
          <w:kern w:val="0"/>
          <w:sz w:val="24"/>
          <w:highlight w:val="none"/>
          <w:lang w:val="zh-TW" w:eastAsia="zh-TW"/>
        </w:rPr>
        <w:t>二）履约担保</w:t>
      </w:r>
      <w:r>
        <w:rPr>
          <w:rFonts w:hint="eastAsia" w:ascii="仿宋" w:hAnsi="仿宋" w:eastAsia="仿宋" w:cs="仿宋"/>
          <w:color w:val="auto"/>
          <w:kern w:val="0"/>
          <w:sz w:val="24"/>
          <w:highlight w:val="none"/>
          <w:lang w:val="zh-TW" w:eastAsia="zh-CN"/>
        </w:rPr>
        <w:t>：</w:t>
      </w:r>
      <w:r>
        <w:rPr>
          <w:rFonts w:hint="eastAsia" w:ascii="仿宋" w:hAnsi="仿宋" w:eastAsia="仿宋" w:cs="仿宋"/>
          <w:color w:val="auto"/>
          <w:kern w:val="0"/>
          <w:sz w:val="24"/>
          <w:highlight w:val="none"/>
          <w:lang w:val="en-US" w:eastAsia="zh-CN"/>
        </w:rPr>
        <w:t>本项目不收取</w:t>
      </w:r>
      <w:r>
        <w:rPr>
          <w:rFonts w:hint="eastAsia" w:ascii="仿宋" w:hAnsi="仿宋" w:eastAsia="仿宋" w:cs="仿宋"/>
          <w:color w:val="auto"/>
          <w:kern w:val="0"/>
          <w:sz w:val="24"/>
          <w:highlight w:val="none"/>
          <w:lang w:val="zh-TW" w:eastAsia="zh-TW"/>
        </w:rPr>
        <w:t>履约保证金</w:t>
      </w:r>
      <w:r>
        <w:rPr>
          <w:rFonts w:hint="eastAsia" w:ascii="仿宋" w:hAnsi="仿宋" w:eastAsia="仿宋" w:cs="仿宋"/>
          <w:color w:val="auto"/>
          <w:kern w:val="0"/>
          <w:sz w:val="24"/>
          <w:highlight w:val="none"/>
          <w:lang w:val="zh-TW" w:eastAsia="zh-CN"/>
        </w:rPr>
        <w:t>。</w:t>
      </w:r>
    </w:p>
    <w:p>
      <w:pPr>
        <w:tabs>
          <w:tab w:val="left" w:pos="0"/>
        </w:tabs>
        <w:spacing w:line="360" w:lineRule="auto"/>
        <w:ind w:firstLine="480"/>
        <w:rPr>
          <w:rFonts w:hint="eastAsia" w:ascii="仿宋" w:hAnsi="仿宋" w:eastAsia="仿宋" w:cs="仿宋"/>
          <w:color w:val="auto"/>
          <w:kern w:val="0"/>
          <w:sz w:val="24"/>
          <w:highlight w:val="none"/>
          <w:lang w:val="en-US" w:eastAsia="zh-CN"/>
        </w:rPr>
      </w:pPr>
      <w:bookmarkStart w:id="39" w:name="bookmark198"/>
      <w:r>
        <w:rPr>
          <w:rFonts w:hint="eastAsia" w:ascii="仿宋" w:hAnsi="仿宋" w:eastAsia="仿宋" w:cs="仿宋"/>
          <w:color w:val="auto"/>
          <w:kern w:val="0"/>
          <w:sz w:val="24"/>
          <w:highlight w:val="none"/>
          <w:lang w:val="zh-TW" w:eastAsia="zh-TW"/>
        </w:rPr>
        <w:t>（</w:t>
      </w:r>
      <w:bookmarkEnd w:id="39"/>
      <w:r>
        <w:rPr>
          <w:rFonts w:hint="eastAsia" w:ascii="仿宋" w:hAnsi="仿宋" w:eastAsia="仿宋" w:cs="仿宋"/>
          <w:color w:val="auto"/>
          <w:kern w:val="0"/>
          <w:sz w:val="24"/>
          <w:highlight w:val="none"/>
          <w:lang w:val="zh-TW" w:eastAsia="zh-TW"/>
        </w:rPr>
        <w:t>三）</w:t>
      </w:r>
      <w:r>
        <w:rPr>
          <w:rFonts w:hint="eastAsia" w:ascii="仿宋" w:hAnsi="仿宋" w:eastAsia="仿宋" w:cs="仿宋"/>
          <w:color w:val="auto"/>
          <w:kern w:val="0"/>
          <w:sz w:val="24"/>
          <w:highlight w:val="none"/>
          <w:lang w:val="en-US" w:eastAsia="zh-CN"/>
        </w:rPr>
        <w:t>服务期：合同签订之日起12个月。</w:t>
      </w:r>
    </w:p>
    <w:p>
      <w:pPr>
        <w:tabs>
          <w:tab w:val="left" w:pos="0"/>
        </w:tabs>
        <w:spacing w:line="360" w:lineRule="auto"/>
        <w:ind w:firstLine="480"/>
        <w:rPr>
          <w:rFonts w:hint="eastAsia" w:ascii="仿宋" w:hAnsi="仿宋" w:eastAsia="仿宋" w:cs="仿宋"/>
          <w:color w:val="auto"/>
          <w:kern w:val="0"/>
          <w:sz w:val="24"/>
          <w:highlight w:val="none"/>
          <w:lang w:val="zh-TW" w:eastAsia="zh-TW"/>
        </w:rPr>
      </w:pPr>
      <w:r>
        <w:rPr>
          <w:rFonts w:hint="eastAsia" w:ascii="仿宋" w:hAnsi="仿宋" w:eastAsia="仿宋" w:cs="仿宋"/>
          <w:color w:val="auto"/>
          <w:kern w:val="0"/>
          <w:sz w:val="24"/>
          <w:highlight w:val="none"/>
          <w:lang w:val="en-US" w:eastAsia="zh-CN"/>
        </w:rPr>
        <w:t>（四）</w:t>
      </w:r>
      <w:r>
        <w:rPr>
          <w:rFonts w:hint="eastAsia" w:ascii="仿宋" w:hAnsi="仿宋" w:eastAsia="仿宋" w:cs="仿宋"/>
          <w:color w:val="auto"/>
          <w:kern w:val="0"/>
          <w:sz w:val="24"/>
          <w:highlight w:val="none"/>
          <w:lang w:val="zh-TW" w:eastAsia="zh-TW"/>
        </w:rPr>
        <w:t>合同款支付</w:t>
      </w:r>
    </w:p>
    <w:p>
      <w:pPr>
        <w:tabs>
          <w:tab w:val="left" w:pos="0"/>
        </w:tabs>
        <w:spacing w:line="360" w:lineRule="auto"/>
        <w:ind w:firstLine="480"/>
        <w:rPr>
          <w:rFonts w:hint="eastAsia" w:ascii="仿宋" w:hAnsi="仿宋" w:eastAsia="仿宋" w:cs="仿宋"/>
          <w:color w:val="auto"/>
          <w:kern w:val="0"/>
          <w:sz w:val="24"/>
          <w:highlight w:val="none"/>
          <w:lang w:val="zh-TW" w:eastAsia="zh-TW"/>
        </w:rPr>
      </w:pPr>
      <w:r>
        <w:rPr>
          <w:rFonts w:hint="eastAsia" w:ascii="仿宋" w:hAnsi="仿宋" w:eastAsia="仿宋" w:cs="仿宋"/>
          <w:color w:val="auto"/>
          <w:kern w:val="0"/>
          <w:sz w:val="24"/>
          <w:highlight w:val="none"/>
          <w:lang w:val="zh-TW" w:eastAsia="zh-TW"/>
        </w:rPr>
        <w:t>1、</w:t>
      </w:r>
      <w:r>
        <w:rPr>
          <w:rFonts w:hint="eastAsia" w:ascii="仿宋" w:hAnsi="仿宋" w:eastAsia="仿宋" w:cs="仿宋"/>
          <w:color w:val="auto"/>
          <w:kern w:val="0"/>
          <w:sz w:val="24"/>
          <w:highlight w:val="none"/>
          <w:lang w:val="en-US" w:eastAsia="zh-CN"/>
        </w:rPr>
        <w:t>采购人</w:t>
      </w:r>
      <w:r>
        <w:rPr>
          <w:rFonts w:hint="eastAsia" w:ascii="仿宋" w:hAnsi="仿宋" w:eastAsia="仿宋" w:cs="仿宋"/>
          <w:color w:val="auto"/>
          <w:kern w:val="0"/>
          <w:sz w:val="24"/>
          <w:highlight w:val="none"/>
          <w:lang w:val="zh-TW" w:eastAsia="zh-TW"/>
        </w:rPr>
        <w:t>根据第三方评估公司密度监测和防制效果评估和市疾控中心四害密度监测为依据，达到质量要求的，支付</w:t>
      </w:r>
      <w:r>
        <w:rPr>
          <w:rFonts w:hint="eastAsia" w:ascii="仿宋" w:hAnsi="仿宋" w:eastAsia="仿宋" w:cs="仿宋"/>
          <w:color w:val="auto"/>
          <w:kern w:val="0"/>
          <w:sz w:val="24"/>
          <w:highlight w:val="none"/>
          <w:lang w:val="en-US" w:eastAsia="zh-CN"/>
        </w:rPr>
        <w:t>中标供应商</w:t>
      </w:r>
      <w:r>
        <w:rPr>
          <w:rFonts w:hint="eastAsia" w:ascii="仿宋" w:hAnsi="仿宋" w:eastAsia="仿宋" w:cs="仿宋"/>
          <w:color w:val="auto"/>
          <w:kern w:val="0"/>
          <w:sz w:val="24"/>
          <w:highlight w:val="none"/>
          <w:lang w:val="zh-TW" w:eastAsia="zh-TW"/>
        </w:rPr>
        <w:t>服务费，未达到质量要求按违约责任规定扣除相应承包款。</w:t>
      </w:r>
    </w:p>
    <w:p>
      <w:pPr>
        <w:tabs>
          <w:tab w:val="left" w:pos="0"/>
        </w:tabs>
        <w:spacing w:line="360" w:lineRule="auto"/>
        <w:ind w:firstLine="480"/>
        <w:rPr>
          <w:rFonts w:hint="eastAsia" w:ascii="仿宋" w:hAnsi="仿宋" w:eastAsia="仿宋" w:cs="仿宋"/>
          <w:color w:val="auto"/>
          <w:kern w:val="0"/>
          <w:sz w:val="24"/>
          <w:highlight w:val="none"/>
          <w:lang w:val="zh-TW" w:eastAsia="zh-TW"/>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zh-TW" w:eastAsia="zh-TW"/>
        </w:rPr>
        <w:t>合同生效以及具备实施条件后，</w:t>
      </w:r>
      <w:r>
        <w:rPr>
          <w:rFonts w:hint="eastAsia" w:ascii="仿宋" w:hAnsi="仿宋" w:eastAsia="仿宋" w:cs="仿宋"/>
          <w:color w:val="auto"/>
          <w:kern w:val="0"/>
          <w:sz w:val="24"/>
          <w:highlight w:val="none"/>
          <w:lang w:val="en-US" w:eastAsia="zh-CN"/>
        </w:rPr>
        <w:t>采购人在5个工作日内</w:t>
      </w:r>
      <w:r>
        <w:rPr>
          <w:rFonts w:hint="eastAsia" w:ascii="仿宋" w:hAnsi="仿宋" w:eastAsia="仿宋" w:cs="仿宋"/>
          <w:color w:val="auto"/>
          <w:kern w:val="0"/>
          <w:sz w:val="24"/>
          <w:highlight w:val="none"/>
          <w:lang w:val="zh-TW" w:eastAsia="zh-TW"/>
        </w:rPr>
        <w:t>按合同金额的40%支付预付款；剩余合同款按四季度支付，第一、第二季度分别支付合同金额的5%合同款，第三、第四季度分别支付合同金额的25%合同款，每季度实际支付额按考核情况计算。每月度市区考核</w:t>
      </w:r>
      <w:r>
        <w:rPr>
          <w:rFonts w:hint="eastAsia" w:ascii="仿宋" w:hAnsi="仿宋" w:eastAsia="仿宋" w:cs="仿宋"/>
          <w:color w:val="auto"/>
          <w:kern w:val="0"/>
          <w:sz w:val="24"/>
          <w:highlight w:val="none"/>
          <w:lang w:val="en-US" w:eastAsia="zh-CN"/>
        </w:rPr>
        <w:t>排名不低于末位第四名</w:t>
      </w:r>
      <w:r>
        <w:rPr>
          <w:rFonts w:hint="eastAsia" w:ascii="仿宋" w:hAnsi="仿宋" w:eastAsia="仿宋" w:cs="仿宋"/>
          <w:color w:val="auto"/>
          <w:kern w:val="0"/>
          <w:sz w:val="24"/>
          <w:highlight w:val="none"/>
          <w:lang w:val="zh-TW" w:eastAsia="zh-TW"/>
        </w:rPr>
        <w:t>，考核</w:t>
      </w:r>
      <w:r>
        <w:rPr>
          <w:rFonts w:hint="eastAsia" w:ascii="仿宋" w:hAnsi="仿宋" w:eastAsia="仿宋" w:cs="仿宋"/>
          <w:color w:val="auto"/>
          <w:kern w:val="0"/>
          <w:sz w:val="24"/>
          <w:highlight w:val="none"/>
          <w:lang w:val="en-US" w:eastAsia="zh-CN"/>
        </w:rPr>
        <w:t>排名低于末位第四名视为</w:t>
      </w:r>
      <w:r>
        <w:rPr>
          <w:rFonts w:hint="eastAsia" w:ascii="仿宋" w:hAnsi="仿宋" w:eastAsia="仿宋" w:cs="仿宋"/>
          <w:color w:val="auto"/>
          <w:kern w:val="0"/>
          <w:sz w:val="24"/>
          <w:highlight w:val="none"/>
          <w:lang w:val="zh-TW" w:eastAsia="zh-TW"/>
        </w:rPr>
        <w:t>不达标，</w:t>
      </w:r>
      <w:r>
        <w:rPr>
          <w:rFonts w:hint="eastAsia" w:ascii="仿宋" w:hAnsi="仿宋" w:eastAsia="仿宋" w:cs="仿宋"/>
          <w:color w:val="auto"/>
          <w:kern w:val="0"/>
          <w:sz w:val="24"/>
          <w:highlight w:val="none"/>
          <w:lang w:val="en-US" w:eastAsia="zh-CN"/>
        </w:rPr>
        <w:t>出现一次</w:t>
      </w:r>
      <w:r>
        <w:rPr>
          <w:rFonts w:hint="eastAsia" w:ascii="仿宋" w:hAnsi="仿宋" w:eastAsia="仿宋" w:cs="仿宋"/>
          <w:color w:val="auto"/>
          <w:kern w:val="0"/>
          <w:sz w:val="24"/>
          <w:highlight w:val="none"/>
          <w:lang w:val="zh-TW" w:eastAsia="zh-TW"/>
        </w:rPr>
        <w:t>扣除合同总金额2%，</w:t>
      </w:r>
      <w:r>
        <w:rPr>
          <w:rFonts w:hint="eastAsia" w:ascii="仿宋" w:hAnsi="仿宋" w:eastAsia="仿宋" w:cs="仿宋"/>
          <w:color w:val="auto"/>
          <w:kern w:val="0"/>
          <w:sz w:val="24"/>
          <w:highlight w:val="none"/>
          <w:lang w:val="en-US" w:eastAsia="zh-CN"/>
        </w:rPr>
        <w:t>出现两次</w:t>
      </w:r>
      <w:r>
        <w:rPr>
          <w:rFonts w:hint="eastAsia" w:ascii="仿宋" w:hAnsi="仿宋" w:eastAsia="仿宋" w:cs="仿宋"/>
          <w:color w:val="auto"/>
          <w:kern w:val="0"/>
          <w:sz w:val="24"/>
          <w:highlight w:val="none"/>
          <w:lang w:val="zh-TW" w:eastAsia="zh-TW"/>
        </w:rPr>
        <w:t>，扣除合同总金额4%，</w:t>
      </w:r>
      <w:r>
        <w:rPr>
          <w:rFonts w:hint="eastAsia" w:ascii="仿宋" w:hAnsi="仿宋" w:eastAsia="仿宋" w:cs="仿宋"/>
          <w:color w:val="auto"/>
          <w:kern w:val="0"/>
          <w:sz w:val="24"/>
          <w:highlight w:val="none"/>
          <w:lang w:val="en-US" w:eastAsia="zh-CN"/>
        </w:rPr>
        <w:t>出现三次</w:t>
      </w:r>
      <w:r>
        <w:rPr>
          <w:rFonts w:hint="eastAsia" w:ascii="仿宋" w:hAnsi="仿宋" w:eastAsia="仿宋" w:cs="仿宋"/>
          <w:color w:val="auto"/>
          <w:kern w:val="0"/>
          <w:sz w:val="24"/>
          <w:highlight w:val="none"/>
          <w:lang w:val="zh-TW" w:eastAsia="zh-TW"/>
        </w:rPr>
        <w:t>，扣除合同总金额</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lang w:val="zh-TW" w:eastAsia="zh-TW"/>
        </w:rPr>
        <w:t>%，若</w:t>
      </w:r>
      <w:r>
        <w:rPr>
          <w:rFonts w:hint="eastAsia" w:ascii="仿宋" w:hAnsi="仿宋" w:eastAsia="仿宋" w:cs="仿宋"/>
          <w:color w:val="auto"/>
          <w:kern w:val="0"/>
          <w:sz w:val="24"/>
          <w:highlight w:val="none"/>
          <w:lang w:val="en-US" w:eastAsia="zh-CN"/>
        </w:rPr>
        <w:t>出现</w:t>
      </w:r>
      <w:r>
        <w:rPr>
          <w:rFonts w:hint="eastAsia" w:ascii="仿宋" w:hAnsi="仿宋" w:eastAsia="仿宋" w:cs="仿宋"/>
          <w:color w:val="auto"/>
          <w:kern w:val="0"/>
          <w:sz w:val="24"/>
          <w:highlight w:val="none"/>
          <w:lang w:val="zh-TW" w:eastAsia="zh-TW"/>
        </w:rPr>
        <w:t>考核</w:t>
      </w:r>
      <w:r>
        <w:rPr>
          <w:rFonts w:hint="eastAsia" w:ascii="仿宋" w:hAnsi="仿宋" w:eastAsia="仿宋" w:cs="仿宋"/>
          <w:color w:val="auto"/>
          <w:kern w:val="0"/>
          <w:sz w:val="24"/>
          <w:highlight w:val="none"/>
          <w:lang w:val="en-US" w:eastAsia="zh-CN"/>
        </w:rPr>
        <w:t>排名四次以及上低于末位第四名的</w:t>
      </w:r>
      <w:r>
        <w:rPr>
          <w:rFonts w:hint="eastAsia" w:ascii="仿宋" w:hAnsi="仿宋" w:eastAsia="仿宋" w:cs="仿宋"/>
          <w:color w:val="auto"/>
          <w:kern w:val="0"/>
          <w:sz w:val="24"/>
          <w:highlight w:val="none"/>
          <w:lang w:val="zh-TW" w:eastAsia="zh-TW"/>
        </w:rPr>
        <w:t>，</w:t>
      </w:r>
      <w:r>
        <w:rPr>
          <w:rFonts w:hint="eastAsia" w:ascii="仿宋" w:hAnsi="仿宋" w:eastAsia="仿宋" w:cs="仿宋"/>
          <w:color w:val="auto"/>
          <w:kern w:val="0"/>
          <w:sz w:val="24"/>
          <w:highlight w:val="none"/>
          <w:lang w:val="en-US" w:eastAsia="zh-CN"/>
        </w:rPr>
        <w:t>采购人</w:t>
      </w:r>
      <w:r>
        <w:rPr>
          <w:rFonts w:hint="eastAsia" w:ascii="仿宋" w:hAnsi="仿宋" w:eastAsia="仿宋" w:cs="仿宋"/>
          <w:color w:val="auto"/>
          <w:kern w:val="0"/>
          <w:sz w:val="24"/>
          <w:highlight w:val="none"/>
          <w:lang w:val="zh-TW" w:eastAsia="zh-TW"/>
        </w:rPr>
        <w:t>有权终止合同。</w:t>
      </w:r>
    </w:p>
    <w:p>
      <w:pPr>
        <w:tabs>
          <w:tab w:val="left" w:pos="0"/>
        </w:tabs>
        <w:spacing w:line="360" w:lineRule="auto"/>
        <w:ind w:firstLine="480"/>
        <w:rPr>
          <w:rFonts w:hint="eastAsia" w:ascii="仿宋" w:hAnsi="仿宋" w:eastAsia="仿宋" w:cs="仿宋"/>
          <w:color w:val="auto"/>
          <w:kern w:val="0"/>
          <w:sz w:val="24"/>
          <w:highlight w:val="none"/>
          <w:lang w:val="zh-TW" w:eastAsia="zh-TW"/>
        </w:rPr>
      </w:pPr>
      <w:r>
        <w:rPr>
          <w:rFonts w:hint="eastAsia" w:ascii="仿宋" w:hAnsi="仿宋" w:eastAsia="仿宋" w:cs="仿宋"/>
          <w:color w:val="auto"/>
          <w:kern w:val="0"/>
          <w:sz w:val="24"/>
          <w:highlight w:val="none"/>
          <w:lang w:val="zh-TW" w:eastAsia="zh-TW"/>
        </w:rPr>
        <w:t>3、考核办法由甲方根据上级爱卫会公布的标准和要求制订。</w:t>
      </w:r>
    </w:p>
    <w:p>
      <w:pPr>
        <w:tabs>
          <w:tab w:val="left" w:pos="0"/>
        </w:tabs>
        <w:spacing w:line="360" w:lineRule="auto"/>
        <w:ind w:firstLine="480"/>
        <w:rPr>
          <w:rFonts w:hint="eastAsia" w:ascii="仿宋" w:hAnsi="仿宋" w:eastAsia="仿宋" w:cs="仿宋"/>
          <w:color w:val="auto"/>
          <w:kern w:val="0"/>
          <w:sz w:val="24"/>
          <w:highlight w:val="none"/>
          <w:lang w:val="zh-TW" w:eastAsia="zh-TW"/>
        </w:rPr>
      </w:pPr>
      <w:r>
        <w:rPr>
          <w:rFonts w:hint="eastAsia" w:ascii="仿宋" w:hAnsi="仿宋" w:eastAsia="仿宋" w:cs="仿宋"/>
          <w:color w:val="auto"/>
          <w:kern w:val="0"/>
          <w:sz w:val="24"/>
          <w:highlight w:val="none"/>
          <w:lang w:val="zh-TW" w:eastAsia="zh-TW"/>
        </w:rPr>
        <w:t>注：付款前，</w:t>
      </w:r>
      <w:r>
        <w:rPr>
          <w:rFonts w:hint="eastAsia" w:ascii="仿宋" w:hAnsi="仿宋" w:eastAsia="仿宋" w:cs="仿宋"/>
          <w:color w:val="auto"/>
          <w:kern w:val="0"/>
          <w:sz w:val="24"/>
          <w:highlight w:val="none"/>
          <w:lang w:val="zh-TW" w:eastAsia="zh-CN"/>
        </w:rPr>
        <w:t>中标供应商</w:t>
      </w:r>
      <w:r>
        <w:rPr>
          <w:rFonts w:hint="eastAsia" w:ascii="仿宋" w:hAnsi="仿宋" w:eastAsia="仿宋" w:cs="仿宋"/>
          <w:color w:val="auto"/>
          <w:kern w:val="0"/>
          <w:sz w:val="24"/>
          <w:highlight w:val="none"/>
          <w:lang w:val="zh-TW" w:eastAsia="zh-TW"/>
        </w:rPr>
        <w:t>须提供符合要求的财务发票，否则采购单位有权不予支付，且不承担违约责任，但</w:t>
      </w:r>
      <w:r>
        <w:rPr>
          <w:rFonts w:hint="eastAsia" w:ascii="仿宋" w:hAnsi="仿宋" w:eastAsia="仿宋" w:cs="仿宋"/>
          <w:color w:val="auto"/>
          <w:kern w:val="0"/>
          <w:sz w:val="24"/>
          <w:highlight w:val="none"/>
          <w:lang w:val="zh-TW" w:eastAsia="zh-CN"/>
        </w:rPr>
        <w:t>中标供应商</w:t>
      </w:r>
      <w:r>
        <w:rPr>
          <w:rFonts w:hint="eastAsia" w:ascii="仿宋" w:hAnsi="仿宋" w:eastAsia="仿宋" w:cs="仿宋"/>
          <w:color w:val="auto"/>
          <w:kern w:val="0"/>
          <w:sz w:val="24"/>
          <w:highlight w:val="none"/>
          <w:lang w:val="zh-TW" w:eastAsia="zh-TW"/>
        </w:rPr>
        <w:t>仍须履行本合同。</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（五）其他</w:t>
      </w:r>
    </w:p>
    <w:p>
      <w:pPr>
        <w:tabs>
          <w:tab w:val="left" w:pos="0"/>
        </w:tabs>
        <w:spacing w:line="360" w:lineRule="auto"/>
        <w:ind w:firstLine="480"/>
        <w:rPr>
          <w:rFonts w:hint="eastAsia" w:ascii="仿宋" w:hAnsi="仿宋" w:eastAsia="仿宋" w:cs="仿宋"/>
          <w:color w:val="auto"/>
          <w:kern w:val="0"/>
          <w:sz w:val="24"/>
          <w:highlight w:val="none"/>
          <w:lang w:val="zh-TW" w:eastAsia="zh-TW"/>
        </w:rPr>
      </w:pPr>
      <w:r>
        <w:rPr>
          <w:rFonts w:hint="eastAsia" w:ascii="仿宋" w:hAnsi="仿宋" w:eastAsia="仿宋" w:cs="仿宋"/>
          <w:color w:val="auto"/>
          <w:kern w:val="0"/>
          <w:sz w:val="24"/>
          <w:highlight w:val="none"/>
          <w:lang w:val="zh-TW" w:eastAsia="zh-TW"/>
        </w:rPr>
        <w:t>中标供应商不得将相关工作转包，一经发现有转包行为本协议自动终止，并追究</w:t>
      </w:r>
      <w:r>
        <w:rPr>
          <w:rFonts w:hint="eastAsia" w:ascii="仿宋" w:hAnsi="仿宋" w:eastAsia="仿宋" w:cs="仿宋"/>
          <w:color w:val="auto"/>
          <w:kern w:val="0"/>
          <w:sz w:val="24"/>
          <w:highlight w:val="none"/>
          <w:lang w:val="zh-TW" w:eastAsia="zh-CN"/>
        </w:rPr>
        <w:t>中标供应商</w:t>
      </w:r>
      <w:r>
        <w:rPr>
          <w:rFonts w:hint="eastAsia" w:ascii="仿宋" w:hAnsi="仿宋" w:eastAsia="仿宋" w:cs="仿宋"/>
          <w:color w:val="auto"/>
          <w:kern w:val="0"/>
          <w:sz w:val="24"/>
          <w:highlight w:val="none"/>
          <w:lang w:val="zh-TW" w:eastAsia="zh-TW"/>
        </w:rPr>
        <w:t>相关责任。</w:t>
      </w:r>
    </w:p>
    <w:p>
      <w:pPr>
        <w:tabs>
          <w:tab w:val="left" w:pos="0"/>
        </w:tabs>
        <w:spacing w:line="360" w:lineRule="auto"/>
        <w:ind w:firstLine="480"/>
        <w:rPr>
          <w:rFonts w:hint="eastAsia" w:ascii="仿宋" w:hAnsi="仿宋" w:eastAsia="仿宋" w:cs="仿宋"/>
          <w:color w:val="auto"/>
          <w:kern w:val="0"/>
          <w:sz w:val="24"/>
          <w:highlight w:val="none"/>
          <w:lang w:val="zh-TW" w:eastAsia="zh-TW"/>
        </w:rPr>
      </w:pPr>
      <w:r>
        <w:rPr>
          <w:rFonts w:hint="eastAsia" w:ascii="仿宋" w:hAnsi="仿宋" w:eastAsia="仿宋" w:cs="仿宋"/>
          <w:color w:val="auto"/>
          <w:kern w:val="0"/>
          <w:sz w:val="24"/>
          <w:highlight w:val="none"/>
          <w:lang w:val="zh-TW" w:eastAsia="zh-TW"/>
        </w:rPr>
        <w:t>项目实施过程中发生的死亡、人身伤害、财产损失、损害以及任何其它损失、损害和引起的费用和开支，由供应商承担全部责任。</w:t>
      </w:r>
    </w:p>
    <w:bookmarkEnd w:id="32"/>
    <w:bookmarkEnd w:id="33"/>
    <w:bookmarkEnd w:id="34"/>
    <w:p>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 xml:space="preserve">第四部分  </w:t>
      </w:r>
      <w:bookmarkStart w:id="40" w:name="_Toc184313274"/>
      <w:bookmarkEnd w:id="40"/>
      <w:bookmarkStart w:id="41" w:name="_Toc184314416"/>
      <w:bookmarkEnd w:id="41"/>
      <w:bookmarkStart w:id="42" w:name="_Toc184312123"/>
      <w:bookmarkEnd w:id="42"/>
      <w:bookmarkStart w:id="43" w:name="_Toc184314464"/>
      <w:bookmarkEnd w:id="43"/>
      <w:bookmarkStart w:id="44" w:name="_Toc184312133"/>
      <w:bookmarkEnd w:id="44"/>
      <w:bookmarkStart w:id="45" w:name="_Toc184308055"/>
      <w:bookmarkEnd w:id="45"/>
      <w:bookmarkStart w:id="46" w:name="_Toc184310324"/>
      <w:bookmarkEnd w:id="46"/>
      <w:bookmarkStart w:id="47" w:name="_Toc184313294"/>
      <w:bookmarkEnd w:id="47"/>
      <w:bookmarkStart w:id="48" w:name="_Toc184314442"/>
      <w:bookmarkEnd w:id="48"/>
      <w:bookmarkStart w:id="49" w:name="_Toc184310334"/>
      <w:bookmarkEnd w:id="49"/>
      <w:bookmarkStart w:id="50" w:name="_Toc184314424"/>
      <w:bookmarkEnd w:id="50"/>
      <w:bookmarkStart w:id="51" w:name="_Toc184308096"/>
      <w:bookmarkEnd w:id="51"/>
      <w:bookmarkStart w:id="52" w:name="_Toc184314410"/>
      <w:bookmarkEnd w:id="52"/>
      <w:bookmarkStart w:id="53" w:name="_Toc184313271"/>
      <w:bookmarkEnd w:id="53"/>
      <w:bookmarkStart w:id="54" w:name="_Toc184310330"/>
      <w:bookmarkEnd w:id="54"/>
      <w:bookmarkStart w:id="55" w:name="_Toc184310314"/>
      <w:bookmarkEnd w:id="55"/>
      <w:bookmarkStart w:id="56" w:name="_Toc184314440"/>
      <w:bookmarkEnd w:id="56"/>
      <w:bookmarkStart w:id="57" w:name="_Toc184314441"/>
      <w:bookmarkEnd w:id="57"/>
      <w:bookmarkStart w:id="58" w:name="_Toc184314457"/>
      <w:bookmarkEnd w:id="58"/>
      <w:bookmarkStart w:id="59" w:name="_Toc184312082"/>
      <w:bookmarkEnd w:id="59"/>
      <w:bookmarkStart w:id="60" w:name="_Toc184312138"/>
      <w:bookmarkEnd w:id="60"/>
      <w:bookmarkStart w:id="61" w:name="_Toc184314455"/>
      <w:bookmarkEnd w:id="61"/>
      <w:bookmarkStart w:id="62" w:name="_Toc184308090"/>
      <w:bookmarkEnd w:id="62"/>
      <w:bookmarkStart w:id="63" w:name="_Toc184312106"/>
      <w:bookmarkEnd w:id="63"/>
      <w:bookmarkStart w:id="64" w:name="_Toc184310308"/>
      <w:bookmarkEnd w:id="64"/>
      <w:bookmarkStart w:id="65" w:name="_Toc184308053"/>
      <w:bookmarkEnd w:id="65"/>
      <w:bookmarkStart w:id="66" w:name="_Toc184310297"/>
      <w:bookmarkEnd w:id="66"/>
      <w:bookmarkStart w:id="67" w:name="_Toc184313241"/>
      <w:bookmarkEnd w:id="67"/>
      <w:bookmarkStart w:id="68" w:name="_Toc184314469"/>
      <w:bookmarkEnd w:id="68"/>
      <w:bookmarkStart w:id="69" w:name="_Toc184312119"/>
      <w:bookmarkEnd w:id="69"/>
      <w:bookmarkStart w:id="70" w:name="_Toc184314412"/>
      <w:bookmarkEnd w:id="70"/>
      <w:bookmarkStart w:id="71" w:name="_Toc184308067"/>
      <w:bookmarkEnd w:id="71"/>
      <w:bookmarkStart w:id="72" w:name="_Toc184310275"/>
      <w:bookmarkEnd w:id="72"/>
      <w:bookmarkStart w:id="73" w:name="_Toc184312079"/>
      <w:bookmarkEnd w:id="73"/>
      <w:bookmarkStart w:id="74" w:name="_Toc184308099"/>
      <w:bookmarkEnd w:id="74"/>
      <w:bookmarkStart w:id="75" w:name="_Toc184313268"/>
      <w:bookmarkEnd w:id="75"/>
      <w:bookmarkStart w:id="76" w:name="_Toc184314421"/>
      <w:bookmarkEnd w:id="76"/>
      <w:bookmarkStart w:id="77" w:name="_Toc184313281"/>
      <w:bookmarkEnd w:id="77"/>
      <w:bookmarkStart w:id="78" w:name="_Toc184312098"/>
      <w:bookmarkEnd w:id="78"/>
      <w:bookmarkStart w:id="79" w:name="_Toc184308043"/>
      <w:bookmarkEnd w:id="79"/>
      <w:bookmarkStart w:id="80" w:name="_Toc184310285"/>
      <w:bookmarkEnd w:id="80"/>
      <w:bookmarkStart w:id="81" w:name="_Toc184314459"/>
      <w:bookmarkEnd w:id="81"/>
      <w:bookmarkStart w:id="82" w:name="_Toc184308083"/>
      <w:bookmarkEnd w:id="82"/>
      <w:bookmarkStart w:id="83" w:name="_Toc184308068"/>
      <w:bookmarkEnd w:id="83"/>
      <w:bookmarkStart w:id="84" w:name="_Toc184313247"/>
      <w:bookmarkEnd w:id="84"/>
      <w:bookmarkStart w:id="85" w:name="_Toc184308100"/>
      <w:bookmarkEnd w:id="85"/>
      <w:bookmarkStart w:id="86" w:name="_Toc184308103"/>
      <w:bookmarkEnd w:id="86"/>
      <w:bookmarkStart w:id="87" w:name="_Toc184314437"/>
      <w:bookmarkEnd w:id="87"/>
      <w:bookmarkStart w:id="88" w:name="_Toc184310306"/>
      <w:bookmarkEnd w:id="88"/>
      <w:bookmarkStart w:id="89" w:name="_Toc184310307"/>
      <w:bookmarkEnd w:id="89"/>
      <w:bookmarkStart w:id="90" w:name="_Toc184310305"/>
      <w:bookmarkEnd w:id="90"/>
      <w:bookmarkStart w:id="91" w:name="_Toc184314473"/>
      <w:bookmarkEnd w:id="91"/>
      <w:bookmarkStart w:id="92" w:name="_Toc184310315"/>
      <w:bookmarkEnd w:id="92"/>
      <w:bookmarkStart w:id="93" w:name="_Toc184312069"/>
      <w:bookmarkEnd w:id="93"/>
      <w:bookmarkStart w:id="94" w:name="_Toc184314479"/>
      <w:bookmarkEnd w:id="94"/>
      <w:bookmarkStart w:id="95" w:name="_Toc184308088"/>
      <w:bookmarkEnd w:id="95"/>
      <w:bookmarkStart w:id="96" w:name="_Toc184308106"/>
      <w:bookmarkEnd w:id="96"/>
      <w:bookmarkStart w:id="97" w:name="_Toc184314446"/>
      <w:bookmarkEnd w:id="97"/>
      <w:bookmarkStart w:id="98" w:name="_Toc184313282"/>
      <w:bookmarkEnd w:id="98"/>
      <w:bookmarkStart w:id="99" w:name="_Toc184313286"/>
      <w:bookmarkEnd w:id="99"/>
      <w:bookmarkStart w:id="100" w:name="_Toc184314435"/>
      <w:bookmarkEnd w:id="100"/>
      <w:bookmarkStart w:id="101" w:name="_Toc184313246"/>
      <w:bookmarkEnd w:id="101"/>
      <w:bookmarkStart w:id="102" w:name="_Toc184312084"/>
      <w:bookmarkEnd w:id="102"/>
      <w:bookmarkStart w:id="103" w:name="_Toc184314428"/>
      <w:bookmarkEnd w:id="103"/>
      <w:bookmarkStart w:id="104" w:name="_Toc184310319"/>
      <w:bookmarkEnd w:id="104"/>
      <w:bookmarkStart w:id="105" w:name="_Toc184313251"/>
      <w:bookmarkEnd w:id="105"/>
      <w:bookmarkStart w:id="106" w:name="_Toc184310280"/>
      <w:bookmarkEnd w:id="106"/>
      <w:bookmarkStart w:id="107" w:name="_Toc184313279"/>
      <w:bookmarkEnd w:id="107"/>
      <w:bookmarkStart w:id="108" w:name="_Toc184310322"/>
      <w:bookmarkEnd w:id="108"/>
      <w:bookmarkStart w:id="109" w:name="_Toc184313283"/>
      <w:bookmarkEnd w:id="109"/>
      <w:bookmarkStart w:id="110" w:name="_Toc184314478"/>
      <w:bookmarkEnd w:id="110"/>
      <w:bookmarkStart w:id="111" w:name="_Toc184310326"/>
      <w:bookmarkEnd w:id="111"/>
      <w:bookmarkStart w:id="112" w:name="_Toc184313262"/>
      <w:bookmarkEnd w:id="112"/>
      <w:bookmarkStart w:id="113" w:name="_Toc184308076"/>
      <w:bookmarkEnd w:id="113"/>
      <w:bookmarkStart w:id="114" w:name="_Toc184314476"/>
      <w:bookmarkEnd w:id="114"/>
      <w:bookmarkStart w:id="115" w:name="_Toc184308054"/>
      <w:bookmarkEnd w:id="115"/>
      <w:bookmarkStart w:id="116" w:name="_Toc184312103"/>
      <w:bookmarkEnd w:id="116"/>
      <w:bookmarkStart w:id="117" w:name="_Toc184314465"/>
      <w:bookmarkEnd w:id="117"/>
      <w:bookmarkStart w:id="118" w:name="_Toc184314451"/>
      <w:bookmarkEnd w:id="118"/>
      <w:bookmarkStart w:id="119" w:name="_Toc184313238"/>
      <w:bookmarkEnd w:id="119"/>
      <w:bookmarkStart w:id="120" w:name="_Toc184313259"/>
      <w:bookmarkEnd w:id="120"/>
      <w:bookmarkStart w:id="121" w:name="_Toc184313303"/>
      <w:bookmarkEnd w:id="121"/>
      <w:bookmarkStart w:id="122" w:name="_Toc184308052"/>
      <w:bookmarkEnd w:id="122"/>
      <w:bookmarkStart w:id="123" w:name="_Toc184313295"/>
      <w:bookmarkEnd w:id="123"/>
      <w:bookmarkStart w:id="124" w:name="_Toc184313253"/>
      <w:bookmarkEnd w:id="124"/>
      <w:bookmarkStart w:id="125" w:name="_Toc184308095"/>
      <w:bookmarkEnd w:id="125"/>
      <w:bookmarkStart w:id="126" w:name="_Toc184310309"/>
      <w:bookmarkEnd w:id="126"/>
      <w:bookmarkStart w:id="127" w:name="_Toc184314474"/>
      <w:bookmarkEnd w:id="127"/>
      <w:bookmarkStart w:id="128" w:name="_Toc184312102"/>
      <w:bookmarkEnd w:id="128"/>
      <w:bookmarkStart w:id="129" w:name="_Toc184313275"/>
      <w:bookmarkEnd w:id="129"/>
      <w:bookmarkStart w:id="130" w:name="_Toc184313292"/>
      <w:bookmarkEnd w:id="130"/>
      <w:bookmarkStart w:id="131" w:name="_Toc184310287"/>
      <w:bookmarkEnd w:id="131"/>
      <w:bookmarkStart w:id="132" w:name="_Toc184308046"/>
      <w:bookmarkEnd w:id="132"/>
      <w:bookmarkStart w:id="133" w:name="_Toc184310279"/>
      <w:bookmarkEnd w:id="133"/>
      <w:bookmarkStart w:id="134" w:name="_Toc184308074"/>
      <w:bookmarkEnd w:id="134"/>
      <w:bookmarkStart w:id="135" w:name="_Toc184313273"/>
      <w:bookmarkEnd w:id="135"/>
      <w:bookmarkStart w:id="136" w:name="_Toc184310335"/>
      <w:bookmarkEnd w:id="136"/>
      <w:bookmarkStart w:id="137" w:name="_Toc184313304"/>
      <w:bookmarkEnd w:id="137"/>
      <w:bookmarkStart w:id="138" w:name="_Toc184314413"/>
      <w:bookmarkEnd w:id="138"/>
      <w:bookmarkStart w:id="139" w:name="_Toc184313293"/>
      <w:bookmarkEnd w:id="139"/>
      <w:bookmarkStart w:id="140" w:name="_Toc184310272"/>
      <w:bookmarkEnd w:id="140"/>
      <w:bookmarkStart w:id="141" w:name="_Toc184314461"/>
      <w:bookmarkEnd w:id="141"/>
      <w:bookmarkStart w:id="142" w:name="_Toc184313285"/>
      <w:bookmarkEnd w:id="142"/>
      <w:bookmarkStart w:id="143" w:name="_Toc184310296"/>
      <w:bookmarkEnd w:id="143"/>
      <w:bookmarkStart w:id="144" w:name="_Toc184308104"/>
      <w:bookmarkEnd w:id="144"/>
      <w:bookmarkStart w:id="145" w:name="_Toc184314432"/>
      <w:bookmarkEnd w:id="145"/>
      <w:bookmarkStart w:id="146" w:name="_Toc184310302"/>
      <w:bookmarkEnd w:id="146"/>
      <w:bookmarkStart w:id="147" w:name="_Toc184314423"/>
      <w:bookmarkEnd w:id="147"/>
      <w:bookmarkStart w:id="148" w:name="_Toc184313300"/>
      <w:bookmarkEnd w:id="148"/>
      <w:bookmarkStart w:id="149" w:name="_Toc184314443"/>
      <w:bookmarkEnd w:id="149"/>
      <w:bookmarkStart w:id="150" w:name="_Toc184312114"/>
      <w:bookmarkEnd w:id="150"/>
      <w:bookmarkStart w:id="151" w:name="_Toc184312087"/>
      <w:bookmarkEnd w:id="151"/>
      <w:bookmarkStart w:id="152" w:name="_Toc184308075"/>
      <w:bookmarkEnd w:id="152"/>
      <w:bookmarkStart w:id="153" w:name="_Toc184312120"/>
      <w:bookmarkEnd w:id="153"/>
      <w:bookmarkStart w:id="154" w:name="_Toc184314422"/>
      <w:bookmarkEnd w:id="154"/>
      <w:bookmarkStart w:id="155" w:name="_Toc184310325"/>
      <w:bookmarkEnd w:id="155"/>
      <w:bookmarkStart w:id="156" w:name="_Toc184313290"/>
      <w:bookmarkEnd w:id="156"/>
      <w:bookmarkStart w:id="157" w:name="_Toc184310286"/>
      <w:bookmarkEnd w:id="157"/>
      <w:bookmarkStart w:id="158" w:name="_Toc184314418"/>
      <w:bookmarkEnd w:id="158"/>
      <w:bookmarkStart w:id="159" w:name="_Toc184314471"/>
      <w:bookmarkEnd w:id="159"/>
      <w:bookmarkStart w:id="160" w:name="_Toc184310303"/>
      <w:bookmarkEnd w:id="160"/>
      <w:bookmarkStart w:id="161" w:name="_Toc184312074"/>
      <w:bookmarkEnd w:id="161"/>
      <w:bookmarkStart w:id="162" w:name="_Toc184313297"/>
      <w:bookmarkEnd w:id="162"/>
      <w:bookmarkStart w:id="163" w:name="_Toc184314445"/>
      <w:bookmarkEnd w:id="163"/>
      <w:bookmarkStart w:id="164" w:name="_Toc184314419"/>
      <w:bookmarkEnd w:id="164"/>
      <w:bookmarkStart w:id="165" w:name="_Toc184312080"/>
      <w:bookmarkEnd w:id="165"/>
      <w:bookmarkStart w:id="166" w:name="_Toc184313266"/>
      <w:bookmarkEnd w:id="166"/>
      <w:bookmarkStart w:id="167" w:name="_Toc184313263"/>
      <w:bookmarkEnd w:id="167"/>
      <w:bookmarkStart w:id="168" w:name="_Toc184308084"/>
      <w:bookmarkEnd w:id="168"/>
      <w:bookmarkStart w:id="169" w:name="_Toc184308102"/>
      <w:bookmarkEnd w:id="169"/>
      <w:bookmarkStart w:id="170" w:name="_Toc184308057"/>
      <w:bookmarkEnd w:id="170"/>
      <w:bookmarkStart w:id="171" w:name="_Toc184312137"/>
      <w:bookmarkEnd w:id="171"/>
      <w:bookmarkStart w:id="172" w:name="_Toc184314453"/>
      <w:bookmarkEnd w:id="172"/>
      <w:bookmarkStart w:id="173" w:name="_Toc184312128"/>
      <w:bookmarkEnd w:id="173"/>
      <w:bookmarkStart w:id="174" w:name="_Toc184312083"/>
      <w:bookmarkEnd w:id="174"/>
      <w:bookmarkStart w:id="175" w:name="_Toc184310323"/>
      <w:bookmarkEnd w:id="175"/>
      <w:bookmarkStart w:id="176" w:name="_Toc184312104"/>
      <w:bookmarkEnd w:id="176"/>
      <w:bookmarkStart w:id="177" w:name="_Toc184312113"/>
      <w:bookmarkEnd w:id="177"/>
      <w:bookmarkStart w:id="178" w:name="_Toc184314477"/>
      <w:bookmarkEnd w:id="178"/>
      <w:bookmarkStart w:id="179" w:name="_Toc184310299"/>
      <w:bookmarkEnd w:id="179"/>
      <w:bookmarkStart w:id="180" w:name="_Toc184312067"/>
      <w:bookmarkEnd w:id="180"/>
      <w:bookmarkStart w:id="181" w:name="_Toc184314454"/>
      <w:bookmarkEnd w:id="181"/>
      <w:bookmarkStart w:id="182" w:name="_Toc184313249"/>
      <w:bookmarkEnd w:id="182"/>
      <w:bookmarkStart w:id="183" w:name="_Toc184308089"/>
      <w:bookmarkEnd w:id="183"/>
      <w:bookmarkStart w:id="184" w:name="_Toc184308092"/>
      <w:bookmarkEnd w:id="184"/>
      <w:bookmarkStart w:id="185" w:name="_Toc184310320"/>
      <w:bookmarkEnd w:id="185"/>
      <w:bookmarkStart w:id="186" w:name="_Toc184314480"/>
      <w:bookmarkEnd w:id="186"/>
      <w:bookmarkStart w:id="187" w:name="_Toc184314433"/>
      <w:bookmarkEnd w:id="187"/>
      <w:bookmarkStart w:id="188" w:name="_Toc184314427"/>
      <w:bookmarkEnd w:id="188"/>
      <w:bookmarkStart w:id="189" w:name="_Toc184308065"/>
      <w:bookmarkEnd w:id="189"/>
      <w:bookmarkStart w:id="190" w:name="_Toc184310337"/>
      <w:bookmarkEnd w:id="190"/>
      <w:bookmarkStart w:id="191" w:name="_Toc184308082"/>
      <w:bookmarkEnd w:id="191"/>
      <w:bookmarkStart w:id="192" w:name="_Toc184312086"/>
      <w:bookmarkEnd w:id="192"/>
      <w:bookmarkStart w:id="193" w:name="_Toc184308078"/>
      <w:bookmarkEnd w:id="193"/>
      <w:bookmarkStart w:id="194" w:name="_Toc184312101"/>
      <w:bookmarkEnd w:id="194"/>
      <w:bookmarkStart w:id="195" w:name="_Toc184312105"/>
      <w:bookmarkEnd w:id="195"/>
      <w:bookmarkStart w:id="196" w:name="_Toc184310274"/>
      <w:bookmarkEnd w:id="196"/>
      <w:bookmarkStart w:id="197" w:name="_Toc184312127"/>
      <w:bookmarkEnd w:id="197"/>
      <w:bookmarkStart w:id="198" w:name="_Toc184314430"/>
      <w:bookmarkEnd w:id="198"/>
      <w:bookmarkStart w:id="199" w:name="_Toc184314420"/>
      <w:bookmarkEnd w:id="199"/>
      <w:bookmarkStart w:id="200" w:name="_Toc184308063"/>
      <w:bookmarkEnd w:id="200"/>
      <w:bookmarkStart w:id="201" w:name="_Toc184310341"/>
      <w:bookmarkEnd w:id="201"/>
      <w:bookmarkStart w:id="202" w:name="_Toc184312078"/>
      <w:bookmarkEnd w:id="202"/>
      <w:bookmarkStart w:id="203" w:name="_Toc184308042"/>
      <w:bookmarkEnd w:id="203"/>
      <w:bookmarkStart w:id="204" w:name="_Toc184310333"/>
      <w:bookmarkEnd w:id="204"/>
      <w:bookmarkStart w:id="205" w:name="_Toc184308107"/>
      <w:bookmarkEnd w:id="205"/>
      <w:bookmarkStart w:id="206" w:name="_Toc184314444"/>
      <w:bookmarkEnd w:id="206"/>
      <w:bookmarkStart w:id="207" w:name="_Toc184308051"/>
      <w:bookmarkEnd w:id="207"/>
      <w:bookmarkStart w:id="208" w:name="_Toc184308069"/>
      <w:bookmarkEnd w:id="208"/>
      <w:bookmarkStart w:id="209" w:name="_Toc184308087"/>
      <w:bookmarkEnd w:id="209"/>
      <w:bookmarkStart w:id="210" w:name="_Toc184314466"/>
      <w:bookmarkEnd w:id="210"/>
      <w:bookmarkStart w:id="211" w:name="_Toc184313288"/>
      <w:bookmarkEnd w:id="211"/>
      <w:bookmarkStart w:id="212" w:name="_Toc184310293"/>
      <w:bookmarkEnd w:id="212"/>
      <w:bookmarkStart w:id="213" w:name="_Toc184314431"/>
      <w:bookmarkEnd w:id="213"/>
      <w:bookmarkStart w:id="214" w:name="_Toc184312096"/>
      <w:bookmarkEnd w:id="214"/>
      <w:bookmarkStart w:id="215" w:name="_Toc184313248"/>
      <w:bookmarkEnd w:id="215"/>
      <w:bookmarkStart w:id="216" w:name="_Toc184312091"/>
      <w:bookmarkEnd w:id="216"/>
      <w:bookmarkStart w:id="217" w:name="_Toc184310291"/>
      <w:bookmarkEnd w:id="217"/>
      <w:bookmarkStart w:id="218" w:name="_Toc184314438"/>
      <w:bookmarkEnd w:id="218"/>
      <w:bookmarkStart w:id="219" w:name="_Toc184310295"/>
      <w:bookmarkEnd w:id="219"/>
      <w:bookmarkStart w:id="220" w:name="_Toc184313309"/>
      <w:bookmarkEnd w:id="220"/>
      <w:bookmarkStart w:id="221" w:name="_Toc184314436"/>
      <w:bookmarkEnd w:id="221"/>
      <w:bookmarkStart w:id="222" w:name="_Toc184310276"/>
      <w:bookmarkEnd w:id="222"/>
      <w:bookmarkStart w:id="223" w:name="_Toc184310343"/>
      <w:bookmarkEnd w:id="223"/>
      <w:bookmarkStart w:id="224" w:name="_Toc184308085"/>
      <w:bookmarkEnd w:id="224"/>
      <w:bookmarkStart w:id="225" w:name="_Toc184314458"/>
      <w:bookmarkEnd w:id="225"/>
      <w:bookmarkStart w:id="226" w:name="_Toc184312076"/>
      <w:bookmarkEnd w:id="226"/>
      <w:bookmarkStart w:id="227" w:name="_Toc184312088"/>
      <w:bookmarkEnd w:id="227"/>
      <w:bookmarkStart w:id="228" w:name="_Toc184313242"/>
      <w:bookmarkEnd w:id="228"/>
      <w:bookmarkStart w:id="229" w:name="_Toc184314463"/>
      <w:bookmarkEnd w:id="229"/>
      <w:bookmarkStart w:id="230" w:name="_Toc184308039"/>
      <w:bookmarkEnd w:id="230"/>
      <w:bookmarkStart w:id="231" w:name="_Toc184313280"/>
      <w:bookmarkEnd w:id="231"/>
      <w:bookmarkStart w:id="232" w:name="_Toc184313310"/>
      <w:bookmarkEnd w:id="232"/>
      <w:bookmarkStart w:id="233" w:name="_Toc184308048"/>
      <w:bookmarkEnd w:id="233"/>
      <w:bookmarkStart w:id="234" w:name="_Toc184310281"/>
      <w:bookmarkEnd w:id="234"/>
      <w:bookmarkStart w:id="235" w:name="_Toc184310277"/>
      <w:bookmarkEnd w:id="235"/>
      <w:bookmarkStart w:id="236" w:name="_Toc184312111"/>
      <w:bookmarkEnd w:id="236"/>
      <w:bookmarkStart w:id="237" w:name="_Toc184314434"/>
      <w:bookmarkEnd w:id="237"/>
      <w:bookmarkStart w:id="238" w:name="_Toc184312110"/>
      <w:bookmarkEnd w:id="238"/>
      <w:bookmarkStart w:id="239" w:name="_Toc184312107"/>
      <w:bookmarkEnd w:id="239"/>
      <w:bookmarkStart w:id="240" w:name="_Toc184308101"/>
      <w:bookmarkEnd w:id="240"/>
      <w:bookmarkStart w:id="241" w:name="_Toc184308073"/>
      <w:bookmarkEnd w:id="241"/>
      <w:bookmarkStart w:id="242" w:name="_Toc184310339"/>
      <w:bookmarkEnd w:id="242"/>
      <w:bookmarkStart w:id="243" w:name="_Toc184313308"/>
      <w:bookmarkEnd w:id="243"/>
      <w:bookmarkStart w:id="244" w:name="_Toc184314460"/>
      <w:bookmarkEnd w:id="244"/>
      <w:bookmarkStart w:id="245" w:name="_Toc184308040"/>
      <w:bookmarkEnd w:id="245"/>
      <w:bookmarkStart w:id="246" w:name="_Toc184314462"/>
      <w:bookmarkEnd w:id="246"/>
      <w:bookmarkStart w:id="247" w:name="_Toc184310288"/>
      <w:bookmarkEnd w:id="247"/>
      <w:bookmarkStart w:id="248" w:name="_Toc184312125"/>
      <w:bookmarkEnd w:id="248"/>
      <w:bookmarkStart w:id="249" w:name="_Toc184310342"/>
      <w:bookmarkEnd w:id="249"/>
      <w:bookmarkStart w:id="250" w:name="_Toc184313287"/>
      <w:bookmarkEnd w:id="250"/>
      <w:bookmarkStart w:id="251" w:name="_Toc184308059"/>
      <w:bookmarkEnd w:id="251"/>
      <w:bookmarkStart w:id="252" w:name="_Toc184308077"/>
      <w:bookmarkEnd w:id="252"/>
      <w:bookmarkStart w:id="253" w:name="_Toc184313243"/>
      <w:bookmarkEnd w:id="253"/>
      <w:bookmarkStart w:id="254" w:name="_Toc184310284"/>
      <w:bookmarkEnd w:id="254"/>
      <w:bookmarkStart w:id="255" w:name="_Toc184312071"/>
      <w:bookmarkEnd w:id="255"/>
      <w:bookmarkStart w:id="256" w:name="_Toc184314468"/>
      <w:bookmarkEnd w:id="256"/>
      <w:bookmarkStart w:id="257" w:name="_Toc184313260"/>
      <w:bookmarkEnd w:id="257"/>
      <w:bookmarkStart w:id="258" w:name="_Toc184312070"/>
      <w:bookmarkEnd w:id="258"/>
      <w:bookmarkStart w:id="259" w:name="_Toc184308041"/>
      <w:bookmarkEnd w:id="259"/>
      <w:bookmarkStart w:id="260" w:name="_Toc184312100"/>
      <w:bookmarkEnd w:id="260"/>
      <w:bookmarkStart w:id="261" w:name="_Toc184310336"/>
      <w:bookmarkEnd w:id="261"/>
      <w:bookmarkStart w:id="262" w:name="_Toc184314450"/>
      <w:bookmarkEnd w:id="262"/>
      <w:bookmarkStart w:id="263" w:name="_Toc184310283"/>
      <w:bookmarkEnd w:id="263"/>
      <w:bookmarkStart w:id="264" w:name="_Toc184310301"/>
      <w:bookmarkEnd w:id="264"/>
      <w:bookmarkStart w:id="265" w:name="_Toc184308098"/>
      <w:bookmarkEnd w:id="265"/>
      <w:bookmarkStart w:id="266" w:name="_Toc184313278"/>
      <w:bookmarkEnd w:id="266"/>
      <w:bookmarkStart w:id="267" w:name="_Toc184312121"/>
      <w:bookmarkEnd w:id="267"/>
      <w:bookmarkStart w:id="268" w:name="_Toc184312075"/>
      <w:bookmarkEnd w:id="268"/>
      <w:bookmarkStart w:id="269" w:name="_Toc184314447"/>
      <w:bookmarkEnd w:id="269"/>
      <w:bookmarkStart w:id="270" w:name="_Toc184312117"/>
      <w:bookmarkEnd w:id="270"/>
      <w:bookmarkStart w:id="271" w:name="_Toc184314472"/>
      <w:bookmarkEnd w:id="271"/>
      <w:bookmarkStart w:id="272" w:name="_Toc184312093"/>
      <w:bookmarkEnd w:id="272"/>
      <w:bookmarkStart w:id="273" w:name="_Toc184310282"/>
      <w:bookmarkEnd w:id="273"/>
      <w:bookmarkStart w:id="274" w:name="_Toc184308036"/>
      <w:bookmarkEnd w:id="274"/>
      <w:bookmarkStart w:id="275" w:name="_Toc184313269"/>
      <w:bookmarkEnd w:id="275"/>
      <w:bookmarkStart w:id="276" w:name="_Toc184310327"/>
      <w:bookmarkEnd w:id="276"/>
      <w:bookmarkStart w:id="277" w:name="_Toc184314439"/>
      <w:bookmarkEnd w:id="277"/>
      <w:bookmarkStart w:id="278" w:name="_Toc184313250"/>
      <w:bookmarkEnd w:id="278"/>
      <w:bookmarkStart w:id="279" w:name="_Toc184310340"/>
      <w:bookmarkEnd w:id="279"/>
      <w:bookmarkStart w:id="280" w:name="_Toc184313276"/>
      <w:bookmarkEnd w:id="280"/>
      <w:bookmarkStart w:id="281" w:name="_Toc184308072"/>
      <w:bookmarkEnd w:id="281"/>
      <w:bookmarkStart w:id="282" w:name="_Toc184313296"/>
      <w:bookmarkEnd w:id="282"/>
      <w:bookmarkStart w:id="283" w:name="_Toc184313307"/>
      <w:bookmarkEnd w:id="283"/>
      <w:bookmarkStart w:id="284" w:name="_Toc184312109"/>
      <w:bookmarkEnd w:id="284"/>
      <w:bookmarkStart w:id="285" w:name="_Toc184312081"/>
      <w:bookmarkEnd w:id="285"/>
      <w:bookmarkStart w:id="286" w:name="_Toc184314426"/>
      <w:bookmarkEnd w:id="286"/>
      <w:bookmarkStart w:id="287" w:name="_Toc184313245"/>
      <w:bookmarkEnd w:id="287"/>
      <w:bookmarkStart w:id="288" w:name="_Toc184308108"/>
      <w:bookmarkEnd w:id="288"/>
      <w:bookmarkStart w:id="289" w:name="_Toc184310298"/>
      <w:bookmarkEnd w:id="289"/>
      <w:bookmarkStart w:id="290" w:name="_Toc184310311"/>
      <w:bookmarkEnd w:id="290"/>
      <w:bookmarkStart w:id="291" w:name="_Toc184312090"/>
      <w:bookmarkEnd w:id="291"/>
      <w:bookmarkStart w:id="292" w:name="_Toc184313299"/>
      <w:bookmarkEnd w:id="292"/>
      <w:bookmarkStart w:id="293" w:name="_Toc184308079"/>
      <w:bookmarkEnd w:id="293"/>
      <w:bookmarkStart w:id="294" w:name="_Toc184312068"/>
      <w:bookmarkEnd w:id="294"/>
      <w:bookmarkStart w:id="295" w:name="_Toc184313277"/>
      <w:bookmarkEnd w:id="295"/>
      <w:bookmarkStart w:id="296" w:name="_Toc184312089"/>
      <w:bookmarkEnd w:id="296"/>
      <w:bookmarkStart w:id="297" w:name="_Toc184314475"/>
      <w:bookmarkEnd w:id="297"/>
      <w:bookmarkStart w:id="298" w:name="_Toc184313239"/>
      <w:bookmarkEnd w:id="298"/>
      <w:bookmarkStart w:id="299" w:name="_Toc184313284"/>
      <w:bookmarkEnd w:id="299"/>
      <w:bookmarkStart w:id="300" w:name="_Toc184310290"/>
      <w:bookmarkEnd w:id="300"/>
      <w:bookmarkStart w:id="301" w:name="_Toc184308050"/>
      <w:bookmarkEnd w:id="301"/>
      <w:bookmarkStart w:id="302" w:name="_Toc184310292"/>
      <w:bookmarkEnd w:id="302"/>
      <w:bookmarkStart w:id="303" w:name="_Toc184312072"/>
      <w:bookmarkEnd w:id="303"/>
      <w:bookmarkStart w:id="304" w:name="_Toc184308070"/>
      <w:bookmarkEnd w:id="304"/>
      <w:bookmarkStart w:id="305" w:name="_Toc184310328"/>
      <w:bookmarkEnd w:id="305"/>
      <w:bookmarkStart w:id="306" w:name="_Toc184313298"/>
      <w:bookmarkEnd w:id="306"/>
      <w:bookmarkStart w:id="307" w:name="_Toc184308062"/>
      <w:bookmarkEnd w:id="307"/>
      <w:bookmarkStart w:id="308" w:name="_Toc184312130"/>
      <w:bookmarkEnd w:id="308"/>
      <w:bookmarkStart w:id="309" w:name="_Toc184308061"/>
      <w:bookmarkEnd w:id="309"/>
      <w:bookmarkStart w:id="310" w:name="_Toc184310310"/>
      <w:bookmarkEnd w:id="310"/>
      <w:bookmarkStart w:id="311" w:name="_Toc184310289"/>
      <w:bookmarkEnd w:id="311"/>
      <w:bookmarkStart w:id="312" w:name="_Toc184312112"/>
      <w:bookmarkEnd w:id="312"/>
      <w:bookmarkStart w:id="313" w:name="_Toc184310304"/>
      <w:bookmarkEnd w:id="313"/>
      <w:bookmarkStart w:id="314" w:name="_Toc184312129"/>
      <w:bookmarkEnd w:id="314"/>
      <w:bookmarkStart w:id="315" w:name="_Toc184308045"/>
      <w:bookmarkEnd w:id="315"/>
      <w:bookmarkStart w:id="316" w:name="_Toc184314452"/>
      <w:bookmarkEnd w:id="316"/>
      <w:bookmarkStart w:id="317" w:name="_Toc184312097"/>
      <w:bookmarkEnd w:id="317"/>
      <w:bookmarkStart w:id="318" w:name="_Toc184313255"/>
      <w:bookmarkEnd w:id="318"/>
      <w:bookmarkStart w:id="319" w:name="_Toc184312094"/>
      <w:bookmarkEnd w:id="319"/>
      <w:bookmarkStart w:id="320" w:name="_Toc184310338"/>
      <w:bookmarkEnd w:id="320"/>
      <w:bookmarkStart w:id="321" w:name="_Toc184310273"/>
      <w:bookmarkEnd w:id="321"/>
      <w:bookmarkStart w:id="322" w:name="_Toc184308058"/>
      <w:bookmarkEnd w:id="322"/>
      <w:bookmarkStart w:id="323" w:name="_Toc184312099"/>
      <w:bookmarkEnd w:id="323"/>
      <w:bookmarkStart w:id="324" w:name="_Toc184310321"/>
      <w:bookmarkEnd w:id="324"/>
      <w:bookmarkStart w:id="325" w:name="_Toc184310317"/>
      <w:bookmarkEnd w:id="325"/>
      <w:bookmarkStart w:id="326" w:name="_Toc184312131"/>
      <w:bookmarkEnd w:id="326"/>
      <w:bookmarkStart w:id="327" w:name="_Toc184313272"/>
      <w:bookmarkEnd w:id="327"/>
      <w:bookmarkStart w:id="328" w:name="_Toc184310294"/>
      <w:bookmarkEnd w:id="328"/>
      <w:bookmarkStart w:id="329" w:name="_Toc184308037"/>
      <w:bookmarkEnd w:id="329"/>
      <w:bookmarkStart w:id="330" w:name="_Toc184308093"/>
      <w:bookmarkEnd w:id="330"/>
      <w:bookmarkStart w:id="331" w:name="_Toc184308044"/>
      <w:bookmarkEnd w:id="331"/>
      <w:bookmarkStart w:id="332" w:name="_Toc184308086"/>
      <w:bookmarkEnd w:id="332"/>
      <w:bookmarkStart w:id="333" w:name="_Toc184308071"/>
      <w:bookmarkEnd w:id="333"/>
      <w:bookmarkStart w:id="334" w:name="_Toc184314417"/>
      <w:bookmarkEnd w:id="334"/>
      <w:bookmarkStart w:id="335" w:name="_Toc184312085"/>
      <w:bookmarkEnd w:id="335"/>
      <w:bookmarkStart w:id="336" w:name="_Toc184312122"/>
      <w:bookmarkEnd w:id="336"/>
      <w:bookmarkStart w:id="337" w:name="_Toc184313254"/>
      <w:bookmarkEnd w:id="337"/>
      <w:bookmarkStart w:id="338" w:name="_Toc184313301"/>
      <w:bookmarkEnd w:id="338"/>
      <w:bookmarkStart w:id="339" w:name="_Toc184312118"/>
      <w:bookmarkEnd w:id="339"/>
      <w:bookmarkStart w:id="340" w:name="_Toc184313270"/>
      <w:bookmarkEnd w:id="340"/>
      <w:bookmarkStart w:id="341" w:name="_Toc184308066"/>
      <w:bookmarkEnd w:id="341"/>
      <w:bookmarkStart w:id="342" w:name="_Toc184312108"/>
      <w:bookmarkEnd w:id="342"/>
      <w:bookmarkStart w:id="343" w:name="_Toc184313244"/>
      <w:bookmarkEnd w:id="343"/>
      <w:bookmarkStart w:id="344" w:name="_Toc184312077"/>
      <w:bookmarkEnd w:id="344"/>
      <w:bookmarkStart w:id="345" w:name="_Toc184314425"/>
      <w:bookmarkEnd w:id="345"/>
      <w:bookmarkStart w:id="346" w:name="_Toc184313265"/>
      <w:bookmarkEnd w:id="346"/>
      <w:bookmarkStart w:id="347" w:name="_Toc184313306"/>
      <w:bookmarkEnd w:id="347"/>
      <w:bookmarkStart w:id="348" w:name="_Toc184313305"/>
      <w:bookmarkEnd w:id="348"/>
      <w:bookmarkStart w:id="349" w:name="_Toc184308094"/>
      <w:bookmarkEnd w:id="349"/>
      <w:bookmarkStart w:id="350" w:name="_Toc184310312"/>
      <w:bookmarkEnd w:id="350"/>
      <w:bookmarkStart w:id="351" w:name="_Toc184313289"/>
      <w:bookmarkEnd w:id="351"/>
      <w:bookmarkStart w:id="352" w:name="_Toc184312124"/>
      <w:bookmarkEnd w:id="352"/>
      <w:bookmarkStart w:id="353" w:name="_Toc184310329"/>
      <w:bookmarkEnd w:id="353"/>
      <w:bookmarkStart w:id="354" w:name="_Toc184313240"/>
      <w:bookmarkEnd w:id="354"/>
      <w:bookmarkStart w:id="355" w:name="_Toc184312115"/>
      <w:bookmarkEnd w:id="355"/>
      <w:bookmarkStart w:id="356" w:name="_Toc184313257"/>
      <w:bookmarkEnd w:id="356"/>
      <w:bookmarkStart w:id="357" w:name="_Toc184310278"/>
      <w:bookmarkEnd w:id="357"/>
      <w:bookmarkStart w:id="358" w:name="_Toc184308047"/>
      <w:bookmarkEnd w:id="358"/>
      <w:bookmarkStart w:id="359" w:name="_Toc184310331"/>
      <w:bookmarkEnd w:id="359"/>
      <w:bookmarkStart w:id="360" w:name="_Toc184313258"/>
      <w:bookmarkEnd w:id="360"/>
      <w:bookmarkStart w:id="361" w:name="_Toc184308038"/>
      <w:bookmarkEnd w:id="361"/>
      <w:bookmarkStart w:id="362" w:name="_Toc184310332"/>
      <w:bookmarkEnd w:id="362"/>
      <w:bookmarkStart w:id="363" w:name="_Toc184308091"/>
      <w:bookmarkEnd w:id="363"/>
      <w:bookmarkStart w:id="364" w:name="_Toc184308049"/>
      <w:bookmarkEnd w:id="364"/>
      <w:bookmarkStart w:id="365" w:name="_Toc184308097"/>
      <w:bookmarkEnd w:id="365"/>
      <w:bookmarkStart w:id="366" w:name="_Toc184312095"/>
      <w:bookmarkEnd w:id="366"/>
      <w:bookmarkStart w:id="367" w:name="_Toc184314456"/>
      <w:bookmarkEnd w:id="367"/>
      <w:bookmarkStart w:id="368" w:name="_Toc184310300"/>
      <w:bookmarkEnd w:id="368"/>
      <w:bookmarkStart w:id="369" w:name="_Toc184312139"/>
      <w:bookmarkEnd w:id="369"/>
      <w:bookmarkStart w:id="370" w:name="_Toc184308056"/>
      <w:bookmarkEnd w:id="370"/>
      <w:bookmarkStart w:id="371" w:name="_Toc184313264"/>
      <w:bookmarkEnd w:id="371"/>
      <w:bookmarkStart w:id="372" w:name="_Toc184308080"/>
      <w:bookmarkEnd w:id="372"/>
      <w:bookmarkStart w:id="373" w:name="_Toc184314429"/>
      <w:bookmarkEnd w:id="373"/>
      <w:bookmarkStart w:id="374" w:name="_Toc184314415"/>
      <w:bookmarkEnd w:id="374"/>
      <w:bookmarkStart w:id="375" w:name="_Toc184314481"/>
      <w:bookmarkEnd w:id="375"/>
      <w:bookmarkStart w:id="376" w:name="_Toc184314448"/>
      <w:bookmarkEnd w:id="376"/>
      <w:bookmarkStart w:id="377" w:name="_Toc184310318"/>
      <w:bookmarkEnd w:id="377"/>
      <w:bookmarkStart w:id="378" w:name="_Toc184314449"/>
      <w:bookmarkEnd w:id="378"/>
      <w:bookmarkStart w:id="379" w:name="_Toc184310316"/>
      <w:bookmarkEnd w:id="379"/>
      <w:bookmarkStart w:id="380" w:name="_Toc184308064"/>
      <w:bookmarkEnd w:id="380"/>
      <w:bookmarkStart w:id="381" w:name="_Toc184312116"/>
      <w:bookmarkEnd w:id="381"/>
      <w:bookmarkStart w:id="382" w:name="_Toc184314470"/>
      <w:bookmarkEnd w:id="382"/>
      <w:bookmarkStart w:id="383" w:name="_Toc184312132"/>
      <w:bookmarkEnd w:id="383"/>
      <w:bookmarkStart w:id="384" w:name="_Toc184312136"/>
      <w:bookmarkEnd w:id="384"/>
      <w:bookmarkStart w:id="385" w:name="_Toc184314467"/>
      <w:bookmarkEnd w:id="385"/>
      <w:bookmarkStart w:id="386" w:name="_Toc184313302"/>
      <w:bookmarkEnd w:id="386"/>
      <w:bookmarkStart w:id="387" w:name="_Toc184310344"/>
      <w:bookmarkEnd w:id="387"/>
      <w:bookmarkStart w:id="388" w:name="_Toc184312073"/>
      <w:bookmarkEnd w:id="388"/>
      <w:bookmarkStart w:id="389" w:name="_Toc184313291"/>
      <w:bookmarkEnd w:id="389"/>
      <w:bookmarkStart w:id="390" w:name="_Toc184313261"/>
      <w:bookmarkEnd w:id="390"/>
      <w:bookmarkStart w:id="391" w:name="_Toc184308060"/>
      <w:bookmarkEnd w:id="391"/>
      <w:bookmarkStart w:id="392" w:name="_Toc184313252"/>
      <w:bookmarkEnd w:id="392"/>
      <w:bookmarkStart w:id="393" w:name="_Toc184312126"/>
      <w:bookmarkEnd w:id="393"/>
      <w:bookmarkStart w:id="394" w:name="_Toc184310313"/>
      <w:bookmarkEnd w:id="394"/>
      <w:bookmarkStart w:id="395" w:name="_Toc184312134"/>
      <w:bookmarkEnd w:id="395"/>
      <w:bookmarkStart w:id="396" w:name="_Toc184313267"/>
      <w:bookmarkEnd w:id="396"/>
      <w:bookmarkStart w:id="397" w:name="_Toc184314482"/>
      <w:bookmarkEnd w:id="397"/>
      <w:bookmarkStart w:id="398" w:name="_Toc184314414"/>
      <w:bookmarkEnd w:id="398"/>
      <w:bookmarkStart w:id="399" w:name="_Toc184312092"/>
      <w:bookmarkEnd w:id="399"/>
      <w:bookmarkStart w:id="400" w:name="_Toc184313256"/>
      <w:bookmarkEnd w:id="400"/>
      <w:bookmarkStart w:id="401" w:name="_Toc184308105"/>
      <w:bookmarkEnd w:id="401"/>
      <w:bookmarkStart w:id="402" w:name="_Toc184314411"/>
      <w:bookmarkEnd w:id="402"/>
      <w:bookmarkStart w:id="403" w:name="_Toc184312135"/>
      <w:bookmarkEnd w:id="403"/>
      <w:bookmarkStart w:id="404" w:name="_Toc184308081"/>
      <w:bookmarkEnd w:id="404"/>
      <w:r>
        <w:rPr>
          <w:rFonts w:hint="eastAsia" w:ascii="仿宋" w:hAnsi="仿宋" w:eastAsia="仿宋" w:cs="仿宋"/>
          <w:b/>
          <w:color w:val="auto"/>
          <w:sz w:val="36"/>
          <w:szCs w:val="36"/>
          <w:highlight w:val="none"/>
        </w:rPr>
        <w:t>评标办法</w:t>
      </w:r>
    </w:p>
    <w:p>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6093"/>
        <w:gridCol w:w="615"/>
        <w:gridCol w:w="977"/>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6093"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评标标准</w:t>
            </w:r>
          </w:p>
        </w:tc>
        <w:tc>
          <w:tcPr>
            <w:tcW w:w="615"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977" w:type="dxa"/>
            <w:vAlign w:val="center"/>
          </w:tcPr>
          <w:p>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主观分/客观分属性</w:t>
            </w:r>
          </w:p>
        </w:tc>
        <w:tc>
          <w:tcPr>
            <w:tcW w:w="1585"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6093" w:type="dxa"/>
            <w:vAlign w:val="center"/>
          </w:tcPr>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投标人具有有效的质量体系认证证书，环境体系认证证书，职业健康安全管理体系认证证书的，每个得1分，最高得3分。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注：以上证书须由通过中国国家认证认可监督管理委员会备案通过的认证机构颁发且在全国认证认可信息公共服务平台（www.cnca.gov.cn）的网页可查询。</w:t>
            </w:r>
          </w:p>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须提供认证证书的扫描件和网页截图，否则不得分，满分3分，没有则不得分。</w:t>
            </w:r>
          </w:p>
        </w:tc>
        <w:tc>
          <w:tcPr>
            <w:tcW w:w="615"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977"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bCs/>
                <w:color w:val="auto"/>
                <w:sz w:val="24"/>
                <w:highlight w:val="none"/>
              </w:rPr>
              <w:t>客观分</w:t>
            </w:r>
          </w:p>
        </w:tc>
        <w:tc>
          <w:tcPr>
            <w:tcW w:w="1585" w:type="dxa"/>
            <w:vAlign w:val="center"/>
          </w:tcPr>
          <w:p>
            <w:pPr>
              <w:snapToGrid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6093" w:type="dxa"/>
            <w:vAlign w:val="center"/>
          </w:tcPr>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供应商同时具有卫生主管部门备案的确认书及病媒生物消杀专业机构资质证书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特级</w:t>
            </w:r>
            <w:r>
              <w:rPr>
                <w:rFonts w:hint="eastAsia" w:ascii="仿宋" w:hAnsi="仿宋" w:eastAsia="仿宋" w:cs="仿宋"/>
                <w:color w:val="auto"/>
                <w:sz w:val="24"/>
                <w:highlight w:val="none"/>
              </w:rPr>
              <w:t>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甲级的得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分，乙级得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没有</w:t>
            </w:r>
            <w:r>
              <w:rPr>
                <w:rFonts w:hint="eastAsia" w:ascii="仿宋" w:hAnsi="仿宋" w:eastAsia="仿宋" w:cs="仿宋"/>
                <w:color w:val="auto"/>
                <w:sz w:val="24"/>
                <w:highlight w:val="none"/>
              </w:rPr>
              <w:t>不得分。</w:t>
            </w:r>
          </w:p>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说明：</w:t>
            </w:r>
            <w:r>
              <w:rPr>
                <w:rFonts w:hint="eastAsia" w:ascii="仿宋" w:hAnsi="仿宋" w:eastAsia="仿宋" w:cs="仿宋"/>
                <w:color w:val="auto"/>
                <w:sz w:val="24"/>
                <w:highlight w:val="none"/>
              </w:rPr>
              <w:t>证明材料</w:t>
            </w:r>
            <w:r>
              <w:rPr>
                <w:rFonts w:hint="eastAsia" w:ascii="仿宋" w:hAnsi="仿宋" w:eastAsia="仿宋" w:cs="仿宋"/>
                <w:color w:val="auto"/>
                <w:sz w:val="24"/>
                <w:highlight w:val="none"/>
                <w:lang w:val="en-US" w:eastAsia="zh-CN"/>
              </w:rPr>
              <w:t>需提供</w:t>
            </w:r>
            <w:r>
              <w:rPr>
                <w:rFonts w:hint="eastAsia" w:ascii="仿宋" w:hAnsi="仿宋" w:eastAsia="仿宋" w:cs="仿宋"/>
                <w:color w:val="auto"/>
                <w:sz w:val="24"/>
                <w:highlight w:val="none"/>
              </w:rPr>
              <w:t>备案确认书、资质证书。</w:t>
            </w:r>
          </w:p>
        </w:tc>
        <w:tc>
          <w:tcPr>
            <w:tcW w:w="615" w:type="dxa"/>
            <w:vAlign w:val="center"/>
          </w:tcPr>
          <w:p>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w:t>
            </w:r>
          </w:p>
        </w:tc>
        <w:tc>
          <w:tcPr>
            <w:tcW w:w="977" w:type="dxa"/>
            <w:vAlign w:val="center"/>
          </w:tcPr>
          <w:p>
            <w:pPr>
              <w:snapToGrid w:val="0"/>
              <w:spacing w:line="360" w:lineRule="auto"/>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highlight w:val="none"/>
              </w:rPr>
              <w:t>客观分</w:t>
            </w:r>
          </w:p>
        </w:tc>
        <w:tc>
          <w:tcPr>
            <w:tcW w:w="1585" w:type="dxa"/>
            <w:vAlign w:val="center"/>
          </w:tcPr>
          <w:p>
            <w:pPr>
              <w:snapToGrid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6093" w:type="dxa"/>
            <w:vAlign w:val="center"/>
          </w:tcPr>
          <w:p>
            <w:pPr>
              <w:snapToGrid w:val="0"/>
              <w:spacing w:line="36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投标人自2020年1月1日（按合同签订时间为准）以来具有类似业绩的，每一个得0.5分，最高得1分</w:t>
            </w:r>
            <w:r>
              <w:rPr>
                <w:rFonts w:hint="eastAsia" w:ascii="仿宋" w:hAnsi="仿宋" w:eastAsia="仿宋" w:cs="仿宋"/>
                <w:color w:val="auto"/>
                <w:sz w:val="24"/>
                <w:highlight w:val="none"/>
                <w:lang w:eastAsia="zh-CN"/>
              </w:rPr>
              <w:t>。</w:t>
            </w:r>
          </w:p>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说明：业绩证明材料需提供中标通知书及合同扫描件。</w:t>
            </w:r>
          </w:p>
        </w:tc>
        <w:tc>
          <w:tcPr>
            <w:tcW w:w="615"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977"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bCs/>
                <w:color w:val="auto"/>
                <w:sz w:val="24"/>
                <w:highlight w:val="none"/>
              </w:rPr>
              <w:t>客观分</w:t>
            </w:r>
          </w:p>
        </w:tc>
        <w:tc>
          <w:tcPr>
            <w:tcW w:w="1585" w:type="dxa"/>
            <w:vAlign w:val="center"/>
          </w:tcPr>
          <w:p>
            <w:pPr>
              <w:snapToGrid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0"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6093" w:type="dxa"/>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针对本项目的总体目标、工作内容（</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rPr>
              <w:t>流程</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服务轮次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消杀频次和</w:t>
            </w:r>
            <w:r>
              <w:rPr>
                <w:rFonts w:hint="eastAsia" w:ascii="仿宋" w:hAnsi="仿宋" w:eastAsia="仿宋" w:cs="仿宋"/>
                <w:color w:val="auto"/>
                <w:sz w:val="24"/>
                <w:highlight w:val="none"/>
                <w:lang w:eastAsia="zh-CN"/>
              </w:rPr>
              <w:t>病媒防治</w:t>
            </w:r>
            <w:r>
              <w:rPr>
                <w:rFonts w:hint="eastAsia" w:ascii="仿宋" w:hAnsi="仿宋" w:eastAsia="仿宋" w:cs="仿宋"/>
                <w:color w:val="auto"/>
                <w:sz w:val="24"/>
                <w:highlight w:val="none"/>
              </w:rPr>
              <w:t>方法</w:t>
            </w:r>
            <w:r>
              <w:rPr>
                <w:rFonts w:hint="eastAsia" w:ascii="仿宋" w:hAnsi="仿宋" w:eastAsia="仿宋" w:cs="仿宋"/>
                <w:color w:val="auto"/>
                <w:sz w:val="24"/>
                <w:highlight w:val="none"/>
                <w:lang w:val="en-US" w:eastAsia="zh-CN"/>
              </w:rPr>
              <w:t>）提供的项目实施方案情况。方案全面完整且专业，与采购需求完全相适应的得5分；方案详细且与采购需求相适应，但存在不足的得4分；方案基本与采购需求相适应，但存在欠缺的得3分；方案存在缺项的得2分；方案与采购需求不适应的得1分；未提供的得0分。</w:t>
            </w:r>
          </w:p>
        </w:tc>
        <w:tc>
          <w:tcPr>
            <w:tcW w:w="615"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977"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bCs/>
                <w:color w:val="auto"/>
                <w:sz w:val="24"/>
                <w:highlight w:val="none"/>
                <w:lang w:val="en-US" w:eastAsia="zh-CN"/>
              </w:rPr>
              <w:t>主</w:t>
            </w:r>
            <w:r>
              <w:rPr>
                <w:rFonts w:hint="eastAsia" w:ascii="仿宋" w:hAnsi="仿宋" w:eastAsia="仿宋" w:cs="仿宋"/>
                <w:bCs/>
                <w:color w:val="auto"/>
                <w:sz w:val="24"/>
                <w:highlight w:val="none"/>
              </w:rPr>
              <w:t>观分</w:t>
            </w:r>
          </w:p>
        </w:tc>
        <w:tc>
          <w:tcPr>
            <w:tcW w:w="1585" w:type="dxa"/>
            <w:vAlign w:val="center"/>
          </w:tcPr>
          <w:p>
            <w:pPr>
              <w:snapToGrid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6093" w:type="dxa"/>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对四害防制工作特点的认识情况。方案完整、可操作性强的得5分；方案较完整、可操作性较强得4分；方案完整性、可操作性一般得3分；方案不够完整、操作性存在不足的得2分；方案有较大欠缺的得1分；无方案不得分。</w:t>
            </w:r>
          </w:p>
        </w:tc>
        <w:tc>
          <w:tcPr>
            <w:tcW w:w="615" w:type="dxa"/>
            <w:vAlign w:val="center"/>
          </w:tcPr>
          <w:p>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977" w:type="dxa"/>
            <w:vAlign w:val="center"/>
          </w:tcPr>
          <w:p>
            <w:pPr>
              <w:snapToGrid w:val="0"/>
              <w:spacing w:line="360" w:lineRule="auto"/>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主</w:t>
            </w:r>
            <w:r>
              <w:rPr>
                <w:rFonts w:hint="eastAsia" w:ascii="仿宋" w:hAnsi="仿宋" w:eastAsia="仿宋" w:cs="仿宋"/>
                <w:bCs/>
                <w:color w:val="auto"/>
                <w:sz w:val="24"/>
                <w:highlight w:val="none"/>
              </w:rPr>
              <w:t>观分</w:t>
            </w:r>
          </w:p>
        </w:tc>
        <w:tc>
          <w:tcPr>
            <w:tcW w:w="1585" w:type="dxa"/>
            <w:vAlign w:val="center"/>
          </w:tcPr>
          <w:p>
            <w:pPr>
              <w:snapToGrid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0"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6093" w:type="dxa"/>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针对本项目设备安排情况打分。方案全面完整且专业，与采购需求完全相适应的得4分；方案详细且与采购需求相适应，但存在不足的得3分；方案存在缺项的得2分；方案与采购需求不适应的得1分；未提供的得0分。</w:t>
            </w:r>
          </w:p>
        </w:tc>
        <w:tc>
          <w:tcPr>
            <w:tcW w:w="615" w:type="dxa"/>
            <w:vAlign w:val="center"/>
          </w:tcPr>
          <w:p>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4</w:t>
            </w:r>
          </w:p>
        </w:tc>
        <w:tc>
          <w:tcPr>
            <w:tcW w:w="977" w:type="dxa"/>
            <w:vAlign w:val="center"/>
          </w:tcPr>
          <w:p>
            <w:pPr>
              <w:snapToGrid w:val="0"/>
              <w:spacing w:line="360" w:lineRule="auto"/>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主</w:t>
            </w:r>
            <w:r>
              <w:rPr>
                <w:rFonts w:hint="eastAsia" w:ascii="仿宋" w:hAnsi="仿宋" w:eastAsia="仿宋" w:cs="仿宋"/>
                <w:bCs/>
                <w:color w:val="auto"/>
                <w:sz w:val="24"/>
                <w:highlight w:val="none"/>
              </w:rPr>
              <w:t>观分</w:t>
            </w:r>
          </w:p>
        </w:tc>
        <w:tc>
          <w:tcPr>
            <w:tcW w:w="1585" w:type="dxa"/>
            <w:vAlign w:val="center"/>
          </w:tcPr>
          <w:p>
            <w:pPr>
              <w:snapToGrid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6093" w:type="dxa"/>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en-US"/>
              </w:rPr>
              <w:t>投标人按采购人要求有明确的质量目标，提供质量保证措施，并具有详细可行的实施内容等；根据提供的方案内容进行打分。</w:t>
            </w:r>
            <w:r>
              <w:rPr>
                <w:rFonts w:hint="eastAsia" w:ascii="仿宋" w:hAnsi="仿宋" w:eastAsia="仿宋" w:cs="仿宋"/>
                <w:color w:val="auto"/>
                <w:sz w:val="24"/>
                <w:highlight w:val="none"/>
                <w:lang w:val="en-US" w:eastAsia="zh-CN"/>
              </w:rPr>
              <w:t>方案完整、可操作性强的得5分；方案较完整、可操作性较强得4分；方案完整性、可操作性一般得3分；方案不够完整、操作性存在不足的得2分；方案有较大欠缺的得1分；无方案不得分。</w:t>
            </w:r>
          </w:p>
        </w:tc>
        <w:tc>
          <w:tcPr>
            <w:tcW w:w="615" w:type="dxa"/>
            <w:vAlign w:val="center"/>
          </w:tcPr>
          <w:p>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977" w:type="dxa"/>
            <w:vAlign w:val="center"/>
          </w:tcPr>
          <w:p>
            <w:pPr>
              <w:snapToGrid w:val="0"/>
              <w:spacing w:line="360" w:lineRule="auto"/>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主</w:t>
            </w:r>
            <w:r>
              <w:rPr>
                <w:rFonts w:hint="eastAsia" w:ascii="仿宋" w:hAnsi="仿宋" w:eastAsia="仿宋" w:cs="仿宋"/>
                <w:bCs/>
                <w:color w:val="auto"/>
                <w:sz w:val="24"/>
                <w:highlight w:val="none"/>
              </w:rPr>
              <w:t>观分</w:t>
            </w:r>
          </w:p>
        </w:tc>
        <w:tc>
          <w:tcPr>
            <w:tcW w:w="1585" w:type="dxa"/>
            <w:vAlign w:val="center"/>
          </w:tcPr>
          <w:p>
            <w:pPr>
              <w:snapToGrid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6093" w:type="dxa"/>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根据投标人针对本项目个人职业防护、药物中毒处置和</w:t>
            </w:r>
            <w:r>
              <w:rPr>
                <w:rFonts w:hint="eastAsia" w:ascii="仿宋" w:hAnsi="仿宋" w:eastAsia="仿宋" w:cs="仿宋"/>
                <w:color w:val="auto"/>
                <w:sz w:val="24"/>
                <w:highlight w:val="none"/>
              </w:rPr>
              <w:t>迎检临时服务</w:t>
            </w:r>
            <w:r>
              <w:rPr>
                <w:rFonts w:hint="eastAsia" w:ascii="仿宋" w:hAnsi="仿宋" w:eastAsia="仿宋" w:cs="仿宋"/>
                <w:color w:val="auto"/>
                <w:sz w:val="24"/>
                <w:highlight w:val="none"/>
                <w:lang w:val="en-US" w:eastAsia="zh-CN"/>
              </w:rPr>
              <w:t>科学性打分。方案完整、可操作性强的得5分；方案较完整、可操作性较强得4分；方案完整性、可操作性一般得3分；方案不够完整、操作性存在不足的得2分；方案有较大欠缺的得1分；无方案不得分。</w:t>
            </w:r>
          </w:p>
        </w:tc>
        <w:tc>
          <w:tcPr>
            <w:tcW w:w="615" w:type="dxa"/>
            <w:vAlign w:val="center"/>
          </w:tcPr>
          <w:p>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977" w:type="dxa"/>
            <w:vAlign w:val="center"/>
          </w:tcPr>
          <w:p>
            <w:pPr>
              <w:snapToGrid w:val="0"/>
              <w:spacing w:line="360" w:lineRule="auto"/>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主</w:t>
            </w:r>
            <w:r>
              <w:rPr>
                <w:rFonts w:hint="eastAsia" w:ascii="仿宋" w:hAnsi="仿宋" w:eastAsia="仿宋" w:cs="仿宋"/>
                <w:bCs/>
                <w:color w:val="auto"/>
                <w:sz w:val="24"/>
                <w:highlight w:val="none"/>
              </w:rPr>
              <w:t>观分</w:t>
            </w:r>
          </w:p>
        </w:tc>
        <w:tc>
          <w:tcPr>
            <w:tcW w:w="1585" w:type="dxa"/>
            <w:vAlign w:val="center"/>
          </w:tcPr>
          <w:p>
            <w:pPr>
              <w:snapToGrid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6093" w:type="dxa"/>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针对本项目有完整合理的问题整改工作流程：方案完整、可操作性强的得5分；方案较完整、可操作性较强得4分；方案完整性、可操作性一般得3分；方案不够完整、操作性存在不足的得2分；方案有较大欠缺的得1分；无方案不得分。</w:t>
            </w:r>
          </w:p>
        </w:tc>
        <w:tc>
          <w:tcPr>
            <w:tcW w:w="615" w:type="dxa"/>
            <w:vAlign w:val="center"/>
          </w:tcPr>
          <w:p>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977" w:type="dxa"/>
            <w:vAlign w:val="center"/>
          </w:tcPr>
          <w:p>
            <w:pPr>
              <w:snapToGrid w:val="0"/>
              <w:spacing w:line="360" w:lineRule="auto"/>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主</w:t>
            </w:r>
            <w:r>
              <w:rPr>
                <w:rFonts w:hint="eastAsia" w:ascii="仿宋" w:hAnsi="仿宋" w:eastAsia="仿宋" w:cs="仿宋"/>
                <w:bCs/>
                <w:color w:val="auto"/>
                <w:sz w:val="24"/>
                <w:highlight w:val="none"/>
              </w:rPr>
              <w:t>观分</w:t>
            </w:r>
          </w:p>
        </w:tc>
        <w:tc>
          <w:tcPr>
            <w:tcW w:w="1585" w:type="dxa"/>
            <w:vAlign w:val="center"/>
          </w:tcPr>
          <w:p>
            <w:pPr>
              <w:snapToGrid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0" w:type="dxa"/>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6093" w:type="dxa"/>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针对本项目有病媒生物为媒介传染病疫情和突发公共卫生事件处置应急演练工作台账。方案全面完整且专业，与采购需求完全相适应的得5分；方案详细且与采购需求相适应，但存在不足的得4分；方案基本与采购需求相适应，但存在欠缺的得3分；方案存在缺项的得2分；方案与采购需求不适应的得1分；未提供的得0分。</w:t>
            </w:r>
          </w:p>
        </w:tc>
        <w:tc>
          <w:tcPr>
            <w:tcW w:w="615" w:type="dxa"/>
            <w:vAlign w:val="center"/>
          </w:tcPr>
          <w:p>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977" w:type="dxa"/>
            <w:vAlign w:val="center"/>
          </w:tcPr>
          <w:p>
            <w:pPr>
              <w:snapToGrid w:val="0"/>
              <w:spacing w:line="360" w:lineRule="auto"/>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主</w:t>
            </w:r>
            <w:r>
              <w:rPr>
                <w:rFonts w:hint="eastAsia" w:ascii="仿宋" w:hAnsi="仿宋" w:eastAsia="仿宋" w:cs="仿宋"/>
                <w:bCs/>
                <w:color w:val="auto"/>
                <w:sz w:val="24"/>
                <w:highlight w:val="none"/>
              </w:rPr>
              <w:t>观分</w:t>
            </w:r>
          </w:p>
        </w:tc>
        <w:tc>
          <w:tcPr>
            <w:tcW w:w="1585" w:type="dxa"/>
            <w:vAlign w:val="center"/>
          </w:tcPr>
          <w:p>
            <w:pPr>
              <w:snapToGrid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6093" w:type="dxa"/>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投标人承诺接到招标人的指令后能在10分钟之内响应的得2分，15分钟以内响应的得1分，其余不得分。提供承诺函，格式自拟。</w:t>
            </w:r>
          </w:p>
        </w:tc>
        <w:tc>
          <w:tcPr>
            <w:tcW w:w="615" w:type="dxa"/>
            <w:vAlign w:val="center"/>
          </w:tcPr>
          <w:p>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w:t>
            </w:r>
          </w:p>
        </w:tc>
        <w:tc>
          <w:tcPr>
            <w:tcW w:w="977" w:type="dxa"/>
            <w:vAlign w:val="center"/>
          </w:tcPr>
          <w:p>
            <w:pPr>
              <w:snapToGrid w:val="0"/>
              <w:spacing w:line="360" w:lineRule="auto"/>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客</w:t>
            </w:r>
            <w:r>
              <w:rPr>
                <w:rFonts w:hint="eastAsia" w:ascii="仿宋" w:hAnsi="仿宋" w:eastAsia="仿宋" w:cs="仿宋"/>
                <w:bCs/>
                <w:color w:val="auto"/>
                <w:sz w:val="24"/>
                <w:highlight w:val="none"/>
              </w:rPr>
              <w:t>观分</w:t>
            </w:r>
          </w:p>
        </w:tc>
        <w:tc>
          <w:tcPr>
            <w:tcW w:w="1585" w:type="dxa"/>
            <w:vAlign w:val="center"/>
          </w:tcPr>
          <w:p>
            <w:pPr>
              <w:snapToGrid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6093" w:type="dxa"/>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采取综合防控措施，选择药械的合理性、符合国家相关规定，依据不同环境的用药措施及方法。方案完整、可操作性强的得5分；方案较完整、可操作性较强得4分；方案完整性、可操作性一般得3分；方案不够完整、操作性存在不足的得2分；方案有较大欠缺的得1分；无方案不得分。</w:t>
            </w:r>
          </w:p>
        </w:tc>
        <w:tc>
          <w:tcPr>
            <w:tcW w:w="615" w:type="dxa"/>
            <w:vAlign w:val="center"/>
          </w:tcPr>
          <w:p>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977" w:type="dxa"/>
            <w:vAlign w:val="center"/>
          </w:tcPr>
          <w:p>
            <w:pPr>
              <w:snapToGrid w:val="0"/>
              <w:spacing w:line="360" w:lineRule="auto"/>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主</w:t>
            </w:r>
            <w:r>
              <w:rPr>
                <w:rFonts w:hint="eastAsia" w:ascii="仿宋" w:hAnsi="仿宋" w:eastAsia="仿宋" w:cs="仿宋"/>
                <w:bCs/>
                <w:color w:val="auto"/>
                <w:sz w:val="24"/>
                <w:highlight w:val="none"/>
              </w:rPr>
              <w:t>观分</w:t>
            </w:r>
          </w:p>
        </w:tc>
        <w:tc>
          <w:tcPr>
            <w:tcW w:w="1585" w:type="dxa"/>
            <w:vAlign w:val="center"/>
          </w:tcPr>
          <w:p>
            <w:pPr>
              <w:snapToGrid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6093" w:type="dxa"/>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针对本项目所采取的技术和方法对外环境（建筑场地、绿化场地、水域）的适应性打分。方案完整、可操作性强的得5分；方案较完整、可操作性较强得4分；方案完整性、可操作性一般得3分；方案不够完整、操作性存在不足的得2分；方案有较大欠缺的得1分；无方案不得分。</w:t>
            </w:r>
          </w:p>
        </w:tc>
        <w:tc>
          <w:tcPr>
            <w:tcW w:w="615" w:type="dxa"/>
            <w:vAlign w:val="center"/>
          </w:tcPr>
          <w:p>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977" w:type="dxa"/>
            <w:vAlign w:val="center"/>
          </w:tcPr>
          <w:p>
            <w:pPr>
              <w:snapToGrid w:val="0"/>
              <w:spacing w:line="360" w:lineRule="auto"/>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主</w:t>
            </w:r>
            <w:r>
              <w:rPr>
                <w:rFonts w:hint="eastAsia" w:ascii="仿宋" w:hAnsi="仿宋" w:eastAsia="仿宋" w:cs="仿宋"/>
                <w:bCs/>
                <w:color w:val="auto"/>
                <w:sz w:val="24"/>
                <w:highlight w:val="none"/>
              </w:rPr>
              <w:t>观分</w:t>
            </w:r>
          </w:p>
        </w:tc>
        <w:tc>
          <w:tcPr>
            <w:tcW w:w="1585" w:type="dxa"/>
            <w:vAlign w:val="center"/>
          </w:tcPr>
          <w:p>
            <w:pPr>
              <w:snapToGrid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6093" w:type="dxa"/>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人员安排情况：投标人拟投入团队人员专业及分工明确程度进行评审。</w:t>
            </w:r>
            <w:r>
              <w:rPr>
                <w:rFonts w:hint="eastAsia" w:ascii="仿宋" w:hAnsi="仿宋" w:eastAsia="仿宋" w:cs="仿宋"/>
                <w:color w:val="auto"/>
                <w:sz w:val="24"/>
                <w:highlight w:val="none"/>
                <w:lang w:val="en-US" w:eastAsia="zh-CN"/>
              </w:rPr>
              <w:t>方案完整、可操作性强的得4分；方案较完整、可操作性较强得5分；方案不够完整、操作性存在不足的得2分；方案有较大欠缺的得1分；无方案不得分。</w:t>
            </w:r>
          </w:p>
        </w:tc>
        <w:tc>
          <w:tcPr>
            <w:tcW w:w="615" w:type="dxa"/>
            <w:vAlign w:val="center"/>
          </w:tcPr>
          <w:p>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4</w:t>
            </w:r>
          </w:p>
        </w:tc>
        <w:tc>
          <w:tcPr>
            <w:tcW w:w="977" w:type="dxa"/>
            <w:vAlign w:val="center"/>
          </w:tcPr>
          <w:p>
            <w:pPr>
              <w:snapToGrid w:val="0"/>
              <w:spacing w:line="360" w:lineRule="auto"/>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主</w:t>
            </w:r>
            <w:r>
              <w:rPr>
                <w:rFonts w:hint="eastAsia" w:ascii="仿宋" w:hAnsi="仿宋" w:eastAsia="仿宋" w:cs="仿宋"/>
                <w:bCs/>
                <w:color w:val="auto"/>
                <w:sz w:val="24"/>
                <w:highlight w:val="none"/>
              </w:rPr>
              <w:t>观分</w:t>
            </w:r>
          </w:p>
        </w:tc>
        <w:tc>
          <w:tcPr>
            <w:tcW w:w="1585" w:type="dxa"/>
            <w:vAlign w:val="center"/>
          </w:tcPr>
          <w:p>
            <w:pPr>
              <w:snapToGrid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0" w:type="dxa"/>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6093" w:type="dxa"/>
            <w:vAlign w:val="center"/>
          </w:tcPr>
          <w:p>
            <w:pPr>
              <w:pStyle w:val="57"/>
              <w:spacing w:before="0" w:beforeAutospacing="0" w:after="0" w:afterAutospacing="0" w:line="360" w:lineRule="auto"/>
              <w:rPr>
                <w:rFonts w:hint="eastAsia" w:ascii="仿宋" w:hAnsi="仿宋" w:eastAsia="仿宋" w:cs="仿宋"/>
                <w:color w:val="auto"/>
                <w:sz w:val="24"/>
                <w:highlight w:val="none"/>
              </w:rPr>
            </w:pPr>
            <w:r>
              <w:rPr>
                <w:rFonts w:hint="eastAsia" w:ascii="仿宋" w:hAnsi="仿宋" w:eastAsia="仿宋" w:cs="仿宋"/>
                <w:color w:val="auto"/>
                <w:highlight w:val="none"/>
              </w:rPr>
              <w:t>根据</w:t>
            </w:r>
            <w:r>
              <w:rPr>
                <w:rFonts w:hint="eastAsia" w:ascii="仿宋" w:hAnsi="仿宋" w:eastAsia="仿宋" w:cs="仿宋"/>
                <w:color w:val="auto"/>
                <w:highlight w:val="none"/>
                <w:lang w:val="en-US" w:eastAsia="zh-CN"/>
              </w:rPr>
              <w:t>投标人的</w:t>
            </w:r>
            <w:r>
              <w:rPr>
                <w:rFonts w:hint="eastAsia" w:ascii="仿宋" w:hAnsi="仿宋" w:eastAsia="仿宋" w:cs="仿宋"/>
                <w:snapToGrid w:val="0"/>
                <w:color w:val="auto"/>
                <w:highlight w:val="none"/>
              </w:rPr>
              <w:t>管理制度（包括员工考勤制度及员工日常行为规范管理制度、资产管理制度、档案管理制度等相关规章制度）的完善性进行综合评分，每具有一个完善有效的规章制度得</w:t>
            </w:r>
            <w:r>
              <w:rPr>
                <w:rFonts w:hint="eastAsia" w:ascii="仿宋" w:hAnsi="仿宋" w:eastAsia="仿宋" w:cs="仿宋"/>
                <w:snapToGrid w:val="0"/>
                <w:color w:val="auto"/>
                <w:highlight w:val="none"/>
                <w:lang w:val="en-US" w:eastAsia="zh-CN"/>
              </w:rPr>
              <w:t>2</w:t>
            </w:r>
            <w:r>
              <w:rPr>
                <w:rFonts w:hint="eastAsia" w:ascii="仿宋" w:hAnsi="仿宋" w:eastAsia="仿宋" w:cs="仿宋"/>
                <w:snapToGrid w:val="0"/>
                <w:color w:val="auto"/>
                <w:highlight w:val="none"/>
              </w:rPr>
              <w:t>分，每具有一个基本完善有效的得</w:t>
            </w:r>
            <w:r>
              <w:rPr>
                <w:rFonts w:hint="eastAsia" w:ascii="仿宋" w:hAnsi="仿宋" w:eastAsia="仿宋" w:cs="仿宋"/>
                <w:snapToGrid w:val="0"/>
                <w:color w:val="auto"/>
                <w:highlight w:val="none"/>
                <w:lang w:val="en-US" w:eastAsia="zh-CN"/>
              </w:rPr>
              <w:t>1</w:t>
            </w:r>
            <w:r>
              <w:rPr>
                <w:rFonts w:hint="eastAsia" w:ascii="仿宋" w:hAnsi="仿宋" w:eastAsia="仿宋" w:cs="仿宋"/>
                <w:snapToGrid w:val="0"/>
                <w:color w:val="auto"/>
                <w:highlight w:val="none"/>
              </w:rPr>
              <w:t>分，不完善</w:t>
            </w:r>
            <w:r>
              <w:rPr>
                <w:rFonts w:hint="eastAsia" w:ascii="仿宋" w:hAnsi="仿宋" w:eastAsia="仿宋" w:cs="仿宋"/>
                <w:snapToGrid w:val="0"/>
                <w:color w:val="auto"/>
                <w:highlight w:val="none"/>
                <w:lang w:val="en-US" w:eastAsia="zh-CN"/>
              </w:rPr>
              <w:t>的得0.5分，</w:t>
            </w:r>
            <w:r>
              <w:rPr>
                <w:rFonts w:hint="eastAsia" w:ascii="仿宋" w:hAnsi="仿宋" w:eastAsia="仿宋" w:cs="仿宋"/>
                <w:snapToGrid w:val="0"/>
                <w:color w:val="auto"/>
                <w:highlight w:val="none"/>
              </w:rPr>
              <w:t>未提供的得0分，最高得</w:t>
            </w:r>
            <w:r>
              <w:rPr>
                <w:rFonts w:hint="eastAsia" w:ascii="仿宋" w:hAnsi="仿宋" w:eastAsia="仿宋" w:cs="仿宋"/>
                <w:snapToGrid w:val="0"/>
                <w:color w:val="auto"/>
                <w:highlight w:val="none"/>
                <w:lang w:val="en-US" w:eastAsia="zh-CN"/>
              </w:rPr>
              <w:t>6</w:t>
            </w:r>
            <w:r>
              <w:rPr>
                <w:rFonts w:hint="eastAsia" w:ascii="仿宋" w:hAnsi="仿宋" w:eastAsia="仿宋" w:cs="仿宋"/>
                <w:snapToGrid w:val="0"/>
                <w:color w:val="auto"/>
                <w:highlight w:val="none"/>
              </w:rPr>
              <w:t>分。</w:t>
            </w:r>
          </w:p>
        </w:tc>
        <w:tc>
          <w:tcPr>
            <w:tcW w:w="615" w:type="dxa"/>
            <w:vAlign w:val="center"/>
          </w:tcPr>
          <w:p>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6</w:t>
            </w:r>
          </w:p>
        </w:tc>
        <w:tc>
          <w:tcPr>
            <w:tcW w:w="977" w:type="dxa"/>
            <w:vAlign w:val="center"/>
          </w:tcPr>
          <w:p>
            <w:pPr>
              <w:snapToGrid w:val="0"/>
              <w:spacing w:line="360" w:lineRule="auto"/>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主</w:t>
            </w:r>
            <w:r>
              <w:rPr>
                <w:rFonts w:hint="eastAsia" w:ascii="仿宋" w:hAnsi="仿宋" w:eastAsia="仿宋" w:cs="仿宋"/>
                <w:bCs/>
                <w:color w:val="auto"/>
                <w:sz w:val="24"/>
                <w:highlight w:val="none"/>
              </w:rPr>
              <w:t>观分</w:t>
            </w:r>
          </w:p>
        </w:tc>
        <w:tc>
          <w:tcPr>
            <w:tcW w:w="1585" w:type="dxa"/>
            <w:vAlign w:val="center"/>
          </w:tcPr>
          <w:p>
            <w:pPr>
              <w:snapToGrid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w:t>
            </w:r>
          </w:p>
        </w:tc>
        <w:tc>
          <w:tcPr>
            <w:tcW w:w="6093" w:type="dxa"/>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针对本项目重点、难点及相应解决措施。投标人结合对本项目采购需求的理解，对服务存在的难点、要点问题分析及解决措施。方案全面完整且专业，与采购需求完全相适应的得5分；方案详细且与采购需求相适应，但存在不足的得4分；方案基本与采购需求相适应，但存在欠缺的得3分；方案存在缺项的得2分；方案与采购需求不适应的得1分；未提供的得0分。</w:t>
            </w:r>
          </w:p>
        </w:tc>
        <w:tc>
          <w:tcPr>
            <w:tcW w:w="615" w:type="dxa"/>
            <w:vAlign w:val="center"/>
          </w:tcPr>
          <w:p>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977" w:type="dxa"/>
            <w:vAlign w:val="center"/>
          </w:tcPr>
          <w:p>
            <w:pPr>
              <w:snapToGrid w:val="0"/>
              <w:spacing w:line="360" w:lineRule="auto"/>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主</w:t>
            </w:r>
            <w:r>
              <w:rPr>
                <w:rFonts w:hint="eastAsia" w:ascii="仿宋" w:hAnsi="仿宋" w:eastAsia="仿宋" w:cs="仿宋"/>
                <w:bCs/>
                <w:color w:val="auto"/>
                <w:sz w:val="24"/>
                <w:highlight w:val="none"/>
              </w:rPr>
              <w:t>观分</w:t>
            </w:r>
          </w:p>
        </w:tc>
        <w:tc>
          <w:tcPr>
            <w:tcW w:w="1585" w:type="dxa"/>
            <w:vAlign w:val="center"/>
          </w:tcPr>
          <w:p>
            <w:pPr>
              <w:snapToGrid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0" w:type="dxa"/>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w:t>
            </w:r>
          </w:p>
        </w:tc>
        <w:tc>
          <w:tcPr>
            <w:tcW w:w="6093" w:type="dxa"/>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防治员的信息数字化管理方案，从防治计划-防治情况-后续监管全程进行数字化管理；方案完整、可操作性强的得5分；方案较完整、可操作性较强得4分；方案完整性、可操作性一般得3分；方案不够完整、操作性存在不足的得2分；方案有较大欠缺的得1分；无方案不得分。</w:t>
            </w:r>
          </w:p>
        </w:tc>
        <w:tc>
          <w:tcPr>
            <w:tcW w:w="615" w:type="dxa"/>
            <w:vAlign w:val="center"/>
          </w:tcPr>
          <w:p>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977" w:type="dxa"/>
            <w:vAlign w:val="center"/>
          </w:tcPr>
          <w:p>
            <w:pPr>
              <w:snapToGrid w:val="0"/>
              <w:spacing w:line="360" w:lineRule="auto"/>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主</w:t>
            </w:r>
            <w:r>
              <w:rPr>
                <w:rFonts w:hint="eastAsia" w:ascii="仿宋" w:hAnsi="仿宋" w:eastAsia="仿宋" w:cs="仿宋"/>
                <w:bCs/>
                <w:color w:val="auto"/>
                <w:sz w:val="24"/>
                <w:highlight w:val="none"/>
              </w:rPr>
              <w:t>观分</w:t>
            </w:r>
          </w:p>
        </w:tc>
        <w:tc>
          <w:tcPr>
            <w:tcW w:w="1585" w:type="dxa"/>
            <w:vAlign w:val="center"/>
          </w:tcPr>
          <w:p>
            <w:pPr>
              <w:snapToGrid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w:t>
            </w:r>
          </w:p>
        </w:tc>
        <w:tc>
          <w:tcPr>
            <w:tcW w:w="6093" w:type="dxa"/>
            <w:vAlign w:val="center"/>
          </w:tcPr>
          <w:p>
            <w:pPr>
              <w:snapToGrid w:val="0"/>
              <w:spacing w:line="360" w:lineRule="auto"/>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投标人技术人员具备有害生物防制员国家职业资格中级的1人得0.5分，高级的1人得1分。本项最高得5分。（开标时必须提供相关证书扫描件，及其相关人员缴纳的近3个月内任意一个月社保缴纳记录（开标当月或上一个月开始计算），否则不计分）。 </w:t>
            </w:r>
          </w:p>
        </w:tc>
        <w:tc>
          <w:tcPr>
            <w:tcW w:w="615" w:type="dxa"/>
            <w:vAlign w:val="center"/>
          </w:tcPr>
          <w:p>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977" w:type="dxa"/>
            <w:vAlign w:val="center"/>
          </w:tcPr>
          <w:p>
            <w:pPr>
              <w:snapToGrid w:val="0"/>
              <w:spacing w:line="360" w:lineRule="auto"/>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客</w:t>
            </w:r>
            <w:r>
              <w:rPr>
                <w:rFonts w:hint="eastAsia" w:ascii="仿宋" w:hAnsi="仿宋" w:eastAsia="仿宋" w:cs="仿宋"/>
                <w:bCs/>
                <w:color w:val="auto"/>
                <w:sz w:val="24"/>
                <w:highlight w:val="none"/>
              </w:rPr>
              <w:t>观分</w:t>
            </w:r>
          </w:p>
        </w:tc>
        <w:tc>
          <w:tcPr>
            <w:tcW w:w="1585" w:type="dxa"/>
            <w:vAlign w:val="center"/>
          </w:tcPr>
          <w:p>
            <w:pPr>
              <w:snapToGrid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19</w:t>
            </w:r>
          </w:p>
        </w:tc>
        <w:tc>
          <w:tcPr>
            <w:tcW w:w="6093" w:type="dxa"/>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本项目实施人员具有20人（含）以上得4分，16人（含）以上得3分，12人（含）以上得2分，10人（含）以上得1分。（提供相关人员培训上岗证或职业资格证书复印件以及缴纳的近3个月内任意一个月社保缴纳记录（开标当月或上一个月开始计算</w:t>
            </w:r>
            <w:r>
              <w:rPr>
                <w:rFonts w:hint="default"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，否则不计分）。</w:t>
            </w:r>
          </w:p>
        </w:tc>
        <w:tc>
          <w:tcPr>
            <w:tcW w:w="615" w:type="dxa"/>
            <w:vAlign w:val="center"/>
          </w:tcPr>
          <w:p>
            <w:pPr>
              <w:snapToGrid w:val="0"/>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977" w:type="dxa"/>
            <w:vAlign w:val="center"/>
          </w:tcPr>
          <w:p>
            <w:pPr>
              <w:snapToGrid w:val="0"/>
              <w:spacing w:line="360" w:lineRule="auto"/>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客</w:t>
            </w:r>
            <w:r>
              <w:rPr>
                <w:rFonts w:hint="eastAsia" w:ascii="仿宋" w:hAnsi="仿宋" w:eastAsia="仿宋" w:cs="仿宋"/>
                <w:bCs/>
                <w:color w:val="auto"/>
                <w:sz w:val="24"/>
                <w:highlight w:val="none"/>
              </w:rPr>
              <w:t>观分</w:t>
            </w:r>
          </w:p>
        </w:tc>
        <w:tc>
          <w:tcPr>
            <w:tcW w:w="1585" w:type="dxa"/>
            <w:vAlign w:val="center"/>
          </w:tcPr>
          <w:p>
            <w:pPr>
              <w:snapToGrid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0" w:type="dxa"/>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w:t>
            </w:r>
          </w:p>
        </w:tc>
        <w:tc>
          <w:tcPr>
            <w:tcW w:w="6093" w:type="dxa"/>
            <w:vAlign w:val="center"/>
          </w:tcPr>
          <w:p>
            <w:pPr>
              <w:snapToGrid w:val="0"/>
              <w:spacing w:line="360" w:lineRule="auto"/>
              <w:jc w:val="left"/>
              <w:rPr>
                <w:rFonts w:hint="eastAsia" w:ascii="仿宋" w:hAnsi="仿宋" w:eastAsia="仿宋" w:cs="仿宋"/>
                <w:color w:val="auto"/>
                <w:sz w:val="24"/>
                <w:highlight w:val="none"/>
                <w:lang w:val="en-US" w:eastAsia="zh-CN"/>
              </w:rPr>
            </w:pPr>
            <w:bookmarkStart w:id="527" w:name="_GoBack"/>
            <w:r>
              <w:rPr>
                <w:rFonts w:hint="eastAsia" w:ascii="仿宋" w:hAnsi="仿宋" w:eastAsia="仿宋" w:cs="仿宋"/>
                <w:color w:val="auto"/>
                <w:sz w:val="24"/>
                <w:highlight w:val="none"/>
                <w:lang w:val="en-US" w:eastAsia="zh-CN"/>
              </w:rPr>
              <w:t>20.1配备工程作业车2辆得2分，增加一辆得1分，最高得5分。</w:t>
            </w:r>
            <w:r>
              <w:rPr>
                <w:rFonts w:hint="eastAsia" w:ascii="仿宋" w:hAnsi="仿宋" w:eastAsia="仿宋" w:cs="仿宋"/>
                <w:color w:val="auto"/>
                <w:sz w:val="24"/>
                <w:highlight w:val="none"/>
              </w:rPr>
              <w:t>提供</w:t>
            </w:r>
            <w:r>
              <w:rPr>
                <w:rFonts w:hint="eastAsia" w:ascii="仿宋" w:hAnsi="仿宋" w:eastAsia="仿宋" w:cs="仿宋"/>
                <w:color w:val="auto"/>
                <w:sz w:val="24"/>
                <w:highlight w:val="none"/>
                <w:lang w:eastAsia="zh-CN"/>
              </w:rPr>
              <w:t>购买</w:t>
            </w:r>
            <w:r>
              <w:rPr>
                <w:rFonts w:hint="eastAsia" w:ascii="仿宋" w:hAnsi="仿宋" w:eastAsia="仿宋" w:cs="仿宋"/>
                <w:color w:val="auto"/>
                <w:sz w:val="24"/>
                <w:highlight w:val="none"/>
              </w:rPr>
              <w:t>发票扫描件</w:t>
            </w:r>
            <w:r>
              <w:rPr>
                <w:rFonts w:hint="eastAsia" w:ascii="仿宋" w:hAnsi="仿宋" w:eastAsia="仿宋" w:cs="仿宋"/>
                <w:color w:val="auto"/>
                <w:sz w:val="24"/>
                <w:highlight w:val="none"/>
                <w:lang w:eastAsia="zh-CN"/>
              </w:rPr>
              <w:t>或车辆租赁合同、</w:t>
            </w:r>
            <w:r>
              <w:rPr>
                <w:rFonts w:hint="eastAsia" w:ascii="仿宋" w:hAnsi="仿宋" w:eastAsia="仿宋" w:cs="仿宋"/>
                <w:color w:val="auto"/>
                <w:sz w:val="24"/>
                <w:highlight w:val="none"/>
              </w:rPr>
              <w:t>车辆行驶证</w:t>
            </w:r>
            <w:r>
              <w:rPr>
                <w:rFonts w:hint="eastAsia" w:ascii="仿宋" w:hAnsi="仿宋" w:eastAsia="仿宋" w:cs="仿宋"/>
                <w:color w:val="auto"/>
                <w:sz w:val="24"/>
                <w:highlight w:val="none"/>
                <w:lang w:eastAsia="zh-CN"/>
              </w:rPr>
              <w:t>扫描件。</w:t>
            </w:r>
          </w:p>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20.2配备车载式机动喷雾器2台及以上得1分；</w:t>
            </w:r>
            <w:r>
              <w:rPr>
                <w:rFonts w:hint="eastAsia" w:ascii="仿宋" w:hAnsi="仿宋" w:eastAsia="仿宋" w:cs="仿宋"/>
                <w:color w:val="auto"/>
                <w:sz w:val="24"/>
                <w:highlight w:val="none"/>
              </w:rPr>
              <w:t>提供</w:t>
            </w:r>
            <w:r>
              <w:rPr>
                <w:rFonts w:hint="eastAsia" w:ascii="仿宋" w:hAnsi="仿宋" w:eastAsia="仿宋" w:cs="仿宋"/>
                <w:color w:val="auto"/>
                <w:sz w:val="24"/>
                <w:highlight w:val="none"/>
                <w:lang w:eastAsia="zh-CN"/>
              </w:rPr>
              <w:t>购买设备</w:t>
            </w:r>
            <w:r>
              <w:rPr>
                <w:rFonts w:hint="eastAsia" w:ascii="仿宋" w:hAnsi="仿宋" w:eastAsia="仿宋" w:cs="仿宋"/>
                <w:color w:val="auto"/>
                <w:sz w:val="24"/>
                <w:highlight w:val="none"/>
              </w:rPr>
              <w:t>发票扫描件</w:t>
            </w:r>
            <w:r>
              <w:rPr>
                <w:rFonts w:hint="eastAsia" w:ascii="仿宋" w:hAnsi="仿宋" w:eastAsia="仿宋" w:cs="仿宋"/>
                <w:color w:val="auto"/>
                <w:sz w:val="24"/>
                <w:highlight w:val="none"/>
                <w:lang w:eastAsia="zh-CN"/>
              </w:rPr>
              <w:t>。</w:t>
            </w:r>
          </w:p>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20.3配备超低容量喷雾器2台得1分，多一台加0.5分，最高得2分。</w:t>
            </w:r>
            <w:r>
              <w:rPr>
                <w:rFonts w:hint="eastAsia" w:ascii="仿宋" w:hAnsi="仿宋" w:eastAsia="仿宋" w:cs="仿宋"/>
                <w:color w:val="auto"/>
                <w:sz w:val="24"/>
                <w:highlight w:val="none"/>
              </w:rPr>
              <w:t>提供</w:t>
            </w:r>
            <w:r>
              <w:rPr>
                <w:rFonts w:hint="eastAsia" w:ascii="仿宋" w:hAnsi="仿宋" w:eastAsia="仿宋" w:cs="仿宋"/>
                <w:color w:val="auto"/>
                <w:sz w:val="24"/>
                <w:highlight w:val="none"/>
                <w:lang w:eastAsia="zh-CN"/>
              </w:rPr>
              <w:t>购买设备</w:t>
            </w:r>
            <w:r>
              <w:rPr>
                <w:rFonts w:hint="eastAsia" w:ascii="仿宋" w:hAnsi="仿宋" w:eastAsia="仿宋" w:cs="仿宋"/>
                <w:color w:val="auto"/>
                <w:sz w:val="24"/>
                <w:highlight w:val="none"/>
              </w:rPr>
              <w:t>发票扫描件</w:t>
            </w:r>
            <w:r>
              <w:rPr>
                <w:rFonts w:hint="eastAsia" w:ascii="仿宋" w:hAnsi="仿宋" w:eastAsia="仿宋" w:cs="仿宋"/>
                <w:color w:val="auto"/>
                <w:sz w:val="24"/>
                <w:highlight w:val="none"/>
                <w:lang w:eastAsia="zh-CN"/>
              </w:rPr>
              <w:t>。</w:t>
            </w:r>
            <w:bookmarkEnd w:id="527"/>
          </w:p>
        </w:tc>
        <w:tc>
          <w:tcPr>
            <w:tcW w:w="615" w:type="dxa"/>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977"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bCs/>
                <w:color w:val="auto"/>
                <w:sz w:val="24"/>
                <w:highlight w:val="none"/>
                <w:lang w:val="en-US" w:eastAsia="zh-CN"/>
              </w:rPr>
              <w:t>客</w:t>
            </w:r>
            <w:r>
              <w:rPr>
                <w:rFonts w:hint="eastAsia" w:ascii="仿宋" w:hAnsi="仿宋" w:eastAsia="仿宋" w:cs="仿宋"/>
                <w:bCs/>
                <w:color w:val="auto"/>
                <w:sz w:val="24"/>
                <w:highlight w:val="none"/>
              </w:rPr>
              <w:t>观分</w:t>
            </w:r>
          </w:p>
        </w:tc>
        <w:tc>
          <w:tcPr>
            <w:tcW w:w="1585" w:type="dxa"/>
            <w:vAlign w:val="center"/>
          </w:tcPr>
          <w:p>
            <w:pPr>
              <w:snapToGrid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w:t>
            </w:r>
          </w:p>
        </w:tc>
        <w:tc>
          <w:tcPr>
            <w:tcW w:w="6093" w:type="dxa"/>
            <w:vAlign w:val="center"/>
          </w:tcPr>
          <w:p>
            <w:pPr>
              <w:spacing w:line="360" w:lineRule="auto"/>
              <w:jc w:val="left"/>
              <w:outlineLvl w:val="0"/>
              <w:rPr>
                <w:rFonts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］的计算公式计算。</w:t>
            </w:r>
          </w:p>
          <w:p>
            <w:pPr>
              <w:widowControl/>
              <w:shd w:val="clear" w:color="auto" w:fill="FFFFFF"/>
              <w:adjustRightInd/>
              <w:spacing w:after="225" w:line="315" w:lineRule="atLeast"/>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tc>
        <w:tc>
          <w:tcPr>
            <w:tcW w:w="615" w:type="dxa"/>
            <w:vAlign w:val="center"/>
          </w:tcPr>
          <w:p>
            <w:pPr>
              <w:spacing w:line="360" w:lineRule="auto"/>
              <w:jc w:val="center"/>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977" w:type="dxa"/>
            <w:vAlign w:val="center"/>
          </w:tcPr>
          <w:p>
            <w:pPr>
              <w:spacing w:line="36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1585" w:type="dxa"/>
            <w:vAlign w:val="center"/>
          </w:tcPr>
          <w:p>
            <w:pPr>
              <w:spacing w:line="360" w:lineRule="auto"/>
              <w:jc w:val="center"/>
              <w:outlineLvl w:val="0"/>
              <w:rPr>
                <w:rFonts w:ascii="仿宋" w:hAnsi="仿宋" w:eastAsia="仿宋" w:cs="仿宋"/>
                <w:color w:val="auto"/>
                <w:sz w:val="24"/>
                <w:highlight w:val="none"/>
              </w:rPr>
            </w:pPr>
            <w:r>
              <w:rPr>
                <w:rFonts w:hint="eastAsia" w:ascii="仿宋" w:hAnsi="仿宋" w:eastAsia="仿宋" w:cs="仿宋"/>
                <w:color w:val="auto"/>
                <w:sz w:val="24"/>
                <w:highlight w:val="none"/>
              </w:rPr>
              <w:t>/</w:t>
            </w:r>
          </w:p>
        </w:tc>
      </w:tr>
    </w:tbl>
    <w:p>
      <w:pPr>
        <w:snapToGrid w:val="0"/>
        <w:spacing w:line="360" w:lineRule="auto"/>
        <w:rPr>
          <w:rFonts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w:t>
      </w:r>
    </w:p>
    <w:p>
      <w:pPr>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30"/>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30"/>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4.2.11投标人有恶意串通、妨碍其他投标人的竞争行为、损害采购人或者其他投标人的合法权益情形的；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pPr>
        <w:spacing w:line="360" w:lineRule="auto"/>
        <w:ind w:firstLine="480" w:firstLineChars="200"/>
        <w:rPr>
          <w:rFonts w:ascii="仿宋" w:hAnsi="仿宋" w:eastAsia="仿宋" w:cs="仿宋"/>
          <w:color w:val="auto"/>
          <w:kern w:val="0"/>
          <w:sz w:val="24"/>
          <w:highlight w:val="none"/>
        </w:rPr>
      </w:pPr>
      <w:r>
        <w:rPr>
          <w:rFonts w:hint="eastAsia" w:ascii="仿宋" w:eastAsia="仿宋" w:cs="仿宋"/>
          <w:color w:val="auto"/>
          <w:kern w:val="0"/>
          <w:sz w:val="24"/>
          <w:highlight w:val="none"/>
        </w:rPr>
        <w:t>4.2.13投标文件不满足招标文件的其它实质性要求的；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pPr>
        <w:pStyle w:val="24"/>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Start w:id="405" w:name="_Toc86217003"/>
    </w:p>
    <w:p>
      <w:pPr>
        <w:spacing w:line="360" w:lineRule="auto"/>
        <w:ind w:left="720" w:leftChars="343" w:firstLine="1084" w:firstLineChars="300"/>
        <w:outlineLvl w:val="0"/>
        <w:rPr>
          <w:rFonts w:ascii="仿宋" w:hAnsi="仿宋" w:eastAsia="仿宋" w:cs="仿宋"/>
          <w:b/>
          <w:color w:val="auto"/>
          <w:sz w:val="36"/>
          <w:szCs w:val="36"/>
          <w:highlight w:val="none"/>
        </w:rPr>
        <w:sectPr>
          <w:pgSz w:w="11905" w:h="16838"/>
          <w:pgMar w:top="1474" w:right="1814" w:bottom="1474" w:left="1814" w:header="851" w:footer="850" w:gutter="0"/>
          <w:cols w:space="0" w:num="1"/>
          <w:rtlGutter w:val="0"/>
          <w:docGrid w:linePitch="0" w:charSpace="0"/>
        </w:sectPr>
      </w:pPr>
    </w:p>
    <w:p>
      <w:pPr>
        <w:spacing w:line="360" w:lineRule="auto"/>
        <w:ind w:left="720" w:leftChars="343" w:firstLine="1084" w:firstLineChars="300"/>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第五部分 </w:t>
      </w:r>
      <w:r>
        <w:rPr>
          <w:rFonts w:ascii="仿宋" w:hAnsi="仿宋" w:eastAsia="仿宋" w:cs="仿宋"/>
          <w:b/>
          <w:color w:val="auto"/>
          <w:sz w:val="36"/>
          <w:szCs w:val="36"/>
          <w:highlight w:val="none"/>
        </w:rPr>
        <w:t xml:space="preserve"> </w:t>
      </w:r>
      <w:r>
        <w:rPr>
          <w:rFonts w:hint="eastAsia" w:ascii="仿宋" w:hAnsi="仿宋" w:eastAsia="仿宋" w:cs="仿宋"/>
          <w:b/>
          <w:color w:val="auto"/>
          <w:sz w:val="36"/>
          <w:szCs w:val="36"/>
          <w:highlight w:val="none"/>
        </w:rPr>
        <w:t>拟签订的合同文本</w:t>
      </w:r>
    </w:p>
    <w:p>
      <w:pPr>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jc w:val="center"/>
        <w:rPr>
          <w:rFonts w:ascii="仿宋" w:hAnsi="仿宋" w:eastAsia="仿宋" w:cs="仿宋"/>
          <w:b/>
          <w:color w:val="auto"/>
          <w:sz w:val="24"/>
          <w:highlight w:val="none"/>
        </w:rPr>
      </w:pPr>
    </w:p>
    <w:p>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pPr>
        <w:pStyle w:val="701"/>
        <w:ind w:firstLine="2843" w:firstLineChars="1180"/>
        <w:rPr>
          <w:rFonts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pPr>
        <w:spacing w:line="480" w:lineRule="auto"/>
        <w:jc w:val="center"/>
        <w:rPr>
          <w:rFonts w:ascii="仿宋" w:hAnsi="仿宋" w:eastAsia="仿宋" w:cs="仿宋"/>
          <w:b/>
          <w:color w:val="auto"/>
          <w:sz w:val="24"/>
          <w:highlight w:val="none"/>
        </w:rPr>
      </w:pPr>
    </w:p>
    <w:p>
      <w:pPr>
        <w:spacing w:line="480" w:lineRule="auto"/>
        <w:jc w:val="center"/>
        <w:rPr>
          <w:rFonts w:ascii="仿宋" w:hAnsi="仿宋" w:eastAsia="仿宋" w:cs="仿宋"/>
          <w:b/>
          <w:color w:val="auto"/>
          <w:sz w:val="24"/>
          <w:highlight w:val="none"/>
        </w:rPr>
      </w:pPr>
    </w:p>
    <w:p>
      <w:pPr>
        <w:spacing w:before="120" w:line="22" w:lineRule="atLeast"/>
        <w:ind w:left="96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丁兰街道除“四害”消杀服务项目  </w:t>
      </w:r>
    </w:p>
    <w:p>
      <w:pPr>
        <w:spacing w:line="480" w:lineRule="auto"/>
        <w:jc w:val="center"/>
        <w:rPr>
          <w:rFonts w:ascii="仿宋" w:hAnsi="仿宋" w:eastAsia="仿宋" w:cs="仿宋"/>
          <w:b/>
          <w:color w:val="auto"/>
          <w:sz w:val="24"/>
          <w:highlight w:val="none"/>
        </w:rPr>
      </w:pPr>
    </w:p>
    <w:p>
      <w:pPr>
        <w:spacing w:line="480" w:lineRule="auto"/>
        <w:jc w:val="center"/>
        <w:rPr>
          <w:rFonts w:ascii="仿宋" w:hAnsi="仿宋" w:eastAsia="仿宋" w:cs="仿宋"/>
          <w:b/>
          <w:color w:val="auto"/>
          <w:sz w:val="24"/>
          <w:highlight w:val="none"/>
        </w:rPr>
      </w:pPr>
    </w:p>
    <w:p>
      <w:pPr>
        <w:spacing w:line="480" w:lineRule="auto"/>
        <w:jc w:val="center"/>
        <w:rPr>
          <w:rFonts w:ascii="仿宋" w:hAnsi="仿宋" w:eastAsia="仿宋" w:cs="仿宋"/>
          <w:b/>
          <w:color w:val="auto"/>
          <w:sz w:val="24"/>
          <w:highlight w:val="none"/>
        </w:rPr>
      </w:pPr>
    </w:p>
    <w:p>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杭州市上城区人民政府丁兰街道办事处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spacing w:line="480" w:lineRule="auto"/>
        <w:jc w:val="center"/>
        <w:rPr>
          <w:rFonts w:ascii="仿宋" w:hAnsi="仿宋" w:eastAsia="仿宋" w:cs="仿宋"/>
          <w:b/>
          <w:color w:val="auto"/>
          <w:sz w:val="24"/>
          <w:highlight w:val="none"/>
        </w:rPr>
      </w:pPr>
    </w:p>
    <w:p>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spacing w:line="480" w:lineRule="auto"/>
        <w:jc w:val="center"/>
        <w:rPr>
          <w:rFonts w:ascii="仿宋" w:hAnsi="仿宋" w:eastAsia="仿宋" w:cs="仿宋"/>
          <w:b/>
          <w:color w:val="auto"/>
          <w:sz w:val="24"/>
          <w:highlight w:val="none"/>
        </w:rPr>
      </w:pPr>
    </w:p>
    <w:p>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杭州市上城区人民政府丁兰街道办事处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spacing w:line="480" w:lineRule="auto"/>
        <w:jc w:val="center"/>
        <w:rPr>
          <w:rFonts w:ascii="仿宋" w:hAnsi="仿宋" w:eastAsia="仿宋" w:cs="仿宋"/>
          <w:b/>
          <w:color w:val="auto"/>
          <w:sz w:val="24"/>
          <w:highlight w:val="none"/>
        </w:rPr>
      </w:pPr>
    </w:p>
    <w:p>
      <w:pPr>
        <w:spacing w:before="120" w:line="22" w:lineRule="atLeast"/>
        <w:ind w:firstLine="960" w:firstLineChars="400"/>
        <w:rPr>
          <w:rFonts w:ascii="仿宋" w:hAnsi="仿宋" w:eastAsia="仿宋" w:cs="仿宋"/>
          <w:color w:val="auto"/>
          <w:sz w:val="24"/>
          <w:highlight w:val="none"/>
          <w:u w:val="single"/>
        </w:rPr>
        <w:sectPr>
          <w:pgSz w:w="11905" w:h="16838"/>
          <w:pgMar w:top="1474" w:right="1814" w:bottom="1474" w:left="1814" w:header="851" w:footer="850" w:gutter="0"/>
          <w:cols w:space="0" w:num="1"/>
          <w:rtlGutter w:val="0"/>
          <w:docGrid w:linePitch="0" w:charSpace="0"/>
        </w:sect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lang w:val="en-US" w:eastAsia="zh-CN"/>
        </w:rPr>
        <w:t>2024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杭州市上城区人民政府丁兰街道办事处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公开招标的</w:t>
      </w:r>
      <w:r>
        <w:rPr>
          <w:rFonts w:hint="eastAsia" w:ascii="仿宋" w:hAnsi="仿宋" w:eastAsia="仿宋" w:cs="仿宋"/>
          <w:color w:val="auto"/>
          <w:sz w:val="24"/>
          <w:highlight w:val="none"/>
          <w:u w:val="single"/>
        </w:rPr>
        <w:t xml:space="preserve">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丁兰街道除“四害”消杀服务项目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评标委员会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（中标或者成交供应商名称）</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杭州市上城区人民政府丁兰街道办事处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（中或者成交标供应商名称）</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spacing w:line="560" w:lineRule="exact"/>
        <w:ind w:firstLine="482" w:firstLineChars="200"/>
        <w:outlineLvl w:val="0"/>
        <w:rPr>
          <w:rFonts w:ascii="仿宋" w:hAnsi="仿宋" w:eastAsia="仿宋" w:cs="仿宋"/>
          <w:color w:val="auto"/>
          <w:sz w:val="24"/>
          <w:highlight w:val="none"/>
        </w:rPr>
      </w:pPr>
      <w:bookmarkStart w:id="406" w:name="_Toc22967"/>
      <w:bookmarkStart w:id="407" w:name="_Toc19273"/>
      <w:bookmarkStart w:id="408" w:name="_Toc28855"/>
      <w:bookmarkStart w:id="409" w:name="_Toc15367"/>
      <w:bookmarkStart w:id="410" w:name="_Toc20421"/>
      <w:r>
        <w:rPr>
          <w:rFonts w:hint="eastAsia" w:ascii="仿宋" w:hAnsi="仿宋" w:eastAsia="仿宋" w:cs="仿宋"/>
          <w:b/>
          <w:color w:val="auto"/>
          <w:sz w:val="24"/>
          <w:highlight w:val="none"/>
        </w:rPr>
        <w:t>1.1合同组成部分</w:t>
      </w:r>
      <w:bookmarkEnd w:id="406"/>
      <w:bookmarkEnd w:id="407"/>
      <w:bookmarkEnd w:id="408"/>
      <w:bookmarkEnd w:id="409"/>
      <w:bookmarkEnd w:id="410"/>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1.1.1本合同及其补充合同、变更协议；</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1.1.2中标或者成交通知书；</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1.1.3投标或者响应文件（含澄清或者说明文件）；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1.1.4采购文件（含澄清或者修改文件）；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1.1.5其他相关采购文件。</w:t>
      </w:r>
    </w:p>
    <w:p>
      <w:pPr>
        <w:spacing w:line="560" w:lineRule="exact"/>
        <w:ind w:firstLine="482" w:firstLineChars="200"/>
        <w:outlineLvl w:val="0"/>
        <w:rPr>
          <w:rFonts w:ascii="仿宋" w:hAnsi="仿宋" w:eastAsia="仿宋" w:cs="仿宋"/>
          <w:b/>
          <w:color w:val="auto"/>
          <w:sz w:val="24"/>
          <w:highlight w:val="none"/>
        </w:rPr>
      </w:pPr>
      <w:bookmarkStart w:id="411" w:name="_Toc18585"/>
      <w:bookmarkStart w:id="412" w:name="_Toc6311"/>
      <w:bookmarkStart w:id="413" w:name="_Toc22185"/>
      <w:bookmarkStart w:id="414" w:name="_Toc2918"/>
      <w:bookmarkStart w:id="415" w:name="_Toc6773"/>
      <w:r>
        <w:rPr>
          <w:rFonts w:hint="eastAsia" w:ascii="仿宋" w:hAnsi="仿宋" w:eastAsia="仿宋" w:cs="仿宋"/>
          <w:b/>
          <w:color w:val="auto"/>
          <w:sz w:val="24"/>
          <w:highlight w:val="none"/>
        </w:rPr>
        <w:t>1.2标的</w:t>
      </w:r>
      <w:bookmarkEnd w:id="411"/>
      <w:bookmarkEnd w:id="412"/>
      <w:bookmarkEnd w:id="413"/>
      <w:bookmarkEnd w:id="414"/>
      <w:bookmarkEnd w:id="415"/>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1.2.1服务内容：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招标文件第三部分采购需求及乙方投标文件响应内容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1.2.2服务标准：</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(1)鼠密度控制标准：</w:t>
      </w:r>
      <w:r>
        <w:rPr>
          <w:rFonts w:hint="eastAsia" w:ascii="仿宋" w:hAnsi="仿宋" w:eastAsia="仿宋" w:cs="仿宋"/>
          <w:color w:val="auto"/>
          <w:sz w:val="24"/>
          <w:highlight w:val="none"/>
          <w:u w:val="single"/>
          <w:lang w:val="en-US" w:eastAsia="zh-CN"/>
        </w:rPr>
        <w:t>①</w:t>
      </w:r>
      <w:r>
        <w:rPr>
          <w:rFonts w:hint="eastAsia" w:ascii="仿宋" w:hAnsi="仿宋" w:eastAsia="仿宋" w:cs="仿宋"/>
          <w:color w:val="auto"/>
          <w:sz w:val="24"/>
          <w:highlight w:val="none"/>
          <w:u w:val="single"/>
        </w:rPr>
        <w:t>春秋两季鼠药(下水道悬挂毒饵)的投放覆盖率98%以上、</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到位率95%以上；</w:t>
      </w:r>
      <w:r>
        <w:rPr>
          <w:rFonts w:hint="eastAsia" w:ascii="仿宋" w:hAnsi="仿宋" w:eastAsia="仿宋" w:cs="仿宋"/>
          <w:color w:val="auto"/>
          <w:sz w:val="24"/>
          <w:highlight w:val="none"/>
          <w:u w:val="single"/>
          <w:lang w:val="en-US" w:eastAsia="zh-CN"/>
        </w:rPr>
        <w:t>②</w:t>
      </w:r>
      <w:r>
        <w:rPr>
          <w:rFonts w:hint="eastAsia" w:ascii="仿宋" w:hAnsi="仿宋" w:eastAsia="仿宋" w:cs="仿宋"/>
          <w:color w:val="auto"/>
          <w:sz w:val="24"/>
          <w:highlight w:val="none"/>
          <w:u w:val="single"/>
        </w:rPr>
        <w:t>每社区外环境鼠密度控制水平路径指数小于或等于3。</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)蚊密度控制标准：每社区小型积水蚊虫密度控制水平路径指数小于或等于0.5,停落指数小于等于1.5。</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)蝇密度控制标准：每社区蝇类孳生地阳性孳生小于或等于3%。</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)灭蟑螂标准：每社区蟑螂成若虫侵害率小于或等于3%。</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)群众满意率达90%(含)以上，满意度每下降5%,扣除本期应付金额的5%。</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)考核办法由甲方根据上级爱卫会公布的标准和要求制订。</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1.2.3技术保障：</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 xml:space="preserve"> 乙方须严格按照参加投标时提供的公共环境除四害实施方案、技术方案和“四害”密度监测工作计划执行；</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乙方除四害药物需选用符合国家规定要求的药物，药物使用剂量、浓度、时间、方法、配伍等符合技术规定，所消杀使用的药物购置发票复印件和有关证书及时报市、区爱卫办备案；</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乙方应科学规范地使用药物，确保人、禽的安全；合同执行期间不得发生因操作不规范而引起的安全事故和投诉事件。</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乙方在各承包区块作业固定从业人员应与投标文件描述一致(每个街道固定作业人员不少于2人(其中街道面积在3平方公里之内的配备作业人员不少于1人),街道区域面 积在10-20平方公里需配备作业人员不少于4人，20平方公里以上需配备作业人员不少于6 人),且所有从业人员(含临时调配从业人员)均持浙江省病媒生物预防控制培训合格证明或人社部门烦发的初级上资质证书上岗。</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乙方应向承包组团的居民公示公司名称、负责人、联系电话，以及街道、区、市爱 卫办监督电话。</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乙方应在作业后向社区提交工作单，并每月做好工作计划和工作小结，报市、区、 街道爱卫办和社区干部。</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乙方做好工作计划、总结、密度监测、药械消耗及消杀工作记录表等资料的整理收集，并及时报送甲方；并配合做好市、区爱卫办委托的第三方监测评估工作以及提供所需台 账资料的审核等</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1.2.4服务人员组成：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1.2.5合同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否</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（是/否）涉及货物。若涉及货物的，则：</w:t>
      </w:r>
    </w:p>
    <w:p>
      <w:pPr>
        <w:spacing w:line="560" w:lineRule="exact"/>
        <w:ind w:firstLine="480" w:firstLineChars="200"/>
        <w:rPr>
          <w:rFonts w:ascii="仿宋" w:hAnsi="仿宋" w:eastAsia="仿宋" w:cs="仿宋"/>
          <w:color w:val="auto"/>
          <w:sz w:val="24"/>
          <w:highlight w:val="none"/>
          <w:u w:val="single"/>
        </w:rPr>
      </w:pPr>
      <w:bookmarkStart w:id="416" w:name="_Toc4929"/>
      <w:bookmarkStart w:id="417" w:name="_Toc21124"/>
      <w:bookmarkStart w:id="418" w:name="_Toc13918"/>
      <w:bookmarkStart w:id="419" w:name="_Toc1386"/>
      <w:bookmarkStart w:id="420" w:name="_Toc5635"/>
      <w:r>
        <w:rPr>
          <w:rFonts w:hint="eastAsia" w:ascii="仿宋" w:hAnsi="仿宋" w:eastAsia="仿宋" w:cs="仿宋"/>
          <w:color w:val="auto"/>
          <w:sz w:val="24"/>
          <w:highlight w:val="none"/>
        </w:rPr>
        <w:t>1.2.5.1货物名称、品牌、规格型号、花色：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1.2.5.2货物数量：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1.2.5.3货物质量：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1.3价款</w:t>
      </w:r>
      <w:bookmarkEnd w:id="416"/>
      <w:bookmarkEnd w:id="417"/>
      <w:bookmarkEnd w:id="418"/>
      <w:bookmarkEnd w:id="419"/>
      <w:bookmarkEnd w:id="420"/>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1.3.1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pPr>
              <w:pStyle w:val="319"/>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pPr>
              <w:pStyle w:val="319"/>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ascii="仿宋" w:hAnsi="仿宋" w:eastAsia="仿宋" w:cs="仿宋"/>
                <w:color w:val="auto"/>
                <w:sz w:val="24"/>
                <w:szCs w:val="24"/>
                <w:highlight w:val="none"/>
              </w:rPr>
            </w:pPr>
          </w:p>
        </w:tc>
        <w:tc>
          <w:tcPr>
            <w:tcW w:w="3402" w:type="dxa"/>
            <w:vAlign w:val="center"/>
          </w:tcPr>
          <w:p>
            <w:pPr>
              <w:pStyle w:val="319"/>
              <w:spacing w:line="560" w:lineRule="exact"/>
              <w:ind w:firstLine="200"/>
              <w:jc w:val="center"/>
              <w:rPr>
                <w:rFonts w:ascii="仿宋" w:hAnsi="仿宋" w:eastAsia="仿宋" w:cs="仿宋"/>
                <w:color w:val="auto"/>
                <w:sz w:val="24"/>
                <w:szCs w:val="24"/>
                <w:highlight w:val="none"/>
              </w:rPr>
            </w:pPr>
          </w:p>
        </w:tc>
        <w:tc>
          <w:tcPr>
            <w:tcW w:w="2552" w:type="dxa"/>
            <w:vAlign w:val="center"/>
          </w:tcPr>
          <w:p>
            <w:pPr>
              <w:pStyle w:val="319"/>
              <w:spacing w:line="560" w:lineRule="exact"/>
              <w:ind w:firstLine="20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ascii="仿宋" w:hAnsi="仿宋" w:eastAsia="仿宋" w:cs="仿宋"/>
                <w:color w:val="auto"/>
                <w:sz w:val="24"/>
                <w:szCs w:val="24"/>
                <w:highlight w:val="none"/>
              </w:rPr>
            </w:pPr>
          </w:p>
        </w:tc>
        <w:tc>
          <w:tcPr>
            <w:tcW w:w="3402" w:type="dxa"/>
            <w:vAlign w:val="center"/>
          </w:tcPr>
          <w:p>
            <w:pPr>
              <w:pStyle w:val="319"/>
              <w:spacing w:line="560" w:lineRule="exact"/>
              <w:ind w:firstLine="200"/>
              <w:jc w:val="center"/>
              <w:rPr>
                <w:rFonts w:ascii="仿宋" w:hAnsi="仿宋" w:eastAsia="仿宋" w:cs="仿宋"/>
                <w:color w:val="auto"/>
                <w:sz w:val="24"/>
                <w:szCs w:val="24"/>
                <w:highlight w:val="none"/>
              </w:rPr>
            </w:pPr>
          </w:p>
        </w:tc>
        <w:tc>
          <w:tcPr>
            <w:tcW w:w="2552" w:type="dxa"/>
            <w:vAlign w:val="center"/>
          </w:tcPr>
          <w:p>
            <w:pPr>
              <w:pStyle w:val="319"/>
              <w:spacing w:line="560" w:lineRule="exact"/>
              <w:ind w:firstLine="20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ascii="仿宋" w:hAnsi="仿宋" w:eastAsia="仿宋" w:cs="仿宋"/>
                <w:color w:val="auto"/>
                <w:sz w:val="24"/>
                <w:szCs w:val="24"/>
                <w:highlight w:val="none"/>
              </w:rPr>
            </w:pPr>
          </w:p>
        </w:tc>
        <w:tc>
          <w:tcPr>
            <w:tcW w:w="3402" w:type="dxa"/>
            <w:vAlign w:val="center"/>
          </w:tcPr>
          <w:p>
            <w:pPr>
              <w:pStyle w:val="319"/>
              <w:spacing w:line="560" w:lineRule="exact"/>
              <w:ind w:firstLine="200"/>
              <w:jc w:val="center"/>
              <w:rPr>
                <w:rFonts w:ascii="仿宋" w:hAnsi="仿宋" w:eastAsia="仿宋" w:cs="仿宋"/>
                <w:color w:val="auto"/>
                <w:sz w:val="24"/>
                <w:szCs w:val="24"/>
                <w:highlight w:val="none"/>
              </w:rPr>
            </w:pPr>
          </w:p>
        </w:tc>
        <w:tc>
          <w:tcPr>
            <w:tcW w:w="2552" w:type="dxa"/>
            <w:vAlign w:val="center"/>
          </w:tcPr>
          <w:p>
            <w:pPr>
              <w:pStyle w:val="319"/>
              <w:spacing w:line="560" w:lineRule="exact"/>
              <w:ind w:firstLine="20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9"/>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pPr>
              <w:pStyle w:val="319"/>
              <w:spacing w:line="560" w:lineRule="exact"/>
              <w:ind w:firstLine="200"/>
              <w:jc w:val="center"/>
              <w:rPr>
                <w:rFonts w:ascii="仿宋" w:hAnsi="仿宋" w:eastAsia="仿宋" w:cs="仿宋"/>
                <w:color w:val="auto"/>
                <w:sz w:val="24"/>
                <w:szCs w:val="24"/>
                <w:highlight w:val="none"/>
              </w:rPr>
            </w:pPr>
          </w:p>
        </w:tc>
      </w:tr>
    </w:tbl>
    <w:p>
      <w:pPr>
        <w:spacing w:line="560" w:lineRule="exact"/>
        <w:ind w:firstLine="480" w:firstLineChars="200"/>
        <w:rPr>
          <w:rFonts w:ascii="仿宋" w:hAnsi="仿宋" w:eastAsia="仿宋" w:cs="仿宋"/>
          <w:color w:val="auto"/>
          <w:sz w:val="24"/>
          <w:highlight w:val="none"/>
        </w:rPr>
      </w:pPr>
      <w:bookmarkStart w:id="421" w:name="_Toc30158"/>
      <w:bookmarkStart w:id="422" w:name="_Toc26916"/>
      <w:bookmarkStart w:id="423" w:name="_Toc14993"/>
      <w:bookmarkStart w:id="424" w:name="_Toc30506"/>
      <w:bookmarkStart w:id="425" w:name="_Toc3654"/>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spacing w:line="560" w:lineRule="exact"/>
        <w:ind w:firstLine="480" w:firstLineChars="200"/>
        <w:rPr>
          <w:rFonts w:ascii="仿宋" w:hAnsi="仿宋" w:eastAsia="仿宋" w:cs="仿宋"/>
          <w:color w:val="auto"/>
          <w:sz w:val="24"/>
          <w:highlight w:val="none"/>
        </w:rPr>
      </w:pPr>
      <w:r>
        <w:rPr>
          <w:rFonts w:hint="eastAsia" w:ascii="仿宋" w:eastAsia="仿宋" w:cs="仿宋"/>
          <w:color w:val="auto"/>
          <w:sz w:val="24"/>
          <w:highlight w:val="none"/>
        </w:rPr>
        <w:t>1.3.3其他计价方式：</w:t>
      </w:r>
      <w:r>
        <w:rPr>
          <w:rFonts w:hint="eastAsia" w:ascii="仿宋" w:eastAsia="仿宋" w:cs="仿宋"/>
          <w:color w:val="auto"/>
          <w:sz w:val="24"/>
          <w:highlight w:val="none"/>
          <w:u w:val="single"/>
        </w:rPr>
        <w:t xml:space="preserve">                   </w:t>
      </w:r>
      <w:r>
        <w:rPr>
          <w:rFonts w:hint="eastAsia" w:ascii="仿宋" w:eastAsia="仿宋" w:cs="仿宋"/>
          <w:color w:val="auto"/>
          <w:sz w:val="24"/>
          <w:highlight w:val="none"/>
        </w:rPr>
        <w:t>。</w:t>
      </w:r>
    </w:p>
    <w:bookmarkEnd w:id="421"/>
    <w:bookmarkEnd w:id="422"/>
    <w:bookmarkEnd w:id="423"/>
    <w:bookmarkEnd w:id="424"/>
    <w:bookmarkEnd w:id="425"/>
    <w:p>
      <w:pPr>
        <w:pStyle w:val="959"/>
        <w:spacing w:before="0" w:beforeAutospacing="0" w:after="0" w:afterAutospacing="0" w:line="360" w:lineRule="auto"/>
        <w:ind w:firstLine="480"/>
        <w:rPr>
          <w:rFonts w:ascii="仿宋" w:hAnsi="仿宋" w:eastAsia="仿宋" w:cs="仿宋"/>
          <w:b/>
          <w:color w:val="auto"/>
          <w:highlight w:val="none"/>
        </w:rPr>
      </w:pPr>
      <w:bookmarkStart w:id="426" w:name="_Toc10340"/>
      <w:bookmarkStart w:id="427" w:name="_Toc1814"/>
      <w:bookmarkStart w:id="428" w:name="_Toc22618"/>
      <w:bookmarkStart w:id="429" w:name="_Toc8772"/>
      <w:bookmarkStart w:id="430" w:name="_Toc4760"/>
      <w:bookmarkStart w:id="431" w:name="_Toc11108"/>
      <w:bookmarkStart w:id="432" w:name="_Toc31421"/>
      <w:bookmarkStart w:id="433" w:name="_Toc3625"/>
      <w:r>
        <w:rPr>
          <w:rFonts w:hint="eastAsia" w:ascii="仿宋" w:hAnsi="仿宋" w:eastAsia="仿宋" w:cs="仿宋"/>
          <w:b/>
          <w:color w:val="auto"/>
          <w:highlight w:val="none"/>
        </w:rPr>
        <w:t>1.4履约保证金</w:t>
      </w:r>
    </w:p>
    <w:p>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否</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1.4.1履约保证金的比例为合同金额的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1.4.2履约保证金支付方式详见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eastAsia="仿宋" w:cs="仿宋"/>
          <w:color w:val="auto"/>
          <w:highlight w:val="none"/>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r>
        <w:rPr>
          <w:rFonts w:hint="eastAsia" w:ascii="仿宋" w:hAnsi="仿宋" w:eastAsia="仿宋" w:cs="仿宋"/>
          <w:color w:val="auto"/>
          <w:highlight w:val="none"/>
        </w:rPr>
        <w:t>1.4.4甲方在项目验收结束后及时退还履约保证金。甲方在项目通过验收之日起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highlight w:val="none"/>
          <w:u w:val="single"/>
        </w:rPr>
        <w:t xml:space="preserve">  0.05（可根据情况修改）  </w:t>
      </w:r>
      <w:r>
        <w:rPr>
          <w:rFonts w:hint="eastAsia" w:ascii="仿宋" w:hAnsi="仿宋" w:eastAsia="仿宋" w:cs="仿宋"/>
          <w:color w:val="auto"/>
          <w:highlight w:val="none"/>
        </w:rPr>
        <w:t>%计算，最高限额为本合同履约保证金的</w:t>
      </w:r>
      <w:r>
        <w:rPr>
          <w:rFonts w:hint="eastAsia" w:ascii="仿宋" w:hAnsi="仿宋" w:eastAsia="仿宋" w:cs="仿宋"/>
          <w:color w:val="auto"/>
          <w:highlight w:val="none"/>
          <w:u w:val="single"/>
        </w:rPr>
        <w:t xml:space="preserve">  20  </w:t>
      </w:r>
      <w:r>
        <w:rPr>
          <w:rFonts w:hint="eastAsia" w:ascii="仿宋" w:hAnsi="仿宋" w:eastAsia="仿宋" w:cs="仿宋"/>
          <w:color w:val="auto"/>
          <w:highlight w:val="none"/>
        </w:rPr>
        <w:t>%。</w:t>
      </w:r>
    </w:p>
    <w:p>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w:t>
      </w:r>
      <w:bookmarkEnd w:id="426"/>
      <w:bookmarkEnd w:id="427"/>
      <w:bookmarkEnd w:id="428"/>
      <w:r>
        <w:rPr>
          <w:rFonts w:hint="eastAsia" w:ascii="仿宋" w:hAnsi="仿宋" w:eastAsia="仿宋" w:cs="仿宋"/>
          <w:b/>
          <w:color w:val="auto"/>
          <w:sz w:val="24"/>
          <w:highlight w:val="none"/>
        </w:rPr>
        <w:t>预付款</w:t>
      </w:r>
    </w:p>
    <w:p>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是 </w:t>
      </w:r>
      <w:r>
        <w:rPr>
          <w:rFonts w:hint="eastAsia" w:ascii="仿宋" w:hAnsi="仿宋" w:eastAsia="仿宋" w:cs="仿宋"/>
          <w:color w:val="auto"/>
          <w:highlight w:val="none"/>
        </w:rPr>
        <w:t>（是/否）需要支付预付款。若需要支付预付款的，则：</w:t>
      </w:r>
    </w:p>
    <w:p>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1.5.1预付款比例、支付方式、时间详见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59"/>
        <w:spacing w:before="0" w:beforeAutospacing="0" w:after="0" w:afterAutospacing="0" w:line="360" w:lineRule="auto"/>
        <w:ind w:firstLine="480"/>
        <w:rPr>
          <w:rFonts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59"/>
        <w:spacing w:before="0" w:beforeAutospacing="0" w:after="0" w:afterAutospacing="0" w:line="360" w:lineRule="auto"/>
        <w:ind w:firstLine="480"/>
        <w:rPr>
          <w:rFonts w:ascii="仿宋" w:hAnsi="仿宋" w:eastAsia="仿宋" w:cs="仿宋"/>
          <w:b/>
          <w:bCs/>
          <w:color w:val="auto"/>
          <w:highlight w:val="none"/>
        </w:rPr>
      </w:pPr>
      <w:r>
        <w:rPr>
          <w:rFonts w:hint="eastAsia" w:ascii="仿宋" w:hAnsi="仿宋" w:eastAsia="仿宋" w:cs="仿宋"/>
          <w:b/>
          <w:bCs/>
          <w:color w:val="auto"/>
          <w:highlight w:val="none"/>
        </w:rPr>
        <w:t>1.6资金支付</w:t>
      </w:r>
    </w:p>
    <w:p>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1.6.2资金支付的方式、时间和条件详见</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pPr>
        <w:pStyle w:val="959"/>
        <w:spacing w:before="0" w:beforeAutospacing="0" w:after="0" w:afterAutospacing="0" w:line="360" w:lineRule="auto"/>
        <w:ind w:firstLine="480"/>
        <w:rPr>
          <w:rFonts w:ascii="仿宋" w:hAnsi="仿宋" w:eastAsia="仿宋" w:cs="仿宋"/>
          <w:b/>
          <w:color w:val="auto"/>
          <w:highlight w:val="none"/>
        </w:rPr>
      </w:pPr>
      <w:r>
        <w:rPr>
          <w:rFonts w:hint="eastAsia" w:ascii="仿宋" w:hAnsi="仿宋" w:eastAsia="仿宋" w:cs="仿宋"/>
          <w:b/>
          <w:color w:val="auto"/>
          <w:highlight w:val="none"/>
        </w:rPr>
        <w:t>1.7履行期限、地点和方式</w:t>
      </w:r>
      <w:bookmarkEnd w:id="429"/>
      <w:bookmarkEnd w:id="430"/>
      <w:bookmarkEnd w:id="431"/>
      <w:bookmarkEnd w:id="432"/>
      <w:bookmarkEnd w:id="433"/>
    </w:p>
    <w:p>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1.7.1服务交付（实施）的时间（期限）：</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1.7.2服务交付（实施）的地点（地域范围）：</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1.7.3服务交付（实施）的方式：</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bookmarkStart w:id="434" w:name="_Toc8586"/>
      <w:bookmarkStart w:id="435" w:name="_Toc24662"/>
      <w:bookmarkStart w:id="436" w:name="_Toc2375"/>
      <w:bookmarkStart w:id="437" w:name="_Toc5698"/>
      <w:bookmarkStart w:id="438" w:name="_Toc3079"/>
    </w:p>
    <w:p>
      <w:pPr>
        <w:pStyle w:val="959"/>
        <w:spacing w:before="0" w:beforeAutospacing="0" w:after="0" w:afterAutospacing="0" w:line="360" w:lineRule="auto"/>
        <w:ind w:firstLine="480"/>
        <w:rPr>
          <w:rFonts w:ascii="仿宋" w:hAnsi="仿宋" w:eastAsia="仿宋" w:cs="仿宋"/>
          <w:bCs/>
          <w:color w:val="auto"/>
          <w:highlight w:val="none"/>
        </w:rPr>
      </w:pPr>
      <w:r>
        <w:rPr>
          <w:rFonts w:hint="eastAsia" w:ascii="仿宋" w:hAnsi="仿宋" w:eastAsia="仿宋" w:cs="仿宋"/>
          <w:bCs/>
          <w:color w:val="auto"/>
          <w:highlight w:val="none"/>
        </w:rPr>
        <w:t>1.7.4若服务涉及货物的，则货物的：</w:t>
      </w:r>
    </w:p>
    <w:p>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1.7.4.1交付期限：详见</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1.7.4.2交付地点：</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1.7.4.3交付方式：</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pPr>
        <w:pStyle w:val="959"/>
        <w:spacing w:before="0" w:beforeAutospacing="0" w:after="0" w:afterAutospacing="0" w:line="360" w:lineRule="auto"/>
        <w:ind w:firstLine="480"/>
        <w:rPr>
          <w:rFonts w:ascii="仿宋" w:hAnsi="仿宋" w:eastAsia="仿宋" w:cs="仿宋"/>
          <w:b/>
          <w:color w:val="auto"/>
          <w:highlight w:val="none"/>
        </w:rPr>
      </w:pPr>
      <w:r>
        <w:rPr>
          <w:rFonts w:hint="eastAsia" w:ascii="仿宋" w:hAnsi="仿宋" w:eastAsia="仿宋" w:cs="仿宋"/>
          <w:b/>
          <w:color w:val="auto"/>
          <w:highlight w:val="none"/>
        </w:rPr>
        <w:t>1.8违约责任</w:t>
      </w:r>
      <w:bookmarkEnd w:id="434"/>
      <w:bookmarkEnd w:id="435"/>
      <w:bookmarkEnd w:id="436"/>
      <w:bookmarkEnd w:id="437"/>
      <w:bookmarkEnd w:id="438"/>
    </w:p>
    <w:p>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1.8.1除不可抗力外，如果乙方没有按照本合同约定的期限、地点和方式交付服务成果或者实施服务，那么甲方可要求乙方支付违约金，迟延履行违约金按每迟延履行一日的应提供而未提供服务价格的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highlight w:val="none"/>
          <w:u w:val="single"/>
        </w:rPr>
        <w:t xml:space="preserve">0.05 </w:t>
      </w:r>
      <w:r>
        <w:rPr>
          <w:rFonts w:hint="eastAsia" w:ascii="仿宋" w:hAnsi="仿宋" w:eastAsia="仿宋" w:cs="仿宋"/>
          <w:color w:val="auto"/>
          <w:highlight w:val="none"/>
        </w:rPr>
        <w:t>%计算，最高限额为本合同总价的</w:t>
      </w:r>
      <w:r>
        <w:rPr>
          <w:rFonts w:hint="eastAsia" w:ascii="仿宋" w:hAnsi="仿宋" w:eastAsia="仿宋" w:cs="仿宋"/>
          <w:color w:val="auto"/>
          <w:highlight w:val="none"/>
          <w:u w:val="single"/>
        </w:rPr>
        <w:t xml:space="preserve"> 20 </w:t>
      </w:r>
      <w:r>
        <w:rPr>
          <w:rFonts w:hint="eastAsia" w:ascii="仿宋" w:hAnsi="仿宋" w:eastAsia="仿宋" w:cs="仿宋"/>
          <w:color w:val="auto"/>
          <w:highlight w:val="none"/>
        </w:rPr>
        <w:t>%；迟延履行的违约金计算数额达到前述最高限额之日起，甲方有权在要求乙方支付违约金的同时，书面通知乙方解除本合同；</w:t>
      </w:r>
    </w:p>
    <w:p>
      <w:pPr>
        <w:pStyle w:val="959"/>
        <w:spacing w:before="0" w:beforeAutospacing="0" w:after="0" w:afterAutospacing="0" w:line="360" w:lineRule="auto"/>
        <w:ind w:firstLine="480"/>
        <w:rPr>
          <w:rFonts w:ascii="仿宋" w:eastAsia="仿宋" w:cs="仿宋"/>
          <w:color w:val="auto"/>
          <w:highlight w:val="none"/>
        </w:rPr>
      </w:pPr>
      <w:r>
        <w:rPr>
          <w:rFonts w:hint="eastAsia" w:ascii="仿宋" w:eastAsia="仿宋" w:cs="仿宋"/>
          <w:color w:val="auto"/>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color w:val="auto"/>
          <w:highlight w:val="none"/>
          <w:u w:val="single"/>
        </w:rPr>
        <w:t xml:space="preserve">  0.05（可根据情况修改）</w:t>
      </w:r>
      <w:r>
        <w:rPr>
          <w:rFonts w:hint="eastAsia" w:ascii="仿宋" w:eastAsia="仿宋" w:cs="仿宋"/>
          <w:color w:val="auto"/>
          <w:highlight w:val="none"/>
        </w:rPr>
        <w:t>%计算，最高限额为本合同总价的</w:t>
      </w:r>
      <w:r>
        <w:rPr>
          <w:rFonts w:hint="eastAsia" w:ascii="仿宋" w:eastAsia="仿宋" w:cs="仿宋"/>
          <w:color w:val="auto"/>
          <w:highlight w:val="none"/>
          <w:u w:val="single"/>
        </w:rPr>
        <w:t xml:space="preserve">  20  </w:t>
      </w:r>
      <w:r>
        <w:rPr>
          <w:rFonts w:hint="eastAsia" w:ascii="仿宋" w:eastAsia="仿宋" w:cs="仿宋"/>
          <w:color w:val="auto"/>
          <w:highlight w:val="none"/>
        </w:rPr>
        <w:t>%；迟延交付货物的违约金计算数额达到前述最高限额之日起，甲方有权在要求乙方支付违约金的同时，书面通知乙方解除本合同；</w:t>
      </w:r>
    </w:p>
    <w:p>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highlight w:val="none"/>
          <w:u w:val="single"/>
        </w:rPr>
        <w:t xml:space="preserve">  0.05  </w:t>
      </w:r>
      <w:r>
        <w:rPr>
          <w:rFonts w:hint="eastAsia" w:ascii="仿宋" w:hAnsi="仿宋" w:eastAsia="仿宋" w:cs="仿宋"/>
          <w:color w:val="auto"/>
          <w:highlight w:val="none"/>
        </w:rPr>
        <w:t>%计算，最高限额为本合同总价的</w:t>
      </w:r>
      <w:r>
        <w:rPr>
          <w:rFonts w:hint="eastAsia" w:ascii="仿宋" w:hAnsi="仿宋" w:eastAsia="仿宋" w:cs="仿宋"/>
          <w:color w:val="auto"/>
          <w:highlight w:val="none"/>
          <w:u w:val="single"/>
        </w:rPr>
        <w:t xml:space="preserve">   20（可根据情况修改） </w:t>
      </w:r>
      <w:r>
        <w:rPr>
          <w:rFonts w:hint="eastAsia" w:ascii="仿宋" w:hAnsi="仿宋" w:eastAsia="仿宋" w:cs="仿宋"/>
          <w:color w:val="auto"/>
          <w:highlight w:val="none"/>
        </w:rPr>
        <w:t>%；迟延付款的违约金计算数额达到前述最高限额之日起，乙方有权在要求甲方支付违约金的同时，书面通知甲方解除本合同；</w:t>
      </w:r>
      <w:bookmarkStart w:id="439" w:name="_Toc9497"/>
      <w:bookmarkStart w:id="440" w:name="_Toc30329"/>
      <w:bookmarkStart w:id="441" w:name="_Toc18683"/>
      <w:bookmarkStart w:id="442" w:name="_Toc32454"/>
      <w:bookmarkStart w:id="443" w:name="_Toc26807"/>
    </w:p>
    <w:p>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1.8.4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1.8.5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1.8.7违约责任</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另有约定的，从其约定。</w:t>
      </w:r>
      <w:bookmarkEnd w:id="439"/>
      <w:bookmarkEnd w:id="440"/>
      <w:bookmarkEnd w:id="441"/>
      <w:bookmarkEnd w:id="442"/>
      <w:bookmarkEnd w:id="443"/>
      <w:bookmarkStart w:id="444" w:name="_Toc16021"/>
      <w:bookmarkStart w:id="445" w:name="_Toc28375"/>
      <w:bookmarkStart w:id="446" w:name="_Toc15583"/>
    </w:p>
    <w:p>
      <w:pPr>
        <w:pStyle w:val="959"/>
        <w:spacing w:before="0" w:beforeAutospacing="0" w:after="0" w:afterAutospacing="0" w:line="360" w:lineRule="auto"/>
        <w:ind w:firstLine="480"/>
        <w:rPr>
          <w:rFonts w:ascii="仿宋" w:hAnsi="仿宋" w:eastAsia="仿宋" w:cs="仿宋"/>
          <w:b/>
          <w:color w:val="auto"/>
          <w:highlight w:val="none"/>
        </w:rPr>
      </w:pPr>
      <w:r>
        <w:rPr>
          <w:rFonts w:hint="eastAsia" w:ascii="仿宋" w:hAnsi="仿宋" w:eastAsia="仿宋" w:cs="仿宋"/>
          <w:b/>
          <w:color w:val="auto"/>
          <w:highlight w:val="none"/>
        </w:rPr>
        <w:t>1.9合同争议的解决</w:t>
      </w:r>
      <w:bookmarkEnd w:id="444"/>
      <w:bookmarkEnd w:id="445"/>
      <w:bookmarkEnd w:id="446"/>
    </w:p>
    <w:p>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highlight w:val="none"/>
          <w:u w:val="single"/>
          <w:lang w:val="en-US" w:eastAsia="zh-CN"/>
        </w:rPr>
        <w:t>1.9.2</w:t>
      </w:r>
      <w:r>
        <w:rPr>
          <w:rFonts w:hint="eastAsia" w:ascii="仿宋" w:hAnsi="仿宋" w:eastAsia="仿宋" w:cs="仿宋"/>
          <w:b/>
          <w:i/>
          <w:color w:val="auto"/>
          <w:highlight w:val="none"/>
          <w:u w:val="single"/>
        </w:rPr>
        <w:t xml:space="preserve"> </w:t>
      </w:r>
      <w:r>
        <w:rPr>
          <w:rFonts w:hint="eastAsia" w:ascii="仿宋" w:hAnsi="仿宋" w:eastAsia="仿宋" w:cs="仿宋"/>
          <w:color w:val="auto"/>
          <w:highlight w:val="none"/>
        </w:rPr>
        <w:t>条款规定的方式解决：</w:t>
      </w:r>
    </w:p>
    <w:p>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1.9.1将争议提交</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仲裁委员会依申请仲裁时其现行有效的仲裁规则裁决；</w:t>
      </w:r>
    </w:p>
    <w:p>
      <w:pPr>
        <w:pStyle w:val="959"/>
        <w:spacing w:before="0" w:beforeAutospacing="0" w:after="0" w:afterAutospacing="0" w:line="360" w:lineRule="auto"/>
        <w:ind w:firstLine="480"/>
        <w:rPr>
          <w:rFonts w:ascii="仿宋" w:hAnsi="仿宋" w:eastAsia="仿宋" w:cs="仿宋"/>
          <w:b/>
          <w:color w:val="auto"/>
          <w:highlight w:val="none"/>
        </w:rPr>
      </w:pPr>
      <w:r>
        <w:rPr>
          <w:rFonts w:hint="eastAsia" w:ascii="仿宋" w:hAnsi="仿宋" w:eastAsia="仿宋" w:cs="仿宋"/>
          <w:color w:val="auto"/>
          <w:highlight w:val="none"/>
        </w:rPr>
        <w:t>1.9.2向</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人民法院起诉。</w:t>
      </w:r>
    </w:p>
    <w:p>
      <w:pPr>
        <w:spacing w:line="560" w:lineRule="exact"/>
        <w:ind w:firstLine="482" w:firstLineChars="200"/>
        <w:outlineLvl w:val="0"/>
        <w:rPr>
          <w:rFonts w:ascii="仿宋" w:hAnsi="仿宋" w:eastAsia="仿宋" w:cs="仿宋"/>
          <w:b/>
          <w:color w:val="auto"/>
          <w:sz w:val="24"/>
          <w:highlight w:val="none"/>
        </w:rPr>
      </w:pPr>
      <w:bookmarkStart w:id="447" w:name="_Toc15322"/>
      <w:bookmarkStart w:id="448" w:name="_Toc7245"/>
      <w:bookmarkStart w:id="449" w:name="_Toc11173"/>
      <w:r>
        <w:rPr>
          <w:rFonts w:hint="eastAsia" w:ascii="仿宋" w:hAnsi="仿宋" w:eastAsia="仿宋" w:cs="仿宋"/>
          <w:b/>
          <w:color w:val="auto"/>
          <w:sz w:val="24"/>
          <w:highlight w:val="none"/>
        </w:rPr>
        <w:t>2.0合同生效</w:t>
      </w:r>
      <w:bookmarkEnd w:id="447"/>
      <w:bookmarkEnd w:id="448"/>
      <w:bookmarkEnd w:id="449"/>
    </w:p>
    <w:p>
      <w:pPr>
        <w:spacing w:line="56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autoSpaceDE w:val="0"/>
        <w:autoSpaceDN w:val="0"/>
        <w:spacing w:line="560" w:lineRule="exact"/>
        <w:rPr>
          <w:rFonts w:ascii="仿宋" w:hAnsi="仿宋" w:eastAsia="仿宋" w:cs="仿宋"/>
          <w:color w:val="auto"/>
          <w:sz w:val="24"/>
          <w:highlight w:val="none"/>
          <w:lang w:val="zh-CN"/>
        </w:rPr>
      </w:pP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pPr>
        <w:pStyle w:val="701"/>
        <w:spacing w:line="560" w:lineRule="exact"/>
        <w:ind w:left="0" w:leftChars="0" w:firstLine="0" w:firstLineChars="0"/>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pPr>
        <w:spacing w:line="560" w:lineRule="exact"/>
        <w:ind w:firstLine="482" w:firstLineChars="200"/>
        <w:outlineLvl w:val="0"/>
        <w:rPr>
          <w:rFonts w:ascii="仿宋" w:hAnsi="仿宋" w:eastAsia="仿宋" w:cs="仿宋"/>
          <w:b/>
          <w:color w:val="auto"/>
          <w:sz w:val="24"/>
          <w:highlight w:val="none"/>
        </w:rPr>
      </w:pPr>
      <w:bookmarkStart w:id="450" w:name="_Toc19680"/>
      <w:bookmarkStart w:id="451" w:name="_Toc31297"/>
      <w:bookmarkStart w:id="452" w:name="_Toc14021"/>
      <w:bookmarkStart w:id="453" w:name="_Toc5228"/>
      <w:bookmarkStart w:id="454" w:name="_Toc25079"/>
      <w:r>
        <w:rPr>
          <w:rFonts w:hint="eastAsia" w:ascii="仿宋" w:hAnsi="仿宋" w:eastAsia="仿宋" w:cs="仿宋"/>
          <w:b/>
          <w:color w:val="auto"/>
          <w:sz w:val="24"/>
          <w:highlight w:val="none"/>
        </w:rPr>
        <w:t>2.1定义</w:t>
      </w:r>
      <w:bookmarkEnd w:id="450"/>
      <w:bookmarkEnd w:id="451"/>
      <w:bookmarkEnd w:id="452"/>
      <w:bookmarkEnd w:id="453"/>
      <w:bookmarkEnd w:id="454"/>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2.1.1“合同”系指采购人和中标或成交供应商签订的载明双方当事人所达成的协议，并包括所有的附件、附录和构成合同的其他文件。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2.1.2“合同价”系指根据合同约定，中标或成交供应商在完全履行合同义务后，采购人应支付给中标或成交供应商的价格。</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2.1.4“甲方”系指与中标或成交供应商签署合同的采购人；采购人委托采购代理机构代表其与乙方签订合同的，采购人的授权委托书作为合同附件。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2.1.6“现场”系指合同约定提供服务的地点。</w:t>
      </w:r>
    </w:p>
    <w:p>
      <w:pPr>
        <w:spacing w:line="560" w:lineRule="exact"/>
        <w:ind w:firstLine="482" w:firstLineChars="200"/>
        <w:outlineLvl w:val="0"/>
        <w:rPr>
          <w:rFonts w:ascii="仿宋" w:hAnsi="仿宋" w:eastAsia="仿宋" w:cs="仿宋"/>
          <w:b/>
          <w:color w:val="auto"/>
          <w:sz w:val="24"/>
          <w:highlight w:val="none"/>
        </w:rPr>
      </w:pPr>
      <w:bookmarkStart w:id="455" w:name="_Toc16752"/>
      <w:bookmarkStart w:id="456" w:name="_Toc23289"/>
      <w:bookmarkStart w:id="457" w:name="_Toc3769"/>
      <w:bookmarkStart w:id="458" w:name="_Toc19539"/>
      <w:bookmarkStart w:id="459" w:name="_Toc31402"/>
      <w:r>
        <w:rPr>
          <w:rFonts w:hint="eastAsia" w:ascii="仿宋" w:hAnsi="仿宋" w:eastAsia="仿宋" w:cs="仿宋"/>
          <w:b/>
          <w:color w:val="auto"/>
          <w:sz w:val="24"/>
          <w:highlight w:val="none"/>
        </w:rPr>
        <w:t>2.2技术规范</w:t>
      </w:r>
      <w:bookmarkEnd w:id="455"/>
      <w:bookmarkEnd w:id="456"/>
      <w:bookmarkEnd w:id="457"/>
      <w:bookmarkEnd w:id="458"/>
      <w:bookmarkEnd w:id="459"/>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cs="仿宋"/>
          <w:b/>
          <w:color w:val="auto"/>
          <w:sz w:val="24"/>
          <w:highlight w:val="none"/>
        </w:rPr>
      </w:pPr>
      <w:bookmarkStart w:id="460" w:name="_Toc4133"/>
      <w:bookmarkStart w:id="461" w:name="_Toc12412"/>
      <w:bookmarkStart w:id="462" w:name="_Toc13673"/>
      <w:bookmarkStart w:id="463" w:name="_Toc27945"/>
      <w:bookmarkStart w:id="464" w:name="_Toc9161"/>
      <w:r>
        <w:rPr>
          <w:rFonts w:hint="eastAsia" w:ascii="仿宋" w:hAnsi="仿宋" w:eastAsia="仿宋" w:cs="仿宋"/>
          <w:b/>
          <w:color w:val="auto"/>
          <w:sz w:val="24"/>
          <w:highlight w:val="none"/>
        </w:rPr>
        <w:t>2.3知识产权</w:t>
      </w:r>
      <w:bookmarkEnd w:id="460"/>
      <w:bookmarkEnd w:id="461"/>
      <w:bookmarkEnd w:id="462"/>
      <w:bookmarkEnd w:id="463"/>
      <w:bookmarkEnd w:id="464"/>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2.4履约检查和问题反馈</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cs="仿宋"/>
          <w:b/>
          <w:color w:val="auto"/>
          <w:sz w:val="24"/>
          <w:highlight w:val="none"/>
        </w:rPr>
      </w:pPr>
      <w:bookmarkStart w:id="465" w:name="_Toc26555"/>
      <w:bookmarkStart w:id="466" w:name="_Toc32670"/>
      <w:bookmarkStart w:id="467" w:name="_Toc22011"/>
      <w:bookmarkStart w:id="468" w:name="_Toc15447"/>
      <w:bookmarkStart w:id="469" w:name="_Toc31233"/>
      <w:r>
        <w:rPr>
          <w:rFonts w:hint="eastAsia" w:ascii="仿宋" w:hAnsi="仿宋" w:eastAsia="仿宋" w:cs="仿宋"/>
          <w:b/>
          <w:color w:val="auto"/>
          <w:sz w:val="24"/>
          <w:highlight w:val="none"/>
        </w:rPr>
        <w:t>2.5结算方式和付款条件</w:t>
      </w:r>
      <w:bookmarkEnd w:id="465"/>
      <w:bookmarkEnd w:id="466"/>
      <w:bookmarkEnd w:id="467"/>
      <w:bookmarkEnd w:id="468"/>
      <w:bookmarkEnd w:id="469"/>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ascii="仿宋" w:hAnsi="仿宋" w:eastAsia="仿宋" w:cs="仿宋"/>
          <w:b/>
          <w:color w:val="auto"/>
          <w:sz w:val="24"/>
          <w:highlight w:val="none"/>
        </w:rPr>
      </w:pPr>
      <w:bookmarkStart w:id="470" w:name="_Toc30507"/>
      <w:bookmarkStart w:id="471" w:name="_Toc16163"/>
      <w:bookmarkStart w:id="472" w:name="_Toc18990"/>
      <w:bookmarkStart w:id="473" w:name="_Toc13467"/>
      <w:bookmarkStart w:id="474" w:name="_Toc13154"/>
      <w:r>
        <w:rPr>
          <w:rFonts w:hint="eastAsia" w:ascii="仿宋" w:hAnsi="仿宋" w:eastAsia="仿宋" w:cs="仿宋"/>
          <w:b/>
          <w:color w:val="auto"/>
          <w:sz w:val="24"/>
          <w:highlight w:val="none"/>
        </w:rPr>
        <w:t>2.6技术资料和保密义务</w:t>
      </w:r>
      <w:bookmarkEnd w:id="470"/>
      <w:bookmarkEnd w:id="471"/>
      <w:bookmarkEnd w:id="472"/>
      <w:bookmarkEnd w:id="473"/>
      <w:bookmarkEnd w:id="474"/>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2.6.1乙方有权依据合同约定和项目需要，向甲方了解有关情况，调阅有关资料等，甲方应予积极配合；</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2.6.2乙方有义务妥善保管和保护由甲方提供的前款信息和资料等；</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仿宋"/>
          <w:b/>
          <w:color w:val="auto"/>
          <w:sz w:val="24"/>
          <w:highlight w:val="none"/>
        </w:rPr>
      </w:pPr>
      <w:bookmarkStart w:id="475" w:name="_Toc19069"/>
      <w:r>
        <w:rPr>
          <w:rFonts w:hint="eastAsia" w:ascii="仿宋" w:hAnsi="仿宋" w:eastAsia="仿宋" w:cs="仿宋"/>
          <w:b/>
          <w:color w:val="auto"/>
          <w:sz w:val="24"/>
          <w:highlight w:val="none"/>
        </w:rPr>
        <w:t>2.7质量保证</w:t>
      </w:r>
      <w:bookmarkEnd w:id="475"/>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仿宋"/>
          <w:b/>
          <w:color w:val="auto"/>
          <w:sz w:val="24"/>
          <w:highlight w:val="none"/>
        </w:rPr>
      </w:pPr>
      <w:bookmarkStart w:id="476" w:name="_Toc22267"/>
      <w:r>
        <w:rPr>
          <w:rFonts w:hint="eastAsia" w:ascii="仿宋" w:hAnsi="仿宋" w:eastAsia="仿宋" w:cs="仿宋"/>
          <w:b/>
          <w:color w:val="auto"/>
          <w:sz w:val="24"/>
          <w:highlight w:val="none"/>
        </w:rPr>
        <w:t>2.8延迟履行</w:t>
      </w:r>
      <w:bookmarkEnd w:id="476"/>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ascii="仿宋" w:hAnsi="仿宋" w:eastAsia="仿宋" w:cs="仿宋"/>
          <w:b/>
          <w:color w:val="auto"/>
          <w:sz w:val="24"/>
          <w:highlight w:val="none"/>
        </w:rPr>
      </w:pPr>
      <w:bookmarkStart w:id="477" w:name="_Toc10611"/>
      <w:r>
        <w:rPr>
          <w:rFonts w:hint="eastAsia" w:ascii="仿宋" w:hAnsi="仿宋" w:eastAsia="仿宋" w:cs="仿宋"/>
          <w:b/>
          <w:color w:val="auto"/>
          <w:sz w:val="24"/>
          <w:highlight w:val="none"/>
        </w:rPr>
        <w:t>2.9合同变更</w:t>
      </w:r>
      <w:bookmarkEnd w:id="477"/>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color w:val="auto"/>
          <w:sz w:val="24"/>
          <w:highlight w:val="none"/>
        </w:rPr>
      </w:pPr>
      <w:bookmarkStart w:id="478" w:name="_Toc42"/>
      <w:bookmarkStart w:id="479" w:name="_Toc21830"/>
      <w:bookmarkStart w:id="480" w:name="_Toc10663"/>
      <w:bookmarkStart w:id="481" w:name="_Toc26689"/>
      <w:bookmarkStart w:id="482" w:name="_Toc23368"/>
      <w:r>
        <w:rPr>
          <w:rFonts w:hint="eastAsia" w:ascii="仿宋" w:hAnsi="仿宋" w:eastAsia="仿宋" w:cs="仿宋"/>
          <w:b/>
          <w:color w:val="auto"/>
          <w:sz w:val="24"/>
          <w:highlight w:val="none"/>
        </w:rPr>
        <w:t>2.10合同转让和分包</w:t>
      </w:r>
      <w:bookmarkEnd w:id="478"/>
      <w:bookmarkEnd w:id="479"/>
      <w:bookmarkEnd w:id="480"/>
      <w:bookmarkEnd w:id="481"/>
      <w:bookmarkEnd w:id="482"/>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ascii="仿宋" w:hAnsi="仿宋" w:eastAsia="仿宋" w:cs="仿宋"/>
          <w:b/>
          <w:color w:val="auto"/>
          <w:sz w:val="24"/>
          <w:highlight w:val="none"/>
        </w:rPr>
      </w:pPr>
      <w:bookmarkStart w:id="483" w:name="_Toc32494"/>
      <w:bookmarkStart w:id="484" w:name="_Toc25571"/>
      <w:bookmarkStart w:id="485" w:name="_Toc14371"/>
      <w:bookmarkStart w:id="486" w:name="_Toc4720"/>
      <w:bookmarkStart w:id="487" w:name="_Toc26633"/>
      <w:r>
        <w:rPr>
          <w:rFonts w:hint="eastAsia" w:ascii="仿宋" w:hAnsi="仿宋" w:eastAsia="仿宋" w:cs="仿宋"/>
          <w:b/>
          <w:color w:val="auto"/>
          <w:sz w:val="24"/>
          <w:highlight w:val="none"/>
        </w:rPr>
        <w:t>2.11不可抗力</w:t>
      </w:r>
      <w:bookmarkEnd w:id="483"/>
      <w:bookmarkEnd w:id="484"/>
      <w:bookmarkEnd w:id="485"/>
      <w:bookmarkEnd w:id="486"/>
      <w:bookmarkEnd w:id="487"/>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2.11.2因不可抗力致使不能实现合同目的的，当事人可以解除合同；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2.11.3因不可抗力致使合同有变更必要的，双方当事人应在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spacing w:line="560" w:lineRule="exact"/>
        <w:ind w:firstLine="482" w:firstLineChars="200"/>
        <w:outlineLvl w:val="0"/>
        <w:rPr>
          <w:rFonts w:ascii="仿宋" w:hAnsi="仿宋" w:eastAsia="仿宋" w:cs="仿宋"/>
          <w:b/>
          <w:color w:val="auto"/>
          <w:sz w:val="24"/>
          <w:highlight w:val="none"/>
        </w:rPr>
      </w:pPr>
      <w:bookmarkStart w:id="488" w:name="_Toc24465"/>
      <w:bookmarkStart w:id="489" w:name="_Toc14115"/>
      <w:bookmarkStart w:id="490" w:name="_Toc25783"/>
      <w:bookmarkStart w:id="491" w:name="_Toc3638"/>
      <w:bookmarkStart w:id="492" w:name="_Toc23854"/>
      <w:r>
        <w:rPr>
          <w:rFonts w:hint="eastAsia" w:ascii="仿宋" w:hAnsi="仿宋" w:eastAsia="仿宋" w:cs="仿宋"/>
          <w:b/>
          <w:color w:val="auto"/>
          <w:sz w:val="24"/>
          <w:highlight w:val="none"/>
        </w:rPr>
        <w:t>2.12税费</w:t>
      </w:r>
      <w:bookmarkEnd w:id="488"/>
      <w:bookmarkEnd w:id="489"/>
      <w:bookmarkEnd w:id="490"/>
      <w:bookmarkEnd w:id="491"/>
      <w:bookmarkEnd w:id="492"/>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pPr>
        <w:spacing w:line="560" w:lineRule="exact"/>
        <w:ind w:firstLine="482" w:firstLineChars="200"/>
        <w:outlineLvl w:val="0"/>
        <w:rPr>
          <w:rFonts w:ascii="仿宋" w:hAnsi="仿宋" w:eastAsia="仿宋" w:cs="仿宋"/>
          <w:b/>
          <w:color w:val="auto"/>
          <w:sz w:val="24"/>
          <w:highlight w:val="none"/>
        </w:rPr>
      </w:pPr>
      <w:bookmarkStart w:id="493" w:name="_Toc25525"/>
      <w:bookmarkStart w:id="494" w:name="_Toc14814"/>
      <w:bookmarkStart w:id="495" w:name="_Toc26883"/>
      <w:bookmarkStart w:id="496" w:name="_Toc7315"/>
      <w:bookmarkStart w:id="497" w:name="_Toc30105"/>
      <w:r>
        <w:rPr>
          <w:rFonts w:hint="eastAsia" w:ascii="仿宋" w:hAnsi="仿宋" w:eastAsia="仿宋" w:cs="仿宋"/>
          <w:b/>
          <w:color w:val="auto"/>
          <w:sz w:val="24"/>
          <w:highlight w:val="none"/>
        </w:rPr>
        <w:t>2.13乙方破产</w:t>
      </w:r>
      <w:bookmarkEnd w:id="493"/>
      <w:bookmarkEnd w:id="494"/>
      <w:bookmarkEnd w:id="495"/>
      <w:bookmarkEnd w:id="496"/>
      <w:bookmarkEnd w:id="497"/>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仿宋"/>
          <w:b/>
          <w:color w:val="auto"/>
          <w:sz w:val="24"/>
          <w:highlight w:val="none"/>
        </w:rPr>
      </w:pPr>
      <w:bookmarkStart w:id="498" w:name="_Toc23323"/>
      <w:bookmarkStart w:id="499" w:name="_Toc2016"/>
      <w:bookmarkStart w:id="500" w:name="_Toc1123"/>
      <w:r>
        <w:rPr>
          <w:rFonts w:hint="eastAsia" w:ascii="仿宋" w:hAnsi="仿宋" w:eastAsia="仿宋" w:cs="仿宋"/>
          <w:b/>
          <w:color w:val="auto"/>
          <w:sz w:val="24"/>
          <w:highlight w:val="none"/>
        </w:rPr>
        <w:t>2.14合同中止、终止</w:t>
      </w:r>
      <w:bookmarkEnd w:id="498"/>
      <w:bookmarkEnd w:id="499"/>
      <w:bookmarkEnd w:id="500"/>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2.14.1双方当事人不得擅自中止或者终止合同；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color w:val="auto"/>
          <w:sz w:val="24"/>
          <w:highlight w:val="none"/>
        </w:rPr>
      </w:pPr>
      <w:bookmarkStart w:id="501" w:name="_Toc14525"/>
      <w:bookmarkStart w:id="502" w:name="_Toc1969"/>
      <w:bookmarkStart w:id="503" w:name="_Toc17363"/>
      <w:r>
        <w:rPr>
          <w:rFonts w:hint="eastAsia" w:ascii="仿宋" w:hAnsi="仿宋" w:eastAsia="仿宋" w:cs="仿宋"/>
          <w:b/>
          <w:color w:val="auto"/>
          <w:sz w:val="24"/>
          <w:highlight w:val="none"/>
        </w:rPr>
        <w:t>2.15检验和验收</w:t>
      </w:r>
      <w:bookmarkEnd w:id="501"/>
      <w:bookmarkEnd w:id="502"/>
      <w:bookmarkEnd w:id="503"/>
    </w:p>
    <w:p>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2.15.1乙方按照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pPr>
        <w:spacing w:line="560" w:lineRule="exact"/>
        <w:ind w:firstLine="482" w:firstLineChars="200"/>
        <w:outlineLvl w:val="0"/>
        <w:rPr>
          <w:rFonts w:ascii="仿宋" w:hAnsi="仿宋" w:eastAsia="仿宋" w:cs="仿宋"/>
          <w:b/>
          <w:color w:val="auto"/>
          <w:sz w:val="24"/>
          <w:highlight w:val="none"/>
        </w:rPr>
      </w:pPr>
      <w:bookmarkStart w:id="504" w:name="_Toc2308"/>
      <w:bookmarkStart w:id="505" w:name="_Toc9808"/>
      <w:bookmarkStart w:id="506" w:name="_Toc25198"/>
      <w:bookmarkStart w:id="507" w:name="_Toc31892"/>
      <w:bookmarkStart w:id="508" w:name="_Toc12666"/>
      <w:r>
        <w:rPr>
          <w:rFonts w:hint="eastAsia" w:ascii="仿宋" w:hAnsi="仿宋" w:eastAsia="仿宋" w:cs="仿宋"/>
          <w:b/>
          <w:color w:val="auto"/>
          <w:sz w:val="24"/>
          <w:highlight w:val="none"/>
        </w:rPr>
        <w:t>2.16通知和送达</w:t>
      </w:r>
      <w:bookmarkEnd w:id="504"/>
      <w:bookmarkEnd w:id="505"/>
      <w:bookmarkEnd w:id="506"/>
      <w:bookmarkEnd w:id="507"/>
      <w:bookmarkEnd w:id="508"/>
    </w:p>
    <w:p>
      <w:pPr>
        <w:spacing w:line="560" w:lineRule="exact"/>
        <w:ind w:firstLine="480" w:firstLineChars="200"/>
        <w:rPr>
          <w:rFonts w:ascii="仿宋" w:hAnsi="仿宋" w:eastAsia="仿宋" w:cs="仿宋"/>
          <w:color w:val="auto"/>
          <w:sz w:val="24"/>
          <w:highlight w:val="none"/>
        </w:rPr>
      </w:pPr>
      <w:bookmarkStart w:id="509" w:name="_Toc18401"/>
      <w:bookmarkStart w:id="510" w:name="_Toc27674"/>
      <w:r>
        <w:rPr>
          <w:rFonts w:hint="eastAsia" w:ascii="仿宋" w:hAnsi="仿宋" w:eastAsia="仿宋" w:cs="仿宋"/>
          <w:color w:val="auto"/>
          <w:sz w:val="24"/>
          <w:highlight w:val="none"/>
        </w:rPr>
        <w:t xml:space="preserve">2.16.1任何一方因履行合同而以合同第一部分尾部所列明的传真或电子邮件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9"/>
      <w:bookmarkEnd w:id="510"/>
    </w:p>
    <w:p>
      <w:pPr>
        <w:spacing w:line="560" w:lineRule="exact"/>
        <w:ind w:firstLine="482" w:firstLineChars="200"/>
        <w:outlineLvl w:val="0"/>
        <w:rPr>
          <w:rFonts w:ascii="仿宋" w:hAnsi="仿宋" w:eastAsia="仿宋" w:cs="仿宋"/>
          <w:b/>
          <w:color w:val="auto"/>
          <w:sz w:val="24"/>
          <w:highlight w:val="none"/>
        </w:rPr>
      </w:pPr>
      <w:bookmarkStart w:id="511" w:name="_Toc28906"/>
      <w:bookmarkStart w:id="512" w:name="_Toc5063"/>
      <w:bookmarkStart w:id="513" w:name="_Toc12254"/>
      <w:bookmarkStart w:id="514" w:name="_Toc27644"/>
      <w:bookmarkStart w:id="515" w:name="_Toc20808"/>
      <w:r>
        <w:rPr>
          <w:rFonts w:hint="eastAsia" w:ascii="仿宋" w:hAnsi="仿宋" w:eastAsia="仿宋" w:cs="仿宋"/>
          <w:b/>
          <w:color w:val="auto"/>
          <w:sz w:val="24"/>
          <w:highlight w:val="none"/>
        </w:rPr>
        <w:t>2.17合同使用的文字和适用的法律</w:t>
      </w:r>
      <w:bookmarkEnd w:id="511"/>
      <w:bookmarkEnd w:id="512"/>
      <w:bookmarkEnd w:id="513"/>
      <w:bookmarkEnd w:id="514"/>
      <w:bookmarkEnd w:id="515"/>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2.17.1合同使用汉语</w:t>
      </w:r>
      <w:r>
        <w:rPr>
          <w:rFonts w:hint="eastAsia" w:ascii="仿宋" w:hAnsi="仿宋" w:eastAsia="仿宋" w:cs="仿宋"/>
          <w:color w:val="auto"/>
          <w:sz w:val="24"/>
          <w:highlight w:val="none"/>
          <w:lang w:eastAsia="zh-CN"/>
        </w:rPr>
        <w:t>书写</w:t>
      </w:r>
      <w:r>
        <w:rPr>
          <w:rFonts w:hint="eastAsia" w:ascii="仿宋" w:hAnsi="仿宋" w:eastAsia="仿宋" w:cs="仿宋"/>
          <w:color w:val="auto"/>
          <w:sz w:val="24"/>
          <w:highlight w:val="none"/>
        </w:rPr>
        <w:t>、变更和解释；</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2.17.2合同适用中华人民共和国法律。</w:t>
      </w:r>
    </w:p>
    <w:p>
      <w:pPr>
        <w:spacing w:line="560" w:lineRule="exact"/>
        <w:ind w:firstLine="482" w:firstLineChars="200"/>
        <w:outlineLvl w:val="0"/>
        <w:rPr>
          <w:rFonts w:ascii="仿宋" w:hAnsi="仿宋" w:eastAsia="仿宋" w:cs="仿宋"/>
          <w:b/>
          <w:color w:val="auto"/>
          <w:sz w:val="24"/>
          <w:highlight w:val="none"/>
        </w:rPr>
      </w:pPr>
      <w:bookmarkStart w:id="516" w:name="_Toc30599"/>
      <w:bookmarkStart w:id="517" w:name="_Toc4355"/>
      <w:bookmarkStart w:id="518" w:name="_Toc18540"/>
      <w:r>
        <w:rPr>
          <w:rFonts w:hint="eastAsia" w:ascii="仿宋" w:hAnsi="仿宋" w:eastAsia="仿宋" w:cs="仿宋"/>
          <w:b/>
          <w:color w:val="auto"/>
          <w:sz w:val="24"/>
          <w:highlight w:val="none"/>
        </w:rPr>
        <w:t>2.18计量单位</w:t>
      </w:r>
      <w:bookmarkEnd w:id="516"/>
      <w:bookmarkEnd w:id="517"/>
      <w:bookmarkEnd w:id="518"/>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pPr>
        <w:spacing w:line="360" w:lineRule="auto"/>
        <w:jc w:val="center"/>
        <w:outlineLvl w:val="0"/>
        <w:rPr>
          <w:rFonts w:ascii="仿宋" w:hAnsi="仿宋" w:eastAsia="仿宋" w:cs="仿宋"/>
          <w:b/>
          <w:color w:val="auto"/>
          <w:sz w:val="24"/>
          <w:highlight w:val="none"/>
        </w:rPr>
      </w:pPr>
      <w:r>
        <w:rPr>
          <w:rFonts w:hint="eastAsia" w:ascii="仿宋" w:hAnsi="仿宋" w:eastAsia="仿宋" w:cs="仿宋"/>
          <w:color w:val="auto"/>
          <w:kern w:val="0"/>
          <w:highlight w:val="none"/>
        </w:rPr>
        <w:br w:type="page"/>
      </w:r>
      <w:r>
        <w:rPr>
          <w:rFonts w:hint="eastAsia" w:ascii="仿宋" w:hAnsi="仿宋" w:eastAsia="仿宋" w:cs="仿宋"/>
          <w:b/>
          <w:color w:val="auto"/>
          <w:sz w:val="24"/>
          <w:highlight w:val="none"/>
        </w:rPr>
        <w:t>第三部分  合同专用条款</w:t>
      </w:r>
    </w:p>
    <w:p>
      <w:pPr>
        <w:spacing w:line="560" w:lineRule="exact"/>
        <w:ind w:left="-420" w:leftChars="-200"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149"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149" w:type="dxa"/>
            <w:vAlign w:val="center"/>
          </w:tcPr>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服务工作量的计量方式为：</w:t>
            </w:r>
            <w:r>
              <w:rPr>
                <w:rFonts w:hint="eastAsia" w:ascii="仿宋" w:hAnsi="仿宋" w:eastAsia="仿宋" w:cs="仿宋"/>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149" w:type="dxa"/>
            <w:vAlign w:val="center"/>
          </w:tcPr>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149"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预付款比例、支付方式、时间</w:t>
            </w:r>
            <w:r>
              <w:rPr>
                <w:rFonts w:hint="eastAsia" w:ascii="仿宋" w:hAnsi="仿宋" w:eastAsia="仿宋" w:cs="仿宋"/>
                <w:color w:val="auto"/>
                <w:sz w:val="24"/>
                <w:highlight w:val="none"/>
                <w:lang w:eastAsia="zh-CN"/>
              </w:rPr>
              <w:t>：合同生效以及具备实施条件后，甲方在5个工作日内按合同金额的40%支付预付款。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149" w:type="dxa"/>
            <w:vAlign w:val="center"/>
          </w:tcPr>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预付款的扣回方式</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不扣回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149" w:type="dxa"/>
            <w:vAlign w:val="center"/>
          </w:tcPr>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预付款的担保措施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149"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 甲方根据第三方评估公司密度监测和防制效果评估和市疾控中心四害密度监测为依据，达到质量要求的，支付乙方服务费，未达到质量要求按违约责任规定扣除相应承包款。</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合同签订生效后，甲方按合同金额的40%支付预付款；剩余合同款按四季度支付，第一、第二季度分别支付合同金额的5%合同款，第三、第四季度分别支付合同金额的25%合同款，每季度实际支付额按考核情况计算。每月度市区考核排名不低于末位第四名，考核排名低于末位第四名视为不达标，出现一次扣除合同总金额2%,出现两次，扣除合同总金额4%,出现三次，扣除合同总金额6%,若出现考核排名四次以及上低于末位第四名的，甲方有权终止合同履约保证金不再退还。</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3、考核办法由甲方根据上级爱卫会公布的标准和要求制订。</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注：付款前，中标供应商须提供符合要求的财务发票，否则采购单位有权不予支付，且不承担违约责任，但中标供应商仍须履行本合同。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149"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服务交付（实施）的时间（期限）：合同签订之日起12个月(自2024年</w:t>
            </w:r>
            <w:r>
              <w:rPr>
                <w:rFonts w:hint="eastAsia" w:ascii="仿宋" w:hAnsi="仿宋" w:eastAsia="仿宋" w:cs="仿宋"/>
                <w:color w:val="auto"/>
                <w:sz w:val="24"/>
                <w:highlight w:val="none"/>
                <w:lang w:val="en-US" w:eastAsia="zh-CN"/>
              </w:rPr>
              <w:t>08</w:t>
            </w:r>
            <w:r>
              <w:rPr>
                <w:rFonts w:hint="eastAsia" w:ascii="仿宋" w:hAnsi="仿宋" w:eastAsia="仿宋" w:cs="仿宋"/>
                <w:color w:val="auto"/>
                <w:sz w:val="24"/>
                <w:highlight w:val="none"/>
              </w:rPr>
              <w:t xml:space="preserve">月  </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日至2025年</w:t>
            </w:r>
            <w:r>
              <w:rPr>
                <w:rFonts w:hint="eastAsia" w:ascii="仿宋" w:hAnsi="仿宋" w:eastAsia="仿宋" w:cs="仿宋"/>
                <w:color w:val="auto"/>
                <w:sz w:val="24"/>
                <w:highlight w:val="none"/>
                <w:lang w:val="en-US" w:eastAsia="zh-CN"/>
              </w:rPr>
              <w:t>08</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09</w:t>
            </w:r>
            <w:r>
              <w:rPr>
                <w:rFonts w:hint="eastAsia" w:ascii="仿宋" w:hAnsi="仿宋" w:eastAsia="仿宋" w:cs="仿宋"/>
                <w:color w:val="auto"/>
                <w:sz w:val="24"/>
                <w:highlight w:val="none"/>
              </w:rPr>
              <w:t>日止）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149"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服务交付（实施）的地点（地域范围）：甲方指定地点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149"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服务交付（实施）的方式：结合招标文件“第三部分 采购需求”及乙方投标文件，按甲方要求实施。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49" w:type="dxa"/>
            <w:vAlign w:val="center"/>
          </w:tcPr>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49" w:type="dxa"/>
            <w:vAlign w:val="center"/>
          </w:tcPr>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49" w:type="dxa"/>
            <w:vAlign w:val="center"/>
          </w:tcPr>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149"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1、乙方未按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1.2.2服务标准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执行，甲方可即时提出警告，并进行扣款处理，其中抽查发现使用药物与投标文件提供的信息不一致或未按甲方要求使用的，每发现一次扣款5000-10000元(如使用违禁药物一旦发现扣款后甲方有权立即终止合同，因使用违禁药物产生的一切后果由乙方承担一切经济及法律责任)。参与现场消杀作业的固定技术员工与投 标文件中名单不相符的每人次扣款1000元，未持证上岗作业的每人次扣款5000元并移交卫生计生行政部门处理。若情节严重，确认乙方未达到要求的，甲方有权终止合同，甲方已支付的 款项乙方应全额返还。</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2、如因乙方原因发生人、禽中毒责任事件，甲方将立即解除合同，甲方已支付的款项乙方应全额返还。</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3、乙方在合同期内未能达到第四、五条要求，或在甲方上级检查时影响甲方成绩的，或 甲方委托第三方监测评估结果达不到标准要求的，即时提出警告，并限期改正，在限期内整改落实后，扣除不达标项季度金额的20%;如在限期内整改落实后仍不能达到甲方要求的，加倍扣款。若两次警告后未在限期内改正，或乙方中途自行退出，或甲方确认乙方不能胜任公共环境除四害工作的，即时解除合同，甲方已支付的款项乙方应全额返还。余款不再支付。</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4.乙方未按照招标中提供的服务方案进行实施的、或实施不彻底的、或实施后达不到预期 效果的，视具体情况扣除合同价的10%-20%;情节严重的，甲方有权单方终止合同，乙方向甲方退还已支付的资金。</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5、乙方中途自行退出，或确认其不能达到要求而终止合同的，擅自将本项目转包给第三方的，不再支付当期及后续款项，甲方已支付的款项乙方应全额返还。</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6、乙方满意度每下降5%,甲方有权解除本合同，甲方已支付的款项乙方应全额返还。</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7、中标后，乙方不得转包；如转包，甲方有权立即解除合同，甲方已支付的款项乙方应全额返还。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149"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杭州仲裁委员会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149"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杭州市上城区人民法院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149" w:type="dxa"/>
            <w:vAlign w:val="center"/>
          </w:tcPr>
          <w:p>
            <w:pPr>
              <w:spacing w:line="360" w:lineRule="auto"/>
              <w:ind w:left="-420" w:leftChars="-200" w:right="-420" w:rightChars="-200"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8149" w:type="dxa"/>
            <w:vAlign w:val="center"/>
          </w:tcPr>
          <w:p>
            <w:pPr>
              <w:spacing w:line="360" w:lineRule="auto"/>
              <w:ind w:left="-420" w:leftChars="-200" w:right="-420" w:rightChars="-200"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同1.6.2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149"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甲、乙双方由于不可抗力的原因不能履行合同时，应当及时向双方通报不能履行或不能完全履行的理由，并提供相关证明，允许延期履行或解除合同，双方免于承担违约责任。如发生不可抗力事件或政府行为导致一方无法履行或无法按时履行本合同的，遭受不可抗力一方无需就此承担违约责任，但应及时通知对方，并在不可抗力事由消除后5个工作日内提供遭受不可抗力的书面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149" w:type="dxa"/>
          </w:tcPr>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同2.11.3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149"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乙方按照双方确定的考核办法的约定，定期提交服务报告，甲方按照服务考核办法的约定进行定期验收。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149"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1.验收主体：甲方。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2.甲方在乙方提供服务的过程中，有权不定期对服务内容和质量进行考核。乙 方应当配合进行。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3.最终验收时间：服务内容执行完毕、服务期截止后。</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4.验收程序：乙方向甲方提出申请验收，甲方按验收方案组织履约验收。乙方 应将项目执行过程及时记录、收集、整理，向甲方递交验收申请资料。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5.验收内容：乙方实际完成的情况是否符合采购文件要求和乙方在投标响应文 件中的商务、技术承诺。</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6.验收标准：乙方已经按采购文件要求和乙方在投标响应文件中的商务、技术 承诺完成项目执行。</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7.验收时乙方应在现场，验收完毕后作出验收结果报告；验收产生的费用，由 甲方承担。</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8.经验收后，乙方服务成果不合格的（或未通过评审的），甲方有权要求乙方 进行整改，相关费用由乙方承担；如整改后仍不合格的，甲方有权解除合同， 并可以拒绝支付未支付的款项，乙方已经收取的履约验收款项应退还给甲方。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149" w:type="dxa"/>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本合同一式六份，甲、乙双方各执贰份，备案存档贰份</w:t>
            </w:r>
          </w:p>
        </w:tc>
      </w:tr>
    </w:tbl>
    <w:p>
      <w:pPr>
        <w:widowControl/>
        <w:adjustRightInd/>
        <w:jc w:val="center"/>
        <w:rPr>
          <w:rFonts w:ascii="仿宋" w:hAnsi="仿宋" w:eastAsia="仿宋" w:cs="仿宋"/>
          <w:b/>
          <w:color w:val="auto"/>
          <w:sz w:val="36"/>
          <w:szCs w:val="20"/>
          <w:highlight w:val="none"/>
        </w:rPr>
        <w:sectPr>
          <w:headerReference r:id="rId9" w:type="first"/>
          <w:footerReference r:id="rId11" w:type="first"/>
          <w:headerReference r:id="rId8" w:type="default"/>
          <w:footerReference r:id="rId10" w:type="default"/>
          <w:pgSz w:w="11905" w:h="16838"/>
          <w:pgMar w:top="1474" w:right="1814" w:bottom="1474" w:left="1814" w:header="851" w:footer="850" w:gutter="0"/>
          <w:cols w:space="0" w:num="1"/>
          <w:rtlGutter w:val="0"/>
          <w:docGrid w:linePitch="312" w:charSpace="0"/>
        </w:sectPr>
      </w:pPr>
    </w:p>
    <w:p>
      <w:pPr>
        <w:widowControl/>
        <w:adjustRightInd/>
        <w:jc w:val="cente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 xml:space="preserve">第六部分 </w:t>
      </w:r>
      <w:bookmarkEnd w:id="405"/>
      <w:r>
        <w:rPr>
          <w:rFonts w:hint="eastAsia" w:ascii="仿宋" w:hAnsi="仿宋" w:eastAsia="仿宋" w:cs="仿宋"/>
          <w:b/>
          <w:color w:val="auto"/>
          <w:sz w:val="36"/>
          <w:szCs w:val="20"/>
          <w:highlight w:val="none"/>
        </w:rPr>
        <w:t>应提交的有关格式范例</w:t>
      </w:r>
    </w:p>
    <w:p>
      <w:pPr>
        <w:spacing w:line="360" w:lineRule="auto"/>
        <w:jc w:val="center"/>
        <w:outlineLvl w:val="0"/>
        <w:rPr>
          <w:rFonts w:ascii="仿宋" w:hAnsi="仿宋" w:eastAsia="仿宋" w:cs="仿宋"/>
          <w:b/>
          <w:color w:val="auto"/>
          <w:kern w:val="0"/>
          <w:sz w:val="36"/>
          <w:szCs w:val="36"/>
          <w:highlight w:val="none"/>
        </w:rPr>
      </w:pP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ascii="仿宋" w:hAnsi="仿宋" w:eastAsia="仿宋" w:cs="仿宋"/>
          <w:b/>
          <w:color w:val="auto"/>
          <w:kern w:val="0"/>
          <w:sz w:val="36"/>
          <w:szCs w:val="36"/>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一、符合参加政府采购活动应当具备的一般条件的承诺函</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ind w:firstLine="5520" w:firstLineChars="23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widowControl/>
        <w:spacing w:line="360" w:lineRule="auto"/>
        <w:ind w:firstLine="643" w:firstLineChars="200"/>
        <w:jc w:val="center"/>
        <w:rPr>
          <w:rFonts w:ascii="仿宋" w:hAnsi="仿宋" w:eastAsia="仿宋" w:cs="仿宋"/>
          <w:b/>
          <w:color w:val="auto"/>
          <w:kern w:val="0"/>
          <w:sz w:val="32"/>
          <w:szCs w:val="32"/>
          <w:highlight w:val="none"/>
        </w:rPr>
        <w:sectPr>
          <w:pgSz w:w="11905" w:h="16838"/>
          <w:pgMar w:top="1474" w:right="1814" w:bottom="1474" w:left="1814" w:header="851" w:footer="850" w:gutter="0"/>
          <w:cols w:space="0" w:num="1"/>
          <w:rtlGutter w:val="0"/>
          <w:docGrid w:linePitch="312" w:charSpace="0"/>
        </w:sectPr>
      </w:pPr>
    </w:p>
    <w:p>
      <w:pPr>
        <w:widowControl/>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.专门面向中小企业，服务全部由符合政策要求的中小企业（或小微企业）承接的，提供相应的中小企业声明函（附件7）。</w:t>
      </w:r>
    </w:p>
    <w:p>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pPr>
        <w:widowControl/>
        <w:spacing w:line="360" w:lineRule="auto"/>
        <w:ind w:left="150"/>
        <w:jc w:val="center"/>
        <w:rPr>
          <w:rFonts w:ascii="仿宋" w:hAnsi="仿宋" w:eastAsia="仿宋" w:cs="仿宋"/>
          <w:b/>
          <w:color w:val="auto"/>
          <w:kern w:val="0"/>
          <w:sz w:val="32"/>
          <w:szCs w:val="32"/>
          <w:highlight w:val="none"/>
        </w:rPr>
      </w:pPr>
    </w:p>
    <w:p>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pPr>
        <w:spacing w:line="360" w:lineRule="auto"/>
        <w:jc w:val="center"/>
        <w:rPr>
          <w:rFonts w:ascii="仿宋" w:hAnsi="仿宋" w:eastAsia="仿宋" w:cs="仿宋"/>
          <w:color w:val="auto"/>
          <w:sz w:val="24"/>
          <w:highlight w:val="none"/>
        </w:rPr>
        <w:sectPr>
          <w:pgSz w:w="11905" w:h="16838"/>
          <w:pgMar w:top="1474" w:right="1814" w:bottom="1474" w:left="1814" w:header="851" w:footer="850" w:gutter="0"/>
          <w:cols w:space="0" w:num="1"/>
          <w:rtlGutter w:val="0"/>
          <w:docGrid w:linePitch="312" w:charSpace="0"/>
        </w:sectPr>
      </w:pPr>
      <w:r>
        <w:rPr>
          <w:rFonts w:hint="eastAsia" w:ascii="仿宋" w:hAnsi="仿宋" w:eastAsia="仿宋" w:cs="仿宋"/>
          <w:color w:val="auto"/>
          <w:sz w:val="24"/>
          <w:highlight w:val="none"/>
        </w:rPr>
        <w:t>（根据招标公告本项目的特定资格要求提供相应的材料；未要求的，无需提供）</w:t>
      </w:r>
    </w:p>
    <w:p>
      <w:pPr>
        <w:spacing w:line="360" w:lineRule="auto"/>
        <w:ind w:right="420"/>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outlineLvl w:val="0"/>
        <w:rPr>
          <w:rFonts w:ascii="仿宋" w:hAnsi="仿宋" w:eastAsia="仿宋" w:cs="仿宋"/>
          <w:b/>
          <w:color w:val="auto"/>
          <w:kern w:val="0"/>
          <w:sz w:val="32"/>
          <w:szCs w:val="32"/>
          <w:highlight w:val="none"/>
        </w:rPr>
        <w:sectPr>
          <w:pgSz w:w="11905" w:h="16838"/>
          <w:pgMar w:top="1474" w:right="1814" w:bottom="1474" w:left="1814" w:header="851" w:footer="850" w:gutter="0"/>
          <w:cols w:space="0" w:num="1"/>
          <w:rtlGutter w:val="0"/>
          <w:docGrid w:linePitch="312" w:charSpace="0"/>
        </w:sectPr>
      </w:pPr>
    </w:p>
    <w:p>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napToGrid w:val="0"/>
        <w:spacing w:line="3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8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19" w:name="_Hlk101257010"/>
      <w:r>
        <w:rPr>
          <w:rFonts w:hint="eastAsia" w:ascii="仿宋" w:hAnsi="仿宋" w:eastAsia="仿宋" w:cs="仿宋"/>
          <w:color w:val="auto"/>
          <w:sz w:val="24"/>
          <w:highlight w:val="none"/>
        </w:rPr>
        <w:t>（如果有)</w:t>
      </w:r>
      <w:bookmarkEnd w:id="519"/>
      <w:r>
        <w:rPr>
          <w:rFonts w:hint="eastAsia" w:ascii="仿宋" w:hAnsi="仿宋" w:eastAsia="仿宋" w:cs="仿宋"/>
          <w:snapToGrid w:val="0"/>
          <w:color w:val="auto"/>
          <w:kern w:val="28"/>
          <w:sz w:val="24"/>
          <w:szCs w:val="20"/>
          <w:highlight w:val="none"/>
        </w:rPr>
        <w:t>；</w:t>
      </w:r>
    </w:p>
    <w:p>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pPr>
        <w:snapToGrid w:val="0"/>
        <w:spacing w:line="380" w:lineRule="exact"/>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80" w:lineRule="exact"/>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8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pacing w:line="380" w:lineRule="exact"/>
        <w:ind w:left="420" w:lef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2.3.2 报价情况说明（如果有）</w:t>
      </w:r>
    </w:p>
    <w:p>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pStyle w:val="79"/>
        <w:spacing w:line="380" w:lineRule="exact"/>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w:t>
      </w:r>
    </w:p>
    <w:p>
      <w:pPr>
        <w:snapToGrid w:val="0"/>
        <w:spacing w:line="3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8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8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8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4.3按照招标文件要求提交履约保证金；</w:t>
      </w:r>
    </w:p>
    <w:p>
      <w:pPr>
        <w:snapToGrid w:val="0"/>
        <w:spacing w:line="38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4.4在合同约定的期限内完成合同规定的全部义务。</w:t>
      </w:r>
    </w:p>
    <w:p>
      <w:pPr>
        <w:snapToGrid w:val="0"/>
        <w:spacing w:line="38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80" w:lineRule="exact"/>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80" w:lineRule="exact"/>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spacing w:line="380" w:lineRule="exact"/>
        <w:ind w:right="420"/>
        <w:rPr>
          <w:rFonts w:ascii="仿宋" w:hAnsi="仿宋" w:eastAsia="仿宋" w:cs="仿宋"/>
          <w:color w:val="auto"/>
          <w:sz w:val="24"/>
          <w:highlight w:val="none"/>
        </w:rPr>
        <w:sectPr>
          <w:pgSz w:w="11905" w:h="16838"/>
          <w:pgMar w:top="1474" w:right="1814" w:bottom="1474" w:left="1814" w:header="851" w:footer="850" w:gutter="0"/>
          <w:cols w:space="0" w:num="1"/>
          <w:rtlGutter w:val="0"/>
          <w:docGrid w:linePitch="312" w:charSpace="0"/>
        </w:sectPr>
      </w:pPr>
      <w:r>
        <w:rPr>
          <w:rFonts w:hint="eastAsia" w:ascii="仿宋" w:hAnsi="仿宋" w:eastAsia="仿宋" w:cs="仿宋"/>
          <w:color w:val="auto"/>
          <w:sz w:val="24"/>
          <w:highlight w:val="none"/>
        </w:rPr>
        <w:t>注：按本格式和要求提供。</w:t>
      </w:r>
    </w:p>
    <w:p>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委托期限：自   年 月  日起至  年  月  日止。</w:t>
      </w:r>
    </w:p>
    <w:p>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特此告知。</w:t>
      </w:r>
    </w:p>
    <w:p>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签发</w:t>
      </w:r>
      <w:r>
        <w:rPr>
          <w:rFonts w:hint="eastAsia" w:ascii="仿宋" w:hAnsi="仿宋" w:eastAsia="仿宋" w:cs="仿宋"/>
          <w:color w:val="auto"/>
          <w:sz w:val="24"/>
          <w:highlight w:val="none"/>
        </w:rPr>
        <w:t>日期：  年   月   日</w:t>
      </w:r>
    </w:p>
    <w:p>
      <w:pPr>
        <w:pStyle w:val="79"/>
        <w:ind w:firstLine="0" w:firstLineChars="0"/>
        <w:jc w:val="center"/>
        <w:rPr>
          <w:color w:val="auto"/>
          <w:highlight w:val="none"/>
          <w:lang w:val="en-US"/>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委托期限：自   年 月  日起至  年  月  日止。</w:t>
      </w:r>
    </w:p>
    <w:p>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特此告知。</w:t>
      </w:r>
    </w:p>
    <w:p>
      <w:pPr>
        <w:pStyle w:val="79"/>
        <w:ind w:firstLine="0" w:firstLineChars="0"/>
        <w:jc w:val="center"/>
        <w:rPr>
          <w:color w:val="auto"/>
          <w:highlight w:val="none"/>
          <w:lang w:val="en-US"/>
        </w:rPr>
      </w:pP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ind w:firstLine="5040" w:firstLineChars="2100"/>
        <w:rPr>
          <w:rFonts w:ascii="仿宋" w:hAnsi="仿宋" w:eastAsia="仿宋" w:cs="仿宋"/>
          <w:color w:val="auto"/>
          <w:kern w:val="0"/>
          <w:sz w:val="24"/>
          <w:highlight w:val="none"/>
          <w:lang w:val="zh-CN"/>
        </w:rPr>
        <w:sectPr>
          <w:pgSz w:w="11905" w:h="16838"/>
          <w:pgMar w:top="1474" w:right="1814" w:bottom="1474" w:left="1814" w:header="851" w:footer="850" w:gutter="0"/>
          <w:cols w:space="0" w:num="1"/>
          <w:rtlGutter w:val="0"/>
          <w:docGrid w:linePitch="312" w:charSpace="0"/>
        </w:sectPr>
      </w:pPr>
      <w:r>
        <w:rPr>
          <w:rFonts w:hint="eastAsia" w:ascii="仿宋" w:hAnsi="仿宋" w:eastAsia="仿宋" w:cs="仿宋"/>
          <w:color w:val="auto"/>
          <w:kern w:val="0"/>
          <w:sz w:val="24"/>
          <w:highlight w:val="none"/>
          <w:lang w:val="zh-CN"/>
        </w:rPr>
        <w:t>日期：  年  月   日</w:t>
      </w:r>
    </w:p>
    <w:p>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48"/>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tc>
      </w:tr>
    </w:tbl>
    <w:p>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snapToGrid w:val="0"/>
        <w:spacing w:line="360" w:lineRule="auto"/>
        <w:jc w:val="center"/>
        <w:rPr>
          <w:rFonts w:ascii="仿宋" w:hAnsi="仿宋" w:eastAsia="仿宋" w:cs="仿宋"/>
          <w:b/>
          <w:color w:val="auto"/>
          <w:kern w:val="0"/>
          <w:sz w:val="32"/>
          <w:szCs w:val="32"/>
          <w:highlight w:val="none"/>
        </w:rPr>
      </w:pPr>
    </w:p>
    <w:p>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pPr>
        <w:jc w:val="center"/>
        <w:rPr>
          <w:rFonts w:ascii="仿宋" w:hAnsi="仿宋" w:eastAsia="仿宋" w:cs="仿宋"/>
          <w:b/>
          <w:color w:val="auto"/>
          <w:kern w:val="0"/>
          <w:sz w:val="32"/>
          <w:szCs w:val="32"/>
          <w:highlight w:val="none"/>
        </w:rPr>
        <w:sectPr>
          <w:headerReference r:id="rId13" w:type="first"/>
          <w:footerReference r:id="rId15" w:type="first"/>
          <w:headerReference r:id="rId12" w:type="default"/>
          <w:footerReference r:id="rId14" w:type="default"/>
          <w:pgSz w:w="11905" w:h="16838"/>
          <w:pgMar w:top="1474" w:right="1814" w:bottom="1474" w:left="1814" w:header="851" w:footer="850" w:gutter="0"/>
          <w:cols w:space="0" w:num="1"/>
          <w:rtlGutter w:val="0"/>
          <w:docGrid w:linePitch="312" w:charSpace="0"/>
        </w:sectPr>
      </w:pPr>
    </w:p>
    <w:p>
      <w:pPr>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786"/>
        <w:gridCol w:w="275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786" w:type="dxa"/>
            <w:vAlign w:val="center"/>
          </w:tcPr>
          <w:p>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756" w:type="dxa"/>
            <w:vAlign w:val="center"/>
          </w:tcPr>
          <w:p>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786" w:type="dxa"/>
          </w:tcPr>
          <w:p>
            <w:pPr>
              <w:spacing w:line="24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756" w:type="dxa"/>
            <w:vAlign w:val="center"/>
          </w:tcPr>
          <w:p>
            <w:pPr>
              <w:spacing w:line="240" w:lineRule="auto"/>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pPr>
              <w:spacing w:line="240" w:lineRule="auto"/>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spacing w:line="240" w:lineRule="auto"/>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786" w:type="dxa"/>
          </w:tcPr>
          <w:p>
            <w:pPr>
              <w:spacing w:line="24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756" w:type="dxa"/>
            <w:vAlign w:val="center"/>
          </w:tcPr>
          <w:p>
            <w:pPr>
              <w:spacing w:line="24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spacing w:line="240" w:lineRule="auto"/>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786" w:type="dxa"/>
          </w:tcPr>
          <w:p>
            <w:pPr>
              <w:spacing w:line="24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756" w:type="dxa"/>
            <w:vAlign w:val="center"/>
          </w:tcPr>
          <w:p>
            <w:pPr>
              <w:spacing w:line="24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招标文件其它实质性要求相应的材料（“▲”系指实质性要求条款，招标文件无其它实质性要求的，无需提供）</w:t>
            </w:r>
          </w:p>
        </w:tc>
        <w:tc>
          <w:tcPr>
            <w:tcW w:w="1418" w:type="dxa"/>
          </w:tcPr>
          <w:p>
            <w:pPr>
              <w:spacing w:line="240" w:lineRule="auto"/>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ascii="仿宋" w:hAnsi="仿宋" w:eastAsia="仿宋" w:cs="仿宋"/>
          <w:b/>
          <w:color w:val="auto"/>
          <w:kern w:val="0"/>
          <w:sz w:val="32"/>
          <w:szCs w:val="32"/>
          <w:highlight w:val="none"/>
        </w:rPr>
      </w:pPr>
    </w:p>
    <w:p>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pPr>
        <w:snapToGrid w:val="0"/>
        <w:spacing w:line="360" w:lineRule="auto"/>
        <w:jc w:val="left"/>
        <w:rPr>
          <w:rFonts w:ascii="仿宋" w:hAnsi="仿宋" w:eastAsia="仿宋" w:cs="仿宋"/>
          <w:b/>
          <w:color w:val="auto"/>
          <w:kern w:val="0"/>
          <w:sz w:val="32"/>
          <w:szCs w:val="32"/>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ind w:firstLine="2891" w:firstLineChars="9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240" w:lineRule="auto"/>
              <w:jc w:val="center"/>
              <w:rPr>
                <w:rFonts w:ascii="仿宋" w:hAnsi="仿宋" w:eastAsia="仿宋" w:cs="仿宋"/>
                <w:b/>
                <w:color w:val="auto"/>
                <w:sz w:val="24"/>
                <w:highlight w:val="none"/>
              </w:rPr>
            </w:pPr>
          </w:p>
          <w:p>
            <w:pPr>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eastAsia="仿宋" w:cs="仿宋"/>
                <w:b/>
                <w:color w:val="auto"/>
                <w:sz w:val="24"/>
                <w:highlight w:val="none"/>
              </w:rPr>
            </w:pPr>
          </w:p>
          <w:p>
            <w:pPr>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240" w:lineRule="auto"/>
              <w:jc w:val="center"/>
              <w:rPr>
                <w:rFonts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eastAsia="仿宋" w:cs="仿宋"/>
                <w:color w:val="auto"/>
                <w:sz w:val="24"/>
                <w:highlight w:val="none"/>
              </w:rPr>
            </w:pP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ind w:right="420"/>
        <w:jc w:val="center"/>
        <w:rPr>
          <w:rFonts w:hint="eastAsia" w:ascii="仿宋" w:hAnsi="仿宋" w:eastAsia="仿宋" w:cs="仿宋"/>
          <w:b/>
          <w:color w:val="auto"/>
          <w:kern w:val="0"/>
          <w:sz w:val="32"/>
          <w:szCs w:val="32"/>
          <w:highlight w:val="none"/>
        </w:rPr>
      </w:pPr>
    </w:p>
    <w:p>
      <w:pPr>
        <w:spacing w:line="360" w:lineRule="auto"/>
        <w:ind w:right="42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jc w:val="center"/>
              <w:rPr>
                <w:rFonts w:ascii="仿宋" w:hAnsi="仿宋" w:eastAsia="仿宋" w:cs="仿宋"/>
                <w:b/>
                <w:color w:val="auto"/>
                <w:kern w:val="0"/>
                <w:sz w:val="32"/>
                <w:szCs w:val="32"/>
                <w:highlight w:val="none"/>
              </w:rPr>
            </w:pPr>
          </w:p>
        </w:tc>
        <w:tc>
          <w:tcPr>
            <w:tcW w:w="3546" w:type="dxa"/>
          </w:tcPr>
          <w:p>
            <w:pPr>
              <w:jc w:val="center"/>
              <w:rPr>
                <w:rFonts w:ascii="仿宋" w:hAnsi="仿宋" w:eastAsia="仿宋" w:cs="仿宋"/>
                <w:b/>
                <w:color w:val="auto"/>
                <w:kern w:val="0"/>
                <w:sz w:val="32"/>
                <w:szCs w:val="32"/>
                <w:highlight w:val="none"/>
              </w:rPr>
            </w:pPr>
          </w:p>
        </w:tc>
        <w:tc>
          <w:tcPr>
            <w:tcW w:w="1276" w:type="dxa"/>
          </w:tcPr>
          <w:p>
            <w:pPr>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jc w:val="center"/>
              <w:rPr>
                <w:rFonts w:ascii="仿宋" w:hAnsi="仿宋" w:eastAsia="仿宋" w:cs="仿宋"/>
                <w:b/>
                <w:color w:val="auto"/>
                <w:kern w:val="0"/>
                <w:sz w:val="32"/>
                <w:szCs w:val="32"/>
                <w:highlight w:val="none"/>
              </w:rPr>
            </w:pPr>
          </w:p>
        </w:tc>
        <w:tc>
          <w:tcPr>
            <w:tcW w:w="3546" w:type="dxa"/>
          </w:tcPr>
          <w:p>
            <w:pPr>
              <w:jc w:val="center"/>
              <w:rPr>
                <w:rFonts w:ascii="仿宋" w:hAnsi="仿宋" w:eastAsia="仿宋" w:cs="仿宋"/>
                <w:b/>
                <w:color w:val="auto"/>
                <w:kern w:val="0"/>
                <w:sz w:val="32"/>
                <w:szCs w:val="32"/>
                <w:highlight w:val="none"/>
              </w:rPr>
            </w:pPr>
          </w:p>
        </w:tc>
        <w:tc>
          <w:tcPr>
            <w:tcW w:w="1276" w:type="dxa"/>
          </w:tcPr>
          <w:p>
            <w:pPr>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jc w:val="center"/>
              <w:rPr>
                <w:rFonts w:ascii="仿宋" w:hAnsi="仿宋" w:eastAsia="仿宋" w:cs="仿宋"/>
                <w:b/>
                <w:color w:val="auto"/>
                <w:kern w:val="0"/>
                <w:sz w:val="32"/>
                <w:szCs w:val="32"/>
                <w:highlight w:val="none"/>
              </w:rPr>
            </w:pPr>
          </w:p>
        </w:tc>
        <w:tc>
          <w:tcPr>
            <w:tcW w:w="3546" w:type="dxa"/>
          </w:tcPr>
          <w:p>
            <w:pPr>
              <w:jc w:val="center"/>
              <w:rPr>
                <w:rFonts w:ascii="仿宋" w:hAnsi="仿宋" w:eastAsia="仿宋" w:cs="仿宋"/>
                <w:b/>
                <w:color w:val="auto"/>
                <w:kern w:val="0"/>
                <w:sz w:val="32"/>
                <w:szCs w:val="32"/>
                <w:highlight w:val="none"/>
              </w:rPr>
            </w:pPr>
          </w:p>
        </w:tc>
        <w:tc>
          <w:tcPr>
            <w:tcW w:w="1276" w:type="dxa"/>
          </w:tcPr>
          <w:p>
            <w:pPr>
              <w:jc w:val="center"/>
              <w:rPr>
                <w:rFonts w:ascii="仿宋" w:hAnsi="仿宋" w:eastAsia="仿宋" w:cs="仿宋"/>
                <w:b/>
                <w:color w:val="auto"/>
                <w:kern w:val="0"/>
                <w:sz w:val="32"/>
                <w:szCs w:val="32"/>
                <w:highlight w:val="none"/>
              </w:rPr>
            </w:pPr>
          </w:p>
        </w:tc>
      </w:tr>
    </w:tbl>
    <w:p>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ind w:firstLine="1911" w:firstLineChars="595"/>
        <w:rPr>
          <w:rFonts w:ascii="仿宋" w:hAnsi="仿宋" w:eastAsia="仿宋" w:cs="仿宋"/>
          <w:b/>
          <w:bCs/>
          <w:color w:val="auto"/>
          <w:sz w:val="32"/>
          <w:szCs w:val="32"/>
          <w:highlight w:val="none"/>
        </w:rPr>
        <w:sectPr>
          <w:pgSz w:w="11905" w:h="16838"/>
          <w:pgMar w:top="1474" w:right="1814" w:bottom="1474" w:left="1814" w:header="851" w:footer="850" w:gutter="0"/>
          <w:cols w:space="0" w:num="1"/>
          <w:rtlGutter w:val="0"/>
          <w:docGrid w:linePitch="312" w:charSpace="0"/>
        </w:sectPr>
      </w:pPr>
    </w:p>
    <w:p>
      <w:pPr>
        <w:ind w:firstLine="1911" w:firstLineChars="595"/>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p>
    <w:p>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jc w:val="center"/>
        <w:rPr>
          <w:rFonts w:ascii="仿宋" w:hAnsi="仿宋" w:eastAsia="仿宋" w:cs="仿宋"/>
          <w:b/>
          <w:bCs/>
          <w:color w:val="auto"/>
          <w:sz w:val="24"/>
          <w:highlight w:val="none"/>
        </w:rPr>
        <w:sectPr>
          <w:pgSz w:w="11905" w:h="16838"/>
          <w:pgMar w:top="1474" w:right="1814" w:bottom="1474" w:left="1814" w:header="851" w:footer="850" w:gutter="0"/>
          <w:cols w:space="0" w:num="1"/>
          <w:rtlGutter w:val="0"/>
          <w:docGrid w:linePitch="312" w:charSpace="0"/>
        </w:sectPr>
      </w:pP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ascii="仿宋" w:hAnsi="仿宋" w:eastAsia="仿宋" w:cs="仿宋"/>
          <w:b/>
          <w:color w:val="auto"/>
          <w:kern w:val="0"/>
          <w:sz w:val="36"/>
          <w:szCs w:val="36"/>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bCs/>
          <w:snapToGrid w:val="0"/>
          <w:color w:val="auto"/>
          <w:sz w:val="24"/>
          <w:highlight w:val="none"/>
        </w:rPr>
        <w:t>报价情况说明</w:t>
      </w:r>
      <w:r>
        <w:rPr>
          <w:rFonts w:hint="eastAsia" w:ascii="仿宋" w:hAnsi="仿宋" w:eastAsia="仿宋" w:cs="仿宋"/>
          <w:color w:val="auto"/>
          <w:sz w:val="24"/>
          <w:highlight w:val="none"/>
        </w:rPr>
        <w:t>…………………………………………………………………（页码）</w:t>
      </w:r>
    </w:p>
    <w:p>
      <w:pPr>
        <w:spacing w:line="360" w:lineRule="auto"/>
        <w:rPr>
          <w:rFonts w:ascii="仿宋" w:hAnsi="仿宋" w:eastAsia="仿宋" w:cs="仿宋"/>
          <w:color w:val="auto"/>
          <w:highlight w:val="none"/>
        </w:rPr>
      </w:pPr>
      <w:r>
        <w:rPr>
          <w:rFonts w:hint="eastAsia" w:ascii="仿宋" w:hAnsi="仿宋" w:eastAsia="仿宋" w:cs="仿宋"/>
          <w:color w:val="auto"/>
          <w:sz w:val="24"/>
          <w:highlight w:val="none"/>
        </w:rPr>
        <w:t>（3）中小企业声明函………………………………………………………………（页码）</w:t>
      </w:r>
    </w:p>
    <w:p>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5" w:h="16838"/>
          <w:pgMar w:top="1474" w:right="1814" w:bottom="1474" w:left="1814" w:header="851" w:footer="850" w:gutter="0"/>
          <w:cols w:space="0" w:num="1"/>
          <w:rtlGutter w:val="0"/>
          <w:docGrid w:linePitch="312" w:charSpace="0"/>
        </w:sectPr>
      </w:pPr>
    </w:p>
    <w:p>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17" w:type="dxa"/>
            <w:vAlign w:val="center"/>
          </w:tcPr>
          <w:p>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vAlign w:val="center"/>
          </w:tcPr>
          <w:p>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vAlign w:val="center"/>
          </w:tcPr>
          <w:p>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pPr>
              <w:snapToGrid w:val="0"/>
              <w:jc w:val="center"/>
              <w:rPr>
                <w:rFonts w:ascii="仿宋" w:hAnsi="仿宋" w:eastAsia="仿宋" w:cs="仿宋"/>
                <w:color w:val="auto"/>
                <w:sz w:val="24"/>
                <w:highlight w:val="none"/>
              </w:rPr>
            </w:pPr>
          </w:p>
        </w:tc>
        <w:tc>
          <w:tcPr>
            <w:tcW w:w="2410" w:type="dxa"/>
            <w:vAlign w:val="center"/>
          </w:tcPr>
          <w:p>
            <w:pPr>
              <w:snapToGrid w:val="0"/>
              <w:jc w:val="center"/>
              <w:rPr>
                <w:rFonts w:ascii="仿宋" w:hAnsi="仿宋" w:eastAsia="仿宋" w:cs="仿宋"/>
                <w:color w:val="auto"/>
                <w:sz w:val="24"/>
                <w:highlight w:val="none"/>
              </w:rPr>
            </w:pPr>
          </w:p>
        </w:tc>
        <w:tc>
          <w:tcPr>
            <w:tcW w:w="2268" w:type="dxa"/>
            <w:vAlign w:val="center"/>
          </w:tcPr>
          <w:p>
            <w:pPr>
              <w:snapToGrid w:val="0"/>
              <w:jc w:val="center"/>
              <w:rPr>
                <w:rFonts w:ascii="仿宋" w:hAnsi="仿宋" w:eastAsia="仿宋" w:cs="仿宋"/>
                <w:color w:val="auto"/>
                <w:sz w:val="24"/>
                <w:highlight w:val="none"/>
              </w:rPr>
            </w:pPr>
          </w:p>
        </w:tc>
        <w:tc>
          <w:tcPr>
            <w:tcW w:w="2126" w:type="dxa"/>
            <w:vAlign w:val="center"/>
          </w:tcPr>
          <w:p>
            <w:pPr>
              <w:jc w:val="center"/>
              <w:rPr>
                <w:rFonts w:ascii="仿宋" w:hAnsi="仿宋" w:eastAsia="仿宋" w:cs="仿宋"/>
                <w:color w:val="auto"/>
                <w:sz w:val="24"/>
                <w:highlight w:val="none"/>
              </w:rPr>
            </w:pPr>
          </w:p>
        </w:tc>
        <w:tc>
          <w:tcPr>
            <w:tcW w:w="2127" w:type="dxa"/>
          </w:tcPr>
          <w:p>
            <w:pPr>
              <w:jc w:val="center"/>
              <w:rPr>
                <w:rFonts w:ascii="仿宋" w:hAnsi="仿宋" w:eastAsia="仿宋" w:cs="仿宋"/>
                <w:color w:val="auto"/>
                <w:sz w:val="24"/>
                <w:highlight w:val="none"/>
              </w:rPr>
            </w:pPr>
          </w:p>
        </w:tc>
        <w:tc>
          <w:tcPr>
            <w:tcW w:w="2126" w:type="dxa"/>
            <w:vAlign w:val="center"/>
          </w:tcPr>
          <w:p>
            <w:pPr>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pPr>
              <w:snapToGrid w:val="0"/>
              <w:jc w:val="center"/>
              <w:rPr>
                <w:rFonts w:ascii="仿宋" w:hAnsi="仿宋" w:eastAsia="仿宋" w:cs="仿宋"/>
                <w:color w:val="auto"/>
                <w:sz w:val="24"/>
                <w:highlight w:val="none"/>
              </w:rPr>
            </w:pPr>
          </w:p>
        </w:tc>
        <w:tc>
          <w:tcPr>
            <w:tcW w:w="2410" w:type="dxa"/>
            <w:vAlign w:val="center"/>
          </w:tcPr>
          <w:p>
            <w:pPr>
              <w:snapToGrid w:val="0"/>
              <w:jc w:val="center"/>
              <w:rPr>
                <w:rFonts w:ascii="仿宋" w:hAnsi="仿宋" w:eastAsia="仿宋" w:cs="仿宋"/>
                <w:color w:val="auto"/>
                <w:sz w:val="24"/>
                <w:highlight w:val="none"/>
              </w:rPr>
            </w:pPr>
          </w:p>
        </w:tc>
        <w:tc>
          <w:tcPr>
            <w:tcW w:w="2268" w:type="dxa"/>
            <w:vAlign w:val="center"/>
          </w:tcPr>
          <w:p>
            <w:pPr>
              <w:snapToGrid w:val="0"/>
              <w:jc w:val="center"/>
              <w:rPr>
                <w:rFonts w:ascii="仿宋" w:hAnsi="仿宋" w:eastAsia="仿宋" w:cs="仿宋"/>
                <w:color w:val="auto"/>
                <w:sz w:val="24"/>
                <w:highlight w:val="none"/>
              </w:rPr>
            </w:pPr>
          </w:p>
        </w:tc>
        <w:tc>
          <w:tcPr>
            <w:tcW w:w="2126" w:type="dxa"/>
            <w:vAlign w:val="center"/>
          </w:tcPr>
          <w:p>
            <w:pPr>
              <w:jc w:val="center"/>
              <w:rPr>
                <w:rFonts w:ascii="仿宋" w:hAnsi="仿宋" w:eastAsia="仿宋" w:cs="仿宋"/>
                <w:color w:val="auto"/>
                <w:sz w:val="24"/>
                <w:highlight w:val="none"/>
              </w:rPr>
            </w:pPr>
          </w:p>
        </w:tc>
        <w:tc>
          <w:tcPr>
            <w:tcW w:w="2127" w:type="dxa"/>
          </w:tcPr>
          <w:p>
            <w:pPr>
              <w:jc w:val="center"/>
              <w:rPr>
                <w:rFonts w:ascii="仿宋" w:hAnsi="仿宋" w:eastAsia="仿宋" w:cs="仿宋"/>
                <w:color w:val="auto"/>
                <w:sz w:val="24"/>
                <w:highlight w:val="none"/>
              </w:rPr>
            </w:pPr>
          </w:p>
        </w:tc>
        <w:tc>
          <w:tcPr>
            <w:tcW w:w="2126" w:type="dxa"/>
            <w:vAlign w:val="center"/>
          </w:tcPr>
          <w:p>
            <w:pPr>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pPr>
              <w:snapToGrid w:val="0"/>
              <w:jc w:val="center"/>
              <w:rPr>
                <w:rFonts w:ascii="仿宋" w:hAnsi="仿宋" w:eastAsia="仿宋" w:cs="仿宋"/>
                <w:color w:val="auto"/>
                <w:sz w:val="24"/>
                <w:highlight w:val="none"/>
              </w:rPr>
            </w:pPr>
          </w:p>
        </w:tc>
        <w:tc>
          <w:tcPr>
            <w:tcW w:w="2268" w:type="dxa"/>
            <w:vAlign w:val="center"/>
          </w:tcPr>
          <w:p>
            <w:pPr>
              <w:snapToGrid w:val="0"/>
              <w:jc w:val="center"/>
              <w:rPr>
                <w:rFonts w:ascii="仿宋" w:hAnsi="仿宋" w:eastAsia="仿宋" w:cs="仿宋"/>
                <w:color w:val="auto"/>
                <w:sz w:val="24"/>
                <w:highlight w:val="none"/>
              </w:rPr>
            </w:pPr>
          </w:p>
        </w:tc>
        <w:tc>
          <w:tcPr>
            <w:tcW w:w="2410" w:type="dxa"/>
            <w:vAlign w:val="center"/>
          </w:tcPr>
          <w:p>
            <w:pPr>
              <w:snapToGrid w:val="0"/>
              <w:jc w:val="center"/>
              <w:rPr>
                <w:rFonts w:ascii="仿宋" w:hAnsi="仿宋" w:eastAsia="仿宋" w:cs="仿宋"/>
                <w:color w:val="auto"/>
                <w:sz w:val="24"/>
                <w:highlight w:val="none"/>
              </w:rPr>
            </w:pPr>
          </w:p>
        </w:tc>
        <w:tc>
          <w:tcPr>
            <w:tcW w:w="2268" w:type="dxa"/>
            <w:vAlign w:val="center"/>
          </w:tcPr>
          <w:p>
            <w:pPr>
              <w:snapToGrid w:val="0"/>
              <w:jc w:val="center"/>
              <w:rPr>
                <w:rFonts w:ascii="仿宋" w:hAnsi="仿宋" w:eastAsia="仿宋" w:cs="仿宋"/>
                <w:color w:val="auto"/>
                <w:sz w:val="24"/>
                <w:highlight w:val="none"/>
              </w:rPr>
            </w:pPr>
          </w:p>
        </w:tc>
        <w:tc>
          <w:tcPr>
            <w:tcW w:w="2126" w:type="dxa"/>
            <w:vAlign w:val="center"/>
          </w:tcPr>
          <w:p>
            <w:pPr>
              <w:jc w:val="center"/>
              <w:rPr>
                <w:rFonts w:ascii="仿宋" w:hAnsi="仿宋" w:eastAsia="仿宋" w:cs="仿宋"/>
                <w:color w:val="auto"/>
                <w:sz w:val="24"/>
                <w:highlight w:val="none"/>
              </w:rPr>
            </w:pPr>
          </w:p>
        </w:tc>
        <w:tc>
          <w:tcPr>
            <w:tcW w:w="2127" w:type="dxa"/>
          </w:tcPr>
          <w:p>
            <w:pPr>
              <w:jc w:val="center"/>
              <w:rPr>
                <w:rFonts w:ascii="仿宋" w:hAnsi="仿宋" w:eastAsia="仿宋" w:cs="仿宋"/>
                <w:color w:val="auto"/>
                <w:sz w:val="24"/>
                <w:highlight w:val="none"/>
              </w:rPr>
            </w:pPr>
          </w:p>
        </w:tc>
        <w:tc>
          <w:tcPr>
            <w:tcW w:w="2126" w:type="dxa"/>
            <w:vAlign w:val="center"/>
          </w:tcPr>
          <w:p>
            <w:pPr>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487" w:type="dxa"/>
            <w:gridSpan w:val="4"/>
            <w:vAlign w:val="center"/>
          </w:tcPr>
          <w:p>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4"/>
          </w:tcPr>
          <w:p>
            <w:pPr>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tcPr>
          <w:p>
            <w:pPr>
              <w:jc w:val="center"/>
              <w:rPr>
                <w:rFonts w:ascii="仿宋" w:hAnsi="仿宋" w:eastAsia="仿宋" w:cs="仿宋"/>
                <w:color w:val="auto"/>
                <w:sz w:val="24"/>
                <w:highlight w:val="none"/>
              </w:rPr>
            </w:pPr>
          </w:p>
        </w:tc>
      </w:tr>
    </w:tbl>
    <w:p>
      <w:pPr>
        <w:snapToGrid w:val="0"/>
        <w:spacing w:line="240" w:lineRule="exact"/>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240" w:lineRule="exact"/>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pPr>
        <w:spacing w:line="2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spacing w:line="240" w:lineRule="exact"/>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240" w:lineRule="exact"/>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1905" w:h="16838"/>
          <w:pgMar w:top="1474" w:right="1814" w:bottom="1474" w:left="1814" w:header="851" w:footer="850" w:gutter="0"/>
          <w:cols w:space="0" w:num="1"/>
          <w:rtlGutter w:val="0"/>
          <w:docGrid w:linePitch="312" w:charSpace="0"/>
        </w:sectPr>
      </w:pPr>
    </w:p>
    <w:p>
      <w:pPr>
        <w:pStyle w:val="692"/>
        <w:keepNext w:val="0"/>
        <w:numPr>
          <w:ilvl w:val="0"/>
          <w:numId w:val="3"/>
        </w:numPr>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报价情况说明（如果有）</w:t>
      </w:r>
    </w:p>
    <w:p>
      <w:pPr>
        <w:pStyle w:val="3"/>
        <w:keepNext w:val="0"/>
        <w:numPr>
          <w:ilvl w:val="255"/>
          <w:numId w:val="0"/>
        </w:numPr>
        <w:snapToGrid w:val="0"/>
        <w:spacing w:before="120" w:after="120"/>
        <w:rPr>
          <w:rFonts w:ascii="仿宋" w:eastAsia="仿宋" w:cs="仿宋"/>
          <w:color w:val="auto"/>
          <w:highlight w:val="none"/>
          <w:lang w:val="en-US"/>
        </w:rPr>
      </w:pPr>
      <w:r>
        <w:rPr>
          <w:rFonts w:hint="eastAsia" w:ascii="仿宋" w:eastAsia="仿宋" w:cs="仿宋"/>
          <w:b w:val="0"/>
          <w:bCs w:val="0"/>
          <w:color w:val="auto"/>
          <w:sz w:val="24"/>
          <w:szCs w:val="24"/>
          <w:highlight w:val="none"/>
          <w:lang w:val="en-US"/>
        </w:rPr>
        <w:t>（如供应商报价低于项目预算50%的，应当提交本文档，详细阐述不影响产品质量或者诚信履约的具体原因。）</w:t>
      </w:r>
    </w:p>
    <w:p>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pPr>
        <w:pStyle w:val="692"/>
        <w:keepNext w:val="0"/>
        <w:pageBreakBefore w:val="0"/>
        <w:tabs>
          <w:tab w:val="clear" w:pos="720"/>
        </w:tabs>
        <w:snapToGrid w:val="0"/>
        <w:spacing w:before="120" w:after="120"/>
        <w:ind w:firstLine="643"/>
        <w:outlineLvl w:val="9"/>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三、</w:t>
      </w:r>
      <w:r>
        <w:rPr>
          <w:rFonts w:hint="eastAsia" w:ascii="仿宋" w:hAnsi="仿宋" w:eastAsia="仿宋" w:cs="仿宋"/>
          <w:color w:val="auto"/>
          <w:sz w:val="32"/>
          <w:szCs w:val="32"/>
          <w:highlight w:val="none"/>
        </w:rPr>
        <w:t>中小企业声明函（如果有）</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2"/>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r>
        <w:rPr>
          <w:rFonts w:hint="eastAsia" w:ascii="仿宋" w:hAnsi="仿宋" w:eastAsia="仿宋" w:cs="仿宋"/>
          <w:color w:val="auto"/>
          <w:highlight w:val="none"/>
        </w:rPr>
        <w:t>附件</w:t>
      </w:r>
    </w:p>
    <w:p>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残疾人福利性单位声明函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jc w:val="left"/>
        <w:rPr>
          <w:rFonts w:ascii="仿宋" w:hAnsi="仿宋" w:eastAsia="仿宋" w:cs="仿宋"/>
          <w:b/>
          <w:color w:val="auto"/>
          <w:spacing w:val="6"/>
          <w:sz w:val="32"/>
          <w:szCs w:val="32"/>
          <w:highlight w:val="none"/>
        </w:rPr>
        <w:sectPr>
          <w:headerReference r:id="rId21" w:type="first"/>
          <w:footerReference r:id="rId24" w:type="first"/>
          <w:headerReference r:id="rId20" w:type="default"/>
          <w:footerReference r:id="rId22" w:type="default"/>
          <w:footerReference r:id="rId23" w:type="even"/>
          <w:pgSz w:w="11905" w:h="16838"/>
          <w:pgMar w:top="1474" w:right="1814" w:bottom="1474" w:left="1814" w:header="851" w:footer="850" w:gutter="0"/>
          <w:cols w:space="0" w:num="1"/>
          <w:rtlGutter w:val="0"/>
          <w:docGrid w:linePitch="312" w:charSpace="0"/>
        </w:sectPr>
      </w:pPr>
    </w:p>
    <w:p>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276"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27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27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27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27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27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27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spacing w:line="360" w:lineRule="auto"/>
        <w:jc w:val="left"/>
        <w:rPr>
          <w:rFonts w:ascii="仿宋" w:hAnsi="仿宋" w:eastAsia="仿宋" w:cs="仿宋"/>
          <w:b/>
          <w:color w:val="auto"/>
          <w:spacing w:val="6"/>
          <w:sz w:val="32"/>
          <w:szCs w:val="32"/>
          <w:highlight w:val="none"/>
        </w:rPr>
        <w:sectPr>
          <w:pgSz w:w="11905" w:h="16838"/>
          <w:pgMar w:top="1474" w:right="1814" w:bottom="1474" w:left="1814" w:header="851" w:footer="850" w:gutter="0"/>
          <w:cols w:space="0" w:num="1"/>
          <w:rtlGutter w:val="0"/>
          <w:docGrid w:linePitch="312" w:charSpace="0"/>
        </w:sect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rPr>
        <w:t xml:space="preserve">  </w:t>
      </w:r>
    </w:p>
    <w:p>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p>
    <w:p>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仿宋" w:hAnsi="仿宋" w:eastAsia="仿宋" w:cs="仿宋"/>
          <w:b/>
          <w:color w:val="auto"/>
          <w:spacing w:val="6"/>
          <w:sz w:val="32"/>
          <w:szCs w:val="32"/>
          <w:highlight w:val="none"/>
        </w:rPr>
        <w:sectPr>
          <w:pgSz w:w="11905" w:h="16838"/>
          <w:pgMar w:top="1474" w:right="1814" w:bottom="1474" w:left="1814" w:header="851" w:footer="850" w:gutter="0"/>
          <w:cols w:space="0" w:num="1"/>
          <w:rtlGutter w:val="0"/>
          <w:docGrid w:linePitch="312" w:charSpace="0"/>
        </w:sect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sectPr>
          <w:pgSz w:w="11905" w:h="16838"/>
          <w:pgMar w:top="1474" w:right="1814" w:bottom="1474" w:left="1814" w:header="851" w:footer="850" w:gutter="0"/>
          <w:cols w:space="0" w:num="1"/>
          <w:rtlGutter w:val="0"/>
          <w:docGrid w:linePitch="312" w:charSpace="0"/>
        </w:sectPr>
      </w:pPr>
    </w:p>
    <w:p>
      <w:pPr>
        <w:autoSpaceDE w:val="0"/>
        <w:autoSpaceDN w:val="0"/>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授权代表根据招标文件规定及投标内容而对采购人、采购代理机构所作的任何合法承诺，包括书面澄清及响应等均对联合投标各方产生约束力。</w:t>
      </w:r>
    </w:p>
    <w:p>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snapToGrid w:val="0"/>
        <w:spacing w:line="360" w:lineRule="exact"/>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20" w:name="_Hlk101131882"/>
      <w:r>
        <w:rPr>
          <w:rFonts w:hint="eastAsia" w:ascii="仿宋" w:hAnsi="仿宋" w:eastAsia="仿宋" w:cs="仿宋"/>
          <w:color w:val="auto"/>
          <w:kern w:val="0"/>
          <w:sz w:val="24"/>
          <w:highlight w:val="none"/>
          <w:u w:val="single"/>
        </w:rPr>
        <w:t>联合体成员X,……</w:t>
      </w:r>
      <w:bookmarkEnd w:id="520"/>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21"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21"/>
      <w:r>
        <w:rPr>
          <w:rFonts w:hint="eastAsia" w:ascii="仿宋" w:hAnsi="仿宋" w:eastAsia="仿宋" w:cs="仿宋"/>
          <w:b/>
          <w:color w:val="auto"/>
          <w:kern w:val="0"/>
          <w:sz w:val="24"/>
          <w:highlight w:val="none"/>
          <w:lang w:val="zh-CN"/>
        </w:rPr>
        <w:t>）</w:t>
      </w:r>
    </w:p>
    <w:p>
      <w:pPr>
        <w:spacing w:line="360" w:lineRule="exact"/>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22"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22"/>
    </w:p>
    <w:p>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360" w:lineRule="exact"/>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exact"/>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exact"/>
        <w:ind w:right="96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exact"/>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pacing w:line="360" w:lineRule="exact"/>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widowControl/>
        <w:adjustRightInd/>
        <w:jc w:val="center"/>
        <w:rPr>
          <w:rFonts w:ascii="仿宋" w:hAnsi="仿宋" w:eastAsia="仿宋" w:cs="仿宋"/>
          <w:b/>
          <w:color w:val="auto"/>
          <w:spacing w:val="6"/>
          <w:sz w:val="32"/>
          <w:szCs w:val="32"/>
          <w:highlight w:val="none"/>
        </w:rPr>
        <w:sectPr>
          <w:pgSz w:w="11905" w:h="16838"/>
          <w:pgMar w:top="1474" w:right="1814" w:bottom="1474" w:left="1814" w:header="851" w:footer="850" w:gutter="0"/>
          <w:cols w:space="0" w:num="1"/>
          <w:rtlGutter w:val="0"/>
          <w:docGrid w:linePitch="312" w:charSpace="0"/>
        </w:sectPr>
      </w:pPr>
    </w:p>
    <w:p>
      <w:pPr>
        <w:widowControl/>
        <w:adjustRightInd/>
        <w:jc w:val="center"/>
        <w:rPr>
          <w:rFonts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3"/>
        <w:spacing w:line="360" w:lineRule="exact"/>
        <w:ind w:left="664" w:leftChars="316" w:firstLine="229" w:firstLineChars="95"/>
        <w:rPr>
          <w:rFonts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snapToGrid w:val="0"/>
        <w:spacing w:line="360" w:lineRule="exact"/>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pacing w:line="360" w:lineRule="exact"/>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napToGrid w:val="0"/>
        <w:spacing w:line="360" w:lineRule="exact"/>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napToGrid w:val="0"/>
        <w:spacing w:line="360" w:lineRule="exact"/>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exact"/>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pPr>
        <w:snapToGrid w:val="0"/>
        <w:spacing w:line="360" w:lineRule="exact"/>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w:t>
      </w:r>
    </w:p>
    <w:p>
      <w:pPr>
        <w:snapToGrid w:val="0"/>
        <w:spacing w:line="360" w:lineRule="exact"/>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pPr>
        <w:snapToGrid w:val="0"/>
        <w:spacing w:line="360" w:lineRule="exact"/>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pPr>
        <w:snapToGrid w:val="0"/>
        <w:spacing w:line="360" w:lineRule="exact"/>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exact"/>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pacing w:line="360" w:lineRule="exact"/>
        <w:ind w:right="420"/>
        <w:rPr>
          <w:rFonts w:hint="eastAsia" w:ascii="仿宋" w:hAnsi="仿宋" w:eastAsia="仿宋" w:cs="仿宋"/>
          <w:b/>
          <w:color w:val="auto"/>
          <w:spacing w:val="6"/>
          <w:sz w:val="32"/>
          <w:szCs w:val="32"/>
          <w:highlight w:val="none"/>
        </w:rPr>
      </w:pPr>
      <w:r>
        <w:rPr>
          <w:rFonts w:hint="eastAsia" w:ascii="仿宋" w:hAnsi="仿宋" w:eastAsia="仿宋" w:cs="仿宋"/>
          <w:color w:val="auto"/>
          <w:sz w:val="24"/>
          <w:highlight w:val="none"/>
        </w:rPr>
        <w:t>注：按本格式和要求提供。</w:t>
      </w:r>
    </w:p>
    <w:p>
      <w:pPr>
        <w:spacing w:line="360" w:lineRule="auto"/>
        <w:jc w:val="left"/>
        <w:outlineLvl w:val="0"/>
        <w:rPr>
          <w:rFonts w:ascii="仿宋" w:hAnsi="仿宋" w:eastAsia="仿宋" w:cs="仿宋"/>
          <w:b/>
          <w:color w:val="auto"/>
          <w:sz w:val="36"/>
          <w:szCs w:val="20"/>
          <w:highlight w:val="none"/>
        </w:rPr>
        <w:sectPr>
          <w:pgSz w:w="11905" w:h="16838"/>
          <w:pgMar w:top="1474" w:right="1814" w:bottom="1474" w:left="1814" w:header="851" w:footer="850" w:gutter="0"/>
          <w:cols w:space="0" w:num="1"/>
          <w:rtlGutter w:val="0"/>
          <w:docGrid w:linePitch="312" w:charSpace="0"/>
        </w:sectPr>
      </w:pPr>
    </w:p>
    <w:p>
      <w:pPr>
        <w:spacing w:line="360" w:lineRule="auto"/>
        <w:jc w:val="left"/>
        <w:outlineLvl w:val="0"/>
        <w:rPr>
          <w:rFonts w:ascii="仿宋" w:hAnsi="仿宋" w:eastAsia="仿宋" w:cs="仿宋"/>
          <w:color w:val="auto"/>
          <w:sz w:val="24"/>
          <w:highlight w:val="none"/>
          <w:u w:val="single"/>
        </w:rPr>
      </w:pPr>
      <w:r>
        <w:rPr>
          <w:rFonts w:hint="eastAsia" w:ascii="仿宋" w:hAnsi="仿宋" w:eastAsia="仿宋" w:cs="仿宋"/>
          <w:b/>
          <w:color w:val="auto"/>
          <w:sz w:val="36"/>
          <w:szCs w:val="20"/>
          <w:highlight w:val="none"/>
        </w:rPr>
        <w:t>附件7：中小企业声明函</w:t>
      </w:r>
    </w:p>
    <w:p>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日期：</w:t>
      </w:r>
    </w:p>
    <w:p>
      <w:pPr>
        <w:spacing w:line="360" w:lineRule="auto"/>
        <w:ind w:firstLine="310" w:firstLineChars="147"/>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ind w:right="42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注：</w:t>
      </w:r>
    </w:p>
    <w:p>
      <w:pPr>
        <w:numPr>
          <w:ilvl w:val="0"/>
          <w:numId w:val="4"/>
        </w:numPr>
        <w:ind w:right="420" w:firstLine="440"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numPr>
          <w:ilvl w:val="0"/>
          <w:numId w:val="4"/>
        </w:numPr>
        <w:ind w:right="420" w:firstLine="440" w:firstLineChars="200"/>
        <w:rPr>
          <w:rFonts w:ascii="仿宋" w:hAnsi="仿宋" w:eastAsia="仿宋" w:cs="仿宋"/>
          <w:color w:val="auto"/>
          <w:sz w:val="22"/>
          <w:szCs w:val="22"/>
          <w:highlight w:val="none"/>
        </w:rPr>
        <w:sectPr>
          <w:pgSz w:w="11905" w:h="16838"/>
          <w:pgMar w:top="1474" w:right="1814" w:bottom="1474" w:left="1814" w:header="851" w:footer="850" w:gutter="0"/>
          <w:cols w:space="0" w:num="1"/>
          <w:rtlGutter w:val="0"/>
          <w:docGrid w:linePitch="312" w:charSpace="0"/>
        </w:sectPr>
      </w:pPr>
      <w:r>
        <w:rPr>
          <w:rFonts w:hint="eastAsia" w:ascii="仿宋" w:hAnsi="仿宋" w:eastAsia="仿宋" w:cs="仿宋"/>
          <w:color w:val="auto"/>
          <w:sz w:val="22"/>
          <w:szCs w:val="22"/>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19"/>
        <w:snapToGrid w:val="0"/>
        <w:spacing w:after="120" w:line="500" w:lineRule="exact"/>
        <w:jc w:val="center"/>
        <w:rPr>
          <w:rFonts w:ascii="仿宋" w:hAnsi="仿宋" w:eastAsia="仿宋"/>
          <w:color w:val="auto"/>
          <w:szCs w:val="21"/>
          <w:highlight w:val="none"/>
          <w:u w:val="single"/>
        </w:rPr>
      </w:pPr>
      <w:r>
        <w:rPr>
          <w:rFonts w:ascii="仿宋" w:hAnsi="仿宋" w:eastAsia="仿宋" w:cs="方正小标宋简体"/>
          <w:b/>
          <w:color w:val="auto"/>
          <w:sz w:val="28"/>
          <w:szCs w:val="28"/>
          <w:highlight w:val="none"/>
        </w:rPr>
        <w:t>政府采购活动现场确认声明书</w:t>
      </w:r>
    </w:p>
    <w:p>
      <w:pPr>
        <w:pStyle w:val="319"/>
        <w:adjustRightInd w:val="0"/>
        <w:snapToGrid w:val="0"/>
        <w:spacing w:after="120" w:line="360" w:lineRule="auto"/>
        <w:rPr>
          <w:rFonts w:ascii="仿宋" w:hAnsi="仿宋" w:eastAsia="仿宋"/>
          <w:b/>
          <w:color w:val="auto"/>
          <w:szCs w:val="21"/>
          <w:highlight w:val="none"/>
        </w:rPr>
      </w:pPr>
      <w:r>
        <w:rPr>
          <w:rFonts w:ascii="仿宋" w:hAnsi="仿宋" w:eastAsia="仿宋"/>
          <w:color w:val="auto"/>
          <w:spacing w:val="6"/>
          <w:szCs w:val="21"/>
          <w:highlight w:val="none"/>
          <w:u w:val="single"/>
        </w:rPr>
        <w:t xml:space="preserve">                 </w:t>
      </w:r>
      <w:r>
        <w:rPr>
          <w:rFonts w:ascii="仿宋" w:hAnsi="仿宋" w:eastAsia="仿宋"/>
          <w:color w:val="auto"/>
          <w:szCs w:val="21"/>
          <w:highlight w:val="none"/>
        </w:rPr>
        <w:t>：</w:t>
      </w:r>
    </w:p>
    <w:p>
      <w:pPr>
        <w:pStyle w:val="319"/>
        <w:adjustRightInd w:val="0"/>
        <w:snapToGrid w:val="0"/>
        <w:spacing w:before="120" w:beforeLines="50" w:after="120" w:line="320" w:lineRule="exact"/>
        <w:ind w:firstLine="424" w:firstLineChars="200"/>
        <w:rPr>
          <w:rFonts w:ascii="仿宋" w:hAnsi="仿宋" w:eastAsia="仿宋"/>
          <w:color w:val="auto"/>
          <w:spacing w:val="6"/>
          <w:szCs w:val="21"/>
          <w:highlight w:val="none"/>
        </w:rPr>
      </w:pPr>
      <w:r>
        <w:rPr>
          <w:rFonts w:ascii="仿宋" w:hAnsi="仿宋" w:eastAsia="仿宋"/>
          <w:color w:val="auto"/>
          <w:spacing w:val="6"/>
          <w:szCs w:val="21"/>
          <w:highlight w:val="none"/>
        </w:rPr>
        <w:t>本人经由</w:t>
      </w:r>
      <w:r>
        <w:rPr>
          <w:rFonts w:ascii="仿宋" w:hAnsi="仿宋" w:eastAsia="仿宋"/>
          <w:color w:val="auto"/>
          <w:spacing w:val="6"/>
          <w:szCs w:val="21"/>
          <w:highlight w:val="none"/>
          <w:u w:val="single"/>
        </w:rPr>
        <w:t xml:space="preserve">                    （单位全称）</w:t>
      </w:r>
      <w:r>
        <w:rPr>
          <w:rFonts w:ascii="仿宋" w:hAnsi="仿宋" w:eastAsia="仿宋"/>
          <w:color w:val="auto"/>
          <w:spacing w:val="6"/>
          <w:szCs w:val="21"/>
          <w:highlight w:val="none"/>
        </w:rPr>
        <w:t>负责人</w:t>
      </w:r>
      <w:r>
        <w:rPr>
          <w:rFonts w:ascii="仿宋" w:hAnsi="仿宋" w:eastAsia="仿宋"/>
          <w:color w:val="auto"/>
          <w:spacing w:val="6"/>
          <w:szCs w:val="21"/>
          <w:highlight w:val="none"/>
          <w:u w:val="single"/>
        </w:rPr>
        <w:t xml:space="preserve">        （法人姓名）</w:t>
      </w:r>
      <w:r>
        <w:rPr>
          <w:rFonts w:ascii="仿宋" w:hAnsi="仿宋" w:eastAsia="仿宋"/>
          <w:color w:val="auto"/>
          <w:spacing w:val="6"/>
          <w:szCs w:val="21"/>
          <w:highlight w:val="none"/>
        </w:rPr>
        <w:t>合法授权参加</w:t>
      </w:r>
      <w:r>
        <w:rPr>
          <w:rFonts w:ascii="仿宋" w:hAnsi="仿宋" w:eastAsia="仿宋"/>
          <w:color w:val="auto"/>
          <w:spacing w:val="6"/>
          <w:szCs w:val="21"/>
          <w:highlight w:val="none"/>
          <w:u w:val="single"/>
        </w:rPr>
        <w:t xml:space="preserve">     </w:t>
      </w:r>
      <w:r>
        <w:rPr>
          <w:rFonts w:ascii="仿宋" w:hAnsi="仿宋" w:eastAsia="仿宋"/>
          <w:color w:val="auto"/>
          <w:spacing w:val="6"/>
          <w:szCs w:val="21"/>
          <w:highlight w:val="none"/>
        </w:rPr>
        <w:t>项目</w:t>
      </w:r>
      <w:r>
        <w:rPr>
          <w:rFonts w:ascii="仿宋" w:hAnsi="仿宋" w:eastAsia="仿宋"/>
          <w:color w:val="auto"/>
          <w:spacing w:val="6"/>
          <w:szCs w:val="21"/>
          <w:highlight w:val="none"/>
          <w:u w:val="single"/>
        </w:rPr>
        <w:t>（编号：        ）</w:t>
      </w:r>
      <w:r>
        <w:rPr>
          <w:rFonts w:ascii="仿宋" w:hAnsi="仿宋" w:eastAsia="仿宋"/>
          <w:color w:val="auto"/>
          <w:spacing w:val="6"/>
          <w:szCs w:val="21"/>
          <w:highlight w:val="none"/>
        </w:rPr>
        <w:t xml:space="preserve">政府采购活动，经与本单位法人代表（负责人）联系确认，现就有关公平竞争事项郑重声明如下： </w:t>
      </w:r>
    </w:p>
    <w:p>
      <w:pPr>
        <w:pStyle w:val="839"/>
        <w:widowControl/>
        <w:numPr>
          <w:ilvl w:val="0"/>
          <w:numId w:val="5"/>
        </w:numPr>
        <w:tabs>
          <w:tab w:val="clear" w:pos="8268"/>
        </w:tabs>
        <w:snapToGrid w:val="0"/>
        <w:spacing w:before="120" w:beforeLines="50" w:line="320" w:lineRule="exact"/>
        <w:ind w:firstLine="424" w:firstLineChars="202"/>
        <w:rPr>
          <w:rFonts w:ascii="仿宋" w:hAnsi="仿宋" w:eastAsia="仿宋"/>
          <w:color w:val="auto"/>
          <w:kern w:val="0"/>
          <w:sz w:val="21"/>
          <w:szCs w:val="21"/>
          <w:highlight w:val="none"/>
        </w:rPr>
      </w:pPr>
      <w:r>
        <w:rPr>
          <w:rFonts w:ascii="仿宋" w:hAnsi="仿宋" w:eastAsia="仿宋"/>
          <w:color w:val="auto"/>
          <w:kern w:val="0"/>
          <w:sz w:val="21"/>
          <w:szCs w:val="21"/>
          <w:highlight w:val="none"/>
        </w:rPr>
        <w:t xml:space="preserve">本单位与采购人之间 </w:t>
      </w:r>
      <w:r>
        <w:rPr>
          <w:rFonts w:ascii="仿宋" w:hAnsi="仿宋" w:eastAsia="仿宋" w:cs="宋体"/>
          <w:color w:val="auto"/>
          <w:kern w:val="0"/>
          <w:sz w:val="21"/>
          <w:szCs w:val="21"/>
          <w:highlight w:val="none"/>
        </w:rPr>
        <w:t>□</w:t>
      </w:r>
      <w:r>
        <w:rPr>
          <w:rFonts w:ascii="仿宋" w:hAnsi="仿宋" w:eastAsia="仿宋"/>
          <w:color w:val="auto"/>
          <w:kern w:val="0"/>
          <w:sz w:val="21"/>
          <w:szCs w:val="21"/>
          <w:highlight w:val="none"/>
        </w:rPr>
        <w:t xml:space="preserve">不存在利害关系 </w:t>
      </w:r>
      <w:r>
        <w:rPr>
          <w:rFonts w:ascii="仿宋" w:hAnsi="仿宋" w:eastAsia="仿宋" w:cs="宋体"/>
          <w:color w:val="auto"/>
          <w:kern w:val="0"/>
          <w:sz w:val="21"/>
          <w:szCs w:val="21"/>
          <w:highlight w:val="none"/>
        </w:rPr>
        <w:t>□</w:t>
      </w:r>
      <w:r>
        <w:rPr>
          <w:rFonts w:ascii="仿宋" w:hAnsi="仿宋" w:eastAsia="仿宋"/>
          <w:color w:val="auto"/>
          <w:kern w:val="0"/>
          <w:sz w:val="21"/>
          <w:szCs w:val="21"/>
          <w:highlight w:val="none"/>
        </w:rPr>
        <w:t>存在下列利害关系</w:t>
      </w:r>
      <w:r>
        <w:rPr>
          <w:rFonts w:ascii="仿宋" w:hAnsi="仿宋" w:eastAsia="仿宋"/>
          <w:color w:val="auto"/>
          <w:kern w:val="0"/>
          <w:sz w:val="21"/>
          <w:szCs w:val="21"/>
          <w:highlight w:val="none"/>
          <w:u w:val="single"/>
        </w:rPr>
        <w:t xml:space="preserve">           </w:t>
      </w:r>
      <w:r>
        <w:rPr>
          <w:rFonts w:ascii="仿宋" w:hAnsi="仿宋" w:eastAsia="仿宋"/>
          <w:color w:val="auto"/>
          <w:kern w:val="0"/>
          <w:sz w:val="21"/>
          <w:szCs w:val="21"/>
          <w:highlight w:val="none"/>
        </w:rPr>
        <w:t>：</w:t>
      </w:r>
    </w:p>
    <w:p>
      <w:pPr>
        <w:pStyle w:val="839"/>
        <w:widowControl/>
        <w:snapToGrid w:val="0"/>
        <w:spacing w:before="120" w:beforeLines="50" w:line="320" w:lineRule="exact"/>
        <w:ind w:firstLine="424" w:firstLineChars="202"/>
        <w:rPr>
          <w:rFonts w:ascii="仿宋" w:hAnsi="仿宋" w:eastAsia="仿宋"/>
          <w:color w:val="auto"/>
          <w:kern w:val="0"/>
          <w:sz w:val="21"/>
          <w:szCs w:val="21"/>
          <w:highlight w:val="none"/>
        </w:rPr>
      </w:pPr>
      <w:r>
        <w:rPr>
          <w:rFonts w:ascii="仿宋" w:hAnsi="仿宋" w:eastAsia="仿宋"/>
          <w:color w:val="auto"/>
          <w:kern w:val="0"/>
          <w:sz w:val="21"/>
          <w:szCs w:val="21"/>
          <w:highlight w:val="none"/>
        </w:rPr>
        <w:t>A.投资关系    B.行政隶属关系    C.业务指导关系</w:t>
      </w:r>
    </w:p>
    <w:p>
      <w:pPr>
        <w:pStyle w:val="839"/>
        <w:widowControl/>
        <w:snapToGrid w:val="0"/>
        <w:spacing w:before="120" w:beforeLines="50" w:line="320" w:lineRule="exact"/>
        <w:ind w:firstLine="424" w:firstLineChars="202"/>
        <w:rPr>
          <w:rFonts w:ascii="仿宋" w:hAnsi="仿宋" w:eastAsia="仿宋"/>
          <w:color w:val="auto"/>
          <w:kern w:val="0"/>
          <w:sz w:val="21"/>
          <w:szCs w:val="21"/>
          <w:highlight w:val="none"/>
        </w:rPr>
      </w:pPr>
      <w:r>
        <w:rPr>
          <w:rFonts w:ascii="仿宋" w:hAnsi="仿宋" w:eastAsia="仿宋"/>
          <w:color w:val="auto"/>
          <w:kern w:val="0"/>
          <w:sz w:val="21"/>
          <w:szCs w:val="21"/>
          <w:highlight w:val="none"/>
        </w:rPr>
        <w:t>D.其他可能</w:t>
      </w:r>
      <w:r>
        <w:rPr>
          <w:rFonts w:ascii="仿宋" w:hAnsi="仿宋" w:eastAsia="仿宋"/>
          <w:color w:val="auto"/>
          <w:sz w:val="21"/>
          <w:szCs w:val="21"/>
          <w:highlight w:val="none"/>
        </w:rPr>
        <w:t>影响采购公正的</w:t>
      </w:r>
      <w:r>
        <w:rPr>
          <w:rFonts w:ascii="仿宋" w:hAnsi="仿宋" w:eastAsia="仿宋"/>
          <w:color w:val="auto"/>
          <w:kern w:val="0"/>
          <w:sz w:val="21"/>
          <w:szCs w:val="21"/>
          <w:highlight w:val="none"/>
        </w:rPr>
        <w:t>利害关系</w:t>
      </w:r>
      <w:r>
        <w:rPr>
          <w:rFonts w:ascii="仿宋" w:hAnsi="仿宋" w:eastAsia="仿宋"/>
          <w:color w:val="auto"/>
          <w:kern w:val="0"/>
          <w:sz w:val="21"/>
          <w:szCs w:val="21"/>
          <w:highlight w:val="none"/>
          <w:u w:val="single"/>
        </w:rPr>
        <w:t xml:space="preserve">（如有，请如实说明）                 </w:t>
      </w:r>
      <w:r>
        <w:rPr>
          <w:rFonts w:ascii="仿宋" w:hAnsi="仿宋" w:eastAsia="仿宋"/>
          <w:color w:val="auto"/>
          <w:kern w:val="0"/>
          <w:sz w:val="21"/>
          <w:szCs w:val="21"/>
          <w:highlight w:val="none"/>
        </w:rPr>
        <w:t>。</w:t>
      </w:r>
    </w:p>
    <w:p>
      <w:pPr>
        <w:pStyle w:val="839"/>
        <w:widowControl/>
        <w:snapToGrid w:val="0"/>
        <w:spacing w:before="120" w:beforeLines="50" w:line="320" w:lineRule="exact"/>
        <w:ind w:firstLine="448" w:firstLineChars="202"/>
        <w:rPr>
          <w:rFonts w:ascii="仿宋" w:hAnsi="仿宋" w:eastAsia="仿宋"/>
          <w:color w:val="auto"/>
          <w:kern w:val="0"/>
          <w:sz w:val="21"/>
          <w:szCs w:val="21"/>
          <w:highlight w:val="none"/>
        </w:rPr>
      </w:pPr>
      <w:r>
        <w:rPr>
          <w:rFonts w:ascii="仿宋" w:hAnsi="仿宋" w:eastAsia="仿宋"/>
          <w:color w:val="auto"/>
          <w:spacing w:val="6"/>
          <w:sz w:val="21"/>
          <w:szCs w:val="21"/>
          <w:highlight w:val="none"/>
        </w:rPr>
        <w:t>二、</w:t>
      </w:r>
      <w:r>
        <w:rPr>
          <w:rFonts w:ascii="仿宋" w:hAnsi="仿宋" w:eastAsia="仿宋"/>
          <w:color w:val="auto"/>
          <w:kern w:val="0"/>
          <w:sz w:val="21"/>
          <w:szCs w:val="21"/>
          <w:highlight w:val="none"/>
        </w:rPr>
        <w:t xml:space="preserve">现已清楚知道参加本项目采购活动的其他所有供应商名称，本单位 </w:t>
      </w:r>
      <w:r>
        <w:rPr>
          <w:rFonts w:ascii="仿宋" w:hAnsi="仿宋" w:eastAsia="仿宋" w:cs="宋体"/>
          <w:color w:val="auto"/>
          <w:kern w:val="0"/>
          <w:sz w:val="21"/>
          <w:szCs w:val="21"/>
          <w:highlight w:val="none"/>
        </w:rPr>
        <w:t>□与其他所有供应商之间均</w:t>
      </w:r>
      <w:r>
        <w:rPr>
          <w:rFonts w:ascii="仿宋" w:hAnsi="仿宋" w:eastAsia="仿宋"/>
          <w:color w:val="auto"/>
          <w:kern w:val="0"/>
          <w:sz w:val="21"/>
          <w:szCs w:val="21"/>
          <w:highlight w:val="none"/>
        </w:rPr>
        <w:t>不存在利害关系</w:t>
      </w:r>
      <w:r>
        <w:rPr>
          <w:rFonts w:ascii="仿宋" w:hAnsi="仿宋" w:eastAsia="仿宋" w:cs="宋体"/>
          <w:color w:val="auto"/>
          <w:kern w:val="0"/>
          <w:sz w:val="21"/>
          <w:szCs w:val="21"/>
          <w:highlight w:val="none"/>
        </w:rPr>
        <w:t>□与</w:t>
      </w:r>
      <w:r>
        <w:rPr>
          <w:rFonts w:ascii="仿宋" w:hAnsi="仿宋" w:eastAsia="仿宋" w:cs="宋体"/>
          <w:color w:val="auto"/>
          <w:kern w:val="0"/>
          <w:sz w:val="21"/>
          <w:szCs w:val="21"/>
          <w:highlight w:val="none"/>
          <w:u w:val="single"/>
        </w:rPr>
        <w:t xml:space="preserve">           （供应商名称）</w:t>
      </w:r>
      <w:r>
        <w:rPr>
          <w:rFonts w:ascii="仿宋" w:hAnsi="仿宋" w:eastAsia="仿宋" w:cs="宋体"/>
          <w:color w:val="auto"/>
          <w:kern w:val="0"/>
          <w:sz w:val="21"/>
          <w:szCs w:val="21"/>
          <w:highlight w:val="none"/>
        </w:rPr>
        <w:t>之间</w:t>
      </w:r>
      <w:r>
        <w:rPr>
          <w:rFonts w:ascii="仿宋" w:hAnsi="仿宋" w:eastAsia="仿宋"/>
          <w:color w:val="auto"/>
          <w:kern w:val="0"/>
          <w:sz w:val="21"/>
          <w:szCs w:val="21"/>
          <w:highlight w:val="none"/>
        </w:rPr>
        <w:t>存在下列利害关系</w:t>
      </w:r>
      <w:r>
        <w:rPr>
          <w:rFonts w:ascii="仿宋" w:hAnsi="仿宋" w:eastAsia="仿宋"/>
          <w:color w:val="auto"/>
          <w:kern w:val="0"/>
          <w:sz w:val="21"/>
          <w:szCs w:val="21"/>
          <w:highlight w:val="none"/>
          <w:u w:val="single"/>
        </w:rPr>
        <w:t xml:space="preserve">          </w:t>
      </w:r>
      <w:r>
        <w:rPr>
          <w:rFonts w:ascii="仿宋" w:hAnsi="仿宋" w:eastAsia="仿宋"/>
          <w:color w:val="auto"/>
          <w:kern w:val="0"/>
          <w:sz w:val="21"/>
          <w:szCs w:val="21"/>
          <w:highlight w:val="none"/>
        </w:rPr>
        <w:t>：</w:t>
      </w:r>
    </w:p>
    <w:p>
      <w:pPr>
        <w:pStyle w:val="319"/>
        <w:adjustRightInd w:val="0"/>
        <w:snapToGrid w:val="0"/>
        <w:spacing w:after="120" w:line="360" w:lineRule="auto"/>
        <w:ind w:firstLine="400" w:firstLineChars="200"/>
        <w:rPr>
          <w:rFonts w:ascii="仿宋" w:hAnsi="仿宋" w:eastAsia="仿宋"/>
          <w:color w:val="auto"/>
          <w:szCs w:val="21"/>
          <w:highlight w:val="none"/>
        </w:rPr>
      </w:pPr>
      <w:r>
        <w:rPr>
          <w:rFonts w:ascii="仿宋" w:hAnsi="仿宋" w:eastAsia="仿宋"/>
          <w:color w:val="auto"/>
          <w:szCs w:val="21"/>
          <w:highlight w:val="none"/>
        </w:rPr>
        <w:t>A.法定代表人或负责人或实际控制人是同一人</w:t>
      </w:r>
    </w:p>
    <w:p>
      <w:pPr>
        <w:pStyle w:val="319"/>
        <w:adjustRightInd w:val="0"/>
        <w:snapToGrid w:val="0"/>
        <w:spacing w:after="120" w:line="360" w:lineRule="auto"/>
        <w:ind w:firstLine="400" w:firstLineChars="200"/>
        <w:rPr>
          <w:rFonts w:ascii="仿宋" w:hAnsi="仿宋" w:eastAsia="仿宋"/>
          <w:color w:val="auto"/>
          <w:spacing w:val="6"/>
          <w:szCs w:val="21"/>
          <w:highlight w:val="none"/>
        </w:rPr>
      </w:pPr>
      <w:r>
        <w:rPr>
          <w:rFonts w:ascii="仿宋" w:hAnsi="仿宋" w:eastAsia="仿宋"/>
          <w:color w:val="auto"/>
          <w:szCs w:val="21"/>
          <w:highlight w:val="none"/>
        </w:rPr>
        <w:t>B.法定代表人或负责人或实际控制人是夫妻关系</w:t>
      </w:r>
    </w:p>
    <w:p>
      <w:pPr>
        <w:pStyle w:val="319"/>
        <w:adjustRightInd w:val="0"/>
        <w:snapToGrid w:val="0"/>
        <w:spacing w:after="120" w:line="360" w:lineRule="auto"/>
        <w:ind w:firstLine="400" w:firstLineChars="200"/>
        <w:rPr>
          <w:rFonts w:ascii="仿宋" w:hAnsi="仿宋" w:eastAsia="仿宋"/>
          <w:color w:val="auto"/>
          <w:spacing w:val="6"/>
          <w:szCs w:val="21"/>
          <w:highlight w:val="none"/>
        </w:rPr>
      </w:pPr>
      <w:r>
        <w:rPr>
          <w:rFonts w:ascii="仿宋" w:hAnsi="仿宋" w:eastAsia="仿宋"/>
          <w:color w:val="auto"/>
          <w:szCs w:val="21"/>
          <w:highlight w:val="none"/>
        </w:rPr>
        <w:t>C.法定代表人或负责人或实际控制人是直系血亲关系</w:t>
      </w:r>
    </w:p>
    <w:p>
      <w:pPr>
        <w:pStyle w:val="319"/>
        <w:adjustRightInd w:val="0"/>
        <w:snapToGrid w:val="0"/>
        <w:spacing w:after="120" w:line="360" w:lineRule="auto"/>
        <w:ind w:firstLine="400" w:firstLineChars="200"/>
        <w:rPr>
          <w:rFonts w:ascii="仿宋" w:hAnsi="仿宋" w:eastAsia="仿宋"/>
          <w:color w:val="auto"/>
          <w:spacing w:val="6"/>
          <w:szCs w:val="21"/>
          <w:highlight w:val="none"/>
        </w:rPr>
      </w:pPr>
      <w:r>
        <w:rPr>
          <w:rFonts w:ascii="仿宋" w:hAnsi="仿宋" w:eastAsia="仿宋"/>
          <w:color w:val="auto"/>
          <w:szCs w:val="21"/>
          <w:highlight w:val="none"/>
        </w:rPr>
        <w:t>D.法定代表人或负责人或实际控制人存在三代以内旁系血亲关系</w:t>
      </w:r>
    </w:p>
    <w:p>
      <w:pPr>
        <w:pStyle w:val="319"/>
        <w:adjustRightInd w:val="0"/>
        <w:snapToGrid w:val="0"/>
        <w:spacing w:after="120" w:line="360" w:lineRule="auto"/>
        <w:ind w:firstLine="400" w:firstLineChars="200"/>
        <w:rPr>
          <w:rFonts w:ascii="仿宋" w:hAnsi="仿宋" w:eastAsia="仿宋"/>
          <w:color w:val="auto"/>
          <w:szCs w:val="21"/>
          <w:highlight w:val="none"/>
        </w:rPr>
      </w:pPr>
      <w:r>
        <w:rPr>
          <w:rFonts w:ascii="仿宋" w:hAnsi="仿宋" w:eastAsia="仿宋"/>
          <w:color w:val="auto"/>
          <w:szCs w:val="21"/>
          <w:highlight w:val="none"/>
        </w:rPr>
        <w:t>E.法定代表人或负责人或实际控制人存在近姻亲关系</w:t>
      </w:r>
    </w:p>
    <w:p>
      <w:pPr>
        <w:pStyle w:val="319"/>
        <w:adjustRightInd w:val="0"/>
        <w:snapToGrid w:val="0"/>
        <w:spacing w:after="120" w:line="360" w:lineRule="auto"/>
        <w:ind w:firstLine="400" w:firstLineChars="200"/>
        <w:rPr>
          <w:rFonts w:ascii="仿宋" w:hAnsi="仿宋" w:eastAsia="仿宋"/>
          <w:color w:val="auto"/>
          <w:szCs w:val="21"/>
          <w:highlight w:val="none"/>
        </w:rPr>
      </w:pPr>
      <w:r>
        <w:rPr>
          <w:rFonts w:ascii="仿宋" w:hAnsi="仿宋" w:eastAsia="仿宋"/>
          <w:color w:val="auto"/>
          <w:szCs w:val="21"/>
          <w:highlight w:val="none"/>
        </w:rPr>
        <w:t>F.法定代表人或负责人或实际控制人存在股份控制或实际控制关系</w:t>
      </w:r>
    </w:p>
    <w:p>
      <w:pPr>
        <w:pStyle w:val="319"/>
        <w:adjustRightInd w:val="0"/>
        <w:snapToGrid w:val="0"/>
        <w:spacing w:after="120" w:line="360" w:lineRule="auto"/>
        <w:ind w:firstLine="400" w:firstLineChars="200"/>
        <w:rPr>
          <w:rFonts w:ascii="仿宋" w:hAnsi="仿宋" w:eastAsia="仿宋"/>
          <w:color w:val="auto"/>
          <w:szCs w:val="21"/>
          <w:highlight w:val="none"/>
        </w:rPr>
      </w:pPr>
      <w:r>
        <w:rPr>
          <w:rFonts w:ascii="仿宋" w:hAnsi="仿宋" w:eastAsia="仿宋"/>
          <w:color w:val="auto"/>
          <w:szCs w:val="21"/>
          <w:highlight w:val="none"/>
        </w:rPr>
        <w:t>G.存在共同直接或间接投资设立子公司、联营企业和合营企业情况</w:t>
      </w:r>
    </w:p>
    <w:p>
      <w:pPr>
        <w:pStyle w:val="319"/>
        <w:adjustRightInd w:val="0"/>
        <w:snapToGrid w:val="0"/>
        <w:spacing w:after="120" w:line="360" w:lineRule="auto"/>
        <w:ind w:firstLine="400" w:firstLineChars="200"/>
        <w:rPr>
          <w:rFonts w:ascii="仿宋" w:hAnsi="仿宋" w:eastAsia="仿宋"/>
          <w:color w:val="auto"/>
          <w:szCs w:val="21"/>
          <w:highlight w:val="none"/>
        </w:rPr>
      </w:pPr>
      <w:r>
        <w:rPr>
          <w:rFonts w:ascii="仿宋" w:hAnsi="仿宋" w:eastAsia="仿宋"/>
          <w:color w:val="auto"/>
          <w:szCs w:val="21"/>
          <w:highlight w:val="none"/>
        </w:rPr>
        <w:t>H.存在分级代理或代销关系、同一生产制造商关系、管理关系、重要业务（占主营业务收入50%以上）或重要财务往来关系（如融资）等其他实质性控制关系</w:t>
      </w:r>
    </w:p>
    <w:p>
      <w:pPr>
        <w:pStyle w:val="319"/>
        <w:adjustRightInd w:val="0"/>
        <w:snapToGrid w:val="0"/>
        <w:spacing w:after="120" w:line="360" w:lineRule="auto"/>
        <w:ind w:firstLine="400" w:firstLineChars="200"/>
        <w:rPr>
          <w:rFonts w:ascii="仿宋" w:hAnsi="仿宋" w:eastAsia="仿宋"/>
          <w:color w:val="auto"/>
          <w:spacing w:val="6"/>
          <w:szCs w:val="21"/>
          <w:highlight w:val="none"/>
        </w:rPr>
      </w:pPr>
      <w:r>
        <w:rPr>
          <w:rFonts w:ascii="仿宋" w:hAnsi="仿宋" w:eastAsia="仿宋"/>
          <w:color w:val="auto"/>
          <w:szCs w:val="21"/>
          <w:highlight w:val="none"/>
        </w:rPr>
        <w:t>I.其他利害关系情况</w:t>
      </w:r>
      <w:r>
        <w:rPr>
          <w:rFonts w:ascii="仿宋" w:hAnsi="仿宋" w:eastAsia="仿宋"/>
          <w:color w:val="auto"/>
          <w:szCs w:val="21"/>
          <w:highlight w:val="none"/>
          <w:u w:val="single"/>
        </w:rPr>
        <w:t xml:space="preserve">                              </w:t>
      </w:r>
      <w:r>
        <w:rPr>
          <w:rFonts w:ascii="仿宋" w:hAnsi="仿宋" w:eastAsia="仿宋"/>
          <w:color w:val="auto"/>
          <w:szCs w:val="21"/>
          <w:highlight w:val="none"/>
        </w:rPr>
        <w:t>。</w:t>
      </w:r>
    </w:p>
    <w:p>
      <w:pPr>
        <w:pStyle w:val="839"/>
        <w:widowControl/>
        <w:numPr>
          <w:ilvl w:val="0"/>
          <w:numId w:val="6"/>
        </w:numPr>
        <w:tabs>
          <w:tab w:val="clear" w:pos="8268"/>
        </w:tabs>
        <w:snapToGrid w:val="0"/>
        <w:spacing w:after="120" w:line="360" w:lineRule="auto"/>
        <w:ind w:firstLine="396" w:firstLineChars="189"/>
        <w:rPr>
          <w:rFonts w:ascii="仿宋" w:hAnsi="仿宋" w:eastAsia="仿宋"/>
          <w:color w:val="auto"/>
          <w:kern w:val="0"/>
          <w:sz w:val="21"/>
          <w:szCs w:val="21"/>
          <w:highlight w:val="none"/>
        </w:rPr>
      </w:pPr>
      <w:r>
        <w:rPr>
          <w:rFonts w:ascii="仿宋" w:hAnsi="仿宋" w:eastAsia="仿宋"/>
          <w:color w:val="auto"/>
          <w:sz w:val="21"/>
          <w:szCs w:val="21"/>
          <w:highlight w:val="none"/>
        </w:rPr>
        <w:t>现已清楚知道并</w:t>
      </w:r>
      <w:r>
        <w:rPr>
          <w:rFonts w:ascii="仿宋" w:hAnsi="仿宋" w:eastAsia="仿宋"/>
          <w:color w:val="auto"/>
          <w:kern w:val="0"/>
          <w:sz w:val="21"/>
          <w:szCs w:val="21"/>
          <w:highlight w:val="none"/>
        </w:rPr>
        <w:t>严格遵守政府采购法律法规和现场纪律。</w:t>
      </w:r>
    </w:p>
    <w:p>
      <w:pPr>
        <w:pStyle w:val="839"/>
        <w:widowControl/>
        <w:numPr>
          <w:ilvl w:val="0"/>
          <w:numId w:val="6"/>
        </w:numPr>
        <w:tabs>
          <w:tab w:val="clear" w:pos="8268"/>
        </w:tabs>
        <w:snapToGrid w:val="0"/>
        <w:spacing w:after="120" w:line="360" w:lineRule="auto"/>
        <w:ind w:firstLine="396" w:firstLineChars="189"/>
        <w:rPr>
          <w:rFonts w:ascii="仿宋" w:hAnsi="仿宋" w:eastAsia="仿宋"/>
          <w:color w:val="auto"/>
          <w:kern w:val="0"/>
          <w:sz w:val="21"/>
          <w:szCs w:val="21"/>
          <w:highlight w:val="none"/>
        </w:rPr>
      </w:pPr>
      <w:r>
        <w:rPr>
          <w:rFonts w:ascii="仿宋" w:hAnsi="仿宋" w:eastAsia="仿宋"/>
          <w:color w:val="auto"/>
          <w:kern w:val="0"/>
          <w:sz w:val="21"/>
          <w:szCs w:val="21"/>
          <w:highlight w:val="none"/>
        </w:rPr>
        <w:t>我发现</w:t>
      </w:r>
      <w:r>
        <w:rPr>
          <w:rFonts w:ascii="仿宋" w:hAnsi="仿宋" w:eastAsia="仿宋"/>
          <w:color w:val="auto"/>
          <w:kern w:val="0"/>
          <w:sz w:val="21"/>
          <w:szCs w:val="21"/>
          <w:highlight w:val="none"/>
          <w:u w:val="single"/>
        </w:rPr>
        <w:t xml:space="preserve">                    </w:t>
      </w:r>
      <w:r>
        <w:rPr>
          <w:rFonts w:ascii="仿宋" w:hAnsi="仿宋" w:eastAsia="仿宋"/>
          <w:color w:val="auto"/>
          <w:kern w:val="0"/>
          <w:sz w:val="21"/>
          <w:szCs w:val="21"/>
          <w:highlight w:val="none"/>
        </w:rPr>
        <w:t>供应商之间存在或可能存在上述第二条第</w:t>
      </w:r>
      <w:r>
        <w:rPr>
          <w:rFonts w:ascii="仿宋" w:hAnsi="仿宋" w:eastAsia="仿宋"/>
          <w:color w:val="auto"/>
          <w:kern w:val="0"/>
          <w:sz w:val="21"/>
          <w:szCs w:val="21"/>
          <w:highlight w:val="none"/>
          <w:u w:val="single"/>
        </w:rPr>
        <w:t xml:space="preserve">        </w:t>
      </w:r>
      <w:r>
        <w:rPr>
          <w:rFonts w:ascii="仿宋" w:hAnsi="仿宋" w:eastAsia="仿宋"/>
          <w:color w:val="auto"/>
          <w:kern w:val="0"/>
          <w:sz w:val="21"/>
          <w:szCs w:val="21"/>
          <w:highlight w:val="none"/>
        </w:rPr>
        <w:t>项利害关系。</w:t>
      </w:r>
    </w:p>
    <w:p>
      <w:pPr>
        <w:pStyle w:val="839"/>
        <w:widowControl/>
        <w:numPr>
          <w:ilvl w:val="0"/>
          <w:numId w:val="6"/>
        </w:numPr>
        <w:tabs>
          <w:tab w:val="clear" w:pos="8268"/>
        </w:tabs>
        <w:snapToGrid w:val="0"/>
        <w:spacing w:after="120" w:line="360" w:lineRule="auto"/>
        <w:ind w:firstLine="396" w:firstLineChars="189"/>
        <w:rPr>
          <w:rFonts w:hint="eastAsia" w:ascii="仿宋" w:hAnsi="仿宋" w:eastAsia="仿宋"/>
          <w:color w:val="auto"/>
          <w:kern w:val="0"/>
          <w:sz w:val="21"/>
          <w:szCs w:val="21"/>
          <w:highlight w:val="none"/>
        </w:rPr>
      </w:pPr>
      <w:r>
        <w:rPr>
          <w:rFonts w:ascii="仿宋" w:hAnsi="仿宋" w:eastAsia="仿宋"/>
          <w:color w:val="auto"/>
          <w:kern w:val="0"/>
          <w:sz w:val="21"/>
          <w:szCs w:val="21"/>
          <w:highlight w:val="none"/>
        </w:rPr>
        <w:t>经检查确认所有供应商投标文件</w:t>
      </w:r>
      <w:r>
        <w:rPr>
          <w:rFonts w:ascii="仿宋" w:hAnsi="仿宋" w:eastAsia="仿宋" w:cs="宋体"/>
          <w:color w:val="auto"/>
          <w:kern w:val="0"/>
          <w:sz w:val="21"/>
          <w:szCs w:val="21"/>
          <w:highlight w:val="none"/>
        </w:rPr>
        <w:t>□</w:t>
      </w:r>
      <w:r>
        <w:rPr>
          <w:rFonts w:ascii="仿宋" w:hAnsi="仿宋" w:eastAsia="仿宋"/>
          <w:color w:val="auto"/>
          <w:kern w:val="0"/>
          <w:sz w:val="21"/>
          <w:szCs w:val="21"/>
          <w:highlight w:val="none"/>
        </w:rPr>
        <w:t xml:space="preserve">不存在密封包装问题  </w:t>
      </w:r>
      <w:r>
        <w:rPr>
          <w:rFonts w:ascii="仿宋" w:hAnsi="仿宋" w:eastAsia="仿宋" w:cs="宋体"/>
          <w:color w:val="auto"/>
          <w:kern w:val="0"/>
          <w:sz w:val="21"/>
          <w:szCs w:val="21"/>
          <w:highlight w:val="none"/>
        </w:rPr>
        <w:t>□</w:t>
      </w:r>
      <w:r>
        <w:rPr>
          <w:rFonts w:ascii="仿宋" w:hAnsi="仿宋" w:eastAsia="仿宋"/>
          <w:color w:val="auto"/>
          <w:kern w:val="0"/>
          <w:sz w:val="21"/>
          <w:szCs w:val="21"/>
          <w:highlight w:val="none"/>
        </w:rPr>
        <w:t>存在密封包装问题（具体指出）</w:t>
      </w:r>
      <w:r>
        <w:rPr>
          <w:rFonts w:ascii="仿宋" w:hAnsi="仿宋" w:eastAsia="仿宋"/>
          <w:color w:val="auto"/>
          <w:kern w:val="0"/>
          <w:sz w:val="21"/>
          <w:szCs w:val="21"/>
          <w:highlight w:val="none"/>
          <w:u w:val="single"/>
        </w:rPr>
        <w:t xml:space="preserve">                            </w:t>
      </w:r>
      <w:r>
        <w:rPr>
          <w:rFonts w:ascii="仿宋" w:hAnsi="仿宋" w:eastAsia="仿宋"/>
          <w:color w:val="auto"/>
          <w:kern w:val="0"/>
          <w:sz w:val="21"/>
          <w:szCs w:val="21"/>
          <w:highlight w:val="none"/>
        </w:rPr>
        <w:t>。</w:t>
      </w:r>
    </w:p>
    <w:p>
      <w:pPr>
        <w:pStyle w:val="319"/>
        <w:adjustRightInd w:val="0"/>
        <w:snapToGrid w:val="0"/>
        <w:spacing w:after="120" w:line="360" w:lineRule="auto"/>
        <w:ind w:firstLine="4200" w:firstLineChars="2100"/>
        <w:rPr>
          <w:rFonts w:ascii="仿宋" w:hAnsi="仿宋" w:eastAsia="仿宋"/>
          <w:color w:val="auto"/>
          <w:szCs w:val="21"/>
          <w:highlight w:val="none"/>
        </w:rPr>
      </w:pPr>
      <w:r>
        <w:rPr>
          <w:rFonts w:ascii="仿宋" w:hAnsi="仿宋" w:eastAsia="仿宋"/>
          <w:color w:val="auto"/>
          <w:szCs w:val="21"/>
          <w:highlight w:val="none"/>
        </w:rPr>
        <w:t>（供应商代表签名）</w:t>
      </w:r>
    </w:p>
    <w:p>
      <w:pPr>
        <w:ind w:right="840" w:firstLine="480"/>
        <w:jc w:val="right"/>
        <w:rPr>
          <w:rFonts w:ascii="仿宋" w:hAnsi="仿宋" w:eastAsia="仿宋"/>
          <w:color w:val="auto"/>
          <w:szCs w:val="21"/>
          <w:highlight w:val="none"/>
        </w:rPr>
      </w:pPr>
      <w:r>
        <w:rPr>
          <w:rFonts w:ascii="仿宋" w:hAnsi="仿宋" w:eastAsia="仿宋"/>
          <w:color w:val="auto"/>
          <w:szCs w:val="21"/>
          <w:highlight w:val="none"/>
        </w:rPr>
        <w:t>年</w:t>
      </w:r>
      <w:r>
        <w:rPr>
          <w:rFonts w:hint="eastAsia" w:ascii="仿宋" w:hAnsi="仿宋" w:eastAsia="仿宋"/>
          <w:color w:val="auto"/>
          <w:szCs w:val="21"/>
          <w:highlight w:val="none"/>
        </w:rPr>
        <w:t xml:space="preserve">  </w:t>
      </w:r>
      <w:r>
        <w:rPr>
          <w:rFonts w:ascii="仿宋" w:hAnsi="仿宋" w:eastAsia="仿宋"/>
          <w:color w:val="auto"/>
          <w:szCs w:val="21"/>
          <w:highlight w:val="none"/>
        </w:rPr>
        <w:t>月</w:t>
      </w:r>
      <w:r>
        <w:rPr>
          <w:rFonts w:hint="eastAsia" w:ascii="仿宋" w:hAnsi="仿宋" w:eastAsia="仿宋"/>
          <w:color w:val="auto"/>
          <w:szCs w:val="21"/>
          <w:highlight w:val="none"/>
        </w:rPr>
        <w:t xml:space="preserve">  </w:t>
      </w:r>
      <w:r>
        <w:rPr>
          <w:rFonts w:ascii="仿宋" w:hAnsi="仿宋" w:eastAsia="仿宋"/>
          <w:color w:val="auto"/>
          <w:szCs w:val="21"/>
          <w:highlight w:val="none"/>
        </w:rPr>
        <w:t>日</w:t>
      </w:r>
    </w:p>
    <w:p>
      <w:pPr>
        <w:snapToGrid w:val="0"/>
        <w:spacing w:line="360" w:lineRule="auto"/>
        <w:rPr>
          <w:rFonts w:hint="eastAsia" w:ascii="仿宋" w:hAnsi="仿宋" w:eastAsia="仿宋"/>
          <w:b/>
          <w:color w:val="auto"/>
          <w:szCs w:val="21"/>
          <w:highlight w:val="none"/>
        </w:rPr>
      </w:pPr>
      <w:r>
        <w:rPr>
          <w:rFonts w:hint="eastAsia" w:ascii="仿宋" w:hAnsi="仿宋" w:eastAsia="仿宋"/>
          <w:b/>
          <w:color w:val="auto"/>
          <w:szCs w:val="21"/>
          <w:highlight w:val="none"/>
        </w:rPr>
        <w:t>注：结束解密后，供应商通过邮件形式将经授权代表签署的《政府采购活动现场确认声明书》扫描件发至代理机构经办人邮箱（邮箱地址：</w:t>
      </w:r>
      <w:r>
        <w:rPr>
          <w:rFonts w:hint="eastAsia" w:ascii="仿宋" w:hAnsi="仿宋" w:eastAsia="仿宋"/>
          <w:b/>
          <w:color w:val="auto"/>
          <w:szCs w:val="21"/>
          <w:highlight w:val="none"/>
        </w:rPr>
        <w:fldChar w:fldCharType="begin"/>
      </w:r>
      <w:r>
        <w:rPr>
          <w:rFonts w:hint="eastAsia" w:ascii="仿宋" w:hAnsi="仿宋" w:eastAsia="仿宋"/>
          <w:b/>
          <w:color w:val="auto"/>
          <w:szCs w:val="21"/>
          <w:highlight w:val="none"/>
        </w:rPr>
        <w:instrText xml:space="preserve"> HYPERLINK "mailto:1905135046@qq.com，联系人：严淳，电话：18007898088" </w:instrText>
      </w:r>
      <w:r>
        <w:rPr>
          <w:rFonts w:hint="eastAsia" w:ascii="仿宋" w:hAnsi="仿宋" w:eastAsia="仿宋"/>
          <w:b/>
          <w:color w:val="auto"/>
          <w:szCs w:val="21"/>
          <w:highlight w:val="none"/>
        </w:rPr>
        <w:fldChar w:fldCharType="separate"/>
      </w:r>
      <w:r>
        <w:rPr>
          <w:rFonts w:hint="eastAsia" w:ascii="仿宋" w:hAnsi="仿宋" w:eastAsia="仿宋"/>
          <w:b/>
          <w:color w:val="auto"/>
          <w:szCs w:val="21"/>
          <w:highlight w:val="none"/>
        </w:rPr>
        <w:t>1905135046@qq.com，联系人：严淳，电话：18007898088</w:t>
      </w:r>
      <w:r>
        <w:rPr>
          <w:rFonts w:hint="eastAsia" w:ascii="仿宋" w:hAnsi="仿宋" w:eastAsia="仿宋"/>
          <w:b/>
          <w:color w:val="auto"/>
          <w:szCs w:val="21"/>
          <w:highlight w:val="none"/>
        </w:rPr>
        <w:fldChar w:fldCharType="end"/>
      </w:r>
      <w:r>
        <w:rPr>
          <w:rFonts w:hint="eastAsia" w:ascii="仿宋" w:hAnsi="仿宋" w:eastAsia="仿宋"/>
          <w:b/>
          <w:color w:val="auto"/>
          <w:szCs w:val="21"/>
          <w:highlight w:val="none"/>
        </w:rPr>
        <w:t>）</w:t>
      </w:r>
    </w:p>
    <w:sectPr>
      <w:pgSz w:w="11905" w:h="16838"/>
      <w:pgMar w:top="1474" w:right="1814" w:bottom="1474" w:left="181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Times New Roman"/>
    <w:panose1 w:val="02020603050405020304"/>
    <w:charset w:val="00"/>
    <w:family w:val="modern"/>
    <w:pitch w:val="default"/>
    <w:sig w:usb0="00000000" w:usb1="00000000" w:usb2="00000009" w:usb3="00000000" w:csb0="400001FF" w:csb1="FFFF0000"/>
  </w:font>
  <w:font w:name="方正小标宋简体">
    <w:altName w:val="方正舒体"/>
    <w:panose1 w:val="02010601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3" w:name="_Toc131845147"/>
    <w:bookmarkStart w:id="524" w:name="_Toc164085800"/>
    <w:bookmarkStart w:id="525" w:name="_Toc36110187"/>
    <w:bookmarkStart w:id="526" w:name="_Toc91899912"/>
    <w:r>
      <w:rPr>
        <w:rFonts w:hint="eastAsia" w:ascii="仿宋_GB2312" w:eastAsia="仿宋_GB2312"/>
        <w:kern w:val="0"/>
        <w:szCs w:val="21"/>
      </w:rPr>
      <w:t xml:space="preserve"> 页</w:t>
    </w:r>
    <w:bookmarkEnd w:id="523"/>
    <w:bookmarkEnd w:id="524"/>
    <w:bookmarkEnd w:id="525"/>
    <w:bookmarkEnd w:id="52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rFonts w:hint="eastAsia" w:ascii="仿宋" w:hAnsi="仿宋" w:eastAsia="仿宋" w:cs="仿宋"/>
        <w:b/>
        <w:bCs/>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rPr>
        <w:rFonts w:hint="eastAsia" w:ascii="仿宋_GB2312" w:eastAsia="仿宋_GB2312"/>
        <w:i/>
        <w:u w:val="single"/>
      </w:rPr>
    </w:pPr>
    <w:r>
      <w:rPr>
        <w:rFonts w:hint="eastAsia" w:ascii="仿宋" w:hAnsi="仿宋" w:eastAsia="仿宋" w:cs="仿宋"/>
        <w:b/>
        <w:bCs/>
        <w:lang w:val="zh-CN"/>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7400C"/>
    <w:multiLevelType w:val="singleLevel"/>
    <w:tmpl w:val="B707400C"/>
    <w:lvl w:ilvl="0" w:tentative="0">
      <w:start w:val="5"/>
      <w:numFmt w:val="chineseCounting"/>
      <w:suff w:val="nothing"/>
      <w:lvlText w:val="%1、"/>
      <w:lvlJc w:val="left"/>
      <w:rPr>
        <w:rFonts w:hint="eastAsia"/>
      </w:rPr>
    </w:lvl>
  </w:abstractNum>
  <w:abstractNum w:abstractNumId="1">
    <w:nsid w:val="C9CCC725"/>
    <w:multiLevelType w:val="singleLevel"/>
    <w:tmpl w:val="C9CCC725"/>
    <w:lvl w:ilvl="0" w:tentative="0">
      <w:start w:val="1"/>
      <w:numFmt w:val="decimal"/>
      <w:suff w:val="nothing"/>
      <w:lvlText w:val="（%1）"/>
      <w:lvlJc w:val="left"/>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77ACD4CE"/>
    <w:multiLevelType w:val="singleLevel"/>
    <w:tmpl w:val="77ACD4CE"/>
    <w:lvl w:ilvl="0" w:tentative="0">
      <w:start w:val="1"/>
      <w:numFmt w:val="decimal"/>
      <w:suff w:val="nothing"/>
      <w:lvlText w:val="%1、"/>
      <w:lvlJc w:val="left"/>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172A27"/>
    <w:rsid w:val="00000451"/>
    <w:rsid w:val="00000E76"/>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86C"/>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44"/>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331"/>
    <w:rsid w:val="0029159A"/>
    <w:rsid w:val="00291CF1"/>
    <w:rsid w:val="00292AA1"/>
    <w:rsid w:val="00294012"/>
    <w:rsid w:val="002945B0"/>
    <w:rsid w:val="0029499D"/>
    <w:rsid w:val="00294A13"/>
    <w:rsid w:val="00294B10"/>
    <w:rsid w:val="00294DF9"/>
    <w:rsid w:val="00295073"/>
    <w:rsid w:val="00295468"/>
    <w:rsid w:val="002963CD"/>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7FD"/>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A06"/>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46D"/>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40F"/>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467"/>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311"/>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1B14"/>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F10"/>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6FF2"/>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01D"/>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9AA"/>
    <w:rsid w:val="006D0A80"/>
    <w:rsid w:val="006D0AE8"/>
    <w:rsid w:val="006D0B8C"/>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47C"/>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21F"/>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3F82"/>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1F3"/>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1FAB"/>
    <w:rsid w:val="0094215C"/>
    <w:rsid w:val="009425D9"/>
    <w:rsid w:val="00942A27"/>
    <w:rsid w:val="00942F8E"/>
    <w:rsid w:val="00943543"/>
    <w:rsid w:val="00943554"/>
    <w:rsid w:val="009441DB"/>
    <w:rsid w:val="00944834"/>
    <w:rsid w:val="00946128"/>
    <w:rsid w:val="0094633F"/>
    <w:rsid w:val="00947BA5"/>
    <w:rsid w:val="00950805"/>
    <w:rsid w:val="009510B2"/>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8B0"/>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6DDB"/>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215"/>
    <w:rsid w:val="00A526CE"/>
    <w:rsid w:val="00A53D28"/>
    <w:rsid w:val="00A5468F"/>
    <w:rsid w:val="00A54909"/>
    <w:rsid w:val="00A54DC0"/>
    <w:rsid w:val="00A550C9"/>
    <w:rsid w:val="00A55228"/>
    <w:rsid w:val="00A55410"/>
    <w:rsid w:val="00A55A04"/>
    <w:rsid w:val="00A564DE"/>
    <w:rsid w:val="00A56807"/>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68B"/>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7DD"/>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662"/>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87"/>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0BD"/>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160"/>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134"/>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A1A"/>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B3"/>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874971"/>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3060FD"/>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3F7617"/>
    <w:rsid w:val="0A4E70E3"/>
    <w:rsid w:val="0A5B7E63"/>
    <w:rsid w:val="0AA374A5"/>
    <w:rsid w:val="0AAB7649"/>
    <w:rsid w:val="0ABC5606"/>
    <w:rsid w:val="0B236E55"/>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C51782"/>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D81F8B"/>
    <w:rsid w:val="10F33360"/>
    <w:rsid w:val="10FC16EA"/>
    <w:rsid w:val="110F1D40"/>
    <w:rsid w:val="11266F33"/>
    <w:rsid w:val="11541FC0"/>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FC3F92"/>
    <w:rsid w:val="150536C3"/>
    <w:rsid w:val="150C1963"/>
    <w:rsid w:val="151447A0"/>
    <w:rsid w:val="154A6454"/>
    <w:rsid w:val="15762120"/>
    <w:rsid w:val="16A8729C"/>
    <w:rsid w:val="16B33777"/>
    <w:rsid w:val="16BC70A7"/>
    <w:rsid w:val="16C6339E"/>
    <w:rsid w:val="17253C74"/>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A96414"/>
    <w:rsid w:val="1DB567EC"/>
    <w:rsid w:val="1DF51A98"/>
    <w:rsid w:val="1E3D060F"/>
    <w:rsid w:val="1E3F7D2E"/>
    <w:rsid w:val="1E4134E4"/>
    <w:rsid w:val="1E5062B3"/>
    <w:rsid w:val="1E523514"/>
    <w:rsid w:val="1E714A66"/>
    <w:rsid w:val="1E802593"/>
    <w:rsid w:val="1E8B6156"/>
    <w:rsid w:val="1EA703CC"/>
    <w:rsid w:val="1EB7330C"/>
    <w:rsid w:val="1F0A0FF3"/>
    <w:rsid w:val="1F5771FF"/>
    <w:rsid w:val="1F734F24"/>
    <w:rsid w:val="1FB37310"/>
    <w:rsid w:val="1FD52DD5"/>
    <w:rsid w:val="1FE868A9"/>
    <w:rsid w:val="20034907"/>
    <w:rsid w:val="20173E4B"/>
    <w:rsid w:val="20174376"/>
    <w:rsid w:val="204E48BC"/>
    <w:rsid w:val="208921B3"/>
    <w:rsid w:val="20973DEB"/>
    <w:rsid w:val="20B26522"/>
    <w:rsid w:val="20B44310"/>
    <w:rsid w:val="211116EB"/>
    <w:rsid w:val="216133FC"/>
    <w:rsid w:val="218B1F59"/>
    <w:rsid w:val="21A70A44"/>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BE765E"/>
    <w:rsid w:val="24CF5825"/>
    <w:rsid w:val="24D663E6"/>
    <w:rsid w:val="24D77F2B"/>
    <w:rsid w:val="258B00E2"/>
    <w:rsid w:val="25A917A6"/>
    <w:rsid w:val="25BE27CC"/>
    <w:rsid w:val="25F74A5C"/>
    <w:rsid w:val="2628662C"/>
    <w:rsid w:val="262D45DE"/>
    <w:rsid w:val="26871DC8"/>
    <w:rsid w:val="26A53EF9"/>
    <w:rsid w:val="26A94201"/>
    <w:rsid w:val="26AC274F"/>
    <w:rsid w:val="26FF1270"/>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EB1D89"/>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71BB5"/>
    <w:rsid w:val="34AF62C9"/>
    <w:rsid w:val="34CB4388"/>
    <w:rsid w:val="34FA6E12"/>
    <w:rsid w:val="354D7158"/>
    <w:rsid w:val="358D5588"/>
    <w:rsid w:val="363A3B40"/>
    <w:rsid w:val="365302AE"/>
    <w:rsid w:val="36607A0A"/>
    <w:rsid w:val="366E227C"/>
    <w:rsid w:val="366F2E0D"/>
    <w:rsid w:val="367B6A5C"/>
    <w:rsid w:val="36A74ADA"/>
    <w:rsid w:val="36AD60D5"/>
    <w:rsid w:val="36B224F9"/>
    <w:rsid w:val="36DFBAAE"/>
    <w:rsid w:val="36EC0CC9"/>
    <w:rsid w:val="373F410B"/>
    <w:rsid w:val="37EE7094"/>
    <w:rsid w:val="38296C89"/>
    <w:rsid w:val="383002EB"/>
    <w:rsid w:val="38586797"/>
    <w:rsid w:val="38BC0149"/>
    <w:rsid w:val="38D87D1C"/>
    <w:rsid w:val="39636459"/>
    <w:rsid w:val="396B7F6C"/>
    <w:rsid w:val="39B417A9"/>
    <w:rsid w:val="39FC5695"/>
    <w:rsid w:val="3A006D8E"/>
    <w:rsid w:val="3A15379A"/>
    <w:rsid w:val="3A3651E5"/>
    <w:rsid w:val="3A744481"/>
    <w:rsid w:val="3A8C7BEF"/>
    <w:rsid w:val="3A8E6803"/>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C732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7E71DF"/>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893C0F"/>
    <w:rsid w:val="4B9739F7"/>
    <w:rsid w:val="4BDA1582"/>
    <w:rsid w:val="4BEE2503"/>
    <w:rsid w:val="4C245A30"/>
    <w:rsid w:val="4C9646F1"/>
    <w:rsid w:val="4CB6685F"/>
    <w:rsid w:val="4CC367FE"/>
    <w:rsid w:val="4D077F3C"/>
    <w:rsid w:val="4D123355"/>
    <w:rsid w:val="4D2A3B31"/>
    <w:rsid w:val="4D312C52"/>
    <w:rsid w:val="4D905305"/>
    <w:rsid w:val="4D964A72"/>
    <w:rsid w:val="4D9C1254"/>
    <w:rsid w:val="4E793892"/>
    <w:rsid w:val="4E800872"/>
    <w:rsid w:val="4EAB558D"/>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1A722A"/>
    <w:rsid w:val="522E4CC3"/>
    <w:rsid w:val="5244713B"/>
    <w:rsid w:val="52615633"/>
    <w:rsid w:val="526F4DE4"/>
    <w:rsid w:val="52977FD4"/>
    <w:rsid w:val="52A25790"/>
    <w:rsid w:val="52A96B6F"/>
    <w:rsid w:val="52B45975"/>
    <w:rsid w:val="52D40379"/>
    <w:rsid w:val="52D94AA4"/>
    <w:rsid w:val="52EA3A62"/>
    <w:rsid w:val="52F50BB8"/>
    <w:rsid w:val="53097272"/>
    <w:rsid w:val="53544462"/>
    <w:rsid w:val="5397158E"/>
    <w:rsid w:val="53EFD6A5"/>
    <w:rsid w:val="54013861"/>
    <w:rsid w:val="54487265"/>
    <w:rsid w:val="544D6070"/>
    <w:rsid w:val="54605E1E"/>
    <w:rsid w:val="54B3506A"/>
    <w:rsid w:val="54CA0D16"/>
    <w:rsid w:val="54DD4057"/>
    <w:rsid w:val="54E7490F"/>
    <w:rsid w:val="550764A4"/>
    <w:rsid w:val="550B2BF6"/>
    <w:rsid w:val="55214EB5"/>
    <w:rsid w:val="55364EFD"/>
    <w:rsid w:val="553650BE"/>
    <w:rsid w:val="555D4828"/>
    <w:rsid w:val="557A4C8B"/>
    <w:rsid w:val="558931E1"/>
    <w:rsid w:val="55923347"/>
    <w:rsid w:val="55925180"/>
    <w:rsid w:val="55983B1B"/>
    <w:rsid w:val="55A8376B"/>
    <w:rsid w:val="55DC29B6"/>
    <w:rsid w:val="55DD4241"/>
    <w:rsid w:val="561D79E6"/>
    <w:rsid w:val="566B6D1E"/>
    <w:rsid w:val="57032A2C"/>
    <w:rsid w:val="570F5219"/>
    <w:rsid w:val="575D12B5"/>
    <w:rsid w:val="575F291F"/>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25174"/>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C1466C"/>
    <w:rsid w:val="61F94C26"/>
    <w:rsid w:val="61FA4982"/>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62A27"/>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D4185B"/>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065B69"/>
    <w:rsid w:val="742222F5"/>
    <w:rsid w:val="74476126"/>
    <w:rsid w:val="74706664"/>
    <w:rsid w:val="747F3682"/>
    <w:rsid w:val="749C4185"/>
    <w:rsid w:val="75067759"/>
    <w:rsid w:val="75184066"/>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DF98D6E"/>
    <w:rsid w:val="7E1E5218"/>
    <w:rsid w:val="7E9A4E1F"/>
    <w:rsid w:val="7EA7723A"/>
    <w:rsid w:val="7EF56FBB"/>
    <w:rsid w:val="7F0768EB"/>
    <w:rsid w:val="7F143BEC"/>
    <w:rsid w:val="7F715AF2"/>
    <w:rsid w:val="7F886E69"/>
    <w:rsid w:val="7FFA0782"/>
    <w:rsid w:val="BB7FA927"/>
    <w:rsid w:val="BE7FBBD3"/>
    <w:rsid w:val="DFFF2FAC"/>
    <w:rsid w:val="F5FFD31F"/>
    <w:rsid w:val="F99B8B1B"/>
    <w:rsid w:val="FAB66264"/>
    <w:rsid w:val="FFAF183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autoRedefine/>
    <w:qFormat/>
    <w:uiPriority w:val="99"/>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0"/>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7"/>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autoRedefine/>
    <w:qFormat/>
    <w:uiPriority w:val="0"/>
    <w:rPr>
      <w:b/>
      <w:bCs/>
    </w:rPr>
  </w:style>
  <w:style w:type="paragraph" w:styleId="60">
    <w:name w:val="Body Text First Indent"/>
    <w:basedOn w:val="23"/>
    <w:link w:val="320"/>
    <w:autoRedefine/>
    <w:qFormat/>
    <w:uiPriority w:val="0"/>
    <w:pPr>
      <w:ind w:firstLine="420"/>
    </w:pPr>
    <w:rPr>
      <w:rFonts w:hAnsi="Calibri" w:cs="Times New Roman"/>
      <w:snapToGrid/>
      <w:szCs w:val="20"/>
    </w:rPr>
  </w:style>
  <w:style w:type="paragraph" w:styleId="61">
    <w:name w:val="Body Text First Indent 2"/>
    <w:basedOn w:val="24"/>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字符"/>
    <w:link w:val="46"/>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字符"/>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5"/>
    <w:autoRedefine/>
    <w:qFormat/>
    <w:uiPriority w:val="0"/>
    <w:rPr>
      <w:rFonts w:ascii="宋体"/>
      <w:kern w:val="2"/>
      <w:sz w:val="24"/>
      <w:szCs w:val="21"/>
      <w:lang w:val="zh-CN"/>
    </w:rPr>
  </w:style>
  <w:style w:type="character" w:customStyle="1" w:styleId="181">
    <w:name w:val="标题 9 字符"/>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99"/>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6"/>
    <w:autoRedefine/>
    <w:qFormat/>
    <w:uiPriority w:val="0"/>
    <w:rPr>
      <w:rFonts w:ascii="黑体" w:hAnsi="Courier New" w:eastAsia="黑体"/>
    </w:rPr>
  </w:style>
  <w:style w:type="character" w:customStyle="1" w:styleId="301">
    <w:name w:val="正文文本 2 字符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9"/>
    <w:autoRedefine/>
    <w:qFormat/>
    <w:uiPriority w:val="0"/>
    <w:rPr>
      <w:b/>
      <w:bCs/>
      <w:kern w:val="2"/>
      <w:sz w:val="24"/>
      <w:szCs w:val="24"/>
    </w:rPr>
  </w:style>
  <w:style w:type="character" w:customStyle="1" w:styleId="307">
    <w:name w:val="正文文本缩进 2 字符"/>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autoRedefine/>
    <w:qFormat/>
    <w:uiPriority w:val="99"/>
    <w:rPr>
      <w:kern w:val="2"/>
      <w:sz w:val="21"/>
      <w:szCs w:val="24"/>
    </w:rPr>
  </w:style>
  <w:style w:type="character" w:customStyle="1" w:styleId="344">
    <w:name w:val="签名 字符"/>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37"/>
    <w:autoRedefine/>
    <w:qFormat/>
    <w:uiPriority w:val="0"/>
    <w:rPr>
      <w:kern w:val="2"/>
      <w:sz w:val="21"/>
      <w:szCs w:val="24"/>
      <w:lang w:val="zh-CN"/>
    </w:rPr>
  </w:style>
  <w:style w:type="character" w:customStyle="1" w:styleId="932">
    <w:name w:val="无间隔 字符"/>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Unresolved Mention"/>
    <w:basedOn w:val="69"/>
    <w:autoRedefine/>
    <w:semiHidden/>
    <w:unhideWhenUsed/>
    <w:qFormat/>
    <w:uiPriority w:val="99"/>
    <w:rPr>
      <w:color w:val="605E5C"/>
      <w:shd w:val="clear" w:color="auto" w:fill="E1DFDD"/>
    </w:rPr>
  </w:style>
  <w:style w:type="paragraph" w:customStyle="1" w:styleId="965">
    <w:name w:val="正文7"/>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966">
    <w:name w:val="正文8"/>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967">
    <w:name w:val="NormalCharacter"/>
    <w:link w:val="968"/>
    <w:autoRedefine/>
    <w:qFormat/>
    <w:uiPriority w:val="0"/>
    <w:rPr>
      <w:rFonts w:ascii="Calibri"/>
      <w:szCs w:val="22"/>
    </w:rPr>
  </w:style>
  <w:style w:type="paragraph" w:customStyle="1" w:styleId="968">
    <w:name w:val="UserStyle_127"/>
    <w:basedOn w:val="1"/>
    <w:link w:val="967"/>
    <w:autoRedefine/>
    <w:qFormat/>
    <w:uiPriority w:val="0"/>
    <w:pPr>
      <w:spacing w:after="160" w:line="240" w:lineRule="exact"/>
      <w:jc w:val="left"/>
    </w:pPr>
    <w:rPr>
      <w:rFonts w:asci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78</Pages>
  <Words>6099</Words>
  <Characters>34769</Characters>
  <Lines>289</Lines>
  <Paragraphs>81</Paragraphs>
  <TotalTime>32</TotalTime>
  <ScaleCrop>false</ScaleCrop>
  <LinksUpToDate>false</LinksUpToDate>
  <CharactersWithSpaces>40787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fr</cp:lastModifiedBy>
  <cp:lastPrinted>2021-12-28T11:06:00Z</cp:lastPrinted>
  <dcterms:modified xsi:type="dcterms:W3CDTF">2024-05-14T07:03:21Z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37FB4B3E57834412A8841894830E6CAE_13</vt:lpwstr>
  </property>
</Properties>
</file>