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440981-2024-02703</w:t>
      </w:r>
    </w:p>
    <w:p>
      <w:pPr>
        <w:pStyle w:val="null3"/>
        <w:jc w:val="center"/>
        <w:outlineLvl w:val="3"/>
      </w:pPr>
      <w:r>
        <w:rPr>
          <w:sz w:val="24"/>
          <w:b/>
        </w:rPr>
        <w:t>采购项目编号：</w:t>
      </w:r>
      <w:r>
        <w:rPr>
          <w:sz w:val="24"/>
          <w:b/>
        </w:rPr>
        <w:t>DC-MM-2024003</w:t>
      </w:r>
    </w:p>
    <w:p>
      <w:pPr>
        <w:pStyle w:val="null3"/>
        <w:jc w:val="center"/>
        <w:outlineLvl w:val="3"/>
      </w:pPr>
      <w:r>
        <w:rPr>
          <w:sz w:val="24"/>
          <w:b/>
        </w:rPr>
        <w:t>项目名称：</w:t>
      </w:r>
      <w:r>
        <w:rPr>
          <w:sz w:val="24"/>
          <w:b/>
        </w:rPr>
        <w:t>2024年高州市城区公共外环境病媒生物防制项目</w:t>
      </w:r>
    </w:p>
    <w:p>
      <w:pPr>
        <w:pStyle w:val="null3"/>
        <w:jc w:val="center"/>
        <w:outlineLvl w:val="3"/>
      </w:pPr>
      <w:r>
        <w:rPr>
          <w:sz w:val="24"/>
          <w:b/>
        </w:rPr>
        <w:t>采购人：</w:t>
      </w:r>
      <w:r>
        <w:rPr>
          <w:sz w:val="24"/>
          <w:b/>
        </w:rPr>
        <w:t>高州市卫生健康局</w:t>
      </w:r>
    </w:p>
    <w:p>
      <w:pPr>
        <w:pStyle w:val="null3"/>
        <w:jc w:val="center"/>
        <w:outlineLvl w:val="3"/>
      </w:pPr>
      <w:r>
        <w:rPr>
          <w:sz w:val="24"/>
          <w:b/>
        </w:rPr>
        <w:t>采购代理机构：</w:t>
      </w:r>
      <w:r>
        <w:rPr>
          <w:sz w:val="24"/>
          <w:b/>
        </w:rPr>
        <w:t>广东鼎程项目咨询有限公司茂名分公司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广东鼎程项目咨询有限公司茂名分公司</w:t>
      </w:r>
      <w:r>
        <w:rPr/>
        <w:t>受</w:t>
      </w:r>
      <w:r>
        <w:rPr/>
        <w:t>高州市卫生健康局</w:t>
      </w:r>
      <w:r>
        <w:rPr/>
        <w:t>的委托，采用</w:t>
      </w:r>
      <w:r>
        <w:rPr/>
        <w:t>竞争性磋商</w:t>
      </w:r>
      <w:r>
        <w:rPr/>
        <w:t>方式组织采购</w:t>
      </w:r>
      <w:r>
        <w:rPr/>
        <w:t>2024年高州市城区公共外环境病媒生物防制项目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2024年高州市城区公共外环境病媒生物防制项目</w:t>
      </w:r>
    </w:p>
    <w:p>
      <w:pPr>
        <w:pStyle w:val="null3"/>
        <w:ind w:firstLine="480"/>
      </w:pPr>
      <w:r>
        <w:rPr/>
        <w:t>采购计划编号：</w:t>
      </w:r>
      <w:r>
        <w:rPr/>
        <w:t>440981-2024-02703</w:t>
      </w:r>
    </w:p>
    <w:p>
      <w:pPr>
        <w:pStyle w:val="null3"/>
        <w:ind w:firstLine="480"/>
      </w:pPr>
      <w:r>
        <w:rPr/>
        <w:t>采购项目编号：</w:t>
      </w:r>
      <w:r>
        <w:rPr/>
        <w:t>DC-MM-2024003</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采购包1(2024年高州市城区公共外环境病媒生物防制项目):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2024年高州市城区公共外环境病媒生物防制项目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合同履行期限：自合同签订之日起至2024年12月31日。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w:t>
      </w:r>
    </w:p>
    <w:p>
      <w:pPr>
        <w:pStyle w:val="null3"/>
        <w:outlineLvl w:val="3"/>
      </w:pPr>
      <w:r>
        <w:rPr>
          <w:sz w:val="24"/>
          <w:b/>
        </w:rPr>
        <w:t>2.落实政府采购政策需满足的资格要求：</w:t>
      </w:r>
    </w:p>
    <w:p>
      <w:pPr>
        <w:pStyle w:val="null3"/>
        <w:jc w:val="left"/>
      </w:pPr>
      <w:r>
        <w:rPr/>
        <w:t>采购包1（2024年高州市城区公共外环境病媒生物防制项目）：</w:t>
      </w:r>
      <w:r>
        <w:rPr/>
        <w:t>本项目专门面向中小企业，采购标的对应的中小企业划分标准所属行业为其他未列明行业。参与的供应商全部由符合政策要求的中小企业承接：供应商应为符合《政府采购促进中小企业发展管理办法》（财库〔2020〕46号）规定和《中小企业划型标准规定》（工信部联企业[2011]300号）的中型、小型、微型企业。注：中小企业以供应商出具的《中小企业声明函》（见竞争性磋商文件格式）为判定标准；残疾人福利性单位以供应商出具的《残疾人福利性单位声明函》（见竞争性磋商文件格式）为判定标准；监狱企业以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采购包1（2024年高州市城区公共外环境病媒生物防制项目）：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高州市卫生健康局</w:t>
      </w:r>
    </w:p>
    <w:p>
      <w:pPr>
        <w:pStyle w:val="null3"/>
        <w:ind w:firstLine="480"/>
      </w:pPr>
      <w:r>
        <w:rPr/>
        <w:t>地址：</w:t>
      </w:r>
      <w:r>
        <w:rPr/>
        <w:t>高州市府前北路209号</w:t>
      </w:r>
    </w:p>
    <w:p>
      <w:pPr>
        <w:pStyle w:val="null3"/>
        <w:ind w:firstLine="480"/>
      </w:pPr>
      <w:r>
        <w:rPr/>
        <w:t>联系方式：</w:t>
      </w:r>
      <w:r>
        <w:rPr/>
        <w:t>0668-6683969</w:t>
      </w:r>
    </w:p>
    <w:p>
      <w:pPr>
        <w:pStyle w:val="null3"/>
        <w:outlineLvl w:val="3"/>
      </w:pPr>
      <w:r>
        <w:rPr>
          <w:sz w:val="24"/>
          <w:b/>
        </w:rPr>
        <w:t>2.采购代理机构信息</w:t>
      </w:r>
    </w:p>
    <w:p>
      <w:pPr>
        <w:pStyle w:val="null3"/>
        <w:ind w:firstLine="480"/>
      </w:pPr>
      <w:r>
        <w:rPr/>
        <w:t>名称：</w:t>
      </w:r>
      <w:r>
        <w:rPr/>
        <w:t>广东鼎程项目咨询有限公司茂名分公司</w:t>
      </w:r>
    </w:p>
    <w:p>
      <w:pPr>
        <w:pStyle w:val="null3"/>
        <w:ind w:firstLine="480"/>
      </w:pPr>
      <w:r>
        <w:rPr/>
        <w:t xml:space="preserve"> 地址：</w:t>
      </w:r>
      <w:r>
        <w:rPr/>
        <w:t>茂名市油城九路11号大院1、2号首层9、10号房</w:t>
      </w:r>
    </w:p>
    <w:p>
      <w:pPr>
        <w:pStyle w:val="null3"/>
        <w:ind w:firstLine="480"/>
      </w:pPr>
      <w:r>
        <w:rPr/>
        <w:t xml:space="preserve"> 联系方式：</w:t>
      </w:r>
      <w:r>
        <w:rPr/>
        <w:t>0668-2888898</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0668-2888898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广东鼎程项目咨询有限公司茂名分公司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1.项目名称：2024年高州市城区公共外环境病媒生物防制项目</w:t>
      </w:r>
    </w:p>
    <w:p>
      <w:pPr>
        <w:pStyle w:val="null3"/>
        <w:jc w:val="both"/>
      </w:pPr>
      <w:r>
        <w:rPr/>
        <w:t>2.项目编号：DC-MM-2024003</w:t>
      </w:r>
    </w:p>
    <w:p>
      <w:pPr>
        <w:pStyle w:val="null3"/>
        <w:jc w:val="both"/>
      </w:pPr>
      <w:r>
        <w:rPr/>
        <w:t>3.预算金额：3000000.00元，供应商报价不得高于预算金额，否则视为无效报价。</w:t>
      </w:r>
    </w:p>
    <w:p>
      <w:pPr>
        <w:pStyle w:val="null3"/>
        <w:jc w:val="both"/>
      </w:pPr>
      <w:r>
        <w:rPr/>
        <w:t>4.成交供应商应负责磋商文件对成交供应商要求的一切事宜及责任。</w:t>
      </w:r>
    </w:p>
    <w:p>
      <w:pPr>
        <w:pStyle w:val="null3"/>
        <w:jc w:val="both"/>
      </w:pPr>
      <w:r>
        <w:rPr/>
        <w:t>5.成交供应商不得以任何方式转包或分包本项目。</w:t>
      </w:r>
    </w:p>
    <w:p>
      <w:pPr>
        <w:pStyle w:val="null3"/>
      </w:pPr>
      <w:r>
        <w:rPr/>
        <w:t>采购包1（2024年高州市城区公共外环境病媒生物防制项目）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1期：支付比例30%,合同签订后的5个工作日内支付合同金额的30%（预付款）；</w:t>
            </w:r>
          </w:p>
          <w:p>
            <w:pPr>
              <w:pStyle w:val="null3"/>
            </w:pPr>
            <w:r>
              <w:rPr/>
              <w:t>2期：支付比例30%,2024年7月支付合同金额的30%（进度款）；</w:t>
            </w:r>
          </w:p>
          <w:p>
            <w:pPr>
              <w:pStyle w:val="null3"/>
            </w:pPr>
            <w:r>
              <w:rPr/>
              <w:t>3期：支付比例30%,2024年9月支付合同金额的30%（进度款）；</w:t>
            </w:r>
          </w:p>
          <w:p>
            <w:pPr>
              <w:pStyle w:val="null3"/>
            </w:pPr>
            <w:r>
              <w:rPr/>
              <w:t>4期：支付比例10%,合同期满后，通过国家卫生市验收或第三方评估机构验收并出具评估报告后支付合同金额的10%（尾款）。 注：对于满足本项目合同约定支付条件的，采购人应当自收到发票后10日内将资金支付到合同约定的供应商账户，不得以机构变动、人员更替、政策调整等为由延迟付款，不得将采购文件和合同中未规定的义务作为向供应商付款的条件。</w:t>
            </w:r>
          </w:p>
        </w:tc>
      </w:tr>
      <w:tr>
        <w:tc>
          <w:tcPr>
            <w:tcW w:type="dxa" w:w="4153"/>
          </w:tcPr>
          <w:p>
            <w:pPr>
              <w:pStyle w:val="null3"/>
            </w:pPr>
            <w:r>
              <w:rPr/>
              <w:t>验收要求</w:t>
            </w:r>
          </w:p>
        </w:tc>
        <w:tc>
          <w:tcPr>
            <w:tcW w:type="dxa" w:w="4153"/>
          </w:tcPr>
          <w:p>
            <w:pPr>
              <w:pStyle w:val="null3"/>
            </w:pPr>
            <w:r>
              <w:rPr/>
              <w:t>1期：（1）验收时间：成交供应商项目完成后，认为达到服务要求的，应向采购人提出书面验收申请，采购人无异议的，7个日历天内组织验收，验收应在采购人与成交供应商双方共同参加下进行。（2）验收内容：本服务项目的采购需求内容已全部完成。（3）验收按照国家或行业有关规定、规范进行。（若无相关的规定、规范可双方协商验收）。（4）验收时如发现服务内容不符合项目需求规定之情形，采购人应作出详尽的现场记录，并交由成交供应商签字确认，或由采购人与成交供应商双方签署备忘录。此现场记录或备忘录可用作补充、缺失的有效证据。由此产生的有关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本项目以人民币进行报价，投标报价为全包干价，即包括卫生杀虫剂、鼠药、物理防制措施、办公费、人工费、税费、消杀器械耗损、成交服务费等。 2.服务要求 （1）拟投入本项目的人员应具备有害生物防制员证书。 （2）供应商组织专业人员，对高州市区及城区公共环境进行病媒生物防制摸底调查， 制定施工和技术方案。工作流程、作业地点、用药效果等，每月要有明细报表。 （3）供应商服务频次原则上每月2次，如出现病媒生物密度监测结果不达标或迎检需要增加消杀频次的按采购方要求随时配合增加频次，以确保消杀效果。 （4）供应商必须按采购人项目实际情况及工作需要进行作业（如有违约情况采购人有权拒绝付款）。 （5）服务期满后，鼠、蚊、蝇、蟑螂的密度达到国家病媒生物密度控制水平标准 C 级要求，通过国家卫生市验收或第三方评估机构验收并出具评估报告。 3.售后服务 （1）成交供应商承诺中标后，严格按施工方案执行，服务质量按照中华人民共和国国家标准《病媒生物密度控制水平一鼠类》GB/T27770-2011、《病媒生物密度控制水平一蚊类》GB/T27771-2011、中华人民共和国国家标准《病媒生物密度控制水平一蝇类》GB/T27772-2011、中华人民共和国国家标准《病媒生物密度控制水平一蜚蠊》GB/T27773-2011中确定的四害消杀标准执行。鼠类、蚊虫、蝇类、蟑螂密度控制水平达到C级以上。 （2）安全生产管理承诺 1）承诺严格按照施工方案的安全制度执行。保证在工作中做好个人防护，不发生任何重大安全事故和泄密事件。如在提供服务工作的期间出现因成交供应商管理失误、员工操作不当所造成的任何损失，成交供应商将予以承担。 2）成交供应商派驻本项目服务的工作人员均经培训合格，并按要求持证上岗。 3）成交供应商在本项目服务期间自觉接受相关部门和上级业务部门的监督和管理，对主管部门提出的意见和建议30分钟内做出响应，1小时内到达现场。 4）成交供应商承诺在为项目提供病媒生物防制（除“四害”）消杀服务期间坚持“以人为本，健康环保”的原则，采取高效低毒对人体无公害的方法进行消杀服务，保证所有服务用药持有“三证”并符合政府部门规定要求，否则愿意接受主管部门的相关处罚。 （3）满意度服务承诺 成交供应商承诺服务期间每次测评考核结果均达到双方约定要求，如考核不及格将对项目服务质量进行整改，直至整改合格通过考核为止。 （4）保障、应急服务承诺 1）成交供应商做好每次国家、省、市、区检查团线路图必检单位的内、外环境病媒生物防制（除“四害”）工作。迎检前加强消杀力度，确保四害密度指标达到国家规定的标准，使迎检工作的顺利进行。 2）成交供应商承诺在发生突发公共卫生事件情况下，根据上级的指令开展突发公共卫生的应急控制、技术指导和保障工作。成立有3人应急队，能迅速加派人手进行疫点应急消杀，降低四害密度指标。 3）成交供应商应指导范围内重点单位配置相关设备设施，为确保相关单位实施病媒生物防制（除“四害”）工作质量。 4）成交供应商承诺协助指导各单位的病媒生物防制（除“四害”）消杀工作。 5）成交供应商应提供培训服务，为保障项目的病媒生物防制（除“四害”）质量，派出技术人员为项目相关负责部门及人员提供有害生物科普知识讲座，致力提高市民防虫害意识。 6）成交供应商应应用国内推行的绿色有害生物管理，为了减少杀虫剂对环境的污染，在项目范围内推行绿色有害生物管理，使用环保清洁的绿篱技术防治成蚊，制作投放诱卵器 消灭幼虫，施放环保缓释剂处理大中小型积水蚊虫孳生地，营造绿色友好环境。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2024年高州市城区公共外环境病媒生物防制项目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2024年高州市城区公共外环境病媒生物防制项目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（一）药物技术</w:t>
            </w:r>
            <w:r>
              <w:br/>
            </w:r>
            <w:r>
              <w:rPr/>
              <w:t xml:space="preserve"> 1.要根据本地抗药性监测结果选择施药器械、药物、剂型、剂量等。</w:t>
            </w:r>
            <w:r>
              <w:br/>
            </w:r>
            <w:r>
              <w:rPr/>
              <w:t xml:space="preserve"> 2.所用药物须提供药物三证</w:t>
            </w:r>
            <w:r>
              <w:br/>
            </w:r>
            <w:r>
              <w:rPr/>
              <w:t xml:space="preserve"> （1）农业部颁发的农药登记证或农药临时登记证。</w:t>
            </w:r>
            <w:r>
              <w:br/>
            </w:r>
            <w:r>
              <w:rPr/>
              <w:t xml:space="preserve"> （2）工业和信息化部颁发的农药生产批准证书或省级农业部门颁发的制造企业农药生产许可证。</w:t>
            </w:r>
            <w:r>
              <w:br/>
            </w:r>
            <w:r>
              <w:rPr/>
              <w:t xml:space="preserve"> （3）质量技术监督部门或企业标准信息公共服务平台备案的产品企业标准封面。</w:t>
            </w:r>
            <w:r>
              <w:br/>
            </w:r>
            <w:r>
              <w:rPr/>
              <w:t xml:space="preserve"> 3.剂型应选择合理满足国家相关要求，科学合理、交替规范使用药物，防止产生耐药性。</w:t>
            </w:r>
            <w:r>
              <w:br/>
            </w:r>
            <w:r>
              <w:rPr/>
              <w:t xml:space="preserve"> 4.无过度用药现象。</w:t>
            </w:r>
            <w:r>
              <w:br/>
            </w:r>
            <w:r>
              <w:rPr/>
              <w:t xml:space="preserve"> 5.不得使用假药、国家禁用药物。</w:t>
            </w:r>
          </w:p>
          <w:p>
            <w:pPr>
              <w:pStyle w:val="null3"/>
            </w:pPr>
            <w:r>
              <w:rPr/>
              <w:t>（二）技术人员及相关要求</w:t>
            </w:r>
            <w:r>
              <w:br/>
            </w:r>
            <w:r>
              <w:rPr/>
              <w:t xml:space="preserve"> 1.成立本项目要成立除“四害”服务项目工程领导小组：有技术顾问、项目经理、技术总监、文档管理和后勤保障。至少要成立四组施工组，并配备工程组长，人员分工安排清晰，有方案，有措施，统一施工统一评价。</w:t>
            </w:r>
            <w:r>
              <w:br/>
            </w:r>
            <w:r>
              <w:rPr/>
              <w:t xml:space="preserve"> 2.制定有病媒生物防制操作规程及相应药械操作规定，不同环境防制方法选择合理，先开展侵害调查和孳生地调查治理，制定防制方案，实施防制措施，并定期开展效果评价。</w:t>
            </w:r>
            <w:r>
              <w:br/>
            </w:r>
            <w:r>
              <w:rPr/>
              <w:t xml:space="preserve"> 3.工程专业设备：工程组至少需要配备热烟雾机3台，机动（电动）超低容量喷雾机3台，车载超低容量喷雾机1台，机动（电动）常量喷雾机3台，手动喷雾机3台，沙井罩3个、铁钩3个、药勺3个、量杯3个、汽油桶3个、水桶（30升）3个、手套10双、防毒口罩10个、警示牌3个；车辆3台；饮用水3桶；队长配手机2部。</w:t>
            </w:r>
            <w:r>
              <w:br/>
            </w:r>
            <w:r>
              <w:rPr/>
              <w:t xml:space="preserve"> 4.施工安全措施</w:t>
            </w:r>
            <w:r>
              <w:br/>
            </w:r>
            <w:r>
              <w:rPr/>
              <w:t xml:space="preserve"> （1）建立健全药物管理制度，实行专人保管、专仓贮存、出入库登记的药物安全保管措施。</w:t>
            </w:r>
            <w:r>
              <w:br/>
            </w:r>
            <w:r>
              <w:rPr/>
              <w:t xml:space="preserve"> （2）施工人员严格安全生产规定，施工操作时，必须穿着专用工作服、安全帽、防毒口罩、防护手套和劳保鞋。严禁施工现场和操作期间抽烟与进食。对沾到皮肤上的药液要及时清洗。施工完毕后应及时清洗工具和双手、头脸等外露部位。对药剂过敏的人员，不能进行施药操作。</w:t>
            </w:r>
            <w:r>
              <w:br/>
            </w:r>
            <w:r>
              <w:rPr/>
              <w:t xml:space="preserve"> （3）要加强对环境的保护，严禁向周围植物随意喷药。严禁将清洗工具的污水随意倾倒。严禁把用空的废弃物随意乱抛。</w:t>
            </w:r>
            <w:r>
              <w:br/>
            </w:r>
            <w:r>
              <w:rPr/>
              <w:t xml:space="preserve"> （4）烟雾机在使用时应要机器启动和操作时，喷口应远离易燃易爆物品。药液喷射管是热元件，严禁与人体接触，更要阻止小孩靠近，以防烫伤。</w:t>
            </w:r>
            <w:r>
              <w:br/>
            </w:r>
            <w:r>
              <w:rPr/>
              <w:t xml:space="preserve"> （5）作业人员应站在上风向工作，遵循顺风、退步、换班喷洒的原则，3级以上风力时应暂停作业。</w:t>
            </w:r>
            <w:r>
              <w:br/>
            </w:r>
            <w:r>
              <w:rPr/>
              <w:t xml:space="preserve"> （6）药物配制应用定量容器，准确称量，按规定浓度配制。配药场所应保持空气流通，空气中药物浓度不得超过国家规定的最高容许浓度。在室外配药时，人应站在上风向。药液应随用随配，根据用量进行配制，不得随意倾倒。</w:t>
            </w:r>
            <w:r>
              <w:br/>
            </w:r>
            <w:r>
              <w:rPr/>
              <w:t xml:space="preserve"> （7）工作期间人员如果出现药物中毒，尽快让中毒者离开现场，对中毒者采取急救措施后带上农药包装物或标签尽快就近送医院治疗。</w:t>
            </w:r>
            <w:r>
              <w:br/>
            </w:r>
            <w:r>
              <w:rPr/>
              <w:t xml:space="preserve"> 5.开展技术指导。在开展城区公共环境消杀的过程中，还需要配合市爱卫办加强和开展除“四害”的宣传发动工作，坚持广泛发动群众，提高市民的卫生意识，积极开展除“四害”消杀工作。在防治技术上、在行动组织上坚持科学方法，实行“以块为主，条块结合，块块负责，条条保证，综合治理”的方针，采取以控制、消除“四害”孳生地为主，化学防治并辅的综合防治措施。在统一行动工作的开展过程中，需要提供技术指导工作。</w:t>
            </w:r>
          </w:p>
          <w:p>
            <w:pPr>
              <w:pStyle w:val="null3"/>
            </w:pPr>
            <w:r>
              <w:rPr/>
              <w:t>（三）工作范围</w:t>
            </w:r>
            <w:r>
              <w:br/>
            </w:r>
            <w:r>
              <w:rPr/>
              <w:t xml:space="preserve"> 1.社区范围</w:t>
            </w:r>
            <w:r>
              <w:br/>
            </w:r>
            <w:r>
              <w:rPr/>
              <w:t xml:space="preserve"> 城南社区、南关社区、升平社区、东门社区、光明社区、西关社区、永进社区、北关社区、文明社区、南湖塘社区、南桥社区、南新社区、谢村社区、宝光社区、观山社区、平江社区、南宫社区、南珠社区、金山社区、城东社区。</w:t>
            </w:r>
            <w:r>
              <w:br/>
            </w:r>
            <w:r>
              <w:rPr/>
              <w:t xml:space="preserve"> 2.城乡结合部范围</w:t>
            </w:r>
            <w:r>
              <w:br/>
            </w:r>
            <w:r>
              <w:rPr/>
              <w:t xml:space="preserve"> 红花村委会、西岸村委会、北江村委会、荔枝圩村委会、茂岭村委会、山美村委会。</w:t>
            </w:r>
            <w:r>
              <w:br/>
            </w:r>
            <w:r>
              <w:rPr/>
              <w:t xml:space="preserve"> 3.创卫建成区范围由高州市创卫办根据实际情况划定和调整。</w:t>
            </w:r>
            <w:r>
              <w:br/>
            </w:r>
            <w:r>
              <w:rPr/>
              <w:t xml:space="preserve"> 4.根据工作需要增加部分区域。</w:t>
            </w:r>
          </w:p>
          <w:p>
            <w:pPr>
              <w:pStyle w:val="null3"/>
            </w:pPr>
            <w:r>
              <w:rPr/>
              <w:t>（四）工作内容</w:t>
            </w:r>
            <w:r>
              <w:br/>
            </w:r>
            <w:r>
              <w:rPr/>
              <w:t xml:space="preserve"> 1.市政道路、市政公共场所、公园广场、绿化带、闲置待建地外环境、无物业住宅小区等属高州市城区创卫建成区范围内的公共外环境同时进行全覆盖药物投放和消杀工作，按属地管理原则接受社区监督，有完整施工记录。</w:t>
            </w:r>
            <w:r>
              <w:br/>
            </w:r>
            <w:r>
              <w:rPr/>
              <w:t xml:space="preserve"> 2.配合做好建成区内病媒生物危害应急处置工作，服务期内一旦出现本地病例需要积极做好相应的消杀工作。</w:t>
            </w:r>
            <w:r>
              <w:br/>
            </w:r>
            <w:r>
              <w:rPr/>
              <w:t xml:space="preserve"> 3.配合做好居民虫情报告处置，并有处置记录。</w:t>
            </w:r>
            <w:r>
              <w:br/>
            </w:r>
            <w:r>
              <w:rPr/>
              <w:t xml:space="preserve"> 4.全程配合全市集中开展病媒生物统一防制活动。</w:t>
            </w:r>
            <w:r>
              <w:br/>
            </w:r>
            <w:r>
              <w:rPr/>
              <w:t xml:space="preserve"> 5.按照病媒生物种类消长或迎接考核检查需要增加消杀频次。</w:t>
            </w:r>
            <w:r>
              <w:br/>
            </w:r>
            <w:r>
              <w:rPr/>
              <w:t xml:space="preserve"> 6.继续加强对现有灭鼠毒饵站的管理和维护，灭鼠毒饵站内始终保持有新鲜毒饵，无外溢。</w:t>
            </w:r>
            <w:r>
              <w:br/>
            </w:r>
            <w:r>
              <w:rPr/>
              <w:t xml:space="preserve"> 7.开展重点行业及重点场所病媒生物侵害调查，有调查记录。</w:t>
            </w:r>
            <w:r>
              <w:br/>
            </w:r>
            <w:r>
              <w:rPr/>
              <w:t xml:space="preserve"> 8.开展各类病媒生物孳生地或孳生场所调查，有调查处置记录台账。</w:t>
            </w:r>
            <w:r>
              <w:br/>
            </w:r>
            <w:r>
              <w:rPr/>
              <w:t xml:space="preserve"> 9.开展病媒生物控制效果（自查）评价，有评价资料。</w:t>
            </w:r>
            <w:r>
              <w:br/>
            </w:r>
            <w:r>
              <w:rPr/>
              <w:t xml:space="preserve"> 10.完善病媒生物防制工作相关资料的整理和归档，补充完整创国卫病媒生物防制迎检材料。</w:t>
            </w:r>
            <w:r>
              <w:br/>
            </w:r>
            <w:r>
              <w:rPr/>
              <w:t xml:space="preserve"> 11.配合采购方做好其他病媒生物防制工作事宜。</w:t>
            </w:r>
          </w:p>
          <w:p>
            <w:pPr>
              <w:pStyle w:val="null3"/>
            </w:pPr>
            <w:r>
              <w:rPr/>
              <w:t>（五）工作标准</w:t>
            </w:r>
            <w:r>
              <w:br/>
            </w:r>
            <w:r>
              <w:rPr/>
              <w:t xml:space="preserve"> 1.鼠类：中华人民共和国国家标准《病媒生物密度控制水平一鼠类》GB/T27770-2011。</w:t>
            </w:r>
            <w:r>
              <w:br/>
            </w:r>
            <w:r>
              <w:rPr/>
              <w:t xml:space="preserve"> 2.蚊类：中华人民共和国国家标准《病媒生物密度控制水平一蚊类》GB/T27771-2011。</w:t>
            </w:r>
            <w:r>
              <w:br/>
            </w:r>
            <w:r>
              <w:rPr/>
              <w:t xml:space="preserve"> 3.蝇类：中华人民共和国国家标准《病媒生物密度控制水平一蝇类》GB/T27772-2011。</w:t>
            </w:r>
            <w:r>
              <w:br/>
            </w:r>
            <w:r>
              <w:rPr/>
              <w:t xml:space="preserve"> 4.蟑螂：中华人民共和国国家标准《病媒生物密度控制水平一蜚蠊》GB/T27773-2011。 </w:t>
            </w:r>
            <w:r>
              <w:br/>
            </w:r>
            <w:r>
              <w:rPr/>
              <w:t xml:space="preserve"> 以上四项均达到 C 级标准或以上。</w:t>
            </w:r>
          </w:p>
          <w:p>
            <w:pPr>
              <w:pStyle w:val="null3"/>
            </w:pPr>
            <w:r>
              <w:rPr/>
              <w:t>（六）工作措施</w:t>
            </w:r>
            <w:r>
              <w:br/>
            </w:r>
            <w:r>
              <w:rPr/>
              <w:t xml:space="preserve"> 1.老鼠防制</w:t>
            </w:r>
            <w:r>
              <w:br/>
            </w:r>
            <w:r>
              <w:rPr/>
              <w:t xml:space="preserve"> （1）对创卫建成区范围的毒鼠屋全面检查，清理毒饵残渣，潮湿的鼠屋清理晾干后再投放药剂。</w:t>
            </w:r>
            <w:r>
              <w:br/>
            </w:r>
            <w:r>
              <w:rPr/>
              <w:t xml:space="preserve"> （2）在创卫建成区范围全面寻找老鼠隐蔽活动的场所，有针对性地进行投放灭鼠药饵。</w:t>
            </w:r>
            <w:r>
              <w:br/>
            </w:r>
            <w:r>
              <w:rPr/>
              <w:t xml:space="preserve"> （3）对创卫建成区范围内密度高的场所进行重点投药，并根据鼠药的投放原则，每堆20-25克。</w:t>
            </w:r>
            <w:r>
              <w:br/>
            </w:r>
            <w:r>
              <w:rPr/>
              <w:t xml:space="preserve"> （4）投放鼠药后每天检查一次，连续3-5天，发现老鼠盗食及时补投，吃多少补多少，吃光加倍补投，保持长期有灭鼠毒饵存在。</w:t>
            </w:r>
            <w:r>
              <w:br/>
            </w:r>
            <w:r>
              <w:rPr/>
              <w:t xml:space="preserve"> （5）对创卫建成区范围内公共外环境全方位实行清理死鼠、无害化处理鼠尸、堵鼠洞、清鼠粪，并记录现场情况。</w:t>
            </w:r>
            <w:r>
              <w:br/>
            </w:r>
            <w:r>
              <w:rPr/>
              <w:t xml:space="preserve"> 2.蚊虫防制</w:t>
            </w:r>
            <w:r>
              <w:br/>
            </w:r>
            <w:r>
              <w:rPr/>
              <w:t xml:space="preserve"> （1）对创卫建成区范围内公共外环境全面清理各种容器积水，翻盆倒罐倾倒容器积水，包括废旧轮胎、缸、罐、塑料容器、罐盒、玻璃瓶、泡沫饭盒等积水物清洁干净。</w:t>
            </w:r>
            <w:r>
              <w:br/>
            </w:r>
            <w:r>
              <w:rPr/>
              <w:t xml:space="preserve"> （2）对污水沟、下水道、沉沙井、无法清除的积水投放倍硫磷、苏云金杆菌等有机磷药物处理。</w:t>
            </w:r>
            <w:r>
              <w:br/>
            </w:r>
            <w:r>
              <w:rPr/>
              <w:t xml:space="preserve"> （3）对创卫建成区范围内公共外环境的绿化带、花基等进行药物滞留喷杀，杀灭栖息停留的成幼蚊。</w:t>
            </w:r>
            <w:r>
              <w:br/>
            </w:r>
            <w:r>
              <w:rPr/>
              <w:t xml:space="preserve"> （4）对创卫建成区范围内的公共休闲，活动集中的场所等进行卫生药物喷洒，尽快降低蚊、蝇、蟑等病媒生物的危害。</w:t>
            </w:r>
            <w:r>
              <w:br/>
            </w:r>
            <w:r>
              <w:rPr/>
              <w:t xml:space="preserve"> （5）用烟雾机对创卫建成区范围内公共外环境下水道、沉沙井、污水沟、电缆沟、地线沟等进行热烟雾熏杀，杀灭蚊虫、蟑螂。</w:t>
            </w:r>
            <w:r>
              <w:br/>
            </w:r>
            <w:r>
              <w:rPr/>
              <w:t xml:space="preserve"> 3.苍蝇防制</w:t>
            </w:r>
            <w:r>
              <w:br/>
            </w:r>
            <w:r>
              <w:rPr/>
              <w:t xml:space="preserve"> （1）对创卫建成区范围内公共外环境的垃圾收集点（桶）、垃圾屋、卫生死角、污物堆（池）、绿化带等地进行滞留喷杀处理蝇的孳生。</w:t>
            </w:r>
            <w:r>
              <w:br/>
            </w:r>
            <w:r>
              <w:rPr/>
              <w:t xml:space="preserve"> （2）对创卫建成区范围内公共外环境的绿化带、花基进行大面积喷洒灭成蝇。</w:t>
            </w:r>
            <w:r>
              <w:br/>
            </w:r>
            <w:r>
              <w:rPr/>
              <w:t xml:space="preserve"> （3）对创卫建成区范围内公共外环境的垃圾（桶）、垃圾屋、垃圾中转站、进行药物滞留喷杀。</w:t>
            </w:r>
            <w:r>
              <w:br/>
            </w:r>
            <w:r>
              <w:rPr/>
              <w:t xml:space="preserve"> 4.蟑螂防制</w:t>
            </w:r>
            <w:r>
              <w:br/>
            </w:r>
            <w:r>
              <w:rPr/>
              <w:t xml:space="preserve"> （1）对创卫建成区范围内公共外环境范围内的沟渠、下水道、沙井口用热雾剂杀灭蟑螂（专用设备）。</w:t>
            </w:r>
            <w:r>
              <w:br/>
            </w:r>
            <w:r>
              <w:rPr/>
              <w:t xml:space="preserve"> （2）对创卫建成区范围内公共外环境范围内的垃圾收集点（桶）、公厕、化粪池、沙井等孳生地进行药物喷杀处理，防止蟑螂孳生。</w:t>
            </w:r>
            <w:r>
              <w:br/>
            </w:r>
            <w:r>
              <w:rPr/>
              <w:t xml:space="preserve"> （3）清除市场、商店外存在的蟑迹（包括活蟑、蟑尸、蟑粪、卵鞘、残存肢、体、翅、蜕皮），防止蟑螂聚居繁殖。</w:t>
            </w:r>
          </w:p>
          <w:p>
            <w:pPr>
              <w:pStyle w:val="null3"/>
            </w:pPr>
            <w:r>
              <w:rPr/>
              <w:t xml:space="preserve">（七）记录资料 </w:t>
            </w:r>
            <w:r>
              <w:br/>
            </w:r>
            <w:r>
              <w:rPr/>
              <w:t xml:space="preserve"> 全部作业过程，均采取“表格记录”与“电脑存档”相结合的方式来完成，制定统一的调查、投药、检查登记文书表格，施工组每天的工作记录详细明确，并将记录表格全面输入电脑存档，以作为下一步消杀行动和施工效果考核的重要依据。</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1.采购代理机构：本项目是指广东鼎程项目咨询有限公司茂名分公司，负责整个采购活动的组织，依法负责编制和发布磋商文件，对磋商文件拥有最终的解释权，不以任何身份出任磋商小组成员。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高州市卫生健康局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采购机构代理服务收费标准：27900.00元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广东鼎程项目咨询有限公司茂名分公司</w:t>
      </w:r>
      <w:r>
        <w:rPr/>
        <w:t>代收。具体操作要求详见</w:t>
      </w:r>
      <w:r>
        <w:rPr/>
        <w:t>广东鼎程项目咨询有限公司茂名分公司</w:t>
      </w:r>
      <w:r>
        <w:rPr/>
        <w:t>有关指引，递交事宜请自行咨询</w:t>
      </w:r>
      <w:r>
        <w:rPr/>
        <w:t>广东鼎程项目咨询有限公司茂名分公司</w:t>
      </w:r>
      <w:r>
        <w:rPr/>
        <w:t>；请各供应商在响应文件递交截止时间前按须知前附表规定的金额递交至</w:t>
      </w:r>
      <w:r>
        <w:rPr/>
        <w:t>广东鼎程项目咨询有限公司茂名分公司</w:t>
      </w:r>
      <w:r>
        <w:rPr/>
        <w:t>，到账情况以开启时</w:t>
      </w:r>
      <w:r>
        <w:rPr/>
        <w:t>广东鼎程项目咨询有限公司茂名分公司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0668-2888898</w:t>
      </w:r>
    </w:p>
    <w:p>
      <w:pPr>
        <w:pStyle w:val="null3"/>
        <w:ind w:firstLine="480"/>
      </w:pPr>
      <w:r>
        <w:rPr/>
        <w:t>传真：</w:t>
      </w:r>
      <w:r>
        <w:rPr/>
        <w:t>/</w:t>
      </w:r>
    </w:p>
    <w:p>
      <w:pPr>
        <w:pStyle w:val="null3"/>
        <w:ind w:firstLine="480"/>
      </w:pPr>
      <w:r>
        <w:rPr/>
        <w:t>邮箱：</w:t>
      </w:r>
      <w:r>
        <w:rPr/>
        <w:t>mmdingcheng@126.com</w:t>
      </w:r>
    </w:p>
    <w:p>
      <w:pPr>
        <w:pStyle w:val="null3"/>
        <w:ind w:firstLine="480"/>
      </w:pPr>
      <w:r>
        <w:rPr/>
        <w:t>地址：</w:t>
      </w:r>
      <w:r>
        <w:rPr/>
        <w:t>茂名市油城九路11号大院1、2号首层9、10号房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高州市城区公共外环境病媒生物防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广东鼎程项目咨询有限公司茂名分公司</w:t>
      </w:r>
      <w:r>
        <w:rPr/>
        <w:t>统一对外发布。</w:t>
      </w:r>
    </w:p>
    <w:p>
      <w:pPr>
        <w:pStyle w:val="null3"/>
        <w:ind w:firstLine="480"/>
      </w:pPr>
      <w:r>
        <w:rPr/>
        <w:t>（2）对</w:t>
      </w:r>
      <w:r>
        <w:rPr/>
        <w:t>广东鼎程项目咨询有限公司茂名分公司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采购包1（2024年高州市城区公共外环境病媒生物防制项目）：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采购包1（2024年高州市城区公共外环境病媒生物防制项目）：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企业，采购标的对应的中小企业划分标准所属行业为其他未列明行业。参与的供应商全部由符合政策要求的中小企业承接：供应商应为符合《政府采购促进中小企业发展管理办法》（财库〔2020〕46号）规定和《中小企业划型标准规定》（工信部联企业[2011]300号）的中型、小型、微型企业。注：中小企业以供应商出具的《中小企业声明函》（见竞争性磋商文件格式）为判定标准；残疾人福利性单位以供应商出具的《残疾人福利性单位声明函》（见竞争性磋商文件格式）为判定标准；监狱企业以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采购包1（2024年高州市城区公共外环境病媒生物防制项目）：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响应文件签署、盖章</w:t>
            </w:r>
          </w:p>
        </w:tc>
        <w:tc>
          <w:tcPr>
            <w:tcW w:type="dxa" w:w="4238"/>
          </w:tcPr>
          <w:p>
            <w:pPr>
              <w:pStyle w:val="null3"/>
            </w:pPr>
            <w:r>
              <w:rPr/>
              <w:t>响应文件已按照磋商文件要求签署、盖章。</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响应承诺函中的响应有效期符合响应要求。</w:t>
            </w:r>
          </w:p>
        </w:tc>
      </w:tr>
      <w:tr>
        <w:tc>
          <w:tcPr>
            <w:tcW w:type="dxa" w:w="890"/>
          </w:tcPr>
          <w:p>
            <w:pPr>
              <w:pStyle w:val="null3"/>
            </w:pPr>
            <w:r>
              <w:rPr/>
              <w:t>3</w:t>
            </w:r>
          </w:p>
        </w:tc>
        <w:tc>
          <w:tcPr>
            <w:tcW w:type="dxa" w:w="3178"/>
          </w:tcPr>
          <w:p>
            <w:pPr>
              <w:pStyle w:val="null3"/>
            </w:pPr>
            <w:r>
              <w:rPr/>
              <w:t>授权文件</w:t>
            </w:r>
          </w:p>
        </w:tc>
        <w:tc>
          <w:tcPr>
            <w:tcW w:type="dxa" w:w="4238"/>
          </w:tcPr>
          <w:p>
            <w:pPr>
              <w:pStyle w:val="null3"/>
            </w:pPr>
            <w:r>
              <w:rPr/>
              <w:t>已提交有效的法定代表人证明书和法定代表人授权书（供应商代表为法定代表人时则不需要法定代表人授权书）。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投标报价未超过磋商文件中规定的预算金额。</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采购包1(2024年高州市城区公共外环境病媒生物防制项目):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投入人员 (10.0分)</w:t>
            </w:r>
          </w:p>
        </w:tc>
        <w:tc>
          <w:tcPr>
            <w:tcW w:type="dxa" w:w="5076"/>
          </w:tcPr>
          <w:p>
            <w:pPr>
              <w:pStyle w:val="null3"/>
              <w:jc w:val="left"/>
            </w:pPr>
            <w:r>
              <w:rPr/>
              <w:t>拟投入人员具备有害生物防制员证书的，每提供一个高级证书得2分，每提供一个中级证书得1分，每提供一个初级证书得0.5分，本项最高得10分。 注：响应文件应提供人员证书和供应商为其购买的近一个月（2024年4月）社保证明复印件并加盖公章，未按要求提供不得分。</w:t>
            </w:r>
          </w:p>
        </w:tc>
      </w:tr>
      <w:tr>
        <w:tc>
          <w:tcPr>
            <w:tcW w:type="dxa" w:w="922"/>
            <w:gridSpan w:val="2"/>
            <w:vMerge/>
          </w:tcPr>
          <w:p/>
        </w:tc>
        <w:tc>
          <w:tcPr>
            <w:tcW w:type="dxa" w:w="2307"/>
          </w:tcPr>
          <w:p>
            <w:pPr>
              <w:pStyle w:val="null3"/>
              <w:jc w:val="left"/>
            </w:pPr>
            <w:r>
              <w:rPr/>
              <w:t>投入设备 (12.0分)</w:t>
            </w:r>
          </w:p>
        </w:tc>
        <w:tc>
          <w:tcPr>
            <w:tcW w:type="dxa" w:w="5076"/>
          </w:tcPr>
          <w:p>
            <w:pPr>
              <w:pStyle w:val="null3"/>
              <w:jc w:val="left"/>
            </w:pPr>
            <w:r>
              <w:rPr/>
              <w:t>1.拟投入车载超低容量喷雾机1台或以上的，得3分。 2.拟同时投入热烟雾机3台、机动（电动）超低容量喷雾机3台和机动（电动）常量喷雾机3台的，得3分；满足前述设备的基础上，每增加任一设备加0.5分，最高得1分；本项最高得4分。 3.拟投入工程服务车的，每提供一台得1分，最高得5分。 注： 1.第1、2点评审材料应提供每台设备的实物彩色照片和供应商购买的有效发票，上述材料均需提供复印件并加盖公章，未按要求提供不得分。 第3点评审材料应提供车辆行驶证复印并加盖公章，且车辆须在有效检验期内，车辆所有人应为供应商名下，未按要求提供不得分。</w:t>
            </w:r>
          </w:p>
        </w:tc>
      </w:tr>
      <w:tr>
        <w:tc>
          <w:tcPr>
            <w:tcW w:type="dxa" w:w="922"/>
            <w:gridSpan w:val="2"/>
            <w:vMerge/>
          </w:tcPr>
          <w:p/>
        </w:tc>
        <w:tc>
          <w:tcPr>
            <w:tcW w:type="dxa" w:w="2307"/>
          </w:tcPr>
          <w:p>
            <w:pPr>
              <w:pStyle w:val="null3"/>
              <w:jc w:val="left"/>
            </w:pPr>
            <w:r>
              <w:rPr/>
              <w:t>认证体系 (3.0分)</w:t>
            </w:r>
          </w:p>
        </w:tc>
        <w:tc>
          <w:tcPr>
            <w:tcW w:type="dxa" w:w="5076"/>
          </w:tcPr>
          <w:p>
            <w:pPr>
              <w:pStyle w:val="null3"/>
              <w:jc w:val="left"/>
            </w:pPr>
            <w:r>
              <w:rPr/>
              <w:t>供应商获得质量管理体系认证证书、环境管理体系认证证书、职业健康安全管理体系认证证书，每提供一个得1分，最高得3分。 注：响应文件中应提供证书复印件以及“全国认证认可信息公共服务平台网站（http://www.cnca.gov.cn/）”有效的认证信息查询截图并加盖公章，未按要求提供不得分。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4.0;</w:t>
            </w:r>
            <w:r>
              <w:rPr/>
              <w:t>7.0;</w:t>
            </w:r>
            <w:r>
              <w:rPr/>
              <w:t>10.0;</w:t>
            </w:r>
            <w:r>
              <w:rPr/>
              <w:t>）</w:t>
            </w:r>
          </w:p>
        </w:tc>
        <w:tc>
          <w:tcPr>
            <w:tcW w:type="dxa" w:w="5076"/>
          </w:tcPr>
          <w:p>
            <w:pPr>
              <w:pStyle w:val="null3"/>
              <w:jc w:val="left"/>
            </w:pPr>
            <w:r>
              <w:rPr/>
              <w:t>根据供应商对防制对象、种类、密度、监测方法科学合理，操作性强提供的防制对象及防制方法进行评分： 1.项目实施优10分； 2.项目实施良7分； 3.项目实施差4分； 4.不提供不得分。</w:t>
            </w:r>
          </w:p>
        </w:tc>
      </w:tr>
      <w:tr>
        <w:tc>
          <w:tcPr>
            <w:tcW w:type="dxa" w:w="922"/>
            <w:gridSpan w:val="2"/>
            <w:vMerge/>
          </w:tcPr>
          <w:p/>
        </w:tc>
        <w:tc>
          <w:tcPr>
            <w:tcW w:type="dxa" w:w="2307"/>
          </w:tcPr>
          <w:p>
            <w:pPr>
              <w:pStyle w:val="null3"/>
              <w:jc w:val="left"/>
            </w:pPr>
            <w:r>
              <w:rPr/>
              <w:t>项目理解及熟悉程度 (15.0分)</w:t>
            </w:r>
            <w:r>
              <w:rPr/>
              <w:t>，（等次分值选择：</w:t>
            </w:r>
            <w:r>
              <w:rPr/>
              <w:t>0.0;</w:t>
            </w:r>
            <w:r>
              <w:rPr/>
              <w:t>5.0;</w:t>
            </w:r>
            <w:r>
              <w:rPr/>
              <w:t>10.0;</w:t>
            </w:r>
            <w:r>
              <w:rPr/>
              <w:t>15.0;</w:t>
            </w:r>
            <w:r>
              <w:rPr/>
              <w:t>）</w:t>
            </w:r>
          </w:p>
        </w:tc>
        <w:tc>
          <w:tcPr>
            <w:tcW w:type="dxa" w:w="5076"/>
          </w:tcPr>
          <w:p>
            <w:pPr>
              <w:pStyle w:val="null3"/>
              <w:jc w:val="left"/>
            </w:pPr>
            <w:r>
              <w:rPr/>
              <w:t>根据供应商对本项目服务内容以及防制区域的熟悉程度（包括对防制区域的人文、地理环境），并对项目工作重难点的分析进行评审: 1.供应商对防制区域非常熟悉，能全面、清晰、准确地分析本项目重点及难点， 提出的合理化建议的科学性、合理性、可行性程度高，得15分； 2.供应商对防制区域较熟悉，能较全面、清晰、准确地分析本项目重点及难点， 提出的合理化建议的科学性、合理性、可行性程度较高，得10分； 3.供应商对防制区域不熟悉，不能够分析本项目重点及难点的，提出的合理化建议不具备可行性、合理性、可行性的，得5分； 4.不提供不得分。</w:t>
            </w:r>
          </w:p>
        </w:tc>
      </w:tr>
      <w:tr>
        <w:tc>
          <w:tcPr>
            <w:tcW w:type="dxa" w:w="922"/>
            <w:gridSpan w:val="2"/>
            <w:vMerge/>
          </w:tcPr>
          <w:p/>
        </w:tc>
        <w:tc>
          <w:tcPr>
            <w:tcW w:type="dxa" w:w="2307"/>
          </w:tcPr>
          <w:p>
            <w:pPr>
              <w:pStyle w:val="null3"/>
              <w:jc w:val="left"/>
            </w:pPr>
            <w:r>
              <w:rPr/>
              <w:t>拟投入药物实施方案 (10.0分)</w:t>
            </w:r>
            <w:r>
              <w:rPr/>
              <w:t>，（等次分值选择：</w:t>
            </w:r>
            <w:r>
              <w:rPr/>
              <w:t>0.0;</w:t>
            </w:r>
            <w:r>
              <w:rPr/>
              <w:t>4.0;</w:t>
            </w:r>
            <w:r>
              <w:rPr/>
              <w:t>7.0;</w:t>
            </w:r>
            <w:r>
              <w:rPr/>
              <w:t>10.0;</w:t>
            </w:r>
            <w:r>
              <w:rPr/>
              <w:t>）</w:t>
            </w:r>
          </w:p>
        </w:tc>
        <w:tc>
          <w:tcPr>
            <w:tcW w:type="dxa" w:w="5076"/>
          </w:tcPr>
          <w:p>
            <w:pPr>
              <w:pStyle w:val="null3"/>
              <w:jc w:val="left"/>
            </w:pPr>
            <w:r>
              <w:rPr/>
              <w:t>根据供应商拟投入药物实施方案进行评审： 1.方案合理，内容详细，符合本项目药物配备十分合理、数量十分充足、符合国家标准要求，完全满足且优于项目需求的，得10分； 2.方案较合理，内容较详细，符合一般药物配备较合理、数量较充足、符合国家标准要求，完全满足项目需求的，得7分； 3.方案不合理，内容简单，不完全符合药物配备合理、数量充足、符合国家标准要求，不完全满足项目需求的，得4分； 4.未提供相应方案不得分。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1.供应商2021年1月（以合同签订时间为准）至今承接同类项目业绩（公共外环境病媒生物防制（除四害）），每提供一个得1分，最高得5分。 注：响应文件中应提供中标（或成交）通知书及合同复印件并加盖公章，未按要求提供不得分。 2.供应商2021年1月至今曾协助服务对象通过国家卫生城市创建或复审的，得5分。 注：响应文件中应提供协助通过国家卫生城市创建或复审的证明材料复印件并加盖公章，未按要求提供不得分。</w:t>
            </w:r>
          </w:p>
        </w:tc>
      </w:tr>
      <w:tr>
        <w:tc>
          <w:tcPr>
            <w:tcW w:type="dxa" w:w="922"/>
            <w:gridSpan w:val="2"/>
            <w:vMerge/>
          </w:tcPr>
          <w:p/>
        </w:tc>
        <w:tc>
          <w:tcPr>
            <w:tcW w:type="dxa" w:w="2307"/>
          </w:tcPr>
          <w:p>
            <w:pPr>
              <w:pStyle w:val="null3"/>
              <w:jc w:val="left"/>
            </w:pPr>
            <w:r>
              <w:rPr/>
              <w:t>服务保障情况 (20.0分)</w:t>
            </w:r>
            <w:r>
              <w:rPr/>
              <w:t>，（等次分值选择：</w:t>
            </w:r>
            <w:r>
              <w:rPr/>
              <w:t>0.0;</w:t>
            </w:r>
            <w:r>
              <w:rPr/>
              <w:t>6.0;</w:t>
            </w:r>
            <w:r>
              <w:rPr/>
              <w:t>13.0;</w:t>
            </w:r>
            <w:r>
              <w:rPr/>
              <w:t>20.0;</w:t>
            </w:r>
            <w:r>
              <w:rPr/>
              <w:t>）</w:t>
            </w:r>
          </w:p>
        </w:tc>
        <w:tc>
          <w:tcPr>
            <w:tcW w:type="dxa" w:w="5076"/>
          </w:tcPr>
          <w:p>
            <w:pPr>
              <w:pStyle w:val="null3"/>
              <w:jc w:val="left"/>
            </w:pPr>
            <w:r>
              <w:rPr/>
              <w:t>根据供应商的服务保障情况进行评审： 1.供应商具有固定服务机构，配置充足的售后设备力量，配备售后服务人员5人或以上，且接受过服务地专业培训，服务便利性高，售后响应及现场处理时效快，得20分； 2.供应商具有固定服务机构，配置较充足的售后设备力量，配备售后服务人员4人或以下，且接受过服务地专业培训，服务便利性较高，售后响应及现场处理时效较快，得13分； 3.供应商具有固定服务机构，有配置售后设备力量或配备售后服务人员，服务便利性一般，售后响应及现场处理时效一般，得6分； 4.不提供不得分。 注：响应文件中应提供服务机构和人员培训的证明材料复印件并加盖公章，否则视为不满足评审细项。</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sz w:val="27"/>
          <w:color w:val="222222"/>
        </w:rPr>
        <w:t xml:space="preserve">甲方： 　　　　　   </w:t>
      </w:r>
      <w:r>
        <w:br/>
      </w:r>
      <w:r>
        <w:rPr>
          <w:sz w:val="27"/>
          <w:color w:val="222222"/>
        </w:rPr>
        <w:t xml:space="preserve"> 电话： 　　　　     传真： 　　　     地址： 　　　     </w:t>
      </w:r>
      <w:r>
        <w:br/>
      </w:r>
      <w:r>
        <w:rPr>
          <w:sz w:val="27"/>
          <w:color w:val="222222"/>
        </w:rPr>
        <w:t xml:space="preserve"> 乙方： 　　　　　   </w:t>
      </w:r>
      <w:r>
        <w:br/>
      </w:r>
      <w:r>
        <w:rPr>
          <w:sz w:val="27"/>
          <w:color w:val="222222"/>
        </w:rPr>
        <w:t xml:space="preserve"> 电话： 　　　　    传真：　　　     地址： 　　　    </w:t>
      </w:r>
      <w:r>
        <w:br/>
      </w:r>
      <w:r>
        <w:rPr>
          <w:sz w:val="27"/>
          <w:color w:val="222222"/>
        </w:rPr>
        <w:t xml:space="preserve">  </w:t>
      </w:r>
      <w:r>
        <w:br/>
      </w:r>
      <w:r>
        <w:rPr>
          <w:sz w:val="27"/>
          <w:color w:val="222222"/>
        </w:rPr>
        <w:t xml:space="preserve">   根据 项目名称 的采购结果，按照《中华人民共和国民法典(合同编)》的规定，经双方协商，本着平等互利和诚实信用的原则，一致同意遵守本合同如下。</w:t>
      </w:r>
      <w:r>
        <w:br/>
      </w:r>
      <w:r>
        <w:rPr>
          <w:sz w:val="27"/>
          <w:color w:val="222222"/>
        </w:rPr>
        <w:t xml:space="preserve"> 一、合同金额</w:t>
      </w:r>
      <w:r>
        <w:br/>
      </w:r>
      <w:r>
        <w:rPr>
          <w:sz w:val="27"/>
          <w:color w:val="222222"/>
        </w:rPr>
        <w:t xml:space="preserve"> 　　合同金额为（大写）：_____________元（￥_________元）人民币。</w:t>
      </w:r>
      <w:r>
        <w:br/>
      </w:r>
      <w:r>
        <w:rPr>
          <w:sz w:val="27"/>
          <w:color w:val="222222"/>
        </w:rPr>
        <w:t xml:space="preserve"> 二、服务范围</w:t>
      </w:r>
      <w:r>
        <w:br/>
      </w:r>
      <w:r>
        <w:rPr>
          <w:sz w:val="27"/>
          <w:color w:val="222222"/>
        </w:rPr>
        <w:t xml:space="preserve"> 　　甲方聘请乙方提供以下服务：</w:t>
      </w:r>
      <w:r>
        <w:br/>
      </w:r>
      <w:r>
        <w:rPr>
          <w:sz w:val="27"/>
          <w:color w:val="222222"/>
        </w:rPr>
        <w:t xml:space="preserve"> 1.　　　　　　　　　</w:t>
      </w:r>
      <w:r>
        <w:br/>
      </w:r>
      <w:r>
        <w:rPr>
          <w:sz w:val="27"/>
          <w:color w:val="222222"/>
        </w:rPr>
        <w:t xml:space="preserve"> 2.　　　　　　　　　</w:t>
      </w:r>
      <w:r>
        <w:br/>
      </w:r>
      <w:r>
        <w:rPr>
          <w:sz w:val="27"/>
          <w:color w:val="222222"/>
        </w:rPr>
        <w:t xml:space="preserve"> ……</w:t>
      </w:r>
      <w:r>
        <w:br/>
      </w:r>
      <w:r>
        <w:rPr>
          <w:sz w:val="27"/>
          <w:color w:val="222222"/>
        </w:rPr>
        <w:t xml:space="preserve"> 三、甲方乙方的权利和义务</w:t>
      </w:r>
      <w:r>
        <w:br/>
      </w:r>
      <w:r>
        <w:rPr>
          <w:sz w:val="27"/>
          <w:color w:val="222222"/>
        </w:rPr>
        <w:t xml:space="preserve"> 1.甲方的权利和义务</w:t>
      </w:r>
      <w:r>
        <w:br/>
      </w:r>
      <w:r>
        <w:rPr>
          <w:sz w:val="27"/>
          <w:color w:val="222222"/>
        </w:rPr>
        <w:t xml:space="preserve"> 2.乙方的权利和义务</w:t>
      </w:r>
      <w:r>
        <w:br/>
      </w:r>
      <w:r>
        <w:rPr>
          <w:sz w:val="27"/>
          <w:color w:val="222222"/>
        </w:rPr>
        <w:t xml:space="preserve"> 四、服务期间（项目完成期限）</w:t>
      </w:r>
      <w:r>
        <w:br/>
      </w:r>
      <w:r>
        <w:rPr>
          <w:sz w:val="27"/>
          <w:color w:val="222222"/>
        </w:rPr>
        <w:t xml:space="preserve"> 1.委托服务期间自______年______月至______年______月止。</w:t>
      </w:r>
      <w:r>
        <w:br/>
      </w:r>
      <w:r>
        <w:rPr>
          <w:sz w:val="27"/>
          <w:color w:val="222222"/>
        </w:rPr>
        <w:t xml:space="preserve"> 五、付款方式</w:t>
      </w:r>
      <w:r>
        <w:br/>
      </w:r>
      <w:r>
        <w:rPr>
          <w:sz w:val="27"/>
          <w:color w:val="222222"/>
        </w:rPr>
        <w:t xml:space="preserve"> 六、知识产权归属</w:t>
      </w:r>
      <w:r>
        <w:br/>
      </w:r>
      <w:r>
        <w:rPr>
          <w:sz w:val="27"/>
          <w:color w:val="222222"/>
        </w:rPr>
        <w:t xml:space="preserve"> 七、保密</w:t>
      </w:r>
      <w:r>
        <w:br/>
      </w:r>
      <w:r>
        <w:rPr>
          <w:sz w:val="27"/>
          <w:color w:val="222222"/>
        </w:rPr>
        <w:t xml:space="preserve"> 八、违约责任与赔偿损失</w:t>
      </w:r>
      <w:r>
        <w:br/>
      </w:r>
      <w:r>
        <w:rPr>
          <w:sz w:val="27"/>
          <w:color w:val="222222"/>
        </w:rPr>
        <w:t xml:space="preserve"> 1.乙方提供的服务不符合本合同规定的，甲方有权拒收，并且乙方须向甲方方支付本合同总价5%的违约金。</w:t>
      </w:r>
      <w:r>
        <w:br/>
      </w:r>
      <w:r>
        <w:rPr>
          <w:sz w:val="27"/>
          <w:color w:val="222222"/>
        </w:rPr>
        <w:t xml:space="preserve"> 2.乙方未能按本合同规定的交货时间提供服务，从逾期之日起每日按本合同总价3‰的数额向甲方支付违约金；逾期半个月以上的，甲方有权终止合同，由此造成的甲方经济损失由乙方承担。</w:t>
      </w:r>
      <w:r>
        <w:br/>
      </w:r>
      <w:r>
        <w:rPr>
          <w:sz w:val="27"/>
          <w:color w:val="222222"/>
        </w:rPr>
        <w:t xml:space="preserve"> 3.甲方无正当理由拒收接受服务，到期拒付服务款项的，甲方向乙方偿付本合同总的5%的违约金。甲方人逾期付款，则每日按本合同总价的3‰向乙方偿付违约金。</w:t>
      </w:r>
      <w:r>
        <w:br/>
      </w:r>
      <w:r>
        <w:rPr>
          <w:sz w:val="27"/>
          <w:color w:val="222222"/>
        </w:rPr>
        <w:t xml:space="preserve"> 4.对于因甲方原因导致变更、中止或者终止政府采购合同的，甲方应当依照以下合同约定对供应商受到的损失予以赔偿或者补偿：</w:t>
      </w:r>
      <w:r>
        <w:br/>
      </w:r>
      <w:r>
        <w:rPr>
          <w:sz w:val="27"/>
          <w:color w:val="222222"/>
        </w:rPr>
        <w:t xml:space="preserve"> 5.其它违约责任按《中华人民共和国民法典(合同编)》处理。</w:t>
      </w:r>
      <w:r>
        <w:br/>
      </w:r>
      <w:r>
        <w:rPr>
          <w:sz w:val="27"/>
          <w:color w:val="222222"/>
        </w:rPr>
        <w:t xml:space="preserve"> 九、争议的解决</w:t>
      </w:r>
      <w:r>
        <w:br/>
      </w:r>
      <w:r>
        <w:rPr>
          <w:sz w:val="27"/>
          <w:color w:val="222222"/>
        </w:rPr>
        <w:t xml:space="preserve"> 合同执行过程中发生的任何争议，如双方不能通过友好协商解决，按相关法律法规处理。      </w:t>
      </w:r>
      <w:r>
        <w:br/>
      </w:r>
      <w:r>
        <w:rPr>
          <w:sz w:val="27"/>
          <w:color w:val="222222"/>
        </w:rPr>
        <w:t xml:space="preserve"> 十、不可抗力</w:t>
      </w:r>
      <w:r>
        <w:br/>
      </w:r>
      <w:r>
        <w:rPr>
          <w:sz w:val="27"/>
          <w:color w:val="222222"/>
        </w:rPr>
        <w:t xml:space="preserve">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r>
        <w:br/>
      </w:r>
      <w:r>
        <w:rPr>
          <w:sz w:val="27"/>
          <w:color w:val="222222"/>
        </w:rPr>
        <w:t xml:space="preserve"> 十一、税费</w:t>
      </w:r>
      <w:r>
        <w:br/>
      </w:r>
      <w:r>
        <w:rPr>
          <w:sz w:val="27"/>
          <w:color w:val="222222"/>
        </w:rPr>
        <w:t xml:space="preserve"> 　　在中国境内、外发生的与本合同执行有关的一切税费均由乙方负担。</w:t>
      </w:r>
      <w:r>
        <w:br/>
      </w:r>
      <w:r>
        <w:rPr>
          <w:sz w:val="27"/>
          <w:color w:val="222222"/>
        </w:rPr>
        <w:t xml:space="preserve"> 十二、其它</w:t>
      </w:r>
      <w:r>
        <w:br/>
      </w:r>
      <w:r>
        <w:rPr>
          <w:sz w:val="27"/>
          <w:color w:val="222222"/>
        </w:rPr>
        <w:t xml:space="preserve"> 1.本合同所有附件、招标文件、投标文件、中标通知书均为合同的有效组成部分，与本合同具有同等法律效力。</w:t>
      </w:r>
      <w:r>
        <w:br/>
      </w:r>
      <w:r>
        <w:rPr>
          <w:sz w:val="27"/>
          <w:color w:val="222222"/>
        </w:rPr>
        <w:t xml:space="preserve"> 2.在执行本合同的过程中，所有经双方签署确认的文件（包括会议纪要、补充协议、往来信函）即成为本合同的有效组成部分。</w:t>
      </w:r>
      <w:r>
        <w:br/>
      </w:r>
      <w:r>
        <w:rPr>
          <w:sz w:val="27"/>
          <w:color w:val="222222"/>
        </w:rPr>
        <w:t xml:space="preserve"> 3.如一方地址、电话、传真号码有变更，应在变更当日内书面通知对方，否则，应承担相应责任。</w:t>
      </w:r>
      <w:r>
        <w:br/>
      </w:r>
      <w:r>
        <w:rPr>
          <w:sz w:val="27"/>
          <w:color w:val="222222"/>
        </w:rPr>
        <w:t xml:space="preserve"> 4.除甲方事先书面同意外，乙方不得部分或全部转让其应履行的合同项下的义务。</w:t>
      </w:r>
      <w:r>
        <w:br/>
      </w:r>
      <w:r>
        <w:rPr>
          <w:sz w:val="27"/>
          <w:color w:val="222222"/>
        </w:rPr>
        <w:t xml:space="preserve"> 十三、合同生效</w:t>
      </w:r>
      <w:r>
        <w:br/>
      </w:r>
      <w:r>
        <w:rPr>
          <w:sz w:val="27"/>
          <w:color w:val="222222"/>
        </w:rPr>
        <w:t xml:space="preserve"> 1.本合同在甲乙双方法人代表或其授权代表签字盖章后生效。</w:t>
      </w:r>
      <w:r>
        <w:br/>
      </w:r>
      <w:r>
        <w:rPr>
          <w:sz w:val="27"/>
          <w:color w:val="222222"/>
        </w:rPr>
        <w:t xml:space="preserve"> 2.合同一式  份，甲方  份，乙方  份，代理机构1份。</w:t>
      </w:r>
      <w:r>
        <w:br/>
      </w:r>
      <w:r>
        <w:rPr>
          <w:sz w:val="27"/>
          <w:color w:val="222222"/>
        </w:rPr>
        <w:t xml:space="preserve">  </w:t>
      </w:r>
      <w:r>
        <w:br/>
      </w:r>
      <w:r>
        <w:rPr>
          <w:sz w:val="27"/>
          <w:color w:val="222222"/>
        </w:rPr>
        <w:t xml:space="preserve"> 甲方（盖章）：                        乙方（盖章）：</w:t>
      </w:r>
      <w:r>
        <w:br/>
      </w:r>
      <w:r>
        <w:rPr>
          <w:sz w:val="27"/>
          <w:color w:val="222222"/>
        </w:rPr>
        <w:t xml:space="preserve"> 代表：                               代表：</w:t>
      </w:r>
      <w:r>
        <w:br/>
      </w:r>
      <w:r>
        <w:rPr>
          <w:sz w:val="27"/>
          <w:color w:val="222222"/>
        </w:rPr>
        <w:t xml:space="preserve"> 签订地点：                       签订地点：</w:t>
      </w:r>
      <w:r>
        <w:br/>
      </w:r>
      <w:r>
        <w:rPr>
          <w:sz w:val="27"/>
          <w:color w:val="222222"/>
        </w:rPr>
        <w:t xml:space="preserve"> 签订日期：                       签订日期：</w:t>
      </w:r>
      <w:r>
        <w:br/>
      </w:r>
      <w:r>
        <w:rPr>
          <w:sz w:val="27"/>
          <w:color w:val="222222"/>
        </w:rPr>
        <w:t xml:space="preserve">                                开户名称：</w:t>
      </w:r>
      <w:r>
        <w:br/>
      </w:r>
      <w:r>
        <w:rPr>
          <w:sz w:val="27"/>
          <w:color w:val="222222"/>
        </w:rPr>
        <w:t xml:space="preserve">                                银行帐号：</w:t>
      </w:r>
      <w:r>
        <w:br/>
      </w:r>
      <w:r>
        <w:rPr>
          <w:sz w:val="27"/>
          <w:color w:val="222222"/>
        </w:rPr>
        <w:t xml:space="preserve">                                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440981-2024-02703</w:t>
      </w:r>
    </w:p>
    <w:p>
      <w:pPr>
        <w:pStyle w:val="null3"/>
        <w:jc w:val="center"/>
        <w:outlineLvl w:val="3"/>
      </w:pPr>
      <w:r>
        <w:rPr>
          <w:sz w:val="24"/>
          <w:b/>
        </w:rPr>
        <w:t>采购项目编号：</w:t>
      </w:r>
      <w:r>
        <w:rPr>
          <w:sz w:val="24"/>
          <w:b/>
        </w:rPr>
        <w:t>DC-MM-2024003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广东鼎程项目咨询有限公司茂名分公司</w:t>
      </w:r>
    </w:p>
    <w:p>
      <w:pPr>
        <w:pStyle w:val="null3"/>
        <w:ind w:firstLine="480"/>
      </w:pPr>
      <w:r>
        <w:rPr/>
        <w:t xml:space="preserve"> 你方组织的</w:t>
      </w:r>
      <w:r>
        <w:rPr>
          <w:u w:val="single"/>
        </w:rPr>
        <w:t>“</w:t>
      </w:r>
      <w:r>
        <w:rPr>
          <w:u w:val="single"/>
        </w:rPr>
        <w:t>2024年高州市城区公共外环境病媒生物防制项目</w:t>
      </w:r>
      <w:r>
        <w:rPr>
          <w:u w:val="single"/>
        </w:rPr>
        <w:t>”</w:t>
      </w:r>
      <w:r>
        <w:rPr/>
        <w:t>项目的竞争性磋商[采购项目编号为：</w:t>
      </w:r>
      <w:r>
        <w:rPr>
          <w:u w:val="single"/>
        </w:rPr>
        <w:t>DC-MM-2024003</w:t>
      </w:r>
      <w:r>
        <w:rPr/>
        <w:t>]，我方愿参与响应。</w:t>
      </w:r>
    </w:p>
    <w:p>
      <w:pPr>
        <w:pStyle w:val="null3"/>
        <w:ind w:firstLine="480"/>
      </w:pPr>
      <w:r>
        <w:rPr/>
        <w:t>我方确认收到贵方提供的</w:t>
      </w:r>
      <w:r>
        <w:rPr>
          <w:u w:val="single"/>
        </w:rPr>
        <w:t>“</w:t>
      </w:r>
      <w:r>
        <w:rPr>
          <w:u w:val="single"/>
        </w:rPr>
        <w:t>2024年高州市城区公共外环境病媒生物防制项目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广东鼎程项目咨询有限公司茂名分公司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2024年高州市城区公共外环境病媒生物防制项目</w:t>
      </w:r>
      <w:r>
        <w:rPr/>
        <w:t>”项目采购[采购项目编号为</w:t>
      </w:r>
      <w:r>
        <w:rPr/>
        <w:t>DC-MM-2024003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广东鼎程项目咨询有限公司茂名分公司</w:t>
      </w:r>
    </w:p>
    <w:p>
      <w:pPr>
        <w:pStyle w:val="null3"/>
        <w:ind w:firstLine="480"/>
      </w:pPr>
      <w:r>
        <w:rPr/>
        <w:t>我单位参加贵公司组织的</w:t>
      </w:r>
      <w:r>
        <w:rPr/>
        <w:t>2024年高州市城区公共外环境病媒生物防制项目</w:t>
      </w:r>
      <w:r>
        <w:rPr/>
        <w:t>（采购项目编号：</w:t>
      </w:r>
      <w:r>
        <w:rPr/>
        <w:t>DC-MM-2024003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广东鼎程项目咨询有限公司茂名分公司</w:t>
      </w:r>
    </w:p>
    <w:p>
      <w:pPr>
        <w:pStyle w:val="null3"/>
        <w:ind w:firstLine="480"/>
      </w:pPr>
      <w:r>
        <w:rPr/>
        <w:t>我单位已登记并准备参与“</w:t>
      </w:r>
      <w:r>
        <w:rPr/>
        <w:t>2024年高州市城区公共外环境病媒生物防制项目</w:t>
      </w:r>
      <w:r>
        <w:rPr/>
        <w:t>”项目（采购项目编号：</w:t>
      </w:r>
      <w:r>
        <w:rPr/>
        <w:t>DC-MM-2024003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