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44"/>
          <w:szCs w:val="44"/>
          <w:lang w:eastAsia="zh-CN"/>
        </w:rPr>
        <w:t>附件</w:t>
      </w:r>
      <w:r>
        <w:rPr>
          <w:rFonts w:hint="eastAsia" w:ascii="方正小标宋简体" w:hAnsi="方正小标宋简体" w:eastAsia="方正小标宋简体" w:cs="方正小标宋简体"/>
          <w:b w:val="0"/>
          <w:bCs w:val="0"/>
          <w:color w:val="000000"/>
          <w:sz w:val="44"/>
          <w:szCs w:val="44"/>
          <w:lang w:val="en-US" w:eastAsia="zh-CN"/>
        </w:rPr>
        <w:t xml:space="preserve"> </w:t>
      </w:r>
      <w:r>
        <w:rPr>
          <w:rFonts w:hint="eastAsia" w:ascii="方正小标宋简体" w:hAnsi="方正小标宋简体" w:eastAsia="方正小标宋简体" w:cs="方正小标宋简体"/>
          <w:b w:val="0"/>
          <w:bCs w:val="0"/>
          <w:color w:val="000000"/>
          <w:sz w:val="32"/>
          <w:szCs w:val="32"/>
          <w:lang w:val="en-US" w:eastAsia="zh-CN"/>
        </w:rPr>
        <w:t xml:space="preserve">  </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val="en-US" w:eastAsia="zh-CN"/>
        </w:rPr>
        <w:t>广西体育运动学校</w:t>
      </w:r>
      <w:r>
        <w:rPr>
          <w:rFonts w:hint="eastAsia" w:ascii="方正小标宋简体" w:hAnsi="方正小标宋简体" w:eastAsia="方正小标宋简体" w:cs="方正小标宋简体"/>
          <w:b w:val="0"/>
          <w:bCs w:val="0"/>
          <w:color w:val="000000"/>
          <w:sz w:val="44"/>
          <w:szCs w:val="44"/>
          <w:lang w:eastAsia="zh-CN"/>
        </w:rPr>
        <w:t>“四害”消杀项目要求</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黑体" w:hAnsi="黑体" w:eastAsia="黑体" w:cs="黑体"/>
          <w:b w:val="0"/>
          <w:bCs w:val="0"/>
          <w:color w:val="000000"/>
          <w:sz w:val="30"/>
          <w:szCs w:val="30"/>
          <w:lang w:eastAsia="zh-CN"/>
        </w:rPr>
      </w:pPr>
      <w:r>
        <w:rPr>
          <w:rFonts w:hint="eastAsia" w:ascii="黑体" w:hAnsi="黑体" w:eastAsia="黑体" w:cs="黑体"/>
          <w:b w:val="0"/>
          <w:bCs w:val="0"/>
          <w:color w:val="000000"/>
          <w:sz w:val="30"/>
          <w:szCs w:val="30"/>
          <w:lang w:eastAsia="zh-CN"/>
        </w:rPr>
        <w:t>一、药物要求</w:t>
      </w:r>
      <w:bookmarkStart w:id="16" w:name="_GoBack"/>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i w:val="0"/>
          <w:iCs w:val="0"/>
          <w:caps w:val="0"/>
          <w:color w:val="000000"/>
          <w:spacing w:val="0"/>
          <w:sz w:val="30"/>
          <w:szCs w:val="30"/>
          <w:shd w:val="clear" w:color="auto" w:fill="FFFFFF"/>
        </w:rPr>
      </w:pPr>
      <w:r>
        <w:rPr>
          <w:rFonts w:hint="eastAsia" w:ascii="仿宋_GB2312" w:hAnsi="仿宋_GB2312" w:eastAsia="仿宋_GB2312" w:cs="仿宋_GB2312"/>
          <w:b w:val="0"/>
          <w:bCs w:val="0"/>
          <w:i w:val="0"/>
          <w:iCs w:val="0"/>
          <w:caps w:val="0"/>
          <w:color w:val="000000"/>
          <w:spacing w:val="0"/>
          <w:sz w:val="30"/>
          <w:szCs w:val="30"/>
          <w:shd w:val="clear" w:color="auto" w:fill="FFFFFF"/>
          <w:lang w:val="en-US" w:eastAsia="zh-CN"/>
        </w:rPr>
        <w:t>1、</w:t>
      </w:r>
      <w:r>
        <w:rPr>
          <w:rFonts w:hint="eastAsia" w:ascii="仿宋_GB2312" w:hAnsi="仿宋_GB2312" w:eastAsia="仿宋_GB2312" w:cs="仿宋_GB2312"/>
          <w:b w:val="0"/>
          <w:bCs w:val="0"/>
          <w:i w:val="0"/>
          <w:iCs w:val="0"/>
          <w:caps w:val="0"/>
          <w:color w:val="000000"/>
          <w:spacing w:val="0"/>
          <w:sz w:val="30"/>
          <w:szCs w:val="30"/>
          <w:shd w:val="clear" w:color="auto" w:fill="FFFFFF"/>
          <w:lang w:eastAsia="zh-CN"/>
        </w:rPr>
        <w:t>“四害”项目</w:t>
      </w:r>
      <w:r>
        <w:rPr>
          <w:rFonts w:hint="eastAsia" w:ascii="仿宋_GB2312" w:hAnsi="仿宋_GB2312" w:eastAsia="仿宋_GB2312" w:cs="仿宋_GB2312"/>
          <w:b w:val="0"/>
          <w:bCs w:val="0"/>
          <w:i w:val="0"/>
          <w:iCs w:val="0"/>
          <w:caps w:val="0"/>
          <w:color w:val="000000"/>
          <w:spacing w:val="0"/>
          <w:sz w:val="30"/>
          <w:szCs w:val="30"/>
          <w:shd w:val="clear" w:color="auto" w:fill="FFFFFF"/>
        </w:rPr>
        <w:t>所实施</w:t>
      </w:r>
      <w:r>
        <w:rPr>
          <w:rFonts w:hint="eastAsia" w:ascii="仿宋_GB2312" w:hAnsi="仿宋_GB2312" w:eastAsia="仿宋_GB2312" w:cs="仿宋_GB2312"/>
          <w:b w:val="0"/>
          <w:bCs w:val="0"/>
          <w:i w:val="0"/>
          <w:iCs w:val="0"/>
          <w:caps w:val="0"/>
          <w:color w:val="000000"/>
          <w:spacing w:val="0"/>
          <w:sz w:val="30"/>
          <w:szCs w:val="30"/>
          <w:shd w:val="clear" w:color="auto" w:fill="FFFFFF"/>
          <w:lang w:eastAsia="zh-CN"/>
        </w:rPr>
        <w:t>含</w:t>
      </w:r>
      <w:r>
        <w:rPr>
          <w:rFonts w:hint="eastAsia" w:ascii="仿宋_GB2312" w:hAnsi="仿宋_GB2312" w:eastAsia="仿宋_GB2312" w:cs="仿宋_GB2312"/>
          <w:b w:val="0"/>
          <w:bCs w:val="0"/>
          <w:i w:val="0"/>
          <w:iCs w:val="0"/>
          <w:caps w:val="0"/>
          <w:color w:val="000000"/>
          <w:spacing w:val="0"/>
          <w:sz w:val="30"/>
          <w:szCs w:val="30"/>
          <w:shd w:val="clear" w:color="auto" w:fill="FFFFFF"/>
        </w:rPr>
        <w:t>包工、包料、包达标，投标人对于消杀药品的选用，必须根据不同的病媒控制对象并结合本项目不同环境类别通过合法途径以高效、低毒、环保、安全、精准投放为原则，杜绝选用低劣（已失效或批次质量不稳定）、非法（法规禁用、来源不明或未经许可自配）、高毒等卫生杀虫剂及过度用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i w:val="0"/>
          <w:iCs w:val="0"/>
          <w:caps w:val="0"/>
          <w:color w:val="000000"/>
          <w:spacing w:val="0"/>
          <w:sz w:val="30"/>
          <w:szCs w:val="30"/>
          <w:shd w:val="clear" w:color="auto" w:fill="FFFFFF"/>
          <w:lang w:val="en-US" w:eastAsia="zh-CN"/>
        </w:rPr>
        <w:t>2、</w:t>
      </w:r>
      <w:r>
        <w:rPr>
          <w:rFonts w:hint="eastAsia" w:ascii="仿宋_GB2312" w:hAnsi="仿宋_GB2312" w:eastAsia="仿宋_GB2312" w:cs="仿宋_GB2312"/>
          <w:b w:val="0"/>
          <w:bCs w:val="0"/>
          <w:color w:val="000000"/>
          <w:sz w:val="30"/>
          <w:szCs w:val="30"/>
        </w:rPr>
        <w:t>杜绝使用来源不明</w:t>
      </w:r>
      <w:r>
        <w:rPr>
          <w:rFonts w:hint="eastAsia" w:ascii="仿宋_GB2312" w:hAnsi="仿宋_GB2312" w:eastAsia="仿宋_GB2312" w:cs="仿宋_GB2312"/>
          <w:b w:val="0"/>
          <w:bCs w:val="0"/>
          <w:color w:val="000000"/>
          <w:sz w:val="30"/>
          <w:szCs w:val="30"/>
          <w:lang w:eastAsia="zh-CN"/>
        </w:rPr>
        <w:t>、</w:t>
      </w:r>
      <w:r>
        <w:rPr>
          <w:rFonts w:hint="eastAsia" w:ascii="仿宋_GB2312" w:hAnsi="仿宋_GB2312" w:eastAsia="仿宋_GB2312" w:cs="仿宋_GB2312"/>
          <w:b w:val="0"/>
          <w:bCs w:val="0"/>
          <w:color w:val="000000"/>
          <w:sz w:val="30"/>
          <w:szCs w:val="30"/>
        </w:rPr>
        <w:t>无“三证”或质量不稳定的卫生杀虫剂，确保灭效和人畜等各项安全，符合绿色环保的有关要求。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lang w:val="en-US" w:eastAsia="zh-CN"/>
        </w:rPr>
        <w:t>3、</w:t>
      </w:r>
      <w:r>
        <w:rPr>
          <w:rFonts w:hint="eastAsia" w:ascii="仿宋_GB2312" w:hAnsi="仿宋_GB2312" w:eastAsia="仿宋_GB2312" w:cs="仿宋_GB2312"/>
          <w:b w:val="0"/>
          <w:bCs w:val="0"/>
          <w:i w:val="0"/>
          <w:iCs w:val="0"/>
          <w:caps w:val="0"/>
          <w:color w:val="000000"/>
          <w:spacing w:val="0"/>
          <w:kern w:val="0"/>
          <w:sz w:val="30"/>
          <w:szCs w:val="30"/>
          <w:shd w:val="clear" w:color="auto" w:fill="FFFFFF"/>
          <w:lang w:val="en-US" w:eastAsia="zh-CN" w:bidi="ar"/>
        </w:rPr>
        <w:t>根据国家对农药的有关管理规定，为了保证药品的质量及来源合法，投标人投标时必须提供以下1-6项针对本项目有效“三证”（即：农药登记证、农药生产批准证书、技术监督部门备案的企业标准）复印件并加盖单位公章，否则投标无效。</w:t>
      </w:r>
      <w:r>
        <w:rPr>
          <w:rStyle w:val="6"/>
          <w:rFonts w:hint="eastAsia" w:ascii="仿宋_GB2312" w:hAnsi="仿宋_GB2312" w:eastAsia="仿宋_GB2312" w:cs="仿宋_GB2312"/>
          <w:b w:val="0"/>
          <w:bCs w:val="0"/>
          <w:i w:val="0"/>
          <w:iCs w:val="0"/>
          <w:caps w:val="0"/>
          <w:color w:val="000000"/>
          <w:spacing w:val="0"/>
          <w:sz w:val="30"/>
          <w:szCs w:val="30"/>
          <w:shd w:val="clear" w:color="auto" w:fill="FFFFFF"/>
        </w:rPr>
        <w:t>本项目除</w:t>
      </w:r>
      <w:r>
        <w:rPr>
          <w:rStyle w:val="6"/>
          <w:rFonts w:hint="eastAsia" w:ascii="仿宋_GB2312" w:hAnsi="仿宋_GB2312" w:eastAsia="仿宋_GB2312" w:cs="仿宋_GB2312"/>
          <w:b w:val="0"/>
          <w:bCs w:val="0"/>
          <w:i w:val="0"/>
          <w:iCs w:val="0"/>
          <w:caps w:val="0"/>
          <w:color w:val="000000"/>
          <w:spacing w:val="0"/>
          <w:sz w:val="30"/>
          <w:szCs w:val="30"/>
          <w:shd w:val="clear" w:color="auto" w:fill="FFFFFF"/>
          <w:lang w:eastAsia="zh-CN"/>
        </w:rPr>
        <w:t>“</w:t>
      </w:r>
      <w:r>
        <w:rPr>
          <w:rStyle w:val="6"/>
          <w:rFonts w:hint="eastAsia" w:ascii="仿宋_GB2312" w:hAnsi="仿宋_GB2312" w:eastAsia="仿宋_GB2312" w:cs="仿宋_GB2312"/>
          <w:b w:val="0"/>
          <w:bCs w:val="0"/>
          <w:i w:val="0"/>
          <w:iCs w:val="0"/>
          <w:caps w:val="0"/>
          <w:color w:val="000000"/>
          <w:spacing w:val="0"/>
          <w:sz w:val="30"/>
          <w:szCs w:val="30"/>
          <w:shd w:val="clear" w:color="auto" w:fill="FFFFFF"/>
        </w:rPr>
        <w:t>四害</w:t>
      </w:r>
      <w:r>
        <w:rPr>
          <w:rStyle w:val="6"/>
          <w:rFonts w:hint="eastAsia" w:ascii="仿宋_GB2312" w:hAnsi="仿宋_GB2312" w:eastAsia="仿宋_GB2312" w:cs="仿宋_GB2312"/>
          <w:b w:val="0"/>
          <w:bCs w:val="0"/>
          <w:i w:val="0"/>
          <w:iCs w:val="0"/>
          <w:caps w:val="0"/>
          <w:color w:val="000000"/>
          <w:spacing w:val="0"/>
          <w:sz w:val="30"/>
          <w:szCs w:val="30"/>
          <w:shd w:val="clear" w:color="auto" w:fill="FFFFFF"/>
          <w:lang w:eastAsia="zh-CN"/>
        </w:rPr>
        <w:t>”</w:t>
      </w:r>
      <w:r>
        <w:rPr>
          <w:rStyle w:val="6"/>
          <w:rFonts w:hint="eastAsia" w:ascii="仿宋_GB2312" w:hAnsi="仿宋_GB2312" w:eastAsia="仿宋_GB2312" w:cs="仿宋_GB2312"/>
          <w:b w:val="0"/>
          <w:bCs w:val="0"/>
          <w:i w:val="0"/>
          <w:iCs w:val="0"/>
          <w:caps w:val="0"/>
          <w:color w:val="000000"/>
          <w:spacing w:val="0"/>
          <w:sz w:val="30"/>
          <w:szCs w:val="30"/>
          <w:shd w:val="clear" w:color="auto" w:fill="FFFFFF"/>
        </w:rPr>
        <w:t>用药及主要技术参数明细表</w:t>
      </w:r>
      <w:r>
        <w:rPr>
          <w:rStyle w:val="6"/>
          <w:rFonts w:hint="eastAsia" w:ascii="仿宋_GB2312" w:hAnsi="仿宋_GB2312" w:eastAsia="仿宋_GB2312" w:cs="仿宋_GB2312"/>
          <w:b w:val="0"/>
          <w:bCs w:val="0"/>
          <w:i w:val="0"/>
          <w:iCs w:val="0"/>
          <w:caps w:val="0"/>
          <w:color w:val="000000"/>
          <w:spacing w:val="0"/>
          <w:sz w:val="30"/>
          <w:szCs w:val="30"/>
          <w:shd w:val="clear" w:color="auto" w:fill="FFFFFF"/>
          <w:lang w:eastAsia="zh-CN"/>
        </w:rPr>
        <w:t>：</w:t>
      </w:r>
      <w:r>
        <w:rPr>
          <w:rFonts w:hint="eastAsia" w:ascii="仿宋_GB2312" w:hAnsi="仿宋_GB2312" w:eastAsia="仿宋_GB2312" w:cs="仿宋_GB2312"/>
          <w:b w:val="0"/>
          <w:bCs w:val="0"/>
          <w:i w:val="0"/>
          <w:iCs w:val="0"/>
          <w:caps w:val="0"/>
          <w:color w:val="000000"/>
          <w:spacing w:val="0"/>
          <w:sz w:val="30"/>
          <w:szCs w:val="30"/>
          <w:shd w:val="clear" w:color="auto" w:fill="FFFFFF"/>
        </w:rPr>
        <w:t> </w:t>
      </w:r>
    </w:p>
    <w:tbl>
      <w:tblPr>
        <w:tblStyle w:val="4"/>
        <w:tblW w:w="8505" w:type="dxa"/>
        <w:tblInd w:w="0"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Layout w:type="autofit"/>
        <w:tblCellMar>
          <w:top w:w="15" w:type="dxa"/>
          <w:left w:w="15" w:type="dxa"/>
          <w:bottom w:w="15" w:type="dxa"/>
          <w:right w:w="15" w:type="dxa"/>
        </w:tblCellMar>
      </w:tblPr>
      <w:tblGrid>
        <w:gridCol w:w="990"/>
        <w:gridCol w:w="3525"/>
        <w:gridCol w:w="3990"/>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序号</w:t>
            </w:r>
          </w:p>
        </w:tc>
        <w:tc>
          <w:tcPr>
            <w:tcW w:w="3525"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主要技术参数（有效成份、含量、剂型）</w:t>
            </w:r>
          </w:p>
        </w:tc>
        <w:tc>
          <w:tcPr>
            <w:tcW w:w="3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药品用途及类别</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1</w:t>
            </w:r>
          </w:p>
        </w:tc>
        <w:tc>
          <w:tcPr>
            <w:tcW w:w="3525"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氯菊酯·S生物烯丙菊酯≥16.86%，水乳剂或微乳剂</w:t>
            </w:r>
          </w:p>
        </w:tc>
        <w:tc>
          <w:tcPr>
            <w:tcW w:w="3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外环境成蚊、蝇栖息场所用药（水乳剂或微乳剂）</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2</w:t>
            </w:r>
          </w:p>
        </w:tc>
        <w:tc>
          <w:tcPr>
            <w:tcW w:w="3525"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吡丙醚≥0.5%（含复配剂），颗粒剂或水乳剂</w:t>
            </w:r>
          </w:p>
        </w:tc>
        <w:tc>
          <w:tcPr>
            <w:tcW w:w="3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内外环境蚊虫类滋生地用药（颗粒剂或水乳剂）</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3</w:t>
            </w:r>
          </w:p>
        </w:tc>
        <w:tc>
          <w:tcPr>
            <w:tcW w:w="3525"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高效氯氰菊酯≥1%（含复配剂），热雾剂</w:t>
            </w:r>
          </w:p>
        </w:tc>
        <w:tc>
          <w:tcPr>
            <w:tcW w:w="3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下水道、化粪池等滋生地用药（热雾剂）</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4</w:t>
            </w:r>
          </w:p>
        </w:tc>
        <w:tc>
          <w:tcPr>
            <w:tcW w:w="3525"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氟虫腈≥0.05%，杀蟑颗粒剂</w:t>
            </w:r>
          </w:p>
        </w:tc>
        <w:tc>
          <w:tcPr>
            <w:tcW w:w="3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内环境蟑螂成虫杀灭用药（颗粒剂）</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5</w:t>
            </w:r>
          </w:p>
        </w:tc>
        <w:tc>
          <w:tcPr>
            <w:tcW w:w="3525"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顺氯· 残杀威≥10%，可湿性粉剂、悬浮剂、乳油</w:t>
            </w:r>
          </w:p>
        </w:tc>
        <w:tc>
          <w:tcPr>
            <w:tcW w:w="3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内外环境成蚊、蝇、蟑用药（可湿性粉剂、悬浮剂、乳油）</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6</w:t>
            </w:r>
          </w:p>
        </w:tc>
        <w:tc>
          <w:tcPr>
            <w:tcW w:w="3525"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溴敌隆（鼠谷）≥0.005%或溴鼠灵≥0.005%，饵剂</w:t>
            </w:r>
          </w:p>
        </w:tc>
        <w:tc>
          <w:tcPr>
            <w:tcW w:w="3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公共场所灭鼠用药（鼠谷或饵剂）</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7</w:t>
            </w:r>
          </w:p>
        </w:tc>
        <w:tc>
          <w:tcPr>
            <w:tcW w:w="3525"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毒鼠屋</w:t>
            </w:r>
          </w:p>
        </w:tc>
        <w:tc>
          <w:tcPr>
            <w:tcW w:w="3990" w:type="dxa"/>
            <w:tcBorders>
              <w:top w:val="single" w:color="CCCCCC" w:sz="6" w:space="0"/>
              <w:left w:val="single" w:color="CCCCCC" w:sz="6" w:space="0"/>
              <w:bottom w:val="single" w:color="CCCCCC" w:sz="6" w:space="0"/>
              <w:right w:val="single" w:color="CCCCCC"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kern w:val="0"/>
                <w:sz w:val="30"/>
                <w:szCs w:val="30"/>
                <w:lang w:val="en-US" w:eastAsia="zh-CN" w:bidi="ar"/>
              </w:rPr>
              <w:t>每1000米不少于25个（灭鼠）</w:t>
            </w:r>
          </w:p>
        </w:tc>
      </w:tr>
    </w:tbl>
    <w:p>
      <w:pPr>
        <w:keepNext w:val="0"/>
        <w:keepLines w:val="0"/>
        <w:pageBreakBefore w:val="0"/>
        <w:numPr>
          <w:ilvl w:val="0"/>
          <w:numId w:val="0"/>
        </w:numPr>
        <w:kinsoku/>
        <w:overflowPunct/>
        <w:topLinePunct w:val="0"/>
        <w:autoSpaceDE/>
        <w:autoSpaceDN/>
        <w:bidi w:val="0"/>
        <w:adjustRightInd/>
        <w:snapToGrid/>
        <w:spacing w:line="360" w:lineRule="exact"/>
        <w:ind w:firstLine="600" w:firstLineChars="200"/>
        <w:textAlignment w:val="auto"/>
        <w:rPr>
          <w:rFonts w:hint="eastAsia" w:ascii="仿宋_GB2312" w:hAnsi="仿宋_GB2312" w:eastAsia="仿宋_GB2312" w:cs="仿宋_GB2312"/>
          <w:b w:val="0"/>
          <w:bCs w:val="0"/>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二、服务要求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t>选择合理、有效的有害生物防治工作实施方案。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t>保证有害生物防治工作操作过程中的安全，不因违反操作规程而对人畜造成伤害。注意药物的使用安全，投(施)药时需要防护的部分，应向</w:t>
      </w:r>
      <w:r>
        <w:rPr>
          <w:rFonts w:hint="eastAsia" w:ascii="仿宋_GB2312" w:hAnsi="仿宋_GB2312" w:eastAsia="仿宋_GB2312" w:cs="仿宋_GB2312"/>
          <w:b w:val="0"/>
          <w:bCs w:val="0"/>
          <w:color w:val="000000"/>
          <w:sz w:val="30"/>
          <w:szCs w:val="30"/>
          <w:lang w:eastAsia="zh-CN"/>
        </w:rPr>
        <w:t>校</w:t>
      </w:r>
      <w:r>
        <w:rPr>
          <w:rFonts w:hint="eastAsia" w:ascii="仿宋_GB2312" w:hAnsi="仿宋_GB2312" w:eastAsia="仿宋_GB2312" w:cs="仿宋_GB2312"/>
          <w:b w:val="0"/>
          <w:bCs w:val="0"/>
          <w:color w:val="000000"/>
          <w:sz w:val="30"/>
          <w:szCs w:val="30"/>
        </w:rPr>
        <w:t>方提出有效的防护措施。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t>安排灭鼠的工作人员，负责灭鼠除害药物的投放和灭鼠工具的放置和回收，注意投放灭鼠药物和放置灭鼠工具的隐蔽性，投放鼠药的位置粘贴醒目的提示标志（实施方联系方式及中毒的处理方式），以确保人员安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t>严格遵守各项安全</w:t>
      </w:r>
      <w:r>
        <w:rPr>
          <w:rFonts w:hint="eastAsia" w:ascii="仿宋_GB2312" w:hAnsi="仿宋_GB2312" w:eastAsia="仿宋_GB2312" w:cs="仿宋_GB2312"/>
          <w:b w:val="0"/>
          <w:bCs w:val="0"/>
          <w:color w:val="000000"/>
          <w:sz w:val="30"/>
          <w:szCs w:val="30"/>
          <w:lang w:eastAsia="zh-CN"/>
        </w:rPr>
        <w:t>，</w:t>
      </w:r>
      <w:r>
        <w:rPr>
          <w:rFonts w:hint="eastAsia" w:ascii="仿宋_GB2312" w:hAnsi="仿宋_GB2312" w:eastAsia="仿宋_GB2312" w:cs="仿宋_GB2312"/>
          <w:b w:val="0"/>
          <w:bCs w:val="0"/>
          <w:color w:val="000000"/>
          <w:sz w:val="30"/>
          <w:szCs w:val="30"/>
        </w:rPr>
        <w:t>有责任建议和指导</w:t>
      </w:r>
      <w:r>
        <w:rPr>
          <w:rFonts w:hint="eastAsia" w:ascii="仿宋_GB2312" w:hAnsi="仿宋_GB2312" w:eastAsia="仿宋_GB2312" w:cs="仿宋_GB2312"/>
          <w:b w:val="0"/>
          <w:bCs w:val="0"/>
          <w:color w:val="000000"/>
          <w:sz w:val="30"/>
          <w:szCs w:val="30"/>
          <w:lang w:eastAsia="zh-CN"/>
        </w:rPr>
        <w:t>校方</w:t>
      </w:r>
      <w:r>
        <w:rPr>
          <w:rFonts w:hint="eastAsia" w:ascii="仿宋_GB2312" w:hAnsi="仿宋_GB2312" w:eastAsia="仿宋_GB2312" w:cs="仿宋_GB2312"/>
          <w:b w:val="0"/>
          <w:bCs w:val="0"/>
          <w:color w:val="000000"/>
          <w:sz w:val="30"/>
          <w:szCs w:val="30"/>
        </w:rPr>
        <w:t>防鼠、防蝇</w:t>
      </w:r>
      <w:r>
        <w:rPr>
          <w:rFonts w:hint="eastAsia" w:ascii="仿宋_GB2312" w:hAnsi="仿宋_GB2312" w:eastAsia="仿宋_GB2312" w:cs="仿宋_GB2312"/>
          <w:b w:val="0"/>
          <w:bCs w:val="0"/>
          <w:color w:val="000000"/>
          <w:sz w:val="30"/>
          <w:szCs w:val="30"/>
          <w:lang w:eastAsia="zh-CN"/>
        </w:rPr>
        <w:t>等</w:t>
      </w:r>
      <w:r>
        <w:rPr>
          <w:rFonts w:hint="eastAsia" w:ascii="仿宋_GB2312" w:hAnsi="仿宋_GB2312" w:eastAsia="仿宋_GB2312" w:cs="仿宋_GB2312"/>
          <w:b w:val="0"/>
          <w:bCs w:val="0"/>
          <w:color w:val="000000"/>
          <w:sz w:val="30"/>
          <w:szCs w:val="30"/>
        </w:rPr>
        <w:t>虫害防治的巩固工作。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rPr>
        <w:t>安全</w:t>
      </w:r>
      <w:r>
        <w:rPr>
          <w:rFonts w:hint="eastAsia" w:ascii="仿宋_GB2312" w:hAnsi="仿宋_GB2312" w:eastAsia="仿宋_GB2312" w:cs="仿宋_GB2312"/>
          <w:b w:val="0"/>
          <w:bCs w:val="0"/>
          <w:color w:val="000000"/>
          <w:sz w:val="30"/>
          <w:szCs w:val="30"/>
          <w:lang w:eastAsia="zh-CN"/>
        </w:rPr>
        <w:t>、</w:t>
      </w:r>
      <w:r>
        <w:rPr>
          <w:rFonts w:hint="eastAsia" w:ascii="仿宋_GB2312" w:hAnsi="仿宋_GB2312" w:eastAsia="仿宋_GB2312" w:cs="仿宋_GB2312"/>
          <w:b w:val="0"/>
          <w:bCs w:val="0"/>
          <w:color w:val="000000"/>
          <w:sz w:val="30"/>
          <w:szCs w:val="30"/>
        </w:rPr>
        <w:t>文明施工，不影响</w:t>
      </w:r>
      <w:r>
        <w:rPr>
          <w:rFonts w:hint="eastAsia" w:ascii="仿宋_GB2312" w:hAnsi="仿宋_GB2312" w:eastAsia="仿宋_GB2312" w:cs="仿宋_GB2312"/>
          <w:b w:val="0"/>
          <w:bCs w:val="0"/>
          <w:color w:val="000000"/>
          <w:sz w:val="30"/>
          <w:szCs w:val="30"/>
          <w:lang w:eastAsia="zh-CN"/>
        </w:rPr>
        <w:t>校</w:t>
      </w:r>
      <w:r>
        <w:rPr>
          <w:rFonts w:hint="eastAsia" w:ascii="仿宋_GB2312" w:hAnsi="仿宋_GB2312" w:eastAsia="仿宋_GB2312" w:cs="仿宋_GB2312"/>
          <w:b w:val="0"/>
          <w:bCs w:val="0"/>
          <w:color w:val="000000"/>
          <w:sz w:val="30"/>
          <w:szCs w:val="30"/>
        </w:rPr>
        <w:t>方正常生活和工作秩序。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三、目标标准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lang w:val="en-US" w:eastAsia="zh-CN"/>
        </w:rPr>
        <w:t>1、</w:t>
      </w:r>
      <w:r>
        <w:rPr>
          <w:rFonts w:hint="eastAsia" w:ascii="仿宋_GB2312" w:hAnsi="仿宋_GB2312" w:eastAsia="仿宋_GB2312" w:cs="仿宋_GB2312"/>
          <w:b w:val="0"/>
          <w:bCs w:val="0"/>
          <w:color w:val="000000"/>
          <w:sz w:val="30"/>
          <w:szCs w:val="30"/>
        </w:rPr>
        <w:t>按计划提供</w:t>
      </w:r>
      <w:r>
        <w:rPr>
          <w:rFonts w:hint="eastAsia" w:ascii="仿宋_GB2312" w:hAnsi="仿宋_GB2312" w:eastAsia="仿宋_GB2312" w:cs="仿宋_GB2312"/>
          <w:b w:val="0"/>
          <w:bCs w:val="0"/>
          <w:color w:val="000000"/>
          <w:sz w:val="30"/>
          <w:szCs w:val="30"/>
          <w:lang w:eastAsia="zh-CN"/>
        </w:rPr>
        <w:t>消杀和预防</w:t>
      </w:r>
      <w:r>
        <w:rPr>
          <w:rFonts w:hint="eastAsia" w:ascii="仿宋_GB2312" w:hAnsi="仿宋_GB2312" w:eastAsia="仿宋_GB2312" w:cs="仿宋_GB2312"/>
          <w:b w:val="0"/>
          <w:bCs w:val="0"/>
          <w:color w:val="000000"/>
          <w:sz w:val="30"/>
          <w:szCs w:val="30"/>
        </w:rPr>
        <w:t>服务，确保本项目所辖区域的“四害”密度达到国家C级</w:t>
      </w:r>
      <w:r>
        <w:rPr>
          <w:rFonts w:hint="eastAsia" w:ascii="仿宋_GB2312" w:hAnsi="仿宋_GB2312" w:eastAsia="仿宋_GB2312" w:cs="仿宋_GB2312"/>
          <w:b w:val="0"/>
          <w:bCs w:val="0"/>
          <w:color w:val="000000"/>
          <w:sz w:val="30"/>
          <w:szCs w:val="30"/>
          <w:lang w:eastAsia="zh-CN"/>
        </w:rPr>
        <w:t>国标</w:t>
      </w:r>
      <w:r>
        <w:rPr>
          <w:rFonts w:hint="eastAsia" w:ascii="仿宋_GB2312" w:hAnsi="仿宋_GB2312" w:eastAsia="仿宋_GB2312" w:cs="仿宋_GB2312"/>
          <w:b w:val="0"/>
          <w:bCs w:val="0"/>
          <w:color w:val="000000"/>
          <w:sz w:val="30"/>
          <w:szCs w:val="30"/>
        </w:rPr>
        <w:t>标准</w:t>
      </w:r>
      <w:r>
        <w:rPr>
          <w:rFonts w:hint="eastAsia" w:ascii="仿宋_GB2312" w:hAnsi="仿宋_GB2312" w:eastAsia="仿宋_GB2312" w:cs="仿宋_GB2312"/>
          <w:b w:val="0"/>
          <w:bCs w:val="0"/>
          <w:color w:val="000000"/>
          <w:sz w:val="30"/>
          <w:szCs w:val="30"/>
          <w:lang w:val="en-US" w:eastAsia="zh-CN"/>
        </w:rPr>
        <w:t>《病媒生物密度控制水平C级标准国标2011版》。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fldChar w:fldCharType="begin"/>
      </w:r>
      <w:r>
        <w:rPr>
          <w:rFonts w:hint="eastAsia" w:ascii="仿宋_GB2312" w:hAnsi="仿宋_GB2312" w:eastAsia="仿宋_GB2312" w:cs="仿宋_GB2312"/>
          <w:b w:val="0"/>
          <w:bCs w:val="0"/>
          <w:color w:val="000000"/>
          <w:sz w:val="30"/>
          <w:szCs w:val="30"/>
        </w:rPr>
        <w:instrText xml:space="preserve"> = 1 \* GB3 </w:instrText>
      </w:r>
      <w:r>
        <w:rPr>
          <w:rFonts w:hint="eastAsia" w:ascii="仿宋_GB2312" w:hAnsi="仿宋_GB2312" w:eastAsia="仿宋_GB2312" w:cs="仿宋_GB2312"/>
          <w:b w:val="0"/>
          <w:bCs w:val="0"/>
          <w:color w:val="000000"/>
          <w:sz w:val="30"/>
          <w:szCs w:val="30"/>
        </w:rPr>
        <w:fldChar w:fldCharType="separate"/>
      </w:r>
      <w:r>
        <w:rPr>
          <w:rFonts w:hint="eastAsia" w:ascii="仿宋_GB2312" w:hAnsi="仿宋_GB2312" w:eastAsia="仿宋_GB2312" w:cs="仿宋_GB2312"/>
          <w:b w:val="0"/>
          <w:bCs w:val="0"/>
          <w:color w:val="000000"/>
          <w:sz w:val="30"/>
          <w:szCs w:val="30"/>
        </w:rPr>
        <w:t>①</w:t>
      </w:r>
      <w:r>
        <w:rPr>
          <w:rFonts w:hint="eastAsia" w:ascii="仿宋_GB2312" w:hAnsi="仿宋_GB2312" w:eastAsia="仿宋_GB2312" w:cs="仿宋_GB2312"/>
          <w:b w:val="0"/>
          <w:bCs w:val="0"/>
          <w:color w:val="000000"/>
          <w:sz w:val="30"/>
          <w:szCs w:val="30"/>
        </w:rPr>
        <w:fldChar w:fldCharType="end"/>
      </w:r>
      <w:r>
        <w:rPr>
          <w:rFonts w:hint="eastAsia" w:ascii="仿宋_GB2312" w:hAnsi="仿宋_GB2312" w:eastAsia="仿宋_GB2312" w:cs="仿宋_GB2312"/>
          <w:b w:val="0"/>
          <w:bCs w:val="0"/>
          <w:color w:val="000000"/>
          <w:sz w:val="30"/>
          <w:szCs w:val="30"/>
        </w:rPr>
        <w:t>GB/T27770-2011《病媒生物密度控制水平   鼠类》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fldChar w:fldCharType="begin"/>
      </w:r>
      <w:r>
        <w:rPr>
          <w:rFonts w:hint="eastAsia" w:ascii="仿宋_GB2312" w:hAnsi="仿宋_GB2312" w:eastAsia="仿宋_GB2312" w:cs="仿宋_GB2312"/>
          <w:b w:val="0"/>
          <w:bCs w:val="0"/>
          <w:color w:val="000000"/>
          <w:sz w:val="30"/>
          <w:szCs w:val="30"/>
        </w:rPr>
        <w:instrText xml:space="preserve"> = 2 \* GB3 </w:instrText>
      </w:r>
      <w:r>
        <w:rPr>
          <w:rFonts w:hint="eastAsia" w:ascii="仿宋_GB2312" w:hAnsi="仿宋_GB2312" w:eastAsia="仿宋_GB2312" w:cs="仿宋_GB2312"/>
          <w:b w:val="0"/>
          <w:bCs w:val="0"/>
          <w:color w:val="000000"/>
          <w:sz w:val="30"/>
          <w:szCs w:val="30"/>
        </w:rPr>
        <w:fldChar w:fldCharType="separate"/>
      </w:r>
      <w:r>
        <w:rPr>
          <w:rFonts w:hint="eastAsia" w:ascii="仿宋_GB2312" w:hAnsi="仿宋_GB2312" w:eastAsia="仿宋_GB2312" w:cs="仿宋_GB2312"/>
          <w:b w:val="0"/>
          <w:bCs w:val="0"/>
          <w:color w:val="000000"/>
          <w:sz w:val="30"/>
          <w:szCs w:val="30"/>
        </w:rPr>
        <w:t>②</w:t>
      </w:r>
      <w:r>
        <w:rPr>
          <w:rFonts w:hint="eastAsia" w:ascii="仿宋_GB2312" w:hAnsi="仿宋_GB2312" w:eastAsia="仿宋_GB2312" w:cs="仿宋_GB2312"/>
          <w:b w:val="0"/>
          <w:bCs w:val="0"/>
          <w:color w:val="000000"/>
          <w:sz w:val="30"/>
          <w:szCs w:val="30"/>
        </w:rPr>
        <w:fldChar w:fldCharType="end"/>
      </w:r>
      <w:r>
        <w:rPr>
          <w:rFonts w:hint="eastAsia" w:ascii="仿宋_GB2312" w:hAnsi="仿宋_GB2312" w:eastAsia="仿宋_GB2312" w:cs="仿宋_GB2312"/>
          <w:b w:val="0"/>
          <w:bCs w:val="0"/>
          <w:color w:val="000000"/>
          <w:sz w:val="30"/>
          <w:szCs w:val="30"/>
        </w:rPr>
        <w:t>GB/T27771-2011《病媒生物密度控制水平   蚊虫》</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t>③GB/T27772-2011《病媒生物密度控制水平   蝇类》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t>④GB/T27773-2011《病媒生物密度控制水平   蜚蠊》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2、</w:t>
      </w:r>
      <w:r>
        <w:rPr>
          <w:rFonts w:hint="eastAsia" w:ascii="仿宋_GB2312" w:hAnsi="仿宋_GB2312" w:eastAsia="仿宋_GB2312" w:cs="仿宋_GB2312"/>
          <w:i w:val="0"/>
          <w:iCs w:val="0"/>
          <w:color w:val="000000"/>
          <w:kern w:val="0"/>
          <w:sz w:val="30"/>
          <w:szCs w:val="30"/>
          <w:u w:val="none"/>
          <w:lang w:val="en-US" w:eastAsia="zh-CN" w:bidi="ar"/>
        </w:rPr>
        <w:t>校园132棵树木以地面为参照1.5米刷白防虫。应注意白灰的厚度，不要太薄，以免在恶劣的环境中受到破坏，而太厚则会对树木的生长造成影响。半年内发现干裂等情况，需重新补刷。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jc w:val="left"/>
        <w:textAlignment w:val="auto"/>
        <w:rPr>
          <w:rFonts w:hint="eastAsia" w:ascii="黑体" w:hAnsi="黑体" w:eastAsia="黑体" w:cs="黑体"/>
          <w:b w:val="0"/>
          <w:bCs w:val="0"/>
          <w:color w:val="000000"/>
          <w:sz w:val="30"/>
          <w:szCs w:val="30"/>
        </w:rPr>
      </w:pPr>
      <w:r>
        <w:rPr>
          <w:rFonts w:hint="eastAsia" w:ascii="黑体" w:hAnsi="黑体" w:eastAsia="黑体" w:cs="黑体"/>
          <w:b w:val="0"/>
          <w:bCs w:val="0"/>
          <w:color w:val="000000"/>
          <w:sz w:val="30"/>
          <w:szCs w:val="30"/>
        </w:rPr>
        <w:t>支付方式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b w:val="0"/>
          <w:bCs w:val="0"/>
          <w:color w:val="000000"/>
          <w:sz w:val="30"/>
          <w:szCs w:val="30"/>
        </w:rPr>
        <w:t>采取</w:t>
      </w:r>
      <w:r>
        <w:rPr>
          <w:rFonts w:hint="eastAsia" w:ascii="仿宋_GB2312" w:hAnsi="仿宋_GB2312" w:eastAsia="仿宋_GB2312" w:cs="仿宋_GB2312"/>
          <w:b w:val="0"/>
          <w:bCs w:val="0"/>
          <w:color w:val="000000"/>
          <w:sz w:val="30"/>
          <w:szCs w:val="30"/>
          <w:lang w:eastAsia="zh-CN"/>
        </w:rPr>
        <w:t>三</w:t>
      </w:r>
      <w:r>
        <w:rPr>
          <w:rFonts w:hint="eastAsia" w:ascii="仿宋_GB2312" w:hAnsi="仿宋_GB2312" w:eastAsia="仿宋_GB2312" w:cs="仿宋_GB2312"/>
          <w:b w:val="0"/>
          <w:bCs w:val="0"/>
          <w:color w:val="000000"/>
          <w:sz w:val="30"/>
          <w:szCs w:val="30"/>
        </w:rPr>
        <w:t>次支付</w:t>
      </w:r>
      <w:r>
        <w:rPr>
          <w:rFonts w:hint="eastAsia" w:ascii="仿宋_GB2312" w:hAnsi="仿宋_GB2312" w:eastAsia="仿宋_GB2312" w:cs="仿宋_GB2312"/>
          <w:b w:val="0"/>
          <w:bCs w:val="0"/>
          <w:color w:val="000000"/>
          <w:sz w:val="30"/>
          <w:szCs w:val="30"/>
          <w:lang w:eastAsia="zh-CN"/>
        </w:rPr>
        <w:t>对公转账</w:t>
      </w:r>
      <w:r>
        <w:rPr>
          <w:rFonts w:hint="eastAsia" w:ascii="仿宋_GB2312" w:hAnsi="仿宋_GB2312" w:eastAsia="仿宋_GB2312" w:cs="仿宋_GB2312"/>
          <w:b w:val="0"/>
          <w:bCs w:val="0"/>
          <w:color w:val="000000"/>
          <w:sz w:val="30"/>
          <w:szCs w:val="30"/>
        </w:rPr>
        <w:t>的方式支付</w:t>
      </w:r>
      <w:r>
        <w:rPr>
          <w:rFonts w:hint="eastAsia" w:ascii="仿宋_GB2312" w:hAnsi="仿宋_GB2312" w:eastAsia="仿宋_GB2312" w:cs="仿宋_GB2312"/>
          <w:b w:val="0"/>
          <w:bCs w:val="0"/>
          <w:color w:val="000000"/>
          <w:sz w:val="30"/>
          <w:szCs w:val="30"/>
          <w:lang w:eastAsia="zh-CN"/>
        </w:rPr>
        <w:t>消杀</w:t>
      </w:r>
      <w:r>
        <w:rPr>
          <w:rFonts w:hint="eastAsia" w:ascii="仿宋_GB2312" w:hAnsi="仿宋_GB2312" w:eastAsia="仿宋_GB2312" w:cs="仿宋_GB2312"/>
          <w:b w:val="0"/>
          <w:bCs w:val="0"/>
          <w:color w:val="000000"/>
          <w:sz w:val="30"/>
          <w:szCs w:val="30"/>
        </w:rPr>
        <w:t>费用。支付费用时间节点为：签订合同之日起至完成第</w:t>
      </w:r>
      <w:r>
        <w:rPr>
          <w:rFonts w:hint="eastAsia" w:ascii="仿宋_GB2312" w:hAnsi="仿宋_GB2312" w:eastAsia="仿宋_GB2312" w:cs="仿宋_GB2312"/>
          <w:b w:val="0"/>
          <w:bCs w:val="0"/>
          <w:color w:val="000000"/>
          <w:sz w:val="30"/>
          <w:szCs w:val="30"/>
          <w:lang w:val="en-US" w:eastAsia="zh-CN"/>
        </w:rPr>
        <w:t>4</w:t>
      </w:r>
      <w:r>
        <w:rPr>
          <w:rFonts w:hint="eastAsia" w:ascii="仿宋_GB2312" w:hAnsi="仿宋_GB2312" w:eastAsia="仿宋_GB2312" w:cs="仿宋_GB2312"/>
          <w:b w:val="0"/>
          <w:bCs w:val="0"/>
          <w:color w:val="000000"/>
          <w:sz w:val="30"/>
          <w:szCs w:val="30"/>
        </w:rPr>
        <w:t>个月结算一次，第</w:t>
      </w:r>
      <w:r>
        <w:rPr>
          <w:rFonts w:hint="eastAsia" w:ascii="仿宋_GB2312" w:hAnsi="仿宋_GB2312" w:eastAsia="仿宋_GB2312" w:cs="仿宋_GB2312"/>
          <w:b w:val="0"/>
          <w:bCs w:val="0"/>
          <w:color w:val="000000"/>
          <w:sz w:val="30"/>
          <w:szCs w:val="30"/>
          <w:lang w:val="en-US" w:eastAsia="zh-CN"/>
        </w:rPr>
        <w:t>8</w:t>
      </w:r>
      <w:r>
        <w:rPr>
          <w:rFonts w:hint="eastAsia" w:ascii="仿宋_GB2312" w:hAnsi="仿宋_GB2312" w:eastAsia="仿宋_GB2312" w:cs="仿宋_GB2312"/>
          <w:b w:val="0"/>
          <w:bCs w:val="0"/>
          <w:color w:val="000000"/>
          <w:sz w:val="30"/>
          <w:szCs w:val="30"/>
        </w:rPr>
        <w:t>个月完成后结算第二次，第</w:t>
      </w:r>
      <w:r>
        <w:rPr>
          <w:rFonts w:hint="eastAsia" w:ascii="仿宋_GB2312" w:hAnsi="仿宋_GB2312" w:eastAsia="仿宋_GB2312" w:cs="仿宋_GB2312"/>
          <w:b w:val="0"/>
          <w:bCs w:val="0"/>
          <w:color w:val="000000"/>
          <w:sz w:val="30"/>
          <w:szCs w:val="30"/>
          <w:lang w:val="en-US" w:eastAsia="zh-CN"/>
        </w:rPr>
        <w:t>12</w:t>
      </w:r>
      <w:r>
        <w:rPr>
          <w:rFonts w:hint="eastAsia" w:ascii="仿宋_GB2312" w:hAnsi="仿宋_GB2312" w:eastAsia="仿宋_GB2312" w:cs="仿宋_GB2312"/>
          <w:b w:val="0"/>
          <w:bCs w:val="0"/>
          <w:color w:val="000000"/>
          <w:sz w:val="30"/>
          <w:szCs w:val="30"/>
        </w:rPr>
        <w:t>个月完成后结算第</w:t>
      </w:r>
      <w:r>
        <w:rPr>
          <w:rFonts w:hint="eastAsia" w:ascii="仿宋_GB2312" w:hAnsi="仿宋_GB2312" w:eastAsia="仿宋_GB2312" w:cs="仿宋_GB2312"/>
          <w:b w:val="0"/>
          <w:bCs w:val="0"/>
          <w:color w:val="000000"/>
          <w:sz w:val="30"/>
          <w:szCs w:val="30"/>
          <w:lang w:eastAsia="zh-CN"/>
        </w:rPr>
        <w:t>三</w:t>
      </w:r>
      <w:r>
        <w:rPr>
          <w:rFonts w:hint="eastAsia" w:ascii="仿宋_GB2312" w:hAnsi="仿宋_GB2312" w:eastAsia="仿宋_GB2312" w:cs="仿宋_GB2312"/>
          <w:b w:val="0"/>
          <w:bCs w:val="0"/>
          <w:color w:val="000000"/>
          <w:sz w:val="30"/>
          <w:szCs w:val="30"/>
        </w:rPr>
        <w:t>次</w:t>
      </w:r>
      <w:r>
        <w:rPr>
          <w:rFonts w:hint="eastAsia" w:ascii="仿宋_GB2312" w:hAnsi="仿宋_GB2312" w:eastAsia="仿宋_GB2312" w:cs="仿宋_GB2312"/>
          <w:b w:val="0"/>
          <w:bCs w:val="0"/>
          <w:color w:val="000000"/>
          <w:sz w:val="30"/>
          <w:szCs w:val="30"/>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黑体" w:hAnsi="黑体" w:eastAsia="黑体" w:cs="黑体"/>
          <w:b w:val="0"/>
          <w:bCs w:val="0"/>
          <w:color w:val="000000"/>
          <w:sz w:val="30"/>
          <w:szCs w:val="30"/>
          <w:lang w:eastAsia="zh-CN"/>
        </w:rPr>
      </w:pPr>
      <w:r>
        <w:rPr>
          <w:rFonts w:hint="eastAsia" w:ascii="黑体" w:hAnsi="黑体" w:eastAsia="黑体" w:cs="黑体"/>
          <w:b w:val="0"/>
          <w:bCs w:val="0"/>
          <w:color w:val="000000"/>
          <w:sz w:val="30"/>
          <w:szCs w:val="30"/>
          <w:lang w:eastAsia="zh-CN"/>
        </w:rPr>
        <w:t>材料要求（以下必须提供，否则竞标无效）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rPr>
        <w:t>磋商报价表（</w:t>
      </w:r>
      <w:r>
        <w:rPr>
          <w:rFonts w:hint="eastAsia" w:ascii="仿宋_GB2312" w:hAnsi="仿宋_GB2312" w:eastAsia="仿宋_GB2312" w:cs="仿宋_GB2312"/>
          <w:b w:val="0"/>
          <w:bCs w:val="0"/>
          <w:sz w:val="30"/>
          <w:szCs w:val="30"/>
          <w:lang w:eastAsia="zh-CN"/>
        </w:rPr>
        <w:t>见下表</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服务响应、偏离情况说明表（</w:t>
      </w:r>
      <w:r>
        <w:rPr>
          <w:rFonts w:hint="eastAsia" w:ascii="仿宋_GB2312" w:hAnsi="仿宋_GB2312" w:eastAsia="仿宋_GB2312" w:cs="仿宋_GB2312"/>
          <w:b w:val="0"/>
          <w:bCs w:val="0"/>
          <w:sz w:val="30"/>
          <w:szCs w:val="30"/>
          <w:lang w:eastAsia="zh-CN"/>
        </w:rPr>
        <w:t>见下表</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rPr>
        <w:t>磋商供应商有效的”营业执照”复印件或者证明磋商供应商具有法人资格或具有独立承担民事责任能力的注册登记证书等证明文件复印件</w:t>
      </w:r>
      <w:r>
        <w:rPr>
          <w:rFonts w:hint="eastAsia" w:ascii="仿宋_GB2312" w:hAnsi="仿宋_GB2312" w:eastAsia="仿宋_GB2312" w:cs="仿宋_GB2312"/>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i w:val="0"/>
          <w:iCs w:val="0"/>
          <w:caps w:val="0"/>
          <w:color w:val="000000"/>
          <w:spacing w:val="0"/>
          <w:kern w:val="0"/>
          <w:sz w:val="30"/>
          <w:szCs w:val="30"/>
          <w:shd w:val="clear" w:color="auto" w:fill="FFFFFF"/>
          <w:lang w:val="en-US" w:eastAsia="zh-CN" w:bidi="ar"/>
        </w:rPr>
        <w:t>有害生物防治服务资质证书、</w:t>
      </w:r>
      <w:r>
        <w:rPr>
          <w:rFonts w:hint="eastAsia" w:ascii="仿宋_GB2312" w:hAnsi="仿宋_GB2312" w:eastAsia="仿宋_GB2312" w:cs="仿宋_GB2312"/>
          <w:b w:val="0"/>
          <w:bCs w:val="0"/>
          <w:i w:val="0"/>
          <w:iCs w:val="0"/>
          <w:caps w:val="0"/>
          <w:color w:val="000000"/>
          <w:spacing w:val="0"/>
          <w:sz w:val="30"/>
          <w:szCs w:val="30"/>
          <w:u w:val="none"/>
          <w:vertAlign w:val="baseline"/>
          <w:lang w:val="en-US"/>
        </w:rPr>
        <w:t>白蚁防治</w:t>
      </w:r>
      <w:r>
        <w:rPr>
          <w:rFonts w:hint="eastAsia" w:ascii="仿宋_GB2312" w:hAnsi="仿宋_GB2312" w:eastAsia="仿宋_GB2312" w:cs="仿宋_GB2312"/>
          <w:b w:val="0"/>
          <w:bCs w:val="0"/>
          <w:i w:val="0"/>
          <w:iCs w:val="0"/>
          <w:caps w:val="0"/>
          <w:color w:val="000000"/>
          <w:spacing w:val="0"/>
          <w:sz w:val="30"/>
          <w:szCs w:val="30"/>
          <w:u w:val="none"/>
          <w:vertAlign w:val="baseline"/>
        </w:rPr>
        <w:t>相关资质</w:t>
      </w:r>
      <w:r>
        <w:rPr>
          <w:rFonts w:hint="eastAsia" w:ascii="仿宋_GB2312" w:hAnsi="仿宋_GB2312" w:eastAsia="仿宋_GB2312" w:cs="仿宋_GB2312"/>
          <w:b w:val="0"/>
          <w:bCs w:val="0"/>
          <w:i w:val="0"/>
          <w:iCs w:val="0"/>
          <w:caps w:val="0"/>
          <w:color w:val="000000"/>
          <w:spacing w:val="0"/>
          <w:sz w:val="30"/>
          <w:szCs w:val="30"/>
          <w:u w:val="none"/>
          <w:vertAlign w:val="baseline"/>
          <w:lang w:eastAsia="zh-CN"/>
        </w:rPr>
        <w:t>证书、</w:t>
      </w:r>
      <w:r>
        <w:rPr>
          <w:rFonts w:hint="eastAsia" w:ascii="仿宋_GB2312" w:hAnsi="仿宋_GB2312" w:eastAsia="仿宋_GB2312" w:cs="仿宋_GB2312"/>
          <w:b w:val="0"/>
          <w:bCs w:val="0"/>
          <w:i w:val="0"/>
          <w:iCs w:val="0"/>
          <w:caps w:val="0"/>
          <w:color w:val="000000"/>
          <w:spacing w:val="0"/>
          <w:kern w:val="0"/>
          <w:sz w:val="30"/>
          <w:szCs w:val="30"/>
          <w:shd w:val="clear" w:color="auto" w:fill="FFFFFF"/>
          <w:lang w:val="en-US" w:eastAsia="zh-CN" w:bidi="ar"/>
        </w:rPr>
        <w:t>药品生产厂家“三证”、有害生物防治</w:t>
      </w:r>
      <w:r>
        <w:rPr>
          <w:rFonts w:hint="eastAsia" w:ascii="仿宋_GB2312" w:hAnsi="仿宋_GB2312" w:eastAsia="仿宋_GB2312" w:cs="仿宋_GB2312"/>
          <w:b w:val="0"/>
          <w:bCs w:val="0"/>
          <w:color w:val="auto"/>
          <w:sz w:val="30"/>
          <w:szCs w:val="30"/>
        </w:rPr>
        <w:t>质量管理体系证书</w:t>
      </w:r>
      <w:r>
        <w:rPr>
          <w:rFonts w:hint="eastAsia" w:ascii="仿宋_GB2312" w:hAnsi="仿宋_GB2312" w:eastAsia="仿宋_GB2312" w:cs="仿宋_GB2312"/>
          <w:b w:val="0"/>
          <w:bCs w:val="0"/>
          <w:i w:val="0"/>
          <w:iCs w:val="0"/>
          <w:caps w:val="0"/>
          <w:color w:val="000000"/>
          <w:spacing w:val="0"/>
          <w:kern w:val="0"/>
          <w:sz w:val="30"/>
          <w:szCs w:val="30"/>
          <w:shd w:val="clear" w:color="auto" w:fill="FFFFFF"/>
          <w:lang w:val="en-US" w:eastAsia="zh-CN" w:bidi="ar"/>
        </w:rPr>
        <w:t>复印件。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i w:val="0"/>
          <w:iCs w:val="0"/>
          <w:caps w:val="0"/>
          <w:color w:val="000000"/>
          <w:spacing w:val="0"/>
          <w:kern w:val="0"/>
          <w:sz w:val="30"/>
          <w:szCs w:val="30"/>
          <w:shd w:val="clear" w:color="auto" w:fill="FFFFFF"/>
          <w:lang w:val="en-US" w:eastAsia="zh-CN" w:bidi="ar"/>
        </w:rPr>
        <w:t>5、</w:t>
      </w:r>
      <w:r>
        <w:rPr>
          <w:rFonts w:hint="eastAsia" w:ascii="仿宋_GB2312" w:hAnsi="仿宋_GB2312" w:eastAsia="仿宋_GB2312" w:cs="仿宋_GB2312"/>
          <w:b w:val="0"/>
          <w:bCs w:val="0"/>
          <w:sz w:val="30"/>
          <w:szCs w:val="30"/>
        </w:rPr>
        <w:t>法定代表人（或注册登记证书上的代表人）授权书原件和法定代表人、委托代理人身份证复印件（</w:t>
      </w:r>
      <w:r>
        <w:rPr>
          <w:rFonts w:hint="eastAsia" w:ascii="仿宋_GB2312" w:hAnsi="仿宋_GB2312" w:eastAsia="仿宋_GB2312" w:cs="仿宋_GB2312"/>
          <w:b w:val="0"/>
          <w:bCs w:val="0"/>
          <w:sz w:val="30"/>
          <w:szCs w:val="30"/>
          <w:lang w:eastAsia="zh-CN"/>
        </w:rPr>
        <w:t>见下表</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6、</w:t>
      </w:r>
      <w:r>
        <w:rPr>
          <w:rFonts w:hint="eastAsia" w:ascii="仿宋_GB2312" w:hAnsi="仿宋_GB2312" w:eastAsia="仿宋_GB2312" w:cs="仿宋_GB2312"/>
          <w:b w:val="0"/>
          <w:bCs w:val="0"/>
          <w:sz w:val="30"/>
          <w:szCs w:val="30"/>
        </w:rPr>
        <w:t>“信用中国”网站(www.creditchina.gov.cn) 、中国政府采购网(www.ccgp.gov.cn)在查询网站中直接打印查询记录，打印材料作为评审资料。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7、</w:t>
      </w:r>
      <w:r>
        <w:rPr>
          <w:rFonts w:hint="eastAsia" w:ascii="仿宋_GB2312" w:hAnsi="仿宋_GB2312" w:eastAsia="仿宋_GB2312" w:cs="仿宋_GB2312"/>
          <w:b w:val="0"/>
          <w:bCs w:val="0"/>
          <w:sz w:val="30"/>
          <w:szCs w:val="30"/>
        </w:rPr>
        <w:t>编制方案（格式自拟）</w:t>
      </w:r>
      <w:r>
        <w:rPr>
          <w:rFonts w:hint="eastAsia" w:ascii="仿宋_GB2312" w:hAnsi="仿宋_GB2312" w:eastAsia="仿宋_GB2312" w:cs="仿宋_GB2312"/>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8、</w:t>
      </w:r>
      <w:r>
        <w:rPr>
          <w:rFonts w:hint="eastAsia" w:ascii="仿宋_GB2312" w:hAnsi="仿宋_GB2312" w:eastAsia="仿宋_GB2312" w:cs="仿宋_GB2312"/>
          <w:b w:val="0"/>
          <w:bCs w:val="0"/>
          <w:sz w:val="30"/>
          <w:szCs w:val="30"/>
        </w:rPr>
        <w:t>人员配备方案（格式自拟）</w:t>
      </w:r>
      <w:r>
        <w:rPr>
          <w:rFonts w:hint="eastAsia" w:ascii="仿宋_GB2312" w:hAnsi="仿宋_GB2312" w:eastAsia="仿宋_GB2312" w:cs="仿宋_GB2312"/>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sz w:val="30"/>
          <w:szCs w:val="30"/>
          <w:lang w:val="en-US" w:eastAsia="zh-CN"/>
        </w:rPr>
        <w:t>9、所投入工作人员必须持有</w:t>
      </w:r>
      <w:r>
        <w:rPr>
          <w:rFonts w:hint="eastAsia" w:ascii="仿宋_GB2312" w:hAnsi="仿宋_GB2312" w:eastAsia="仿宋_GB2312" w:cs="仿宋_GB2312"/>
          <w:b w:val="0"/>
          <w:bCs w:val="0"/>
          <w:color w:val="auto"/>
          <w:sz w:val="30"/>
          <w:szCs w:val="30"/>
          <w:u w:val="none"/>
          <w:lang w:val="en-US" w:eastAsia="zh-CN"/>
        </w:rPr>
        <w:t>有害生物防治资格证书。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i w:val="0"/>
          <w:iCs w:val="0"/>
          <w:caps w:val="0"/>
          <w:color w:val="000000"/>
          <w:spacing w:val="0"/>
          <w:kern w:val="0"/>
          <w:sz w:val="30"/>
          <w:szCs w:val="30"/>
          <w:shd w:val="clear" w:color="auto" w:fill="FFFFFF"/>
          <w:lang w:val="en-US" w:eastAsia="zh-CN" w:bidi="ar"/>
        </w:rPr>
        <w:t>六、项目</w:t>
      </w:r>
      <w:r>
        <w:rPr>
          <w:rFonts w:hint="eastAsia" w:ascii="黑体" w:hAnsi="黑体" w:eastAsia="黑体" w:cs="黑体"/>
          <w:b w:val="0"/>
          <w:bCs w:val="0"/>
          <w:sz w:val="30"/>
          <w:szCs w:val="30"/>
        </w:rPr>
        <w:t>磋商</w:t>
      </w:r>
      <w:r>
        <w:rPr>
          <w:rFonts w:hint="eastAsia" w:ascii="黑体" w:hAnsi="黑体" w:eastAsia="黑体" w:cs="黑体"/>
          <w:b w:val="0"/>
          <w:bCs w:val="0"/>
          <w:sz w:val="30"/>
          <w:szCs w:val="30"/>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lang w:eastAsia="zh-CN"/>
        </w:rPr>
      </w:pPr>
      <w:r>
        <w:rPr>
          <w:rFonts w:hint="eastAsia" w:ascii="黑体" w:hAnsi="黑体" w:eastAsia="黑体" w:cs="黑体"/>
          <w:b w:val="0"/>
          <w:bCs w:val="0"/>
          <w:sz w:val="30"/>
          <w:szCs w:val="30"/>
          <w:lang w:val="en-US" w:eastAsia="zh-CN"/>
        </w:rPr>
        <w:t>1、</w:t>
      </w:r>
      <w:r>
        <w:rPr>
          <w:rFonts w:hint="eastAsia" w:ascii="仿宋_GB2312" w:hAnsi="仿宋_GB2312" w:eastAsia="仿宋_GB2312" w:cs="仿宋_GB2312"/>
          <w:b w:val="0"/>
          <w:bCs w:val="0"/>
          <w:sz w:val="30"/>
          <w:szCs w:val="30"/>
        </w:rPr>
        <w:t>磋商报价：磋商供应商须就《磋商采购技术规格、参数及要求》中的全部服务内容作完整唯一报价</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响应文件份数：正本一份、副本四份</w:t>
      </w:r>
      <w:r>
        <w:rPr>
          <w:rFonts w:hint="eastAsia" w:ascii="仿宋_GB2312" w:hAnsi="仿宋_GB2312" w:eastAsia="仿宋_GB2312" w:cs="仿宋_GB2312"/>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kern w:val="0"/>
          <w:sz w:val="30"/>
          <w:szCs w:val="30"/>
        </w:rPr>
        <w:t>本项目采用总价包干制，磋商</w:t>
      </w:r>
      <w:r>
        <w:rPr>
          <w:rFonts w:hint="eastAsia" w:ascii="仿宋_GB2312" w:hAnsi="仿宋_GB2312" w:eastAsia="仿宋_GB2312" w:cs="仿宋_GB2312"/>
          <w:b w:val="0"/>
          <w:bCs w:val="0"/>
          <w:kern w:val="0"/>
          <w:sz w:val="30"/>
          <w:szCs w:val="30"/>
          <w:lang w:eastAsia="zh-CN"/>
        </w:rPr>
        <w:t>服务</w:t>
      </w:r>
      <w:r>
        <w:rPr>
          <w:rFonts w:hint="eastAsia" w:ascii="仿宋_GB2312" w:hAnsi="仿宋_GB2312" w:eastAsia="仿宋_GB2312" w:cs="仿宋_GB2312"/>
          <w:b w:val="0"/>
          <w:bCs w:val="0"/>
          <w:kern w:val="0"/>
          <w:sz w:val="30"/>
          <w:szCs w:val="30"/>
        </w:rPr>
        <w:t>商做出的报价包含服务期内完成本项目需要开支的一切费用，业主将不再追加支付任何其他形式的其他费用。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kern w:val="0"/>
          <w:sz w:val="30"/>
          <w:szCs w:val="30"/>
          <w:lang w:val="en-US" w:eastAsia="zh-CN"/>
        </w:rPr>
        <w:t>3、</w:t>
      </w:r>
      <w:r>
        <w:rPr>
          <w:rFonts w:hint="eastAsia" w:ascii="仿宋_GB2312" w:hAnsi="仿宋_GB2312" w:eastAsia="仿宋_GB2312" w:cs="仿宋_GB2312"/>
          <w:b w:val="0"/>
          <w:bCs w:val="0"/>
          <w:sz w:val="30"/>
          <w:szCs w:val="30"/>
        </w:rPr>
        <w:t>磋商供应商对竞争性磋商响应文件的编制应按要求装订和封装。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20"/>
          <w:kern w:val="2"/>
          <w:sz w:val="30"/>
          <w:szCs w:val="30"/>
          <w:lang w:eastAsia="zh-CN"/>
        </w:rPr>
      </w:pP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i w:val="0"/>
          <w:iCs w:val="0"/>
          <w:caps w:val="0"/>
          <w:color w:val="000000"/>
          <w:spacing w:val="0"/>
          <w:sz w:val="30"/>
          <w:szCs w:val="30"/>
          <w:shd w:val="clear" w:color="auto" w:fill="FFFFFF"/>
        </w:rPr>
        <w:t>项目上限价：</w:t>
      </w:r>
      <w:r>
        <w:rPr>
          <w:rFonts w:hint="eastAsia" w:ascii="仿宋_GB2312" w:hAnsi="仿宋_GB2312" w:eastAsia="仿宋_GB2312" w:cs="仿宋_GB2312"/>
          <w:i w:val="0"/>
          <w:iCs w:val="0"/>
          <w:caps w:val="0"/>
          <w:color w:val="000000"/>
          <w:spacing w:val="0"/>
          <w:sz w:val="30"/>
          <w:szCs w:val="30"/>
          <w:u w:val="none"/>
          <w:lang w:val="en-US"/>
        </w:rPr>
        <w:t>¥</w:t>
      </w:r>
      <w:r>
        <w:rPr>
          <w:rFonts w:hint="eastAsia" w:ascii="仿宋_GB2312" w:hAnsi="仿宋_GB2312" w:eastAsia="仿宋_GB2312" w:cs="仿宋_GB2312"/>
          <w:i w:val="0"/>
          <w:iCs w:val="0"/>
          <w:caps w:val="0"/>
          <w:color w:val="000000"/>
          <w:spacing w:val="0"/>
          <w:sz w:val="30"/>
          <w:szCs w:val="30"/>
          <w:u w:val="none"/>
          <w:lang w:val="en-US" w:eastAsia="zh-CN"/>
        </w:rPr>
        <w:t xml:space="preserve"> </w:t>
      </w:r>
      <w:r>
        <w:rPr>
          <w:rFonts w:hint="eastAsia" w:ascii="仿宋_GB2312" w:hAnsi="仿宋_GB2312" w:eastAsia="仿宋_GB2312" w:cs="仿宋_GB2312"/>
          <w:i w:val="0"/>
          <w:iCs w:val="0"/>
          <w:caps w:val="0"/>
          <w:color w:val="000000"/>
          <w:spacing w:val="0"/>
          <w:sz w:val="30"/>
          <w:szCs w:val="30"/>
          <w:u w:val="none"/>
          <w:lang w:val="en-US"/>
        </w:rPr>
        <w:t>4</w:t>
      </w:r>
      <w:r>
        <w:rPr>
          <w:rFonts w:hint="eastAsia" w:ascii="仿宋_GB2312" w:hAnsi="仿宋_GB2312" w:eastAsia="仿宋_GB2312" w:cs="仿宋_GB2312"/>
          <w:i w:val="0"/>
          <w:iCs w:val="0"/>
          <w:caps w:val="0"/>
          <w:color w:val="000000"/>
          <w:spacing w:val="0"/>
          <w:sz w:val="30"/>
          <w:szCs w:val="30"/>
          <w:u w:val="none"/>
          <w:lang w:val="en-US" w:eastAsia="zh-CN"/>
        </w:rPr>
        <w:t>.9</w:t>
      </w:r>
      <w:r>
        <w:rPr>
          <w:rFonts w:hint="eastAsia" w:ascii="仿宋_GB2312" w:hAnsi="仿宋_GB2312" w:eastAsia="仿宋_GB2312" w:cs="仿宋_GB2312"/>
          <w:i w:val="0"/>
          <w:iCs w:val="0"/>
          <w:caps w:val="0"/>
          <w:color w:val="000000"/>
          <w:spacing w:val="0"/>
          <w:sz w:val="30"/>
          <w:szCs w:val="30"/>
          <w:u w:val="none"/>
          <w:lang w:val="en-US"/>
        </w:rPr>
        <w:t>万元</w:t>
      </w:r>
      <w:r>
        <w:rPr>
          <w:rFonts w:hint="eastAsia" w:ascii="仿宋_GB2312" w:hAnsi="仿宋_GB2312" w:eastAsia="仿宋_GB2312" w:cs="仿宋_GB2312"/>
          <w:i w:val="0"/>
          <w:iCs w:val="0"/>
          <w:caps w:val="0"/>
          <w:color w:val="000000"/>
          <w:spacing w:val="0"/>
          <w:sz w:val="30"/>
          <w:szCs w:val="30"/>
          <w:u w:val="none"/>
          <w:lang w:val="en-US" w:eastAsia="zh-CN"/>
        </w:rPr>
        <w:t>；为达到服务要求及</w:t>
      </w:r>
      <w:r>
        <w:rPr>
          <w:rFonts w:hint="eastAsia" w:ascii="仿宋_GB2312" w:hAnsi="仿宋_GB2312" w:eastAsia="仿宋_GB2312" w:cs="仿宋_GB2312"/>
          <w:spacing w:val="20"/>
          <w:kern w:val="2"/>
          <w:sz w:val="30"/>
          <w:szCs w:val="30"/>
          <w:lang w:eastAsia="zh-CN"/>
        </w:rPr>
        <w:t>服务质量，</w:t>
      </w:r>
      <w:r>
        <w:rPr>
          <w:rFonts w:hint="eastAsia" w:ascii="仿宋_GB2312" w:hAnsi="仿宋_GB2312" w:eastAsia="仿宋_GB2312" w:cs="仿宋_GB2312"/>
          <w:spacing w:val="20"/>
          <w:kern w:val="2"/>
          <w:sz w:val="30"/>
          <w:szCs w:val="30"/>
        </w:rPr>
        <w:t>竞标人的磋商报价不得</w:t>
      </w:r>
      <w:r>
        <w:rPr>
          <w:rFonts w:hint="eastAsia" w:ascii="仿宋_GB2312" w:hAnsi="仿宋_GB2312" w:eastAsia="仿宋_GB2312" w:cs="仿宋_GB2312"/>
          <w:spacing w:val="20"/>
          <w:kern w:val="2"/>
          <w:sz w:val="30"/>
          <w:szCs w:val="30"/>
          <w:lang w:eastAsia="zh-CN"/>
        </w:rPr>
        <w:t>少于</w:t>
      </w:r>
      <w:r>
        <w:rPr>
          <w:rFonts w:hint="eastAsia" w:ascii="仿宋_GB2312" w:hAnsi="仿宋_GB2312" w:eastAsia="仿宋_GB2312" w:cs="仿宋_GB2312"/>
          <w:spacing w:val="20"/>
          <w:kern w:val="2"/>
          <w:sz w:val="30"/>
          <w:szCs w:val="30"/>
          <w:lang w:val="en-US" w:eastAsia="zh-CN"/>
        </w:rPr>
        <w:t>4.2万</w:t>
      </w:r>
      <w:r>
        <w:rPr>
          <w:rFonts w:hint="eastAsia" w:ascii="仿宋_GB2312" w:hAnsi="仿宋_GB2312" w:eastAsia="仿宋_GB2312" w:cs="仿宋_GB2312"/>
          <w:spacing w:val="20"/>
          <w:kern w:val="2"/>
          <w:sz w:val="30"/>
          <w:szCs w:val="30"/>
          <w:lang w:eastAsia="zh-CN"/>
        </w:rPr>
        <w:t>元</w:t>
      </w:r>
      <w:r>
        <w:rPr>
          <w:rFonts w:hint="eastAsia" w:ascii="仿宋_GB2312" w:hAnsi="仿宋_GB2312" w:eastAsia="仿宋_GB2312" w:cs="仿宋_GB2312"/>
          <w:spacing w:val="20"/>
          <w:kern w:val="2"/>
          <w:sz w:val="30"/>
          <w:szCs w:val="30"/>
        </w:rPr>
        <w:t>。</w:t>
      </w:r>
      <w:r>
        <w:rPr>
          <w:rFonts w:hint="eastAsia" w:ascii="仿宋_GB2312" w:hAnsi="仿宋_GB2312" w:eastAsia="仿宋_GB2312" w:cs="仿宋_GB2312"/>
          <w:spacing w:val="20"/>
          <w:kern w:val="2"/>
          <w:sz w:val="30"/>
          <w:szCs w:val="30"/>
          <w:lang w:eastAsia="zh-CN"/>
        </w:rPr>
        <w:t>（未按要求评审作废）</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spacing w:val="20"/>
          <w:kern w:val="2"/>
          <w:sz w:val="30"/>
          <w:szCs w:val="30"/>
          <w:lang w:val="en-US" w:eastAsia="zh-CN"/>
        </w:rPr>
        <w:t>5、</w:t>
      </w:r>
      <w:r>
        <w:rPr>
          <w:rFonts w:hint="eastAsia" w:ascii="仿宋_GB2312" w:hAnsi="仿宋_GB2312" w:eastAsia="仿宋_GB2312" w:cs="仿宋_GB2312"/>
          <w:b w:val="0"/>
          <w:bCs w:val="0"/>
          <w:sz w:val="30"/>
          <w:szCs w:val="30"/>
        </w:rPr>
        <w:t>评标办法及评分标准：综合评分法</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从评审报告提出的成交候选人中，根据提出的成交候选供应商中，按照排序由高到低的原则确定成交供应商。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七、</w:t>
      </w:r>
      <w:r>
        <w:rPr>
          <w:rFonts w:hint="eastAsia" w:ascii="黑体" w:hAnsi="黑体" w:eastAsia="黑体" w:cs="黑体"/>
          <w:b w:val="0"/>
          <w:bCs w:val="0"/>
          <w:sz w:val="30"/>
          <w:szCs w:val="30"/>
        </w:rPr>
        <w:t>评审标准</w:t>
      </w:r>
    </w:p>
    <w:p>
      <w:pPr>
        <w:keepNext w:val="0"/>
        <w:keepLines w:val="0"/>
        <w:pageBreakBefore w:val="0"/>
        <w:widowControl w:val="0"/>
        <w:kinsoku/>
        <w:wordWrap/>
        <w:overflowPunct/>
        <w:topLinePunct w:val="0"/>
        <w:autoSpaceDE/>
        <w:autoSpaceDN/>
        <w:bidi w:val="0"/>
        <w:adjustRightInd/>
        <w:snapToGrid/>
        <w:spacing w:line="560" w:lineRule="exact"/>
        <w:ind w:firstLine="60" w:firstLineChars="20"/>
        <w:jc w:val="lef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eastAsia="zh-CN"/>
        </w:rPr>
        <w:t>（一）</w:t>
      </w:r>
      <w:r>
        <w:rPr>
          <w:rFonts w:hint="eastAsia" w:ascii="仿宋_GB2312" w:hAnsi="仿宋_GB2312" w:eastAsia="仿宋_GB2312" w:cs="仿宋_GB2312"/>
          <w:b w:val="0"/>
          <w:bCs w:val="0"/>
          <w:sz w:val="30"/>
          <w:szCs w:val="30"/>
        </w:rPr>
        <w:t>评标原则</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20"/>
        <w:jc w:val="lef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评标依据：磋商小组将以竞争性磋商采购文件、磋商供应商的磋商响应文件为评标依据，对磋商供应商人的磋商报价、商务资信、技术方案、</w:t>
      </w:r>
      <w:r>
        <w:rPr>
          <w:rFonts w:hint="eastAsia" w:ascii="仿宋_GB2312" w:hAnsi="仿宋_GB2312" w:eastAsia="仿宋_GB2312" w:cs="仿宋_GB2312"/>
          <w:b w:val="0"/>
          <w:bCs w:val="0"/>
          <w:spacing w:val="-4"/>
          <w:sz w:val="30"/>
          <w:szCs w:val="30"/>
        </w:rPr>
        <w:t>服务承诺</w:t>
      </w:r>
      <w:r>
        <w:rPr>
          <w:rFonts w:hint="eastAsia" w:ascii="仿宋_GB2312" w:hAnsi="仿宋_GB2312" w:eastAsia="仿宋_GB2312" w:cs="仿宋_GB2312"/>
          <w:b w:val="0"/>
          <w:bCs w:val="0"/>
          <w:sz w:val="30"/>
          <w:szCs w:val="30"/>
        </w:rPr>
        <w:t>等方面内容按百分制打分。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20"/>
        <w:jc w:val="lef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t>评标方式：以封闭方式进行。</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20"/>
        <w:jc w:val="lef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rPr>
        <w:t>磋商小组认为磋商供应商的报价明显低于其他通过符合性审查磋商供应商的报价，有可能影响产品质量或者不能诚信履约的，应当要求其在磋商现场合理的时间内提供书面说明，必要时提交相关证明材料；磋商供应商不能证明其报价合理性的，磋商小组应当将其作为无效竞标处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20"/>
        <w:jc w:val="lef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eastAsia="zh-CN"/>
        </w:rPr>
        <w:t>（二）</w:t>
      </w:r>
      <w:r>
        <w:rPr>
          <w:rFonts w:hint="eastAsia" w:ascii="仿宋_GB2312" w:hAnsi="仿宋_GB2312" w:eastAsia="仿宋_GB2312" w:cs="仿宋_GB2312"/>
          <w:b w:val="0"/>
          <w:bCs w:val="0"/>
          <w:sz w:val="30"/>
          <w:szCs w:val="30"/>
        </w:rPr>
        <w:t>评定方法</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20"/>
        <w:jc w:val="lef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rPr>
        <w:t>对进入详评的，采用百分制综合评分法。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t>计分办法（按四舍五入取至百分位）：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lang w:val="en-US" w:eastAsia="zh-CN"/>
        </w:rPr>
        <w:t xml:space="preserve">① </w:t>
      </w:r>
      <w:r>
        <w:rPr>
          <w:rFonts w:hint="eastAsia" w:ascii="仿宋_GB2312" w:hAnsi="仿宋_GB2312" w:eastAsia="仿宋_GB2312" w:cs="仿宋_GB2312"/>
          <w:b w:val="0"/>
          <w:bCs w:val="0"/>
          <w:sz w:val="30"/>
          <w:szCs w:val="30"/>
          <w:highlight w:val="none"/>
        </w:rPr>
        <w:t>价格分……………………………………………（满分</w:t>
      </w:r>
      <w:r>
        <w:rPr>
          <w:rFonts w:hint="eastAsia" w:ascii="仿宋_GB2312" w:hAnsi="仿宋_GB2312" w:eastAsia="仿宋_GB2312" w:cs="仿宋_GB2312"/>
          <w:b w:val="0"/>
          <w:bCs w:val="0"/>
          <w:sz w:val="30"/>
          <w:szCs w:val="30"/>
          <w:highlight w:val="none"/>
          <w:lang w:val="en-US" w:eastAsia="zh-CN"/>
        </w:rPr>
        <w:t>30</w:t>
      </w:r>
      <w:r>
        <w:rPr>
          <w:rFonts w:hint="eastAsia" w:ascii="仿宋_GB2312" w:hAnsi="仿宋_GB2312" w:eastAsia="仿宋_GB2312" w:cs="仿宋_GB2312"/>
          <w:b w:val="0"/>
          <w:bCs w:val="0"/>
          <w:sz w:val="30"/>
          <w:szCs w:val="30"/>
          <w:highlight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sz w:val="30"/>
          <w:szCs w:val="30"/>
        </w:rPr>
        <w:t xml:space="preserve">满足磋商文件要求且最后单价报价最低的磋商报价为磋商基准价，其价格分为满分。其他竞标人的价格分统一按照下列公式计算： </w:t>
      </w:r>
    </w:p>
    <w:p>
      <w:pPr>
        <w:keepNext w:val="0"/>
        <w:keepLines w:val="0"/>
        <w:pageBreakBefore w:val="0"/>
        <w:widowControl w:val="0"/>
        <w:kinsoku/>
        <w:wordWrap/>
        <w:overflowPunct/>
        <w:topLinePunct w:val="0"/>
        <w:autoSpaceDE/>
        <w:autoSpaceDN/>
        <w:bidi w:val="0"/>
        <w:adjustRightInd/>
        <w:snapToGrid/>
        <w:spacing w:line="560" w:lineRule="exact"/>
        <w:ind w:firstLine="4500" w:firstLineChars="15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最低的磋商报价</w:t>
      </w:r>
    </w:p>
    <w:p>
      <w:pPr>
        <w:keepNext w:val="0"/>
        <w:keepLines w:val="0"/>
        <w:pageBreakBefore w:val="0"/>
        <w:widowControl w:val="0"/>
        <w:kinsoku/>
        <w:wordWrap/>
        <w:overflowPunct/>
        <w:topLinePunct w:val="0"/>
        <w:autoSpaceDE/>
        <w:autoSpaceDN/>
        <w:bidi w:val="0"/>
        <w:adjustRightInd/>
        <w:snapToGrid/>
        <w:spacing w:line="560" w:lineRule="exact"/>
        <w:ind w:left="309" w:leftChars="147"/>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磋商报价得分=    -------------------------------- ×</w:t>
      </w: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rPr>
        <w:t>0分</w:t>
      </w:r>
    </w:p>
    <w:p>
      <w:pPr>
        <w:keepNext w:val="0"/>
        <w:keepLines w:val="0"/>
        <w:pageBreakBefore w:val="0"/>
        <w:widowControl w:val="0"/>
        <w:kinsoku/>
        <w:wordWrap/>
        <w:overflowPunct/>
        <w:topLinePunct w:val="0"/>
        <w:autoSpaceDE/>
        <w:autoSpaceDN/>
        <w:bidi w:val="0"/>
        <w:adjustRightInd/>
        <w:snapToGrid/>
        <w:spacing w:line="560" w:lineRule="exact"/>
        <w:ind w:left="309" w:leftChars="147"/>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某竞标人</w:t>
      </w:r>
      <w:r>
        <w:rPr>
          <w:rFonts w:hint="eastAsia" w:ascii="仿宋_GB2312" w:hAnsi="仿宋_GB2312" w:eastAsia="仿宋_GB2312" w:cs="仿宋_GB2312"/>
          <w:b w:val="0"/>
          <w:bCs w:val="0"/>
          <w:kern w:val="0"/>
          <w:sz w:val="30"/>
          <w:szCs w:val="30"/>
        </w:rPr>
        <w:t>磋商报价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②</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技术方</w:t>
      </w:r>
      <w:r>
        <w:rPr>
          <w:rFonts w:hint="eastAsia" w:ascii="仿宋_GB2312" w:hAnsi="仿宋_GB2312" w:eastAsia="仿宋_GB2312" w:cs="仿宋_GB2312"/>
          <w:b w:val="0"/>
          <w:bCs w:val="0"/>
          <w:sz w:val="30"/>
          <w:szCs w:val="30"/>
          <w:lang w:eastAsia="zh-CN"/>
        </w:rPr>
        <w:t>案</w:t>
      </w:r>
      <w:r>
        <w:rPr>
          <w:rFonts w:hint="eastAsia" w:ascii="仿宋_GB2312" w:hAnsi="仿宋_GB2312" w:eastAsia="仿宋_GB2312" w:cs="仿宋_GB2312"/>
          <w:b w:val="0"/>
          <w:bCs w:val="0"/>
          <w:sz w:val="30"/>
          <w:szCs w:val="30"/>
        </w:rPr>
        <w:t>分………………………………………（满分</w:t>
      </w:r>
      <w:r>
        <w:rPr>
          <w:rFonts w:hint="eastAsia" w:ascii="仿宋_GB2312" w:hAnsi="仿宋_GB2312" w:eastAsia="仿宋_GB2312" w:cs="仿宋_GB2312"/>
          <w:b w:val="0"/>
          <w:bCs w:val="0"/>
          <w:sz w:val="30"/>
          <w:szCs w:val="30"/>
          <w:lang w:val="en-US" w:eastAsia="zh-CN"/>
        </w:rPr>
        <w:t>45</w:t>
      </w:r>
      <w:r>
        <w:rPr>
          <w:rFonts w:hint="eastAsia" w:ascii="仿宋_GB2312" w:hAnsi="仿宋_GB2312" w:eastAsia="仿宋_GB2312" w:cs="仿宋_GB2312"/>
          <w:b w:val="0"/>
          <w:bCs w:val="0"/>
          <w:sz w:val="30"/>
          <w:szCs w:val="30"/>
        </w:rPr>
        <w:t>分）</w:t>
      </w:r>
    </w:p>
    <w:p>
      <w:pPr>
        <w:keepNext w:val="0"/>
        <w:keepLines w:val="0"/>
        <w:pageBreakBefore w:val="0"/>
        <w:widowControl w:val="0"/>
        <w:kinsoku/>
        <w:wordWrap/>
        <w:overflowPunct/>
        <w:topLinePunct w:val="0"/>
        <w:autoSpaceDE/>
        <w:autoSpaceDN/>
        <w:bidi w:val="0"/>
        <w:adjustRightInd/>
        <w:snapToGrid/>
        <w:spacing w:line="560" w:lineRule="exact"/>
        <w:ind w:left="309" w:leftChars="147"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优（</w:t>
      </w: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rPr>
        <w:t>0.1-</w:t>
      </w:r>
      <w:r>
        <w:rPr>
          <w:rFonts w:hint="eastAsia" w:ascii="仿宋_GB2312" w:hAnsi="仿宋_GB2312" w:eastAsia="仿宋_GB2312" w:cs="仿宋_GB2312"/>
          <w:b w:val="0"/>
          <w:bCs w:val="0"/>
          <w:sz w:val="30"/>
          <w:szCs w:val="30"/>
          <w:lang w:val="en-US" w:eastAsia="zh-CN"/>
        </w:rPr>
        <w:t>45</w:t>
      </w:r>
      <w:r>
        <w:rPr>
          <w:rFonts w:hint="eastAsia" w:ascii="仿宋_GB2312" w:hAnsi="仿宋_GB2312" w:eastAsia="仿宋_GB2312" w:cs="仿宋_GB2312"/>
          <w:b w:val="0"/>
          <w:bCs w:val="0"/>
          <w:sz w:val="30"/>
          <w:szCs w:val="30"/>
        </w:rPr>
        <w:t>分）：技术方案对本项目的重点、难点有深入有分析，充分考虑到时本项目的具体情况并采取针对性措施，有完整的项目进度控制方案；提出的方案合理化、优化建议针对性强，可实施性强；</w:t>
      </w:r>
    </w:p>
    <w:p>
      <w:pPr>
        <w:keepNext w:val="0"/>
        <w:keepLines w:val="0"/>
        <w:pageBreakBefore w:val="0"/>
        <w:widowControl w:val="0"/>
        <w:kinsoku/>
        <w:wordWrap/>
        <w:overflowPunct/>
        <w:topLinePunct w:val="0"/>
        <w:autoSpaceDE/>
        <w:autoSpaceDN/>
        <w:bidi w:val="0"/>
        <w:adjustRightInd/>
        <w:snapToGrid/>
        <w:spacing w:line="560" w:lineRule="exact"/>
        <w:ind w:left="309" w:leftChars="147"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良（</w:t>
      </w: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t>0.1-</w:t>
      </w:r>
      <w:r>
        <w:rPr>
          <w:rFonts w:hint="eastAsia" w:ascii="仿宋_GB2312" w:hAnsi="仿宋_GB2312" w:eastAsia="仿宋_GB2312" w:cs="仿宋_GB2312"/>
          <w:b w:val="0"/>
          <w:bCs w:val="0"/>
          <w:sz w:val="30"/>
          <w:szCs w:val="30"/>
          <w:lang w:val="en-US" w:eastAsia="zh-CN"/>
        </w:rPr>
        <w:t>35</w:t>
      </w:r>
      <w:r>
        <w:rPr>
          <w:rFonts w:hint="eastAsia" w:ascii="仿宋_GB2312" w:hAnsi="仿宋_GB2312" w:eastAsia="仿宋_GB2312" w:cs="仿宋_GB2312"/>
          <w:b w:val="0"/>
          <w:bCs w:val="0"/>
          <w:sz w:val="30"/>
          <w:szCs w:val="30"/>
        </w:rPr>
        <w:t>分）：技术方案对本项目的重点、难点有合理的建议，项目进度控制方案具体可行；</w:t>
      </w:r>
    </w:p>
    <w:p>
      <w:pPr>
        <w:keepNext w:val="0"/>
        <w:keepLines w:val="0"/>
        <w:pageBreakBefore w:val="0"/>
        <w:widowControl w:val="0"/>
        <w:kinsoku/>
        <w:wordWrap/>
        <w:overflowPunct/>
        <w:topLinePunct w:val="0"/>
        <w:autoSpaceDE/>
        <w:autoSpaceDN/>
        <w:bidi w:val="0"/>
        <w:adjustRightInd/>
        <w:snapToGrid/>
        <w:spacing w:line="560" w:lineRule="exact"/>
        <w:ind w:left="309" w:leftChars="147"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一般（0-</w:t>
      </w:r>
      <w:r>
        <w:rPr>
          <w:rFonts w:hint="eastAsia" w:ascii="仿宋_GB2312" w:hAnsi="仿宋_GB2312" w:eastAsia="仿宋_GB2312" w:cs="仿宋_GB2312"/>
          <w:b w:val="0"/>
          <w:bCs w:val="0"/>
          <w:sz w:val="30"/>
          <w:szCs w:val="30"/>
          <w:lang w:val="en-US" w:eastAsia="zh-CN"/>
        </w:rPr>
        <w:t>25</w:t>
      </w:r>
      <w:r>
        <w:rPr>
          <w:rFonts w:hint="eastAsia" w:ascii="仿宋_GB2312" w:hAnsi="仿宋_GB2312" w:eastAsia="仿宋_GB2312" w:cs="仿宋_GB2312"/>
          <w:b w:val="0"/>
          <w:bCs w:val="0"/>
          <w:sz w:val="30"/>
          <w:szCs w:val="30"/>
        </w:rPr>
        <w:t>分）：技术方案对本项目的重点、难点基本了解，项目进度控制方案基本可行。</w:t>
      </w:r>
    </w:p>
    <w:p>
      <w:pPr>
        <w:keepNext w:val="0"/>
        <w:keepLines w:val="0"/>
        <w:pageBreakBefore w:val="0"/>
        <w:widowControl w:val="0"/>
        <w:kinsoku/>
        <w:wordWrap/>
        <w:overflowPunct/>
        <w:topLinePunct w:val="0"/>
        <w:autoSpaceDE/>
        <w:autoSpaceDN/>
        <w:bidi w:val="0"/>
        <w:adjustRightInd/>
        <w:snapToGrid/>
        <w:spacing w:line="560" w:lineRule="exact"/>
        <w:ind w:left="309" w:leftChars="147"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磋商小组集体讨论确定各竞标人的勘察方案所属档次，然后在所属档次内独立打分。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③</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组织机构及人员配置分…………………………（满分</w:t>
      </w:r>
      <w:r>
        <w:rPr>
          <w:rFonts w:hint="eastAsia" w:ascii="仿宋_GB2312" w:hAnsi="仿宋_GB2312" w:eastAsia="仿宋_GB2312" w:cs="仿宋_GB2312"/>
          <w:b w:val="0"/>
          <w:bCs w:val="0"/>
          <w:sz w:val="30"/>
          <w:szCs w:val="30"/>
          <w:lang w:val="en-US" w:eastAsia="zh-CN"/>
        </w:rPr>
        <w:t>15</w:t>
      </w:r>
      <w:r>
        <w:rPr>
          <w:rFonts w:hint="eastAsia" w:ascii="仿宋_GB2312" w:hAnsi="仿宋_GB2312" w:eastAsia="仿宋_GB2312" w:cs="仿宋_GB2312"/>
          <w:b w:val="0"/>
          <w:bCs w:val="0"/>
          <w:sz w:val="30"/>
          <w:szCs w:val="30"/>
        </w:rPr>
        <w:t>分）</w:t>
      </w:r>
    </w:p>
    <w:p>
      <w:pPr>
        <w:keepNext w:val="0"/>
        <w:keepLines w:val="0"/>
        <w:pageBreakBefore w:val="0"/>
        <w:widowControl w:val="0"/>
        <w:kinsoku/>
        <w:wordWrap/>
        <w:overflowPunct/>
        <w:topLinePunct w:val="0"/>
        <w:autoSpaceDE/>
        <w:autoSpaceDN/>
        <w:bidi w:val="0"/>
        <w:adjustRightInd/>
        <w:snapToGrid/>
        <w:spacing w:line="560" w:lineRule="exact"/>
        <w:ind w:left="309" w:leftChars="147" w:firstLine="600" w:firstLineChars="200"/>
        <w:textAlignment w:val="auto"/>
        <w:rPr>
          <w:rFonts w:hint="eastAsia" w:ascii="仿宋_GB2312" w:hAnsi="仿宋_GB2312" w:eastAsia="仿宋_GB2312" w:cs="仿宋_GB2312"/>
          <w:b w:val="0"/>
          <w:bCs w:val="0"/>
          <w:sz w:val="30"/>
          <w:szCs w:val="30"/>
          <w:u w:val="single"/>
          <w:lang w:eastAsia="zh-CN"/>
        </w:rPr>
      </w:pPr>
      <w:r>
        <w:rPr>
          <w:rFonts w:hint="eastAsia" w:ascii="仿宋_GB2312" w:hAnsi="仿宋_GB2312" w:eastAsia="仿宋_GB2312" w:cs="仿宋_GB2312"/>
          <w:b w:val="0"/>
          <w:bCs w:val="0"/>
          <w:sz w:val="30"/>
          <w:szCs w:val="30"/>
        </w:rPr>
        <w:t>优（</w:t>
      </w:r>
      <w:r>
        <w:rPr>
          <w:rFonts w:hint="eastAsia" w:ascii="仿宋_GB2312" w:hAnsi="仿宋_GB2312" w:eastAsia="仿宋_GB2312" w:cs="仿宋_GB2312"/>
          <w:b w:val="0"/>
          <w:bCs w:val="0"/>
          <w:sz w:val="30"/>
          <w:szCs w:val="30"/>
          <w:lang w:val="en-US" w:eastAsia="zh-CN"/>
        </w:rPr>
        <w:t>15</w:t>
      </w:r>
      <w:r>
        <w:rPr>
          <w:rFonts w:hint="eastAsia" w:ascii="仿宋_GB2312" w:hAnsi="仿宋_GB2312" w:eastAsia="仿宋_GB2312" w:cs="仿宋_GB2312"/>
          <w:b w:val="0"/>
          <w:bCs w:val="0"/>
          <w:sz w:val="30"/>
          <w:szCs w:val="30"/>
        </w:rPr>
        <w:t>分）：项目组织机构和人员配备齐全，拟投入的</w:t>
      </w:r>
      <w:r>
        <w:rPr>
          <w:rFonts w:hint="eastAsia" w:ascii="仿宋_GB2312" w:hAnsi="仿宋_GB2312" w:eastAsia="仿宋_GB2312" w:cs="仿宋_GB2312"/>
          <w:b w:val="0"/>
          <w:bCs w:val="0"/>
          <w:sz w:val="30"/>
          <w:szCs w:val="30"/>
          <w:lang w:eastAsia="zh-CN"/>
        </w:rPr>
        <w:t>技术</w:t>
      </w:r>
      <w:r>
        <w:rPr>
          <w:rFonts w:hint="eastAsia" w:ascii="仿宋_GB2312" w:hAnsi="仿宋_GB2312" w:eastAsia="仿宋_GB2312" w:cs="仿宋_GB2312"/>
          <w:b w:val="0"/>
          <w:bCs w:val="0"/>
          <w:sz w:val="30"/>
          <w:szCs w:val="30"/>
        </w:rPr>
        <w:t>人员</w:t>
      </w:r>
      <w:r>
        <w:rPr>
          <w:rFonts w:hint="eastAsia" w:ascii="仿宋_GB2312" w:hAnsi="仿宋_GB2312" w:eastAsia="仿宋_GB2312" w:cs="仿宋_GB2312"/>
          <w:b w:val="0"/>
          <w:bCs w:val="0"/>
          <w:sz w:val="30"/>
          <w:szCs w:val="30"/>
          <w:lang w:eastAsia="zh-CN"/>
        </w:rPr>
        <w:t>持有</w:t>
      </w:r>
      <w:r>
        <w:rPr>
          <w:rFonts w:hint="eastAsia" w:ascii="仿宋_GB2312" w:hAnsi="仿宋_GB2312" w:eastAsia="仿宋_GB2312" w:cs="仿宋_GB2312"/>
          <w:b w:val="0"/>
          <w:bCs w:val="0"/>
          <w:color w:val="auto"/>
          <w:sz w:val="30"/>
          <w:szCs w:val="30"/>
          <w:u w:val="single"/>
          <w:lang w:val="en-US" w:eastAsia="zh-CN"/>
        </w:rPr>
        <w:t>有害生物防治高级资格证书</w:t>
      </w:r>
      <w:r>
        <w:rPr>
          <w:rFonts w:hint="eastAsia" w:ascii="仿宋_GB2312" w:hAnsi="仿宋_GB2312" w:eastAsia="仿宋_GB2312" w:cs="仿宋_GB2312"/>
          <w:b w:val="0"/>
          <w:bCs w:val="0"/>
          <w:color w:val="auto"/>
          <w:sz w:val="30"/>
          <w:szCs w:val="30"/>
          <w:lang w:val="en-US" w:eastAsia="zh-CN"/>
        </w:rPr>
        <w:t>的</w:t>
      </w:r>
      <w:r>
        <w:rPr>
          <w:rFonts w:hint="eastAsia" w:ascii="仿宋_GB2312" w:hAnsi="仿宋_GB2312" w:eastAsia="仿宋_GB2312" w:cs="仿宋_GB2312"/>
          <w:b w:val="0"/>
          <w:bCs w:val="0"/>
          <w:sz w:val="30"/>
          <w:szCs w:val="30"/>
        </w:rPr>
        <w:t>人数达到</w:t>
      </w: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rPr>
        <w:t>人</w:t>
      </w:r>
      <w:r>
        <w:rPr>
          <w:rFonts w:hint="eastAsia" w:ascii="仿宋_GB2312" w:hAnsi="仿宋_GB2312" w:eastAsia="仿宋_GB2312" w:cs="仿宋_GB2312"/>
          <w:b w:val="0"/>
          <w:bCs w:val="0"/>
          <w:sz w:val="30"/>
          <w:szCs w:val="30"/>
          <w:lang w:eastAsia="zh-CN"/>
        </w:rPr>
        <w:t>，其余投入人员必须持有</w:t>
      </w:r>
      <w:r>
        <w:rPr>
          <w:rFonts w:hint="eastAsia" w:ascii="仿宋_GB2312" w:hAnsi="仿宋_GB2312" w:eastAsia="仿宋_GB2312" w:cs="仿宋_GB2312"/>
          <w:b w:val="0"/>
          <w:bCs w:val="0"/>
          <w:color w:val="auto"/>
          <w:sz w:val="30"/>
          <w:szCs w:val="30"/>
          <w:u w:val="single"/>
          <w:lang w:val="en-US" w:eastAsia="zh-CN"/>
        </w:rPr>
        <w:t>有害生物防治资格证书。</w:t>
      </w:r>
    </w:p>
    <w:p>
      <w:pPr>
        <w:keepNext w:val="0"/>
        <w:keepLines w:val="0"/>
        <w:pageBreakBefore w:val="0"/>
        <w:widowControl w:val="0"/>
        <w:kinsoku/>
        <w:wordWrap/>
        <w:overflowPunct/>
        <w:topLinePunct w:val="0"/>
        <w:autoSpaceDE/>
        <w:autoSpaceDN/>
        <w:bidi w:val="0"/>
        <w:adjustRightInd/>
        <w:snapToGrid/>
        <w:spacing w:line="560" w:lineRule="exact"/>
        <w:ind w:left="309" w:leftChars="147" w:firstLine="600" w:firstLineChars="200"/>
        <w:textAlignment w:val="auto"/>
        <w:rPr>
          <w:rFonts w:hint="eastAsia" w:ascii="仿宋_GB2312" w:hAnsi="仿宋_GB2312" w:eastAsia="仿宋_GB2312" w:cs="仿宋_GB2312"/>
          <w:b w:val="0"/>
          <w:bCs w:val="0"/>
          <w:sz w:val="30"/>
          <w:szCs w:val="30"/>
          <w:u w:val="single"/>
          <w:lang w:eastAsia="zh-CN"/>
        </w:rPr>
      </w:pPr>
      <w:r>
        <w:rPr>
          <w:rFonts w:hint="eastAsia" w:ascii="仿宋_GB2312" w:hAnsi="仿宋_GB2312" w:eastAsia="仿宋_GB2312" w:cs="仿宋_GB2312"/>
          <w:b w:val="0"/>
          <w:bCs w:val="0"/>
          <w:sz w:val="30"/>
          <w:szCs w:val="30"/>
        </w:rPr>
        <w:t>良（</w:t>
      </w:r>
      <w:r>
        <w:rPr>
          <w:rFonts w:hint="eastAsia" w:ascii="仿宋_GB2312" w:hAnsi="仿宋_GB2312" w:eastAsia="仿宋_GB2312" w:cs="仿宋_GB2312"/>
          <w:b w:val="0"/>
          <w:bCs w:val="0"/>
          <w:sz w:val="30"/>
          <w:szCs w:val="30"/>
          <w:lang w:val="en-US" w:eastAsia="zh-CN"/>
        </w:rPr>
        <w:t>8</w:t>
      </w:r>
      <w:r>
        <w:rPr>
          <w:rFonts w:hint="eastAsia" w:ascii="仿宋_GB2312" w:hAnsi="仿宋_GB2312" w:eastAsia="仿宋_GB2312" w:cs="仿宋_GB2312"/>
          <w:b w:val="0"/>
          <w:bCs w:val="0"/>
          <w:sz w:val="30"/>
          <w:szCs w:val="30"/>
        </w:rPr>
        <w:t>分）：项目组织机构和人员配备齐全，拟投入的</w:t>
      </w:r>
      <w:r>
        <w:rPr>
          <w:rFonts w:hint="eastAsia" w:ascii="仿宋_GB2312" w:hAnsi="仿宋_GB2312" w:eastAsia="仿宋_GB2312" w:cs="仿宋_GB2312"/>
          <w:b w:val="0"/>
          <w:bCs w:val="0"/>
          <w:sz w:val="30"/>
          <w:szCs w:val="30"/>
          <w:lang w:eastAsia="zh-CN"/>
        </w:rPr>
        <w:t>技术</w:t>
      </w:r>
      <w:r>
        <w:rPr>
          <w:rFonts w:hint="eastAsia" w:ascii="仿宋_GB2312" w:hAnsi="仿宋_GB2312" w:eastAsia="仿宋_GB2312" w:cs="仿宋_GB2312"/>
          <w:b w:val="0"/>
          <w:bCs w:val="0"/>
          <w:sz w:val="30"/>
          <w:szCs w:val="30"/>
        </w:rPr>
        <w:t>人员</w:t>
      </w:r>
      <w:r>
        <w:rPr>
          <w:rFonts w:hint="eastAsia" w:ascii="仿宋_GB2312" w:hAnsi="仿宋_GB2312" w:eastAsia="仿宋_GB2312" w:cs="仿宋_GB2312"/>
          <w:b w:val="0"/>
          <w:bCs w:val="0"/>
          <w:sz w:val="30"/>
          <w:szCs w:val="30"/>
          <w:lang w:eastAsia="zh-CN"/>
        </w:rPr>
        <w:t>有</w:t>
      </w:r>
      <w:r>
        <w:rPr>
          <w:rFonts w:hint="eastAsia" w:ascii="仿宋_GB2312" w:hAnsi="仿宋_GB2312" w:eastAsia="仿宋_GB2312" w:cs="仿宋_GB2312"/>
          <w:b w:val="0"/>
          <w:bCs w:val="0"/>
          <w:color w:val="auto"/>
          <w:sz w:val="30"/>
          <w:szCs w:val="30"/>
          <w:u w:val="single"/>
          <w:lang w:val="en-US" w:eastAsia="zh-CN"/>
        </w:rPr>
        <w:t>有害生物防治高级资格证书</w:t>
      </w:r>
      <w:r>
        <w:rPr>
          <w:rFonts w:hint="eastAsia" w:ascii="仿宋_GB2312" w:hAnsi="仿宋_GB2312" w:eastAsia="仿宋_GB2312" w:cs="仿宋_GB2312"/>
          <w:b w:val="0"/>
          <w:bCs w:val="0"/>
          <w:color w:val="auto"/>
          <w:sz w:val="30"/>
          <w:szCs w:val="30"/>
          <w:lang w:val="en-US" w:eastAsia="zh-CN"/>
        </w:rPr>
        <w:t>的</w:t>
      </w:r>
      <w:r>
        <w:rPr>
          <w:rFonts w:hint="eastAsia" w:ascii="仿宋_GB2312" w:hAnsi="仿宋_GB2312" w:eastAsia="仿宋_GB2312" w:cs="仿宋_GB2312"/>
          <w:b w:val="0"/>
          <w:bCs w:val="0"/>
          <w:sz w:val="30"/>
          <w:szCs w:val="30"/>
        </w:rPr>
        <w:t>人数达到</w:t>
      </w: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rPr>
        <w:t>人</w:t>
      </w:r>
      <w:r>
        <w:rPr>
          <w:rFonts w:hint="eastAsia" w:ascii="仿宋_GB2312" w:hAnsi="仿宋_GB2312" w:eastAsia="仿宋_GB2312" w:cs="仿宋_GB2312"/>
          <w:b w:val="0"/>
          <w:bCs w:val="0"/>
          <w:sz w:val="30"/>
          <w:szCs w:val="30"/>
          <w:lang w:eastAsia="zh-CN"/>
        </w:rPr>
        <w:t>，其余投入人员必须持有</w:t>
      </w:r>
      <w:r>
        <w:rPr>
          <w:rFonts w:hint="eastAsia" w:ascii="仿宋_GB2312" w:hAnsi="仿宋_GB2312" w:eastAsia="仿宋_GB2312" w:cs="仿宋_GB2312"/>
          <w:b w:val="0"/>
          <w:bCs w:val="0"/>
          <w:color w:val="auto"/>
          <w:sz w:val="30"/>
          <w:szCs w:val="30"/>
          <w:u w:val="single"/>
          <w:lang w:val="en-US" w:eastAsia="zh-CN"/>
        </w:rPr>
        <w:t>有害生物防治资格证书。</w:t>
      </w:r>
    </w:p>
    <w:p>
      <w:pPr>
        <w:keepNext w:val="0"/>
        <w:keepLines w:val="0"/>
        <w:pageBreakBefore w:val="0"/>
        <w:widowControl w:val="0"/>
        <w:kinsoku/>
        <w:wordWrap/>
        <w:overflowPunct/>
        <w:topLinePunct w:val="0"/>
        <w:autoSpaceDE/>
        <w:autoSpaceDN/>
        <w:bidi w:val="0"/>
        <w:adjustRightInd/>
        <w:snapToGrid/>
        <w:spacing w:line="560" w:lineRule="exact"/>
        <w:ind w:left="309" w:leftChars="147" w:firstLine="600" w:firstLineChars="200"/>
        <w:textAlignment w:val="auto"/>
        <w:rPr>
          <w:rFonts w:hint="eastAsia" w:ascii="仿宋_GB2312" w:hAnsi="仿宋_GB2312" w:eastAsia="仿宋_GB2312" w:cs="仿宋_GB2312"/>
          <w:b w:val="0"/>
          <w:bCs w:val="0"/>
          <w:color w:val="auto"/>
          <w:sz w:val="30"/>
          <w:szCs w:val="30"/>
          <w:u w:val="single"/>
          <w:lang w:val="en-US" w:eastAsia="zh-CN"/>
        </w:rPr>
      </w:pPr>
      <w:r>
        <w:rPr>
          <w:rFonts w:hint="eastAsia" w:ascii="仿宋_GB2312" w:hAnsi="仿宋_GB2312" w:eastAsia="仿宋_GB2312" w:cs="仿宋_GB2312"/>
          <w:b w:val="0"/>
          <w:bCs w:val="0"/>
          <w:sz w:val="30"/>
          <w:szCs w:val="30"/>
        </w:rPr>
        <w:t>一般（</w:t>
      </w: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lang w:eastAsia="zh-CN"/>
        </w:rPr>
        <w:t>分</w:t>
      </w:r>
      <w:r>
        <w:rPr>
          <w:rFonts w:hint="eastAsia" w:ascii="仿宋_GB2312" w:hAnsi="仿宋_GB2312" w:eastAsia="仿宋_GB2312" w:cs="仿宋_GB2312"/>
          <w:b w:val="0"/>
          <w:bCs w:val="0"/>
          <w:sz w:val="30"/>
          <w:szCs w:val="30"/>
        </w:rPr>
        <w:t>）：项目组织机构和人员配备齐全，拟投入的</w:t>
      </w:r>
      <w:r>
        <w:rPr>
          <w:rFonts w:hint="eastAsia" w:ascii="仿宋_GB2312" w:hAnsi="仿宋_GB2312" w:eastAsia="仿宋_GB2312" w:cs="仿宋_GB2312"/>
          <w:b w:val="0"/>
          <w:bCs w:val="0"/>
          <w:sz w:val="30"/>
          <w:szCs w:val="30"/>
          <w:lang w:eastAsia="zh-CN"/>
        </w:rPr>
        <w:t>技术</w:t>
      </w:r>
      <w:r>
        <w:rPr>
          <w:rFonts w:hint="eastAsia" w:ascii="仿宋_GB2312" w:hAnsi="仿宋_GB2312" w:eastAsia="仿宋_GB2312" w:cs="仿宋_GB2312"/>
          <w:b w:val="0"/>
          <w:bCs w:val="0"/>
          <w:sz w:val="30"/>
          <w:szCs w:val="30"/>
        </w:rPr>
        <w:t>人员</w:t>
      </w:r>
      <w:r>
        <w:rPr>
          <w:rFonts w:hint="eastAsia" w:ascii="仿宋_GB2312" w:hAnsi="仿宋_GB2312" w:eastAsia="仿宋_GB2312" w:cs="仿宋_GB2312"/>
          <w:b w:val="0"/>
          <w:bCs w:val="0"/>
          <w:sz w:val="30"/>
          <w:szCs w:val="30"/>
          <w:lang w:eastAsia="zh-CN"/>
        </w:rPr>
        <w:t>有</w:t>
      </w:r>
      <w:r>
        <w:rPr>
          <w:rFonts w:hint="eastAsia" w:ascii="仿宋_GB2312" w:hAnsi="仿宋_GB2312" w:eastAsia="仿宋_GB2312" w:cs="仿宋_GB2312"/>
          <w:b w:val="0"/>
          <w:bCs w:val="0"/>
          <w:color w:val="auto"/>
          <w:sz w:val="30"/>
          <w:szCs w:val="30"/>
          <w:u w:val="single"/>
          <w:lang w:val="en-US" w:eastAsia="zh-CN"/>
        </w:rPr>
        <w:t>有害生物防治高级资格证书</w:t>
      </w:r>
      <w:r>
        <w:rPr>
          <w:rFonts w:hint="eastAsia" w:ascii="仿宋_GB2312" w:hAnsi="仿宋_GB2312" w:eastAsia="仿宋_GB2312" w:cs="仿宋_GB2312"/>
          <w:b w:val="0"/>
          <w:bCs w:val="0"/>
          <w:color w:val="auto"/>
          <w:sz w:val="30"/>
          <w:szCs w:val="30"/>
          <w:lang w:val="en-US" w:eastAsia="zh-CN"/>
        </w:rPr>
        <w:t>的</w:t>
      </w:r>
      <w:r>
        <w:rPr>
          <w:rFonts w:hint="eastAsia" w:ascii="仿宋_GB2312" w:hAnsi="仿宋_GB2312" w:eastAsia="仿宋_GB2312" w:cs="仿宋_GB2312"/>
          <w:b w:val="0"/>
          <w:bCs w:val="0"/>
          <w:sz w:val="30"/>
          <w:szCs w:val="30"/>
        </w:rPr>
        <w:t>人数达到</w:t>
      </w:r>
      <w:r>
        <w:rPr>
          <w:rFonts w:hint="eastAsia" w:ascii="仿宋_GB2312" w:hAnsi="仿宋_GB2312" w:eastAsia="仿宋_GB2312" w:cs="仿宋_GB2312"/>
          <w:b w:val="0"/>
          <w:bCs w:val="0"/>
          <w:sz w:val="30"/>
          <w:szCs w:val="30"/>
          <w:lang w:val="en-US" w:eastAsia="zh-CN"/>
        </w:rPr>
        <w:t>0</w:t>
      </w:r>
      <w:r>
        <w:rPr>
          <w:rFonts w:hint="eastAsia" w:ascii="仿宋_GB2312" w:hAnsi="仿宋_GB2312" w:eastAsia="仿宋_GB2312" w:cs="仿宋_GB2312"/>
          <w:b w:val="0"/>
          <w:bCs w:val="0"/>
          <w:sz w:val="30"/>
          <w:szCs w:val="30"/>
        </w:rPr>
        <w:t>人</w:t>
      </w:r>
      <w:r>
        <w:rPr>
          <w:rFonts w:hint="eastAsia" w:ascii="仿宋_GB2312" w:hAnsi="仿宋_GB2312" w:eastAsia="仿宋_GB2312" w:cs="仿宋_GB2312"/>
          <w:b w:val="0"/>
          <w:bCs w:val="0"/>
          <w:sz w:val="30"/>
          <w:szCs w:val="30"/>
          <w:lang w:eastAsia="zh-CN"/>
        </w:rPr>
        <w:t>，其余投入人员必须持有</w:t>
      </w:r>
      <w:r>
        <w:rPr>
          <w:rFonts w:hint="eastAsia" w:ascii="仿宋_GB2312" w:hAnsi="仿宋_GB2312" w:eastAsia="仿宋_GB2312" w:cs="仿宋_GB2312"/>
          <w:b w:val="0"/>
          <w:bCs w:val="0"/>
          <w:color w:val="auto"/>
          <w:sz w:val="30"/>
          <w:szCs w:val="30"/>
          <w:u w:val="single"/>
          <w:lang w:val="en-US" w:eastAsia="zh-CN"/>
        </w:rPr>
        <w:t>有害生物防治资格证书。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④ 服务承诺分</w:t>
      </w:r>
      <w:r>
        <w:rPr>
          <w:rFonts w:hint="eastAsia" w:ascii="仿宋_GB2312" w:hAnsi="仿宋_GB2312" w:eastAsia="仿宋_GB2312" w:cs="仿宋_GB2312"/>
          <w:b w:val="0"/>
          <w:bCs w:val="0"/>
          <w:sz w:val="30"/>
          <w:szCs w:val="30"/>
        </w:rPr>
        <w:t>……………………………（满分</w:t>
      </w:r>
      <w:r>
        <w:rPr>
          <w:rFonts w:hint="eastAsia" w:ascii="仿宋_GB2312" w:hAnsi="仿宋_GB2312" w:eastAsia="仿宋_GB2312" w:cs="仿宋_GB2312"/>
          <w:b w:val="0"/>
          <w:bCs w:val="0"/>
          <w:sz w:val="30"/>
          <w:szCs w:val="30"/>
          <w:lang w:val="en-US" w:eastAsia="zh-CN"/>
        </w:rPr>
        <w:t>10</w:t>
      </w:r>
      <w:r>
        <w:rPr>
          <w:rFonts w:hint="eastAsia" w:ascii="仿宋_GB2312" w:hAnsi="仿宋_GB2312" w:eastAsia="仿宋_GB2312" w:cs="仿宋_GB2312"/>
          <w:b w:val="0"/>
          <w:bCs w:val="0"/>
          <w:sz w:val="30"/>
          <w:szCs w:val="30"/>
        </w:rPr>
        <w:t>分）</w:t>
      </w:r>
    </w:p>
    <w:p>
      <w:pPr>
        <w:keepNext w:val="0"/>
        <w:keepLines w:val="0"/>
        <w:pageBreakBefore w:val="0"/>
        <w:widowControl w:val="0"/>
        <w:kinsoku/>
        <w:wordWrap/>
        <w:overflowPunct/>
        <w:topLinePunct w:val="0"/>
        <w:autoSpaceDE/>
        <w:autoSpaceDN/>
        <w:bidi w:val="0"/>
        <w:adjustRightInd/>
        <w:snapToGrid/>
        <w:spacing w:line="560" w:lineRule="exact"/>
        <w:ind w:left="309" w:leftChars="147"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优（</w:t>
      </w:r>
      <w:r>
        <w:rPr>
          <w:rFonts w:hint="eastAsia" w:ascii="仿宋_GB2312" w:hAnsi="仿宋_GB2312" w:eastAsia="仿宋_GB2312" w:cs="仿宋_GB2312"/>
          <w:b w:val="0"/>
          <w:bCs w:val="0"/>
          <w:sz w:val="30"/>
          <w:szCs w:val="30"/>
          <w:lang w:val="en-US" w:eastAsia="zh-CN"/>
        </w:rPr>
        <w:t>7</w:t>
      </w:r>
      <w:r>
        <w:rPr>
          <w:rFonts w:hint="eastAsia" w:ascii="仿宋_GB2312" w:hAnsi="仿宋_GB2312" w:eastAsia="仿宋_GB2312" w:cs="仿宋_GB2312"/>
          <w:b w:val="0"/>
          <w:bCs w:val="0"/>
          <w:sz w:val="30"/>
          <w:szCs w:val="30"/>
        </w:rPr>
        <w:t>.1-1</w:t>
      </w:r>
      <w:r>
        <w:rPr>
          <w:rFonts w:hint="eastAsia" w:ascii="仿宋_GB2312" w:hAnsi="仿宋_GB2312" w:eastAsia="仿宋_GB2312" w:cs="仿宋_GB2312"/>
          <w:b w:val="0"/>
          <w:bCs w:val="0"/>
          <w:sz w:val="30"/>
          <w:szCs w:val="30"/>
          <w:lang w:val="en-US" w:eastAsia="zh-CN"/>
        </w:rPr>
        <w:t>0</w:t>
      </w:r>
      <w:r>
        <w:rPr>
          <w:rFonts w:hint="eastAsia" w:ascii="仿宋_GB2312" w:hAnsi="仿宋_GB2312" w:eastAsia="仿宋_GB2312" w:cs="仿宋_GB2312"/>
          <w:b w:val="0"/>
          <w:bCs w:val="0"/>
          <w:sz w:val="30"/>
          <w:szCs w:val="30"/>
        </w:rPr>
        <w:t>分）：服务承诺具体详细且完善，实施性强、针对项目实际提出可行、具体的质量保证措施；</w:t>
      </w:r>
    </w:p>
    <w:p>
      <w:pPr>
        <w:keepNext w:val="0"/>
        <w:keepLines w:val="0"/>
        <w:pageBreakBefore w:val="0"/>
        <w:widowControl w:val="0"/>
        <w:kinsoku/>
        <w:wordWrap/>
        <w:overflowPunct/>
        <w:topLinePunct w:val="0"/>
        <w:autoSpaceDE/>
        <w:autoSpaceDN/>
        <w:bidi w:val="0"/>
        <w:adjustRightInd/>
        <w:snapToGrid/>
        <w:spacing w:line="560" w:lineRule="exact"/>
        <w:ind w:left="309" w:leftChars="147"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良（</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rPr>
        <w:t>.1-</w:t>
      </w:r>
      <w:r>
        <w:rPr>
          <w:rFonts w:hint="eastAsia" w:ascii="仿宋_GB2312" w:hAnsi="仿宋_GB2312" w:eastAsia="仿宋_GB2312" w:cs="仿宋_GB2312"/>
          <w:b w:val="0"/>
          <w:bCs w:val="0"/>
          <w:sz w:val="30"/>
          <w:szCs w:val="30"/>
          <w:lang w:val="en-US" w:eastAsia="zh-CN"/>
        </w:rPr>
        <w:t>7</w:t>
      </w:r>
      <w:r>
        <w:rPr>
          <w:rFonts w:hint="eastAsia" w:ascii="仿宋_GB2312" w:hAnsi="仿宋_GB2312" w:eastAsia="仿宋_GB2312" w:cs="仿宋_GB2312"/>
          <w:b w:val="0"/>
          <w:bCs w:val="0"/>
          <w:sz w:val="30"/>
          <w:szCs w:val="30"/>
        </w:rPr>
        <w:t>.0分）：服务承诺有一定的针对性、实施性；</w:t>
      </w:r>
    </w:p>
    <w:p>
      <w:pPr>
        <w:keepNext w:val="0"/>
        <w:keepLines w:val="0"/>
        <w:pageBreakBefore w:val="0"/>
        <w:widowControl w:val="0"/>
        <w:kinsoku/>
        <w:wordWrap/>
        <w:overflowPunct/>
        <w:topLinePunct w:val="0"/>
        <w:autoSpaceDE/>
        <w:autoSpaceDN/>
        <w:bidi w:val="0"/>
        <w:adjustRightInd/>
        <w:snapToGrid/>
        <w:spacing w:line="560" w:lineRule="exact"/>
        <w:ind w:left="309" w:leftChars="147"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差（0-</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rPr>
        <w:t>分）：服务承诺针对性不强、质量保证措施不完善，无服务承诺不得分。</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900" w:firstLineChars="300"/>
        <w:jc w:val="left"/>
        <w:textAlignment w:val="auto"/>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rPr>
        <w:t>磋商小组集体讨论确定各竞标人的服务方案所属档次，然后在所属档次内独立打分</w:t>
      </w:r>
      <w:r>
        <w:rPr>
          <w:rFonts w:hint="eastAsia" w:ascii="仿宋_GB2312" w:hAnsi="仿宋_GB2312" w:eastAsia="仿宋_GB2312" w:cs="仿宋_GB2312"/>
          <w:b w:val="0"/>
          <w:bCs w:val="0"/>
          <w:sz w:val="30"/>
          <w:szCs w:val="30"/>
          <w:lang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900" w:firstLineChars="300"/>
        <w:jc w:val="lef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总得分=①+②+③+④</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val="en-US" w:eastAsia="zh-CN"/>
        </w:rPr>
        <w:t xml:space="preserve">    3、</w:t>
      </w:r>
      <w:r>
        <w:rPr>
          <w:rFonts w:hint="eastAsia" w:ascii="仿宋_GB2312" w:hAnsi="仿宋_GB2312" w:eastAsia="仿宋_GB2312" w:cs="仿宋_GB2312"/>
          <w:b w:val="0"/>
          <w:bCs w:val="0"/>
          <w:sz w:val="30"/>
          <w:szCs w:val="30"/>
        </w:rPr>
        <w:t>成交候选人推荐原则</w:t>
      </w:r>
    </w:p>
    <w:p>
      <w:pPr>
        <w:keepNext w:val="0"/>
        <w:keepLines w:val="0"/>
        <w:pageBreakBefore w:val="0"/>
        <w:widowControl w:val="0"/>
        <w:kinsoku/>
        <w:wordWrap/>
        <w:overflowPunct/>
        <w:topLinePunct w:val="0"/>
        <w:autoSpaceDE/>
        <w:autoSpaceDN/>
        <w:bidi w:val="0"/>
        <w:adjustRightInd/>
        <w:snapToGrid/>
        <w:spacing w:before="120" w:after="120" w:line="560" w:lineRule="exact"/>
        <w:ind w:firstLine="576" w:firstLineChars="192"/>
        <w:jc w:val="left"/>
        <w:textAlignment w:val="auto"/>
        <w:outlineLvl w:val="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磋商小组将根据得分由高到低排列次序（得分相同时，以磋商报价由低到高顺序排列；得分相同且磋商报价相同的，按技术分高低顺序排列）并推荐三名成交候选供应商。采购人应当确定磋商小组推荐排名第一的成交候选供应商为成交供应商。排名第一的成交候选供应商放弃成交，因不可抗力提出不能履行合同，采购人可以确定排名第二的成交候选供应商为成交供应商。排名第二的成交候选供应商因同样原因不能签订合同的，采购单位可以确定排名第三的成交候选供应商为成交供应商。</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eastAsia="zh-CN"/>
        </w:rPr>
        <w:br w:type="page"/>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广西体校“四害”消杀服务磋商报价单</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lang w:val="en-US" w:eastAsia="zh-CN"/>
        </w:rPr>
        <w:t>（统一格式）</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方正小标宋简体" w:hAnsi="方正小标宋简体" w:eastAsia="方正小标宋简体" w:cs="方正小标宋简体"/>
          <w:sz w:val="32"/>
          <w:szCs w:val="32"/>
          <w:lang w:val="en-US" w:eastAsia="zh-CN"/>
        </w:rPr>
      </w:pPr>
    </w:p>
    <w:tbl>
      <w:tblPr>
        <w:tblStyle w:val="4"/>
        <w:tblW w:w="9090" w:type="dxa"/>
        <w:tblInd w:w="-1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2040"/>
        <w:gridCol w:w="3314"/>
        <w:gridCol w:w="840"/>
        <w:gridCol w:w="945"/>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消杀项目名称</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区域位置</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单价</w:t>
            </w:r>
          </w:p>
        </w:tc>
        <w:tc>
          <w:tcPr>
            <w:tcW w:w="1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5"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仿宋_GB2312" w:cs="仿宋_GB2312"/>
                <w:i w:val="0"/>
                <w:iCs w:val="0"/>
                <w:color w:val="000000"/>
                <w:kern w:val="0"/>
                <w:sz w:val="28"/>
                <w:szCs w:val="28"/>
                <w:u w:val="none"/>
                <w:lang w:val="en-US" w:eastAsia="zh-CN" w:bidi="ar"/>
              </w:rPr>
              <w:t>四害（</w:t>
            </w:r>
            <w:r>
              <w:rPr>
                <w:rFonts w:hint="eastAsia" w:ascii="仿宋_GB2312" w:hAnsi="仿宋_GB2312" w:eastAsia="仿宋_GB2312" w:cs="仿宋_GB2312"/>
                <w:color w:val="000000"/>
                <w:sz w:val="28"/>
                <w:szCs w:val="28"/>
              </w:rPr>
              <w:t>鼠类</w:t>
            </w:r>
            <w:r>
              <w:rPr>
                <w:rFonts w:hint="eastAsia" w:ascii="仿宋_GB2312" w:hAnsi="仿宋_GB2312" w:eastAsia="仿宋_GB2312" w:cs="仿宋_GB2312"/>
                <w:i w:val="0"/>
                <w:iCs w:val="0"/>
                <w:color w:val="000000"/>
                <w:kern w:val="0"/>
                <w:sz w:val="28"/>
                <w:szCs w:val="28"/>
                <w:u w:val="none"/>
                <w:lang w:val="en-US" w:eastAsia="zh-CN" w:bidi="ar"/>
              </w:rPr>
              <w:t>、</w:t>
            </w:r>
            <w:r>
              <w:rPr>
                <w:rFonts w:hint="eastAsia" w:ascii="仿宋_GB2312" w:hAnsi="仿宋_GB2312" w:eastAsia="仿宋_GB2312" w:cs="仿宋_GB2312"/>
                <w:color w:val="000000"/>
                <w:sz w:val="28"/>
                <w:szCs w:val="28"/>
              </w:rPr>
              <w:t>蚊虫</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蟑螂、</w:t>
            </w:r>
            <w:r>
              <w:rPr>
                <w:rFonts w:hint="eastAsia" w:ascii="仿宋_GB2312" w:hAnsi="仿宋_GB2312" w:eastAsia="仿宋_GB2312" w:cs="仿宋_GB2312"/>
                <w:color w:val="000000"/>
                <w:sz w:val="28"/>
                <w:szCs w:val="28"/>
              </w:rPr>
              <w:t>蝇类</w:t>
            </w:r>
            <w:r>
              <w:rPr>
                <w:rFonts w:hint="eastAsia" w:ascii="仿宋_GB2312" w:hAnsi="仿宋_GB2312" w:eastAsia="仿宋_GB2312" w:cs="仿宋_GB2312"/>
                <w:color w:val="000000"/>
                <w:sz w:val="28"/>
                <w:szCs w:val="28"/>
                <w:lang w:eastAsia="zh-CN"/>
              </w:rPr>
              <w:t>）消杀防治</w:t>
            </w:r>
          </w:p>
        </w:tc>
        <w:tc>
          <w:tcPr>
            <w:tcW w:w="3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校园4.7万平方米户外公共区域（含校园户外公共区域、田径，场校园32个下水道、化粪池、排污井，132棵高枝树木除虫，每1000米不少于25个毒鼠屋（灭鼠）</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lang w:val="en-US" w:eastAsia="zh-CN"/>
              </w:rPr>
            </w:pPr>
          </w:p>
        </w:tc>
        <w:tc>
          <w:tcPr>
            <w:tcW w:w="1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树木刷白防虫</w:t>
            </w:r>
          </w:p>
        </w:tc>
        <w:tc>
          <w:tcPr>
            <w:tcW w:w="331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校园132棵树木以地面为参照1.5米刷白防虫</w:t>
            </w:r>
            <w:r>
              <w:rPr>
                <w:rFonts w:hint="eastAsia" w:ascii="仿宋_GB2312" w:hAnsi="仿宋_GB2312" w:eastAsia="仿宋_GB2312" w:cs="仿宋_GB2312"/>
                <w:i w:val="0"/>
                <w:iCs w:val="0"/>
                <w:color w:val="000000"/>
                <w:kern w:val="0"/>
                <w:sz w:val="28"/>
                <w:szCs w:val="28"/>
                <w:u w:val="none"/>
                <w:lang w:val="en-US" w:eastAsia="zh-CN" w:bidi="ar"/>
              </w:rPr>
              <w:br w:type="textWrapping"/>
            </w:r>
          </w:p>
        </w:tc>
        <w:tc>
          <w:tcPr>
            <w:tcW w:w="840"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45" w:type="dxa"/>
            <w:tcBorders>
              <w:top w:val="nil"/>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lang w:val="en-US" w:eastAsia="zh-CN"/>
              </w:rPr>
            </w:pPr>
          </w:p>
        </w:tc>
        <w:tc>
          <w:tcPr>
            <w:tcW w:w="1171" w:type="dxa"/>
            <w:tcBorders>
              <w:top w:val="nil"/>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9090"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spacing w:val="20"/>
                <w:sz w:val="28"/>
                <w:szCs w:val="28"/>
              </w:rPr>
              <w:t>竞标报价（总报价）：大写：</w:t>
            </w:r>
            <w:r>
              <w:rPr>
                <w:rFonts w:hint="eastAsia" w:ascii="仿宋_GB2312" w:hAnsi="仿宋_GB2312" w:eastAsia="仿宋_GB2312" w:cs="仿宋_GB2312"/>
                <w:spacing w:val="20"/>
                <w:sz w:val="28"/>
                <w:szCs w:val="28"/>
                <w:u w:val="single"/>
              </w:rPr>
              <w:t xml:space="preserve">                （小写：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9090" w:type="dxa"/>
            <w:gridSpan w:val="6"/>
            <w:tcBorders>
              <w:top w:val="single" w:color="000000" w:sz="4" w:space="0"/>
              <w:left w:val="single" w:color="000000" w:sz="4" w:space="0"/>
              <w:bottom w:val="single" w:color="000000" w:sz="4" w:space="0"/>
              <w:right w:val="single" w:color="000000" w:sz="4" w:space="0"/>
            </w:tcBorders>
            <w:noWrap/>
            <w:vAlign w:val="center"/>
          </w:tcPr>
          <w:p>
            <w:pPr>
              <w:tabs>
                <w:tab w:val="left" w:pos="1418"/>
              </w:tabs>
              <w:snapToGrid w:val="0"/>
              <w:spacing w:before="50" w:after="50" w:line="360" w:lineRule="auto"/>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备注：</w:t>
            </w:r>
          </w:p>
          <w:p>
            <w:pPr>
              <w:pStyle w:val="2"/>
              <w:numPr>
                <w:ilvl w:val="0"/>
                <w:numId w:val="0"/>
              </w:numPr>
              <w:rPr>
                <w:rFonts w:hint="eastAsia" w:ascii="仿宋_GB2312" w:hAnsi="仿宋_GB2312" w:eastAsia="仿宋_GB2312" w:cs="仿宋_GB2312"/>
                <w:spacing w:val="20"/>
                <w:kern w:val="2"/>
                <w:sz w:val="24"/>
                <w:szCs w:val="24"/>
              </w:rPr>
            </w:pPr>
            <w:r>
              <w:rPr>
                <w:rFonts w:hint="eastAsia" w:ascii="仿宋_GB2312" w:hAnsi="仿宋_GB2312" w:eastAsia="仿宋_GB2312" w:cs="仿宋_GB2312"/>
                <w:spacing w:val="20"/>
                <w:kern w:val="2"/>
                <w:sz w:val="24"/>
                <w:szCs w:val="24"/>
                <w:lang w:val="en-US" w:eastAsia="zh-CN"/>
              </w:rPr>
              <w:t>1、</w:t>
            </w:r>
            <w:r>
              <w:rPr>
                <w:rFonts w:hint="eastAsia" w:ascii="仿宋_GB2312" w:hAnsi="仿宋_GB2312" w:eastAsia="仿宋_GB2312" w:cs="仿宋_GB2312"/>
                <w:spacing w:val="20"/>
                <w:kern w:val="2"/>
                <w:sz w:val="24"/>
                <w:szCs w:val="24"/>
              </w:rPr>
              <w:t>竞标人的磋商报价不得超过采购预算价。</w:t>
            </w:r>
          </w:p>
          <w:p>
            <w:pPr>
              <w:pStyle w:val="2"/>
              <w:numPr>
                <w:ilvl w:val="0"/>
                <w:numId w:val="0"/>
              </w:numPr>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kern w:val="2"/>
                <w:sz w:val="24"/>
                <w:szCs w:val="24"/>
                <w:lang w:val="en-US" w:eastAsia="zh-CN"/>
              </w:rPr>
              <w:t>2、</w:t>
            </w:r>
            <w:r>
              <w:rPr>
                <w:rFonts w:hint="eastAsia" w:ascii="仿宋_GB2312" w:hAnsi="仿宋_GB2312" w:eastAsia="仿宋_GB2312" w:cs="仿宋_GB2312"/>
                <w:spacing w:val="20"/>
                <w:kern w:val="2"/>
                <w:sz w:val="24"/>
                <w:szCs w:val="24"/>
                <w:lang w:eastAsia="zh-CN"/>
              </w:rPr>
              <w:t>为了保证服务质量，</w:t>
            </w:r>
            <w:r>
              <w:rPr>
                <w:rFonts w:hint="eastAsia" w:ascii="仿宋_GB2312" w:hAnsi="仿宋_GB2312" w:eastAsia="仿宋_GB2312" w:cs="仿宋_GB2312"/>
                <w:spacing w:val="20"/>
                <w:kern w:val="2"/>
                <w:sz w:val="24"/>
                <w:szCs w:val="24"/>
              </w:rPr>
              <w:t>竞标人的磋商报价不得</w:t>
            </w:r>
            <w:r>
              <w:rPr>
                <w:rFonts w:hint="eastAsia" w:ascii="仿宋_GB2312" w:hAnsi="仿宋_GB2312" w:eastAsia="仿宋_GB2312" w:cs="仿宋_GB2312"/>
                <w:spacing w:val="20"/>
                <w:kern w:val="2"/>
                <w:sz w:val="24"/>
                <w:szCs w:val="24"/>
                <w:lang w:eastAsia="zh-CN"/>
              </w:rPr>
              <w:t>少于</w:t>
            </w:r>
            <w:r>
              <w:rPr>
                <w:rFonts w:hint="eastAsia" w:ascii="仿宋_GB2312" w:hAnsi="仿宋_GB2312" w:eastAsia="仿宋_GB2312" w:cs="仿宋_GB2312"/>
                <w:spacing w:val="20"/>
                <w:kern w:val="2"/>
                <w:sz w:val="24"/>
                <w:szCs w:val="24"/>
                <w:lang w:val="en-US" w:eastAsia="zh-CN"/>
              </w:rPr>
              <w:t>4.2万</w:t>
            </w:r>
            <w:r>
              <w:rPr>
                <w:rFonts w:hint="eastAsia" w:ascii="仿宋_GB2312" w:hAnsi="仿宋_GB2312" w:eastAsia="仿宋_GB2312" w:cs="仿宋_GB2312"/>
                <w:spacing w:val="20"/>
                <w:kern w:val="2"/>
                <w:sz w:val="24"/>
                <w:szCs w:val="24"/>
                <w:lang w:eastAsia="zh-CN"/>
              </w:rPr>
              <w:t>元</w:t>
            </w:r>
            <w:r>
              <w:rPr>
                <w:rFonts w:hint="eastAsia" w:ascii="仿宋_GB2312" w:hAnsi="仿宋_GB2312" w:eastAsia="仿宋_GB2312" w:cs="仿宋_GB2312"/>
                <w:spacing w:val="20"/>
                <w:kern w:val="2"/>
                <w:sz w:val="24"/>
                <w:szCs w:val="24"/>
              </w:rPr>
              <w:t>。</w:t>
            </w:r>
          </w:p>
          <w:p>
            <w:pPr>
              <w:pStyle w:val="2"/>
              <w:numPr>
                <w:ilvl w:val="0"/>
                <w:numId w:val="0"/>
              </w:numPr>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lang w:val="en-US" w:eastAsia="zh-CN"/>
              </w:rPr>
              <w:t>3、</w:t>
            </w:r>
            <w:r>
              <w:rPr>
                <w:rFonts w:hint="eastAsia" w:ascii="仿宋_GB2312" w:hAnsi="仿宋_GB2312" w:eastAsia="仿宋_GB2312" w:cs="仿宋_GB2312"/>
                <w:spacing w:val="20"/>
                <w:sz w:val="24"/>
                <w:szCs w:val="24"/>
              </w:rPr>
              <w:t>该磋商报价已包括但不限于成交人应承担的</w:t>
            </w:r>
            <w:r>
              <w:rPr>
                <w:rFonts w:hint="eastAsia" w:ascii="仿宋_GB2312" w:hAnsi="仿宋_GB2312" w:eastAsia="仿宋_GB2312" w:cs="仿宋_GB2312"/>
                <w:spacing w:val="20"/>
                <w:sz w:val="24"/>
                <w:szCs w:val="24"/>
                <w:lang w:eastAsia="zh-CN"/>
              </w:rPr>
              <w:t>药物成本、</w:t>
            </w:r>
            <w:r>
              <w:rPr>
                <w:rFonts w:hint="eastAsia" w:ascii="仿宋_GB2312" w:hAnsi="仿宋_GB2312" w:eastAsia="仿宋_GB2312" w:cs="仿宋_GB2312"/>
                <w:spacing w:val="20"/>
                <w:sz w:val="24"/>
                <w:szCs w:val="24"/>
              </w:rPr>
              <w:t>人工成本、固定资产成本、保险、税费以及其他成本、费用等，除此以外，采购人无需再向成交人及其从业人员支付其他任何费用。</w:t>
            </w:r>
          </w:p>
        </w:tc>
      </w:tr>
    </w:tbl>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现场服务人数最少为</w:t>
      </w:r>
      <w:r>
        <w:rPr>
          <w:rFonts w:hint="eastAsia" w:ascii="仿宋_GB2312" w:hAnsi="仿宋_GB2312" w:eastAsia="仿宋_GB2312" w:cs="仿宋_GB2312"/>
          <w:color w:val="auto"/>
          <w:sz w:val="30"/>
          <w:szCs w:val="30"/>
          <w:u w:val="none"/>
        </w:rPr>
        <w:t>：</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人；</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法定代表人或法定代表人授权代表（签字或盖章）：</w:t>
      </w:r>
      <w:r>
        <w:rPr>
          <w:rFonts w:hint="eastAsia" w:ascii="仿宋_GB2312" w:hAnsi="仿宋_GB2312" w:eastAsia="仿宋_GB2312" w:cs="仿宋_GB2312"/>
          <w:sz w:val="30"/>
          <w:szCs w:val="30"/>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磋商供应商名称（盖章）：</w:t>
      </w:r>
      <w:r>
        <w:rPr>
          <w:rFonts w:hint="eastAsia" w:ascii="仿宋_GB2312" w:hAnsi="仿宋_GB2312" w:eastAsia="仿宋_GB2312" w:cs="仿宋_GB2312"/>
          <w:sz w:val="30"/>
          <w:szCs w:val="30"/>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   期：</w:t>
      </w:r>
      <w:r>
        <w:rPr>
          <w:rFonts w:hint="eastAsia" w:ascii="仿宋_GB2312" w:hAnsi="仿宋_GB2312" w:eastAsia="仿宋_GB2312" w:cs="仿宋_GB2312"/>
          <w:sz w:val="30"/>
          <w:szCs w:val="30"/>
          <w:u w:val="single"/>
        </w:rPr>
        <w:t xml:space="preserve">                            </w:t>
      </w:r>
    </w:p>
    <w:p>
      <w:pPr>
        <w:rPr>
          <w:rFonts w:hint="eastAsia"/>
          <w:sz w:val="30"/>
          <w:szCs w:val="30"/>
          <w:lang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sz w:val="44"/>
          <w:szCs w:val="44"/>
        </w:rPr>
        <w:t>服务响应、偏离情况说明表</w:t>
      </w:r>
      <w:r>
        <w:rPr>
          <w:rFonts w:hint="eastAsia" w:ascii="方正小标宋简体" w:hAnsi="方正小标宋简体" w:eastAsia="方正小标宋简体" w:cs="方正小标宋简体"/>
          <w:sz w:val="44"/>
          <w:szCs w:val="44"/>
          <w:lang w:val="en-US" w:eastAsia="zh-CN"/>
        </w:rPr>
        <w:t>（统一格式）</w:t>
      </w:r>
    </w:p>
    <w:p>
      <w:pPr>
        <w:spacing w:line="360" w:lineRule="auto"/>
        <w:jc w:val="both"/>
        <w:outlineLvl w:val="1"/>
        <w:rPr>
          <w:rFonts w:hint="eastAsia" w:ascii="仿宋" w:hAnsi="仿宋" w:eastAsia="仿宋"/>
          <w:b/>
          <w:sz w:val="44"/>
          <w:szCs w:val="44"/>
        </w:rPr>
      </w:pPr>
    </w:p>
    <w:p>
      <w:pPr>
        <w:spacing w:line="360" w:lineRule="auto"/>
        <w:rPr>
          <w:rFonts w:hint="eastAsia" w:ascii="仿宋" w:hAnsi="仿宋" w:eastAsia="仿宋"/>
          <w:sz w:val="30"/>
          <w:szCs w:val="30"/>
        </w:rPr>
      </w:pPr>
      <w:r>
        <w:rPr>
          <w:rFonts w:hint="eastAsia" w:ascii="仿宋" w:hAnsi="仿宋" w:eastAsia="仿宋"/>
          <w:sz w:val="30"/>
          <w:szCs w:val="30"/>
        </w:rPr>
        <w:t>采购项目名称：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810"/>
        <w:gridCol w:w="1995"/>
        <w:gridCol w:w="1830"/>
        <w:gridCol w:w="24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noWrap w:val="0"/>
            <w:vAlign w:val="center"/>
          </w:tcPr>
          <w:p>
            <w:pPr>
              <w:spacing w:line="360" w:lineRule="auto"/>
              <w:jc w:val="center"/>
              <w:rPr>
                <w:rFonts w:hint="eastAsia" w:ascii="仿宋" w:hAnsi="仿宋" w:eastAsia="仿宋"/>
                <w:sz w:val="30"/>
                <w:szCs w:val="30"/>
              </w:rPr>
            </w:pPr>
            <w:bookmarkStart w:id="0" w:name="_Toc254970588"/>
            <w:bookmarkStart w:id="1" w:name="_Toc173211900"/>
            <w:bookmarkStart w:id="2" w:name="_Toc254970729"/>
            <w:bookmarkStart w:id="3" w:name="_Toc173066401"/>
            <w:r>
              <w:rPr>
                <w:rFonts w:hint="eastAsia" w:ascii="仿宋" w:hAnsi="仿宋" w:eastAsia="仿宋"/>
                <w:sz w:val="30"/>
                <w:szCs w:val="30"/>
              </w:rPr>
              <w:t>序号</w:t>
            </w:r>
            <w:bookmarkEnd w:id="0"/>
            <w:bookmarkEnd w:id="1"/>
            <w:bookmarkEnd w:id="2"/>
            <w:bookmarkEnd w:id="3"/>
          </w:p>
        </w:tc>
        <w:tc>
          <w:tcPr>
            <w:tcW w:w="1810" w:type="dxa"/>
            <w:noWrap w:val="0"/>
            <w:vAlign w:val="center"/>
          </w:tcPr>
          <w:p>
            <w:pPr>
              <w:spacing w:line="360" w:lineRule="auto"/>
              <w:jc w:val="center"/>
              <w:rPr>
                <w:rFonts w:hint="eastAsia" w:ascii="仿宋" w:hAnsi="仿宋" w:eastAsia="仿宋"/>
                <w:sz w:val="30"/>
                <w:szCs w:val="30"/>
              </w:rPr>
            </w:pPr>
            <w:r>
              <w:rPr>
                <w:rFonts w:hint="eastAsia" w:ascii="仿宋" w:hAnsi="仿宋" w:eastAsia="仿宋"/>
                <w:sz w:val="30"/>
                <w:szCs w:val="30"/>
              </w:rPr>
              <w:t>服务名称</w:t>
            </w:r>
          </w:p>
        </w:tc>
        <w:tc>
          <w:tcPr>
            <w:tcW w:w="1995" w:type="dxa"/>
            <w:noWrap w:val="0"/>
            <w:vAlign w:val="center"/>
          </w:tcPr>
          <w:p>
            <w:pPr>
              <w:spacing w:line="360" w:lineRule="auto"/>
              <w:jc w:val="center"/>
              <w:rPr>
                <w:rFonts w:hint="eastAsia" w:ascii="仿宋" w:hAnsi="仿宋" w:eastAsia="仿宋"/>
                <w:sz w:val="30"/>
                <w:szCs w:val="30"/>
              </w:rPr>
            </w:pPr>
            <w:bookmarkStart w:id="4" w:name="_Toc173066402"/>
            <w:bookmarkStart w:id="5" w:name="_Toc173211901"/>
            <w:bookmarkStart w:id="6" w:name="_Toc254970730"/>
            <w:bookmarkStart w:id="7" w:name="_Toc254970589"/>
            <w:r>
              <w:rPr>
                <w:rFonts w:hint="eastAsia" w:ascii="仿宋" w:hAnsi="仿宋" w:eastAsia="仿宋"/>
                <w:sz w:val="30"/>
                <w:szCs w:val="30"/>
              </w:rPr>
              <w:t>磋商文件要求</w:t>
            </w:r>
            <w:bookmarkEnd w:id="4"/>
            <w:bookmarkEnd w:id="5"/>
            <w:bookmarkEnd w:id="6"/>
            <w:bookmarkEnd w:id="7"/>
          </w:p>
        </w:tc>
        <w:tc>
          <w:tcPr>
            <w:tcW w:w="1830" w:type="dxa"/>
            <w:noWrap w:val="0"/>
            <w:vAlign w:val="center"/>
          </w:tcPr>
          <w:p>
            <w:pPr>
              <w:spacing w:line="360" w:lineRule="auto"/>
              <w:jc w:val="center"/>
              <w:rPr>
                <w:rFonts w:hint="eastAsia" w:ascii="仿宋" w:hAnsi="仿宋" w:eastAsia="仿宋"/>
                <w:sz w:val="30"/>
                <w:szCs w:val="30"/>
              </w:rPr>
            </w:pPr>
            <w:bookmarkStart w:id="8" w:name="_Toc173211903"/>
            <w:bookmarkStart w:id="9" w:name="_Toc254970591"/>
            <w:bookmarkStart w:id="10" w:name="_Toc254970732"/>
            <w:bookmarkStart w:id="11" w:name="_Toc173066404"/>
            <w:r>
              <w:rPr>
                <w:rFonts w:hint="eastAsia" w:ascii="仿宋" w:hAnsi="仿宋" w:eastAsia="仿宋"/>
                <w:sz w:val="30"/>
                <w:szCs w:val="30"/>
              </w:rPr>
              <w:t>响应/偏离</w:t>
            </w:r>
            <w:bookmarkEnd w:id="8"/>
            <w:bookmarkEnd w:id="9"/>
            <w:bookmarkEnd w:id="10"/>
            <w:bookmarkEnd w:id="11"/>
          </w:p>
        </w:tc>
        <w:tc>
          <w:tcPr>
            <w:tcW w:w="2415" w:type="dxa"/>
            <w:noWrap w:val="0"/>
            <w:vAlign w:val="center"/>
          </w:tcPr>
          <w:p>
            <w:pPr>
              <w:spacing w:line="360" w:lineRule="auto"/>
              <w:jc w:val="center"/>
              <w:rPr>
                <w:rFonts w:hint="eastAsia" w:ascii="仿宋" w:hAnsi="仿宋" w:eastAsia="仿宋"/>
                <w:sz w:val="30"/>
                <w:szCs w:val="30"/>
              </w:rPr>
            </w:pPr>
            <w:bookmarkStart w:id="12" w:name="_Toc173211904"/>
            <w:bookmarkStart w:id="13" w:name="_Toc173066405"/>
            <w:bookmarkStart w:id="14" w:name="_Toc254970592"/>
            <w:bookmarkStart w:id="15" w:name="_Toc254970733"/>
            <w:r>
              <w:rPr>
                <w:rFonts w:hint="eastAsia" w:ascii="仿宋" w:hAnsi="仿宋" w:eastAsia="仿宋"/>
                <w:sz w:val="30"/>
                <w:szCs w:val="30"/>
              </w:rPr>
              <w:t>说明</w:t>
            </w:r>
            <w:bookmarkEnd w:id="12"/>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noWrap w:val="0"/>
            <w:vAlign w:val="center"/>
          </w:tcPr>
          <w:p>
            <w:pPr>
              <w:spacing w:line="360" w:lineRule="auto"/>
              <w:jc w:val="center"/>
              <w:rPr>
                <w:rFonts w:hint="eastAsia" w:ascii="仿宋" w:hAnsi="仿宋" w:eastAsia="仿宋"/>
                <w:sz w:val="30"/>
                <w:szCs w:val="30"/>
              </w:rPr>
            </w:pPr>
            <w:r>
              <w:rPr>
                <w:rFonts w:hint="eastAsia" w:ascii="仿宋" w:hAnsi="仿宋" w:eastAsia="仿宋"/>
                <w:sz w:val="30"/>
                <w:szCs w:val="30"/>
              </w:rPr>
              <w:t>1</w:t>
            </w:r>
          </w:p>
        </w:tc>
        <w:tc>
          <w:tcPr>
            <w:tcW w:w="1810" w:type="dxa"/>
            <w:noWrap w:val="0"/>
            <w:vAlign w:val="center"/>
          </w:tcPr>
          <w:p>
            <w:pPr>
              <w:spacing w:line="360" w:lineRule="auto"/>
              <w:jc w:val="center"/>
              <w:rPr>
                <w:rFonts w:hint="eastAsia" w:ascii="仿宋" w:hAnsi="仿宋" w:eastAsia="仿宋"/>
                <w:sz w:val="30"/>
                <w:szCs w:val="30"/>
              </w:rPr>
            </w:pPr>
          </w:p>
        </w:tc>
        <w:tc>
          <w:tcPr>
            <w:tcW w:w="1995" w:type="dxa"/>
            <w:noWrap w:val="0"/>
            <w:vAlign w:val="center"/>
          </w:tcPr>
          <w:p>
            <w:pPr>
              <w:spacing w:line="360" w:lineRule="auto"/>
              <w:jc w:val="center"/>
              <w:rPr>
                <w:rFonts w:hint="eastAsia" w:ascii="仿宋" w:hAnsi="仿宋" w:eastAsia="仿宋"/>
                <w:sz w:val="30"/>
                <w:szCs w:val="30"/>
              </w:rPr>
            </w:pPr>
          </w:p>
        </w:tc>
        <w:tc>
          <w:tcPr>
            <w:tcW w:w="1830" w:type="dxa"/>
            <w:noWrap w:val="0"/>
            <w:vAlign w:val="center"/>
          </w:tcPr>
          <w:p>
            <w:pPr>
              <w:spacing w:line="360" w:lineRule="auto"/>
              <w:jc w:val="center"/>
              <w:rPr>
                <w:rFonts w:hint="eastAsia" w:ascii="仿宋" w:hAnsi="仿宋" w:eastAsia="仿宋"/>
                <w:sz w:val="30"/>
                <w:szCs w:val="30"/>
              </w:rPr>
            </w:pPr>
          </w:p>
        </w:tc>
        <w:tc>
          <w:tcPr>
            <w:tcW w:w="2415" w:type="dxa"/>
            <w:noWrap w:val="0"/>
            <w:vAlign w:val="center"/>
          </w:tcPr>
          <w:p>
            <w:pPr>
              <w:spacing w:line="360" w:lineRule="auto"/>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noWrap w:val="0"/>
            <w:vAlign w:val="center"/>
          </w:tcPr>
          <w:p>
            <w:pPr>
              <w:spacing w:line="360" w:lineRule="auto"/>
              <w:jc w:val="center"/>
              <w:rPr>
                <w:rFonts w:hint="eastAsia" w:ascii="仿宋" w:hAnsi="仿宋" w:eastAsia="仿宋"/>
                <w:sz w:val="30"/>
                <w:szCs w:val="30"/>
              </w:rPr>
            </w:pPr>
            <w:r>
              <w:rPr>
                <w:rFonts w:hint="eastAsia" w:ascii="仿宋" w:hAnsi="仿宋" w:eastAsia="仿宋"/>
                <w:sz w:val="30"/>
                <w:szCs w:val="30"/>
              </w:rPr>
              <w:t>2</w:t>
            </w:r>
          </w:p>
        </w:tc>
        <w:tc>
          <w:tcPr>
            <w:tcW w:w="1810" w:type="dxa"/>
            <w:noWrap w:val="0"/>
            <w:vAlign w:val="center"/>
          </w:tcPr>
          <w:p>
            <w:pPr>
              <w:spacing w:line="360" w:lineRule="auto"/>
              <w:jc w:val="center"/>
              <w:rPr>
                <w:rFonts w:hint="eastAsia" w:ascii="仿宋" w:hAnsi="仿宋" w:eastAsia="仿宋"/>
                <w:sz w:val="30"/>
                <w:szCs w:val="30"/>
              </w:rPr>
            </w:pPr>
          </w:p>
        </w:tc>
        <w:tc>
          <w:tcPr>
            <w:tcW w:w="1995" w:type="dxa"/>
            <w:noWrap w:val="0"/>
            <w:vAlign w:val="center"/>
          </w:tcPr>
          <w:p>
            <w:pPr>
              <w:spacing w:line="360" w:lineRule="auto"/>
              <w:jc w:val="center"/>
              <w:rPr>
                <w:rFonts w:hint="eastAsia" w:ascii="仿宋" w:hAnsi="仿宋" w:eastAsia="仿宋"/>
                <w:sz w:val="30"/>
                <w:szCs w:val="30"/>
              </w:rPr>
            </w:pPr>
          </w:p>
        </w:tc>
        <w:tc>
          <w:tcPr>
            <w:tcW w:w="1830" w:type="dxa"/>
            <w:noWrap w:val="0"/>
            <w:vAlign w:val="center"/>
          </w:tcPr>
          <w:p>
            <w:pPr>
              <w:spacing w:line="360" w:lineRule="auto"/>
              <w:jc w:val="center"/>
              <w:rPr>
                <w:rFonts w:hint="eastAsia" w:ascii="仿宋" w:hAnsi="仿宋" w:eastAsia="仿宋"/>
                <w:sz w:val="30"/>
                <w:szCs w:val="30"/>
              </w:rPr>
            </w:pPr>
          </w:p>
        </w:tc>
        <w:tc>
          <w:tcPr>
            <w:tcW w:w="2415" w:type="dxa"/>
            <w:noWrap w:val="0"/>
            <w:vAlign w:val="center"/>
          </w:tcPr>
          <w:p>
            <w:pPr>
              <w:spacing w:line="360" w:lineRule="auto"/>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noWrap w:val="0"/>
            <w:vAlign w:val="center"/>
          </w:tcPr>
          <w:p>
            <w:pPr>
              <w:spacing w:line="360" w:lineRule="auto"/>
              <w:jc w:val="center"/>
              <w:rPr>
                <w:rFonts w:hint="eastAsia" w:ascii="仿宋" w:hAnsi="仿宋" w:eastAsia="仿宋"/>
                <w:sz w:val="30"/>
                <w:szCs w:val="30"/>
              </w:rPr>
            </w:pPr>
            <w:r>
              <w:rPr>
                <w:rFonts w:hint="eastAsia" w:ascii="仿宋" w:hAnsi="仿宋" w:eastAsia="仿宋"/>
                <w:sz w:val="30"/>
                <w:szCs w:val="30"/>
              </w:rPr>
              <w:t>3</w:t>
            </w:r>
          </w:p>
        </w:tc>
        <w:tc>
          <w:tcPr>
            <w:tcW w:w="1810" w:type="dxa"/>
            <w:noWrap w:val="0"/>
            <w:vAlign w:val="center"/>
          </w:tcPr>
          <w:p>
            <w:pPr>
              <w:spacing w:line="360" w:lineRule="auto"/>
              <w:jc w:val="center"/>
              <w:rPr>
                <w:rFonts w:hint="eastAsia" w:ascii="仿宋" w:hAnsi="仿宋" w:eastAsia="仿宋"/>
                <w:sz w:val="30"/>
                <w:szCs w:val="30"/>
              </w:rPr>
            </w:pPr>
          </w:p>
        </w:tc>
        <w:tc>
          <w:tcPr>
            <w:tcW w:w="1995" w:type="dxa"/>
            <w:noWrap w:val="0"/>
            <w:vAlign w:val="center"/>
          </w:tcPr>
          <w:p>
            <w:pPr>
              <w:spacing w:line="360" w:lineRule="auto"/>
              <w:jc w:val="center"/>
              <w:rPr>
                <w:rFonts w:hint="eastAsia" w:ascii="仿宋" w:hAnsi="仿宋" w:eastAsia="仿宋"/>
                <w:sz w:val="30"/>
                <w:szCs w:val="30"/>
              </w:rPr>
            </w:pPr>
          </w:p>
        </w:tc>
        <w:tc>
          <w:tcPr>
            <w:tcW w:w="1830" w:type="dxa"/>
            <w:noWrap w:val="0"/>
            <w:vAlign w:val="center"/>
          </w:tcPr>
          <w:p>
            <w:pPr>
              <w:spacing w:line="360" w:lineRule="auto"/>
              <w:jc w:val="center"/>
              <w:rPr>
                <w:rFonts w:hint="eastAsia" w:ascii="仿宋" w:hAnsi="仿宋" w:eastAsia="仿宋"/>
                <w:sz w:val="30"/>
                <w:szCs w:val="30"/>
              </w:rPr>
            </w:pPr>
          </w:p>
        </w:tc>
        <w:tc>
          <w:tcPr>
            <w:tcW w:w="2415" w:type="dxa"/>
            <w:noWrap w:val="0"/>
            <w:vAlign w:val="center"/>
          </w:tcPr>
          <w:p>
            <w:pPr>
              <w:spacing w:line="360" w:lineRule="auto"/>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noWrap w:val="0"/>
            <w:vAlign w:val="center"/>
          </w:tcPr>
          <w:p>
            <w:pPr>
              <w:spacing w:line="360" w:lineRule="auto"/>
              <w:jc w:val="center"/>
              <w:rPr>
                <w:rFonts w:hint="eastAsia" w:ascii="仿宋" w:hAnsi="仿宋" w:eastAsia="仿宋"/>
                <w:sz w:val="30"/>
                <w:szCs w:val="30"/>
              </w:rPr>
            </w:pPr>
            <w:r>
              <w:rPr>
                <w:rFonts w:hint="eastAsia" w:ascii="仿宋" w:hAnsi="仿宋" w:eastAsia="仿宋"/>
                <w:sz w:val="30"/>
                <w:szCs w:val="30"/>
              </w:rPr>
              <w:t>4</w:t>
            </w:r>
          </w:p>
        </w:tc>
        <w:tc>
          <w:tcPr>
            <w:tcW w:w="1810" w:type="dxa"/>
            <w:noWrap w:val="0"/>
            <w:vAlign w:val="center"/>
          </w:tcPr>
          <w:p>
            <w:pPr>
              <w:spacing w:line="360" w:lineRule="auto"/>
              <w:jc w:val="center"/>
              <w:rPr>
                <w:rFonts w:hint="eastAsia" w:ascii="仿宋" w:hAnsi="仿宋" w:eastAsia="仿宋"/>
                <w:sz w:val="30"/>
                <w:szCs w:val="30"/>
              </w:rPr>
            </w:pPr>
          </w:p>
        </w:tc>
        <w:tc>
          <w:tcPr>
            <w:tcW w:w="1995" w:type="dxa"/>
            <w:noWrap w:val="0"/>
            <w:vAlign w:val="center"/>
          </w:tcPr>
          <w:p>
            <w:pPr>
              <w:spacing w:line="360" w:lineRule="auto"/>
              <w:jc w:val="center"/>
              <w:rPr>
                <w:rFonts w:hint="eastAsia" w:ascii="仿宋" w:hAnsi="仿宋" w:eastAsia="仿宋"/>
                <w:sz w:val="30"/>
                <w:szCs w:val="30"/>
              </w:rPr>
            </w:pPr>
          </w:p>
        </w:tc>
        <w:tc>
          <w:tcPr>
            <w:tcW w:w="1830" w:type="dxa"/>
            <w:noWrap w:val="0"/>
            <w:vAlign w:val="center"/>
          </w:tcPr>
          <w:p>
            <w:pPr>
              <w:spacing w:line="360" w:lineRule="auto"/>
              <w:jc w:val="center"/>
              <w:rPr>
                <w:rFonts w:hint="eastAsia" w:ascii="仿宋" w:hAnsi="仿宋" w:eastAsia="仿宋"/>
                <w:sz w:val="30"/>
                <w:szCs w:val="30"/>
              </w:rPr>
            </w:pPr>
          </w:p>
        </w:tc>
        <w:tc>
          <w:tcPr>
            <w:tcW w:w="2415" w:type="dxa"/>
            <w:noWrap w:val="0"/>
            <w:vAlign w:val="center"/>
          </w:tcPr>
          <w:p>
            <w:pPr>
              <w:spacing w:line="360" w:lineRule="auto"/>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noWrap w:val="0"/>
            <w:vAlign w:val="center"/>
          </w:tcPr>
          <w:p>
            <w:pPr>
              <w:spacing w:line="360" w:lineRule="auto"/>
              <w:jc w:val="center"/>
              <w:rPr>
                <w:rFonts w:hint="eastAsia" w:ascii="仿宋" w:hAnsi="仿宋" w:eastAsia="仿宋"/>
                <w:sz w:val="30"/>
                <w:szCs w:val="30"/>
              </w:rPr>
            </w:pPr>
            <w:r>
              <w:rPr>
                <w:rFonts w:hint="eastAsia" w:ascii="仿宋" w:hAnsi="仿宋" w:eastAsia="仿宋"/>
                <w:sz w:val="30"/>
                <w:szCs w:val="30"/>
              </w:rPr>
              <w:t>5</w:t>
            </w:r>
          </w:p>
        </w:tc>
        <w:tc>
          <w:tcPr>
            <w:tcW w:w="1810" w:type="dxa"/>
            <w:noWrap w:val="0"/>
            <w:vAlign w:val="center"/>
          </w:tcPr>
          <w:p>
            <w:pPr>
              <w:spacing w:line="360" w:lineRule="auto"/>
              <w:jc w:val="center"/>
              <w:rPr>
                <w:rFonts w:hint="eastAsia" w:ascii="仿宋" w:hAnsi="仿宋" w:eastAsia="仿宋"/>
                <w:sz w:val="30"/>
                <w:szCs w:val="30"/>
              </w:rPr>
            </w:pPr>
          </w:p>
        </w:tc>
        <w:tc>
          <w:tcPr>
            <w:tcW w:w="1995" w:type="dxa"/>
            <w:noWrap w:val="0"/>
            <w:vAlign w:val="center"/>
          </w:tcPr>
          <w:p>
            <w:pPr>
              <w:spacing w:line="360" w:lineRule="auto"/>
              <w:jc w:val="center"/>
              <w:rPr>
                <w:rFonts w:hint="eastAsia" w:ascii="仿宋" w:hAnsi="仿宋" w:eastAsia="仿宋"/>
                <w:sz w:val="30"/>
                <w:szCs w:val="30"/>
              </w:rPr>
            </w:pPr>
          </w:p>
        </w:tc>
        <w:tc>
          <w:tcPr>
            <w:tcW w:w="1830" w:type="dxa"/>
            <w:noWrap w:val="0"/>
            <w:vAlign w:val="center"/>
          </w:tcPr>
          <w:p>
            <w:pPr>
              <w:spacing w:line="360" w:lineRule="auto"/>
              <w:jc w:val="center"/>
              <w:rPr>
                <w:rFonts w:hint="eastAsia" w:ascii="仿宋" w:hAnsi="仿宋" w:eastAsia="仿宋"/>
                <w:sz w:val="30"/>
                <w:szCs w:val="30"/>
              </w:rPr>
            </w:pPr>
          </w:p>
        </w:tc>
        <w:tc>
          <w:tcPr>
            <w:tcW w:w="2415" w:type="dxa"/>
            <w:noWrap w:val="0"/>
            <w:vAlign w:val="center"/>
          </w:tcPr>
          <w:p>
            <w:pPr>
              <w:spacing w:line="360" w:lineRule="auto"/>
              <w:jc w:val="center"/>
              <w:rPr>
                <w:rFonts w:hint="eastAsia"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noWrap w:val="0"/>
            <w:vAlign w:val="center"/>
          </w:tcPr>
          <w:p>
            <w:pPr>
              <w:spacing w:line="360" w:lineRule="auto"/>
              <w:jc w:val="center"/>
              <w:rPr>
                <w:rFonts w:hint="eastAsia" w:ascii="仿宋" w:hAnsi="仿宋" w:eastAsia="仿宋"/>
                <w:sz w:val="30"/>
                <w:szCs w:val="30"/>
              </w:rPr>
            </w:pPr>
            <w:r>
              <w:rPr>
                <w:rFonts w:hint="eastAsia" w:ascii="仿宋" w:hAnsi="仿宋" w:eastAsia="仿宋"/>
                <w:sz w:val="30"/>
                <w:szCs w:val="30"/>
              </w:rPr>
              <w:t>…</w:t>
            </w:r>
          </w:p>
        </w:tc>
        <w:tc>
          <w:tcPr>
            <w:tcW w:w="1810" w:type="dxa"/>
            <w:noWrap w:val="0"/>
            <w:vAlign w:val="center"/>
          </w:tcPr>
          <w:p>
            <w:pPr>
              <w:spacing w:line="360" w:lineRule="auto"/>
              <w:jc w:val="center"/>
              <w:rPr>
                <w:rFonts w:hint="eastAsia" w:ascii="仿宋" w:hAnsi="仿宋" w:eastAsia="仿宋"/>
                <w:sz w:val="30"/>
                <w:szCs w:val="30"/>
              </w:rPr>
            </w:pPr>
          </w:p>
        </w:tc>
        <w:tc>
          <w:tcPr>
            <w:tcW w:w="1995" w:type="dxa"/>
            <w:noWrap w:val="0"/>
            <w:vAlign w:val="center"/>
          </w:tcPr>
          <w:p>
            <w:pPr>
              <w:spacing w:line="360" w:lineRule="auto"/>
              <w:jc w:val="center"/>
              <w:rPr>
                <w:rFonts w:hint="eastAsia" w:ascii="仿宋" w:hAnsi="仿宋" w:eastAsia="仿宋"/>
                <w:sz w:val="30"/>
                <w:szCs w:val="30"/>
              </w:rPr>
            </w:pPr>
          </w:p>
        </w:tc>
        <w:tc>
          <w:tcPr>
            <w:tcW w:w="1830" w:type="dxa"/>
            <w:noWrap w:val="0"/>
            <w:vAlign w:val="center"/>
          </w:tcPr>
          <w:p>
            <w:pPr>
              <w:spacing w:line="360" w:lineRule="auto"/>
              <w:jc w:val="center"/>
              <w:rPr>
                <w:rFonts w:hint="eastAsia" w:ascii="仿宋" w:hAnsi="仿宋" w:eastAsia="仿宋"/>
                <w:sz w:val="30"/>
                <w:szCs w:val="30"/>
              </w:rPr>
            </w:pPr>
          </w:p>
        </w:tc>
        <w:tc>
          <w:tcPr>
            <w:tcW w:w="2415" w:type="dxa"/>
            <w:noWrap w:val="0"/>
            <w:vAlign w:val="center"/>
          </w:tcPr>
          <w:p>
            <w:pPr>
              <w:spacing w:line="360" w:lineRule="auto"/>
              <w:jc w:val="center"/>
              <w:rPr>
                <w:rFonts w:hint="eastAsia" w:ascii="仿宋" w:hAnsi="仿宋" w:eastAsia="仿宋"/>
                <w:sz w:val="30"/>
                <w:szCs w:val="30"/>
              </w:rPr>
            </w:pPr>
          </w:p>
        </w:tc>
      </w:tr>
    </w:tbl>
    <w:p>
      <w:pPr>
        <w:spacing w:line="360" w:lineRule="auto"/>
        <w:rPr>
          <w:rFonts w:hint="eastAsia" w:ascii="仿宋" w:hAnsi="仿宋" w:eastAsia="仿宋"/>
          <w:sz w:val="30"/>
          <w:szCs w:val="30"/>
        </w:rPr>
      </w:pPr>
    </w:p>
    <w:p>
      <w:pPr>
        <w:keepNext w:val="0"/>
        <w:keepLines w:val="0"/>
        <w:pageBreakBefore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说明：应对照竞争性磋商文件“</w:t>
      </w: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b w:val="0"/>
          <w:bCs w:val="0"/>
          <w:color w:val="000000"/>
          <w:sz w:val="30"/>
          <w:szCs w:val="30"/>
          <w:lang w:eastAsia="zh-CN"/>
        </w:rPr>
        <w:t>“四害”消杀项目要求</w:t>
      </w:r>
      <w:r>
        <w:rPr>
          <w:rFonts w:hint="eastAsia" w:ascii="仿宋_GB2312" w:hAnsi="仿宋_GB2312" w:eastAsia="仿宋_GB2312" w:cs="仿宋_GB2312"/>
          <w:sz w:val="30"/>
          <w:szCs w:val="30"/>
        </w:rPr>
        <w:t>”中</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lang w:val="en-US" w:eastAsia="zh-CN"/>
        </w:rPr>
        <w:t>至六大点</w:t>
      </w:r>
      <w:r>
        <w:rPr>
          <w:rFonts w:hint="eastAsia" w:ascii="仿宋_GB2312" w:hAnsi="仿宋_GB2312" w:eastAsia="仿宋_GB2312" w:cs="仿宋_GB2312"/>
          <w:sz w:val="30"/>
          <w:szCs w:val="30"/>
        </w:rPr>
        <w:t>，逐条说明所提供的服务已对竞争性磋商文件的要求做出了实质性的响应，并申明与项目要求及技术需求的响应和偏离。如果仅注明“符合”、“满足”，将导致磋商被拒绝。</w:t>
      </w:r>
    </w:p>
    <w:p>
      <w:pPr>
        <w:keepNext w:val="0"/>
        <w:keepLines w:val="0"/>
        <w:pageBreakBefore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0"/>
          <w:szCs w:val="30"/>
        </w:rPr>
      </w:pPr>
    </w:p>
    <w:p>
      <w:pPr>
        <w:pStyle w:val="3"/>
        <w:spacing w:line="360" w:lineRule="auto"/>
        <w:rPr>
          <w:rFonts w:hint="eastAsia" w:ascii="仿宋" w:hAnsi="仿宋" w:eastAsia="仿宋"/>
          <w:sz w:val="30"/>
          <w:szCs w:val="30"/>
          <w:u w:val="single"/>
        </w:rPr>
      </w:pPr>
      <w:r>
        <w:rPr>
          <w:rFonts w:hint="eastAsia" w:ascii="仿宋" w:hAnsi="仿宋" w:eastAsia="仿宋"/>
          <w:sz w:val="30"/>
          <w:szCs w:val="30"/>
        </w:rPr>
        <w:t>法定代表人或法定代表人授权代表（签字或盖章）：</w:t>
      </w:r>
      <w:r>
        <w:rPr>
          <w:rFonts w:hint="eastAsia" w:ascii="仿宋" w:hAnsi="仿宋" w:eastAsia="仿宋"/>
          <w:sz w:val="30"/>
          <w:szCs w:val="30"/>
          <w:u w:val="single"/>
        </w:rPr>
        <w:t xml:space="preserve">        </w:t>
      </w:r>
    </w:p>
    <w:p>
      <w:pPr>
        <w:pStyle w:val="3"/>
        <w:spacing w:line="360" w:lineRule="auto"/>
        <w:rPr>
          <w:rFonts w:hint="eastAsia" w:ascii="仿宋" w:hAnsi="仿宋" w:eastAsia="仿宋"/>
          <w:sz w:val="30"/>
          <w:szCs w:val="30"/>
          <w:u w:val="single"/>
        </w:rPr>
      </w:pPr>
      <w:r>
        <w:rPr>
          <w:rFonts w:hint="eastAsia" w:ascii="仿宋" w:hAnsi="仿宋" w:eastAsia="仿宋"/>
          <w:sz w:val="30"/>
          <w:szCs w:val="30"/>
        </w:rPr>
        <w:t>磋商供应商名称（盖章）：</w:t>
      </w:r>
      <w:r>
        <w:rPr>
          <w:rFonts w:hint="eastAsia" w:ascii="仿宋" w:hAnsi="仿宋" w:eastAsia="仿宋"/>
          <w:sz w:val="30"/>
          <w:szCs w:val="30"/>
          <w:u w:val="single"/>
        </w:rPr>
        <w:t xml:space="preserve">               </w:t>
      </w:r>
    </w:p>
    <w:p>
      <w:pPr>
        <w:pStyle w:val="3"/>
        <w:spacing w:line="360" w:lineRule="auto"/>
        <w:rPr>
          <w:rFonts w:hint="eastAsia" w:ascii="仿宋" w:hAnsi="仿宋" w:eastAsia="仿宋"/>
          <w:sz w:val="30"/>
          <w:szCs w:val="30"/>
          <w:u w:val="single"/>
        </w:rPr>
      </w:pPr>
      <w:r>
        <w:rPr>
          <w:rFonts w:hint="eastAsia" w:ascii="仿宋" w:hAnsi="仿宋" w:eastAsia="仿宋"/>
          <w:sz w:val="30"/>
          <w:szCs w:val="30"/>
        </w:rPr>
        <w:t>日   期：</w:t>
      </w:r>
      <w:r>
        <w:rPr>
          <w:rFonts w:hint="eastAsia" w:ascii="仿宋" w:hAnsi="仿宋" w:eastAsia="仿宋"/>
          <w:sz w:val="30"/>
          <w:szCs w:val="30"/>
          <w:u w:val="single"/>
        </w:rPr>
        <w:t xml:space="preserve">                            </w:t>
      </w:r>
    </w:p>
    <w:p>
      <w:pPr>
        <w:pStyle w:val="3"/>
        <w:spacing w:line="360" w:lineRule="auto"/>
        <w:rPr>
          <w:rFonts w:hint="eastAsia" w:ascii="仿宋" w:hAnsi="仿宋" w:eastAsia="仿宋"/>
          <w:sz w:val="30"/>
          <w:szCs w:val="30"/>
          <w:u w:val="single"/>
          <w:lang w:val="en-US" w:eastAsia="zh-CN"/>
        </w:rPr>
      </w:pPr>
    </w:p>
    <w:p>
      <w:pPr>
        <w:pStyle w:val="3"/>
        <w:spacing w:line="360" w:lineRule="auto"/>
        <w:rPr>
          <w:rFonts w:hint="eastAsia" w:ascii="仿宋" w:hAnsi="仿宋" w:eastAsia="仿宋"/>
          <w:sz w:val="30"/>
          <w:szCs w:val="30"/>
          <w:u w:val="single"/>
          <w:lang w:val="en-US" w:eastAsia="zh-CN"/>
        </w:rPr>
      </w:pPr>
    </w:p>
    <w:p>
      <w:pPr>
        <w:pStyle w:val="3"/>
        <w:spacing w:line="360" w:lineRule="auto"/>
        <w:rPr>
          <w:rFonts w:hint="eastAsia" w:ascii="仿宋" w:hAnsi="仿宋" w:eastAsia="仿宋"/>
          <w:sz w:val="30"/>
          <w:szCs w:val="30"/>
          <w:u w:val="singl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法定代表人授权书</w:t>
      </w:r>
      <w:r>
        <w:rPr>
          <w:rFonts w:hint="eastAsia" w:ascii="方正小标宋简体" w:hAnsi="方正小标宋简体" w:eastAsia="方正小标宋简体" w:cs="方正小标宋简体"/>
          <w:sz w:val="44"/>
          <w:szCs w:val="44"/>
          <w:lang w:val="en-US" w:eastAsia="zh-CN"/>
        </w:rPr>
        <w:t>（统一格式）</w:t>
      </w:r>
    </w:p>
    <w:p>
      <w:pPr>
        <w:adjustRightInd w:val="0"/>
        <w:snapToGrid w:val="0"/>
        <w:spacing w:line="360" w:lineRule="auto"/>
        <w:rPr>
          <w:rFonts w:hint="eastAsia" w:ascii="仿宋" w:hAnsi="仿宋" w:eastAsia="仿宋"/>
          <w:sz w:val="30"/>
          <w:szCs w:val="30"/>
        </w:rPr>
      </w:pP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xxxxx</w:t>
      </w:r>
      <w:r>
        <w:rPr>
          <w:rFonts w:hint="eastAsia" w:ascii="仿宋_GB2312" w:hAnsi="仿宋_GB2312" w:eastAsia="仿宋_GB2312" w:cs="仿宋_GB2312"/>
          <w:sz w:val="30"/>
          <w:szCs w:val="30"/>
        </w:rPr>
        <w:t>：</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兹授权</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同志为我公司参加贵单位组织的</w:t>
      </w:r>
      <w:r>
        <w:rPr>
          <w:rFonts w:hint="eastAsia" w:ascii="仿宋_GB2312" w:hAnsi="仿宋_GB2312" w:eastAsia="仿宋_GB2312" w:cs="仿宋_GB2312"/>
          <w:sz w:val="30"/>
          <w:szCs w:val="30"/>
          <w:u w:val="single"/>
        </w:rPr>
        <w:t>（项目名称：          ）</w:t>
      </w:r>
      <w:r>
        <w:rPr>
          <w:rFonts w:hint="eastAsia" w:ascii="仿宋_GB2312" w:hAnsi="仿宋_GB2312" w:eastAsia="仿宋_GB2312" w:cs="仿宋_GB2312"/>
          <w:sz w:val="30"/>
          <w:szCs w:val="30"/>
        </w:rPr>
        <w:t>采购活动的竞标</w:t>
      </w:r>
      <w:r>
        <w:rPr>
          <w:rFonts w:hint="eastAsia" w:ascii="仿宋_GB2312" w:hAnsi="仿宋_GB2312" w:eastAsia="仿宋_GB2312" w:cs="仿宋_GB2312"/>
          <w:sz w:val="30"/>
          <w:szCs w:val="30"/>
          <w:lang w:eastAsia="zh-CN"/>
        </w:rPr>
        <w:t>和合同执行</w:t>
      </w:r>
      <w:r>
        <w:rPr>
          <w:rFonts w:hint="eastAsia" w:ascii="仿宋_GB2312" w:hAnsi="仿宋_GB2312" w:eastAsia="仿宋_GB2312" w:cs="仿宋_GB2312"/>
          <w:sz w:val="30"/>
          <w:szCs w:val="30"/>
        </w:rPr>
        <w:t>代表人，全权代表我公司处理在该项目活动中的一切事宜。代理期限从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日起至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日止。</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授权单位（签章）：</w:t>
      </w:r>
      <w:r>
        <w:rPr>
          <w:rFonts w:hint="eastAsia" w:ascii="仿宋_GB2312" w:hAnsi="仿宋_GB2312" w:eastAsia="仿宋_GB2312" w:cs="仿宋_GB2312"/>
          <w:sz w:val="30"/>
          <w:szCs w:val="30"/>
          <w:u w:val="single"/>
        </w:rPr>
        <w:t xml:space="preserve">               </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法定代表人（签字或盖章）：</w:t>
      </w:r>
      <w:r>
        <w:rPr>
          <w:rFonts w:hint="eastAsia" w:ascii="仿宋_GB2312" w:hAnsi="仿宋_GB2312" w:eastAsia="仿宋_GB2312" w:cs="仿宋_GB2312"/>
          <w:sz w:val="30"/>
          <w:szCs w:val="30"/>
          <w:u w:val="single"/>
        </w:rPr>
        <w:t xml:space="preserve">       </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签发日期：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rPr>
          <w:rFonts w:hint="eastAsia" w:ascii="仿宋_GB2312" w:hAnsi="仿宋_GB2312" w:eastAsia="仿宋_GB2312" w:cs="仿宋_GB2312"/>
          <w:sz w:val="30"/>
          <w:szCs w:val="30"/>
        </w:rPr>
      </w:pP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rPr>
        <w:t>被授权</w:t>
      </w:r>
      <w:r>
        <w:rPr>
          <w:rFonts w:hint="eastAsia" w:ascii="仿宋_GB2312" w:hAnsi="仿宋_GB2312" w:eastAsia="仿宋_GB2312" w:cs="仿宋_GB2312"/>
          <w:sz w:val="30"/>
          <w:szCs w:val="30"/>
        </w:rPr>
        <w:t>代理人</w:t>
      </w:r>
      <w:r>
        <w:rPr>
          <w:rFonts w:hint="eastAsia" w:ascii="仿宋_GB2312" w:hAnsi="仿宋_GB2312" w:eastAsia="仿宋_GB2312" w:cs="仿宋_GB2312"/>
          <w:sz w:val="30"/>
          <w:szCs w:val="30"/>
          <w:lang w:eastAsia="zh-CN"/>
        </w:rPr>
        <w:t>签字</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性别：</w:t>
      </w:r>
      <w:r>
        <w:rPr>
          <w:rFonts w:hint="eastAsia" w:ascii="仿宋_GB2312" w:hAnsi="仿宋_GB2312" w:eastAsia="仿宋_GB2312" w:cs="仿宋_GB2312"/>
          <w:sz w:val="30"/>
          <w:szCs w:val="30"/>
          <w:u w:val="single"/>
        </w:rPr>
        <w:t xml:space="preserve">      </w:t>
      </w:r>
    </w:p>
    <w:p>
      <w:pPr>
        <w:adjustRightInd w:val="0"/>
        <w:snapToGrid w:val="0"/>
        <w:spacing w:line="360" w:lineRule="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身份证号码：</w:t>
      </w:r>
      <w:r>
        <w:rPr>
          <w:rFonts w:hint="eastAsia" w:ascii="仿宋_GB2312" w:hAnsi="仿宋_GB2312" w:eastAsia="仿宋_GB2312" w:cs="仿宋_GB2312"/>
          <w:sz w:val="30"/>
          <w:szCs w:val="30"/>
          <w:u w:val="single"/>
        </w:rPr>
        <w:t xml:space="preserve">                              </w:t>
      </w:r>
    </w:p>
    <w:tbl>
      <w:tblPr>
        <w:tblStyle w:val="4"/>
        <w:tblpPr w:leftFromText="180" w:rightFromText="180" w:vertAnchor="text" w:horzAnchor="margin" w:tblpY="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8350" w:type="dxa"/>
            <w:noWrap w:val="0"/>
            <w:vAlign w:val="top"/>
          </w:tcPr>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粘贴法定代表人和被授权人身份证（复印件）</w:t>
            </w:r>
          </w:p>
        </w:tc>
      </w:tr>
    </w:tbl>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C9E5"/>
    <w:multiLevelType w:val="singleLevel"/>
    <w:tmpl w:val="8622C9E5"/>
    <w:lvl w:ilvl="0" w:tentative="0">
      <w:start w:val="4"/>
      <w:numFmt w:val="chineseCounting"/>
      <w:suff w:val="nothing"/>
      <w:lvlText w:val="%1、"/>
      <w:lvlJc w:val="left"/>
      <w:rPr>
        <w:rFonts w:hint="eastAsia"/>
      </w:rPr>
    </w:lvl>
  </w:abstractNum>
  <w:abstractNum w:abstractNumId="1">
    <w:nsid w:val="BD83893D"/>
    <w:multiLevelType w:val="singleLevel"/>
    <w:tmpl w:val="BD83893D"/>
    <w:lvl w:ilvl="0" w:tentative="0">
      <w:start w:val="1"/>
      <w:numFmt w:val="decimal"/>
      <w:suff w:val="nothing"/>
      <w:lvlText w:val="%1、"/>
      <w:lvlJc w:val="left"/>
    </w:lvl>
  </w:abstractNum>
  <w:abstractNum w:abstractNumId="2">
    <w:nsid w:val="E0BFD75D"/>
    <w:multiLevelType w:val="singleLevel"/>
    <w:tmpl w:val="E0BFD75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MmE4MmUxNTkwMDI5NjQ4YTc4M2EzZGY0MTEyN2QifQ=="/>
  </w:docVars>
  <w:rsids>
    <w:rsidRoot w:val="00000000"/>
    <w:rsid w:val="08D12C20"/>
    <w:rsid w:val="0F7515A0"/>
    <w:rsid w:val="21E6537E"/>
    <w:rsid w:val="2BF5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0"/>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2024-05-09T02:18:00Z</dcterms:created>
  <dc:creator>Administrator</dc:creator>
  <cp:lastModifiedBy>黎黎</cp:lastModifiedBy>
  <dcterms:modified xsi:type="dcterms:W3CDTF">2024-05-10T00:36:15Z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417C4AF85E65474E8BD17C7110FA81FE_12</vt:lpwstr>
  </property>
</Properties>
</file>