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441340-2024-00335</w:t>
      </w:r>
    </w:p>
    <w:p>
      <w:pPr>
        <w:pStyle w:val="null3"/>
        <w:jc w:val="center"/>
        <w:outlineLvl w:val="3"/>
      </w:pPr>
      <w:r>
        <w:rPr>
          <w:sz w:val="24"/>
          <w:b/>
        </w:rPr>
        <w:t>采购项目编号：</w:t>
      </w:r>
      <w:r>
        <w:rPr>
          <w:sz w:val="24"/>
          <w:b/>
        </w:rPr>
        <w:t>SZXY-2024B0037686</w:t>
      </w:r>
    </w:p>
    <w:p>
      <w:pPr>
        <w:pStyle w:val="null3"/>
        <w:jc w:val="center"/>
        <w:outlineLvl w:val="3"/>
      </w:pPr>
      <w:r>
        <w:rPr>
          <w:sz w:val="24"/>
          <w:b/>
        </w:rPr>
        <w:t>项目名称：</w:t>
      </w:r>
      <w:r>
        <w:rPr>
          <w:sz w:val="24"/>
          <w:b/>
        </w:rPr>
        <w:t>西区街道消杀服务采购项目</w:t>
      </w:r>
    </w:p>
    <w:p>
      <w:pPr>
        <w:pStyle w:val="null3"/>
        <w:jc w:val="center"/>
        <w:outlineLvl w:val="3"/>
      </w:pPr>
      <w:r>
        <w:rPr>
          <w:sz w:val="24"/>
          <w:b/>
        </w:rPr>
        <w:t>采购人：</w:t>
      </w:r>
      <w:r>
        <w:rPr>
          <w:sz w:val="24"/>
          <w:b/>
        </w:rPr>
        <w:t>惠州大亚湾经济技术开发区西区街道办事处</w:t>
      </w:r>
    </w:p>
    <w:p>
      <w:pPr>
        <w:pStyle w:val="null3"/>
        <w:jc w:val="center"/>
        <w:outlineLvl w:val="3"/>
      </w:pPr>
      <w:r>
        <w:rPr>
          <w:sz w:val="24"/>
          <w:b/>
        </w:rPr>
        <w:t>采购代理机构：</w:t>
      </w:r>
      <w:r>
        <w:rPr>
          <w:sz w:val="24"/>
          <w:b/>
        </w:rPr>
        <w:t>深圳轩辕氏工程咨询有限公司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深圳轩辕氏工程咨询有限公司</w:t>
      </w:r>
      <w:r>
        <w:rPr/>
        <w:t>受</w:t>
      </w:r>
      <w:r>
        <w:rPr/>
        <w:t>惠州大亚湾经济技术开发区西区街道办事处</w:t>
      </w:r>
      <w:r>
        <w:rPr/>
        <w:t>的委托，采用</w:t>
      </w:r>
      <w:r>
        <w:rPr/>
        <w:t>竞争性磋商</w:t>
      </w:r>
      <w:r>
        <w:rPr/>
        <w:t>方式组织采购</w:t>
      </w:r>
      <w:r>
        <w:rPr/>
        <w:t>西区街道消杀服务采购项目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西区街道消杀服务采购项目</w:t>
      </w:r>
    </w:p>
    <w:p>
      <w:pPr>
        <w:pStyle w:val="null3"/>
        <w:ind w:firstLine="480"/>
      </w:pPr>
      <w:r>
        <w:rPr/>
        <w:t>采购计划编号：</w:t>
      </w:r>
      <w:r>
        <w:rPr/>
        <w:t>441340-2024-00335</w:t>
      </w:r>
    </w:p>
    <w:p>
      <w:pPr>
        <w:pStyle w:val="null3"/>
        <w:ind w:firstLine="480"/>
      </w:pPr>
      <w:r>
        <w:rPr/>
        <w:t>采购项目编号：</w:t>
      </w:r>
      <w:r>
        <w:rPr/>
        <w:t>SZXY-2024B0037686</w:t>
      </w:r>
    </w:p>
    <w:p>
      <w:pPr>
        <w:pStyle w:val="null3"/>
        <w:ind w:firstLine="480"/>
      </w:pPr>
      <w:r>
        <w:rPr/>
        <w:t>采购方式：</w:t>
      </w:r>
      <w:r>
        <w:rPr/>
        <w:t>竞争性磋商</w:t>
      </w:r>
    </w:p>
    <w:p>
      <w:pPr>
        <w:pStyle w:val="null3"/>
        <w:ind w:firstLine="480"/>
      </w:pPr>
      <w:r>
        <w:rPr/>
        <w:t>预算金额：</w:t>
      </w:r>
      <w:r>
        <w:rPr/>
        <w:t>1,450,000.00</w:t>
      </w:r>
      <w:r>
        <w:rPr/>
        <w:t>元</w:t>
      </w:r>
    </w:p>
    <w:p>
      <w:pPr>
        <w:pStyle w:val="null3"/>
        <w:outlineLvl w:val="3"/>
      </w:pPr>
      <w:r>
        <w:rPr>
          <w:sz w:val="24"/>
          <w:b/>
        </w:rPr>
        <w:t>2.项目内容及需求情况（采购项目技术规格、参数及要求）</w:t>
      </w:r>
    </w:p>
    <w:p>
      <w:pPr>
        <w:pStyle w:val="null3"/>
      </w:pPr>
      <w:r>
        <w:rPr/>
        <w:t>采购包1(西区街道消杀服务):</w:t>
      </w:r>
    </w:p>
    <w:p>
      <w:pPr>
        <w:pStyle w:val="null3"/>
      </w:pPr>
      <w:r>
        <w:rPr/>
        <w:t>采购包预算金额：1,450,000.00元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其他生态环境治理服务</w:t>
            </w:r>
          </w:p>
        </w:tc>
        <w:tc>
          <w:tcPr>
            <w:tcW w:type="dxa" w:w="2136"/>
          </w:tcPr>
          <w:p>
            <w:pPr>
              <w:pStyle w:val="null3"/>
            </w:pPr>
            <w:r>
              <w:rPr/>
              <w:t>西区街道消杀服务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合同履行期限：合同签订后，接管之日起一年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3）具有良好的商业信誉和健全的财务会计制度：供应商必须具有良好的商业信誉和健全的财务会计制度（提供2022年度财务状况报告或基本开户行出具的资信证明）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采购包1（西区街道消杀服务）：</w:t>
      </w:r>
      <w:r>
        <w:rPr/>
        <w:t>采购包整体专门面向中小企业，供应商应为中小微企业、监狱企业、残疾人福利性单位。 （提供《中小企业声明函》或属于监狱企业的证明材料或《残疾人福利性单位声明函》）。</w:t>
      </w:r>
    </w:p>
    <w:p>
      <w:pPr>
        <w:pStyle w:val="null3"/>
        <w:outlineLvl w:val="3"/>
      </w:pPr>
      <w:r>
        <w:rPr>
          <w:sz w:val="24"/>
          <w:b/>
        </w:rPr>
        <w:t>3.本项目特定的资格要求：</w:t>
      </w:r>
    </w:p>
    <w:p>
      <w:pPr>
        <w:pStyle w:val="null3"/>
      </w:pPr>
      <w:r>
        <w:rPr/>
        <w:t>采购包1（西区街道消杀服务）：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惠州大亚湾经济技术开发区西区街道办事处</w:t>
      </w:r>
    </w:p>
    <w:p>
      <w:pPr>
        <w:pStyle w:val="null3"/>
        <w:ind w:firstLine="480"/>
      </w:pPr>
      <w:r>
        <w:rPr/>
        <w:t>地址：</w:t>
      </w:r>
      <w:r>
        <w:rPr/>
        <w:t>广东省惠州市大亚湾区龙海二路16号</w:t>
      </w:r>
    </w:p>
    <w:p>
      <w:pPr>
        <w:pStyle w:val="null3"/>
        <w:ind w:firstLine="480"/>
      </w:pPr>
      <w:r>
        <w:rPr/>
        <w:t>联系方式：</w:t>
      </w:r>
      <w:r>
        <w:rPr/>
        <w:t>0752-5199757</w:t>
      </w:r>
    </w:p>
    <w:p>
      <w:pPr>
        <w:pStyle w:val="null3"/>
        <w:outlineLvl w:val="3"/>
      </w:pPr>
      <w:r>
        <w:rPr>
          <w:sz w:val="24"/>
          <w:b/>
        </w:rPr>
        <w:t>2.采购代理机构信息</w:t>
      </w:r>
    </w:p>
    <w:p>
      <w:pPr>
        <w:pStyle w:val="null3"/>
        <w:ind w:firstLine="480"/>
      </w:pPr>
      <w:r>
        <w:rPr/>
        <w:t>名称：</w:t>
      </w:r>
      <w:r>
        <w:rPr/>
        <w:t>深圳轩辕氏工程咨询有限公司</w:t>
      </w:r>
    </w:p>
    <w:p>
      <w:pPr>
        <w:pStyle w:val="null3"/>
        <w:ind w:firstLine="480"/>
      </w:pPr>
      <w:r>
        <w:rPr/>
        <w:t xml:space="preserve"> 地址：</w:t>
      </w:r>
      <w:r>
        <w:rPr/>
        <w:t>惠州市惠城区河南岸国商大厦A7C</w:t>
      </w:r>
    </w:p>
    <w:p>
      <w:pPr>
        <w:pStyle w:val="null3"/>
        <w:ind w:firstLine="480"/>
      </w:pPr>
      <w:r>
        <w:rPr/>
        <w:t xml:space="preserve"> 联系方式：</w:t>
      </w:r>
      <w:r>
        <w:rPr/>
        <w:t>0752-2880619</w:t>
      </w:r>
    </w:p>
    <w:p>
      <w:pPr>
        <w:pStyle w:val="null3"/>
        <w:outlineLvl w:val="3"/>
      </w:pPr>
      <w:r>
        <w:rPr>
          <w:sz w:val="24"/>
          <w:b/>
        </w:rPr>
        <w:t xml:space="preserve"> 3.项目联系方式</w:t>
      </w:r>
    </w:p>
    <w:p>
      <w:pPr>
        <w:pStyle w:val="null3"/>
        <w:ind w:firstLine="480"/>
      </w:pPr>
      <w:r>
        <w:rPr/>
        <w:t xml:space="preserve"> 项目联系人：</w:t>
      </w:r>
      <w:r>
        <w:rPr/>
        <w:t>王双</w:t>
      </w:r>
    </w:p>
    <w:p>
      <w:pPr>
        <w:pStyle w:val="null3"/>
        <w:ind w:firstLine="480"/>
      </w:pPr>
      <w:r>
        <w:rPr/>
        <w:t xml:space="preserve"> 电话：</w:t>
      </w:r>
      <w:r>
        <w:rPr/>
        <w:t>0752-2880619</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深圳轩辕氏工程咨询有限公司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 xml:space="preserve">   本项目主要对大亚湾区西区街道</w:t>
      </w:r>
      <w:r>
        <w:rPr>
          <w:sz w:val="24"/>
        </w:rPr>
        <w:t>14</w:t>
      </w:r>
      <w:r>
        <w:rPr>
          <w:sz w:val="24"/>
        </w:rPr>
        <w:t>个村（社区）及板樟岭公园公共外环境范围开展以灭鼠、灭蚊、灭蝇、灭蟑螂为重点的病媒生物防制。通过每月至少三次的全面消杀施工，建成区鼠、蚊、蝇、蟑螂的密度达到国家病媒生物密度控制水平标准</w:t>
      </w:r>
      <w:r>
        <w:rPr>
          <w:sz w:val="24"/>
        </w:rPr>
        <w:t>C</w:t>
      </w:r>
      <w:r>
        <w:rPr>
          <w:sz w:val="24"/>
        </w:rPr>
        <w:t>级或以上标准要求，积极构建良好的人居环境。</w:t>
      </w:r>
    </w:p>
    <w:p>
      <w:pPr>
        <w:pStyle w:val="null3"/>
      </w:pPr>
      <w:r>
        <w:rPr/>
        <w:t>采购包1（西区街道消杀服务）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合同签订后，接管之日起一年</w:t>
            </w:r>
          </w:p>
        </w:tc>
      </w:tr>
      <w:tr>
        <w:tc>
          <w:tcPr>
            <w:tcW w:type="dxa" w:w="4153"/>
          </w:tcPr>
          <w:p>
            <w:pPr>
              <w:pStyle w:val="null3"/>
            </w:pPr>
            <w:r>
              <w:rPr/>
              <w:t>标的提供的地点</w:t>
            </w:r>
          </w:p>
        </w:tc>
        <w:tc>
          <w:tcPr>
            <w:tcW w:type="dxa" w:w="4153"/>
          </w:tcPr>
          <w:p>
            <w:pPr>
              <w:pStyle w:val="null3"/>
            </w:pPr>
            <w:r>
              <w:rPr/>
              <w:t>惠州市大亚湾区西区街道辖区</w:t>
            </w:r>
          </w:p>
        </w:tc>
      </w:tr>
      <w:tr>
        <w:tc>
          <w:tcPr>
            <w:tcW w:type="dxa" w:w="4153"/>
          </w:tcPr>
          <w:p>
            <w:pPr>
              <w:pStyle w:val="null3"/>
            </w:pPr>
            <w:r>
              <w:rPr/>
              <w:t>付款方式</w:t>
            </w:r>
          </w:p>
        </w:tc>
        <w:tc>
          <w:tcPr>
            <w:tcW w:type="dxa" w:w="4153"/>
          </w:tcPr>
          <w:p>
            <w:pPr>
              <w:pStyle w:val="null3"/>
            </w:pPr>
            <w:r>
              <w:rPr/>
              <w:t>1期：支付比例100%,在每次服务结束,经区爱卫办、街道办或第三方验收合格后采购人支付本次服务费,支付服务费=应付服务费-扣减款。消杀服务（病媒生物防制服务）费按月支付，每月15号前为上月消杀服务费结算日，凭成交供应商完税发票通过银行转帐支付（如遇节假日顺延）。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r>
              <w:rPr/>
              <w:t>1期：（1）投诉跟踪服务要求。成交供应商需要提供常设的投诉热线服务，并对投诉内容进行及时跟踪、回访。对采购人的投诉通知，需要按采购人指定的时间内处理完毕，若突发事件不能在短时间内解决，成交供应商必需要按采购人相关新的消杀方案或规定严格执行； （2）优化消杀服务要求。成交供应商在病媒生物防制服务（消杀服务）服务期内，成交供应商可对病媒生物防制服务方案进行深化，向采购人提供更优的服务，但对于更改或优化的内容，需要得到采购人的认可方能执行。 （3）服务质量考评要求。由区爱卫办、街道办或第三方评估公司组成消杀服务（病媒生物防制服务）考核组，每季度不定期进行一次现场服务考评。通过每月至少三次的全面消杀施工，建成区鼠、蚊、蝇、蟑螂的密度达到国家病媒生物密度控制水平标准C级或以上标准要求。 甲方每月对乙方作业效果进行检查，每次检查满分为100分。考评成绩等级分为优秀、良好、合格和不合格四个档次：分值90分以上（含90分）的，为优秀；89分（含89分）至80分的，为良好；79分（含79分）至60分的，为合格；低于60分的，为不合格。 考评成绩等级属“优秀”的，不扣取当季承包款；考评等级为“良好”和“合格”的，需按每分人民币2000元扣取本付款周期承包款，例如当月考核得分为85分，即扣取承包款（90-85）*2000=10000元，不合格则扣除当月全部款项。 全年累计二次不合格，甲方有权与其解除合同。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其他，承包方式:消杀服务的报价内容为包干价，报价中必须包括项目全部内容的费用，一般包括但不限于如下内容： （1）管理服务人员的工资、劳动社会保险和按规定提取的福利费； （2）办公费用、消杀服务企业固定资产折旧费及其他费用； （3）该消杀服务运行维护必需投入的工具、设备、车辆使用费； （4）设备维护服务管理、秩序维护、保洁、绿化维护辅材消耗、劳保用品等费用； （5）法定税费。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其他生态环境治理服务</w:t>
            </w:r>
          </w:p>
        </w:tc>
        <w:tc>
          <w:tcPr>
            <w:tcW w:type="dxa" w:w="933"/>
          </w:tcPr>
          <w:p>
            <w:pPr>
              <w:pStyle w:val="null3"/>
              <w:jc w:val="left"/>
            </w:pPr>
            <w:r>
              <w:rPr/>
              <w:t>西区街道消杀服务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1,450,000.00</w:t>
            </w:r>
          </w:p>
        </w:tc>
        <w:tc>
          <w:tcPr>
            <w:tcW w:type="dxa" w:w="933"/>
          </w:tcPr>
          <w:p>
            <w:pPr>
              <w:pStyle w:val="null3"/>
              <w:jc w:val="right"/>
            </w:pPr>
            <w:r>
              <w:rPr/>
              <w:t>1,450,000.00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西区街道消杀服务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w:t>
            </w:r>
            <w:r>
              <w:rPr>
                <w:sz w:val="24"/>
                <w:b/>
              </w:rPr>
              <w:t>本项目服务内容具体要求</w:t>
            </w:r>
          </w:p>
          <w:p>
            <w:pPr>
              <w:pStyle w:val="null3"/>
            </w:pPr>
            <w:r>
              <w:rPr>
                <w:sz w:val="24"/>
                <w:b/>
              </w:rPr>
              <w:t>（</w:t>
            </w:r>
            <w:r>
              <w:rPr>
                <w:sz w:val="24"/>
                <w:b/>
              </w:rPr>
              <w:t>一</w:t>
            </w:r>
            <w:r>
              <w:rPr>
                <w:sz w:val="24"/>
                <w:b/>
              </w:rPr>
              <w:t>）服务范围</w:t>
            </w:r>
          </w:p>
          <w:p>
            <w:pPr>
              <w:pStyle w:val="null3"/>
              <w:ind w:firstLine="480"/>
            </w:pPr>
            <w:r>
              <w:rPr>
                <w:sz w:val="24"/>
              </w:rPr>
              <w:t>本次统计面积按各村</w:t>
            </w:r>
            <w:r>
              <w:rPr>
                <w:sz w:val="24"/>
              </w:rPr>
              <w:t>(社区)所辖区的村庄（规划）和建设用内的公用场所、水沟、垃圾屋、人员密聚地等蚊虫孳生地 ，不含市政道路及两边绿化带、学校、区管公园、医院等非公益性场所。计划每月消杀</w:t>
            </w:r>
            <w:r>
              <w:rPr>
                <w:sz w:val="24"/>
              </w:rPr>
              <w:t>3</w:t>
            </w:r>
            <w:r>
              <w:rPr>
                <w:sz w:val="24"/>
              </w:rPr>
              <w:t>次</w:t>
            </w:r>
            <w:r>
              <w:rPr>
                <w:sz w:val="24"/>
              </w:rPr>
              <w:t>以上</w:t>
            </w:r>
            <w:r>
              <w:rPr>
                <w:sz w:val="24"/>
              </w:rPr>
              <w:t>（</w:t>
            </w:r>
            <w:r>
              <w:rPr>
                <w:sz w:val="24"/>
              </w:rPr>
              <w:t>包含</w:t>
            </w:r>
            <w:r>
              <w:rPr>
                <w:sz w:val="24"/>
              </w:rPr>
              <w:t>3次，</w:t>
            </w:r>
            <w:r>
              <w:rPr>
                <w:sz w:val="24"/>
              </w:rPr>
              <w:t>根据四害密度情况</w:t>
            </w:r>
            <w:r>
              <w:rPr>
                <w:sz w:val="24"/>
              </w:rPr>
              <w:t>适当增加</w:t>
            </w:r>
            <w:r>
              <w:rPr>
                <w:sz w:val="24"/>
              </w:rPr>
              <w:t>）</w:t>
            </w:r>
          </w:p>
          <w:tbl>
            <w:tblPr>
              <w:tblBorders>
                <w:top w:val="none" w:color="000000" w:sz="4"/>
                <w:left w:val="none" w:color="000000" w:sz="4"/>
                <w:bottom w:val="none" w:color="000000" w:sz="4"/>
                <w:right w:val="none" w:color="000000" w:sz="4"/>
                <w:insideH w:val="none"/>
                <w:insideV w:val="none"/>
              </w:tblBorders>
            </w:tblPr>
            <w:tblGrid>
              <w:gridCol w:w="523"/>
              <w:gridCol w:w="802"/>
              <w:gridCol w:w="2364"/>
              <w:gridCol w:w="1520"/>
              <w:gridCol w:w="388"/>
            </w:tblGrid>
            <w:tr>
              <w:tc>
                <w:tcPr>
                  <w:tcW w:type="dxa" w:w="559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服务基本要求</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服务</w:t>
                  </w:r>
                  <w:r>
                    <w:rPr>
                      <w:sz w:val="24"/>
                    </w:rPr>
                    <w:t>名称</w:t>
                  </w:r>
                </w:p>
              </w:tc>
              <w:tc>
                <w:tcPr>
                  <w:tcW w:type="dxa" w:w="2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服务要求</w:t>
                  </w:r>
                </w:p>
              </w:tc>
              <w:tc>
                <w:tcPr>
                  <w:tcW w:type="dxa" w:w="1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关键服务说明</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消杀服务（病媒生物防制服务）</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西区街道</w:t>
                  </w:r>
                  <w:r>
                    <w:rPr>
                      <w:sz w:val="24"/>
                    </w:rPr>
                    <w:t>14个村（社区）及板樟岭公园公共外环境范围开展以灭鼠、灭蚊、灭蝇、灭蟑螂为重点的病媒生物防制；</w:t>
                  </w:r>
                </w:p>
                <w:p>
                  <w:pPr>
                    <w:pStyle w:val="null3"/>
                  </w:pPr>
                  <w:r>
                    <w:rPr>
                      <w:sz w:val="24"/>
                    </w:rPr>
                    <w:t>在服务期间配合编制病媒生物防制资料系统</w:t>
                  </w:r>
                  <w:r>
                    <w:rPr>
                      <w:sz w:val="24"/>
                    </w:rPr>
                    <w:t>(含防制方案、申报资料、监测资料等)；</w:t>
                  </w: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每月至少</w:t>
                  </w:r>
                  <w:r>
                    <w:rPr>
                      <w:sz w:val="24"/>
                    </w:rPr>
                    <w:t>三</w:t>
                  </w:r>
                  <w:r>
                    <w:rPr>
                      <w:sz w:val="24"/>
                    </w:rPr>
                    <w:t>次的全面消杀施工，建成区鼠、蚊、蝇、蟑螂的密度达到国家病媒生物密度控制水平标准</w:t>
                  </w:r>
                  <w:r>
                    <w:rPr>
                      <w:sz w:val="24"/>
                    </w:rPr>
                    <w:t>C级或以上标准要求</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bl>
          <w:p>
            <w:pPr>
              <w:pStyle w:val="null3"/>
              <w:jc w:val="center"/>
            </w:pPr>
            <w:r>
              <w:rPr>
                <w:sz w:val="24"/>
                <w:b/>
              </w:rPr>
              <w:t>西区街道除四害登革热防控工作服务范围</w:t>
            </w:r>
          </w:p>
          <w:tbl>
            <w:tblPr>
              <w:tblBorders>
                <w:top w:val="none" w:color="000000" w:sz="4"/>
                <w:left w:val="none" w:color="000000" w:sz="4"/>
                <w:bottom w:val="none" w:color="000000" w:sz="4"/>
                <w:right w:val="none" w:color="000000" w:sz="4"/>
                <w:insideH w:val="none"/>
                <w:insideV w:val="none"/>
              </w:tblBorders>
            </w:tblPr>
            <w:tblGrid>
              <w:gridCol w:w="581"/>
              <w:gridCol w:w="1284"/>
              <w:gridCol w:w="782"/>
              <w:gridCol w:w="1184"/>
              <w:gridCol w:w="1184"/>
              <w:gridCol w:w="581"/>
            </w:tblGrid>
            <w:tr>
              <w:tc>
                <w:tcPr>
                  <w:tcW w:type="dxa" w:w="5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村</w:t>
                  </w:r>
                  <w:r>
                    <w:rPr>
                      <w:sz w:val="24"/>
                    </w:rPr>
                    <w:t>(居）委会</w:t>
                  </w:r>
                </w:p>
              </w:tc>
              <w:tc>
                <w:tcPr>
                  <w:tcW w:type="dxa" w:w="7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自然村</w:t>
                  </w:r>
                </w:p>
              </w:tc>
              <w:tc>
                <w:tcPr>
                  <w:tcW w:type="dxa" w:w="11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区域面积</w:t>
                  </w:r>
                  <w:r>
                    <w:br/>
                  </w:r>
                  <w:r>
                    <w:rPr>
                      <w:sz w:val="24"/>
                    </w:rPr>
                    <w:t>（平方米）</w:t>
                  </w:r>
                </w:p>
              </w:tc>
              <w:tc>
                <w:tcPr>
                  <w:tcW w:type="dxa" w:w="11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消杀面积</w:t>
                  </w:r>
                  <w:r>
                    <w:br/>
                  </w:r>
                  <w:r>
                    <w:rPr>
                      <w:sz w:val="24"/>
                    </w:rPr>
                    <w:t>（平方米）</w:t>
                  </w:r>
                </w:p>
              </w:tc>
              <w:tc>
                <w:tcPr>
                  <w:tcW w:type="dxa" w:w="5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581"/>
                  <w:vMerge/>
                  <w:tcBorders>
                    <w:top w:val="single" w:color="000000" w:sz="4"/>
                    <w:left w:val="single" w:color="000000" w:sz="4"/>
                    <w:bottom w:val="single" w:color="000000" w:sz="4"/>
                    <w:right w:val="single" w:color="000000" w:sz="4"/>
                  </w:tcBorders>
                </w:tcPr>
                <w:p/>
              </w:tc>
              <w:tc>
                <w:tcPr>
                  <w:tcW w:type="dxa" w:w="1284"/>
                  <w:vMerge/>
                  <w:tcBorders>
                    <w:top w:val="single" w:color="000000" w:sz="4"/>
                    <w:left w:val="single" w:color="000000" w:sz="4"/>
                    <w:bottom w:val="single" w:color="000000" w:sz="4"/>
                    <w:right w:val="single" w:color="000000" w:sz="4"/>
                  </w:tcBorders>
                </w:tcPr>
                <w:p/>
              </w:tc>
              <w:tc>
                <w:tcPr>
                  <w:tcW w:type="dxa" w:w="782"/>
                  <w:vMerge/>
                  <w:tcBorders>
                    <w:top w:val="single" w:color="000000" w:sz="4"/>
                    <w:left w:val="single" w:color="000000" w:sz="4"/>
                    <w:bottom w:val="single" w:color="000000" w:sz="4"/>
                    <w:right w:val="single" w:color="000000" w:sz="4"/>
                  </w:tcBorders>
                </w:tcPr>
                <w:p/>
              </w:tc>
              <w:tc>
                <w:tcPr>
                  <w:tcW w:type="dxa" w:w="1184"/>
                  <w:vMerge/>
                  <w:tcBorders>
                    <w:top w:val="single" w:color="000000" w:sz="4"/>
                    <w:left w:val="single" w:color="000000" w:sz="4"/>
                    <w:bottom w:val="single" w:color="000000" w:sz="4"/>
                    <w:right w:val="single" w:color="000000" w:sz="4"/>
                  </w:tcBorders>
                </w:tcPr>
                <w:p/>
              </w:tc>
              <w:tc>
                <w:tcPr>
                  <w:tcW w:type="dxa" w:w="1184"/>
                  <w:vMerge/>
                  <w:tcBorders>
                    <w:top w:val="single" w:color="000000" w:sz="4"/>
                    <w:left w:val="single" w:color="000000" w:sz="4"/>
                    <w:bottom w:val="single" w:color="000000" w:sz="4"/>
                    <w:right w:val="single" w:color="000000" w:sz="4"/>
                  </w:tcBorders>
                </w:tcPr>
                <w:p/>
              </w:tc>
              <w:tc>
                <w:tcPr>
                  <w:tcW w:type="dxa" w:w="581"/>
                  <w:vMerge/>
                  <w:tcBorders>
                    <w:top w:val="single" w:color="000000" w:sz="4"/>
                    <w:left w:val="single" w:color="000000" w:sz="4"/>
                    <w:bottom w:val="single" w:color="000000" w:sz="4"/>
                    <w:right w:val="single" w:color="000000" w:sz="4"/>
                  </w:tcBorders>
                </w:tc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塘尾村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659500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26120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上田村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844300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新寮村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429500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新畲村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371800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上杨村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494800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塘布村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586800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樟</w:t>
                  </w:r>
                  <w:r>
                    <w:rPr>
                      <w:sz w:val="24"/>
                    </w:rPr>
                    <w:t>浦村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686400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横畲村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390900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荷茶村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738700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老畲村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721900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新联村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96000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东联村</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344000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海惠社区</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890000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德惠社区</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1430000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板樟岭公园</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706370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49311.9</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9390970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345231.9</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b/>
              </w:rPr>
              <w:t>（</w:t>
            </w:r>
            <w:r>
              <w:rPr>
                <w:sz w:val="24"/>
                <w:b/>
              </w:rPr>
              <w:t>二</w:t>
            </w:r>
            <w:r>
              <w:rPr>
                <w:sz w:val="24"/>
                <w:b/>
              </w:rPr>
              <w:t>）服务操作规范和要求</w:t>
            </w:r>
          </w:p>
          <w:tbl>
            <w:tblPr>
              <w:tblBorders>
                <w:top w:val="none" w:color="000000" w:sz="4"/>
                <w:left w:val="none" w:color="000000" w:sz="4"/>
                <w:bottom w:val="none" w:color="000000" w:sz="4"/>
                <w:right w:val="none" w:color="000000" w:sz="4"/>
                <w:insideH w:val="none"/>
                <w:insideV w:val="none"/>
              </w:tblBorders>
            </w:tblPr>
            <w:tblGrid>
              <w:gridCol w:w="265"/>
              <w:gridCol w:w="734"/>
              <w:gridCol w:w="734"/>
              <w:gridCol w:w="734"/>
              <w:gridCol w:w="734"/>
              <w:gridCol w:w="734"/>
              <w:gridCol w:w="734"/>
              <w:gridCol w:w="928"/>
            </w:tblGrid>
            <w:tr>
              <w:tc>
                <w:tcPr>
                  <w:tcW w:type="dxa" w:w="5597"/>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一、消杀服务工作内容要求</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14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工作内容</w:t>
                  </w:r>
                </w:p>
              </w:tc>
              <w:tc>
                <w:tcPr>
                  <w:tcW w:type="dxa" w:w="14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操作规范和要求</w:t>
                  </w:r>
                </w:p>
              </w:tc>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开展时间</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灭鼠</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1、公共外环境统一全面投药灭鼠</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定期开展灭鼠工作</w:t>
                  </w:r>
                  <w:r>
                    <w:rPr>
                      <w:sz w:val="24"/>
                    </w:rPr>
                    <w:t>,每月</w:t>
                  </w:r>
                  <w:r>
                    <w:rPr>
                      <w:sz w:val="24"/>
                    </w:rPr>
                    <w:t>三</w:t>
                  </w:r>
                  <w:r>
                    <w:rPr>
                      <w:sz w:val="24"/>
                    </w:rPr>
                    <w:t>轮</w:t>
                  </w:r>
                  <w:r>
                    <w:rPr>
                      <w:sz w:val="24"/>
                    </w:rPr>
                    <w:t>,(包括投药、补药、清鼠迹、检查等工作),物药必须使用合法灭鼠药物,新鲜毒鼠谷、适口性好,投放点合理、落实“三饱和”求开展投药要求。每轮投药周期不超过10天。</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三</w:t>
                  </w:r>
                  <w:r>
                    <w:rPr>
                      <w:sz w:val="24"/>
                    </w:rPr>
                    <w:t>轮</w:t>
                  </w:r>
                  <w:r>
                    <w:rPr>
                      <w:sz w:val="24"/>
                    </w:rPr>
                    <w:t>及以上。</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2、日常跟踪公共外环境灭鼠效果</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定期检查</w:t>
                  </w:r>
                  <w:r>
                    <w:rPr>
                      <w:sz w:val="24"/>
                    </w:rPr>
                    <w:t>,发现鼠迹及时投放和补充足量药物,及时跟进。</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3、公园及社区灭鼠</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逐步加大投放环保用药（胆钙化醇）生素</w:t>
                  </w:r>
                  <w:r>
                    <w:rPr>
                      <w:sz w:val="24"/>
                    </w:rPr>
                    <w:t>D3进行灭鼠</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4、开展鼠情监测</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每月由中标方自行监测鼠密度</w:t>
                  </w:r>
                  <w:r>
                    <w:rPr>
                      <w:sz w:val="24"/>
                    </w:rPr>
                    <w:t>,考证投药成效。由采购方每季度委托第三方监测机构进行鼠密度监测，中标方给予配合。</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按采购方要求开展，每季度</w:t>
                  </w:r>
                  <w:r>
                    <w:rPr>
                      <w:sz w:val="24"/>
                    </w:rPr>
                    <w:t>3</w:t>
                  </w:r>
                  <w:r>
                    <w:rPr>
                      <w:sz w:val="24"/>
                    </w:rPr>
                    <w:t>次</w:t>
                  </w:r>
                  <w:r>
                    <w:rPr>
                      <w:sz w:val="24"/>
                    </w:rPr>
                    <w:t>及以上</w:t>
                  </w:r>
                  <w:r>
                    <w:rPr>
                      <w:sz w:val="24"/>
                    </w:rPr>
                    <w:t>。</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灭蚊</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1、热烟雾灭成蚊</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用热烟雾机、烟雾剂对下水道、小区绿化丛林、公共地下车库、排水暗渠等进行烟薰杀灭成蚊</w:t>
                  </w:r>
                  <w:r>
                    <w:rPr>
                      <w:sz w:val="24"/>
                    </w:rPr>
                    <w:t>(同时蟑螂)。要求:行动前须告知辖区街道、居委会等相关人员,至少分</w:t>
                  </w:r>
                  <w:r>
                    <w:rPr>
                      <w:sz w:val="24"/>
                    </w:rPr>
                    <w:t>2</w:t>
                  </w:r>
                  <w:r>
                    <w:rPr>
                      <w:sz w:val="24"/>
                    </w:rPr>
                    <w:t>个小组同时进行</w:t>
                  </w:r>
                  <w:r>
                    <w:rPr>
                      <w:sz w:val="24"/>
                    </w:rPr>
                    <w:t>,每小组负责1台烟雾机,3名消杀员(其中2人负责消杀操作,另1人负责消杀登记、见证人签名和后勤工作)，计划每月</w:t>
                  </w:r>
                  <w:r>
                    <w:rPr>
                      <w:sz w:val="24"/>
                    </w:rPr>
                    <w:t>3</w:t>
                  </w:r>
                  <w:r>
                    <w:rPr>
                      <w:sz w:val="24"/>
                    </w:rPr>
                    <w:t>次。</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按采购方要求开展，每个月</w:t>
                  </w:r>
                  <w:r>
                    <w:rPr>
                      <w:sz w:val="24"/>
                    </w:rPr>
                    <w:t>3</w:t>
                  </w:r>
                  <w:r>
                    <w:rPr>
                      <w:sz w:val="24"/>
                    </w:rPr>
                    <w:t>次</w:t>
                  </w:r>
                  <w:r>
                    <w:rPr>
                      <w:sz w:val="24"/>
                    </w:rPr>
                    <w:t>及以上</w:t>
                  </w:r>
                  <w:r>
                    <w:rPr>
                      <w:sz w:val="24"/>
                    </w:rPr>
                    <w:t>。</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2、药物滞留喷洒灭成蚊</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用背负式机动、电动喷雾机或大中型园林喷雾机对公园、广场、无物业住宅小区的绿化带进行药物滞留喷洒灭成蚊。要求：每次至少出动</w:t>
                  </w:r>
                  <w:r>
                    <w:rPr>
                      <w:sz w:val="24"/>
                    </w:rPr>
                    <w:t>6台喷雾机同时进行,另安排1-2人负责后勤保障工作。</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3、释缓剂控制蚊幼虫</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用卫生杀虫剂充分浸泡过的软木塞或灭蚊幼颗粒剂</w:t>
                  </w:r>
                  <w:r>
                    <w:rPr>
                      <w:sz w:val="24"/>
                    </w:rPr>
                    <w:t>(缓释剂),投放于下水道进水口等蚊虫孳生地,防止蚊幼虫孳生。要求:倍硫磷缓释木塞或者吊包完全放入积水中，每2个月统一更换1次。</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w:t>
                  </w:r>
                  <w:r>
                    <w:rPr>
                      <w:sz w:val="24"/>
                    </w:rPr>
                    <w:t>2个月进行2次</w:t>
                  </w:r>
                  <w:r>
                    <w:rPr>
                      <w:sz w:val="24"/>
                    </w:rPr>
                    <w:t>及以上</w:t>
                  </w:r>
                  <w:r>
                    <w:rPr>
                      <w:sz w:val="24"/>
                    </w:rPr>
                    <w:t>（逢单月更换）</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4、大中型水体防控</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每月一次对承包范围内的大中型水体如死水塘、污水涌等</w:t>
                  </w:r>
                  <w:r>
                    <w:rPr>
                      <w:sz w:val="24"/>
                    </w:rPr>
                    <w:t>)进行定期跟踪检查，如发现蚊幼虫孳生,立即投药(生物制剂)处理。</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5、各类小积水处理</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每月对承包范围的公共外环境各类积水进行检查处理，对不能清理的蚊虫孳生地采取投放生物制剂处理。</w:t>
                  </w:r>
                </w:p>
                <w:p>
                  <w:pPr>
                    <w:pStyle w:val="null3"/>
                  </w:pP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灭蝇</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1、公厕、垃圾站卫生死角灭蝇</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用喷雾机每月</w:t>
                  </w:r>
                  <w:r>
                    <w:rPr>
                      <w:sz w:val="24"/>
                    </w:rPr>
                    <w:t>两</w:t>
                  </w:r>
                  <w:r>
                    <w:rPr>
                      <w:sz w:val="24"/>
                    </w:rPr>
                    <w:t>次对公园公厕、中转</w:t>
                  </w:r>
                </w:p>
                <w:p>
                  <w:pPr>
                    <w:pStyle w:val="null3"/>
                  </w:pPr>
                  <w:r>
                    <w:rPr>
                      <w:sz w:val="24"/>
                    </w:rPr>
                    <w:t>站、垃圾屋、垃圾池、垃圾桶、垃圾车及卫生死角、垃圾堆进行滞留喷洒</w:t>
                  </w:r>
                  <w:r>
                    <w:rPr>
                      <w:sz w:val="24"/>
                    </w:rPr>
                    <w:t>/毒饵灭蝇。</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2、蝇类孳生地检查处理</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每月检查处理蝇类孳生地</w:t>
                  </w:r>
                  <w:r>
                    <w:rPr>
                      <w:sz w:val="24"/>
                    </w:rPr>
                    <w:t>,对不能清理的蝇类孳生地,进行投药防制。</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灭蟑</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下水道、排水暗渠灭蟑螂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每月一次对下水道、阴沟暗渠等进行烟雾灭蟑。</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按采购方要求开展，每月</w:t>
                  </w:r>
                  <w:r>
                    <w:rPr>
                      <w:sz w:val="24"/>
                    </w:rPr>
                    <w:t>3</w:t>
                  </w:r>
                  <w:r>
                    <w:rPr>
                      <w:sz w:val="24"/>
                    </w:rPr>
                    <w:t>次</w:t>
                  </w:r>
                  <w:r>
                    <w:rPr>
                      <w:sz w:val="24"/>
                    </w:rPr>
                    <w:t>及以上</w:t>
                  </w:r>
                  <w:r>
                    <w:rPr>
                      <w:sz w:val="24"/>
                    </w:rPr>
                    <w:t>。</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工作登记</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对消杀工作情况进行登记</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设置专用的防制服务记录单</w:t>
                  </w:r>
                  <w:r>
                    <w:rPr>
                      <w:sz w:val="24"/>
                    </w:rPr>
                    <w:t>,对每次开展防制服务工作情况(含日期、地点、消杀内容、消杀人员姓名,以及使用药物的名称进行登记)进行详细记录。每次服务均要有接受服务的单位陪同/见证人签名确认。</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按服务进度</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投诉处理</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及时处理群众有关反映和投诉</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认真听取街道、居委会和群众的意见和建议</w:t>
                  </w:r>
                  <w:r>
                    <w:rPr>
                      <w:sz w:val="24"/>
                    </w:rPr>
                    <w:t>,不断改进工作,提高服务质量。对涉承包人的有关病媒生物方面的反映、投诉,在接到后迅速进行核实和处理,于2个工作日内向发包人回复处理情况。</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资料汇编</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编制病媒生物防制资料系统</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负责编制专业、规范的病媒生物防制资料，包括本底调查、消杀方案、年计划和总结、日常防制记录、政府汇报等资料。</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按要求完成相关病媒生物防治资料的收集、整理、编制。</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配合检查</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配合发包方、第三方开展服务质量考评检查。</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发包方组织的日常检查</w:t>
                  </w:r>
                  <w:r>
                    <w:rPr>
                      <w:sz w:val="24"/>
                    </w:rPr>
                    <w:t>,中标方要按合同要求派人及时跟进处理；服从第三方开展的监管考评日程安排,协助开展质量考评工作。</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二、消杀服务药物要求</w:t>
                  </w:r>
                </w:p>
                <w:p>
                  <w:pPr>
                    <w:pStyle w:val="null3"/>
                  </w:pPr>
                  <w:r>
                    <w:rPr>
                      <w:sz w:val="19"/>
                    </w:rPr>
                    <w:t xml:space="preserve"> </w:t>
                  </w:r>
                </w:p>
              </w:tc>
            </w:tr>
            <w:tr>
              <w:tc>
                <w:tcPr>
                  <w:tcW w:type="dxa" w:w="9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药物名称</w:t>
                  </w:r>
                </w:p>
              </w:tc>
              <w:tc>
                <w:tcPr>
                  <w:tcW w:type="dxa" w:w="14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有效成分含量</w:t>
                  </w:r>
                </w:p>
              </w:tc>
              <w:tc>
                <w:tcPr>
                  <w:tcW w:type="dxa" w:w="166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溴敌隆</w:t>
                  </w:r>
                  <w:r>
                    <w:rPr>
                      <w:sz w:val="24"/>
                    </w:rPr>
                    <w:t>毒饵</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▲有效成分及含量：溴敌隆≥0.005%</w:t>
                  </w:r>
                </w:p>
                <w:p>
                  <w:pPr>
                    <w:pStyle w:val="null3"/>
                    <w:jc w:val="left"/>
                  </w:pPr>
                  <w:r>
                    <w:rPr>
                      <w:sz w:val="24"/>
                    </w:rPr>
                    <w:t>▲剂型：饵剂、毒饵或蜡块</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用途：灭鼠类，周期轮换使用</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溴鼠灵</w:t>
                  </w:r>
                  <w:r>
                    <w:rPr>
                      <w:sz w:val="24"/>
                    </w:rPr>
                    <w:t>毒饵</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▲有效成分及含量：溴鼠灵≥0.005%</w:t>
                  </w:r>
                </w:p>
                <w:p>
                  <w:pPr>
                    <w:pStyle w:val="null3"/>
                    <w:jc w:val="left"/>
                  </w:pPr>
                  <w:r>
                    <w:rPr>
                      <w:sz w:val="24"/>
                    </w:rPr>
                    <w:t>▲剂型：饵剂、毒饵或蜡块</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用途：灭鼠类，周期轮换使用</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杀虫颗粒剂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▲有效成分及含量：吡丙醚、吡虫啉、倍硫磷、或其混配制剂，总含量≥0.5%</w:t>
                  </w:r>
                </w:p>
                <w:p>
                  <w:pPr>
                    <w:pStyle w:val="null3"/>
                    <w:jc w:val="left"/>
                  </w:pPr>
                  <w:r>
                    <w:rPr>
                      <w:sz w:val="24"/>
                    </w:rPr>
                    <w:t>▲剂型：颗粒剂</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用途：化学灭蚊、蝇幼虫</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杀虫热雾剂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▲有效成分及含量：高效氯氰菊酯或与右旋苯醚氰菊酯混合配制剂，总含量≥1.5%</w:t>
                  </w:r>
                </w:p>
                <w:p>
                  <w:pPr>
                    <w:pStyle w:val="null3"/>
                    <w:jc w:val="left"/>
                  </w:pPr>
                  <w:r>
                    <w:rPr>
                      <w:sz w:val="24"/>
                    </w:rPr>
                    <w:t>▲剂型：热雾剂</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用途：热雾熏杀灭蚊、蜚蠊</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高氯</w:t>
                  </w:r>
                  <w:r>
                    <w:rPr>
                      <w:sz w:val="24"/>
                    </w:rPr>
                    <w:t>·残杀威悬浮剂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▲有效成分及含量：高效氯氰菊酯与残杀威混合配制剂，总含量≥10%</w:t>
                  </w:r>
                </w:p>
                <w:p>
                  <w:pPr>
                    <w:pStyle w:val="null3"/>
                    <w:jc w:val="left"/>
                  </w:pPr>
                  <w:r>
                    <w:rPr>
                      <w:sz w:val="24"/>
                    </w:rPr>
                    <w:t>▲剂型：悬浮剂</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用途：灭蚊、蝇、蜚蠊轮换使用</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高效氯氟氰菊酯水乳剂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▲有效成分及含量：高效氯氟氰菊酯≥5%</w:t>
                  </w:r>
                </w:p>
                <w:p>
                  <w:pPr>
                    <w:pStyle w:val="null3"/>
                    <w:jc w:val="left"/>
                  </w:pPr>
                  <w:r>
                    <w:rPr>
                      <w:sz w:val="24"/>
                    </w:rPr>
                    <w:t>▲剂型：水乳剂</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用途：灭蚊、蝇轮换使用</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高氯</w:t>
                  </w:r>
                  <w:r>
                    <w:rPr>
                      <w:sz w:val="24"/>
                    </w:rPr>
                    <w:t>·甲嘧磷水乳剂</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▲有效成分及含量：高效氯氰菊酯与甲基嘧啶磷混合配制剂，总含量≥7%</w:t>
                  </w:r>
                </w:p>
                <w:p>
                  <w:pPr>
                    <w:pStyle w:val="null3"/>
                    <w:jc w:val="left"/>
                  </w:pPr>
                  <w:r>
                    <w:rPr>
                      <w:sz w:val="24"/>
                    </w:rPr>
                    <w:t>▲剂型：水乳剂</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用途：灭蚊、蝇轮换使用</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残杀威</w:t>
                  </w:r>
                  <w:r>
                    <w:rPr>
                      <w:sz w:val="24"/>
                    </w:rPr>
                    <w:t>·氯丙炔乳油</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▲有效成分及含量：残杀威与右旋反式氯丙炔菊酯混合配制剂，总含量≥5%</w:t>
                  </w:r>
                </w:p>
                <w:p>
                  <w:pPr>
                    <w:pStyle w:val="null3"/>
                    <w:jc w:val="left"/>
                  </w:pPr>
                  <w:r>
                    <w:rPr>
                      <w:sz w:val="24"/>
                    </w:rPr>
                    <w:t>▲剂型：乳油</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用途：超低灭蚊、蝇</w:t>
                  </w:r>
                </w:p>
              </w:tc>
            </w:tr>
            <w:tr>
              <w:tc>
                <w:tcPr>
                  <w:tcW w:type="dxa" w:w="99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4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苯氰</w:t>
                  </w:r>
                  <w:r>
                    <w:rPr>
                      <w:sz w:val="24"/>
                    </w:rPr>
                    <w:t>·残杀威乳油</w:t>
                  </w: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▲有效成分及含量：残杀威与右旋苯醚氰菊酯混合配制剂，总含量≥10%</w:t>
                  </w:r>
                </w:p>
                <w:p>
                  <w:pPr>
                    <w:pStyle w:val="null3"/>
                    <w:jc w:val="left"/>
                  </w:pPr>
                  <w:r>
                    <w:rPr>
                      <w:sz w:val="24"/>
                    </w:rPr>
                    <w:t>▲剂型：乳油</w:t>
                  </w:r>
                </w:p>
              </w:tc>
              <w:tc>
                <w:tcPr>
                  <w:tcW w:type="dxa" w:w="166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gridSpan w:val="2"/>
                  <w:vMerge/>
                  <w:tcBorders>
                    <w:top w:val="none" w:color="000000" w:sz="4"/>
                    <w:left w:val="single" w:color="000000" w:sz="4"/>
                    <w:bottom w:val="single" w:color="000000" w:sz="4"/>
                    <w:right w:val="single" w:color="000000" w:sz="4"/>
                  </w:tcBorders>
                </w:tcPr>
                <w:p/>
              </w:tc>
              <w:tc>
                <w:tcPr>
                  <w:tcW w:type="dxa" w:w="1468"/>
                  <w:gridSpan w:val="2"/>
                  <w:vMerge/>
                  <w:tcBorders>
                    <w:top w:val="none" w:color="000000" w:sz="4"/>
                    <w:left w:val="single" w:color="000000" w:sz="4"/>
                    <w:bottom w:val="single" w:color="000000" w:sz="4"/>
                    <w:right w:val="single" w:color="000000" w:sz="4"/>
                  </w:tcBorders>
                </w:tcPr>
                <w:p/>
              </w:tc>
              <w:tc>
                <w:tcPr>
                  <w:tcW w:type="dxa" w:w="14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用途：灭蚊、蜚蠊轮换使用</w:t>
                  </w:r>
                </w:p>
              </w:tc>
            </w:tr>
          </w:tbl>
          <w:p>
            <w:pPr>
              <w:pStyle w:val="null3"/>
            </w:pPr>
            <w:r>
              <w:rPr>
                <w:sz w:val="24"/>
                <w:b/>
              </w:rPr>
              <w:t>★供应商须在应答文件中提供的第1-</w:t>
            </w:r>
            <w:r>
              <w:rPr>
                <w:sz w:val="24"/>
                <w:b/>
              </w:rPr>
              <w:t>9</w:t>
            </w:r>
            <w:r>
              <w:rPr>
                <w:sz w:val="24"/>
                <w:b/>
              </w:rPr>
              <w:t>种药物加盖农药登记证持有人公章的</w:t>
            </w:r>
            <w:r>
              <w:rPr>
                <w:sz w:val="24"/>
                <w:b/>
              </w:rPr>
              <w:t>“三证”:</w:t>
            </w:r>
          </w:p>
          <w:p>
            <w:pPr>
              <w:pStyle w:val="null3"/>
            </w:pPr>
            <w:r>
              <w:rPr>
                <w:sz w:val="24"/>
                <w:b/>
              </w:rPr>
              <w:t>a.农业部颁发的农药登记证复印件；</w:t>
            </w:r>
          </w:p>
          <w:p>
            <w:pPr>
              <w:pStyle w:val="null3"/>
            </w:pPr>
            <w:r>
              <w:rPr>
                <w:sz w:val="24"/>
                <w:b/>
              </w:rPr>
              <w:t>b.省级农业主管部门颁发的农药登记证持有人或委托加工企业农药生产许可证（生产范围包含所投产品剂型）复印件；</w:t>
            </w:r>
          </w:p>
          <w:p>
            <w:pPr>
              <w:pStyle w:val="null3"/>
            </w:pPr>
            <w:r>
              <w:rPr>
                <w:sz w:val="24"/>
                <w:b/>
              </w:rPr>
              <w:t>c.企业标准信息公共服务平台备案的企业标准封面复印件。</w:t>
            </w:r>
          </w:p>
          <w:p>
            <w:pPr>
              <w:pStyle w:val="null3"/>
            </w:pPr>
            <w:r>
              <w:rPr>
                <w:sz w:val="24"/>
                <w:b/>
              </w:rPr>
              <w:t>（</w:t>
            </w:r>
            <w:r>
              <w:rPr>
                <w:sz w:val="24"/>
                <w:b/>
              </w:rPr>
              <w:t>三</w:t>
            </w:r>
            <w:r>
              <w:rPr>
                <w:sz w:val="24"/>
                <w:b/>
              </w:rPr>
              <w:t>）服务所需设备、工具清单要求</w:t>
            </w:r>
          </w:p>
          <w:p>
            <w:pPr>
              <w:pStyle w:val="null3"/>
              <w:ind w:firstLine="480"/>
            </w:pPr>
            <w:r>
              <w:rPr>
                <w:sz w:val="24"/>
              </w:rPr>
              <w:t>本项目最低限度必须具备的作业设备及工具见下表，数量由成交供应商根据作业量按实际需要配置，必须满足质量要求。下表中未列出的设备及工具，由成交供应商根据实际需要自行购置。</w:t>
            </w:r>
          </w:p>
          <w:tbl>
            <w:tblPr>
              <w:tblBorders>
                <w:top w:val="none" w:color="000000" w:sz="4"/>
                <w:left w:val="none" w:color="000000" w:sz="4"/>
                <w:bottom w:val="none" w:color="000000" w:sz="4"/>
                <w:right w:val="none" w:color="000000" w:sz="4"/>
                <w:insideH w:val="none"/>
                <w:insideV w:val="none"/>
              </w:tblBorders>
            </w:tblPr>
            <w:tblGrid>
              <w:gridCol w:w="432"/>
              <w:gridCol w:w="1500"/>
              <w:gridCol w:w="1805"/>
              <w:gridCol w:w="754"/>
              <w:gridCol w:w="1093"/>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设备设施及工具名称</w:t>
                  </w:r>
                </w:p>
              </w:tc>
              <w:tc>
                <w:tcPr>
                  <w:tcW w:type="dxa" w:w="1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技术参数最低要求</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工作用车（轻型货</w:t>
                  </w:r>
                  <w:r>
                    <w:rPr>
                      <w:sz w:val="24"/>
                    </w:rPr>
                    <w:t>车</w:t>
                  </w:r>
                  <w:r>
                    <w:rPr>
                      <w:sz w:val="24"/>
                    </w:rPr>
                    <w:t>）</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自用车辆所有手续、证件齐全</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1辆</w:t>
                  </w:r>
                </w:p>
              </w:tc>
              <w:tc>
                <w:tcPr>
                  <w:tcW w:type="dxa" w:w="10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1、提供所需机动车车辆的行驶证（含行驶证上的车辆照片页及检验记录页）、购置发票及车辆彩色照片。</w:t>
                  </w:r>
                </w:p>
                <w:p>
                  <w:pPr>
                    <w:pStyle w:val="null3"/>
                  </w:pPr>
                  <w:r>
                    <w:rPr>
                      <w:sz w:val="24"/>
                    </w:rPr>
                    <w:t>2、提供所需工具购置发票。</w:t>
                  </w:r>
                </w:p>
                <w:p>
                  <w:pPr>
                    <w:pStyle w:val="null3"/>
                  </w:pPr>
                  <w:r>
                    <w:rPr>
                      <w:sz w:val="24"/>
                    </w:rPr>
                    <w:t>3、所提供的车辆、工具需是供应商自有设备。</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背负式超低容量喷雾机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燃油：混合汽油</w:t>
                  </w:r>
                </w:p>
                <w:p>
                  <w:pPr>
                    <w:pStyle w:val="null3"/>
                    <w:jc w:val="center"/>
                  </w:pPr>
                  <w:r>
                    <w:rPr>
                      <w:sz w:val="24"/>
                    </w:rPr>
                    <w:t>药桶容量：</w:t>
                  </w:r>
                  <w:r>
                    <w:rPr>
                      <w:sz w:val="24"/>
                    </w:rPr>
                    <w:t>≥25升；</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5台</w:t>
                  </w:r>
                </w:p>
              </w:tc>
              <w:tc>
                <w:tcPr>
                  <w:tcW w:type="dxa" w:w="1093"/>
                  <w:vMerge/>
                  <w:tcBorders>
                    <w:top w:val="none" w:color="000000" w:sz="4"/>
                    <w:left w:val="none" w:color="000000" w:sz="4"/>
                    <w:bottom w:val="single" w:color="000000" w:sz="4"/>
                    <w:right w:val="single" w:color="000000" w:sz="4"/>
                  </w:tcBorders>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热烟雾机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燃油：汽油</w:t>
                  </w:r>
                </w:p>
                <w:p>
                  <w:pPr>
                    <w:pStyle w:val="null3"/>
                    <w:jc w:val="center"/>
                  </w:pPr>
                  <w:r>
                    <w:rPr>
                      <w:sz w:val="24"/>
                    </w:rPr>
                    <w:t>药箱容量：</w:t>
                  </w:r>
                  <w:r>
                    <w:rPr>
                      <w:sz w:val="24"/>
                    </w:rPr>
                    <w:t>≥6.0L</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台</w:t>
                  </w:r>
                </w:p>
              </w:tc>
              <w:tc>
                <w:tcPr>
                  <w:tcW w:type="dxa" w:w="1093"/>
                  <w:vMerge/>
                  <w:tcBorders>
                    <w:top w:val="none" w:color="000000" w:sz="4"/>
                    <w:left w:val="none" w:color="000000" w:sz="4"/>
                    <w:bottom w:val="single" w:color="000000" w:sz="4"/>
                    <w:right w:val="single" w:color="000000" w:sz="4"/>
                  </w:tcBorders>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背负式电动喷雾机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额定功率：</w:t>
                  </w:r>
                  <w:r>
                    <w:rPr>
                      <w:sz w:val="24"/>
                    </w:rPr>
                    <w:t>240W</w:t>
                  </w:r>
                </w:p>
                <w:p>
                  <w:pPr>
                    <w:pStyle w:val="null3"/>
                    <w:jc w:val="center"/>
                  </w:pPr>
                  <w:r>
                    <w:rPr>
                      <w:sz w:val="24"/>
                    </w:rPr>
                    <w:t>喷雾量：</w:t>
                  </w:r>
                  <w:r>
                    <w:rPr>
                      <w:sz w:val="24"/>
                    </w:rPr>
                    <w:t>25-350ML/MIN</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台</w:t>
                  </w:r>
                </w:p>
              </w:tc>
              <w:tc>
                <w:tcPr>
                  <w:tcW w:type="dxa" w:w="1093"/>
                  <w:vMerge/>
                  <w:tcBorders>
                    <w:top w:val="none" w:color="000000" w:sz="4"/>
                    <w:left w:val="none" w:color="000000" w:sz="4"/>
                    <w:bottom w:val="single" w:color="000000" w:sz="4"/>
                    <w:right w:val="single" w:color="000000" w:sz="4"/>
                  </w:tcBorders>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车载式喷雾机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工作压力：</w:t>
                  </w:r>
                  <w:r>
                    <w:rPr>
                      <w:sz w:val="24"/>
                    </w:rPr>
                    <w:t>0.2-0.5MPA</w:t>
                  </w:r>
                </w:p>
                <w:p>
                  <w:pPr>
                    <w:pStyle w:val="null3"/>
                    <w:jc w:val="center"/>
                  </w:pPr>
                  <w:r>
                    <w:rPr>
                      <w:sz w:val="24"/>
                    </w:rPr>
                    <w:t>药箱容量：</w:t>
                  </w:r>
                  <w:r>
                    <w:rPr>
                      <w:sz w:val="24"/>
                    </w:rPr>
                    <w:t>≥15L</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93"/>
                  <w:vMerge/>
                  <w:tcBorders>
                    <w:top w:val="none" w:color="000000" w:sz="4"/>
                    <w:left w:val="none" w:color="000000" w:sz="4"/>
                    <w:bottom w:val="single" w:color="000000" w:sz="4"/>
                    <w:right w:val="single" w:color="000000" w:sz="4"/>
                  </w:tcBorders>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巡检工作用车（小型客车）</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对施工地点巡检专用，自用车辆所有手续、证件齐全</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1辆</w:t>
                  </w:r>
                </w:p>
              </w:tc>
              <w:tc>
                <w:tcPr>
                  <w:tcW w:type="dxa" w:w="1093"/>
                  <w:vMerge/>
                  <w:tcBorders>
                    <w:top w:val="none" w:color="000000" w:sz="4"/>
                    <w:left w:val="none" w:color="000000" w:sz="4"/>
                    <w:bottom w:val="single" w:color="000000" w:sz="4"/>
                    <w:right w:val="single" w:color="000000" w:sz="4"/>
                  </w:tcBorders>
                </w:tcPr>
                <w:p/>
              </w:tc>
            </w:tr>
          </w:tbl>
          <w:p>
            <w:pPr>
              <w:pStyle w:val="null3"/>
            </w:pPr>
            <w:r>
              <w:rPr>
                <w:sz w:val="24"/>
                <w:b/>
              </w:rPr>
              <w:t>二、</w:t>
            </w:r>
            <w:r>
              <w:rPr>
                <w:sz w:val="24"/>
                <w:b/>
              </w:rPr>
              <w:t>本项目服务因素的需求</w:t>
            </w:r>
          </w:p>
          <w:p>
            <w:pPr>
              <w:pStyle w:val="null3"/>
            </w:pPr>
            <w:r>
              <w:rPr>
                <w:sz w:val="24"/>
              </w:rPr>
              <w:t>1、</w:t>
            </w:r>
            <w:r>
              <w:rPr>
                <w:sz w:val="24"/>
              </w:rPr>
              <w:t>服务场所响应服务的需求</w:t>
            </w:r>
          </w:p>
          <w:p>
            <w:pPr>
              <w:pStyle w:val="null3"/>
              <w:ind w:firstLine="480"/>
            </w:pPr>
            <w:r>
              <w:rPr>
                <w:sz w:val="24"/>
              </w:rPr>
              <w:t>采购人要求供应商需提供自有或租赁的固定场所作为服务场所并为本项目派出人员提供服务，如果供应商由于自身原因在该项目投标期间未能设置服务场所来投标响应服务场所的需求，可以在其磋商响应文件中承诺在中标后的签订合同环节按采购人要求服务场所的服务需求完成设置服务场所，并需在承诺中明确提供服务场所的方式：提供自有的固定场所作为服务场所并为本项目派出人员提供服务的方式或提供租赁的固定场所作为服务场所并为本项目派出人员提供服务的方式，以及在投标时在其磋商响应文件中提供为本项目拟派出人员</w:t>
            </w:r>
            <w:r>
              <w:rPr>
                <w:sz w:val="24"/>
              </w:rPr>
              <w:t>清单</w:t>
            </w:r>
            <w:r>
              <w:rPr>
                <w:sz w:val="24"/>
              </w:rPr>
              <w:t>等。</w:t>
            </w:r>
          </w:p>
          <w:p>
            <w:pPr>
              <w:pStyle w:val="null3"/>
            </w:pPr>
            <w:r>
              <w:rPr>
                <w:sz w:val="24"/>
              </w:rPr>
              <w:t>2、服务团队的需求</w:t>
            </w:r>
          </w:p>
          <w:p>
            <w:pPr>
              <w:pStyle w:val="null3"/>
              <w:ind w:firstLine="480"/>
            </w:pPr>
            <w:r>
              <w:rPr>
                <w:sz w:val="24"/>
              </w:rPr>
              <w:t>供应商需要安排服务团队的人员数量共</w:t>
            </w:r>
            <w:r>
              <w:rPr>
                <w:sz w:val="24"/>
              </w:rPr>
              <w:t>11</w:t>
            </w:r>
            <w:r>
              <w:rPr>
                <w:sz w:val="24"/>
              </w:rPr>
              <w:t>名，具体如下：</w:t>
            </w:r>
          </w:p>
          <w:p>
            <w:pPr>
              <w:pStyle w:val="null3"/>
              <w:ind w:left="-720"/>
            </w:pPr>
            <w:r>
              <w:rPr>
                <w:sz w:val="24"/>
              </w:rPr>
              <w:t xml:space="preserve">         </w:t>
            </w:r>
            <w:r>
              <w:rPr>
                <w:sz w:val="24"/>
              </w:rPr>
              <w:t>（</w:t>
            </w:r>
            <w:r>
              <w:rPr>
                <w:sz w:val="24"/>
              </w:rPr>
              <w:t>1）</w:t>
            </w:r>
            <w:r>
              <w:rPr>
                <w:sz w:val="24"/>
              </w:rPr>
              <w:t>项目负责人</w:t>
            </w:r>
          </w:p>
          <w:p>
            <w:pPr>
              <w:pStyle w:val="null3"/>
              <w:ind w:firstLine="360"/>
              <w:jc w:val="left"/>
            </w:pPr>
            <w:r>
              <w:rPr>
                <w:sz w:val="24"/>
              </w:rPr>
              <w:t>项目负责人具有《有害生物防治员资格证》高级（三级）以上（含三级）的职业资格证书。提供持有人力资源和社会保障部门颁发的《有害生物防制员资格证》或者培训上岗证证书。项目负责人具有</w:t>
            </w:r>
            <w:r>
              <w:rPr>
                <w:sz w:val="24"/>
              </w:rPr>
              <w:t>本科</w:t>
            </w:r>
            <w:r>
              <w:rPr>
                <w:sz w:val="24"/>
              </w:rPr>
              <w:t>以上（含</w:t>
            </w:r>
            <w:r>
              <w:rPr>
                <w:sz w:val="24"/>
              </w:rPr>
              <w:t>本科</w:t>
            </w:r>
            <w:r>
              <w:rPr>
                <w:sz w:val="24"/>
              </w:rPr>
              <w:t>）文凭。</w:t>
            </w:r>
            <w:r>
              <w:rPr>
                <w:sz w:val="24"/>
              </w:rPr>
              <w:t xml:space="preserve">      </w:t>
            </w:r>
          </w:p>
          <w:p>
            <w:pPr>
              <w:pStyle w:val="null3"/>
              <w:ind w:firstLine="360"/>
              <w:jc w:val="left"/>
            </w:pPr>
            <w:r>
              <w:rPr>
                <w:sz w:val="24"/>
              </w:rPr>
              <w:t>（</w:t>
            </w:r>
            <w:r>
              <w:rPr>
                <w:sz w:val="24"/>
              </w:rPr>
              <w:t>2）拟派出人员</w:t>
            </w:r>
          </w:p>
          <w:p>
            <w:pPr>
              <w:pStyle w:val="null3"/>
            </w:pPr>
            <w:r>
              <w:rPr>
                <w:sz w:val="24"/>
              </w:rPr>
              <w:t>供应商需拟派项目实施人员</w:t>
            </w:r>
            <w:r>
              <w:rPr>
                <w:sz w:val="24"/>
              </w:rPr>
              <w:t>10</w:t>
            </w:r>
            <w:r>
              <w:rPr>
                <w:sz w:val="24"/>
              </w:rPr>
              <w:t>人。</w:t>
            </w:r>
            <w:r>
              <w:rPr>
                <w:sz w:val="24"/>
              </w:rPr>
              <w:t>现有</w:t>
            </w:r>
            <w:r>
              <w:rPr>
                <w:sz w:val="24"/>
              </w:rPr>
              <w:t>10</w:t>
            </w:r>
            <w:r>
              <w:rPr>
                <w:sz w:val="24"/>
              </w:rPr>
              <w:t>人必须持有培训上岗证书</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1.采购代理机构：本项目是指深圳轩辕氏工程咨询有限公司，负责整个采购活动的组织，依法负责编制和发布磋商文件，对磋商文件拥有最终的解释权，不以任何身份出任磋商小组成员。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惠州大亚湾经济技术开发区西区街道办事处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采购机构代理服务收费标准：本项目招标代理服务费固定为人民币壹万柒仟元，由采购人支付。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其他，成交供应商在公示结束后向采购人提交纸质报价文件一正一副。</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30分，以现场设置为准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深圳轩辕氏工程咨询有限公司</w:t>
      </w:r>
      <w:r>
        <w:rPr/>
        <w:t>代收。具体操作要求详见</w:t>
      </w:r>
      <w:r>
        <w:rPr/>
        <w:t>深圳轩辕氏工程咨询有限公司</w:t>
      </w:r>
      <w:r>
        <w:rPr/>
        <w:t>有关指引，递交事宜请自行咨询</w:t>
      </w:r>
      <w:r>
        <w:rPr/>
        <w:t>深圳轩辕氏工程咨询有限公司</w:t>
      </w:r>
      <w:r>
        <w:rPr/>
        <w:t>；请各供应商在响应文件递交截止时间前按须知前附表规定的金额递交至</w:t>
      </w:r>
      <w:r>
        <w:rPr/>
        <w:t>深圳轩辕氏工程咨询有限公司</w:t>
      </w:r>
      <w:r>
        <w:rPr/>
        <w:t>，到账情况以开启时</w:t>
      </w:r>
      <w:r>
        <w:rPr/>
        <w:t>深圳轩辕氏工程咨询有限公司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王双</w:t>
      </w:r>
    </w:p>
    <w:p>
      <w:pPr>
        <w:pStyle w:val="null3"/>
        <w:ind w:firstLine="480"/>
      </w:pPr>
      <w:r>
        <w:rPr/>
        <w:t>电话：</w:t>
      </w:r>
      <w:r>
        <w:rPr/>
        <w:t>0752-2280619</w:t>
      </w:r>
    </w:p>
    <w:p>
      <w:pPr>
        <w:pStyle w:val="null3"/>
        <w:ind w:firstLine="480"/>
      </w:pPr>
      <w:r>
        <w:rPr/>
        <w:t>传真：</w:t>
      </w:r>
      <w:r>
        <w:rPr/>
        <w:t>0752-2280619</w:t>
      </w:r>
    </w:p>
    <w:p>
      <w:pPr>
        <w:pStyle w:val="null3"/>
        <w:ind w:firstLine="480"/>
      </w:pPr>
      <w:r>
        <w:rPr/>
        <w:t>邮箱：</w:t>
      </w:r>
      <w:r>
        <w:rPr/>
        <w:t>hz2280619@126.com</w:t>
      </w:r>
    </w:p>
    <w:p>
      <w:pPr>
        <w:pStyle w:val="null3"/>
        <w:ind w:firstLine="480"/>
      </w:pPr>
      <w:r>
        <w:rPr/>
        <w:t>地址：</w:t>
      </w:r>
      <w:r>
        <w:rPr/>
        <w:t>惠州市惠城区河南岸国商大厦A7C</w:t>
      </w:r>
    </w:p>
    <w:p>
      <w:pPr>
        <w:pStyle w:val="null3"/>
        <w:ind w:firstLine="480"/>
      </w:pPr>
      <w:r>
        <w:rPr/>
        <w:t>邮编：</w:t>
      </w:r>
      <w:r>
        <w:rPr/>
        <w:t>516002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政府采购监督管理机构名称：惠州大亚湾经济技术开发区财政局政府采购监管科</w:t>
      </w:r>
    </w:p>
    <w:p>
      <w:pPr>
        <w:pStyle w:val="null3"/>
      </w:pPr>
      <w:r>
        <w:rPr/>
        <w:t>地 址：大亚湾中兴五路101号</w:t>
      </w:r>
    </w:p>
    <w:p>
      <w:pPr>
        <w:pStyle w:val="null3"/>
      </w:pPr>
      <w:r>
        <w:rPr/>
        <w:t>电 话：5593673</w:t>
      </w:r>
    </w:p>
    <w:p>
      <w:pPr>
        <w:pStyle w:val="null3"/>
      </w:pPr>
      <w:r>
        <w:rPr/>
        <w:t>邮 编：516084</w:t>
      </w:r>
    </w:p>
    <w:p>
      <w:pPr>
        <w:pStyle w:val="null3"/>
      </w:pPr>
      <w:r>
        <w:rPr/>
        <w:t>传 真：5593669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采购包1(西区街道消杀服务)：综合评分法,是指响应文件满足磋商文件全部实质性要求，且按照评审因素的量化指标评审得分最高的投标人为成交候选人的评标方法。（最低报价不是成交的唯一依据。）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深圳轩辕氏工程咨询有限公司</w:t>
      </w:r>
      <w:r>
        <w:rPr/>
        <w:t>统一对外发布。</w:t>
      </w:r>
    </w:p>
    <w:p>
      <w:pPr>
        <w:pStyle w:val="null3"/>
        <w:ind w:firstLine="480"/>
      </w:pPr>
      <w:r>
        <w:rPr/>
        <w:t>（2）对</w:t>
      </w:r>
      <w:r>
        <w:rPr/>
        <w:t>深圳轩辕氏工程咨询有限公司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采购包1（西区街道消杀服务）：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采购包1（西区街道消杀服务）：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采购包整体专门面向中小企业，供应商应为中小微企业、监狱企业、残疾人福利性单位。 （提供《中小企业声明函》或属于监狱企业的证明材料或《残疾人福利性单位声明函》）。</w:t>
            </w:r>
          </w:p>
        </w:tc>
      </w:tr>
    </w:tbl>
    <w:p>
      <w:pPr>
        <w:pStyle w:val="null3"/>
        <w:ind w:firstLine="480"/>
      </w:pPr>
      <w:r>
        <w:rPr/>
        <w:t>表二符合性审查表：</w:t>
      </w:r>
    </w:p>
    <w:p>
      <w:pPr>
        <w:pStyle w:val="null3"/>
      </w:pPr>
      <w:r>
        <w:rPr/>
        <w:t>采购包1（西区街道消杀服务）：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投标报价是固定唯一的且不超过采购预算。</w:t>
            </w:r>
          </w:p>
        </w:tc>
      </w:tr>
      <w:tr>
        <w:tc>
          <w:tcPr>
            <w:tcW w:type="dxa" w:w="890"/>
          </w:tcPr>
          <w:p>
            <w:pPr>
              <w:pStyle w:val="null3"/>
            </w:pPr>
            <w:r>
              <w:rPr/>
              <w:t>2</w:t>
            </w:r>
          </w:p>
        </w:tc>
        <w:tc>
          <w:tcPr>
            <w:tcW w:type="dxa" w:w="3178"/>
          </w:tcPr>
          <w:p>
            <w:pPr>
              <w:pStyle w:val="null3"/>
            </w:pPr>
            <w:r>
              <w:rPr/>
              <w:t>投标报价合理性</w:t>
            </w:r>
          </w:p>
        </w:tc>
        <w:tc>
          <w:tcPr>
            <w:tcW w:type="dxa" w:w="4238"/>
          </w:tcPr>
          <w:p>
            <w:pPr>
              <w:pStyle w:val="null3"/>
            </w:pPr>
            <w:r>
              <w:rPr/>
              <w:t>不属于：投标报价明显不合理，有可能影响产品质量或者不能诚信履约，在评标现场合理的时间内投标人不能证明其报价合理性的。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提交了投标函，投标有效期符合要求。</w:t>
            </w:r>
          </w:p>
        </w:tc>
      </w:tr>
      <w:tr>
        <w:tc>
          <w:tcPr>
            <w:tcW w:type="dxa" w:w="890"/>
          </w:tcPr>
          <w:p>
            <w:pPr>
              <w:pStyle w:val="null3"/>
            </w:pPr>
            <w:r>
              <w:rPr/>
              <w:t>4</w:t>
            </w:r>
          </w:p>
        </w:tc>
        <w:tc>
          <w:tcPr>
            <w:tcW w:type="dxa" w:w="3178"/>
          </w:tcPr>
          <w:p>
            <w:pPr>
              <w:pStyle w:val="null3"/>
            </w:pPr>
            <w:r>
              <w:rPr/>
              <w:t>投标报价文件的签署、盖章</w:t>
            </w:r>
          </w:p>
        </w:tc>
        <w:tc>
          <w:tcPr>
            <w:tcW w:type="dxa" w:w="4238"/>
          </w:tcPr>
          <w:p>
            <w:pPr>
              <w:pStyle w:val="null3"/>
            </w:pPr>
            <w:r>
              <w:rPr/>
              <w:t>投标报价文件按照招标（磋商）文件规定要求签署、盖章。</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投标报价文件完全响应采购文件中带★号的条款和指标。</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无招标文件、法律、法规规定的被视为无效投标的其它条款。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西区街道消杀服务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p>
        </w:tc>
        <w:tc>
          <w:tcPr>
            <w:tcW w:type="dxa" w:w="5076"/>
          </w:tcPr>
          <w:p>
            <w:pPr>
              <w:pStyle w:val="null3"/>
              <w:jc w:val="left"/>
            </w:pPr>
            <w:r>
              <w:rPr/>
              <w:t>根据供应商提供的实施方案，包括但不限于病媒生物防制和除四害消杀、日常管理组织、员工技术培训计划、提高病媒生物防制和除四害消杀水平的设想、各种规章制度等内容进行评审： 1.实施方案完善、合理，针对性、可行性强，完全能满足项目服务要求的，得15分； 2.实施方案较完整、合理，针对性、可行性较强，满足项目服务要求的得11分； 3.实施方案基本完整、合理，有一定针对性、可行性，基本满足项目服务要求的，得7分。 4.实施方案不完整、合理差，针对性、可行性较差，部分满足项目服务要求的，得3分。 5.无提供实施方案或其他情况不得分。</w:t>
            </w:r>
          </w:p>
        </w:tc>
      </w:tr>
      <w:tr>
        <w:tc>
          <w:tcPr>
            <w:tcW w:type="dxa" w:w="922"/>
            <w:gridSpan w:val="2"/>
            <w:vMerge/>
          </w:tcPr>
          <w:p/>
        </w:tc>
        <w:tc>
          <w:tcPr>
            <w:tcW w:type="dxa" w:w="2307"/>
          </w:tcPr>
          <w:p>
            <w:pPr>
              <w:pStyle w:val="null3"/>
              <w:jc w:val="left"/>
            </w:pPr>
            <w:r>
              <w:rPr/>
              <w:t>对项目实施区域及项目内容的熟悉程度 (10.0分)</w:t>
            </w:r>
          </w:p>
        </w:tc>
        <w:tc>
          <w:tcPr>
            <w:tcW w:type="dxa" w:w="5076"/>
          </w:tcPr>
          <w:p>
            <w:pPr>
              <w:pStyle w:val="null3"/>
              <w:jc w:val="left"/>
            </w:pPr>
            <w:r>
              <w:rPr/>
              <w:t>1.供应商熟悉了解本次采购项目实施区域环境现状，对本项目服务内容熟悉，非常了解本项目服务重点，能详细说明辖区内的工作难点、重点，完全贴合项目需求，得10分； 2.供应商对本次采购项目实施区域环境现状较为清楚，对本项目服务内容熟悉，了解本项目服务重点，能概述辖区内的工作难点、重点 ，基本贴合项目需求，得7分； 3.供应商对本次采购项目实施区域环境现状了解欠缺，对本项目服务内容不够熟悉，对本项目服务重点不够了解，不能说明辖区内的工作难点、重点，部分贴合项目需求，得4分； 4.供应商对本次采购项目实施区域环境现状不了解，对本项目服务内容不熟悉，对本项目服务重点不了解，不能说明辖区内的工作难点、重点，未能贴合项目需求，得1分； 5.无提供或其他情况，不得分。</w:t>
            </w:r>
          </w:p>
        </w:tc>
      </w:tr>
      <w:tr>
        <w:tc>
          <w:tcPr>
            <w:tcW w:type="dxa" w:w="922"/>
            <w:gridSpan w:val="2"/>
            <w:vMerge/>
          </w:tcPr>
          <w:p/>
        </w:tc>
        <w:tc>
          <w:tcPr>
            <w:tcW w:type="dxa" w:w="2307"/>
          </w:tcPr>
          <w:p>
            <w:pPr>
              <w:pStyle w:val="null3"/>
              <w:jc w:val="left"/>
            </w:pPr>
            <w:r>
              <w:rPr/>
              <w:t>项目质量保证措施 (8.0分)</w:t>
            </w:r>
          </w:p>
        </w:tc>
        <w:tc>
          <w:tcPr>
            <w:tcW w:type="dxa" w:w="5076"/>
          </w:tcPr>
          <w:p>
            <w:pPr>
              <w:pStyle w:val="null3"/>
              <w:jc w:val="left"/>
            </w:pPr>
            <w:r>
              <w:rPr/>
              <w:t>项目质量保证措施包括但不限于服务质量标准保证措施、质量承诺保证等： (1)项目质量保证措施方案详细完整，能提出具有针对性的质量措施目标、质量保障措施科学合理，可行性强，有明确的质量承诺，完全贴合项目需求，得8分； (2)项目质量保证措施方案完整，有质量目标明确、质量保障措施合理，具备可行性，有质量承诺，基本贴合项目需求，得5分； (3)项目质量保证措施方案不完整，有质量目标、质量保障措施，质量承诺，合理性及可行性差，部分贴合项目需求得2分； (4)不提供或其他情况不得分。</w:t>
            </w:r>
          </w:p>
        </w:tc>
      </w:tr>
      <w:tr>
        <w:tc>
          <w:tcPr>
            <w:tcW w:type="dxa" w:w="922"/>
            <w:gridSpan w:val="2"/>
            <w:vMerge/>
          </w:tcPr>
          <w:p/>
        </w:tc>
        <w:tc>
          <w:tcPr>
            <w:tcW w:type="dxa" w:w="2307"/>
          </w:tcPr>
          <w:p>
            <w:pPr>
              <w:pStyle w:val="null3"/>
              <w:jc w:val="left"/>
            </w:pPr>
            <w:r>
              <w:rPr/>
              <w:t>突发事件应急措施处理方案 (9.0分)</w:t>
            </w:r>
          </w:p>
        </w:tc>
        <w:tc>
          <w:tcPr>
            <w:tcW w:type="dxa" w:w="5076"/>
          </w:tcPr>
          <w:p>
            <w:pPr>
              <w:pStyle w:val="null3"/>
              <w:jc w:val="left"/>
            </w:pPr>
            <w:r>
              <w:rPr/>
              <w:t>(1)供应商有高度警惕，具有充沛的人力、物力处置能力，有完整和科学的疫情应急处置预案，疫情应急响应迅速，完全满足项目需求，得9分； (2)供应商的人力、物力处置能力适中，有合理的疫情应急处置预案，疫情应急响应速度一般，基本满足项目需求，得5分； (3)供应商的人力、物力处置能力较弱，疫情应急预案欠缺，疫情应急响应速度较慢，不能满足项目需求，得2分； (4)不提供或其他情况不得分。</w:t>
            </w:r>
          </w:p>
        </w:tc>
      </w:tr>
      <w:tr>
        <w:tc>
          <w:tcPr>
            <w:tcW w:type="dxa" w:w="922"/>
            <w:gridSpan w:val="2"/>
            <w:vMerge/>
          </w:tcPr>
          <w:p/>
        </w:tc>
        <w:tc>
          <w:tcPr>
            <w:tcW w:type="dxa" w:w="2307"/>
          </w:tcPr>
          <w:p>
            <w:pPr>
              <w:pStyle w:val="null3"/>
              <w:jc w:val="left"/>
            </w:pPr>
            <w:r>
              <w:rPr/>
              <w:t>拟投入的药物情况 (9.0分)</w:t>
            </w:r>
          </w:p>
        </w:tc>
        <w:tc>
          <w:tcPr>
            <w:tcW w:type="dxa" w:w="5076"/>
          </w:tcPr>
          <w:p>
            <w:pPr>
              <w:pStyle w:val="null3"/>
              <w:jc w:val="left"/>
            </w:pPr>
            <w:r>
              <w:rPr/>
              <w:t>对拟投入的药物情况进行评审： （1）药物安全性高，药物配置品类的科学合理，对投入药物的管理科学合理、具有可行性，完全贴合项目需求，得9分； （2）药物安全性较高，药物配置品类较科学合理，对投入药物的管理较科学合理、较具有可行性，基本贴合项目需求，得6分； （3）药物安全性一般，药物配置品类基本科学合理，对投入药物的管理不够科学合理、可行性一般，部分贴合项目需求，得3分； （4）药物安全性较差，药物配置品类不科学合理，对投入药物的管理不科学合理、可行性差，未能贴合项目需求，得1分；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(12.0分)</w:t>
            </w:r>
          </w:p>
        </w:tc>
        <w:tc>
          <w:tcPr>
            <w:tcW w:type="dxa" w:w="5076"/>
          </w:tcPr>
          <w:p>
            <w:pPr>
              <w:pStyle w:val="null3"/>
              <w:jc w:val="left"/>
            </w:pPr>
            <w:r>
              <w:rPr/>
              <w:t>供应商自2019年1月1日（以合同签订时间为准）具有同类项目业绩，每提供一个业绩得2分，最高得12分。 【备注：需要同时提供合同（或协议）的关键页（含签订合同（或协议）双方的单位名称、合同（或协议）项目名称、签订合同（或协议）双方的落款盖章、签订日期）复印件，合同关键页内容须完整清晰，不清晰或未按要求提供不得分。】</w:t>
            </w:r>
          </w:p>
        </w:tc>
      </w:tr>
      <w:tr>
        <w:tc>
          <w:tcPr>
            <w:tcW w:type="dxa" w:w="922"/>
            <w:gridSpan w:val="2"/>
            <w:vMerge/>
          </w:tcPr>
          <w:p/>
        </w:tc>
        <w:tc>
          <w:tcPr>
            <w:tcW w:type="dxa" w:w="2307"/>
          </w:tcPr>
          <w:p>
            <w:pPr>
              <w:pStyle w:val="null3"/>
              <w:jc w:val="left"/>
            </w:pPr>
            <w:r>
              <w:rPr/>
              <w:t>拟投入的服务团队情况 (8.0分)</w:t>
            </w:r>
          </w:p>
        </w:tc>
        <w:tc>
          <w:tcPr>
            <w:tcW w:type="dxa" w:w="5076"/>
          </w:tcPr>
          <w:p>
            <w:pPr>
              <w:pStyle w:val="null3"/>
              <w:jc w:val="left"/>
            </w:pPr>
            <w:r>
              <w:rPr/>
              <w:t>供应商拟投入本项目团队人员具有如下证书： （1）项目负责人具有有害生物防制员三级/高级（或以上）技能职称，得3分，项目负责人具有全日制本科及以上学历，提供毕业证书复印件及学信网查询截图得1分，本小项最高得4分； （2）团队人员具有有害生物防制员四级/中级技能职称，每提供一人得2分，本小项最高得4分。 【备注：上述可累计得分， 本项最高得8分。 须提供①人社部门颁发的职业资格证书复印件，同一人不重复得分②供应商为其缴纳的开标前三个月内任意1个月的社保证明复印件，加盖供应商公章，无提供或证明材料不清晰导致无法辨认的不得分。】</w:t>
            </w:r>
          </w:p>
        </w:tc>
      </w:tr>
      <w:tr>
        <w:tc>
          <w:tcPr>
            <w:tcW w:type="dxa" w:w="922"/>
            <w:gridSpan w:val="2"/>
            <w:vMerge/>
          </w:tcPr>
          <w:p/>
        </w:tc>
        <w:tc>
          <w:tcPr>
            <w:tcW w:type="dxa" w:w="2307"/>
          </w:tcPr>
          <w:p>
            <w:pPr>
              <w:pStyle w:val="null3"/>
              <w:jc w:val="left"/>
            </w:pPr>
            <w:r>
              <w:rPr/>
              <w:t>拟投入本项目的车辆、设备情况 (13.0分)</w:t>
            </w:r>
          </w:p>
        </w:tc>
        <w:tc>
          <w:tcPr>
            <w:tcW w:type="dxa" w:w="5076"/>
          </w:tcPr>
          <w:p>
            <w:pPr>
              <w:pStyle w:val="null3"/>
              <w:jc w:val="left"/>
            </w:pPr>
            <w:r>
              <w:rPr/>
              <w:t>投标人拟投入本项目的车辆、设备情况: 1、提供投标人自有车辆：一辆轻型普通货车、一辆小型客车作为本项目工作用车，得2分。只提供1辆，得1分。【车辆须提供①行驶证②车辆照片③证照信息须一致。无提供或提供不全或证明材料不清晰评委无法辨认，则不得分。】 2、背负式超低容量喷雾器5台及以上得3分，4台得2分，3台得1分。 3、热烟雾机4台及以上得3分，3台得2分，2台得1分。 4、背负式电动喷雾机10台及以上得4分，8台得3分，6台得2分。 5、车载式喷雾机2台及以上得1分。 注：上述2-5须提供自有设备购买发票（租赁的设施、设备需提供租赁合同及发票），未提供或提供不全或证明材料不清晰评委无法辨认，则不得分。</w:t>
            </w:r>
          </w:p>
        </w:tc>
      </w:tr>
      <w:tr>
        <w:tc>
          <w:tcPr>
            <w:tcW w:type="dxa" w:w="922"/>
            <w:gridSpan w:val="2"/>
            <w:vMerge/>
          </w:tcPr>
          <w:p/>
        </w:tc>
        <w:tc>
          <w:tcPr>
            <w:tcW w:type="dxa" w:w="2307"/>
          </w:tcPr>
          <w:p>
            <w:pPr>
              <w:pStyle w:val="null3"/>
              <w:jc w:val="left"/>
            </w:pPr>
            <w:r>
              <w:rPr/>
              <w:t>采购需求响应情况 (6.0分)</w:t>
            </w:r>
          </w:p>
        </w:tc>
        <w:tc>
          <w:tcPr>
            <w:tcW w:type="dxa" w:w="5076"/>
          </w:tcPr>
          <w:p>
            <w:pPr>
              <w:pStyle w:val="null3"/>
              <w:jc w:val="left"/>
            </w:pPr>
            <w:r>
              <w:rPr/>
              <w:t>（1）完全满足并有优于采购需求的，得6分； （2）完全满足采购需求的，得4分； （3）采购需求响应有负偏离的，得2分。 注：提供采购需求响应表，格式自拟。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jc w:val="both"/>
      </w:pPr>
      <w:r>
        <w:rPr>
          <w:sz w:val="21"/>
        </w:rPr>
        <w:t xml:space="preserve"> </w:t>
      </w:r>
    </w:p>
    <w:p>
      <w:pPr>
        <w:pStyle w:val="null3"/>
        <w:jc w:val="center"/>
      </w:pPr>
      <w:r>
        <w:rPr>
          <w:sz w:val="21"/>
          <w:b/>
        </w:rPr>
        <w:t>合　同　书</w:t>
      </w:r>
    </w:p>
    <w:p>
      <w:pPr>
        <w:pStyle w:val="null3"/>
        <w:jc w:val="center"/>
      </w:pPr>
      <w:r>
        <w:br/>
      </w:r>
      <w:r>
        <w:br/>
      </w:r>
      <w:r>
        <w:br/>
      </w:r>
      <w:r>
        <w:br/>
      </w:r>
      <w:r>
        <w:br/>
      </w:r>
      <w:r>
        <w:br/>
      </w:r>
      <w:r>
        <w:br/>
      </w:r>
      <w:r>
        <w:br/>
      </w:r>
      <w:r>
        <w:rPr>
          <w:sz w:val="21"/>
        </w:rPr>
        <w:t xml:space="preserve">  </w:t>
      </w:r>
    </w:p>
    <w:p>
      <w:pPr>
        <w:pStyle w:val="null3"/>
        <w:jc w:val="center"/>
      </w:pPr>
      <w:r>
        <w:rPr>
          <w:sz w:val="28"/>
          <w:color w:val="222222"/>
        </w:rPr>
        <w:t>采购计划编号：</w:t>
      </w:r>
      <w:r>
        <w:rPr>
          <w:sz w:val="21"/>
          <w:u w:val="single"/>
        </w:rPr>
        <w:t xml:space="preserve">                          </w:t>
      </w:r>
    </w:p>
    <w:p>
      <w:pPr>
        <w:pStyle w:val="null3"/>
        <w:jc w:val="both"/>
      </w:pPr>
      <w:r>
        <w:rPr>
          <w:sz w:val="21"/>
        </w:rPr>
        <w:t xml:space="preserve"> </w:t>
      </w:r>
    </w:p>
    <w:p>
      <w:pPr>
        <w:pStyle w:val="null3"/>
        <w:jc w:val="center"/>
      </w:pPr>
      <w:r>
        <w:rPr>
          <w:sz w:val="28"/>
          <w:color w:val="222222"/>
        </w:rPr>
        <w:t>项目编号：</w:t>
      </w:r>
      <w:r>
        <w:rPr>
          <w:sz w:val="21"/>
          <w:u w:val="single"/>
        </w:rPr>
        <w:t xml:space="preserve">                              </w:t>
      </w:r>
    </w:p>
    <w:p>
      <w:pPr>
        <w:pStyle w:val="null3"/>
        <w:jc w:val="both"/>
      </w:pPr>
      <w:r>
        <w:rPr>
          <w:sz w:val="21"/>
        </w:rPr>
        <w:t xml:space="preserve"> </w:t>
      </w:r>
    </w:p>
    <w:p>
      <w:pPr>
        <w:pStyle w:val="null3"/>
        <w:jc w:val="center"/>
      </w:pPr>
      <w:r>
        <w:rPr>
          <w:sz w:val="28"/>
          <w:color w:val="222222"/>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br/>
      </w:r>
      <w:r>
        <w:rPr>
          <w:sz w:val="21"/>
        </w:rPr>
        <w:t xml:space="preserve">  </w:t>
      </w:r>
    </w:p>
    <w:p>
      <w:pPr>
        <w:pStyle w:val="null3"/>
        <w:jc w:val="both"/>
      </w:pPr>
      <w:r>
        <w:rPr>
          <w:sz w:val="21"/>
          <w:b/>
        </w:rPr>
        <w:t>甲方：</w:t>
      </w:r>
      <w:r>
        <w:rPr>
          <w:sz w:val="21"/>
          <w:u w:val="single"/>
        </w:rPr>
        <w:t xml:space="preserve">  </w:t>
      </w:r>
    </w:p>
    <w:p>
      <w:pPr>
        <w:pStyle w:val="null3"/>
        <w:jc w:val="both"/>
      </w:pPr>
      <w:r>
        <w:rPr>
          <w:sz w:val="27"/>
          <w:color w:val="222222"/>
        </w:rPr>
        <w:t>电话：</w:t>
      </w:r>
      <w:r>
        <w:rPr>
          <w:sz w:val="21"/>
          <w:u w:val="single"/>
        </w:rPr>
        <w:t xml:space="preserve">  </w:t>
      </w:r>
      <w:r>
        <w:rPr>
          <w:sz w:val="27"/>
          <w:color w:val="222222"/>
        </w:rPr>
        <w:t>传真</w:t>
      </w:r>
      <w:r>
        <w:rPr>
          <w:sz w:val="27"/>
          <w:color w:val="222222"/>
        </w:rPr>
        <w:t>：</w:t>
      </w:r>
      <w:r>
        <w:rPr>
          <w:sz w:val="21"/>
          <w:u w:val="single"/>
        </w:rPr>
        <w:t xml:space="preserve">  </w:t>
      </w:r>
      <w:r>
        <w:rPr>
          <w:sz w:val="27"/>
          <w:color w:val="222222"/>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7"/>
          <w:color w:val="222222"/>
        </w:rPr>
        <w:t>电话：</w:t>
      </w:r>
      <w:r>
        <w:rPr>
          <w:sz w:val="21"/>
          <w:u w:val="single"/>
        </w:rPr>
        <w:t xml:space="preserve">   </w:t>
      </w:r>
      <w:r>
        <w:rPr>
          <w:sz w:val="27"/>
          <w:color w:val="222222"/>
        </w:rPr>
        <w:t>传真：</w:t>
      </w:r>
      <w:r>
        <w:rPr>
          <w:sz w:val="21"/>
          <w:u w:val="single"/>
        </w:rPr>
        <w:t xml:space="preserve">   </w:t>
      </w:r>
      <w:r>
        <w:rPr>
          <w:sz w:val="27"/>
          <w:color w:val="222222"/>
        </w:rPr>
        <w:t>地址：</w:t>
      </w:r>
      <w:r>
        <w:rPr>
          <w:sz w:val="21"/>
          <w:u w:val="single"/>
        </w:rPr>
        <w:t xml:space="preserve">   </w:t>
      </w:r>
    </w:p>
    <w:p>
      <w:pPr>
        <w:pStyle w:val="null3"/>
        <w:jc w:val="both"/>
      </w:pPr>
      <w:r>
        <w:rPr>
          <w:sz w:val="21"/>
        </w:rPr>
        <w:t xml:space="preserve"> </w:t>
      </w:r>
    </w:p>
    <w:p>
      <w:pPr>
        <w:pStyle w:val="null3"/>
        <w:jc w:val="both"/>
      </w:pPr>
      <w:r>
        <w:rPr>
          <w:sz w:val="27"/>
          <w:color w:val="222222"/>
        </w:rPr>
        <w:t xml:space="preserve">  </w:t>
      </w:r>
      <w:r>
        <w:rPr>
          <w:sz w:val="27"/>
          <w:color w:val="222222"/>
        </w:rPr>
        <w:t>根据</w:t>
      </w:r>
      <w:r>
        <w:rPr>
          <w:sz w:val="21"/>
          <w:u w:val="single"/>
        </w:rPr>
        <w:t xml:space="preserve">         </w:t>
      </w:r>
      <w:r>
        <w:rPr>
          <w:sz w:val="21"/>
          <w:u w:val="single"/>
        </w:rPr>
        <w:t>项目</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》的规定，经双方协商，本着平等互利和诚实信用的原则，一致同意遵守本合同如下。</w:t>
      </w:r>
    </w:p>
    <w:p>
      <w:pPr>
        <w:pStyle w:val="null3"/>
        <w:jc w:val="both"/>
      </w:pPr>
      <w:r>
        <w:rPr>
          <w:sz w:val="21"/>
          <w:b/>
        </w:rPr>
        <w:t>一、合同金额</w:t>
      </w:r>
    </w:p>
    <w:p>
      <w:pPr>
        <w:pStyle w:val="null3"/>
        <w:jc w:val="both"/>
      </w:pPr>
      <w:r>
        <w:rPr>
          <w:sz w:val="27"/>
          <w:color w:val="222222"/>
        </w:rPr>
        <w:t>　　合同金额为（大写）：</w:t>
      </w:r>
      <w:r>
        <w:rPr>
          <w:sz w:val="27"/>
          <w:color w:val="222222"/>
        </w:rPr>
        <w:t>_____________</w:t>
      </w:r>
      <w:r>
        <w:rPr>
          <w:sz w:val="27"/>
          <w:color w:val="222222"/>
        </w:rPr>
        <w:t>元（￥</w:t>
      </w:r>
      <w:r>
        <w:rPr>
          <w:sz w:val="27"/>
          <w:color w:val="222222"/>
        </w:rPr>
        <w:t>_________</w:t>
      </w:r>
      <w:r>
        <w:rPr>
          <w:sz w:val="27"/>
          <w:color w:val="222222"/>
        </w:rPr>
        <w:t>元）人民币。</w:t>
      </w:r>
    </w:p>
    <w:p>
      <w:pPr>
        <w:pStyle w:val="null3"/>
        <w:jc w:val="both"/>
      </w:pPr>
      <w:r>
        <w:rPr>
          <w:sz w:val="21"/>
          <w:b/>
        </w:rPr>
        <w:t>二、服务范围</w:t>
      </w:r>
    </w:p>
    <w:p>
      <w:pPr>
        <w:pStyle w:val="null3"/>
        <w:jc w:val="both"/>
      </w:pPr>
      <w:r>
        <w:rPr>
          <w:sz w:val="27"/>
          <w:color w:val="222222"/>
        </w:rPr>
        <w:t>　　甲方聘请乙方提供以下服务：</w:t>
      </w:r>
    </w:p>
    <w:p>
      <w:pPr>
        <w:pStyle w:val="null3"/>
        <w:jc w:val="both"/>
      </w:pPr>
      <w:r>
        <w:rPr>
          <w:sz w:val="27"/>
          <w:color w:val="222222"/>
        </w:rPr>
        <w:t xml:space="preserve"> 1</w:t>
      </w:r>
      <w:r>
        <w:rPr>
          <w:sz w:val="27"/>
          <w:color w:val="222222"/>
        </w:rPr>
        <w:t>．</w:t>
      </w:r>
    </w:p>
    <w:p>
      <w:pPr>
        <w:pStyle w:val="null3"/>
        <w:jc w:val="both"/>
      </w:pPr>
      <w:r>
        <w:rPr>
          <w:sz w:val="27"/>
          <w:color w:val="222222"/>
        </w:rPr>
        <w:t xml:space="preserve"> 2</w:t>
      </w:r>
      <w:r>
        <w:rPr>
          <w:sz w:val="27"/>
          <w:color w:val="222222"/>
        </w:rPr>
        <w:t>．</w:t>
      </w:r>
    </w:p>
    <w:p>
      <w:pPr>
        <w:pStyle w:val="null3"/>
        <w:jc w:val="both"/>
      </w:pPr>
      <w:r>
        <w:rPr>
          <w:sz w:val="27"/>
          <w:color w:val="222222"/>
        </w:rPr>
        <w:t>……</w:t>
      </w:r>
    </w:p>
    <w:p>
      <w:pPr>
        <w:pStyle w:val="null3"/>
        <w:jc w:val="both"/>
      </w:pPr>
      <w:r>
        <w:rPr>
          <w:sz w:val="21"/>
          <w:b/>
        </w:rPr>
        <w:t>三、甲方乙方的权利和义务</w:t>
      </w:r>
    </w:p>
    <w:p>
      <w:pPr>
        <w:pStyle w:val="null3"/>
        <w:jc w:val="both"/>
      </w:pPr>
      <w:r>
        <w:rPr>
          <w:sz w:val="27"/>
          <w:color w:val="222222"/>
        </w:rPr>
        <w:t xml:space="preserve"> 1.</w:t>
      </w:r>
      <w:r>
        <w:rPr>
          <w:sz w:val="27"/>
          <w:color w:val="222222"/>
        </w:rPr>
        <w:t>甲方的权利和义务</w:t>
      </w:r>
    </w:p>
    <w:p>
      <w:pPr>
        <w:pStyle w:val="null3"/>
        <w:jc w:val="both"/>
      </w:pPr>
      <w:r>
        <w:rPr>
          <w:sz w:val="27"/>
          <w:color w:val="222222"/>
        </w:rPr>
        <w:t xml:space="preserve"> 2.</w:t>
      </w:r>
      <w:r>
        <w:rPr>
          <w:sz w:val="27"/>
          <w:color w:val="222222"/>
        </w:rPr>
        <w:t>乙方的权利和义务</w:t>
      </w:r>
    </w:p>
    <w:p>
      <w:pPr>
        <w:pStyle w:val="null3"/>
        <w:jc w:val="both"/>
      </w:pPr>
      <w:r>
        <w:rPr>
          <w:sz w:val="21"/>
          <w:b/>
        </w:rPr>
        <w:t>四、服务期间（项目完成期限）</w:t>
      </w:r>
    </w:p>
    <w:p>
      <w:pPr>
        <w:pStyle w:val="null3"/>
        <w:jc w:val="both"/>
      </w:pPr>
      <w:r>
        <w:rPr>
          <w:sz w:val="27"/>
          <w:color w:val="222222"/>
        </w:rPr>
        <w:t xml:space="preserve"> 1.</w:t>
      </w:r>
      <w:r>
        <w:rPr>
          <w:sz w:val="27"/>
          <w:color w:val="222222"/>
        </w:rPr>
        <w:t>委托服务期间自</w:t>
      </w:r>
      <w:r>
        <w:rPr>
          <w:sz w:val="27"/>
          <w:color w:val="222222"/>
        </w:rPr>
        <w:t>______</w:t>
      </w:r>
      <w:r>
        <w:rPr>
          <w:sz w:val="27"/>
          <w:color w:val="222222"/>
        </w:rPr>
        <w:t>年</w:t>
      </w:r>
      <w:r>
        <w:rPr>
          <w:sz w:val="27"/>
          <w:color w:val="222222"/>
        </w:rPr>
        <w:t>______</w:t>
      </w:r>
      <w:r>
        <w:rPr>
          <w:sz w:val="27"/>
          <w:color w:val="222222"/>
        </w:rPr>
        <w:t>月至</w:t>
      </w:r>
      <w:r>
        <w:rPr>
          <w:sz w:val="27"/>
          <w:color w:val="222222"/>
        </w:rPr>
        <w:t>______</w:t>
      </w:r>
      <w:r>
        <w:rPr>
          <w:sz w:val="27"/>
          <w:color w:val="222222"/>
        </w:rPr>
        <w:t>年</w:t>
      </w:r>
      <w:r>
        <w:rPr>
          <w:sz w:val="27"/>
          <w:color w:val="222222"/>
        </w:rPr>
        <w:t>______</w:t>
      </w:r>
      <w:r>
        <w:rPr>
          <w:sz w:val="27"/>
          <w:color w:val="222222"/>
        </w:rPr>
        <w:t>月止。</w:t>
      </w:r>
    </w:p>
    <w:p>
      <w:pPr>
        <w:pStyle w:val="null3"/>
        <w:jc w:val="both"/>
      </w:pPr>
      <w:r>
        <w:rPr>
          <w:sz w:val="21"/>
          <w:b/>
        </w:rPr>
        <w:t>五、付款方式</w:t>
      </w:r>
    </w:p>
    <w:p>
      <w:pPr>
        <w:pStyle w:val="null3"/>
        <w:jc w:val="both"/>
      </w:pPr>
      <w:r>
        <w:rPr>
          <w:sz w:val="24"/>
        </w:rPr>
        <w:t>在每次服务结束</w:t>
      </w:r>
      <w:r>
        <w:rPr>
          <w:sz w:val="24"/>
        </w:rPr>
        <w:t>,</w:t>
      </w:r>
      <w:r>
        <w:rPr>
          <w:sz w:val="24"/>
        </w:rPr>
        <w:t>经区爱卫办、街道办或第三方验收合格后采购人支付本次服务费</w:t>
      </w:r>
      <w:r>
        <w:rPr>
          <w:sz w:val="24"/>
        </w:rPr>
        <w:t>,</w:t>
      </w:r>
      <w:r>
        <w:rPr>
          <w:sz w:val="24"/>
        </w:rPr>
        <w:t>支付服务费</w:t>
      </w:r>
      <w:r>
        <w:rPr>
          <w:sz w:val="24"/>
        </w:rPr>
        <w:t>=</w:t>
      </w:r>
      <w:r>
        <w:rPr>
          <w:sz w:val="24"/>
        </w:rPr>
        <w:t>应付服务费</w:t>
      </w:r>
      <w:r>
        <w:rPr>
          <w:sz w:val="24"/>
        </w:rPr>
        <w:t>-</w:t>
      </w:r>
      <w:r>
        <w:rPr>
          <w:sz w:val="24"/>
        </w:rPr>
        <w:t>扣减款。消杀服务（病媒生物防制服务）费按月支付，每月</w:t>
      </w:r>
      <w:r>
        <w:rPr>
          <w:sz w:val="24"/>
        </w:rPr>
        <w:t>15</w:t>
      </w:r>
      <w:r>
        <w:rPr>
          <w:sz w:val="24"/>
        </w:rPr>
        <w:t>号前为上月消杀服务费结算日，凭成交供应商完税发票通过银行转帐支付（如遇节假日顺延）。</w:t>
      </w:r>
    </w:p>
    <w:p>
      <w:pPr>
        <w:pStyle w:val="null3"/>
        <w:jc w:val="both"/>
      </w:pPr>
      <w:r>
        <w:rPr>
          <w:sz w:val="24"/>
        </w:rPr>
        <w:t>因采购人使用的是财政资金</w:t>
      </w:r>
      <w:r>
        <w:rPr>
          <w:sz w:val="24"/>
        </w:rPr>
        <w:t>,</w:t>
      </w:r>
      <w:r>
        <w:rPr>
          <w:sz w:val="24"/>
        </w:rPr>
        <w:t>采购人在前款规定的付款时间为向政府采购支付部门提出办理财政支付申请手续的时间</w:t>
      </w:r>
      <w:r>
        <w:rPr>
          <w:sz w:val="24"/>
        </w:rPr>
        <w:t>(</w:t>
      </w:r>
      <w:r>
        <w:rPr>
          <w:sz w:val="24"/>
        </w:rPr>
        <w:t>不含政府财政支付部门审核的时间</w:t>
      </w:r>
      <w:r>
        <w:rPr>
          <w:sz w:val="24"/>
        </w:rPr>
        <w:t>),</w:t>
      </w:r>
      <w:r>
        <w:rPr>
          <w:sz w:val="24"/>
        </w:rPr>
        <w:t>在规定时间内提出支付申请手续后即视为采购人已经按期支付。</w:t>
      </w:r>
    </w:p>
    <w:p>
      <w:pPr>
        <w:pStyle w:val="null3"/>
        <w:jc w:val="both"/>
      </w:pPr>
      <w:r>
        <w:rPr>
          <w:sz w:val="21"/>
          <w:b/>
        </w:rPr>
        <w:t>六、知识产权归属</w:t>
      </w:r>
    </w:p>
    <w:p>
      <w:pPr>
        <w:pStyle w:val="null3"/>
        <w:jc w:val="both"/>
      </w:pPr>
      <w:r>
        <w:rPr>
          <w:sz w:val="21"/>
          <w:b/>
        </w:rPr>
        <w:t>七、保密</w:t>
      </w:r>
    </w:p>
    <w:p>
      <w:pPr>
        <w:pStyle w:val="null3"/>
        <w:jc w:val="both"/>
      </w:pPr>
      <w:r>
        <w:rPr>
          <w:sz w:val="21"/>
          <w:b/>
        </w:rPr>
        <w:t>八、违约责任与赔偿损失</w:t>
      </w:r>
    </w:p>
    <w:p>
      <w:pPr>
        <w:pStyle w:val="null3"/>
        <w:jc w:val="both"/>
      </w:pPr>
      <w:r>
        <w:rPr>
          <w:sz w:val="27"/>
          <w:color w:val="222222"/>
        </w:rPr>
        <w:t xml:space="preserve"> 1.</w:t>
      </w:r>
      <w:r>
        <w:rPr>
          <w:sz w:val="27"/>
          <w:color w:val="222222"/>
        </w:rPr>
        <w:t>乙方提供的服务不符合本合同规定的，甲方有权拒收，并且乙方须向甲方方支付本合同总价</w:t>
      </w:r>
      <w:r>
        <w:rPr>
          <w:sz w:val="27"/>
          <w:color w:val="222222"/>
        </w:rPr>
        <w:t>5%</w:t>
      </w:r>
      <w:r>
        <w:rPr>
          <w:sz w:val="27"/>
          <w:color w:val="222222"/>
        </w:rPr>
        <w:t>的违约金。</w:t>
      </w:r>
    </w:p>
    <w:p>
      <w:pPr>
        <w:pStyle w:val="null3"/>
        <w:jc w:val="both"/>
      </w:pPr>
      <w:r>
        <w:rPr>
          <w:sz w:val="27"/>
          <w:color w:val="222222"/>
        </w:rPr>
        <w:t xml:space="preserve"> 2.</w:t>
      </w:r>
      <w:r>
        <w:rPr>
          <w:sz w:val="27"/>
          <w:color w:val="222222"/>
        </w:rPr>
        <w:t>乙方未能按本合同规定的交货时间提供服务，从逾期之日起每日按本合同总价</w:t>
      </w:r>
      <w:r>
        <w:rPr>
          <w:sz w:val="27"/>
          <w:color w:val="222222"/>
        </w:rPr>
        <w:t>3‰</w:t>
      </w:r>
      <w:r>
        <w:rPr>
          <w:sz w:val="27"/>
          <w:color w:val="222222"/>
        </w:rPr>
        <w:t>的数额向甲方支付违约金；逾期半个月以上的，甲方有权终止合同，由此造成的甲方经济损失由乙方承担。</w:t>
      </w:r>
    </w:p>
    <w:p>
      <w:pPr>
        <w:pStyle w:val="null3"/>
        <w:jc w:val="both"/>
      </w:pPr>
      <w:r>
        <w:rPr>
          <w:sz w:val="27"/>
          <w:color w:val="222222"/>
        </w:rPr>
        <w:t xml:space="preserve"> 3.</w:t>
      </w:r>
      <w:r>
        <w:rPr>
          <w:sz w:val="27"/>
          <w:color w:val="222222"/>
        </w:rPr>
        <w:t>甲方无正当理由拒收接受服务，到期拒付服务款项的，甲方向乙方偿付本合同总的</w:t>
      </w:r>
      <w:r>
        <w:rPr>
          <w:sz w:val="27"/>
          <w:color w:val="222222"/>
        </w:rPr>
        <w:t>5%</w:t>
      </w:r>
      <w:r>
        <w:rPr>
          <w:sz w:val="27"/>
          <w:color w:val="222222"/>
        </w:rPr>
        <w:t>的违约金。甲方人逾期付款，则每日按本合同总价的</w:t>
      </w:r>
      <w:r>
        <w:rPr>
          <w:sz w:val="27"/>
          <w:color w:val="222222"/>
        </w:rPr>
        <w:t>3‰</w:t>
      </w:r>
      <w:r>
        <w:rPr>
          <w:sz w:val="27"/>
          <w:color w:val="222222"/>
        </w:rPr>
        <w:t>向乙方偿付违约金。</w:t>
      </w:r>
    </w:p>
    <w:p>
      <w:pPr>
        <w:pStyle w:val="null3"/>
        <w:jc w:val="both"/>
      </w:pPr>
      <w:r>
        <w:rPr>
          <w:sz w:val="27"/>
          <w:color w:val="222222"/>
        </w:rPr>
        <w:t xml:space="preserve"> 4.</w:t>
      </w:r>
      <w:r>
        <w:rPr>
          <w:sz w:val="27"/>
          <w:color w:val="222222"/>
        </w:rPr>
        <w:t>对于因甲方原因导致变更、中止或者终止政府采购合同的，甲方应当依照以下合同约定对供应商受到的损失予以赔偿或者补偿：</w:t>
      </w:r>
      <w:r>
        <w:rPr>
          <w:sz w:val="21"/>
          <w:u w:val="single"/>
        </w:rPr>
        <w:t xml:space="preserve">              </w:t>
      </w:r>
    </w:p>
    <w:p>
      <w:pPr>
        <w:pStyle w:val="null3"/>
        <w:jc w:val="both"/>
      </w:pPr>
      <w:r>
        <w:rPr>
          <w:sz w:val="27"/>
          <w:color w:val="222222"/>
        </w:rPr>
        <w:t xml:space="preserve"> 5.</w:t>
      </w: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》处理。</w:t>
      </w:r>
    </w:p>
    <w:p>
      <w:pPr>
        <w:pStyle w:val="null3"/>
        <w:jc w:val="both"/>
      </w:pPr>
      <w:r>
        <w:rPr>
          <w:sz w:val="21"/>
          <w:b/>
        </w:rPr>
        <w:t>九、争议的解决</w:t>
      </w:r>
    </w:p>
    <w:p>
      <w:pPr>
        <w:pStyle w:val="null3"/>
        <w:ind w:firstLine="400"/>
        <w:jc w:val="both"/>
      </w:pPr>
      <w:r>
        <w:rPr>
          <w:sz w:val="27"/>
          <w:color w:val="222222"/>
        </w:rPr>
        <w:t>合同执行过程中发生的任何争议，如双方不能通过友好协商解决，按相关法律法规处理。</w:t>
      </w:r>
      <w:r>
        <w:rPr>
          <w:sz w:val="27"/>
          <w:color w:val="222222"/>
        </w:rPr>
        <w:t xml:space="preserve">     </w:t>
      </w:r>
    </w:p>
    <w:p>
      <w:pPr>
        <w:pStyle w:val="null3"/>
        <w:jc w:val="both"/>
      </w:pPr>
      <w:r>
        <w:rPr>
          <w:sz w:val="21"/>
          <w:b/>
        </w:rPr>
        <w:t>十、不可抗力</w:t>
      </w:r>
    </w:p>
    <w:p>
      <w:pPr>
        <w:pStyle w:val="null3"/>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jc w:val="both"/>
      </w:pPr>
      <w:r>
        <w:rPr>
          <w:sz w:val="27"/>
          <w:color w:val="222222"/>
        </w:rPr>
        <w:t>　　在中国境内、外发生的与本合同执行有关的一切税费均由乙方负担。</w:t>
      </w:r>
    </w:p>
    <w:p>
      <w:pPr>
        <w:pStyle w:val="null3"/>
        <w:jc w:val="both"/>
      </w:pPr>
      <w:r>
        <w:rPr>
          <w:sz w:val="21"/>
          <w:b/>
        </w:rPr>
        <w:t>十二、其它</w:t>
      </w:r>
    </w:p>
    <w:p>
      <w:pPr>
        <w:pStyle w:val="null3"/>
        <w:jc w:val="both"/>
      </w:pPr>
      <w:r>
        <w:rPr>
          <w:sz w:val="27"/>
          <w:color w:val="222222"/>
        </w:rPr>
        <w:t xml:space="preserve"> 1.</w:t>
      </w:r>
      <w:r>
        <w:rPr>
          <w:sz w:val="27"/>
          <w:color w:val="222222"/>
        </w:rPr>
        <w:t>本合同所有附件、招标文件、投标文件、中标通知书均为合同的有效组成部分，与本合同具有同等法律效力。</w:t>
      </w:r>
    </w:p>
    <w:p>
      <w:pPr>
        <w:pStyle w:val="null3"/>
        <w:jc w:val="both"/>
      </w:pPr>
      <w:r>
        <w:rPr>
          <w:sz w:val="27"/>
          <w:color w:val="222222"/>
        </w:rPr>
        <w:t xml:space="preserve"> 2.</w:t>
      </w:r>
      <w:r>
        <w:rPr>
          <w:sz w:val="27"/>
          <w:color w:val="222222"/>
        </w:rPr>
        <w:t>在执行本合同的过程中，所有经双方签署确认的文件（包括会议纪要、补充协议、往来信函）即成为本合同的有效组成部分。</w:t>
      </w:r>
    </w:p>
    <w:p>
      <w:pPr>
        <w:pStyle w:val="null3"/>
        <w:jc w:val="both"/>
      </w:pPr>
      <w:r>
        <w:rPr>
          <w:sz w:val="27"/>
          <w:color w:val="222222"/>
        </w:rPr>
        <w:t xml:space="preserve"> 3.</w:t>
      </w:r>
      <w:r>
        <w:rPr>
          <w:sz w:val="27"/>
          <w:color w:val="222222"/>
        </w:rPr>
        <w:t>如一方地址、电话、传真号码有变更，应在变更当日内书面通知对方，否则，应承担相应责任。</w:t>
      </w:r>
    </w:p>
    <w:p>
      <w:pPr>
        <w:pStyle w:val="null3"/>
        <w:jc w:val="both"/>
      </w:pPr>
      <w:r>
        <w:rPr>
          <w:sz w:val="27"/>
          <w:color w:val="222222"/>
        </w:rPr>
        <w:t xml:space="preserve"> 4.</w:t>
      </w:r>
      <w:r>
        <w:rPr>
          <w:sz w:val="27"/>
          <w:color w:val="222222"/>
        </w:rPr>
        <w:t>除甲方事先书面同意外，乙方不得部分或全部转让其应履行的合同项下的义务。</w:t>
      </w:r>
    </w:p>
    <w:p>
      <w:pPr>
        <w:pStyle w:val="null3"/>
        <w:jc w:val="both"/>
      </w:pPr>
      <w:r>
        <w:rPr>
          <w:sz w:val="21"/>
          <w:b/>
        </w:rPr>
        <w:t>十三、合同生效</w:t>
      </w:r>
    </w:p>
    <w:p>
      <w:pPr>
        <w:pStyle w:val="null3"/>
        <w:jc w:val="both"/>
      </w:pPr>
      <w:r>
        <w:rPr>
          <w:sz w:val="27"/>
          <w:color w:val="222222"/>
        </w:rPr>
        <w:t xml:space="preserve"> 1.</w:t>
      </w:r>
      <w:r>
        <w:rPr>
          <w:sz w:val="27"/>
          <w:color w:val="222222"/>
        </w:rPr>
        <w:t>本合同在甲乙双方法人代表或其授权代表签字盖章后生效。</w:t>
      </w:r>
    </w:p>
    <w:p>
      <w:pPr>
        <w:pStyle w:val="null3"/>
        <w:jc w:val="both"/>
      </w:pPr>
      <w:r>
        <w:rPr>
          <w:sz w:val="27"/>
          <w:color w:val="222222"/>
        </w:rPr>
        <w:t xml:space="preserve"> 2.</w:t>
      </w:r>
      <w:r>
        <w:rPr>
          <w:sz w:val="27"/>
          <w:color w:val="222222"/>
        </w:rPr>
        <w:t>合同一式</w:t>
      </w:r>
      <w:r>
        <w:rPr>
          <w:sz w:val="21"/>
          <w:u w:val="single"/>
        </w:rPr>
        <w:t xml:space="preserve">   </w:t>
      </w:r>
      <w:r>
        <w:rPr>
          <w:sz w:val="27"/>
          <w:color w:val="222222"/>
        </w:rPr>
        <w:t xml:space="preserve"> </w:t>
      </w:r>
      <w:r>
        <w:rPr>
          <w:sz w:val="27"/>
          <w:color w:val="222222"/>
        </w:rPr>
        <w:t>份。</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441340-2024-00335</w:t>
      </w:r>
    </w:p>
    <w:p>
      <w:pPr>
        <w:pStyle w:val="null3"/>
        <w:jc w:val="center"/>
        <w:outlineLvl w:val="3"/>
      </w:pPr>
      <w:r>
        <w:rPr>
          <w:sz w:val="24"/>
          <w:b/>
        </w:rPr>
        <w:t>采购项目编号：</w:t>
      </w:r>
      <w:r>
        <w:rPr>
          <w:sz w:val="24"/>
          <w:b/>
        </w:rPr>
        <w:t>SZXY-2024B0037686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深圳轩辕氏工程咨询有限公司</w:t>
      </w:r>
    </w:p>
    <w:p>
      <w:pPr>
        <w:pStyle w:val="null3"/>
        <w:ind w:firstLine="480"/>
      </w:pPr>
      <w:r>
        <w:rPr/>
        <w:t xml:space="preserve"> 你方组织的</w:t>
      </w:r>
      <w:r>
        <w:rPr>
          <w:u w:val="single"/>
        </w:rPr>
        <w:t>“</w:t>
      </w:r>
      <w:r>
        <w:rPr>
          <w:u w:val="single"/>
        </w:rPr>
        <w:t>西区街道消杀服务采购项目</w:t>
      </w:r>
      <w:r>
        <w:rPr>
          <w:u w:val="single"/>
        </w:rPr>
        <w:t>”</w:t>
      </w:r>
      <w:r>
        <w:rPr/>
        <w:t>项目的竞争性磋商[采购项目编号为：</w:t>
      </w:r>
      <w:r>
        <w:rPr>
          <w:u w:val="single"/>
        </w:rPr>
        <w:t>SZXY-2024B0037686</w:t>
      </w:r>
      <w:r>
        <w:rPr/>
        <w:t>]，我方愿参与响应。</w:t>
      </w:r>
    </w:p>
    <w:p>
      <w:pPr>
        <w:pStyle w:val="null3"/>
        <w:ind w:firstLine="480"/>
      </w:pPr>
      <w:r>
        <w:rPr/>
        <w:t>我方确认收到贵方提供的</w:t>
      </w:r>
      <w:r>
        <w:rPr>
          <w:u w:val="single"/>
        </w:rPr>
        <w:t>“</w:t>
      </w:r>
      <w:r>
        <w:rPr>
          <w:u w:val="single"/>
        </w:rPr>
        <w:t>西区街道消杀服务采购项目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深圳轩辕氏工程咨询有限公司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西区街道消杀服务采购项目</w:t>
      </w:r>
      <w:r>
        <w:rPr/>
        <w:t>”项目采购[采购项目编号为</w:t>
      </w:r>
      <w:r>
        <w:rPr/>
        <w:t>SZXY-2024B0037686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惠州大亚湾经济技术开发区西区街道办事处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深圳轩辕氏工程咨询有限公司</w:t>
      </w:r>
    </w:p>
    <w:p>
      <w:pPr>
        <w:pStyle w:val="null3"/>
        <w:ind w:firstLine="480"/>
      </w:pPr>
      <w:r>
        <w:rPr/>
        <w:t>我单位参加贵公司组织的</w:t>
      </w:r>
      <w:r>
        <w:rPr/>
        <w:t>西区街道消杀服务采购项目</w:t>
      </w:r>
      <w:r>
        <w:rPr/>
        <w:t>（采购项目编号：</w:t>
      </w:r>
      <w:r>
        <w:rPr/>
        <w:t>SZXY-2024B0037686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深圳轩辕氏工程咨询有限公司</w:t>
      </w:r>
    </w:p>
    <w:p>
      <w:pPr>
        <w:pStyle w:val="null3"/>
        <w:ind w:firstLine="480"/>
      </w:pPr>
      <w:r>
        <w:rPr/>
        <w:t>我单位已登记并准备参与“</w:t>
      </w:r>
      <w:r>
        <w:rPr/>
        <w:t>西区街道消杀服务采购项目</w:t>
      </w:r>
      <w:r>
        <w:rPr/>
        <w:t>”项目（采购项目编号：</w:t>
      </w:r>
      <w:r>
        <w:rPr/>
        <w:t>SZXY-2024B0037686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