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440115-2024-01661</w:t>
      </w:r>
    </w:p>
    <w:p>
      <w:pPr>
        <w:pStyle w:val="null3"/>
        <w:jc w:val="center"/>
        <w:outlineLvl w:val="3"/>
      </w:pPr>
      <w:r>
        <w:rPr>
          <w:b/>
          <w:sz w:val="24"/>
        </w:rPr>
        <w:t>采购项目编号：</w:t>
      </w:r>
      <w:r>
        <w:rPr>
          <w:b/>
          <w:sz w:val="24"/>
        </w:rPr>
        <w:t>GDHY24ZC0301</w:t>
      </w:r>
    </w:p>
    <w:p>
      <w:pPr>
        <w:pStyle w:val="null3"/>
        <w:jc w:val="center"/>
        <w:outlineLvl w:val="3"/>
      </w:pPr>
      <w:r>
        <w:rPr>
          <w:b/>
          <w:sz w:val="24"/>
        </w:rPr>
        <w:t>项目名称：</w:t>
      </w:r>
      <w:r>
        <w:rPr>
          <w:b/>
          <w:sz w:val="24"/>
        </w:rPr>
        <w:t>南沙区横沥镇采购病媒生物防制服务项目</w:t>
      </w:r>
    </w:p>
    <w:p>
      <w:pPr>
        <w:pStyle w:val="null3"/>
        <w:jc w:val="center"/>
        <w:outlineLvl w:val="3"/>
      </w:pPr>
      <w:r>
        <w:rPr>
          <w:b/>
          <w:sz w:val="24"/>
        </w:rPr>
        <w:t>采购人：</w:t>
      </w:r>
      <w:r>
        <w:rPr>
          <w:b/>
          <w:sz w:val="24"/>
        </w:rPr>
        <w:t>广州市南沙区横沥镇人民政府</w:t>
      </w:r>
    </w:p>
    <w:p>
      <w:pPr>
        <w:pStyle w:val="null3"/>
        <w:jc w:val="center"/>
        <w:outlineLvl w:val="3"/>
      </w:pPr>
      <w:r>
        <w:rPr>
          <w:b/>
          <w:sz w:val="24"/>
        </w:rPr>
        <w:t>采购代理机构：</w:t>
      </w:r>
      <w:r>
        <w:rPr>
          <w:b/>
          <w:sz w:val="24"/>
        </w:rPr>
        <w:t>广东华阳项目管理有限公司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广东华阳项目管理有限公司</w:t>
      </w:r>
      <w:r>
        <w:rPr/>
        <w:t>受</w:t>
      </w:r>
      <w:r>
        <w:rPr/>
        <w:t>广州市南沙区横沥镇人民政府</w:t>
      </w:r>
      <w:r>
        <w:rPr/>
        <w:t>的委托，采用</w:t>
      </w:r>
      <w:r>
        <w:rPr/>
        <w:t>竞争性磋商</w:t>
      </w:r>
      <w:r>
        <w:rPr/>
        <w:t>方式组织采购</w:t>
      </w:r>
      <w:r>
        <w:rPr/>
        <w:t>南沙区横沥镇采购病媒生物防制服务项目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南沙区横沥镇采购病媒生物防制服务项目</w:t>
      </w:r>
    </w:p>
    <w:p>
      <w:pPr>
        <w:pStyle w:val="null3"/>
        <w:ind w:firstLine="480"/>
      </w:pPr>
      <w:r>
        <w:rPr/>
        <w:t>采购计划编号：</w:t>
      </w:r>
      <w:r>
        <w:rPr/>
        <w:t>440115-2024-01661</w:t>
      </w:r>
    </w:p>
    <w:p>
      <w:pPr>
        <w:pStyle w:val="null3"/>
        <w:ind w:firstLine="480"/>
      </w:pPr>
      <w:r>
        <w:rPr/>
        <w:t>采购项目编号：</w:t>
      </w:r>
      <w:r>
        <w:rPr/>
        <w:t>GDHY24ZC0301</w:t>
      </w:r>
    </w:p>
    <w:p>
      <w:pPr>
        <w:pStyle w:val="null3"/>
        <w:ind w:firstLine="480"/>
      </w:pPr>
      <w:r>
        <w:rPr/>
        <w:t>采购方式：</w:t>
      </w:r>
      <w:r>
        <w:rPr/>
        <w:t>竞争性磋商</w:t>
      </w:r>
    </w:p>
    <w:p>
      <w:pPr>
        <w:pStyle w:val="null3"/>
        <w:ind w:firstLine="480"/>
      </w:pPr>
      <w:r>
        <w:rPr/>
        <w:t>预算金额：</w:t>
      </w:r>
      <w:r>
        <w:rPr/>
        <w:t>1,460,000.00</w:t>
      </w:r>
      <w:r>
        <w:rPr/>
        <w:t>元</w:t>
      </w:r>
    </w:p>
    <w:p>
      <w:pPr>
        <w:pStyle w:val="null3"/>
        <w:outlineLvl w:val="3"/>
      </w:pPr>
      <w:r>
        <w:rPr>
          <w:b/>
          <w:sz w:val="24"/>
        </w:rPr>
        <w:t>2.项目内容及需求情况（采购项目技术规格、参数及要求）</w:t>
      </w:r>
    </w:p>
    <w:p>
      <w:pPr>
        <w:pStyle w:val="null3"/>
      </w:pPr>
    </w:p>
    <w:p>
      <w:pPr>
        <w:pStyle w:val="null3"/>
      </w:pPr>
      <w:r>
        <w:rPr/>
        <w:t>采购包1(南沙区横沥镇采购病媒生物防制服务项目):</w:t>
      </w:r>
    </w:p>
    <w:p>
      <w:pPr>
        <w:pStyle w:val="null3"/>
      </w:pPr>
      <w:r>
        <w:rPr/>
        <w:t>采购包预算金额：1,460,000.00元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南沙区横沥镇采购病媒生物防制服务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合同履行期限：服务期限2年。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提供在中华人民共和国境内注册的法人或其他组织的营业执照或事业单位法人证书或社会团体法人登记证书复印件，如响应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p>
    <w:p>
      <w:pPr>
        <w:pStyle w:val="null3"/>
      </w:pPr>
      <w:r>
        <w:rPr/>
        <w:t>2）有依法缴纳税收和社会保障资金的良好记录：提供《供应商资格声明函》或承诺书（格式自拟）。</w:t>
      </w:r>
    </w:p>
    <w:p>
      <w:pPr>
        <w:pStyle w:val="null3"/>
      </w:pPr>
    </w:p>
    <w:p>
      <w:pPr>
        <w:pStyle w:val="null3"/>
      </w:pPr>
      <w:r>
        <w:rPr/>
        <w:t>3）具有良好的商业信誉和健全的财务会计制度：提供《供应商资格声明函》或承诺书（格式自拟）。</w:t>
      </w:r>
    </w:p>
    <w:p>
      <w:pPr>
        <w:pStyle w:val="null3"/>
      </w:pPr>
    </w:p>
    <w:p>
      <w:pPr>
        <w:pStyle w:val="null3"/>
      </w:pPr>
      <w:r>
        <w:rPr/>
        <w:t>4）履行合同所必需的设备和专业技术能力：提供《供应商资格声明函》或承诺书（格式自拟）。</w:t>
      </w:r>
    </w:p>
    <w:p>
      <w:pPr>
        <w:pStyle w:val="null3"/>
      </w:pPr>
    </w:p>
    <w:p>
      <w:pPr>
        <w:pStyle w:val="null3"/>
      </w:pPr>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采购包1（南沙区横沥镇采购病媒生物防制服务项目）：</w:t>
      </w:r>
      <w:r>
        <w:rPr/>
        <w:t>采购包整体专门面向小微企业，承接服务的企业须为小型或微型企业（监狱企业或残疾人福利性单位视同小微企业）。（由供应商提供《中小企业声明函》或《残疾人福利性单位声明函》或属于监狱企业的证明文件。）</w:t>
      </w:r>
    </w:p>
    <w:p>
      <w:pPr>
        <w:pStyle w:val="null3"/>
        <w:outlineLvl w:val="3"/>
      </w:pPr>
      <w:r>
        <w:rPr>
          <w:b/>
          <w:sz w:val="24"/>
        </w:rPr>
        <w:t>3.本项目特定的资格要求：</w:t>
      </w:r>
    </w:p>
    <w:p>
      <w:pPr>
        <w:pStyle w:val="null3"/>
      </w:pPr>
    </w:p>
    <w:p>
      <w:pPr>
        <w:pStyle w:val="null3"/>
      </w:pPr>
      <w:r>
        <w:rPr/>
        <w:t>采购包1（南沙区横沥镇采购病媒生物防制服务项目）：</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供应商必须符合法律、行政法规规定的其他条件：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格式内容。</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广东华阳项目管理有限公司网（https://www.guangdonghuayang.com/）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广州市南沙区横沥镇人民政府</w:t>
      </w:r>
    </w:p>
    <w:p>
      <w:pPr>
        <w:pStyle w:val="null3"/>
        <w:ind w:firstLine="480"/>
      </w:pPr>
      <w:r>
        <w:rPr/>
        <w:t>地址：</w:t>
      </w:r>
      <w:r>
        <w:rPr/>
        <w:t>广州市南沙区横沥镇兆丰路3号</w:t>
      </w:r>
    </w:p>
    <w:p>
      <w:pPr>
        <w:pStyle w:val="null3"/>
        <w:ind w:firstLine="480"/>
      </w:pPr>
      <w:r>
        <w:rPr/>
        <w:t>联系方式：</w:t>
      </w:r>
      <w:r>
        <w:rPr/>
        <w:t>020-84960792</w:t>
      </w:r>
    </w:p>
    <w:p>
      <w:pPr>
        <w:pStyle w:val="null3"/>
        <w:outlineLvl w:val="3"/>
      </w:pPr>
      <w:r>
        <w:rPr>
          <w:b/>
          <w:sz w:val="24"/>
        </w:rPr>
        <w:t>2.采购代理机构信息</w:t>
      </w:r>
    </w:p>
    <w:p>
      <w:pPr>
        <w:pStyle w:val="null3"/>
        <w:ind w:firstLine="480"/>
      </w:pPr>
      <w:r>
        <w:rPr/>
        <w:t>名称：</w:t>
      </w:r>
      <w:r>
        <w:rPr/>
        <w:t>广东华阳项目管理有限公司</w:t>
      </w:r>
    </w:p>
    <w:p>
      <w:pPr>
        <w:pStyle w:val="null3"/>
        <w:ind w:firstLine="480"/>
      </w:pPr>
      <w:r>
        <w:rPr/>
        <w:t>地址：</w:t>
      </w:r>
      <w:r>
        <w:rPr/>
        <w:t>广州市越秀区东风中路515号东照大厦2805室</w:t>
      </w:r>
    </w:p>
    <w:p>
      <w:pPr>
        <w:pStyle w:val="null3"/>
        <w:ind w:firstLine="480"/>
      </w:pPr>
      <w:r>
        <w:rPr/>
        <w:t>联系方式：</w:t>
      </w:r>
      <w:r>
        <w:rPr/>
        <w:t>020-83526833</w:t>
      </w:r>
    </w:p>
    <w:p>
      <w:pPr>
        <w:pStyle w:val="null3"/>
        <w:outlineLvl w:val="3"/>
      </w:pPr>
      <w:r>
        <w:rPr>
          <w:b/>
          <w:sz w:val="24"/>
        </w:rPr>
        <w:t>3.项目联系方式</w:t>
      </w:r>
    </w:p>
    <w:p>
      <w:pPr>
        <w:pStyle w:val="null3"/>
        <w:ind w:firstLine="480"/>
      </w:pPr>
      <w:r>
        <w:rPr/>
        <w:t>项目联系人：</w:t>
      </w:r>
      <w:r>
        <w:rPr/>
        <w:t>吴小姐</w:t>
      </w:r>
    </w:p>
    <w:p>
      <w:pPr>
        <w:pStyle w:val="null3"/>
        <w:ind w:firstLine="480"/>
      </w:pPr>
      <w:r>
        <w:rPr/>
        <w:t>电话：</w:t>
      </w:r>
      <w:r>
        <w:rPr/>
        <w:t>020-83526833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广东华阳项目管理有限公司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pPr>
      <w:r>
        <w:rPr/>
        <w:t xml:space="preserve"> </w:t>
      </w:r>
    </w:p>
    <w:p>
      <w:pPr>
        <w:pStyle w:val="null3"/>
        <w:ind w:firstLine="480"/>
        <w:jc w:val="both"/>
      </w:pPr>
    </w:p>
    <w:p>
      <w:pPr>
        <w:pStyle w:val="null3"/>
        <w:ind w:firstLine="480"/>
        <w:jc w:val="both"/>
      </w:pPr>
      <w:r>
        <w:rPr>
          <w:sz w:val="24"/>
        </w:rPr>
        <w:t>（一）供应商须对本项目服务进行整体响应，任何只对其中一部分内容进行的响应都被视为无效响应。</w:t>
      </w:r>
    </w:p>
    <w:p>
      <w:pPr>
        <w:pStyle w:val="null3"/>
        <w:ind w:firstLine="480"/>
        <w:jc w:val="both"/>
      </w:pPr>
      <w:r>
        <w:rPr>
          <w:sz w:val="24"/>
        </w:rPr>
        <w:t>（二）为进一步加强横沥镇病媒生物防制工作，建立病媒生物防制长效工作机制，确保病媒生物防制工作达到国家标准水平，切实巩固国家卫生镇成果，采购人拟通过竞争性磋商采购的方式确定一家供应商，为采购人提供横沥镇病媒生物防制服务。服务期限2年，每年采购预算730,000.00元，2年采购预算共1,460,000.00元。</w:t>
      </w:r>
    </w:p>
    <w:p>
      <w:pPr>
        <w:pStyle w:val="null3"/>
        <w:ind w:firstLine="480"/>
        <w:jc w:val="both"/>
      </w:pPr>
    </w:p>
    <w:p>
      <w:pPr>
        <w:pStyle w:val="null3"/>
      </w:pPr>
    </w:p>
    <w:p>
      <w:pPr>
        <w:pStyle w:val="null3"/>
      </w:pPr>
      <w:r>
        <w:rPr/>
        <w:t>采购包1（南沙区横沥镇采购病媒生物防制服务项目）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服务期限2年。</w:t>
            </w:r>
          </w:p>
        </w:tc>
      </w:tr>
      <w:tr>
        <w:tc>
          <w:tcPr>
            <w:tcW w:type="dxa" w:w="4153"/>
          </w:tcPr>
          <w:p>
            <w:pPr>
              <w:pStyle w:val="null3"/>
            </w:pPr>
            <w:r>
              <w:rPr/>
              <w:t>标的提供的地点</w:t>
            </w:r>
          </w:p>
        </w:tc>
        <w:tc>
          <w:tcPr>
            <w:tcW w:type="dxa" w:w="4153"/>
          </w:tcPr>
          <w:p>
            <w:pPr>
              <w:pStyle w:val="null3"/>
            </w:pPr>
          </w:p>
          <w:p>
            <w:pPr>
              <w:pStyle w:val="null3"/>
            </w:pPr>
            <w:r>
              <w:rPr/>
              <w:t>广州市南沙区横沥镇。</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1期：支付比例100%,（一）服务费按季度支付，分别于每季度考核后支付，考核若产生扣费的如实在服务费用中扣减。 （二）因采购人使用的是财政资金，采购人在规定的付款时间内向政府采购支付部门提出办理财政支付申请手续（不含政府财政支付部门审核的时间），即视为采购人已经按期支付。 （三）成交供应商凭以下有效文件与采购人结算： 1.服务合同； 2.成交供应商开具的正式发票； 3.项目服务考核表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1期：根据磋商文件规定的服务内容和要求、供应商响应文件承诺及合同约定进行验收。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一、报价要求，供应商报价须包含人员服务费、人员管理费、人员培训、药品、器械、税费、交通成本等所有费用。因市场物价影响而波动的，采购人无须向供应商支付任何约定外费用，双方另有约定的除外。</w:t>
            </w:r>
          </w:p>
          <w:p>
            <w:pPr>
              <w:pStyle w:val="null3"/>
            </w:pPr>
          </w:p>
          <w:p>
            <w:pPr>
              <w:pStyle w:val="null3"/>
            </w:pPr>
            <w:r>
              <w:rPr/>
              <w:t>二、项目要求，★1.未经采购人同意，不允许中标人分包或转包采购人服务管理事宜。（提供承诺函，格式自拟） 2.成交供应商须为本项目配置一名管理人员，专门的负责本项目工作对接。 3.成交供应商应确保投入本项目的项目人员具有专业的相关生物防制知识及经验，采购人对成交供应商不称职的工作人员，可要求成交供应商进行更换。 4.成交供应商应当根据服务需要对投入的服务人员进行法制、安全作业、岗前、在岗等培训，以确保服务质量。 5.成交供应商应当建立完善的管理制度，投入本项目人员须遵守采购人相关规章制度规定，服从采购人指挥和合理的工作安排，如有违反或损害采购人利益的情形，采购人有权要求成交供应商予以更换人员，造成严重后果的，采购人有权终止合同并要求成交供应商赔偿损失。 6.供应商应当为本项目建立应急方案，对突发事件、重大节假日等特殊情况制定的应急处理方案，包括但不限于传达机制、人员和设备调配、责任分工。 7.应急响应：成交供应商应在接到采购人电话通知后，确保在一小时内到达处理现场。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南沙区横沥镇采购病媒生物防制服务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1,460,000.00</w:t>
            </w:r>
          </w:p>
        </w:tc>
        <w:tc>
          <w:tcPr>
            <w:tcW w:type="dxa" w:w="933"/>
          </w:tcPr>
          <w:p>
            <w:pPr>
              <w:pStyle w:val="null3"/>
              <w:jc w:val="right"/>
            </w:pPr>
            <w:r>
              <w:rPr/>
              <w:t>1,460,000.00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南沙区横沥镇采购病媒生物防制服务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sz w:val="24"/>
              </w:rPr>
              <w:t>一、工作范围</w:t>
            </w:r>
          </w:p>
          <w:p>
            <w:pPr>
              <w:pStyle w:val="null3"/>
              <w:ind w:firstLine="420"/>
              <w:jc w:val="left"/>
            </w:pPr>
            <w:r>
              <w:rPr>
                <w:sz w:val="24"/>
              </w:rPr>
              <w:t>（一）消杀范围包括：前进村、新兴村、大元村、庙南村、冯马一村、冯马二村、冯马三村、东方红村、太阳升村、群结村、新村村、庙贝社区和兆丰社区、义沙村8队等公共区域(含绿化带、下水道、垃圾桶、公共卫生间等蚊虫孳生地）。</w:t>
            </w:r>
          </w:p>
          <w:p>
            <w:pPr>
              <w:pStyle w:val="null3"/>
              <w:ind w:firstLine="420"/>
              <w:jc w:val="left"/>
            </w:pPr>
            <w:r>
              <w:rPr>
                <w:sz w:val="24"/>
              </w:rPr>
              <w:t>（二）横沥镇各村（社区）消杀面积</w:t>
            </w:r>
          </w:p>
          <w:tbl>
            <w:tblPr>
              <w:tblInd w:type="dxa" w:w="120"/>
              <w:tblBorders>
                <w:top w:val="none" w:color="000000" w:sz="4"/>
                <w:left w:val="none" w:color="000000" w:sz="4"/>
                <w:bottom w:val="none" w:color="000000" w:sz="4"/>
                <w:right w:val="none" w:color="000000" w:sz="4"/>
                <w:insideH w:val="none"/>
                <w:insideV w:val="none"/>
              </w:tblBorders>
            </w:tblPr>
            <w:tblGrid>
              <w:gridCol w:w="510"/>
              <w:gridCol w:w="1069"/>
              <w:gridCol w:w="1455"/>
              <w:gridCol w:w="1343"/>
              <w:gridCol w:w="1206"/>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单位名称</w:t>
                  </w: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村总面积</w:t>
                  </w:r>
                </w:p>
                <w:p>
                  <w:pPr>
                    <w:pStyle w:val="null3"/>
                    <w:ind w:firstLine="380"/>
                    <w:jc w:val="center"/>
                  </w:pPr>
                  <w:r>
                    <w:rPr>
                      <w:b/>
                      <w:sz w:val="24"/>
                    </w:rPr>
                    <w:t>（万平方米）</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人口聚集区面积（平方米）</w:t>
                  </w:r>
                </w:p>
              </w:tc>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需消杀面积</w:t>
                  </w:r>
                </w:p>
                <w:p>
                  <w:pPr>
                    <w:pStyle w:val="null3"/>
                    <w:ind w:firstLine="380"/>
                    <w:jc w:val="center"/>
                  </w:pPr>
                  <w:r>
                    <w:rPr>
                      <w:b/>
                      <w:sz w:val="24"/>
                    </w:rPr>
                    <w:t>（平方米）</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新兴村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471.2355</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749000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224700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前进村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266</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266000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79800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大元村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149.85</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140000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42000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庙南村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166.75</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166750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50025</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庙贝社区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213.344</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670000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201000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冯马一村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266.8</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284000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85200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冯马二村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323</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1100000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330000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冯马三村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400000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120000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群结村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142000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42600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东方红村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太阳升村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127</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1270000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381000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新村村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116.55</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166500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49950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兆丰居委</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1000000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300000</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义沙村</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5.336</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53360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16008</w:t>
                  </w:r>
                </w:p>
              </w:tc>
            </w:tr>
            <w:tr>
              <w:tc>
                <w:tcPr>
                  <w:tcW w:type="dxa" w:w="15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合计</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2855.8655</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6507610</w:t>
                  </w:r>
                </w:p>
              </w:tc>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1952283</w:t>
                  </w:r>
                </w:p>
              </w:tc>
            </w:tr>
            <w:tr>
              <w:tc>
                <w:tcPr>
                  <w:tcW w:type="dxa" w:w="15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备注</w:t>
                  </w:r>
                </w:p>
              </w:tc>
              <w:tc>
                <w:tcPr>
                  <w:tcW w:type="dxa" w:w="400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需消杀面积为人口聚集区的30%</w:t>
                  </w:r>
                </w:p>
              </w:tc>
            </w:tr>
          </w:tbl>
          <w:p/>
        </w:tc>
      </w:tr>
      <w:tr>
        <w:tc>
          <w:tcPr>
            <w:tcW w:type="dxa" w:w="2076"/>
          </w:tcPr>
          <w:p/>
        </w:tc>
        <w:tc>
          <w:tcPr>
            <w:tcW w:type="dxa" w:w="415"/>
          </w:tcPr>
          <w:p>
            <w:pPr>
              <w:pStyle w:val="null3"/>
            </w:pPr>
            <w:r>
              <w:rPr/>
              <w:t>2</w:t>
            </w:r>
          </w:p>
        </w:tc>
        <w:tc>
          <w:tcPr>
            <w:tcW w:type="dxa" w:w="5814"/>
          </w:tcPr>
          <w:p>
            <w:pPr>
              <w:pStyle w:val="null3"/>
              <w:jc w:val="both"/>
            </w:pPr>
            <w:r>
              <w:rPr>
                <w:b/>
                <w:sz w:val="24"/>
              </w:rPr>
              <w:t>二、服务内容</w:t>
            </w:r>
          </w:p>
          <w:p>
            <w:pPr>
              <w:pStyle w:val="null3"/>
              <w:jc w:val="both"/>
            </w:pPr>
            <w:r>
              <w:rPr>
                <w:sz w:val="24"/>
              </w:rPr>
              <w:t>（一）病媒生物防制及孳生地处理主要工作内容</w:t>
            </w:r>
          </w:p>
          <w:p>
            <w:pPr>
              <w:pStyle w:val="null3"/>
              <w:ind w:firstLine="420"/>
              <w:jc w:val="both"/>
            </w:pPr>
            <w:r>
              <w:rPr>
                <w:sz w:val="24"/>
              </w:rPr>
              <w:t>1.防蚊灭蚊</w:t>
            </w:r>
          </w:p>
          <w:p>
            <w:pPr>
              <w:pStyle w:val="null3"/>
              <w:jc w:val="both"/>
            </w:pPr>
            <w:r>
              <w:rPr>
                <w:sz w:val="24"/>
              </w:rPr>
              <w:t xml:space="preserve">     成蚊消杀频率：蚊媒孳生高峰期以及登革热疾病传播活跃期（4至11月）防蚊灭蚊化学消杀工作每月不少于4轮次；低峰期（1至3月，12月）每月消杀不少于2轮次。为有效预防登革热疾病传播，根据实际工作情况适当增加消杀频次，控制蚊虫的孳生，做好蚊虫孳生地的清理工作，降低蚊虫的繁殖数量，定期清查蚊幼虫的孳生场所，每月要定期对各村（社区）完成蚊虫孳生地的清理工作，采取针对主要蚊种的防治措施和确定每处孳生地的处理措施，如清除、疏通、填平、覆盖投放杀幼虫药剂等。</w:t>
            </w:r>
          </w:p>
          <w:p>
            <w:pPr>
              <w:pStyle w:val="null3"/>
              <w:ind w:firstLine="420"/>
              <w:jc w:val="both"/>
            </w:pPr>
            <w:r>
              <w:rPr>
                <w:sz w:val="24"/>
              </w:rPr>
              <w:t>2.防蟑灭蟑</w:t>
            </w:r>
          </w:p>
          <w:p>
            <w:pPr>
              <w:pStyle w:val="null3"/>
              <w:ind w:firstLine="420"/>
              <w:jc w:val="both"/>
            </w:pPr>
            <w:r>
              <w:rPr>
                <w:sz w:val="24"/>
              </w:rPr>
              <w:t>每年根据蟑螂孳生的重点时期，使用烟雾机全面灭杀下水渠，每周1轮次，每年不少于26轮次，并对孳生地进行处理；为镇辖区的小餐饮、企业提供防蟑灭蟑的技术支持。</w:t>
            </w:r>
          </w:p>
          <w:p>
            <w:pPr>
              <w:pStyle w:val="null3"/>
              <w:ind w:firstLine="420"/>
              <w:jc w:val="both"/>
            </w:pPr>
            <w:r>
              <w:rPr>
                <w:sz w:val="24"/>
              </w:rPr>
              <w:t>3.防蝇灭蝇</w:t>
            </w:r>
          </w:p>
          <w:p>
            <w:pPr>
              <w:pStyle w:val="null3"/>
              <w:ind w:firstLine="420"/>
              <w:jc w:val="both"/>
            </w:pPr>
            <w:r>
              <w:rPr>
                <w:sz w:val="24"/>
              </w:rPr>
              <w:t>春、秋两季蝇类繁殖高峰期每月对镇区内的公共厕所、垃圾收集点等公共区域开展防蝇灭蝇不少于2次，并进行孳生地处理工作。</w:t>
            </w:r>
          </w:p>
          <w:p>
            <w:pPr>
              <w:pStyle w:val="null3"/>
              <w:ind w:firstLine="420"/>
              <w:jc w:val="both"/>
            </w:pPr>
            <w:r>
              <w:rPr>
                <w:sz w:val="24"/>
              </w:rPr>
              <w:t>4.防鼠灭鼠</w:t>
            </w:r>
          </w:p>
          <w:p>
            <w:pPr>
              <w:pStyle w:val="null3"/>
              <w:ind w:firstLine="420"/>
              <w:jc w:val="both"/>
            </w:pPr>
            <w:r>
              <w:rPr>
                <w:sz w:val="24"/>
              </w:rPr>
              <w:t>每周对镇区内的毒鼠屋按标准投放（补充）毒鼠谷至少1次，确保毒鼠谷新鲜；并对镇内的毒鼠设施进行日常管养维护。</w:t>
            </w:r>
          </w:p>
          <w:p>
            <w:pPr>
              <w:pStyle w:val="null3"/>
              <w:ind w:firstLine="420"/>
              <w:jc w:val="both"/>
            </w:pPr>
            <w:r>
              <w:rPr>
                <w:sz w:val="24"/>
              </w:rPr>
              <w:t>5.通过生物防制、物理防制、化学防制、生物制剂毒杀，从根本上消除蚊虫孳生条件，确定达标区和防制区的范围，力争能达到国家规定的防制标准。</w:t>
            </w:r>
          </w:p>
          <w:p>
            <w:pPr>
              <w:pStyle w:val="null3"/>
              <w:ind w:firstLine="420"/>
              <w:jc w:val="both"/>
            </w:pPr>
            <w:r>
              <w:rPr>
                <w:sz w:val="24"/>
              </w:rPr>
              <w:t>6.供应商需要配备交通工具以及工作器械（包括但不限于小型工作车辆2台、背负式机动超低容量机4台、背负式机动喷雾机4台、热烟雾机2台、高压远程手推式喷雾机1台等），其他器械根据实际情况配备。</w:t>
            </w:r>
          </w:p>
          <w:p>
            <w:pPr>
              <w:pStyle w:val="null3"/>
              <w:ind w:firstLine="420"/>
              <w:jc w:val="both"/>
            </w:pPr>
            <w:r>
              <w:rPr>
                <w:sz w:val="24"/>
              </w:rPr>
              <w:t>7.针对各级部门及第三方对病媒生物监测检查的情况，对蚊媒超标区域进行成蚊灭杀及孳生地处理直至达标。</w:t>
            </w:r>
          </w:p>
          <w:p>
            <w:pPr>
              <w:pStyle w:val="null3"/>
              <w:ind w:firstLine="420"/>
              <w:jc w:val="both"/>
            </w:pPr>
            <w:r>
              <w:rPr>
                <w:sz w:val="24"/>
              </w:rPr>
              <w:t>8.按国家标准做好所有消杀区域和重点场所的四害防制工作。</w:t>
            </w:r>
          </w:p>
          <w:p>
            <w:pPr>
              <w:pStyle w:val="null3"/>
              <w:ind w:firstLine="420"/>
              <w:jc w:val="both"/>
            </w:pPr>
            <w:r>
              <w:rPr>
                <w:sz w:val="24"/>
              </w:rPr>
              <w:t>9.按市、区、镇的工作要求和登革热等病媒生物引发的疫情突发应急处置工作，积极完成镇公共服务办安排的其他工作。</w:t>
            </w:r>
          </w:p>
          <w:p>
            <w:pPr>
              <w:pStyle w:val="null3"/>
              <w:jc w:val="both"/>
            </w:pPr>
            <w:r>
              <w:rPr>
                <w:sz w:val="24"/>
              </w:rPr>
              <w:t>（二）配合落实日常四害监测工作</w:t>
            </w:r>
          </w:p>
          <w:p>
            <w:pPr>
              <w:pStyle w:val="null3"/>
              <w:ind w:firstLine="420"/>
              <w:jc w:val="both"/>
            </w:pPr>
            <w:r>
              <w:rPr>
                <w:sz w:val="24"/>
              </w:rPr>
              <w:t>1.协助各级病媒生物监测单位开展横沥镇内外环境日常蚊媒和四害监测任务，配合市、区对病媒生物监测工作的开展，掌握本区蚊媒消长情况，对存在问题及时向采购人沟通反馈，处理本区域内的病媒超标情况，确保横沥镇病媒生物防制水平达到国家标准。</w:t>
            </w:r>
          </w:p>
          <w:p>
            <w:pPr>
              <w:pStyle w:val="null3"/>
              <w:ind w:firstLine="420"/>
              <w:jc w:val="both"/>
            </w:pPr>
            <w:r>
              <w:rPr>
                <w:sz w:val="24"/>
              </w:rPr>
              <w:t>2.配合完成公共服务办及上级部门交办的临时性病媒生物防制任务。</w:t>
            </w:r>
          </w:p>
          <w:p>
            <w:pPr>
              <w:pStyle w:val="null3"/>
              <w:ind w:firstLine="420"/>
              <w:jc w:val="both"/>
            </w:pPr>
            <w:r>
              <w:rPr>
                <w:sz w:val="24"/>
              </w:rPr>
              <w:t>3.统计汇总分析上级单位对横沥镇病媒生物防制监测数据，落实上级部门组织的病媒生物监测整改，做好日常工作的资料台账，并每周进行上报。</w:t>
            </w:r>
          </w:p>
        </w:tc>
      </w:tr>
      <w:tr>
        <w:tc>
          <w:tcPr>
            <w:tcW w:type="dxa" w:w="2076"/>
          </w:tcPr>
          <w:p/>
        </w:tc>
        <w:tc>
          <w:tcPr>
            <w:tcW w:type="dxa" w:w="415"/>
          </w:tcPr>
          <w:p>
            <w:pPr>
              <w:pStyle w:val="null3"/>
            </w:pPr>
            <w:r>
              <w:rPr/>
              <w:t>3</w:t>
            </w:r>
          </w:p>
        </w:tc>
        <w:tc>
          <w:tcPr>
            <w:tcW w:type="dxa" w:w="5814"/>
          </w:tcPr>
          <w:p>
            <w:pPr>
              <w:pStyle w:val="null3"/>
              <w:jc w:val="both"/>
            </w:pPr>
            <w:r>
              <w:rPr>
                <w:b/>
                <w:sz w:val="24"/>
              </w:rPr>
              <w:t>三、绩效考核和评估</w:t>
            </w:r>
          </w:p>
          <w:p>
            <w:pPr>
              <w:pStyle w:val="null3"/>
              <w:ind w:firstLine="420"/>
              <w:jc w:val="both"/>
            </w:pPr>
            <w:r>
              <w:rPr>
                <w:sz w:val="24"/>
              </w:rPr>
              <w:t>（一）公共服务办、各村（社区）根据采购合同以及工作职责，制定业务考核规则和考核表，每月对成交供应商（PCO）的工作质量和效果进行考评和评估，按工作的实际完成情况支付服务费用。</w:t>
            </w:r>
          </w:p>
          <w:p>
            <w:pPr>
              <w:pStyle w:val="null3"/>
              <w:ind w:firstLine="420"/>
              <w:jc w:val="both"/>
            </w:pPr>
            <w:r>
              <w:rPr>
                <w:sz w:val="24"/>
              </w:rPr>
              <w:t>（二）镇公共服务办和各村（社区）考评得分总和为考核总得分（镇公共服务办占考核比例60%，各村（社区）占考核比例40%），85分以上为优秀，全额发放服务费；低于85分的每一分扣除2000元，并于下一次支付服务费时扣除。</w:t>
            </w:r>
          </w:p>
          <w:p>
            <w:pPr>
              <w:pStyle w:val="null3"/>
              <w:ind w:firstLine="420"/>
              <w:jc w:val="both"/>
            </w:pPr>
            <w:r>
              <w:rPr>
                <w:sz w:val="24"/>
              </w:rPr>
              <w:t>（三）考核评分：合同期内，一年内累计两次考核评分低于85分的，采购人有权根据合同规定解除合作关系。考评周期以月为单位，采购人依据考评结果给付成交供应商一季度(三个月)承包费。具体考核评分标准（总分100分）如下：</w:t>
            </w:r>
          </w:p>
          <w:tbl>
            <w:tblPr>
              <w:tblInd w:type="dxa" w:w="90"/>
              <w:tblBorders>
                <w:top w:val="none" w:color="000000" w:sz="4"/>
                <w:left w:val="none" w:color="000000" w:sz="4"/>
                <w:bottom w:val="none" w:color="000000" w:sz="4"/>
                <w:right w:val="none" w:color="000000" w:sz="4"/>
                <w:insideH w:val="none"/>
                <w:insideV w:val="none"/>
              </w:tblBorders>
            </w:tblPr>
            <w:tblGrid>
              <w:gridCol w:w="392"/>
              <w:gridCol w:w="784"/>
              <w:gridCol w:w="3701"/>
              <w:gridCol w:w="693"/>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项目</w:t>
                  </w:r>
                </w:p>
              </w:tc>
              <w:tc>
                <w:tcPr>
                  <w:tcW w:type="dxa" w:w="3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考核标准</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分值</w:t>
                  </w:r>
                </w:p>
              </w:tc>
            </w:tr>
            <w:tr>
              <w:tc>
                <w:tcPr>
                  <w:tcW w:type="dxa" w:w="3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7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台帐建立</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做好日常除四害工作的资料台账，不齐全每项扣2分，没有扣4分（每日工作台帐、孳生地清理工作台帐、药品使用登记台帐、村级单位灭蚊周记、各村居干部签字消杀确认记录表）</w:t>
                  </w:r>
                </w:p>
              </w:tc>
              <w:tc>
                <w:tcPr>
                  <w:tcW w:type="dxa" w:w="6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每月工作人员考勤名单当月3日前上报公服办（包含联系方式、负责区域、作业时间等信息），人员有更换的3天内更新上报，不及时上报或未上报的扣5分</w:t>
                  </w:r>
                </w:p>
              </w:tc>
              <w:tc>
                <w:tcPr>
                  <w:tcW w:type="dxa" w:w="693"/>
                  <w:vMerge/>
                  <w:tcBorders>
                    <w:top w:val="none" w:color="000000" w:sz="4"/>
                    <w:left w:val="single" w:color="000000" w:sz="4"/>
                    <w:bottom w:val="single" w:color="000000" w:sz="4"/>
                    <w:right w:val="single" w:color="000000" w:sz="4"/>
                  </w:tcBorders>
                </w:tcPr>
                <w:p/>
              </w:tc>
            </w:tr>
            <w:tr>
              <w:tc>
                <w:tcPr>
                  <w:tcW w:type="dxa" w:w="3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7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工作质量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辖区范围消杀次数达不到每月四轮次，扣2分</w:t>
                  </w:r>
                </w:p>
              </w:tc>
              <w:tc>
                <w:tcPr>
                  <w:tcW w:type="dxa" w:w="6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布雷图指数监测超过监测标准，并被通报（一级扣2分，二级扣3分，三级扣4分）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药品调配浓度低于使用说明书致使蚊媒孳生，发现一次，扣2分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使用的药品不在保质期内或药品已变质，发现一次，扣2分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对消杀服务质量不合格的有效投诉（经验证属实的投诉），经用人单位要求重新处理仍处理不到位，扣5分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消杀过程有地点遗漏，一处扣2分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上级部门检查病媒生物防制工作不达标的，省级检查不达标扣20分，市级检查不达标扣10分，区级检查不达标扣5分，镇级检查不达标扣3分。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在重大节日、主要活动期间，没有按照要求加强消杀和检测工作，扣3分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上级部门下达督办整改没有及时完成且回复，一处扣5分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参与镇辖区内重点场所或重大保障活动的应急蚊媒处置工作，不能按时到达的，每次扣10分，消杀效果不达标每次扣5分</w:t>
                  </w:r>
                </w:p>
              </w:tc>
              <w:tc>
                <w:tcPr>
                  <w:tcW w:type="dxa" w:w="693"/>
                  <w:vMerge/>
                  <w:tcBorders>
                    <w:top w:val="none" w:color="000000" w:sz="4"/>
                    <w:left w:val="single" w:color="000000" w:sz="4"/>
                    <w:bottom w:val="single" w:color="000000" w:sz="4"/>
                    <w:right w:val="single" w:color="000000" w:sz="4"/>
                  </w:tcBorders>
                </w:tcPr>
                <w:p/>
              </w:tc>
            </w:tr>
            <w:tr>
              <w:tc>
                <w:tcPr>
                  <w:tcW w:type="dxa" w:w="3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7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其他</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不执行上级工作安排，消极怠工的,扣5分</w:t>
                  </w:r>
                </w:p>
              </w:tc>
              <w:tc>
                <w:tcPr>
                  <w:tcW w:type="dxa" w:w="6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保管、使用消杀药品、器械、燃料不当，造成人员或宠物误食、过敏或其它伤害，或造成单位受损的，扣2分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上级领导、上级部门对工作质量提出批评，经查属实的，一次扣罚2分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对于各村、居和其他部门投诉，经查属实的，每次扣2分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未按规定时间上报各种报表，每拖一天每项扣0.5分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承包人必须保证足够的设备、机械、人力用于项目使用。如因设备、人员不足造成工作效果不达标情况，每宗次扣2分</w:t>
                  </w:r>
                </w:p>
              </w:tc>
              <w:tc>
                <w:tcPr>
                  <w:tcW w:type="dxa" w:w="693"/>
                  <w:vMerge/>
                  <w:tcBorders>
                    <w:top w:val="none" w:color="000000" w:sz="4"/>
                    <w:left w:val="single" w:color="000000" w:sz="4"/>
                    <w:bottom w:val="single" w:color="000000" w:sz="4"/>
                    <w:right w:val="single" w:color="000000" w:sz="4"/>
                  </w:tcBorders>
                </w:tcPr>
                <w:p/>
              </w:tc>
            </w:tr>
            <w:tr>
              <w:tc>
                <w:tcPr>
                  <w:tcW w:type="dxa" w:w="392"/>
                  <w:vMerge/>
                  <w:tcBorders>
                    <w:top w:val="none" w:color="000000" w:sz="4"/>
                    <w:left w:val="single" w:color="000000" w:sz="4"/>
                    <w:bottom w:val="single" w:color="000000" w:sz="4"/>
                    <w:right w:val="single" w:color="000000" w:sz="4"/>
                  </w:tcBorders>
                </w:tcPr>
                <w:p/>
              </w:tc>
              <w:tc>
                <w:tcPr>
                  <w:tcW w:type="dxa" w:w="784"/>
                  <w:vMerge/>
                  <w:tcBorders>
                    <w:top w:val="none" w:color="000000" w:sz="4"/>
                    <w:left w:val="none" w:color="000000" w:sz="4"/>
                    <w:bottom w:val="single" w:color="000000" w:sz="4"/>
                    <w:right w:val="single" w:color="000000" w:sz="4"/>
                  </w:tcBorders>
                </w:tcP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其他不符合病媒生物防制工作要求的，每项扣2分</w:t>
                  </w:r>
                </w:p>
              </w:tc>
              <w:tc>
                <w:tcPr>
                  <w:tcW w:type="dxa" w:w="693"/>
                  <w:vMerge/>
                  <w:tcBorders>
                    <w:top w:val="none" w:color="000000" w:sz="4"/>
                    <w:left w:val="single" w:color="000000" w:sz="4"/>
                    <w:bottom w:val="single" w:color="000000" w:sz="4"/>
                    <w:right w:val="single" w:color="000000" w:sz="4"/>
                  </w:tcBorders>
                </w:tcPr>
                <w:p/>
              </w:tc>
            </w:tr>
          </w:tbl>
          <w:p>
            <w:pPr>
              <w:pStyle w:val="null3"/>
              <w:ind w:firstLine="420"/>
              <w:jc w:val="left"/>
            </w:pPr>
            <w:r>
              <w:rPr>
                <w:sz w:val="24"/>
              </w:rPr>
              <w:t>（四）应急工作处理：若出现登革热病等病媒生物方面的病例时（输入性病例、本地性病例），应立即配合采购人安排开展应急处置消杀工作，并立即对相关问题进行整改；因对存在问题整改不到位，导致疫情未得到控制继续蔓延的，扣除当月30%服务费用。（注：处置登革热疫点以及临时性应急工作任务时，采购人可根据实际情况给予成交供应商补助，补助费用最高不可超过本项目年度服务费总额的10%的标准）</w:t>
            </w:r>
          </w:p>
        </w:tc>
      </w:tr>
      <w:tr>
        <w:tc>
          <w:tcPr>
            <w:tcW w:type="dxa" w:w="2076"/>
          </w:tcPr>
          <w:p/>
        </w:tc>
        <w:tc>
          <w:tcPr>
            <w:tcW w:type="dxa" w:w="415"/>
          </w:tcPr>
          <w:p>
            <w:pPr>
              <w:pStyle w:val="null3"/>
            </w:pPr>
            <w:r>
              <w:rPr/>
              <w:t>4</w:t>
            </w:r>
          </w:p>
        </w:tc>
        <w:tc>
          <w:tcPr>
            <w:tcW w:type="dxa" w:w="5814"/>
          </w:tcPr>
          <w:p>
            <w:pPr>
              <w:pStyle w:val="null3"/>
              <w:jc w:val="left"/>
            </w:pPr>
            <w:r>
              <w:rPr>
                <w:b/>
                <w:sz w:val="24"/>
              </w:rPr>
              <w:t>附件1 使用药品明细表</w:t>
            </w:r>
          </w:p>
          <w:tbl>
            <w:tblPr>
              <w:tblInd w:type="dxa" w:w="270"/>
              <w:tblBorders>
                <w:top w:val="none" w:color="000000" w:sz="4"/>
                <w:left w:val="none" w:color="000000" w:sz="4"/>
                <w:bottom w:val="none" w:color="000000" w:sz="4"/>
                <w:right w:val="none" w:color="000000" w:sz="4"/>
                <w:insideH w:val="none"/>
                <w:insideV w:val="none"/>
              </w:tblBorders>
            </w:tblPr>
            <w:tblGrid>
              <w:gridCol w:w="354"/>
              <w:gridCol w:w="1077"/>
              <w:gridCol w:w="1261"/>
              <w:gridCol w:w="788"/>
              <w:gridCol w:w="1130"/>
              <w:gridCol w:w="946"/>
            </w:tblGrid>
            <w:tr>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药品名</w:t>
                  </w:r>
                </w:p>
              </w:tc>
              <w:tc>
                <w:tcPr>
                  <w:tcW w:type="dxa" w:w="1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目标害虫</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药物浓度</w:t>
                  </w:r>
                </w:p>
              </w:tc>
              <w:tc>
                <w:tcPr>
                  <w:tcW w:type="dxa" w:w="1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数量</w:t>
                  </w:r>
                </w:p>
              </w:tc>
              <w:tc>
                <w:tcPr>
                  <w:tcW w:type="dxa" w:w="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使用方式</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烯丙氯菊</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蚊子、苍蝇</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10.5%</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500g/瓶20瓶/箱</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超低容量机</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烯丙菊酯</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蚊子、苍蝇、蟑螂</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500g/瓶20瓶/箱</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超低容量机</w:t>
                  </w:r>
                </w:p>
                <w:p>
                  <w:pPr>
                    <w:pStyle w:val="null3"/>
                    <w:ind w:firstLine="380"/>
                    <w:jc w:val="center"/>
                  </w:pPr>
                  <w:r>
                    <w:rPr>
                      <w:sz w:val="24"/>
                    </w:rPr>
                    <w:t>常量喷雾机</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氯氰残杀威</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蚊子、苍蝇、蟑螂</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500g/瓶20瓶/箱</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常量喷雾机</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热烟雾剂</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沙井内蟑螂、蚊子</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5kg/桶X4箱/箱</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热烟雾机</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灭鼠药（溴敌隆）</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老鼠</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0.01%</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1kg/包X20包/袋</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直接投放</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杀虫颗粒剂</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灭蚊幼虫</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1kg/包X40包/袋</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直接投放</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可湿性粉剂</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蚊子、苍蝇、蟑螂</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1kg/包X10包/箱</w:t>
                  </w:r>
                </w:p>
              </w:tc>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喷雾、涂刷</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备注</w:t>
                  </w:r>
                </w:p>
              </w:tc>
              <w:tc>
                <w:tcPr>
                  <w:tcW w:type="dxa" w:w="412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1.包括但不限于以上药品，应急情况下可使用区下拨消杀药物提供补给。</w:t>
                  </w:r>
                </w:p>
                <w:p>
                  <w:pPr>
                    <w:pStyle w:val="null3"/>
                    <w:jc w:val="both"/>
                  </w:pPr>
                  <w:r>
                    <w:rPr>
                      <w:sz w:val="24"/>
                    </w:rPr>
                    <w:t>2.本项目使用国家、省、市、区、镇公共服务办推荐使用药物，必须有药物三证(国家发改委的农药生产批准证、农业部的农药登记证或临时登记证明、省技术监督局的产品技术标准证)，严禁使用国家明文禁止使用的药物。</w:t>
                  </w:r>
                </w:p>
              </w:tc>
            </w:tr>
          </w:tbl>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1.采购代理机构：本项目是指广东华阳项目管理有限公司，负责整个采购活动的组织，依法负责编制和发布磋商文件，对磋商文件拥有最终的解释权，不以任何身份出任磋商小组成员。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广州市南沙区横沥镇人民政府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r>
              <w:rPr/>
              <w:t>采购机构代理服务收费标准：以项目成交金额作为采购机构代理服务的计算基数。采购机构代理服务采用差额定率累进法进行计算，参照中华人民共和国国家发展计划委员会颁发的计价格〔2002〕1980号、发改办价格〔2003〕857号及发改价格〔2011〕534号文规定的“服务类”标准计费。</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其他</w:t>
            </w:r>
          </w:p>
        </w:tc>
        <w:tc>
          <w:tcPr>
            <w:tcW w:type="dxa" w:w="5004"/>
          </w:tcPr>
          <w:p>
            <w:pPr>
              <w:pStyle w:val="null3"/>
              <w:ind w:firstLine="480"/>
              <w:jc w:val="left"/>
            </w:pPr>
            <w:r>
              <w:rPr/>
              <w:t>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履约评价采购人负责对中标人的履约行为进行评价，评价标准详见《广州市财政局关于在政府采购项目中应用公共资源交易信用的通知》（穗财采〔2023〕55号）。采购人在合同备案后可通过广东政府采购智慧云平台-诚信管理-评价管理进行评价。评价结果会影响供应商的综合信用得分。</w:t>
            </w: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采购包1：面向小微企业，采购包专门预留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b/>
          <w:sz w:val="24"/>
        </w:rPr>
        <w:t>11.关于分支机构</w:t>
      </w:r>
    </w:p>
    <w:p>
      <w:pPr>
        <w:pStyle w:val="null3"/>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本项目不收取磋商保证金。</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广东华阳项目管理有限公司网（https://www.guangdonghuayang.com/）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广东华阳项目管理有限公司网（https://www.guangdonghuayang.com/）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020-83526833</w:t>
      </w:r>
    </w:p>
    <w:p>
      <w:pPr>
        <w:pStyle w:val="null3"/>
        <w:ind w:firstLine="480"/>
      </w:pPr>
      <w:r>
        <w:rPr/>
        <w:t>传真：</w:t>
      </w:r>
      <w:r>
        <w:rPr/>
        <w:t>/</w:t>
      </w:r>
    </w:p>
    <w:p>
      <w:pPr>
        <w:pStyle w:val="null3"/>
        <w:ind w:firstLine="480"/>
      </w:pPr>
      <w:r>
        <w:rPr/>
        <w:t>邮箱：</w:t>
      </w:r>
      <w:r>
        <w:rPr/>
        <w:t>gdhy2805@163.com</w:t>
      </w:r>
    </w:p>
    <w:p>
      <w:pPr>
        <w:pStyle w:val="null3"/>
        <w:ind w:firstLine="480"/>
      </w:pPr>
      <w:r>
        <w:rPr/>
        <w:t>地址：</w:t>
      </w:r>
      <w:r>
        <w:rPr/>
        <w:t>广州市越秀区东风中路515号东照大厦2805室</w:t>
      </w:r>
    </w:p>
    <w:p>
      <w:pPr>
        <w:pStyle w:val="null3"/>
        <w:ind w:firstLine="480"/>
      </w:pPr>
      <w:r>
        <w:rPr/>
        <w:t>邮编：</w:t>
      </w:r>
      <w:r>
        <w:rPr/>
        <w:t>510055</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南沙区横沥镇采购病媒生物防制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广东华阳项目管理有限公司</w:t>
      </w:r>
      <w:r>
        <w:rPr/>
        <w:t>统一对外发布。</w:t>
      </w:r>
    </w:p>
    <w:p>
      <w:pPr>
        <w:pStyle w:val="null3"/>
        <w:ind w:firstLine="480"/>
      </w:pPr>
      <w:r>
        <w:rPr/>
        <w:t>（2）对</w:t>
      </w:r>
      <w:r>
        <w:rPr/>
        <w:t>广东华阳项目管理有限公司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采购包1（南沙区横沥镇采购病媒生物防制服务项目）：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p>
    <w:p>
      <w:pPr>
        <w:pStyle w:val="null3"/>
      </w:pPr>
      <w:r>
        <w:rPr/>
        <w:t>采购包1（南沙区横沥镇采购病媒生物防制服务项目）：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响应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提供《供应商资格声明函》或承诺书（格式自拟）。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提供《供应商资格声明函》或承诺书（格式自拟）。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提供《供应商资格声明函》或承诺书（格式自拟）。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格式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小微企业，承接服务的企业须为小型或微型企业（监狱企业或残疾人福利性单位视同小微企业）。（由供应商提供《中小企业声明函》或《残疾人福利性单位声明函》或属于监狱企业的证明文件。）</w:t>
            </w:r>
          </w:p>
        </w:tc>
      </w:tr>
    </w:tbl>
    <w:p>
      <w:pPr>
        <w:pStyle w:val="null3"/>
        <w:ind w:firstLine="480"/>
      </w:pPr>
      <w:r>
        <w:rPr/>
        <w:t>表二符合性审查表：</w:t>
      </w:r>
    </w:p>
    <w:p>
      <w:pPr>
        <w:pStyle w:val="null3"/>
      </w:pPr>
    </w:p>
    <w:p>
      <w:pPr>
        <w:pStyle w:val="null3"/>
      </w:pPr>
      <w:r>
        <w:rPr/>
        <w:t>采购包1（南沙区横沥镇采购病媒生物防制服务项目）：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最后报价</w:t>
            </w:r>
          </w:p>
        </w:tc>
        <w:tc>
          <w:tcPr>
            <w:tcW w:type="dxa" w:w="4238"/>
          </w:tcPr>
          <w:p>
            <w:pPr>
              <w:pStyle w:val="null3"/>
            </w:pPr>
            <w:r>
              <w:rPr/>
              <w:t>最后报价是固定价且唯一的，未超过本项目采购预算及最高限价的。</w:t>
            </w:r>
          </w:p>
        </w:tc>
      </w:tr>
      <w:tr>
        <w:tc>
          <w:tcPr>
            <w:tcW w:type="dxa" w:w="890"/>
          </w:tcPr>
          <w:p>
            <w:pPr>
              <w:pStyle w:val="null3"/>
            </w:pPr>
            <w:r>
              <w:rPr/>
              <w:t>2</w:t>
            </w:r>
          </w:p>
        </w:tc>
        <w:tc>
          <w:tcPr>
            <w:tcW w:type="dxa" w:w="3178"/>
          </w:tcPr>
          <w:p>
            <w:pPr>
              <w:pStyle w:val="null3"/>
            </w:pPr>
            <w:r>
              <w:rPr/>
              <w:t>最后报价合理性</w:t>
            </w:r>
          </w:p>
        </w:tc>
        <w:tc>
          <w:tcPr>
            <w:tcW w:type="dxa" w:w="4238"/>
          </w:tcPr>
          <w:p>
            <w:pPr>
              <w:pStyle w:val="null3"/>
            </w:pPr>
            <w:r>
              <w:rPr/>
              <w:t>磋商小组认为响应供应商的最后报价未出现明显低于其他通过符合性审查响应供应商的最后报价的。若磋商小组认为响应供应商的最后报价明显低于其他通过符合性审查响应供应商的报价，有可能影响产品质量或者不能诚信履约的应当要求其在磋商现场合理的时间内提供书面说明，必要时提交相关证明材料，响应供应商不能证明其报价合理性的，磋商小组应当将其作为无效响应处理。</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按格式要求提交响应承诺函。</w:t>
            </w:r>
          </w:p>
        </w:tc>
      </w:tr>
      <w:tr>
        <w:tc>
          <w:tcPr>
            <w:tcW w:type="dxa" w:w="890"/>
          </w:tcPr>
          <w:p>
            <w:pPr>
              <w:pStyle w:val="null3"/>
            </w:pPr>
            <w:r>
              <w:rPr/>
              <w:t>4</w:t>
            </w:r>
          </w:p>
        </w:tc>
        <w:tc>
          <w:tcPr>
            <w:tcW w:type="dxa" w:w="3178"/>
          </w:tcPr>
          <w:p>
            <w:pPr>
              <w:pStyle w:val="null3"/>
            </w:pPr>
            <w:r>
              <w:rPr/>
              <w:t>投标（响应）有效期</w:t>
            </w:r>
          </w:p>
        </w:tc>
        <w:tc>
          <w:tcPr>
            <w:tcW w:type="dxa" w:w="4238"/>
          </w:tcPr>
          <w:p>
            <w:pPr>
              <w:pStyle w:val="null3"/>
            </w:pPr>
            <w:r>
              <w:rPr/>
              <w:t>投标（响应）有效期为投标（响应）截止之日起90日历天（以响应承诺函中的承诺为准）。</w:t>
            </w:r>
          </w:p>
        </w:tc>
      </w:tr>
      <w:tr>
        <w:tc>
          <w:tcPr>
            <w:tcW w:type="dxa" w:w="890"/>
          </w:tcPr>
          <w:p>
            <w:pPr>
              <w:pStyle w:val="null3"/>
            </w:pPr>
            <w:r>
              <w:rPr/>
              <w:t>5</w:t>
            </w:r>
          </w:p>
        </w:tc>
        <w:tc>
          <w:tcPr>
            <w:tcW w:type="dxa" w:w="3178"/>
          </w:tcPr>
          <w:p>
            <w:pPr>
              <w:pStyle w:val="null3"/>
            </w:pPr>
            <w:r>
              <w:rPr/>
              <w:t>授权文件</w:t>
            </w:r>
          </w:p>
        </w:tc>
        <w:tc>
          <w:tcPr>
            <w:tcW w:type="dxa" w:w="4238"/>
          </w:tcPr>
          <w:p>
            <w:pPr>
              <w:pStyle w:val="null3"/>
            </w:pPr>
            <w:r>
              <w:rPr/>
              <w:t>法定代表人证明书、法定代表人授权书按对应格式文件签署、盖章。</w:t>
            </w:r>
          </w:p>
        </w:tc>
      </w:tr>
      <w:tr>
        <w:tc>
          <w:tcPr>
            <w:tcW w:type="dxa" w:w="890"/>
          </w:tcPr>
          <w:p>
            <w:pPr>
              <w:pStyle w:val="null3"/>
            </w:pPr>
            <w:r>
              <w:rPr/>
              <w:t>6</w:t>
            </w:r>
          </w:p>
        </w:tc>
        <w:tc>
          <w:tcPr>
            <w:tcW w:type="dxa" w:w="3178"/>
          </w:tcPr>
          <w:p>
            <w:pPr>
              <w:pStyle w:val="null3"/>
            </w:pPr>
            <w:r>
              <w:rPr/>
              <w:t>签署、盖章</w:t>
            </w:r>
          </w:p>
        </w:tc>
        <w:tc>
          <w:tcPr>
            <w:tcW w:type="dxa" w:w="4238"/>
          </w:tcPr>
          <w:p>
            <w:pPr>
              <w:pStyle w:val="null3"/>
            </w:pPr>
            <w:r>
              <w:rPr/>
              <w:t>响应文件按照磋商文件规定要求签署、盖章。</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响应文件完全满足磋商文件的实质性条款（“★”号条款）。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未出现法律、法规和项目磋商文件规定的其他无效响应的情形。</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采购包1(南沙区横沥镇采购病媒生物防制服务项目):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采购需求技术要求响应情况 (6.0分)</w:t>
            </w:r>
            <w:r>
              <w:rPr/>
              <w:t>，（等次分值选择：</w:t>
            </w:r>
            <w:r>
              <w:rPr/>
              <w:t>0.0;</w:t>
            </w:r>
            <w:r>
              <w:rPr/>
              <w:t>2.0;</w:t>
            </w:r>
            <w:r>
              <w:rPr/>
              <w:t>4.0;</w:t>
            </w:r>
            <w:r>
              <w:rPr/>
              <w:t>6.0;</w:t>
            </w:r>
            <w:r>
              <w:rPr/>
              <w:t>）</w:t>
            </w:r>
          </w:p>
        </w:tc>
        <w:tc>
          <w:tcPr>
            <w:tcW w:type="dxa" w:w="5076"/>
          </w:tcPr>
          <w:p>
            <w:pPr>
              <w:pStyle w:val="null3"/>
              <w:jc w:val="left"/>
            </w:pPr>
            <w:r>
              <w:rPr/>
              <w:t>投标人完全响应项目采购需求“附表一：南沙区横沥镇采购病媒生物防制服务项目”具体技术（参数)要求内容，得6分；1-2个条款不响应的，得4分；3-5个条款不响应的，得2分；6个或以上条款不响应的，得0分。 【注：提供《技术和服务要求响应表》。】</w:t>
            </w:r>
          </w:p>
        </w:tc>
      </w:tr>
      <w:tr>
        <w:tc>
          <w:tcPr>
            <w:tcW w:type="dxa" w:w="922"/>
            <w:gridSpan w:val="2"/>
            <w:vMerge/>
          </w:tcPr>
          <w:p/>
        </w:tc>
        <w:tc>
          <w:tcPr>
            <w:tcW w:type="dxa" w:w="2307"/>
          </w:tcPr>
          <w:p>
            <w:pPr>
              <w:pStyle w:val="null3"/>
              <w:jc w:val="left"/>
            </w:pPr>
            <w:r>
              <w:rPr/>
              <w:t>服务方案 (10.0分)</w:t>
            </w:r>
            <w:r>
              <w:rPr/>
              <w:t>，（等次分值选择：</w:t>
            </w:r>
            <w:r>
              <w:rPr/>
              <w:t>0.0;</w:t>
            </w:r>
            <w:r>
              <w:rPr/>
              <w:t>2.0;</w:t>
            </w:r>
            <w:r>
              <w:rPr/>
              <w:t>4.0;</w:t>
            </w:r>
            <w:r>
              <w:rPr/>
              <w:t>7.0;</w:t>
            </w:r>
            <w:r>
              <w:rPr/>
              <w:t>10.0;</w:t>
            </w:r>
            <w:r>
              <w:rPr/>
              <w:t>）</w:t>
            </w:r>
          </w:p>
        </w:tc>
        <w:tc>
          <w:tcPr>
            <w:tcW w:type="dxa" w:w="5076"/>
          </w:tcPr>
          <w:p>
            <w:pPr>
              <w:pStyle w:val="null3"/>
              <w:jc w:val="left"/>
            </w:pPr>
            <w:r>
              <w:rPr/>
              <w:t>对供应商提供的服务方案进行评审，内容包括但不限于：①服务内容；②服务流程。涵盖上述所有内容且对上述各项内容描述全面、详细，可行性高，得10分；涵盖上述所有内容且对上述各项内容描述较全面、较详细，可行性较高，得7分；涵盖上述所有内容且对上述各项内容描述基本全面、基本具体，可行性一般，得4分；涵盖上述所有内容但对上述各项内容描述不够全面、不够具体，可行性低，得2分；不提供得0分。</w:t>
            </w:r>
          </w:p>
        </w:tc>
      </w:tr>
      <w:tr>
        <w:tc>
          <w:tcPr>
            <w:tcW w:type="dxa" w:w="922"/>
            <w:gridSpan w:val="2"/>
            <w:vMerge/>
          </w:tcPr>
          <w:p/>
        </w:tc>
        <w:tc>
          <w:tcPr>
            <w:tcW w:type="dxa" w:w="2307"/>
          </w:tcPr>
          <w:p>
            <w:pPr>
              <w:pStyle w:val="null3"/>
              <w:jc w:val="left"/>
            </w:pPr>
            <w:r>
              <w:rPr/>
              <w:t>服务人员管理方案 (10.0分)</w:t>
            </w:r>
            <w:r>
              <w:rPr/>
              <w:t>，（等次分值选择：</w:t>
            </w:r>
            <w:r>
              <w:rPr/>
              <w:t>0.0;</w:t>
            </w:r>
            <w:r>
              <w:rPr/>
              <w:t>1.0;</w:t>
            </w:r>
            <w:r>
              <w:rPr/>
              <w:t>4.0;</w:t>
            </w:r>
            <w:r>
              <w:rPr/>
              <w:t>7.0;</w:t>
            </w:r>
            <w:r>
              <w:rPr/>
              <w:t>10.0;</w:t>
            </w:r>
            <w:r>
              <w:rPr/>
              <w:t>）</w:t>
            </w:r>
          </w:p>
        </w:tc>
        <w:tc>
          <w:tcPr>
            <w:tcW w:type="dxa" w:w="5076"/>
          </w:tcPr>
          <w:p>
            <w:pPr>
              <w:pStyle w:val="null3"/>
              <w:jc w:val="left"/>
            </w:pPr>
            <w:r>
              <w:rPr/>
              <w:t>对供应商提供服务的人员管理方案进行评审，内容包括但不限于：①人员组织架构及工作岗位职责；②人员择选方案；③服务人员管理制度。涵盖上述所有内容且对上述各项内容描述全面、详细，可行性高，得10分；涵盖上述所有内容且对上述各项内容描述较全面、较详细，可行性较高，得7分；涵盖上述所有内容且对上述各项内容描述基本全面、基本具体，可行性一般，得4分；涵盖上述所有内容但对上述各项内容描述不够全面、不够具体，可行性低，得1分；不提供得0分。</w:t>
            </w:r>
          </w:p>
        </w:tc>
      </w:tr>
      <w:tr>
        <w:tc>
          <w:tcPr>
            <w:tcW w:type="dxa" w:w="922"/>
            <w:gridSpan w:val="2"/>
            <w:vMerge/>
          </w:tcPr>
          <w:p/>
        </w:tc>
        <w:tc>
          <w:tcPr>
            <w:tcW w:type="dxa" w:w="2307"/>
          </w:tcPr>
          <w:p>
            <w:pPr>
              <w:pStyle w:val="null3"/>
              <w:jc w:val="left"/>
            </w:pPr>
            <w:r>
              <w:rPr/>
              <w:t>人员培训 (6.0分)</w:t>
            </w:r>
            <w:r>
              <w:rPr/>
              <w:t>，（等次分值选择：</w:t>
            </w:r>
            <w:r>
              <w:rPr/>
              <w:t>0.0;</w:t>
            </w:r>
            <w:r>
              <w:rPr/>
              <w:t>1.0;</w:t>
            </w:r>
            <w:r>
              <w:rPr/>
              <w:t>2.0;</w:t>
            </w:r>
            <w:r>
              <w:rPr/>
              <w:t>4.0;</w:t>
            </w:r>
            <w:r>
              <w:rPr/>
              <w:t>6.0;</w:t>
            </w:r>
            <w:r>
              <w:rPr/>
              <w:t>）</w:t>
            </w:r>
          </w:p>
        </w:tc>
        <w:tc>
          <w:tcPr>
            <w:tcW w:type="dxa" w:w="5076"/>
          </w:tcPr>
          <w:p>
            <w:pPr>
              <w:pStyle w:val="null3"/>
              <w:jc w:val="left"/>
            </w:pPr>
            <w:r>
              <w:rPr/>
              <w:t>对供应商提供服务的人员培训方案进行评审，内容包括但不限于：①岗前培训；②在岗培训。涵盖上述所有内容且对上述各项内容描述全面、详细，可行性高，得6分；涵盖上述所有内容且对上述各项内容描述较全面、较详细，可行性较高，得4分；涵盖上述所有内容且对上述各项内容描述基本全面、基本具体，可行性一般，得2分；涵盖上述所有内容但对上述各项内容描述不够全面、不够具体，可行性低，得1分；不提供得0分。</w:t>
            </w:r>
          </w:p>
        </w:tc>
      </w:tr>
      <w:tr>
        <w:tc>
          <w:tcPr>
            <w:tcW w:type="dxa" w:w="922"/>
            <w:gridSpan w:val="2"/>
            <w:vMerge/>
          </w:tcPr>
          <w:p/>
        </w:tc>
        <w:tc>
          <w:tcPr>
            <w:tcW w:type="dxa" w:w="2307"/>
          </w:tcPr>
          <w:p>
            <w:pPr>
              <w:pStyle w:val="null3"/>
              <w:jc w:val="left"/>
            </w:pPr>
            <w:r>
              <w:rPr/>
              <w:t>服务质量保障措施 (8.0分)</w:t>
            </w:r>
            <w:r>
              <w:rPr/>
              <w:t>，（等次分值选择：</w:t>
            </w:r>
            <w:r>
              <w:rPr/>
              <w:t>0.0;</w:t>
            </w:r>
            <w:r>
              <w:rPr/>
              <w:t>1.0;</w:t>
            </w:r>
            <w:r>
              <w:rPr/>
              <w:t>3.0;</w:t>
            </w:r>
            <w:r>
              <w:rPr/>
              <w:t>5.0;</w:t>
            </w:r>
            <w:r>
              <w:rPr/>
              <w:t>8.0;</w:t>
            </w:r>
            <w:r>
              <w:rPr/>
              <w:t>）</w:t>
            </w:r>
          </w:p>
        </w:tc>
        <w:tc>
          <w:tcPr>
            <w:tcW w:type="dxa" w:w="5076"/>
          </w:tcPr>
          <w:p>
            <w:pPr>
              <w:pStyle w:val="null3"/>
              <w:jc w:val="left"/>
            </w:pPr>
            <w:r>
              <w:rPr/>
              <w:t>对供应商根据服务内容提供的项目服务质量保障措施方案进行评审，内容包括但不限于：①服务质量控制措施；②安全作业保证措施。涵盖上述所有内容且对上述各项内容描述全面，详细合理，可行性高，得8分；涵盖上述所有内容且对上述各项内容描述较全面，较详细、合理，可行性较高，得5分；涵盖上述所有内容且对上述各项内容描述基本全面、基本具体、合理，可行性一般，得3分；涵盖上述所有内容但对上述各项内容描述不够全面、不够具体、合理，可行性低，得1分；不提供得0分。</w:t>
            </w:r>
          </w:p>
        </w:tc>
      </w:tr>
      <w:tr>
        <w:tc>
          <w:tcPr>
            <w:tcW w:type="dxa" w:w="922"/>
            <w:gridSpan w:val="2"/>
            <w:vMerge/>
          </w:tcPr>
          <w:p/>
        </w:tc>
        <w:tc>
          <w:tcPr>
            <w:tcW w:type="dxa" w:w="2307"/>
          </w:tcPr>
          <w:p>
            <w:pPr>
              <w:pStyle w:val="null3"/>
              <w:jc w:val="left"/>
            </w:pPr>
            <w:r>
              <w:rPr/>
              <w:t>应急处理方案 (5.0分)</w:t>
            </w:r>
            <w:r>
              <w:rPr/>
              <w:t>，（等次分值选择：</w:t>
            </w:r>
            <w:r>
              <w:rPr/>
              <w:t>0.0;</w:t>
            </w:r>
            <w:r>
              <w:rPr/>
              <w:t>1.0;</w:t>
            </w:r>
            <w:r>
              <w:rPr/>
              <w:t>3.0;</w:t>
            </w:r>
            <w:r>
              <w:rPr/>
              <w:t>4.0;</w:t>
            </w:r>
            <w:r>
              <w:rPr/>
              <w:t>5.0;</w:t>
            </w:r>
            <w:r>
              <w:rPr/>
              <w:t>）</w:t>
            </w:r>
          </w:p>
        </w:tc>
        <w:tc>
          <w:tcPr>
            <w:tcW w:type="dxa" w:w="5076"/>
          </w:tcPr>
          <w:p>
            <w:pPr>
              <w:pStyle w:val="null3"/>
              <w:jc w:val="left"/>
            </w:pPr>
            <w:r>
              <w:rPr/>
              <w:t>对供应商提供的应急处理方案进行评审，内容包括但不限于：①传达机制；②人员和设备调配；③责任分工。涵盖上述所有内容且对上述各项内容描述全面，详细合理，可行性高，得5分；涵盖上述所有内容且对上述各项内容描述较全面，较详细、合理，可行性较高，得4分；涵盖上述所有内容且对上述各项内容描述基本全面、基本具体、合理，可行性一般，得3分；涵盖上述所有内容但对上述各项内容描述不够全面、不够具体、合理，可行性低，得1分；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采购需求主要商务要求响应情况 (5.0分)</w:t>
            </w:r>
          </w:p>
        </w:tc>
        <w:tc>
          <w:tcPr>
            <w:tcW w:type="dxa" w:w="5076"/>
          </w:tcPr>
          <w:p>
            <w:pPr>
              <w:pStyle w:val="null3"/>
              <w:jc w:val="left"/>
            </w:pPr>
            <w:r>
              <w:rPr/>
              <w:t>供应商完全响应项目采购需求主要商务要求得5分； 【注：存在负偏离条款不得分。提供《商务条款响应表》。】</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供应商自2021年1月1日（以合同签订时间为准）具有同类生物防制项目或登革热或除四害消杀项目业绩，每提供一个业绩得1分，最高得6分。 【备注：需要提供合同（或协议）的关键页复印件（含签订合同（或协议）双方的单位名称、合同（或协议）项目名称、签订合同（或协议）双方的落款盖章、签订日期），合同关键页内容须完整清晰，不清晰或未按要求提供不得分。】</w:t>
            </w:r>
          </w:p>
        </w:tc>
      </w:tr>
      <w:tr>
        <w:tc>
          <w:tcPr>
            <w:tcW w:type="dxa" w:w="922"/>
            <w:gridSpan w:val="2"/>
            <w:vMerge/>
          </w:tcPr>
          <w:p/>
        </w:tc>
        <w:tc>
          <w:tcPr>
            <w:tcW w:type="dxa" w:w="2307"/>
          </w:tcPr>
          <w:p>
            <w:pPr>
              <w:pStyle w:val="null3"/>
              <w:jc w:val="left"/>
            </w:pPr>
            <w:r>
              <w:rPr/>
              <w:t>用户满意度评价 (4.0分)</w:t>
            </w:r>
          </w:p>
        </w:tc>
        <w:tc>
          <w:tcPr>
            <w:tcW w:type="dxa" w:w="5076"/>
          </w:tcPr>
          <w:p>
            <w:pPr>
              <w:pStyle w:val="null3"/>
              <w:jc w:val="left"/>
            </w:pPr>
            <w:r>
              <w:rPr/>
              <w:t>供应商提供符合上述要求的同类项目业绩的用户单位出具的满意度评价，评价情况至少为“满意或优秀或90分以上等类似好评的”方可计分，每提供一项得1分，最高4分。 【注：评价证明材料须与供应商上述提供的2021年1月1日至今的同类项目业绩的用户单位一致，用户满意度评价须经用户单位盖章。】</w:t>
            </w:r>
          </w:p>
        </w:tc>
      </w:tr>
      <w:tr>
        <w:tc>
          <w:tcPr>
            <w:tcW w:type="dxa" w:w="922"/>
            <w:gridSpan w:val="2"/>
            <w:vMerge/>
          </w:tcPr>
          <w:p/>
        </w:tc>
        <w:tc>
          <w:tcPr>
            <w:tcW w:type="dxa" w:w="2307"/>
          </w:tcPr>
          <w:p>
            <w:pPr>
              <w:pStyle w:val="null3"/>
              <w:jc w:val="left"/>
            </w:pPr>
            <w:r>
              <w:rPr/>
              <w:t>拟投入本项目团队人员 (9.0分)</w:t>
            </w:r>
          </w:p>
        </w:tc>
        <w:tc>
          <w:tcPr>
            <w:tcW w:type="dxa" w:w="5076"/>
          </w:tcPr>
          <w:p>
            <w:pPr>
              <w:pStyle w:val="null3"/>
              <w:jc w:val="left"/>
            </w:pPr>
            <w:r>
              <w:rPr/>
              <w:t>拟投入本项目团队人员中具备有害生物防制员初级（五级）职业资格证书（技能等级证书）每个得1分,；具备有害生物防制员中级（四级）职业资格证书（技能等级证书）每个得2分；具备有害生物防制员高级（三级）（或以上）职业资格证书（技能等级证书）的，每个得3分，可累计得分，本项最高得9分。 【注：提供人员身份证及有害生物防制员相关证书，提供响应文件截止日之前3个月内任意一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体系认证证书 (3.0分)</w:t>
            </w:r>
          </w:p>
        </w:tc>
        <w:tc>
          <w:tcPr>
            <w:tcW w:type="dxa" w:w="5076"/>
          </w:tcPr>
          <w:p>
            <w:pPr>
              <w:pStyle w:val="null3"/>
              <w:jc w:val="left"/>
            </w:pPr>
            <w:r>
              <w:rPr/>
              <w:t>供应商具有有效期内的质量管理体系认证证书、环境管理体系认证证书、职业健康安全管理体系认证证书，每提供一个得1分，最高得3分。 【注：须提供以上证书复印件并加盖公章，并同时提供以上证书在全国认证认可信息公共服务平台（http://cx.cnca.cn/CertECloud/index/index/page/）对该证书的信息查询截图作为评审依据，已失效或撤销的不得分。供应商因成立时间不足3个月的，可对应得分】</w:t>
            </w:r>
          </w:p>
        </w:tc>
      </w:tr>
      <w:tr>
        <w:tc>
          <w:tcPr>
            <w:tcW w:type="dxa" w:w="922"/>
            <w:gridSpan w:val="2"/>
            <w:vMerge/>
          </w:tcPr>
          <w:p/>
        </w:tc>
        <w:tc>
          <w:tcPr>
            <w:tcW w:type="dxa" w:w="2307"/>
          </w:tcPr>
          <w:p>
            <w:pPr>
              <w:pStyle w:val="null3"/>
              <w:jc w:val="left"/>
            </w:pPr>
            <w:r>
              <w:rPr/>
              <w:t>拟投入本项目车辆情况 (3.0分)</w:t>
            </w:r>
          </w:p>
        </w:tc>
        <w:tc>
          <w:tcPr>
            <w:tcW w:type="dxa" w:w="5076"/>
          </w:tcPr>
          <w:p>
            <w:pPr>
              <w:pStyle w:val="null3"/>
              <w:jc w:val="left"/>
            </w:pPr>
            <w:r>
              <w:rPr/>
              <w:t>拟投入本项目使用的小型工作车，每提供1台得1.5分，本项满分为3分。 【注：如为供应商自有车辆，需提供车辆行驶证或购置发票扫描件。如为租赁车辆的，需同时提供租赁协议、租赁发票及车辆行驶证扫描件。未提供或提供不全或证明材料不清晰评委无法辨认，则不得分。】</w:t>
            </w:r>
          </w:p>
        </w:tc>
      </w:tr>
      <w:tr>
        <w:tc>
          <w:tcPr>
            <w:tcW w:type="dxa" w:w="922"/>
            <w:gridSpan w:val="2"/>
            <w:vMerge/>
          </w:tcPr>
          <w:p/>
        </w:tc>
        <w:tc>
          <w:tcPr>
            <w:tcW w:type="dxa" w:w="2307"/>
          </w:tcPr>
          <w:p>
            <w:pPr>
              <w:pStyle w:val="null3"/>
              <w:jc w:val="left"/>
            </w:pPr>
            <w:r>
              <w:rPr/>
              <w:t>拟本项目投入专业设备 (6.0分)</w:t>
            </w:r>
          </w:p>
        </w:tc>
        <w:tc>
          <w:tcPr>
            <w:tcW w:type="dxa" w:w="5076"/>
          </w:tcPr>
          <w:p>
            <w:pPr>
              <w:pStyle w:val="null3"/>
              <w:jc w:val="left"/>
            </w:pPr>
            <w:r>
              <w:rPr/>
              <w:t>根据供应商拟投入本项目设备设施进行评分： （1）每提供一台背负式机动超低容量机得0.5分，本小项最高2分。 （2）每提供一台背负式机动喷雾机得0.5分，本小项最高2分。 （3）每提供一台热烟雾机得0.5分，本小项最高1分。 （4）提供一台高压远程手推式喷雾机得1分。 【备注：本项最高得6分，须提供设备购买发票（如设备为租赁则需提供租用合同及租金发票）复印件及实物照片。拟投入的专业设备名称与评审项要求设备名称存在文字差异，但与评审项要求的设备具有同一使用功能，供应商须进一步作出说明。未提供或提供不全或证明材料不清晰评委无法辨认，则不得分。】</w:t>
            </w:r>
          </w:p>
        </w:tc>
      </w:tr>
      <w:tr>
        <w:tc>
          <w:tcPr>
            <w:tcW w:type="dxa" w:w="922"/>
            <w:gridSpan w:val="2"/>
            <w:vMerge/>
          </w:tcPr>
          <w:p/>
        </w:tc>
        <w:tc>
          <w:tcPr>
            <w:tcW w:type="dxa" w:w="2307"/>
          </w:tcPr>
          <w:p>
            <w:pPr>
              <w:pStyle w:val="null3"/>
              <w:jc w:val="left"/>
            </w:pPr>
            <w:r>
              <w:rPr/>
              <w:t>应急服务响应 (4.0分)</w:t>
            </w:r>
          </w:p>
        </w:tc>
        <w:tc>
          <w:tcPr>
            <w:tcW w:type="dxa" w:w="5076"/>
          </w:tcPr>
          <w:p>
            <w:pPr>
              <w:pStyle w:val="null3"/>
              <w:jc w:val="left"/>
            </w:pPr>
            <w:r>
              <w:rPr/>
              <w:t>应急服务响应：供应商承诺成交后收到采购人（电话或书面）通知委派人员需求后，能够在30分钟内（含本数）派相关人员到达采购人所在地提供服务，得4分；能够在1小时内（含本数）派相关人员到达采购人所在地提供服务，得2分；超过1小时派相关人员到达采购人所在地提供服务，得1分。 【注：本项最高得4分，须提供承诺函（格式自拟），否则无效。】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both"/>
      </w:pPr>
      <w:r>
        <w:rPr/>
        <w:t xml:space="preserve"> </w:t>
      </w:r>
    </w:p>
    <w:p>
      <w:pPr>
        <w:pStyle w:val="null3"/>
        <w:ind w:firstLine="480"/>
        <w:jc w:val="both"/>
      </w:pPr>
      <w:r>
        <w:rPr>
          <w:b/>
          <w:sz w:val="32"/>
        </w:rPr>
        <w:t>合同编号：</w:t>
      </w:r>
    </w:p>
    <w:p>
      <w:pPr>
        <w:pStyle w:val="null3"/>
        <w:ind w:firstLine="480"/>
        <w:jc w:val="both"/>
      </w:pPr>
    </w:p>
    <w:p>
      <w:pPr>
        <w:pStyle w:val="null3"/>
        <w:ind w:firstLine="420"/>
        <w:jc w:val="both"/>
      </w:pP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z w:val="52"/>
        </w:rPr>
        <w:t>广东省政府采购</w:t>
      </w:r>
    </w:p>
    <w:p>
      <w:pPr>
        <w:pStyle w:val="null3"/>
        <w:ind w:firstLine="480"/>
        <w:jc w:val="center"/>
      </w:pPr>
      <w:r>
        <w:rPr/>
        <w:t xml:space="preserve"> </w:t>
      </w:r>
    </w:p>
    <w:p>
      <w:pPr>
        <w:pStyle w:val="null3"/>
        <w:ind w:firstLine="480"/>
        <w:jc w:val="center"/>
      </w:pPr>
      <w:r>
        <w:rPr>
          <w:b/>
          <w:sz w:val="52"/>
        </w:rPr>
        <w:t>合同书</w:t>
      </w:r>
    </w:p>
    <w:p>
      <w:pPr>
        <w:pStyle w:val="null3"/>
        <w:ind w:firstLine="480"/>
        <w:jc w:val="both"/>
      </w:pPr>
      <w:r>
        <w:rPr>
          <w:sz w:val="21"/>
        </w:rPr>
        <w:t xml:space="preserve"> </w:t>
      </w:r>
    </w:p>
    <w:p>
      <w:pPr>
        <w:pStyle w:val="null3"/>
        <w:ind w:firstLine="480"/>
        <w:jc w:val="both"/>
      </w:pP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p>
            <w:pPr>
              <w:pStyle w:val="null3"/>
              <w:ind w:firstLine="380"/>
              <w:jc w:val="left"/>
            </w:pPr>
            <w:r>
              <w:rPr>
                <w:sz w:val="19"/>
              </w:rPr>
              <w:t xml:space="preserve"> </w:t>
            </w:r>
          </w:p>
          <w:p>
            <w:pPr>
              <w:pStyle w:val="null3"/>
              <w:ind w:firstLine="380"/>
              <w:jc w:val="left"/>
            </w:pPr>
            <w:r>
              <w:rPr>
                <w:sz w:val="19"/>
              </w:rPr>
              <w:t xml:space="preserve"> </w:t>
            </w:r>
          </w:p>
          <w:p>
            <w:pPr>
              <w:pStyle w:val="null3"/>
              <w:ind w:firstLine="380"/>
              <w:jc w:val="left"/>
            </w:pPr>
            <w:r>
              <w:rPr>
                <w:sz w:val="19"/>
              </w:rPr>
              <w:t xml:space="preserve"> </w:t>
            </w:r>
          </w:p>
          <w:p>
            <w:pPr>
              <w:pStyle w:val="null3"/>
              <w:ind w:firstLine="380"/>
              <w:jc w:val="left"/>
            </w:pPr>
            <w:r>
              <w:rPr>
                <w:b/>
                <w:sz w:val="28"/>
              </w:rPr>
              <w:t xml:space="preserve">       项目编号：</w:t>
            </w:r>
            <w:r>
              <w:rPr>
                <w:b/>
                <w:sz w:val="28"/>
                <w:u w:val="single"/>
              </w:rPr>
              <w:t>GDHY24ZC0301</w:t>
            </w:r>
          </w:p>
          <w:p>
            <w:pPr>
              <w:pStyle w:val="null3"/>
              <w:ind w:firstLine="38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19"/>
              </w:rPr>
              <w:t xml:space="preserve"> </w:t>
            </w:r>
          </w:p>
          <w:p>
            <w:pPr>
              <w:pStyle w:val="null3"/>
              <w:ind w:firstLine="380"/>
              <w:jc w:val="left"/>
            </w:pPr>
            <w:r>
              <w:rPr>
                <w:b/>
                <w:sz w:val="28"/>
              </w:rPr>
              <w:t xml:space="preserve">       项目名称：</w:t>
            </w:r>
            <w:r>
              <w:rPr>
                <w:b/>
                <w:sz w:val="28"/>
                <w:u w:val="single"/>
              </w:rPr>
              <w:t>南沙区横沥镇采购病媒生物防制服务项目</w:t>
            </w:r>
          </w:p>
          <w:p>
            <w:pPr>
              <w:pStyle w:val="null3"/>
              <w:ind w:firstLine="38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both"/>
      </w:pPr>
    </w:p>
    <w:p>
      <w:pPr>
        <w:pStyle w:val="null3"/>
        <w:ind w:firstLine="1569"/>
        <w:jc w:val="both"/>
      </w:pPr>
      <w:r>
        <w:rPr/>
        <w:t xml:space="preserve"> </w:t>
      </w:r>
    </w:p>
    <w:p>
      <w:pPr>
        <w:pStyle w:val="null3"/>
        <w:ind w:firstLine="1569"/>
        <w:jc w:val="both"/>
      </w:pPr>
      <w:r>
        <w:rPr>
          <w:b/>
          <w:sz w:val="28"/>
        </w:rPr>
        <w:t>甲方：</w:t>
      </w:r>
      <w:r>
        <w:rPr>
          <w:b/>
          <w:sz w:val="28"/>
          <w:u w:val="single"/>
        </w:rPr>
        <w:t>广州市南沙区横沥镇人民政府</w:t>
      </w:r>
    </w:p>
    <w:p>
      <w:pPr>
        <w:pStyle w:val="null3"/>
        <w:ind w:firstLine="1569"/>
        <w:jc w:val="both"/>
      </w:pPr>
      <w:r>
        <w:rPr/>
        <w:t xml:space="preserve"> </w:t>
      </w:r>
    </w:p>
    <w:p>
      <w:pPr>
        <w:pStyle w:val="null3"/>
        <w:ind w:firstLine="1569"/>
        <w:jc w:val="both"/>
      </w:pPr>
      <w:r>
        <w:rPr>
          <w:b/>
          <w:sz w:val="28"/>
        </w:rPr>
        <w:t>乙方：</w:t>
      </w:r>
      <w:r>
        <w:rPr>
          <w:b/>
          <w:sz w:val="21"/>
          <w:u w:val="single"/>
        </w:rPr>
        <w:t xml:space="preserve">                          </w:t>
      </w:r>
    </w:p>
    <w:p>
      <w:pPr>
        <w:pStyle w:val="null3"/>
        <w:ind w:firstLine="1569"/>
        <w:jc w:val="both"/>
      </w:pPr>
      <w:r>
        <w:rPr/>
        <w:t xml:space="preserve"> </w:t>
      </w:r>
    </w:p>
    <w:p>
      <w:pPr>
        <w:pStyle w:val="null3"/>
        <w:ind w:firstLine="1569"/>
        <w:jc w:val="both"/>
      </w:pPr>
      <w:r>
        <w:rPr>
          <w:b/>
          <w:sz w:val="28"/>
        </w:rPr>
        <w:t>签订日期：</w:t>
      </w:r>
      <w:r>
        <w:rPr>
          <w:b/>
          <w:sz w:val="28"/>
          <w:u w:val="single"/>
        </w:rPr>
        <w:t xml:space="preserve"> </w:t>
      </w:r>
      <w:r>
        <w:rPr>
          <w:b/>
          <w:sz w:val="28"/>
          <w:u w:val="single"/>
        </w:rPr>
        <w:t>202</w:t>
      </w:r>
      <w:r>
        <w:rPr>
          <w:b/>
          <w:sz w:val="28"/>
          <w:u w:val="single"/>
        </w:rPr>
        <w:t>4</w:t>
      </w:r>
      <w:r>
        <w:rPr>
          <w:b/>
          <w:sz w:val="28"/>
          <w:u w:val="single"/>
        </w:rPr>
        <w:t>年</w:t>
      </w:r>
      <w:r>
        <w:rPr>
          <w:b/>
          <w:sz w:val="21"/>
          <w:u w:val="single"/>
        </w:rPr>
        <w:t xml:space="preserve">   </w:t>
      </w:r>
      <w:r>
        <w:rPr>
          <w:b/>
          <w:sz w:val="28"/>
          <w:u w:val="single"/>
        </w:rPr>
        <w:t>月</w:t>
      </w:r>
      <w:r>
        <w:rPr>
          <w:b/>
          <w:sz w:val="21"/>
          <w:u w:val="single"/>
        </w:rPr>
        <w:t xml:space="preserve">   </w:t>
      </w:r>
      <w:r>
        <w:rPr>
          <w:b/>
          <w:sz w:val="28"/>
          <w:u w:val="single"/>
        </w:rPr>
        <w:t>日</w:t>
      </w:r>
      <w:r>
        <w:rPr>
          <w:b/>
          <w:sz w:val="28"/>
          <w:u w:val="single"/>
        </w:rPr>
        <w:t xml:space="preserve"> </w:t>
      </w:r>
    </w:p>
    <w:p>
      <w:pPr>
        <w:pStyle w:val="null3"/>
        <w:ind w:firstLine="1569"/>
        <w:jc w:val="both"/>
      </w:pPr>
      <w:r>
        <w:rPr/>
        <w:t xml:space="preserve"> </w:t>
      </w:r>
    </w:p>
    <w:p>
      <w:pPr>
        <w:pStyle w:val="null3"/>
        <w:ind w:firstLine="1569"/>
        <w:jc w:val="both"/>
      </w:pPr>
      <w:r>
        <w:rPr>
          <w:b/>
          <w:sz w:val="28"/>
        </w:rPr>
        <w:t>合同签署地：</w:t>
      </w:r>
      <w:r>
        <w:rPr>
          <w:b/>
          <w:sz w:val="28"/>
          <w:u w:val="single"/>
        </w:rPr>
        <w:t xml:space="preserve"> </w:t>
      </w:r>
      <w:r>
        <w:rPr>
          <w:b/>
          <w:sz w:val="28"/>
          <w:u w:val="single"/>
        </w:rPr>
        <w:t>广州市南沙区横沥镇</w:t>
      </w:r>
    </w:p>
    <w:p>
      <w:pPr>
        <w:pStyle w:val="null3"/>
        <w:ind w:firstLine="420"/>
        <w:jc w:val="both"/>
      </w:pPr>
    </w:p>
    <w:p>
      <w:pPr>
        <w:pStyle w:val="null3"/>
        <w:spacing w:before="195"/>
        <w:ind w:firstLine="480"/>
        <w:jc w:val="both"/>
      </w:pPr>
      <w:r>
        <w:rPr/>
        <w:t xml:space="preserve"> </w:t>
      </w:r>
    </w:p>
    <w:p>
      <w:pPr>
        <w:pStyle w:val="null3"/>
        <w:spacing w:before="195"/>
        <w:ind w:firstLine="480"/>
        <w:jc w:val="both"/>
      </w:pPr>
      <w:r>
        <w:rPr/>
        <w:t xml:space="preserve"> </w:t>
      </w:r>
    </w:p>
    <w:p>
      <w:pPr>
        <w:pStyle w:val="null3"/>
        <w:spacing w:before="195"/>
        <w:ind w:firstLine="480"/>
        <w:jc w:val="both"/>
      </w:pPr>
      <w:r>
        <w:rPr/>
        <w:t xml:space="preserve"> </w:t>
      </w:r>
    </w:p>
    <w:p>
      <w:pPr>
        <w:pStyle w:val="null3"/>
        <w:spacing w:before="195"/>
        <w:ind w:firstLine="480"/>
        <w:jc w:val="both"/>
      </w:pPr>
      <w:r>
        <w:rPr/>
        <w:t xml:space="preserve"> </w:t>
      </w:r>
    </w:p>
    <w:p>
      <w:pPr>
        <w:pStyle w:val="null3"/>
        <w:spacing w:before="195"/>
        <w:ind w:firstLine="480"/>
        <w:jc w:val="both"/>
      </w:pPr>
      <w:r>
        <w:rPr/>
        <w:t xml:space="preserve"> </w:t>
      </w:r>
    </w:p>
    <w:p>
      <w:pPr>
        <w:pStyle w:val="null3"/>
        <w:spacing w:before="195"/>
        <w:ind w:firstLine="480"/>
        <w:jc w:val="both"/>
      </w:pPr>
      <w:r>
        <w:rPr/>
        <w:t xml:space="preserve"> </w:t>
      </w:r>
    </w:p>
    <w:p>
      <w:pPr>
        <w:pStyle w:val="null3"/>
        <w:spacing w:before="195"/>
        <w:ind w:firstLine="480"/>
        <w:jc w:val="both"/>
      </w:pPr>
      <w:r>
        <w:rPr/>
        <w:t xml:space="preserve"> </w:t>
      </w:r>
    </w:p>
    <w:p>
      <w:pPr>
        <w:pStyle w:val="null3"/>
        <w:spacing w:before="195"/>
        <w:ind w:firstLine="480"/>
        <w:jc w:val="both"/>
      </w:pPr>
      <w:r>
        <w:rPr/>
        <w:t xml:space="preserve"> </w:t>
      </w:r>
    </w:p>
    <w:p>
      <w:pPr>
        <w:pStyle w:val="null3"/>
        <w:spacing w:before="195"/>
        <w:ind w:firstLine="480"/>
        <w:jc w:val="both"/>
      </w:pPr>
      <w:r>
        <w:rPr/>
        <w:t xml:space="preserve"> </w:t>
      </w:r>
    </w:p>
    <w:p>
      <w:pPr>
        <w:pStyle w:val="null3"/>
        <w:spacing w:before="195"/>
        <w:ind w:firstLine="480"/>
        <w:jc w:val="both"/>
      </w:pPr>
      <w:r>
        <w:rPr>
          <w:b/>
          <w:sz w:val="24"/>
        </w:rPr>
        <w:t>甲方：</w:t>
      </w:r>
      <w:r>
        <w:rPr>
          <w:sz w:val="24"/>
        </w:rPr>
        <w:t>广州市南沙区横沥镇人民政府</w:t>
      </w:r>
    </w:p>
    <w:p>
      <w:pPr>
        <w:pStyle w:val="null3"/>
        <w:spacing w:before="120"/>
        <w:ind w:firstLine="480"/>
        <w:jc w:val="both"/>
      </w:pPr>
      <w:r>
        <w:rPr>
          <w:sz w:val="24"/>
        </w:rPr>
        <w:t>地址：广州市南沙区横沥镇兆丰路3号</w:t>
      </w:r>
    </w:p>
    <w:p>
      <w:pPr>
        <w:pStyle w:val="null3"/>
        <w:spacing w:before="120"/>
        <w:ind w:firstLine="480"/>
        <w:jc w:val="both"/>
      </w:pPr>
      <w:r>
        <w:rPr>
          <w:sz w:val="24"/>
        </w:rPr>
        <w:t>联系人：</w:t>
      </w:r>
    </w:p>
    <w:p>
      <w:pPr>
        <w:pStyle w:val="null3"/>
        <w:spacing w:before="120"/>
        <w:ind w:firstLine="480"/>
        <w:jc w:val="both"/>
      </w:pPr>
      <w:r>
        <w:rPr>
          <w:sz w:val="24"/>
        </w:rPr>
        <w:t>联系方式：</w:t>
      </w:r>
    </w:p>
    <w:p>
      <w:pPr>
        <w:pStyle w:val="null3"/>
        <w:spacing w:before="120"/>
        <w:ind w:firstLine="480"/>
        <w:jc w:val="both"/>
      </w:pPr>
      <w:r>
        <w:rPr/>
        <w:t xml:space="preserve"> </w:t>
      </w:r>
    </w:p>
    <w:p>
      <w:pPr>
        <w:pStyle w:val="null3"/>
        <w:spacing w:before="120"/>
        <w:ind w:firstLine="480"/>
        <w:jc w:val="both"/>
      </w:pPr>
      <w:r>
        <w:rPr>
          <w:b/>
          <w:sz w:val="24"/>
        </w:rPr>
        <w:t>乙方：</w:t>
      </w:r>
    </w:p>
    <w:p>
      <w:pPr>
        <w:pStyle w:val="null3"/>
        <w:spacing w:before="120"/>
        <w:ind w:firstLine="480"/>
        <w:jc w:val="both"/>
      </w:pPr>
      <w:r>
        <w:rPr>
          <w:sz w:val="24"/>
        </w:rPr>
        <w:t>地址：</w:t>
      </w:r>
    </w:p>
    <w:p>
      <w:pPr>
        <w:pStyle w:val="null3"/>
        <w:spacing w:before="120"/>
        <w:ind w:firstLine="480"/>
        <w:jc w:val="both"/>
      </w:pPr>
      <w:r>
        <w:rPr>
          <w:sz w:val="24"/>
        </w:rPr>
        <w:t>联系人：</w:t>
      </w:r>
    </w:p>
    <w:p>
      <w:pPr>
        <w:pStyle w:val="null3"/>
        <w:spacing w:before="120"/>
        <w:jc w:val="both"/>
      </w:pPr>
      <w:r>
        <w:rPr>
          <w:sz w:val="24"/>
        </w:rPr>
        <w:t>联系方式：</w:t>
      </w:r>
    </w:p>
    <w:p>
      <w:pPr>
        <w:pStyle w:val="null3"/>
        <w:spacing w:before="30"/>
        <w:ind w:left="105" w:right="150" w:firstLine="528"/>
        <w:jc w:val="both"/>
      </w:pPr>
      <w:r>
        <w:rPr>
          <w:sz w:val="24"/>
        </w:rPr>
        <w:t>根据</w:t>
      </w:r>
      <w:r>
        <w:rPr>
          <w:sz w:val="24"/>
          <w:u w:val="single"/>
        </w:rPr>
        <w:t>南沙区横沥镇采购病媒生物防制服务项目</w:t>
      </w:r>
      <w:r>
        <w:rPr>
          <w:sz w:val="24"/>
        </w:rPr>
        <w:t>的采购结果，按照《中华人民共和国政府采购法》《中华人民共和国民法典》的规定，经双方协商，本着平等互利和诚实信用的原则，一致同意遵守本合同如下。</w:t>
      </w:r>
    </w:p>
    <w:p>
      <w:pPr>
        <w:pStyle w:val="null3"/>
        <w:ind w:firstLine="426"/>
        <w:jc w:val="both"/>
      </w:pPr>
      <w:r>
        <w:rPr>
          <w:b/>
          <w:sz w:val="24"/>
        </w:rPr>
        <w:t>一、合同价款</w:t>
      </w:r>
    </w:p>
    <w:p>
      <w:pPr>
        <w:pStyle w:val="null3"/>
        <w:ind w:firstLine="424"/>
        <w:jc w:val="both"/>
      </w:pPr>
      <w:r>
        <w:rPr>
          <w:sz w:val="24"/>
        </w:rPr>
        <w:t>合同总金额为¥</w:t>
      </w:r>
      <w:r>
        <w:rPr>
          <w:sz w:val="24"/>
          <w:u w:val="single"/>
        </w:rPr>
        <w:t xml:space="preserve">   </w:t>
      </w:r>
      <w:r>
        <w:rPr>
          <w:sz w:val="24"/>
        </w:rPr>
        <w:t>元（大写：人民币</w:t>
      </w:r>
      <w:r>
        <w:rPr>
          <w:sz w:val="24"/>
          <w:u w:val="single"/>
        </w:rPr>
        <w:t xml:space="preserve">   </w:t>
      </w:r>
      <w:r>
        <w:rPr>
          <w:sz w:val="24"/>
        </w:rPr>
        <w:t>元）。</w:t>
      </w:r>
    </w:p>
    <w:p>
      <w:pPr>
        <w:pStyle w:val="null3"/>
        <w:ind w:firstLine="424"/>
        <w:jc w:val="both"/>
      </w:pPr>
      <w:r>
        <w:rPr>
          <w:sz w:val="24"/>
        </w:rPr>
        <w:t>注：合同总额包含了乙方完成本项目所需的成本、合理利润、不可预见风险等所有费用。因市场物价影响而波动的，甲方无须向乙方支付任何约定外费用，双方另有约定的除外。</w:t>
      </w:r>
    </w:p>
    <w:p>
      <w:pPr>
        <w:pStyle w:val="null3"/>
        <w:ind w:firstLine="413"/>
        <w:jc w:val="both"/>
      </w:pPr>
      <w:r>
        <w:rPr>
          <w:b/>
          <w:sz w:val="24"/>
        </w:rPr>
        <w:t>二、项目概述</w:t>
      </w:r>
    </w:p>
    <w:p>
      <w:pPr>
        <w:pStyle w:val="null3"/>
        <w:ind w:firstLine="411"/>
        <w:jc w:val="both"/>
      </w:pPr>
      <w:r>
        <w:rPr>
          <w:sz w:val="24"/>
        </w:rPr>
        <w:t>(一)服务期限：2年，</w:t>
      </w:r>
      <w:r>
        <w:rPr>
          <w:sz w:val="24"/>
          <w:u w:val="single"/>
        </w:rPr>
        <w:t>自</w:t>
      </w:r>
      <w:r>
        <w:rPr>
          <w:sz w:val="24"/>
          <w:u w:val="single"/>
        </w:rPr>
        <w:t>2024</w:t>
      </w:r>
      <w:r>
        <w:rPr>
          <w:sz w:val="24"/>
          <w:u w:val="single"/>
        </w:rPr>
        <w:t>年</w:t>
      </w:r>
      <w:r>
        <w:rPr>
          <w:sz w:val="24"/>
          <w:u w:val="single"/>
        </w:rPr>
        <w:t xml:space="preserve">  </w:t>
      </w:r>
      <w:r>
        <w:rPr>
          <w:sz w:val="24"/>
          <w:u w:val="single"/>
        </w:rPr>
        <w:t>月</w:t>
      </w:r>
      <w:r>
        <w:rPr>
          <w:sz w:val="24"/>
          <w:u w:val="single"/>
        </w:rPr>
        <w:t xml:space="preserve">  </w:t>
      </w:r>
      <w:r>
        <w:rPr>
          <w:sz w:val="24"/>
          <w:u w:val="single"/>
        </w:rPr>
        <w:t>日至</w:t>
      </w:r>
      <w:r>
        <w:rPr>
          <w:sz w:val="24"/>
          <w:u w:val="single"/>
        </w:rPr>
        <w:t>2026</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rPr>
        <w:t>。</w:t>
      </w:r>
    </w:p>
    <w:p>
      <w:pPr>
        <w:pStyle w:val="null3"/>
        <w:ind w:firstLine="411"/>
        <w:jc w:val="both"/>
      </w:pPr>
      <w:r>
        <w:rPr>
          <w:sz w:val="24"/>
        </w:rPr>
        <w:t>(二)服务地点：广州市南沙区横沥镇</w:t>
      </w:r>
    </w:p>
    <w:p>
      <w:pPr>
        <w:pStyle w:val="null3"/>
      </w:pPr>
      <w:r>
        <w:rPr>
          <w:sz w:val="24"/>
        </w:rPr>
        <w:t>(三)服务范围即消杀范围包括：前进村、新兴村、大元村、庙南村、冯马一村、冯马二村、冯马三村、东方红村、太阳升村、群结村、新村村、庙贝社区和兆丰社区、义沙村8队等公共区域(含绿化带、下水道、垃圾桶、公共卫生间等蚊虫孳生地）。</w:t>
      </w:r>
    </w:p>
    <w:p>
      <w:pPr>
        <w:pStyle w:val="null3"/>
        <w:ind w:firstLine="422"/>
        <w:jc w:val="both"/>
      </w:pPr>
      <w:r>
        <w:rPr>
          <w:b/>
          <w:sz w:val="24"/>
        </w:rPr>
        <w:t>三、服务内容</w:t>
      </w:r>
    </w:p>
    <w:p>
      <w:pPr>
        <w:pStyle w:val="null3"/>
        <w:ind w:firstLine="422"/>
        <w:jc w:val="both"/>
      </w:pPr>
      <w:r>
        <w:rPr>
          <w:b/>
          <w:sz w:val="24"/>
        </w:rPr>
        <w:t>（一）病媒生物防制及孳生地处理主要工作内容</w:t>
      </w:r>
    </w:p>
    <w:p>
      <w:pPr>
        <w:pStyle w:val="null3"/>
        <w:ind w:firstLine="420"/>
        <w:jc w:val="both"/>
      </w:pPr>
      <w:r>
        <w:rPr>
          <w:sz w:val="24"/>
        </w:rPr>
        <w:t>1.防蚊灭蚊</w:t>
      </w:r>
    </w:p>
    <w:p>
      <w:pPr>
        <w:pStyle w:val="null3"/>
        <w:ind w:firstLine="420"/>
        <w:jc w:val="both"/>
      </w:pPr>
      <w:r>
        <w:rPr>
          <w:sz w:val="24"/>
        </w:rPr>
        <w:t>成蚊消杀频率：蚊媒孳生高峰期以及登革热疾病传播活跃期（4至11月）防蚊灭蚊化学消杀工作每月不少于4轮次；低峰期（1至3月，12月）每月消杀不少于2轮次。为有效预防登革热疾病传播，根据实际工作情况适当增加消杀频次，控制蚊虫的孳生，做好蚊虫孳生地的清理工作，降低蚊虫的繁殖数量，定期清查蚊幼虫的孳生场所，每月要定期对各村（社区）完成蚊虫孳生地的清理工作，采取针对主要蚊种的防治措施和确定每处孳生地的处理措施，如清除、疏通、填平、覆盖投放杀幼虫药剂等。</w:t>
      </w:r>
    </w:p>
    <w:p>
      <w:pPr>
        <w:pStyle w:val="null3"/>
        <w:ind w:firstLine="420"/>
        <w:jc w:val="both"/>
      </w:pPr>
      <w:r>
        <w:rPr>
          <w:sz w:val="24"/>
        </w:rPr>
        <w:t>2.防蟑灭蟑</w:t>
      </w:r>
    </w:p>
    <w:p>
      <w:pPr>
        <w:pStyle w:val="null3"/>
        <w:ind w:firstLine="420"/>
        <w:jc w:val="both"/>
      </w:pPr>
      <w:r>
        <w:rPr>
          <w:sz w:val="24"/>
        </w:rPr>
        <w:t>每年根据蟑螂孳生的重点时期，使用烟雾机全面灭杀下水渠，每周1轮次，每年不少于26轮次，并对孳生地进行处理；为镇辖区的小餐饮、企业提供防蟑灭蟑的技术支持。</w:t>
      </w:r>
    </w:p>
    <w:p>
      <w:pPr>
        <w:pStyle w:val="null3"/>
        <w:ind w:firstLine="420"/>
        <w:jc w:val="both"/>
      </w:pPr>
      <w:r>
        <w:rPr>
          <w:sz w:val="24"/>
        </w:rPr>
        <w:t>3.防蝇灭蝇</w:t>
      </w:r>
    </w:p>
    <w:p>
      <w:pPr>
        <w:pStyle w:val="null3"/>
        <w:ind w:firstLine="420"/>
        <w:jc w:val="both"/>
      </w:pPr>
      <w:r>
        <w:rPr>
          <w:sz w:val="24"/>
        </w:rPr>
        <w:t>春、秋两季蝇类繁殖高峰期每月对镇区内的公共厕所、垃圾收集点等公共区域开展防蝇灭蝇不少于2次，并进行孳生地处理工作。</w:t>
      </w:r>
    </w:p>
    <w:p>
      <w:pPr>
        <w:pStyle w:val="null3"/>
        <w:ind w:firstLine="420"/>
        <w:jc w:val="both"/>
      </w:pPr>
      <w:r>
        <w:rPr>
          <w:sz w:val="24"/>
        </w:rPr>
        <w:t>4.防鼠灭鼠</w:t>
      </w:r>
    </w:p>
    <w:p>
      <w:pPr>
        <w:pStyle w:val="null3"/>
        <w:ind w:firstLine="420"/>
        <w:jc w:val="both"/>
      </w:pPr>
      <w:r>
        <w:rPr>
          <w:sz w:val="24"/>
        </w:rPr>
        <w:t>每周对镇区内的毒鼠屋按标准投放（补充）毒鼠谷至少1次，确保毒鼠谷新鲜；并对镇内的毒鼠设施进行日常管养维护。</w:t>
      </w:r>
    </w:p>
    <w:p>
      <w:pPr>
        <w:pStyle w:val="null3"/>
        <w:ind w:firstLine="420"/>
        <w:jc w:val="both"/>
      </w:pPr>
      <w:r>
        <w:rPr>
          <w:sz w:val="24"/>
        </w:rPr>
        <w:t>5.通过生物防制、物理防制、化学防制、生物制剂毒杀，从根本上消除蚊虫孳生条件，确定达标区和防制区的范围，力争能达到国家规定的防制标准。</w:t>
      </w:r>
    </w:p>
    <w:p>
      <w:pPr>
        <w:pStyle w:val="null3"/>
        <w:ind w:firstLine="420"/>
        <w:jc w:val="both"/>
      </w:pPr>
      <w:r>
        <w:rPr>
          <w:sz w:val="24"/>
        </w:rPr>
        <w:t>6.乙方需要配备交通工具以及工作器械（包括但不限于小型工作车辆2台、背负式机动超低容量机4台、背负式机动喷雾机4台、热烟雾机2台、高压远程手推式喷雾机1台等），其他器械根据实际情况配备。</w:t>
      </w:r>
    </w:p>
    <w:p>
      <w:pPr>
        <w:pStyle w:val="null3"/>
        <w:ind w:firstLine="420"/>
        <w:jc w:val="both"/>
      </w:pPr>
      <w:r>
        <w:rPr>
          <w:sz w:val="24"/>
        </w:rPr>
        <w:t>7.针对各级部门及第三方对病媒生物监测检查的情况，对蚊媒超标区域进行成蚊灭杀及孳生地处理直至达标。</w:t>
      </w:r>
    </w:p>
    <w:p>
      <w:pPr>
        <w:pStyle w:val="null3"/>
        <w:ind w:firstLine="420"/>
        <w:jc w:val="both"/>
      </w:pPr>
      <w:r>
        <w:rPr>
          <w:sz w:val="24"/>
        </w:rPr>
        <w:t>8.按国家标准做好所有消杀区域和重点场所的四害防制工作。</w:t>
      </w:r>
    </w:p>
    <w:p>
      <w:pPr>
        <w:pStyle w:val="null3"/>
        <w:ind w:firstLine="420"/>
        <w:jc w:val="both"/>
      </w:pPr>
      <w:r>
        <w:rPr>
          <w:sz w:val="24"/>
        </w:rPr>
        <w:t>9.按市、区、镇的工作要求和登革热等病媒生物引发的疫情突发应急处置工作，积极完成镇公共服务办安排的其他工作。</w:t>
      </w:r>
    </w:p>
    <w:p>
      <w:pPr>
        <w:pStyle w:val="null3"/>
        <w:ind w:firstLine="422"/>
        <w:jc w:val="both"/>
      </w:pPr>
      <w:r>
        <w:rPr>
          <w:b/>
          <w:sz w:val="24"/>
        </w:rPr>
        <w:t>（二）配合落实日常四害监测工作</w:t>
      </w:r>
    </w:p>
    <w:p>
      <w:pPr>
        <w:pStyle w:val="null3"/>
        <w:ind w:firstLine="420"/>
        <w:jc w:val="both"/>
      </w:pPr>
      <w:r>
        <w:rPr>
          <w:sz w:val="24"/>
        </w:rPr>
        <w:t>1.协助各级病媒生物监测单位开展横沥镇内外环境日常蚊媒和四害监测任务，配合市、区对病媒生物监测工作的开展，掌握本区蚊媒消长情况，对存在问题及时向甲方沟通反馈，处理本区域内的病媒超标情况，确保横沥镇病媒生物防制水平达到国家标准。</w:t>
      </w:r>
    </w:p>
    <w:p>
      <w:pPr>
        <w:pStyle w:val="null3"/>
        <w:ind w:firstLine="420"/>
        <w:jc w:val="both"/>
      </w:pPr>
      <w:r>
        <w:rPr>
          <w:sz w:val="24"/>
        </w:rPr>
        <w:t>2.配合完成公共服务办及上级部门交办的临时性病媒生物防制任务。</w:t>
      </w:r>
    </w:p>
    <w:p>
      <w:pPr>
        <w:pStyle w:val="null3"/>
        <w:ind w:firstLine="420"/>
        <w:jc w:val="both"/>
      </w:pPr>
      <w:r>
        <w:rPr>
          <w:sz w:val="24"/>
        </w:rPr>
        <w:t>3.统计汇总分析上级单位对横沥镇病媒生物防制监测数据，落实上级部门组织的病媒生物监测整改，做好日常工作的资料台账，并每周进行上报。</w:t>
      </w:r>
    </w:p>
    <w:p>
      <w:pPr>
        <w:pStyle w:val="null3"/>
        <w:ind w:firstLine="426"/>
        <w:jc w:val="both"/>
      </w:pPr>
      <w:r>
        <w:rPr>
          <w:b/>
          <w:sz w:val="24"/>
        </w:rPr>
        <w:t>四、绩效考核和评估</w:t>
      </w:r>
    </w:p>
    <w:p>
      <w:pPr>
        <w:pStyle w:val="null3"/>
        <w:ind w:firstLine="420"/>
        <w:jc w:val="both"/>
      </w:pPr>
      <w:r>
        <w:rPr>
          <w:sz w:val="24"/>
        </w:rPr>
        <w:t>（一）公共服务办、各村（社区）根据本合同以及工作职责，制定业务考核规则和考核表，每月对乙方（PCO）的工作质量和效果进行考评和评估，按工作的实际完成情况支付服务费用。</w:t>
      </w:r>
    </w:p>
    <w:p>
      <w:pPr>
        <w:pStyle w:val="null3"/>
        <w:ind w:firstLine="420"/>
        <w:jc w:val="both"/>
      </w:pPr>
      <w:r>
        <w:rPr>
          <w:sz w:val="24"/>
        </w:rPr>
        <w:t>（二）镇公共服务办和各村（社区）考评得分总和为考核总得分（镇公共服务办占考核比例60%，各村（社区）占考核比例40%），85分以上全额发放服务费；低于85分的每一分扣除2000元，并于下一次支付服务费时扣除。</w:t>
      </w:r>
    </w:p>
    <w:p>
      <w:pPr>
        <w:pStyle w:val="null3"/>
        <w:ind w:firstLine="420"/>
        <w:jc w:val="both"/>
      </w:pPr>
      <w:r>
        <w:rPr>
          <w:sz w:val="24"/>
        </w:rPr>
        <w:t>（三）考核评分：合同期内，一年内累计两次考核评分低于85分的，甲方有权根据合同规定解除合作关系。考评周期以月为单位，甲方依据考评结果给付乙方一季度（三个月）承包费。具体考核评分标准（总分100分）如下：</w:t>
      </w:r>
    </w:p>
    <w:tbl>
      <w:tblPr>
        <w:tblW w:w="0" w:type="auto"/>
        <w:tblBorders>
          <w:top w:val="none" w:color="000000" w:sz="4"/>
          <w:left w:val="none" w:color="000000" w:sz="4"/>
          <w:bottom w:val="none" w:color="000000" w:sz="4"/>
          <w:right w:val="none" w:color="000000" w:sz="4"/>
          <w:insideH w:val="none"/>
          <w:insideV w:val="none"/>
        </w:tblBorders>
      </w:tblPr>
      <w:tblGrid>
        <w:gridCol w:w="575"/>
        <w:gridCol w:w="1180"/>
        <w:gridCol w:w="5488"/>
        <w:gridCol w:w="1017"/>
      </w:tblGrid>
      <w:tr>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项目</w:t>
            </w:r>
          </w:p>
        </w:tc>
        <w:tc>
          <w:tcPr>
            <w:tcW w:type="dxa" w:w="5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考核标准</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分值</w:t>
            </w:r>
          </w:p>
        </w:tc>
      </w:tr>
      <w:tr>
        <w:tc>
          <w:tcPr>
            <w:tcW w:type="dxa" w:w="5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台帐建立</w:t>
            </w: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做好日常除四害工作的资料台账，不齐全每项扣2分，没有扣4分（每日工作台帐、孳生地清理工作台帐、药品使用登记台帐、村级单位灭蚊周记、各村居干部签字消杀确认记录表）</w:t>
            </w:r>
          </w:p>
        </w:tc>
        <w:tc>
          <w:tcPr>
            <w:tcW w:type="dxa" w:w="10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每月工作人员考勤名单当月3日前上报公服办（包含联系方式、负责区域、作业时间等信息），人员有更换的3天内更新上报，不及时上报或未上报的扣5分</w:t>
            </w:r>
          </w:p>
        </w:tc>
        <w:tc>
          <w:tcPr>
            <w:tcW w:type="dxa" w:w="1017"/>
            <w:vMerge/>
            <w:tcBorders>
              <w:top w:val="none" w:color="000000" w:sz="4"/>
              <w:left w:val="single" w:color="000000" w:sz="4"/>
              <w:bottom w:val="single" w:color="000000" w:sz="4"/>
              <w:right w:val="single" w:color="000000" w:sz="4"/>
            </w:tcBorders>
          </w:tcPr>
          <w:p/>
        </w:tc>
      </w:tr>
      <w:tr>
        <w:tc>
          <w:tcPr>
            <w:tcW w:type="dxa" w:w="5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工作质量</w:t>
            </w: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辖区范围消杀次数达不到每月四轮次，扣2分</w:t>
            </w:r>
          </w:p>
        </w:tc>
        <w:tc>
          <w:tcPr>
            <w:tcW w:type="dxa" w:w="10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布雷图指数监测超过监测标准，并被通报（一级扣2分，二级扣3分，三级扣4分）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药品调配浓度低于使用说明书致使蚊媒孳生，发现一次，扣2分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使用的药品不在保质期内或药品已变质，发现一次，扣2分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对消杀服务质量不合格的有效投诉（经验证属实的投诉），经用人单位要求重新处理仍处理不到位，扣5分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消杀过程有地点遗漏，一处扣2分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上级部门检查病媒生物防制工作不达标的，省级检查不达标扣20分，市级检查不达标扣10分，区级检查不达标扣5分，镇级检查不达标扣3分。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在重大节日、主要活动期间，没有按照要求加强消杀和检测工作，扣3分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上级部门下达督办整改没有及时完成且回复，一处扣5分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参与镇辖区内重点场所或重大保障活动的应急蚊媒处置工作，不能按时到达的，每次扣10分，消杀效果不达标每次扣5分</w:t>
            </w:r>
          </w:p>
        </w:tc>
        <w:tc>
          <w:tcPr>
            <w:tcW w:type="dxa" w:w="1017"/>
            <w:vMerge/>
            <w:tcBorders>
              <w:top w:val="none" w:color="000000" w:sz="4"/>
              <w:left w:val="single" w:color="000000" w:sz="4"/>
              <w:bottom w:val="single" w:color="000000" w:sz="4"/>
              <w:right w:val="single" w:color="000000" w:sz="4"/>
            </w:tcBorders>
          </w:tcPr>
          <w:p/>
        </w:tc>
      </w:tr>
      <w:tr>
        <w:tc>
          <w:tcPr>
            <w:tcW w:type="dxa" w:w="5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其他</w:t>
            </w: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不执行上级工作安排，消极怠工的,扣5分</w:t>
            </w:r>
          </w:p>
        </w:tc>
        <w:tc>
          <w:tcPr>
            <w:tcW w:type="dxa" w:w="10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保管、使用消杀药品、器械、燃料不当，造成人员或宠物误食、过敏或其它伤害，或造成单位受损的，扣2分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上级领导、上级部门对工作质量提出批评，经查属实的，一次扣罚2分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对于各村、居和其他部门投诉，经查属实的，每次扣2分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未按规定时间上报各种报表，每拖一天每项扣0.5分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承包人必须保证足够的设备、机械、人力用于项目使用。如因设备、人员不足造成工作效果不达标情况，每宗次扣2分</w:t>
            </w:r>
          </w:p>
        </w:tc>
        <w:tc>
          <w:tcPr>
            <w:tcW w:type="dxa" w:w="1017"/>
            <w:vMerge/>
            <w:tcBorders>
              <w:top w:val="none" w:color="000000" w:sz="4"/>
              <w:left w:val="single" w:color="000000" w:sz="4"/>
              <w:bottom w:val="single" w:color="000000" w:sz="4"/>
              <w:right w:val="single" w:color="000000" w:sz="4"/>
            </w:tcBorders>
          </w:tcPr>
          <w:p/>
        </w:tc>
      </w:tr>
      <w:tr>
        <w:tc>
          <w:tcPr>
            <w:tcW w:type="dxa" w:w="575"/>
            <w:vMerge/>
            <w:tcBorders>
              <w:top w:val="none" w:color="000000" w:sz="4"/>
              <w:left w:val="single" w:color="000000" w:sz="4"/>
              <w:bottom w:val="single" w:color="000000" w:sz="4"/>
              <w:right w:val="single" w:color="000000" w:sz="4"/>
            </w:tcBorders>
          </w:tcPr>
          <w:p/>
        </w:tc>
        <w:tc>
          <w:tcPr>
            <w:tcW w:type="dxa" w:w="1180"/>
            <w:vMerge/>
            <w:tcBorders>
              <w:top w:val="none" w:color="000000" w:sz="4"/>
              <w:left w:val="none" w:color="000000" w:sz="4"/>
              <w:bottom w:val="single" w:color="000000" w:sz="4"/>
              <w:right w:val="single" w:color="000000" w:sz="4"/>
            </w:tcBorders>
          </w:tcPr>
          <w:p/>
        </w:tc>
        <w:tc>
          <w:tcPr>
            <w:tcW w:type="dxa" w:w="5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其他不符合病媒生物防制工作要求的，每项扣2分</w:t>
            </w:r>
          </w:p>
        </w:tc>
        <w:tc>
          <w:tcPr>
            <w:tcW w:type="dxa" w:w="1017"/>
            <w:vMerge/>
            <w:tcBorders>
              <w:top w:val="none" w:color="000000" w:sz="4"/>
              <w:left w:val="single" w:color="000000" w:sz="4"/>
              <w:bottom w:val="single" w:color="000000" w:sz="4"/>
              <w:right w:val="single" w:color="000000" w:sz="4"/>
            </w:tcBorders>
          </w:tcPr>
          <w:p/>
        </w:tc>
      </w:tr>
    </w:tbl>
    <w:p>
      <w:pPr>
        <w:pStyle w:val="null3"/>
        <w:ind w:firstLine="420"/>
        <w:jc w:val="both"/>
      </w:pPr>
      <w:r>
        <w:rPr>
          <w:sz w:val="24"/>
        </w:rPr>
        <w:t>（四）应急工作处理：若出现登革热病等病媒生物方面的病例时（输入性病例、本地性病例），应立即配合甲方安排开展应急处置消杀工作，并立即对相关问题进行整改；因对存在问题整改不到位，导致疫情未得到控制继续蔓延的，扣除当月30%服务费用。（注：处置登革热疫点以及临时性应急工作任务时，甲方可根据实际情况给予乙方补助，补助费用最高不可超过本项目年度服务费总额的10%的标准）</w:t>
      </w:r>
    </w:p>
    <w:p>
      <w:pPr>
        <w:pStyle w:val="null3"/>
        <w:ind w:firstLine="405"/>
        <w:jc w:val="both"/>
      </w:pPr>
      <w:r>
        <w:rPr>
          <w:b/>
          <w:sz w:val="24"/>
        </w:rPr>
        <w:t>五、付款方式</w:t>
      </w:r>
    </w:p>
    <w:p>
      <w:pPr>
        <w:pStyle w:val="null3"/>
        <w:ind w:firstLine="420"/>
        <w:jc w:val="both"/>
      </w:pPr>
      <w:r>
        <w:rPr>
          <w:sz w:val="24"/>
        </w:rPr>
        <w:t>（一）服务费按季度支付，分别于每季度考核后支付，每季度费用¥</w:t>
      </w:r>
      <w:r>
        <w:rPr>
          <w:sz w:val="24"/>
          <w:u w:val="single"/>
        </w:rPr>
        <w:t xml:space="preserve">     </w:t>
      </w:r>
      <w:r>
        <w:rPr>
          <w:sz w:val="24"/>
        </w:rPr>
        <w:t>元（大写：人民币</w:t>
      </w:r>
      <w:r>
        <w:rPr>
          <w:sz w:val="24"/>
          <w:u w:val="single"/>
        </w:rPr>
        <w:t xml:space="preserve">         </w:t>
      </w:r>
      <w:r>
        <w:rPr>
          <w:sz w:val="24"/>
        </w:rPr>
        <w:t>元），考核若产生扣费的如实在服务费用中扣减。</w:t>
      </w:r>
    </w:p>
    <w:p>
      <w:pPr>
        <w:pStyle w:val="null3"/>
        <w:ind w:firstLine="420"/>
        <w:jc w:val="both"/>
      </w:pPr>
      <w:r>
        <w:rPr>
          <w:sz w:val="24"/>
        </w:rPr>
        <w:t>（二）因甲方使用的是财政资金，甲方在规定的付款时间内向政府采购支付部门提出办理财政支付申请手续（不含政府财政支付部门审核的时间），即视为甲方已经按期支付。</w:t>
      </w:r>
    </w:p>
    <w:p>
      <w:pPr>
        <w:pStyle w:val="null3"/>
        <w:ind w:firstLine="420"/>
        <w:jc w:val="both"/>
      </w:pPr>
      <w:r>
        <w:rPr>
          <w:sz w:val="24"/>
        </w:rPr>
        <w:t>（三）乙方凭以下有效文件与甲方结算：</w:t>
      </w:r>
    </w:p>
    <w:p>
      <w:pPr>
        <w:pStyle w:val="null3"/>
        <w:ind w:firstLine="630"/>
        <w:jc w:val="both"/>
      </w:pPr>
      <w:r>
        <w:rPr>
          <w:sz w:val="24"/>
        </w:rPr>
        <w:t>1、服务合同；</w:t>
      </w:r>
    </w:p>
    <w:p>
      <w:pPr>
        <w:pStyle w:val="null3"/>
        <w:ind w:firstLine="630"/>
        <w:jc w:val="both"/>
      </w:pPr>
      <w:r>
        <w:rPr>
          <w:sz w:val="24"/>
        </w:rPr>
        <w:t>2、乙方开具的正式发票；</w:t>
      </w:r>
    </w:p>
    <w:p>
      <w:pPr>
        <w:pStyle w:val="null3"/>
        <w:ind w:firstLine="630"/>
        <w:jc w:val="both"/>
      </w:pPr>
      <w:r>
        <w:rPr>
          <w:sz w:val="24"/>
        </w:rPr>
        <w:t>3、项目服务考核表</w:t>
      </w:r>
    </w:p>
    <w:p>
      <w:pPr>
        <w:pStyle w:val="null3"/>
        <w:ind w:firstLine="426"/>
        <w:jc w:val="both"/>
      </w:pPr>
      <w:r>
        <w:rPr>
          <w:b/>
          <w:sz w:val="24"/>
        </w:rPr>
        <w:t>六、违约责任</w:t>
      </w:r>
    </w:p>
    <w:p>
      <w:pPr>
        <w:pStyle w:val="null3"/>
        <w:ind w:firstLine="424"/>
        <w:jc w:val="both"/>
      </w:pPr>
      <w:r>
        <w:rPr>
          <w:sz w:val="24"/>
        </w:rPr>
        <w:t>(一)乙方提供的服务不符合采购文件、响应文件或本合同规定的，甲方有权拒收并解除本合同，乙方须向甲方支付本合同总价5%的违约金。乙方发生上述情况达【3】次的，甲方有权解除合同，要求乙方支付本合同总价20%的违约金并承担由此导致的甲方全部损失。</w:t>
      </w:r>
    </w:p>
    <w:p>
      <w:pPr>
        <w:pStyle w:val="null3"/>
        <w:ind w:left="120" w:firstLine="228"/>
        <w:jc w:val="both"/>
      </w:pPr>
      <w:r>
        <w:rPr>
          <w:sz w:val="24"/>
        </w:rPr>
        <w:t>（二）一年内累计两次考核评分低于85分的，甲方有权解除合同，并要求乙方承担由此导致的甲方全部损失。</w:t>
      </w:r>
    </w:p>
    <w:p>
      <w:pPr>
        <w:pStyle w:val="null3"/>
        <w:ind w:left="120" w:firstLine="228"/>
        <w:jc w:val="both"/>
      </w:pPr>
      <w:r>
        <w:rPr>
          <w:sz w:val="24"/>
        </w:rPr>
        <w:t>（三）乙方未能按本合同规定的服务期限履行合同，从逾期之日起每日按本合同总价3‰的数额向甲方支付违约金；逾期15天以上的，甲方有权解除合同，要求乙方支付本合同总价20%的违约金，由此造成甲方经济损失的由乙方承担。</w:t>
      </w:r>
    </w:p>
    <w:p>
      <w:pPr>
        <w:pStyle w:val="null3"/>
        <w:ind w:left="120" w:firstLine="228"/>
        <w:jc w:val="both"/>
      </w:pPr>
      <w:r>
        <w:rPr>
          <w:sz w:val="24"/>
        </w:rPr>
        <w:t>（四）乙方提供服务过程中侵害第三方人身、财产等合法权益的，由此产生的一切后果由乙方承担，与甲方无关。因此导致第三方向甲方主张权利的，甲方有权解除合同，要求乙方支付本合同总价20%的违约金并承担由此导致的甲方全部损失。</w:t>
      </w:r>
    </w:p>
    <w:p>
      <w:pPr>
        <w:pStyle w:val="null3"/>
        <w:ind w:left="120" w:firstLine="228"/>
        <w:jc w:val="both"/>
      </w:pPr>
      <w:r>
        <w:rPr>
          <w:sz w:val="24"/>
        </w:rPr>
        <w:t>（五）乙方违约的，除承担违约责任外，还应承担由此导致的甲方全部损失，包括但不限于甲方因涉诉或主张权利支出的诉讼费、律师费、保全费、担保费、鉴定费、公证费等。</w:t>
      </w:r>
    </w:p>
    <w:p>
      <w:pPr>
        <w:pStyle w:val="null3"/>
        <w:ind w:firstLine="426"/>
        <w:jc w:val="both"/>
      </w:pPr>
      <w:r>
        <w:rPr>
          <w:b/>
          <w:sz w:val="24"/>
        </w:rPr>
        <w:t>七、不可抗力</w:t>
      </w:r>
    </w:p>
    <w:p>
      <w:pPr>
        <w:pStyle w:val="null3"/>
        <w:ind w:firstLine="424"/>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补充合同，并根据情况可部分或全部免于承担违约责任。</w:t>
      </w:r>
    </w:p>
    <w:p>
      <w:pPr>
        <w:pStyle w:val="null3"/>
        <w:ind w:firstLine="426"/>
      </w:pPr>
      <w:r>
        <w:rPr>
          <w:b/>
          <w:sz w:val="24"/>
        </w:rPr>
        <w:t>八、争议解决的方式</w:t>
      </w:r>
    </w:p>
    <w:p>
      <w:pPr>
        <w:pStyle w:val="null3"/>
        <w:ind w:firstLine="424"/>
        <w:jc w:val="both"/>
      </w:pPr>
      <w:r>
        <w:rPr>
          <w:sz w:val="24"/>
        </w:rPr>
        <w:t>合同执行过程中双方如有争议，应友好协商解决，协商不成，双方同意向甲方所在地人民法院提出诉讼。</w:t>
      </w:r>
    </w:p>
    <w:p>
      <w:pPr>
        <w:pStyle w:val="null3"/>
        <w:ind w:firstLine="426"/>
        <w:jc w:val="both"/>
      </w:pPr>
      <w:r>
        <w:rPr>
          <w:b/>
          <w:sz w:val="24"/>
        </w:rPr>
        <w:t>九、税费</w:t>
      </w:r>
    </w:p>
    <w:p>
      <w:pPr>
        <w:pStyle w:val="null3"/>
        <w:ind w:firstLine="424"/>
        <w:jc w:val="both"/>
      </w:pPr>
      <w:r>
        <w:rPr>
          <w:sz w:val="24"/>
        </w:rPr>
        <w:t>本合同执行有关的一切税费均由乙方负担。</w:t>
      </w:r>
    </w:p>
    <w:p>
      <w:pPr>
        <w:pStyle w:val="null3"/>
        <w:ind w:firstLine="426"/>
        <w:jc w:val="both"/>
      </w:pPr>
      <w:r>
        <w:rPr>
          <w:b/>
          <w:sz w:val="24"/>
        </w:rPr>
        <w:t>十、其它</w:t>
      </w:r>
    </w:p>
    <w:p>
      <w:pPr>
        <w:pStyle w:val="null3"/>
        <w:ind w:firstLine="420"/>
        <w:jc w:val="both"/>
      </w:pPr>
      <w:r>
        <w:rPr>
          <w:sz w:val="24"/>
        </w:rPr>
        <w:t>（一）本合同如有和采购文件、响应文件、中标（成交）通知书有不一致的，以本合同为准遵照执行。</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甲、乙双方因履行本合同而相互发出或者提供的所有通知、文件、资料，均以本合同列明的地址、电话、传真或电子邮件送达。如一方地址、电话、传真号码有变更，应在变更当日内书面通知对方，否则，应承担相应责任。</w:t>
      </w:r>
    </w:p>
    <w:p>
      <w:pPr>
        <w:pStyle w:val="null3"/>
        <w:ind w:firstLine="424"/>
        <w:jc w:val="both"/>
      </w:pPr>
      <w:r>
        <w:rPr>
          <w:sz w:val="24"/>
        </w:rPr>
        <w:t>（四）除甲方事先书面同意外，乙方不得部分或全部转让其应履行的合同项下的义务。</w:t>
      </w:r>
    </w:p>
    <w:p>
      <w:pPr>
        <w:pStyle w:val="null3"/>
        <w:ind w:firstLine="424"/>
        <w:jc w:val="both"/>
      </w:pPr>
      <w:r>
        <w:rPr>
          <w:sz w:val="24"/>
        </w:rPr>
        <w:t>（五）如区有工作统筹安排或其他特殊情况需解除合同的，乙方必须配合甲方解除合同，且甲方不承担解除合同的违约责任。</w:t>
      </w:r>
    </w:p>
    <w:p>
      <w:pPr>
        <w:pStyle w:val="null3"/>
        <w:ind w:firstLine="426"/>
        <w:jc w:val="both"/>
      </w:pPr>
      <w:r>
        <w:rPr>
          <w:b/>
          <w:sz w:val="24"/>
        </w:rPr>
        <w:t>十一、合同生效</w:t>
      </w:r>
    </w:p>
    <w:p>
      <w:pPr>
        <w:pStyle w:val="null3"/>
        <w:ind w:firstLine="424"/>
        <w:jc w:val="both"/>
      </w:pPr>
      <w:r>
        <w:rPr>
          <w:sz w:val="24"/>
        </w:rPr>
        <w:t>(一)本合同在甲乙双方法人代表或其授权代表签字盖章后生效。</w:t>
      </w:r>
    </w:p>
    <w:p>
      <w:pPr>
        <w:pStyle w:val="null3"/>
        <w:ind w:firstLine="424"/>
        <w:jc w:val="both"/>
      </w:pPr>
      <w:r>
        <w:rPr>
          <w:sz w:val="24"/>
        </w:rPr>
        <w:t>(二)本合同共</w:t>
      </w:r>
      <w:r>
        <w:rPr>
          <w:sz w:val="24"/>
          <w:u w:val="single"/>
        </w:rPr>
        <w:t xml:space="preserve"> </w:t>
      </w:r>
      <w:r>
        <w:rPr>
          <w:sz w:val="24"/>
          <w:u w:val="single"/>
        </w:rPr>
        <w:t>肆</w:t>
      </w:r>
      <w:r>
        <w:rPr>
          <w:sz w:val="24"/>
          <w:u w:val="single"/>
        </w:rPr>
        <w:t xml:space="preserve"> </w:t>
      </w:r>
      <w:r>
        <w:rPr>
          <w:sz w:val="24"/>
        </w:rPr>
        <w:t>份，具有同等法律效力，甲方执</w:t>
      </w:r>
      <w:r>
        <w:rPr>
          <w:sz w:val="24"/>
          <w:u w:val="single"/>
        </w:rPr>
        <w:t xml:space="preserve"> </w:t>
      </w:r>
      <w:r>
        <w:rPr>
          <w:sz w:val="24"/>
          <w:u w:val="single"/>
        </w:rPr>
        <w:t>贰</w:t>
      </w:r>
      <w:r>
        <w:rPr>
          <w:sz w:val="24"/>
          <w:u w:val="single"/>
        </w:rPr>
        <w:t xml:space="preserve"> </w:t>
      </w:r>
      <w:r>
        <w:rPr>
          <w:sz w:val="24"/>
        </w:rPr>
        <w:t>份，乙方执</w:t>
      </w:r>
      <w:r>
        <w:rPr>
          <w:sz w:val="24"/>
          <w:u w:val="single"/>
        </w:rPr>
        <w:t xml:space="preserve"> </w:t>
      </w:r>
      <w:r>
        <w:rPr>
          <w:sz w:val="24"/>
          <w:u w:val="single"/>
        </w:rPr>
        <w:t>壹</w:t>
      </w:r>
      <w:r>
        <w:rPr>
          <w:sz w:val="24"/>
          <w:u w:val="single"/>
        </w:rPr>
        <w:t xml:space="preserve">  </w:t>
      </w:r>
      <w:r>
        <w:rPr>
          <w:sz w:val="24"/>
        </w:rPr>
        <w:t>份、采购代理机构执</w:t>
      </w:r>
      <w:r>
        <w:rPr>
          <w:sz w:val="24"/>
          <w:u w:val="single"/>
        </w:rPr>
        <w:t>壹</w:t>
      </w:r>
      <w:r>
        <w:rPr>
          <w:sz w:val="24"/>
        </w:rPr>
        <w:t>份。</w:t>
      </w:r>
    </w:p>
    <w:p>
      <w:pPr>
        <w:pStyle w:val="null3"/>
        <w:ind w:firstLine="480"/>
        <w:jc w:val="both"/>
      </w:pPr>
      <w:r>
        <w:rPr/>
        <w:t xml:space="preserve"> </w:t>
      </w:r>
    </w:p>
    <w:p>
      <w:pPr>
        <w:pStyle w:val="null3"/>
        <w:jc w:val="both"/>
      </w:pPr>
      <w:r>
        <w:rPr>
          <w:sz w:val="24"/>
        </w:rPr>
        <w:t>甲方（盖章）：                    乙方（盖章）：</w:t>
      </w:r>
    </w:p>
    <w:p>
      <w:pPr>
        <w:pStyle w:val="null3"/>
        <w:jc w:val="both"/>
      </w:pPr>
      <w:r>
        <w:rPr>
          <w:sz w:val="24"/>
        </w:rPr>
        <w:t>法定代表人                           法定代表人</w:t>
      </w:r>
    </w:p>
    <w:p>
      <w:pPr>
        <w:pStyle w:val="null3"/>
        <w:jc w:val="both"/>
      </w:pPr>
      <w:r>
        <w:rPr>
          <w:sz w:val="24"/>
        </w:rPr>
        <w:t xml:space="preserve">（或授权代表）：               （或授权代表）：              </w:t>
      </w:r>
    </w:p>
    <w:p>
      <w:pPr>
        <w:pStyle w:val="null3"/>
        <w:jc w:val="both"/>
      </w:pPr>
      <w:r>
        <w:rPr>
          <w:sz w:val="24"/>
        </w:rPr>
        <w:t xml:space="preserve">地址：                                 地址： </w:t>
      </w:r>
    </w:p>
    <w:p>
      <w:pPr>
        <w:pStyle w:val="null3"/>
        <w:jc w:val="both"/>
      </w:pPr>
      <w:r>
        <w:rPr>
          <w:sz w:val="24"/>
        </w:rPr>
        <w:t>签定日期：  年   月   日        签定日期：    年   月   日</w:t>
      </w:r>
    </w:p>
    <w:p>
      <w:pPr>
        <w:pStyle w:val="null3"/>
        <w:ind w:firstLine="420"/>
        <w:jc w:val="both"/>
      </w:pPr>
      <w:r>
        <w:rPr>
          <w:sz w:val="24"/>
        </w:rPr>
        <w:t xml:space="preserve">                  开户行：</w:t>
      </w:r>
    </w:p>
    <w:p>
      <w:pPr>
        <w:pStyle w:val="null3"/>
        <w:ind w:firstLine="420"/>
        <w:jc w:val="both"/>
      </w:pPr>
      <w:r>
        <w:rPr>
          <w:sz w:val="24"/>
        </w:rPr>
        <w:t xml:space="preserve">                  开户名：</w:t>
      </w:r>
    </w:p>
    <w:p>
      <w:pPr>
        <w:pStyle w:val="null3"/>
        <w:ind w:firstLine="420"/>
        <w:jc w:val="both"/>
      </w:pPr>
      <w:r>
        <w:rPr>
          <w:sz w:val="24"/>
        </w:rPr>
        <w:t xml:space="preserve">                   账  号：</w:t>
      </w:r>
    </w:p>
    <w:p>
      <w:pPr>
        <w:pStyle w:val="null3"/>
        <w:ind w:firstLine="480"/>
        <w:jc w:val="center"/>
      </w:pPr>
    </w:p>
    <w:p>
      <w:pPr>
        <w:pStyle w:val="null3"/>
        <w:ind w:firstLine="480"/>
        <w:jc w:val="center"/>
      </w:pPr>
    </w:p>
    <w:p>
      <w:pPr>
        <w:pStyle w:val="null3"/>
        <w:ind w:firstLine="480"/>
        <w:jc w:val="both"/>
      </w:pPr>
    </w:p>
    <w:p>
      <w:pPr>
        <w:pStyle w:val="null3"/>
        <w:ind w:firstLine="480"/>
        <w:jc w:val="both"/>
      </w:pP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440115-2024-01661</w:t>
      </w:r>
    </w:p>
    <w:p>
      <w:pPr>
        <w:pStyle w:val="null3"/>
        <w:ind w:firstLine="480"/>
        <w:jc w:val="center"/>
        <w:outlineLvl w:val="3"/>
      </w:pPr>
      <w:r>
        <w:rPr>
          <w:b/>
          <w:sz w:val="24"/>
        </w:rPr>
        <w:t>采购项目编号：</w:t>
      </w:r>
      <w:r>
        <w:rPr>
          <w:b/>
          <w:sz w:val="24"/>
        </w:rPr>
        <w:t>GDHY24ZC0301</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广东华阳项目管理有限公司</w:t>
      </w:r>
    </w:p>
    <w:p>
      <w:pPr>
        <w:pStyle w:val="null3"/>
        <w:ind w:firstLine="480"/>
      </w:pPr>
      <w:r>
        <w:rPr/>
        <w:t>你方组织的</w:t>
      </w:r>
      <w:r>
        <w:rPr>
          <w:u w:val="single"/>
        </w:rPr>
        <w:t>“</w:t>
      </w:r>
      <w:r>
        <w:rPr>
          <w:u w:val="single"/>
        </w:rPr>
        <w:t>南沙区横沥镇采购病媒生物防制服务项目</w:t>
      </w:r>
      <w:r>
        <w:rPr>
          <w:u w:val="single"/>
        </w:rPr>
        <w:t>”</w:t>
      </w:r>
      <w:r>
        <w:rPr/>
        <w:t>项目的竞争性磋商[采购项目编号为：</w:t>
      </w:r>
      <w:r>
        <w:rPr>
          <w:u w:val="single"/>
        </w:rPr>
        <w:t>GDHY24ZC0301</w:t>
      </w:r>
      <w:r>
        <w:rPr/>
        <w:t>]，我方愿参与响应。</w:t>
      </w:r>
    </w:p>
    <w:p>
      <w:pPr>
        <w:pStyle w:val="null3"/>
        <w:ind w:firstLine="480"/>
      </w:pPr>
      <w:r>
        <w:rPr/>
        <w:t>我方确认收到贵方提供的</w:t>
      </w:r>
      <w:r>
        <w:rPr>
          <w:u w:val="single"/>
        </w:rPr>
        <w:t>“</w:t>
      </w:r>
      <w:r>
        <w:rPr>
          <w:u w:val="single"/>
        </w:rPr>
        <w:t>南沙区横沥镇采购病媒生物防制服务项目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jc w:val="center"/>
        <w:outlineLvl w:val="5"/>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广东华阳项目管理有限公司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南沙区横沥镇采购病媒生物防制服务项目</w:t>
      </w:r>
      <w:r>
        <w:rPr/>
        <w:t>”项目采购[采购项目编号为</w:t>
      </w:r>
      <w:r>
        <w:rPr/>
        <w:t>GDHY24ZC0301</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广州市南沙区横沥镇人民政府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格式十九：</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广东华阳项目管理有限公司</w:t>
      </w:r>
    </w:p>
    <w:p>
      <w:pPr>
        <w:pStyle w:val="null3"/>
        <w:ind w:firstLine="480"/>
      </w:pPr>
      <w:r>
        <w:rPr/>
        <w:t>我单位参加贵公司组织的</w:t>
      </w:r>
      <w:r>
        <w:rPr/>
        <w:t>南沙区横沥镇采购病媒生物防制服务项目</w:t>
      </w:r>
      <w:r>
        <w:rPr/>
        <w:t>（采购项目编号：</w:t>
      </w:r>
      <w:r>
        <w:rPr/>
        <w:t>GDHY24ZC0301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