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巴楚县中医医院有害病媒生物项目招标要求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一、蟑螂防治</w:t>
      </w:r>
    </w:p>
    <w:tbl>
      <w:tblPr>
        <w:tblStyle w:val="3"/>
        <w:tblW w:w="14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300"/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3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服务重点区域</w:t>
            </w:r>
          </w:p>
        </w:tc>
        <w:tc>
          <w:tcPr>
            <w:tcW w:w="23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服务设施及用品</w:t>
            </w:r>
          </w:p>
        </w:tc>
        <w:tc>
          <w:tcPr>
            <w:tcW w:w="95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253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医院环境内如：1、食堂、病房、门诊、仓库等2、办公区域、会议室等3、配电室、消控中心、设备房4、垃圾暂存点5、所有可能孳生蟑螂的的缝隙/孔洞6、下水道、窨井等</w:t>
            </w:r>
          </w:p>
        </w:tc>
        <w:tc>
          <w:tcPr>
            <w:tcW w:w="23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1、物理设施监控:粘蟑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2、检测监控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3、化学诱杀：杀蟑胶饵（缝隙）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杀蟑颗粒剂（干燥部位）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4、药物触杀：5%残杀威，高氯乳剂</w:t>
            </w:r>
          </w:p>
        </w:tc>
        <w:tc>
          <w:tcPr>
            <w:tcW w:w="95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检测，检查室内可能孳生蟑螂的区域/部位：如：门诊室、病房、消防器械、储物柜；办公区域内办公柜（桌）、电脑电器等；公共洗手间等。对蟑螂高风险孳生点采取蟑螂贴、胶饵等进行布控处理，防止食品药品安全问题的产生；重点区域定期布放蟑螂检测装置，测试该区域的蟑螂密度情况，发现问题及时补救；2、在保证食品安全的同时，对食堂内蟑螂风险较高的部位，针对性、小范围的进行滞留喷洒，快速灭杀蟑螂；3、在处理的蟑螂孳生点处放置灭蟑饵剂或粘蟑纸，进行预防监控；4、及时对蟑螂孳生点进行跟进检查，直到彻底清除；5、定期的蟑螂种群密度检测，及时了解和掌握蟑螂的防制效果；6、针对现场卫生状况书面提交给物业专业有效的清洁改善建议；7、对下水道、窨井等大蠊的孳生地进行检查，预防可能存在的大蠊</w:t>
            </w:r>
          </w:p>
        </w:tc>
      </w:tr>
    </w:tbl>
    <w:p>
      <w:pPr>
        <w:rPr>
          <w:rFonts w:hint="default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二、灭鼠防治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980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7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服务重点区域</w:t>
            </w:r>
          </w:p>
        </w:tc>
        <w:tc>
          <w:tcPr>
            <w:tcW w:w="3980" w:type="dxa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服务设施及用品</w:t>
            </w:r>
          </w:p>
        </w:tc>
        <w:tc>
          <w:tcPr>
            <w:tcW w:w="6857" w:type="dxa"/>
          </w:tcPr>
          <w:p>
            <w:pPr>
              <w:jc w:val="center"/>
              <w:rPr>
                <w:rFonts w:hint="default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3337" w:type="dxa"/>
          </w:tcPr>
          <w:p>
            <w:pPr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医院环境内，如：1、食堂、病房、门诊、仓库等2、办公区域、会议室等3、配电室、消控中心、设备房4、垃圾暂存点5、所有可能孳生蟑螂的的缝隙/孔洞6、下水道、窨井等</w:t>
            </w:r>
          </w:p>
        </w:tc>
        <w:tc>
          <w:tcPr>
            <w:tcW w:w="398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1、环境治理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2、物理防治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</w:rPr>
              <w:t>(捕鼠夹、捕鼠笼、粘鼠板)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3、化学治理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</w:rPr>
              <w:t>毒饵投放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57" w:type="dxa"/>
          </w:tcPr>
          <w:p>
            <w:pPr>
              <w:rPr>
                <w:rFonts w:hint="eastAsia" w:ascii="宋体" w:hAnsi="宋体" w:eastAsia="宋体" w:cs="宋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灭鼠防治类别参数单位数量溴敌隆灭鼠原粮（小麦）鼠溴敌隆/bromadiolone灭鼠原粮，总有效成份含量0.005%</w:t>
            </w:r>
          </w:p>
        </w:tc>
      </w:tr>
    </w:tbl>
    <w:p>
      <w:pPr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三、蚊蝇防治</w:t>
      </w:r>
    </w:p>
    <w:tbl>
      <w:tblPr>
        <w:tblStyle w:val="3"/>
        <w:tblW w:w="14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780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77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服务重点区域</w:t>
            </w:r>
          </w:p>
        </w:tc>
        <w:tc>
          <w:tcPr>
            <w:tcW w:w="47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服务设施及用品</w:t>
            </w:r>
          </w:p>
        </w:tc>
        <w:tc>
          <w:tcPr>
            <w:tcW w:w="478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36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477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医院环境内如：1、食堂、病房、门诊、仓库等2、办公区域、会议室等3、配电室、消控中心、设备房4、垃圾暂存点5、所有可能孳生蟑螂的的缝隙/孔洞6、下水道、窨井等</w:t>
            </w:r>
          </w:p>
        </w:tc>
        <w:tc>
          <w:tcPr>
            <w:tcW w:w="478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1、环境治理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2，物理治疗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kern w:val="0"/>
                <w:sz w:val="28"/>
                <w:szCs w:val="28"/>
              </w:rPr>
              <w:t>防蝇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8"/>
                <w:szCs w:val="28"/>
              </w:rPr>
              <w:t>设施主要有纱窗、纱罩、纱门、门帘及风幕机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8"/>
                <w:szCs w:val="28"/>
              </w:rPr>
              <w:t>(引诱、捕打、粘捕等)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化学治理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（64%Es生物丙菊酯.右旋苯醚菊酯杀虫气雾剂蚊蝇Es-生物丙菊酯0.32%，右旋苯醚菊酯0.32%，总有效成份含量0.64%）</w:t>
            </w:r>
          </w:p>
        </w:tc>
        <w:tc>
          <w:tcPr>
            <w:tcW w:w="47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64%Es生物丙菊酯.右旋苯醚菊酯杀虫气雾剂蚊蝇Es-生物丙菊酯0.32%，右旋苯醚菊酯0.32%，总有效成份含量0.64%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服务期限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自签订合同起一年（全年服务次数不少于12次，每月一次）；并建立病媒生物防治档案。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本次项目不接受负偏离，并上传承诺书。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按季度/半年/服务期满支付（具体需双方协商确定），支付时需提支付申请，发票，相应期限的病媒生物防治档案。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BE372"/>
    <w:multiLevelType w:val="singleLevel"/>
    <w:tmpl w:val="905BE3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E7397C"/>
    <w:multiLevelType w:val="singleLevel"/>
    <w:tmpl w:val="EDE7397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AA666F4"/>
    <w:rsid w:val="01163BC9"/>
    <w:rsid w:val="17B943BD"/>
    <w:rsid w:val="1CA473E9"/>
    <w:rsid w:val="59101387"/>
    <w:rsid w:val="73CC42EB"/>
    <w:rsid w:val="7AA666F4"/>
    <w:rsid w:val="7D5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973</Words>
  <Characters>1027</Characters>
  <Lines>0</Lines>
  <Paragraphs>0</Paragraphs>
  <TotalTime>20</TotalTime>
  <ScaleCrop>false</ScaleCrop>
  <LinksUpToDate>false</LinksUpToDate>
  <CharactersWithSpaces>1027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2023-06-01T04:44:00Z</dcterms:created>
  <dc:creator>顿悟</dc:creator>
  <cp:lastModifiedBy>艾斯玛</cp:lastModifiedBy>
  <dcterms:modified xsi:type="dcterms:W3CDTF">2024-04-24T04:53:16Z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FE5987FD2C314E42A5C8BD552B4B9ADF_13</vt:lpwstr>
  </property>
</Properties>
</file>